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D4FEE4" w14:textId="31FA306E" w:rsidR="004D0A79" w:rsidRPr="00652E67" w:rsidRDefault="007204D7" w:rsidP="007204D7">
      <w:pPr>
        <w:pStyle w:val="Heading1"/>
        <w:jc w:val="both"/>
        <w:rPr>
          <w:b w:val="0"/>
          <w:bCs w:val="0"/>
          <w:color w:val="000000" w:themeColor="text1"/>
          <w:sz w:val="48"/>
          <w:szCs w:val="48"/>
        </w:rPr>
      </w:pPr>
      <w:r>
        <w:rPr>
          <w:b w:val="0"/>
          <w:bCs w:val="0"/>
          <w:color w:val="000000" w:themeColor="text1"/>
          <w:sz w:val="48"/>
          <w:szCs w:val="48"/>
        </w:rPr>
        <w:t xml:space="preserve">Changes </w:t>
      </w:r>
      <w:r w:rsidR="002C7B98" w:rsidRPr="00652E67">
        <w:rPr>
          <w:b w:val="0"/>
          <w:bCs w:val="0"/>
          <w:color w:val="000000" w:themeColor="text1"/>
          <w:sz w:val="48"/>
          <w:szCs w:val="48"/>
        </w:rPr>
        <w:t xml:space="preserve">in the NHS </w:t>
      </w:r>
      <w:r w:rsidR="055F93C4" w:rsidRPr="6138D773">
        <w:rPr>
          <w:b w:val="0"/>
          <w:bCs w:val="0"/>
          <w:color w:val="000000" w:themeColor="text1"/>
          <w:sz w:val="48"/>
          <w:szCs w:val="48"/>
        </w:rPr>
        <w:t>(National Health Service)</w:t>
      </w:r>
      <w:r w:rsidR="002C7B98" w:rsidRPr="6138D773">
        <w:rPr>
          <w:b w:val="0"/>
          <w:bCs w:val="0"/>
          <w:color w:val="000000" w:themeColor="text1"/>
          <w:sz w:val="48"/>
          <w:szCs w:val="48"/>
        </w:rPr>
        <w:t xml:space="preserve"> </w:t>
      </w:r>
      <w:r w:rsidR="002C7B98" w:rsidRPr="00652E67">
        <w:rPr>
          <w:b w:val="0"/>
          <w:bCs w:val="0"/>
          <w:color w:val="000000" w:themeColor="text1"/>
          <w:sz w:val="48"/>
          <w:szCs w:val="48"/>
        </w:rPr>
        <w:t>and Health and Social Care driven by various agendas, accelerated by Covid-19</w:t>
      </w:r>
    </w:p>
    <w:p w14:paraId="56432A86" w14:textId="0E27937F" w:rsidR="004D0A79" w:rsidRPr="00E062B4" w:rsidRDefault="004D0A79" w:rsidP="007204D7">
      <w:pPr>
        <w:pStyle w:val="Heading2"/>
        <w:jc w:val="both"/>
        <w:rPr>
          <w:b w:val="0"/>
          <w:bCs w:val="0"/>
          <w:sz w:val="24"/>
          <w:szCs w:val="24"/>
        </w:rPr>
      </w:pPr>
    </w:p>
    <w:p w14:paraId="69C32B46" w14:textId="6BF5130F" w:rsidR="004D0A79" w:rsidRPr="00E062B4" w:rsidRDefault="00607E2C" w:rsidP="007204D7">
      <w:pPr>
        <w:jc w:val="both"/>
        <w:rPr>
          <w:rFonts w:asciiTheme="majorHAnsi" w:hAnsiTheme="majorHAnsi"/>
          <w:sz w:val="24"/>
          <w:szCs w:val="24"/>
        </w:rPr>
      </w:pPr>
      <w:r w:rsidRPr="3DD26182">
        <w:rPr>
          <w:rFonts w:asciiTheme="majorHAnsi" w:eastAsia="Times New Roman" w:hAnsiTheme="majorHAnsi"/>
          <w:color w:val="000000" w:themeColor="text1"/>
          <w:sz w:val="24"/>
          <w:szCs w:val="24"/>
        </w:rPr>
        <w:t xml:space="preserve">The increasing demand </w:t>
      </w:r>
      <w:r w:rsidR="34AB6F29" w:rsidRPr="3DD26182">
        <w:rPr>
          <w:rFonts w:asciiTheme="majorHAnsi" w:eastAsia="Times New Roman" w:hAnsiTheme="majorHAnsi"/>
          <w:color w:val="000000" w:themeColor="text1"/>
          <w:sz w:val="24"/>
          <w:szCs w:val="24"/>
        </w:rPr>
        <w:t>for</w:t>
      </w:r>
      <w:r w:rsidRPr="3DD26182">
        <w:rPr>
          <w:rFonts w:asciiTheme="majorHAnsi" w:eastAsia="Times New Roman" w:hAnsiTheme="majorHAnsi"/>
          <w:color w:val="000000" w:themeColor="text1"/>
          <w:sz w:val="24"/>
          <w:szCs w:val="24"/>
        </w:rPr>
        <w:t xml:space="preserve"> the health and social care system can be inextricably connected to an increase in funding and </w:t>
      </w:r>
      <w:bookmarkStart w:id="0" w:name="_Int_sSWHxQ2N"/>
      <w:r w:rsidRPr="3DD26182">
        <w:rPr>
          <w:rFonts w:asciiTheme="majorHAnsi" w:eastAsia="Times New Roman" w:hAnsiTheme="majorHAnsi"/>
          <w:color w:val="000000" w:themeColor="text1"/>
          <w:sz w:val="24"/>
          <w:szCs w:val="24"/>
        </w:rPr>
        <w:t>particular policies</w:t>
      </w:r>
      <w:bookmarkEnd w:id="0"/>
      <w:r w:rsidRPr="3DD26182">
        <w:rPr>
          <w:rFonts w:asciiTheme="majorHAnsi" w:eastAsia="Times New Roman" w:hAnsiTheme="majorHAnsi"/>
          <w:color w:val="000000" w:themeColor="text1"/>
          <w:sz w:val="24"/>
          <w:szCs w:val="24"/>
        </w:rPr>
        <w:t xml:space="preserve"> proposed by the government to boost or reduce the efficiency of health and social care services. Any policy changes must be understood </w:t>
      </w:r>
      <w:r w:rsidR="2A103278" w:rsidRPr="3DD26182">
        <w:rPr>
          <w:rFonts w:asciiTheme="majorHAnsi" w:eastAsia="Times New Roman" w:hAnsiTheme="majorHAnsi"/>
          <w:color w:val="000000" w:themeColor="text1"/>
          <w:sz w:val="24"/>
          <w:szCs w:val="24"/>
        </w:rPr>
        <w:t>considering</w:t>
      </w:r>
      <w:r w:rsidRPr="3DD26182">
        <w:rPr>
          <w:rFonts w:asciiTheme="majorHAnsi" w:eastAsia="Times New Roman" w:hAnsiTheme="majorHAnsi"/>
          <w:color w:val="000000" w:themeColor="text1"/>
          <w:sz w:val="24"/>
          <w:szCs w:val="24"/>
        </w:rPr>
        <w:t xml:space="preserve"> their impact on health and social care services (Lewis et al., 2020). The essay will examine the nature and extent of the health and social policy agenda, as well as its impact on the NHS and the changes that have occurred or accelerated </w:t>
      </w:r>
      <w:r w:rsidR="10CA269C" w:rsidRPr="3DD26182">
        <w:rPr>
          <w:rFonts w:asciiTheme="majorHAnsi" w:eastAsia="Times New Roman" w:hAnsiTheme="majorHAnsi"/>
          <w:color w:val="000000" w:themeColor="text1"/>
          <w:sz w:val="24"/>
          <w:szCs w:val="24"/>
        </w:rPr>
        <w:t>because of</w:t>
      </w:r>
      <w:r w:rsidRPr="3DD26182">
        <w:rPr>
          <w:rFonts w:asciiTheme="majorHAnsi" w:eastAsia="Times New Roman" w:hAnsiTheme="majorHAnsi"/>
          <w:color w:val="000000" w:themeColor="text1"/>
          <w:sz w:val="24"/>
          <w:szCs w:val="24"/>
        </w:rPr>
        <w:t xml:space="preserve"> the policy</w:t>
      </w:r>
      <w:r w:rsidR="002319B7" w:rsidRPr="3DD26182">
        <w:rPr>
          <w:rFonts w:asciiTheme="majorHAnsi" w:eastAsia="Times New Roman" w:hAnsiTheme="majorHAnsi"/>
          <w:color w:val="000000" w:themeColor="text1"/>
          <w:sz w:val="24"/>
          <w:szCs w:val="24"/>
        </w:rPr>
        <w:t xml:space="preserve"> Although there will be some attention on individual policies</w:t>
      </w:r>
      <w:r w:rsidR="004012AF" w:rsidRPr="6138D773">
        <w:rPr>
          <w:rFonts w:asciiTheme="majorHAnsi" w:eastAsia="Times New Roman" w:hAnsiTheme="majorHAnsi"/>
          <w:color w:val="000000" w:themeColor="text1"/>
          <w:sz w:val="24"/>
          <w:szCs w:val="24"/>
        </w:rPr>
        <w:t xml:space="preserve">. </w:t>
      </w:r>
      <w:r w:rsidR="002319B7" w:rsidRPr="3DD26182">
        <w:rPr>
          <w:rFonts w:asciiTheme="majorHAnsi" w:eastAsia="Times New Roman" w:hAnsiTheme="majorHAnsi"/>
          <w:color w:val="000000" w:themeColor="text1"/>
          <w:sz w:val="24"/>
          <w:szCs w:val="24"/>
        </w:rPr>
        <w:t xml:space="preserve"> </w:t>
      </w:r>
    </w:p>
    <w:p w14:paraId="0D30A828" w14:textId="65887278" w:rsidR="005D3703" w:rsidRPr="00E062B4" w:rsidRDefault="00111EA5" w:rsidP="007204D7">
      <w:pPr>
        <w:jc w:val="both"/>
        <w:rPr>
          <w:rFonts w:asciiTheme="majorHAnsi" w:hAnsiTheme="majorHAnsi"/>
          <w:color w:val="000000"/>
          <w:sz w:val="24"/>
          <w:szCs w:val="24"/>
        </w:rPr>
      </w:pPr>
      <w:r w:rsidRPr="3DD26182">
        <w:rPr>
          <w:rFonts w:asciiTheme="majorHAnsi" w:hAnsiTheme="majorHAnsi"/>
          <w:sz w:val="24"/>
          <w:szCs w:val="24"/>
        </w:rPr>
        <w:t>According to</w:t>
      </w:r>
      <w:r w:rsidRPr="3DD26182">
        <w:rPr>
          <w:rFonts w:asciiTheme="majorHAnsi" w:hAnsiTheme="majorHAnsi"/>
          <w:color w:val="000000" w:themeColor="text1"/>
          <w:sz w:val="24"/>
          <w:szCs w:val="24"/>
        </w:rPr>
        <w:t xml:space="preserve"> Propper et al., (2020) </w:t>
      </w:r>
      <w:r w:rsidRPr="3DD26182">
        <w:rPr>
          <w:rFonts w:asciiTheme="majorHAnsi" w:hAnsiTheme="majorHAnsi"/>
          <w:sz w:val="24"/>
          <w:szCs w:val="24"/>
        </w:rPr>
        <w:t xml:space="preserve">COVID-19 pandemic has placed an unprecedented demand on the </w:t>
      </w:r>
      <w:r w:rsidR="6A61D09D" w:rsidRPr="3DD26182">
        <w:rPr>
          <w:rFonts w:asciiTheme="majorHAnsi" w:hAnsiTheme="majorHAnsi"/>
          <w:sz w:val="24"/>
          <w:szCs w:val="24"/>
        </w:rPr>
        <w:t>National health service (</w:t>
      </w:r>
      <w:r w:rsidRPr="3DD26182">
        <w:rPr>
          <w:rFonts w:asciiTheme="majorHAnsi" w:hAnsiTheme="majorHAnsi"/>
          <w:sz w:val="24"/>
          <w:szCs w:val="24"/>
        </w:rPr>
        <w:t>NHS</w:t>
      </w:r>
      <w:r w:rsidR="34126361" w:rsidRPr="3DD26182">
        <w:rPr>
          <w:rFonts w:asciiTheme="majorHAnsi" w:hAnsiTheme="majorHAnsi"/>
          <w:sz w:val="24"/>
          <w:szCs w:val="24"/>
        </w:rPr>
        <w:t>)</w:t>
      </w:r>
      <w:r w:rsidRPr="3DD26182">
        <w:rPr>
          <w:rFonts w:asciiTheme="majorHAnsi" w:hAnsiTheme="majorHAnsi"/>
          <w:sz w:val="24"/>
          <w:szCs w:val="24"/>
        </w:rPr>
        <w:t xml:space="preserve"> and health and social care to provide effective treatment. During the recent pandemic, the NHS was forced to set up temporary health and social care facilities (Nightingale Hospitals) to increase hospital capacity. It also required the government to use the independent health care sector to ensure provision of access to sufficient treatment for non-COVID related conditions.</w:t>
      </w:r>
      <w:r w:rsidRPr="3DD26182">
        <w:rPr>
          <w:rFonts w:asciiTheme="majorHAnsi" w:hAnsiTheme="majorHAnsi"/>
          <w:color w:val="000000" w:themeColor="text1"/>
          <w:sz w:val="24"/>
          <w:szCs w:val="24"/>
        </w:rPr>
        <w:t xml:space="preserve"> (Daly, 2020) (Rosenthal et al.2023)</w:t>
      </w:r>
      <w:r w:rsidR="005D3703" w:rsidRPr="3DD26182">
        <w:rPr>
          <w:rFonts w:asciiTheme="majorHAnsi" w:hAnsiTheme="majorHAnsi"/>
          <w:color w:val="000000" w:themeColor="text1"/>
          <w:sz w:val="24"/>
          <w:szCs w:val="24"/>
        </w:rPr>
        <w:t>.</w:t>
      </w:r>
    </w:p>
    <w:p w14:paraId="59C42AC3" w14:textId="60B04AF8" w:rsidR="005D3703" w:rsidRPr="00E062B4" w:rsidRDefault="005D3703" w:rsidP="007204D7">
      <w:pPr>
        <w:jc w:val="both"/>
        <w:rPr>
          <w:rFonts w:asciiTheme="majorHAnsi" w:hAnsiTheme="majorHAnsi"/>
          <w:sz w:val="24"/>
          <w:szCs w:val="24"/>
        </w:rPr>
      </w:pPr>
      <w:r w:rsidRPr="3DD26182">
        <w:rPr>
          <w:rFonts w:asciiTheme="majorHAnsi" w:eastAsia="Times New Roman" w:hAnsiTheme="majorHAnsi"/>
          <w:color w:val="000000" w:themeColor="text1"/>
          <w:sz w:val="24"/>
          <w:szCs w:val="24"/>
        </w:rPr>
        <w:t xml:space="preserve">The purpose of the following paper is to evaluate the changes that are occurring in the NHS, health, and social care. Political objectives are driving these developments, which are accelerating because of the worldwide pandemic COVID-19. The UK has recently become an </w:t>
      </w:r>
      <w:r w:rsidR="004012AF" w:rsidRPr="6138D773">
        <w:rPr>
          <w:rFonts w:asciiTheme="majorHAnsi" w:eastAsia="Times New Roman" w:hAnsiTheme="majorHAnsi"/>
          <w:color w:val="000000" w:themeColor="text1"/>
          <w:sz w:val="24"/>
          <w:szCs w:val="24"/>
        </w:rPr>
        <w:t>ageing</w:t>
      </w:r>
      <w:r w:rsidRPr="3DD26182">
        <w:rPr>
          <w:rFonts w:asciiTheme="majorHAnsi" w:eastAsia="Times New Roman" w:hAnsiTheme="majorHAnsi"/>
          <w:color w:val="000000" w:themeColor="text1"/>
          <w:sz w:val="24"/>
          <w:szCs w:val="24"/>
        </w:rPr>
        <w:t xml:space="preserve"> nation, which has increased demand </w:t>
      </w:r>
      <w:r w:rsidR="03CC44C5" w:rsidRPr="3DD26182">
        <w:rPr>
          <w:rFonts w:asciiTheme="majorHAnsi" w:eastAsia="Times New Roman" w:hAnsiTheme="majorHAnsi"/>
          <w:color w:val="000000" w:themeColor="text1"/>
          <w:sz w:val="24"/>
          <w:szCs w:val="24"/>
        </w:rPr>
        <w:t>for</w:t>
      </w:r>
      <w:r w:rsidRPr="3DD26182">
        <w:rPr>
          <w:rFonts w:asciiTheme="majorHAnsi" w:eastAsia="Times New Roman" w:hAnsiTheme="majorHAnsi"/>
          <w:color w:val="000000" w:themeColor="text1"/>
          <w:sz w:val="24"/>
          <w:szCs w:val="24"/>
        </w:rPr>
        <w:t xml:space="preserve"> the health and social care system. The NHS has struggled to meet this demand because it is growing more expensive to operate as people live longer lives and face more complicated health conditions. As a result, the health and social care systems have been obliged to adapt quickly </w:t>
      </w:r>
      <w:r w:rsidR="215EE16B" w:rsidRPr="3DD26182">
        <w:rPr>
          <w:rFonts w:asciiTheme="majorHAnsi" w:eastAsia="Times New Roman" w:hAnsiTheme="majorHAnsi"/>
          <w:color w:val="000000" w:themeColor="text1"/>
          <w:sz w:val="24"/>
          <w:szCs w:val="24"/>
        </w:rPr>
        <w:t>to</w:t>
      </w:r>
      <w:r w:rsidRPr="3DD26182">
        <w:rPr>
          <w:rFonts w:asciiTheme="majorHAnsi" w:eastAsia="Times New Roman" w:hAnsiTheme="majorHAnsi"/>
          <w:color w:val="000000" w:themeColor="text1"/>
          <w:sz w:val="24"/>
          <w:szCs w:val="24"/>
        </w:rPr>
        <w:t xml:space="preserve"> meet rising demand</w:t>
      </w:r>
      <w:r w:rsidR="70FF6EAB" w:rsidRPr="3DD26182">
        <w:rPr>
          <w:rFonts w:ascii="Calibri" w:eastAsia="Calibri" w:hAnsi="Calibri" w:cs="Calibri"/>
          <w:sz w:val="24"/>
          <w:szCs w:val="24"/>
        </w:rPr>
        <w:t xml:space="preserve"> (Hutchins, 2020) (Coyle et al, 2021)</w:t>
      </w:r>
      <w:r w:rsidRPr="3DD26182">
        <w:rPr>
          <w:rFonts w:asciiTheme="majorHAnsi" w:eastAsia="Times New Roman" w:hAnsiTheme="majorHAnsi"/>
          <w:color w:val="000000" w:themeColor="text1"/>
          <w:sz w:val="24"/>
          <w:szCs w:val="24"/>
        </w:rPr>
        <w:t>.</w:t>
      </w:r>
    </w:p>
    <w:p w14:paraId="3D2E377E" w14:textId="77777777" w:rsidR="00111EA5" w:rsidRPr="00E062B4" w:rsidRDefault="00111EA5" w:rsidP="007204D7">
      <w:pPr>
        <w:jc w:val="both"/>
        <w:rPr>
          <w:rFonts w:asciiTheme="majorHAnsi" w:hAnsiTheme="majorHAnsi"/>
          <w:sz w:val="24"/>
          <w:szCs w:val="24"/>
        </w:rPr>
      </w:pPr>
    </w:p>
    <w:p w14:paraId="5E0942EB" w14:textId="77777777" w:rsidR="00111EA5" w:rsidRPr="00E062B4" w:rsidRDefault="00111EA5" w:rsidP="007204D7">
      <w:pPr>
        <w:jc w:val="both"/>
        <w:rPr>
          <w:rFonts w:asciiTheme="majorHAnsi" w:hAnsiTheme="majorHAnsi"/>
          <w:sz w:val="24"/>
          <w:szCs w:val="24"/>
        </w:rPr>
      </w:pPr>
    </w:p>
    <w:p w14:paraId="37A62814" w14:textId="69B1D970" w:rsidR="004D0A79" w:rsidRPr="00E062B4" w:rsidRDefault="004D0A79" w:rsidP="007204D7">
      <w:pPr>
        <w:pStyle w:val="Heading2"/>
        <w:jc w:val="both"/>
        <w:rPr>
          <w:b w:val="0"/>
          <w:bCs w:val="0"/>
          <w:sz w:val="24"/>
          <w:szCs w:val="24"/>
        </w:rPr>
      </w:pPr>
    </w:p>
    <w:p w14:paraId="07A66C4A" w14:textId="77777777" w:rsidR="000B5C51" w:rsidRDefault="000B5C51" w:rsidP="007204D7">
      <w:pPr>
        <w:jc w:val="both"/>
        <w:rPr>
          <w:rFonts w:asciiTheme="majorHAnsi" w:eastAsia="Times New Roman" w:hAnsiTheme="majorHAnsi"/>
          <w:color w:val="000000"/>
          <w:sz w:val="24"/>
          <w:szCs w:val="24"/>
        </w:rPr>
      </w:pPr>
    </w:p>
    <w:p w14:paraId="7C5C6A51" w14:textId="79C086AD" w:rsidR="004D0A79" w:rsidRPr="00E062B4" w:rsidRDefault="00D92E76" w:rsidP="007204D7">
      <w:pPr>
        <w:jc w:val="both"/>
        <w:rPr>
          <w:rFonts w:asciiTheme="majorHAnsi" w:hAnsiTheme="majorHAnsi"/>
          <w:sz w:val="24"/>
          <w:szCs w:val="24"/>
        </w:rPr>
      </w:pPr>
      <w:r w:rsidRPr="3DD26182">
        <w:rPr>
          <w:rFonts w:asciiTheme="majorHAnsi" w:eastAsia="Times New Roman" w:hAnsiTheme="majorHAnsi"/>
          <w:color w:val="000000" w:themeColor="text1"/>
          <w:sz w:val="24"/>
          <w:szCs w:val="24"/>
        </w:rPr>
        <w:t xml:space="preserve">The Bevan Commission, named after the NHS's founder, outlines a new strategy known as sensible healthcare for NHS Wales (Beck et al., 2022). This method seeks to bring about required reforms in the healthcare system. The panel recommends six areas of attention to help accomplish this transition. Williams (2022) TO, (2020) also assesses the existing and future status of NHS </w:t>
      </w:r>
      <w:r w:rsidR="6091621A" w:rsidRPr="3DD26182">
        <w:rPr>
          <w:rFonts w:asciiTheme="majorHAnsi" w:eastAsia="Times New Roman" w:hAnsiTheme="majorHAnsi"/>
          <w:color w:val="000000" w:themeColor="text1"/>
          <w:sz w:val="24"/>
          <w:szCs w:val="24"/>
        </w:rPr>
        <w:t>Wales. The</w:t>
      </w:r>
      <w:r w:rsidRPr="3DD26182">
        <w:rPr>
          <w:rFonts w:asciiTheme="majorHAnsi" w:eastAsia="Times New Roman" w:hAnsiTheme="majorHAnsi"/>
          <w:color w:val="000000" w:themeColor="text1"/>
          <w:sz w:val="24"/>
          <w:szCs w:val="24"/>
        </w:rPr>
        <w:t xml:space="preserve"> Bevan Commission's aim fits with the cautious approach presented in the Wanless report, commissioned by the Treasury in 2002.</w:t>
      </w:r>
      <w:r w:rsidRPr="3DD26182">
        <w:rPr>
          <w:rStyle w:val="apple-converted-space"/>
          <w:rFonts w:asciiTheme="majorHAnsi" w:eastAsia="Times New Roman" w:hAnsiTheme="majorHAnsi"/>
          <w:color w:val="000000" w:themeColor="text1"/>
          <w:sz w:val="24"/>
          <w:szCs w:val="24"/>
        </w:rPr>
        <w:t> </w:t>
      </w:r>
      <w:r w:rsidRPr="3DD26182">
        <w:rPr>
          <w:rFonts w:asciiTheme="majorHAnsi" w:hAnsiTheme="majorHAnsi"/>
          <w:sz w:val="24"/>
          <w:szCs w:val="24"/>
        </w:rPr>
        <w:t xml:space="preserve"> </w:t>
      </w:r>
      <w:r w:rsidR="00F81DC2" w:rsidRPr="3DD26182">
        <w:rPr>
          <w:rFonts w:asciiTheme="majorHAnsi" w:hAnsiTheme="majorHAnsi"/>
          <w:sz w:val="24"/>
          <w:szCs w:val="24"/>
        </w:rPr>
        <w:t xml:space="preserve">The principle emphasizes the importance of appropriate spending in healthcare. </w:t>
      </w:r>
      <w:r w:rsidR="55C98FC8" w:rsidRPr="3DD26182">
        <w:rPr>
          <w:rFonts w:asciiTheme="majorHAnsi" w:hAnsiTheme="majorHAnsi"/>
          <w:sz w:val="24"/>
          <w:szCs w:val="24"/>
        </w:rPr>
        <w:t>Bolton</w:t>
      </w:r>
      <w:r w:rsidR="0035759C" w:rsidRPr="3DD26182">
        <w:rPr>
          <w:rFonts w:asciiTheme="majorHAnsi" w:hAnsiTheme="majorHAnsi"/>
          <w:color w:val="000000" w:themeColor="text1"/>
          <w:sz w:val="24"/>
          <w:szCs w:val="24"/>
        </w:rPr>
        <w:t xml:space="preserve">, (2023) </w:t>
      </w:r>
      <w:r w:rsidR="00F81DC2" w:rsidRPr="3DD26182">
        <w:rPr>
          <w:rFonts w:asciiTheme="majorHAnsi" w:hAnsiTheme="majorHAnsi"/>
          <w:sz w:val="24"/>
          <w:szCs w:val="24"/>
        </w:rPr>
        <w:t>suggests that spending too much or too little is unfair. Currently, NHS Wales is spending £67 million beyond the budget outlined by the Welsh Assembly. This misallocation of funds needs to be addressed. It is vital to spend on services that benefit the public. One of the key sectors of action recommended by the Bevan Commission is focused on primary care. This involves shifting resources and activities to the community. For instance, integrated child health preschool programs can reduce the burden on middle-class families who currently spend excessive time and money on doctor visits. By providing such services for free, the rate of emergency admissions can be reduced. Another important sector is disinvestment</w:t>
      </w:r>
      <w:r w:rsidR="6670BE35" w:rsidRPr="3DD26182">
        <w:rPr>
          <w:rFonts w:asciiTheme="majorHAnsi" w:hAnsiTheme="majorHAnsi"/>
          <w:sz w:val="24"/>
          <w:szCs w:val="24"/>
        </w:rPr>
        <w:t>. The</w:t>
      </w:r>
      <w:r w:rsidR="00D941CC" w:rsidRPr="3DD26182">
        <w:rPr>
          <w:rFonts w:asciiTheme="majorHAnsi" w:hAnsiTheme="majorHAnsi"/>
          <w:sz w:val="24"/>
          <w:szCs w:val="24"/>
        </w:rPr>
        <w:t xml:space="preserve"> Bevan Commission highlights that NHS Wales lacks a culture of disinvestment</w:t>
      </w:r>
      <w:r w:rsidR="00D941CC" w:rsidRPr="3DD26182">
        <w:rPr>
          <w:rFonts w:asciiTheme="majorHAnsi" w:hAnsiTheme="majorHAnsi"/>
          <w:color w:val="000000" w:themeColor="text1"/>
          <w:sz w:val="24"/>
          <w:szCs w:val="24"/>
        </w:rPr>
        <w:t xml:space="preserve"> (Anderson et al.2021) (Parliament, 2021)</w:t>
      </w:r>
      <w:r w:rsidR="00D941CC" w:rsidRPr="3DD26182">
        <w:rPr>
          <w:rFonts w:asciiTheme="majorHAnsi" w:hAnsiTheme="majorHAnsi"/>
          <w:sz w:val="24"/>
          <w:szCs w:val="24"/>
        </w:rPr>
        <w:t xml:space="preserve">. To address this issue, the commission suggests establishing a national </w:t>
      </w:r>
      <w:r w:rsidR="14637064" w:rsidRPr="6138D773">
        <w:rPr>
          <w:rFonts w:asciiTheme="majorHAnsi" w:hAnsiTheme="majorHAnsi"/>
          <w:sz w:val="24"/>
          <w:szCs w:val="24"/>
        </w:rPr>
        <w:t>centre</w:t>
      </w:r>
      <w:r w:rsidR="00D941CC" w:rsidRPr="3DD26182">
        <w:rPr>
          <w:rFonts w:asciiTheme="majorHAnsi" w:hAnsiTheme="majorHAnsi"/>
          <w:sz w:val="24"/>
          <w:szCs w:val="24"/>
        </w:rPr>
        <w:t xml:space="preserve"> for disinvestment and implementing a systematic evaluation process for current and new practices. This approach is </w:t>
      </w:r>
      <w:r w:rsidR="69A7C77F" w:rsidRPr="3DD26182">
        <w:rPr>
          <w:rFonts w:asciiTheme="majorHAnsi" w:hAnsiTheme="majorHAnsi"/>
          <w:sz w:val="24"/>
          <w:szCs w:val="24"/>
        </w:rPr>
        <w:t>like</w:t>
      </w:r>
      <w:r w:rsidR="00D941CC" w:rsidRPr="3DD26182">
        <w:rPr>
          <w:rFonts w:asciiTheme="majorHAnsi" w:hAnsiTheme="majorHAnsi"/>
          <w:sz w:val="24"/>
          <w:szCs w:val="24"/>
        </w:rPr>
        <w:t xml:space="preserve"> the National Institute for Health and Care Excellence (NICE) method used in England. NICE helps determine the most effective treatments and care for patients. In summary, the Bevan Commission proposes a shift towards prudent healthcare in NHS Wales.</w:t>
      </w:r>
      <w:r w:rsidR="00FF5ACC" w:rsidRPr="3DD26182">
        <w:rPr>
          <w:rFonts w:asciiTheme="majorHAnsi" w:hAnsiTheme="majorHAnsi"/>
          <w:sz w:val="24"/>
          <w:szCs w:val="24"/>
        </w:rPr>
        <w:t xml:space="preserve"> </w:t>
      </w:r>
      <w:r w:rsidR="00C20265" w:rsidRPr="3DD26182">
        <w:rPr>
          <w:rFonts w:asciiTheme="majorHAnsi" w:eastAsia="Times New Roman" w:hAnsiTheme="majorHAnsi"/>
          <w:color w:val="000000" w:themeColor="text1"/>
          <w:sz w:val="24"/>
          <w:szCs w:val="24"/>
        </w:rPr>
        <w:t>It highlights areas that require attention and makes recommendations for change. By implementing these ideas, NHS Wales may optimist budget allocation, strengthen primary care services, and foster a culture of disinvestment, ensuring efficient and effective healthcare delivery. (Rawlings) (Hayward 2022) (Ifan et al., 2022). (ifan et al., 2020)</w:t>
      </w:r>
    </w:p>
    <w:p w14:paraId="0067AA94" w14:textId="63900A70" w:rsidR="004D0A79" w:rsidRPr="00E062B4" w:rsidRDefault="004D0A79" w:rsidP="007204D7">
      <w:pPr>
        <w:pStyle w:val="Heading2"/>
        <w:jc w:val="both"/>
        <w:rPr>
          <w:b w:val="0"/>
          <w:bCs w:val="0"/>
          <w:sz w:val="24"/>
          <w:szCs w:val="24"/>
        </w:rPr>
      </w:pPr>
    </w:p>
    <w:p w14:paraId="24079AB4" w14:textId="65D756CA" w:rsidR="004D0A79" w:rsidRPr="00E062B4" w:rsidRDefault="007C2CF9" w:rsidP="007204D7">
      <w:pPr>
        <w:jc w:val="both"/>
        <w:rPr>
          <w:rFonts w:asciiTheme="majorHAnsi" w:hAnsiTheme="majorHAnsi"/>
          <w:sz w:val="24"/>
          <w:szCs w:val="24"/>
        </w:rPr>
      </w:pPr>
      <w:r w:rsidRPr="657C8DC2">
        <w:rPr>
          <w:rFonts w:asciiTheme="majorHAnsi" w:hAnsiTheme="majorHAnsi"/>
          <w:color w:val="000000" w:themeColor="text1"/>
          <w:sz w:val="24"/>
          <w:szCs w:val="24"/>
        </w:rPr>
        <w:t xml:space="preserve">McLean &amp; Huf, (2020) Hodge Jr &amp; Piatt, (2021) </w:t>
      </w:r>
      <w:r w:rsidRPr="657C8DC2">
        <w:rPr>
          <w:rFonts w:asciiTheme="majorHAnsi" w:hAnsiTheme="majorHAnsi"/>
          <w:sz w:val="24"/>
          <w:szCs w:val="24"/>
        </w:rPr>
        <w:t xml:space="preserve">argued that the most profound changes to healthcare are within the legislative changes and policies that allowed these rapid circumventions of normal routine and services. The Covid-19 Act is the biggest suspension of legislative normality in any bill since the Second World War and allows temporary emergency powers in the event of a serious and imminent threat to public health or the provision of health services. However, the biggest changes are the removal of legislative rule following and public consultation in making changes to health services </w:t>
      </w:r>
      <w:r w:rsidRPr="657C8DC2">
        <w:rPr>
          <w:rFonts w:asciiTheme="majorHAnsi" w:hAnsiTheme="majorHAnsi"/>
          <w:sz w:val="24"/>
          <w:szCs w:val="24"/>
        </w:rPr>
        <w:lastRenderedPageBreak/>
        <w:t xml:space="preserve">and the ability to just 'switch on' changes in social care with minimum bureaucracy </w:t>
      </w:r>
      <w:r w:rsidRPr="657C8DC2">
        <w:rPr>
          <w:rFonts w:asciiTheme="majorHAnsi" w:hAnsiTheme="majorHAnsi"/>
          <w:color w:val="000000" w:themeColor="text1"/>
          <w:sz w:val="24"/>
          <w:szCs w:val="24"/>
        </w:rPr>
        <w:t>(Hodge et al.2023).</w:t>
      </w:r>
      <w:r w:rsidRPr="657C8DC2">
        <w:rPr>
          <w:rFonts w:asciiTheme="majorHAnsi" w:hAnsiTheme="majorHAnsi"/>
          <w:sz w:val="24"/>
          <w:szCs w:val="24"/>
        </w:rPr>
        <w:t xml:space="preserve"> </w:t>
      </w:r>
      <w:r w:rsidR="00637BE5" w:rsidRPr="657C8DC2">
        <w:rPr>
          <w:rFonts w:asciiTheme="majorHAnsi" w:eastAsia="Times New Roman" w:hAnsiTheme="majorHAnsi"/>
          <w:color w:val="000000" w:themeColor="text1"/>
          <w:sz w:val="24"/>
          <w:szCs w:val="24"/>
        </w:rPr>
        <w:t>These effects are critical because they allow for quick and fluid changes to the health service in unprecedented times, and a significant amount of policy change will be made for the integrated care agenda by NHSE and the NHS Long-term Plan, which does not require much public scrutiny or consultation and faces little opposition. These modifications have sparked conflicting reactions from the public. Some argue that health legislation has been overdue for reform from a pre-war paradigm, and that public consultation and bureaucracy have been too sluggish to effect change that impedes health development.</w:t>
      </w:r>
      <w:r w:rsidR="00637BE5" w:rsidRPr="657C8DC2">
        <w:rPr>
          <w:rStyle w:val="apple-converted-space"/>
          <w:rFonts w:asciiTheme="majorHAnsi" w:eastAsia="Times New Roman" w:hAnsiTheme="majorHAnsi"/>
          <w:color w:val="000000" w:themeColor="text1"/>
          <w:sz w:val="24"/>
          <w:szCs w:val="24"/>
        </w:rPr>
        <w:t> </w:t>
      </w:r>
      <w:r w:rsidR="00B931DE" w:rsidRPr="657C8DC2">
        <w:rPr>
          <w:rFonts w:asciiTheme="majorHAnsi" w:eastAsia="Times New Roman" w:hAnsiTheme="majorHAnsi"/>
          <w:color w:val="000000" w:themeColor="text1"/>
          <w:sz w:val="24"/>
          <w:szCs w:val="24"/>
        </w:rPr>
        <w:t xml:space="preserve"> </w:t>
      </w:r>
      <w:r w:rsidR="0006089B" w:rsidRPr="657C8DC2">
        <w:rPr>
          <w:rFonts w:asciiTheme="majorHAnsi" w:eastAsia="Times New Roman" w:hAnsiTheme="majorHAnsi"/>
          <w:color w:val="000000" w:themeColor="text1"/>
          <w:sz w:val="24"/>
          <w:szCs w:val="24"/>
        </w:rPr>
        <w:t xml:space="preserve">Davis et al. </w:t>
      </w:r>
      <w:r w:rsidR="008E3203" w:rsidRPr="657C8DC2">
        <w:rPr>
          <w:rFonts w:asciiTheme="majorHAnsi" w:eastAsia="Times New Roman" w:hAnsiTheme="majorHAnsi"/>
          <w:color w:val="000000" w:themeColor="text1"/>
          <w:sz w:val="24"/>
          <w:szCs w:val="24"/>
        </w:rPr>
        <w:t>(</w:t>
      </w:r>
      <w:r w:rsidR="0006089B" w:rsidRPr="657C8DC2">
        <w:rPr>
          <w:rFonts w:asciiTheme="majorHAnsi" w:eastAsia="Times New Roman" w:hAnsiTheme="majorHAnsi"/>
          <w:color w:val="000000" w:themeColor="text1"/>
          <w:sz w:val="24"/>
          <w:szCs w:val="24"/>
        </w:rPr>
        <w:t>2023)</w:t>
      </w:r>
      <w:r w:rsidR="00E51788" w:rsidRPr="657C8DC2">
        <w:rPr>
          <w:rFonts w:asciiTheme="majorHAnsi" w:eastAsia="Times New Roman" w:hAnsiTheme="majorHAnsi"/>
          <w:color w:val="000000" w:themeColor="text1"/>
          <w:sz w:val="24"/>
          <w:szCs w:val="24"/>
        </w:rPr>
        <w:t xml:space="preserve"> </w:t>
      </w:r>
      <w:r w:rsidR="0006089B" w:rsidRPr="657C8DC2">
        <w:rPr>
          <w:rFonts w:asciiTheme="majorHAnsi" w:eastAsia="Times New Roman" w:hAnsiTheme="majorHAnsi"/>
          <w:color w:val="000000" w:themeColor="text1"/>
          <w:sz w:val="24"/>
          <w:szCs w:val="24"/>
        </w:rPr>
        <w:t>Thomson and Ip, (2020</w:t>
      </w:r>
      <w:r w:rsidR="0006089B" w:rsidRPr="657C8DC2">
        <w:rPr>
          <w:rFonts w:asciiTheme="majorHAnsi" w:hAnsiTheme="majorHAnsi"/>
          <w:sz w:val="24"/>
          <w:szCs w:val="24"/>
        </w:rPr>
        <w:t>)</w:t>
      </w:r>
      <w:r w:rsidR="0006089B" w:rsidRPr="657C8DC2">
        <w:rPr>
          <w:rFonts w:asciiTheme="majorHAnsi" w:eastAsia="Times New Roman" w:hAnsiTheme="majorHAnsi"/>
          <w:color w:val="000000" w:themeColor="text1"/>
          <w:sz w:val="24"/>
          <w:szCs w:val="24"/>
        </w:rPr>
        <w:t xml:space="preserve"> </w:t>
      </w:r>
      <w:r w:rsidR="008E3203" w:rsidRPr="657C8DC2">
        <w:rPr>
          <w:rFonts w:asciiTheme="majorHAnsi" w:eastAsia="Times New Roman" w:hAnsiTheme="majorHAnsi"/>
          <w:color w:val="000000" w:themeColor="text1"/>
          <w:sz w:val="24"/>
          <w:szCs w:val="24"/>
        </w:rPr>
        <w:t xml:space="preserve">say </w:t>
      </w:r>
      <w:r w:rsidR="0006089B" w:rsidRPr="657C8DC2">
        <w:rPr>
          <w:rFonts w:asciiTheme="majorHAnsi" w:eastAsia="Times New Roman" w:hAnsiTheme="majorHAnsi"/>
          <w:color w:val="000000" w:themeColor="text1"/>
          <w:sz w:val="24"/>
          <w:szCs w:val="24"/>
        </w:rPr>
        <w:t>there</w:t>
      </w:r>
      <w:r w:rsidR="00B931DE" w:rsidRPr="657C8DC2">
        <w:rPr>
          <w:rFonts w:asciiTheme="majorHAnsi" w:eastAsia="Times New Roman" w:hAnsiTheme="majorHAnsi"/>
          <w:color w:val="000000" w:themeColor="text1"/>
          <w:sz w:val="24"/>
          <w:szCs w:val="24"/>
        </w:rPr>
        <w:t xml:space="preserve"> </w:t>
      </w:r>
      <w:r w:rsidR="008E3203" w:rsidRPr="657C8DC2">
        <w:rPr>
          <w:rFonts w:asciiTheme="majorHAnsi" w:eastAsia="Times New Roman" w:hAnsiTheme="majorHAnsi"/>
          <w:color w:val="000000" w:themeColor="text1"/>
          <w:sz w:val="24"/>
          <w:szCs w:val="24"/>
        </w:rPr>
        <w:t>are</w:t>
      </w:r>
      <w:r w:rsidR="00B931DE" w:rsidRPr="657C8DC2">
        <w:rPr>
          <w:rFonts w:asciiTheme="majorHAnsi" w:eastAsia="Times New Roman" w:hAnsiTheme="majorHAnsi"/>
          <w:color w:val="000000" w:themeColor="text1"/>
          <w:sz w:val="24"/>
          <w:szCs w:val="24"/>
        </w:rPr>
        <w:t xml:space="preserve"> room for </w:t>
      </w:r>
      <w:r w:rsidR="7A43B48D" w:rsidRPr="657C8DC2">
        <w:rPr>
          <w:rFonts w:asciiTheme="majorHAnsi" w:eastAsia="Times New Roman" w:hAnsiTheme="majorHAnsi"/>
          <w:color w:val="000000" w:themeColor="text1"/>
          <w:sz w:val="24"/>
          <w:szCs w:val="24"/>
        </w:rPr>
        <w:t>abuse</w:t>
      </w:r>
      <w:r w:rsidR="00B931DE" w:rsidRPr="657C8DC2">
        <w:rPr>
          <w:rFonts w:asciiTheme="majorHAnsi" w:eastAsia="Times New Roman" w:hAnsiTheme="majorHAnsi"/>
          <w:color w:val="000000" w:themeColor="text1"/>
          <w:sz w:val="24"/>
          <w:szCs w:val="24"/>
        </w:rPr>
        <w:t xml:space="preserve"> of power with less control and a sudden array of many uncoordinated modifications to health services, which are rigorously policed by the medical professional community for fear of future ramifications under Covid-19.</w:t>
      </w:r>
    </w:p>
    <w:p w14:paraId="07A4B8A2" w14:textId="5BC260DC" w:rsidR="00235DE0" w:rsidRPr="00E062B4" w:rsidRDefault="002D4F39" w:rsidP="007204D7">
      <w:pPr>
        <w:jc w:val="both"/>
        <w:rPr>
          <w:rStyle w:val="apple-converted-space"/>
          <w:rFonts w:asciiTheme="majorHAnsi" w:eastAsia="Times New Roman" w:hAnsiTheme="majorHAnsi"/>
          <w:color w:val="000000"/>
          <w:sz w:val="24"/>
          <w:szCs w:val="24"/>
        </w:rPr>
      </w:pPr>
      <w:r w:rsidRPr="657C8DC2">
        <w:rPr>
          <w:rFonts w:asciiTheme="majorHAnsi" w:eastAsia="Times New Roman" w:hAnsiTheme="majorHAnsi"/>
          <w:color w:val="000000" w:themeColor="text1"/>
          <w:sz w:val="24"/>
          <w:szCs w:val="24"/>
        </w:rPr>
        <w:t xml:space="preserve">Søreide et al. (2020) found that delaying or cancelling scheduled procedures and treatments in primary and secondary care improved the ability to admit Covid-19 patients and decreased hospital visits. This entails delaying the first year of the two-year DES (Directed Enhanced Service) contract for early cancer diagnosis with general practitioners. Services for mental health treatment have also changed significantly; in the future, </w:t>
      </w:r>
      <w:r w:rsidR="4AA0F249" w:rsidRPr="657C8DC2">
        <w:rPr>
          <w:rFonts w:asciiTheme="majorHAnsi" w:eastAsia="Times New Roman" w:hAnsiTheme="majorHAnsi"/>
          <w:color w:val="000000" w:themeColor="text1"/>
          <w:sz w:val="24"/>
          <w:szCs w:val="24"/>
        </w:rPr>
        <w:t>it is</w:t>
      </w:r>
      <w:r w:rsidRPr="657C8DC2">
        <w:rPr>
          <w:rFonts w:asciiTheme="majorHAnsi" w:eastAsia="Times New Roman" w:hAnsiTheme="majorHAnsi"/>
          <w:color w:val="000000" w:themeColor="text1"/>
          <w:sz w:val="24"/>
          <w:szCs w:val="24"/>
        </w:rPr>
        <w:t xml:space="preserve"> possible that large-scale digital IAPT services and remote consultations may become more common (Rovers et al., 2022). The national strategy has also included changes in disease control, air quality, and a healthier population by reducing alcohol use, smoking, and obesity. These outcomes are anticipated to have long-term positive effects on the health of our people.</w:t>
      </w:r>
    </w:p>
    <w:p w14:paraId="7EC644D5" w14:textId="3C20EDFC" w:rsidR="00AC430E" w:rsidRPr="00E062B4" w:rsidRDefault="00235DE0" w:rsidP="007204D7">
      <w:pPr>
        <w:jc w:val="both"/>
        <w:rPr>
          <w:rStyle w:val="apple-converted-space"/>
          <w:rFonts w:asciiTheme="majorHAnsi" w:eastAsia="Times New Roman" w:hAnsiTheme="majorHAnsi"/>
          <w:color w:val="000000"/>
          <w:sz w:val="24"/>
          <w:szCs w:val="24"/>
        </w:rPr>
      </w:pPr>
      <w:r w:rsidRPr="6138D773">
        <w:rPr>
          <w:rFonts w:asciiTheme="majorHAnsi" w:eastAsia="Times New Roman" w:hAnsiTheme="majorHAnsi"/>
          <w:color w:val="000000" w:themeColor="text1"/>
          <w:sz w:val="24"/>
          <w:szCs w:val="24"/>
        </w:rPr>
        <w:t>Life course impacts and QALY (Quality Adjusted Life Year) estimations, which are commonly used in health economics to assess the cost-effectiveness of health investment and allocation, have been used to model the effects of lockdown on health, economic damage, mortality incurred to prevent the NHS from being overwhelmed, and the strictness of shielding to individuals (Teckie et al., 2021). (Riera et al., 2021). Future policy decisions will benefit even more from the use of these models.</w:t>
      </w:r>
    </w:p>
    <w:p w14:paraId="0C092E69" w14:textId="05FADCC7" w:rsidR="008A3AFB" w:rsidRPr="00E062B4" w:rsidRDefault="008F16C7" w:rsidP="007204D7">
      <w:pPr>
        <w:jc w:val="both"/>
        <w:rPr>
          <w:rFonts w:asciiTheme="majorHAnsi" w:hAnsiTheme="majorHAnsi"/>
          <w:color w:val="000000"/>
          <w:sz w:val="24"/>
          <w:szCs w:val="24"/>
        </w:rPr>
      </w:pPr>
      <w:r w:rsidRPr="657C8DC2">
        <w:rPr>
          <w:rFonts w:asciiTheme="majorHAnsi" w:eastAsia="Times New Roman" w:hAnsiTheme="majorHAnsi"/>
          <w:color w:val="000000" w:themeColor="text1"/>
          <w:sz w:val="24"/>
          <w:szCs w:val="24"/>
        </w:rPr>
        <w:t xml:space="preserve">According to Dube et al. (2022) (Davies et al., (2020), reactions to Covid-19 have taken several shapes, ranging from changes in commissioning patterns to changes in hospital capacity and changes in the style and location of healthcare delivery. The initial effects of lockdown transformed healthcare in unprecedented ways. To meet with a probable rise in Covid-19-related admissions, NHS capacity has been rapidly boosted. A combined national effort between the NHS and the private sector resulted in the availability of 33,000 acute hospital beds. For the </w:t>
      </w:r>
      <w:r w:rsidR="092E34AF" w:rsidRPr="657C8DC2">
        <w:rPr>
          <w:rFonts w:asciiTheme="majorHAnsi" w:eastAsia="Times New Roman" w:hAnsiTheme="majorHAnsi"/>
          <w:color w:val="000000" w:themeColor="text1"/>
          <w:sz w:val="24"/>
          <w:szCs w:val="24"/>
        </w:rPr>
        <w:t>public</w:t>
      </w:r>
      <w:r w:rsidRPr="657C8DC2">
        <w:rPr>
          <w:rFonts w:asciiTheme="majorHAnsi" w:eastAsia="Times New Roman" w:hAnsiTheme="majorHAnsi"/>
          <w:color w:val="000000" w:themeColor="text1"/>
          <w:sz w:val="24"/>
          <w:szCs w:val="24"/>
        </w:rPr>
        <w:t>, there were also quick changes in provision.</w:t>
      </w:r>
    </w:p>
    <w:p w14:paraId="04DC11C9" w14:textId="77777777" w:rsidR="00914DF5" w:rsidRDefault="00914DF5" w:rsidP="007204D7">
      <w:pPr>
        <w:jc w:val="both"/>
        <w:rPr>
          <w:rFonts w:asciiTheme="majorHAnsi" w:hAnsiTheme="majorHAnsi"/>
          <w:color w:val="000000"/>
          <w:sz w:val="24"/>
          <w:szCs w:val="24"/>
        </w:rPr>
      </w:pPr>
    </w:p>
    <w:p w14:paraId="352E0942" w14:textId="2C6F7938" w:rsidR="004D0A79" w:rsidRPr="00E062B4" w:rsidRDefault="5BC5B5B0" w:rsidP="007204D7">
      <w:pPr>
        <w:jc w:val="both"/>
        <w:rPr>
          <w:rFonts w:asciiTheme="majorHAnsi" w:hAnsiTheme="majorHAnsi"/>
          <w:sz w:val="24"/>
          <w:szCs w:val="24"/>
        </w:rPr>
      </w:pPr>
      <w:r w:rsidRPr="657C8DC2">
        <w:rPr>
          <w:rFonts w:asciiTheme="majorHAnsi" w:eastAsia="Times New Roman" w:hAnsiTheme="majorHAnsi"/>
          <w:color w:val="000000" w:themeColor="text1"/>
          <w:sz w:val="24"/>
          <w:szCs w:val="24"/>
        </w:rPr>
        <w:lastRenderedPageBreak/>
        <w:t>All</w:t>
      </w:r>
      <w:r w:rsidR="006A2713" w:rsidRPr="657C8DC2">
        <w:rPr>
          <w:rFonts w:asciiTheme="majorHAnsi" w:eastAsia="Times New Roman" w:hAnsiTheme="majorHAnsi"/>
          <w:color w:val="000000" w:themeColor="text1"/>
          <w:sz w:val="24"/>
          <w:szCs w:val="24"/>
        </w:rPr>
        <w:t xml:space="preserve"> these changes in the NHS, particularly cost-cutting initiatives, may have an impact on the future workforce and how healthcare is delivered. Hoddinott (2023) the research of Stein (2022), Thomas, and Quilter-Pinner (2020), the NHS will require 30,000 more </w:t>
      </w:r>
      <w:r w:rsidR="0C89E489" w:rsidRPr="657C8DC2">
        <w:rPr>
          <w:rFonts w:asciiTheme="majorHAnsi" w:eastAsia="Times New Roman" w:hAnsiTheme="majorHAnsi"/>
          <w:color w:val="000000" w:themeColor="text1"/>
          <w:sz w:val="24"/>
          <w:szCs w:val="24"/>
        </w:rPr>
        <w:t>GPs (general practitioners)</w:t>
      </w:r>
      <w:r w:rsidR="006A2713" w:rsidRPr="657C8DC2">
        <w:rPr>
          <w:rFonts w:asciiTheme="majorHAnsi" w:eastAsia="Times New Roman" w:hAnsiTheme="majorHAnsi"/>
          <w:color w:val="000000" w:themeColor="text1"/>
          <w:sz w:val="24"/>
          <w:szCs w:val="24"/>
        </w:rPr>
        <w:t xml:space="preserve">, doctor specialists, and 100,000 more professionally certified workers during the next ten years. This will be challenging given the recent reduction </w:t>
      </w:r>
      <w:r w:rsidR="20A31595" w:rsidRPr="657C8DC2">
        <w:rPr>
          <w:rFonts w:asciiTheme="majorHAnsi" w:eastAsia="Times New Roman" w:hAnsiTheme="majorHAnsi"/>
          <w:color w:val="000000" w:themeColor="text1"/>
          <w:sz w:val="24"/>
          <w:szCs w:val="24"/>
        </w:rPr>
        <w:t>in</w:t>
      </w:r>
      <w:r w:rsidR="006A2713" w:rsidRPr="657C8DC2">
        <w:rPr>
          <w:rFonts w:asciiTheme="majorHAnsi" w:eastAsia="Times New Roman" w:hAnsiTheme="majorHAnsi"/>
          <w:color w:val="000000" w:themeColor="text1"/>
          <w:sz w:val="24"/>
          <w:szCs w:val="24"/>
        </w:rPr>
        <w:t xml:space="preserve"> the NHS funding. The Department of Health will need to guarantee that there are enough physicians to lead the commissioning consortia, as the law says that only general practitioners are to take on these leadership responsibilities.</w:t>
      </w:r>
      <w:r w:rsidR="006A2713" w:rsidRPr="657C8DC2">
        <w:rPr>
          <w:rStyle w:val="apple-converted-space"/>
          <w:rFonts w:asciiTheme="majorHAnsi" w:eastAsia="Times New Roman" w:hAnsiTheme="majorHAnsi"/>
          <w:color w:val="000000" w:themeColor="text1"/>
          <w:sz w:val="24"/>
          <w:szCs w:val="24"/>
        </w:rPr>
        <w:t> </w:t>
      </w:r>
      <w:r w:rsidR="006A2713" w:rsidRPr="657C8DC2">
        <w:rPr>
          <w:rFonts w:asciiTheme="majorHAnsi" w:hAnsiTheme="majorHAnsi"/>
          <w:sz w:val="24"/>
          <w:szCs w:val="24"/>
        </w:rPr>
        <w:t xml:space="preserve"> </w:t>
      </w:r>
      <w:r w:rsidR="00877830" w:rsidRPr="657C8DC2">
        <w:rPr>
          <w:rFonts w:asciiTheme="majorHAnsi" w:eastAsia="Times New Roman" w:hAnsiTheme="majorHAnsi"/>
          <w:color w:val="000000" w:themeColor="text1"/>
          <w:sz w:val="24"/>
          <w:szCs w:val="24"/>
        </w:rPr>
        <w:t xml:space="preserve">In the words of Patel et al. (Smith et al., 2021), this might put pressure on secondary care doctors to transition into General Practice at a time when hospitals are already experiencing a consultant and staff shortage. The widespread use of GPs and GP-led services is supposed to give </w:t>
      </w:r>
      <w:r w:rsidR="11C23AC3" w:rsidRPr="657C8DC2">
        <w:rPr>
          <w:rFonts w:asciiTheme="majorHAnsi" w:eastAsia="Times New Roman" w:hAnsiTheme="majorHAnsi"/>
          <w:color w:val="000000" w:themeColor="text1"/>
          <w:sz w:val="24"/>
          <w:szCs w:val="24"/>
        </w:rPr>
        <w:t>patients</w:t>
      </w:r>
      <w:r w:rsidR="00877830" w:rsidRPr="657C8DC2">
        <w:rPr>
          <w:rFonts w:asciiTheme="majorHAnsi" w:eastAsia="Times New Roman" w:hAnsiTheme="majorHAnsi"/>
          <w:color w:val="000000" w:themeColor="text1"/>
          <w:sz w:val="24"/>
          <w:szCs w:val="24"/>
        </w:rPr>
        <w:t xml:space="preserve"> additional healthcare options while avoiding needless hospital stays. This could only happen if the proposed increase occurs, and there is insufficient evidence to support increasing the </w:t>
      </w:r>
      <w:r w:rsidR="6E698291" w:rsidRPr="657C8DC2">
        <w:rPr>
          <w:rFonts w:asciiTheme="majorHAnsi" w:eastAsia="Times New Roman" w:hAnsiTheme="majorHAnsi"/>
          <w:color w:val="000000" w:themeColor="text1"/>
          <w:sz w:val="24"/>
          <w:szCs w:val="24"/>
        </w:rPr>
        <w:t>GP (general practitioners) (general practitioners)</w:t>
      </w:r>
      <w:r w:rsidR="00877830" w:rsidRPr="657C8DC2">
        <w:rPr>
          <w:rFonts w:asciiTheme="majorHAnsi" w:eastAsia="Times New Roman" w:hAnsiTheme="majorHAnsi"/>
          <w:color w:val="000000" w:themeColor="text1"/>
          <w:sz w:val="24"/>
          <w:szCs w:val="24"/>
        </w:rPr>
        <w:t xml:space="preserve"> workforce.</w:t>
      </w:r>
      <w:r w:rsidR="00877830" w:rsidRPr="657C8DC2">
        <w:rPr>
          <w:rStyle w:val="apple-converted-space"/>
          <w:rFonts w:asciiTheme="majorHAnsi" w:eastAsia="Times New Roman" w:hAnsiTheme="majorHAnsi"/>
          <w:color w:val="000000" w:themeColor="text1"/>
          <w:sz w:val="24"/>
          <w:szCs w:val="24"/>
        </w:rPr>
        <w:t> </w:t>
      </w:r>
      <w:r w:rsidR="004E7B30" w:rsidRPr="657C8DC2">
        <w:rPr>
          <w:rFonts w:asciiTheme="majorHAnsi" w:hAnsiTheme="majorHAnsi"/>
          <w:color w:val="000000" w:themeColor="text1"/>
          <w:sz w:val="24"/>
          <w:szCs w:val="24"/>
        </w:rPr>
        <w:t xml:space="preserve"> </w:t>
      </w:r>
      <w:r w:rsidR="001D1688" w:rsidRPr="657C8DC2">
        <w:rPr>
          <w:rFonts w:asciiTheme="majorHAnsi" w:eastAsia="Times New Roman" w:hAnsiTheme="majorHAnsi"/>
          <w:color w:val="000000" w:themeColor="text1"/>
          <w:sz w:val="24"/>
          <w:szCs w:val="24"/>
        </w:rPr>
        <w:t>Simulation studies have shown that an infusion of money into primary care can boost demand for GPs in the near term, but it may not have a significant influence on the total supply of GPs unless there are targeted improvements in GP recruitment and training. This shows that increasing GP numbers may not be as simple as it appears (Davies et al.2022, Palmer et al.2024).</w:t>
      </w:r>
    </w:p>
    <w:p w14:paraId="4225F900" w14:textId="6C2F11C3" w:rsidR="004D0A79" w:rsidRPr="00E062B4" w:rsidRDefault="00741BFF" w:rsidP="007204D7">
      <w:pPr>
        <w:jc w:val="both"/>
        <w:rPr>
          <w:rFonts w:asciiTheme="majorHAnsi" w:hAnsiTheme="majorHAnsi"/>
          <w:sz w:val="24"/>
          <w:szCs w:val="24"/>
        </w:rPr>
      </w:pPr>
      <w:r w:rsidRPr="00E062B4">
        <w:rPr>
          <w:rFonts w:asciiTheme="majorHAnsi" w:hAnsiTheme="majorHAnsi"/>
          <w:sz w:val="24"/>
          <w:szCs w:val="24"/>
        </w:rPr>
        <w:t>It is also worth considering how the changes in the NHS will affect the roles of staff and potential shortages in the future. One of the biggest changes in the NHS is the decision to abolish PCTs and make GPs responsible for commissioning services</w:t>
      </w:r>
      <w:r w:rsidRPr="6138D773">
        <w:rPr>
          <w:rFonts w:asciiTheme="majorHAnsi" w:hAnsiTheme="majorHAnsi"/>
          <w:color w:val="000000" w:themeColor="text1"/>
          <w:sz w:val="24"/>
          <w:szCs w:val="24"/>
        </w:rPr>
        <w:t xml:space="preserve"> (Jones &amp; Jenkins2021)</w:t>
      </w:r>
      <w:r w:rsidRPr="00E062B4">
        <w:rPr>
          <w:rFonts w:asciiTheme="majorHAnsi" w:hAnsiTheme="majorHAnsi"/>
          <w:sz w:val="24"/>
          <w:szCs w:val="24"/>
        </w:rPr>
        <w:t>. GP practices will be given a budget to commission services for local people from any willing provider. This is a key point as it is still uncertain whether GPs will be able to handle these funds effectively.</w:t>
      </w:r>
      <w:r w:rsidR="000E1BB7" w:rsidRPr="6138D773">
        <w:rPr>
          <w:rFonts w:asciiTheme="majorHAnsi" w:eastAsia="Times New Roman" w:hAnsiTheme="majorHAnsi"/>
          <w:color w:val="000000" w:themeColor="text1"/>
          <w:sz w:val="24"/>
          <w:szCs w:val="24"/>
        </w:rPr>
        <w:t xml:space="preserve"> Evidence from the past reveals that when GPs were given comparable responsibilities for fund holding, they were unable to successfully oversee the money, and many returned to the PCT for management assistance. Although fund holding had positive results in terms of minimising non-elective hospitalisations and outpatient referrals, GPs admitted to lacking knowledge in this area of practice. This is concerning for the future since it may result in financial deficits for some practices and may lead to GPs using money from their own salary to support services (Cosford, 2021) (Coleman et al.2020).</w:t>
      </w:r>
    </w:p>
    <w:p w14:paraId="45CE5CED" w14:textId="2E18CEAC" w:rsidR="004D0A79" w:rsidRPr="00E062B4" w:rsidRDefault="004D0A79" w:rsidP="007204D7">
      <w:pPr>
        <w:pStyle w:val="Heading2"/>
        <w:jc w:val="both"/>
        <w:rPr>
          <w:b w:val="0"/>
          <w:bCs w:val="0"/>
          <w:sz w:val="24"/>
          <w:szCs w:val="24"/>
        </w:rPr>
      </w:pPr>
    </w:p>
    <w:p w14:paraId="18CFC777" w14:textId="5908F99B" w:rsidR="004D0A79" w:rsidRPr="00E062B4" w:rsidRDefault="00C31C1A" w:rsidP="007204D7">
      <w:pPr>
        <w:jc w:val="both"/>
        <w:rPr>
          <w:rFonts w:asciiTheme="majorHAnsi" w:hAnsiTheme="majorHAnsi"/>
          <w:sz w:val="24"/>
          <w:szCs w:val="24"/>
        </w:rPr>
      </w:pPr>
      <w:r w:rsidRPr="657C8DC2">
        <w:rPr>
          <w:rFonts w:asciiTheme="majorHAnsi" w:eastAsia="Times New Roman" w:hAnsiTheme="majorHAnsi"/>
          <w:color w:val="000000" w:themeColor="text1"/>
          <w:sz w:val="24"/>
          <w:szCs w:val="24"/>
        </w:rPr>
        <w:t xml:space="preserve">As stated by Mangubhai et al. (2020), primary care has traditionally been seen as the cornerstone of the NHS, with appropriate money dedicated to services in recent years. However, the GP's function is always shifting, as seen by the changing goals and services provided in primary care. With the establishment of clinical commissioning groups </w:t>
      </w:r>
      <w:r w:rsidRPr="657C8DC2">
        <w:rPr>
          <w:rFonts w:asciiTheme="majorHAnsi" w:eastAsia="Times New Roman" w:hAnsiTheme="majorHAnsi"/>
          <w:color w:val="000000" w:themeColor="text1"/>
          <w:sz w:val="24"/>
          <w:szCs w:val="24"/>
        </w:rPr>
        <w:lastRenderedPageBreak/>
        <w:t>(CCGs), general practitioners (GPs) are becoming more involved in local resource allocation and service supply decisions (Damarell et al., 2020).</w:t>
      </w:r>
      <w:r w:rsidRPr="657C8DC2">
        <w:rPr>
          <w:rStyle w:val="apple-converted-space"/>
          <w:rFonts w:asciiTheme="majorHAnsi" w:eastAsia="Times New Roman" w:hAnsiTheme="majorHAnsi"/>
          <w:color w:val="000000" w:themeColor="text1"/>
          <w:sz w:val="24"/>
          <w:szCs w:val="24"/>
        </w:rPr>
        <w:t> </w:t>
      </w:r>
      <w:r w:rsidRPr="657C8DC2">
        <w:rPr>
          <w:rFonts w:asciiTheme="majorHAnsi" w:hAnsiTheme="majorHAnsi"/>
          <w:sz w:val="24"/>
          <w:szCs w:val="24"/>
        </w:rPr>
        <w:t xml:space="preserve"> </w:t>
      </w:r>
      <w:r w:rsidR="00096810" w:rsidRPr="657C8DC2">
        <w:rPr>
          <w:rFonts w:asciiTheme="majorHAnsi" w:hAnsiTheme="majorHAnsi"/>
          <w:sz w:val="24"/>
          <w:szCs w:val="24"/>
        </w:rPr>
        <w:t>There has been a shift of emphasis from providing purely medical services to considering the health of the local population and GPs are now more involved with public health initiatives and community development. This movement has been accelerated by the COVID-19 pandemic with the emphasis on reducing risk factors and ensuring the wellbeing of individuals to protect them from the virus. An example of this is maintaining services for smoking cessation and increasing provision of social prescribing to address social determinants of health. The GP Forward View and the Five-Year NHS Plan have outlined ambitions to further increase the GP workforce and the proportion of funding in primary care.</w:t>
      </w:r>
      <w:r w:rsidR="003A7255" w:rsidRPr="657C8DC2">
        <w:rPr>
          <w:rFonts w:asciiTheme="majorHAnsi" w:hAnsiTheme="majorHAnsi"/>
          <w:sz w:val="24"/>
          <w:szCs w:val="24"/>
        </w:rPr>
        <w:t xml:space="preserve"> This will include increased multidisciplinary teams working in primary care with a focus on recruiting more nurses, physician associates and community paramedics to complement the work of the GP as well as individuals working in new roles to assist with care navigation and social prescribing </w:t>
      </w:r>
      <w:r w:rsidR="003A7255" w:rsidRPr="657C8DC2">
        <w:rPr>
          <w:rFonts w:asciiTheme="majorHAnsi" w:hAnsiTheme="majorHAnsi"/>
          <w:color w:val="000000" w:themeColor="text1"/>
          <w:sz w:val="24"/>
          <w:szCs w:val="24"/>
        </w:rPr>
        <w:t>Ordu (et al.2021) (Rhee et al.2020)</w:t>
      </w:r>
      <w:r w:rsidR="5886F5C3" w:rsidRPr="657C8DC2">
        <w:rPr>
          <w:rFonts w:asciiTheme="majorHAnsi" w:hAnsiTheme="majorHAnsi"/>
          <w:color w:val="000000" w:themeColor="text1"/>
          <w:sz w:val="24"/>
          <w:szCs w:val="24"/>
        </w:rPr>
        <w:t xml:space="preserve">. </w:t>
      </w:r>
      <w:r w:rsidR="003A7255" w:rsidRPr="657C8DC2">
        <w:rPr>
          <w:rFonts w:asciiTheme="majorHAnsi" w:hAnsiTheme="majorHAnsi"/>
          <w:sz w:val="24"/>
          <w:szCs w:val="24"/>
        </w:rPr>
        <w:t>The increase in funding and staffing in primary care and the subsequent increase in service provision will have implications on reducing health inequalities and pressure on secondary care services</w:t>
      </w:r>
      <w:r w:rsidR="0048323C" w:rsidRPr="657C8DC2">
        <w:rPr>
          <w:rFonts w:asciiTheme="majorHAnsi" w:eastAsia="Times New Roman" w:hAnsiTheme="majorHAnsi"/>
          <w:color w:val="000000" w:themeColor="text1"/>
          <w:sz w:val="24"/>
          <w:szCs w:val="24"/>
        </w:rPr>
        <w:t xml:space="preserve"> Given the increased cost of hospital treatment to the NHS, it is envisaged that investments in GP and community services would result in long-term cost reductions. An increase in diabetes patient care with the goal of lowering hospitalisations owing to poor disease management is one example of where there may be potential cost savings (O'Cathain et al., 2020) (McDerby et al.2020) (Amador-Fernández et al.2023).</w:t>
      </w:r>
      <w:r w:rsidR="003A7255" w:rsidRPr="6138D773">
        <w:rPr>
          <w:rFonts w:asciiTheme="majorHAnsi" w:eastAsia="Times New Roman" w:hAnsiTheme="majorHAnsi"/>
          <w:color w:val="000000" w:themeColor="text1"/>
          <w:sz w:val="24"/>
          <w:szCs w:val="24"/>
        </w:rPr>
        <w:t xml:space="preserve"> </w:t>
      </w:r>
      <w:r w:rsidR="001B0BB7" w:rsidRPr="657C8DC2">
        <w:rPr>
          <w:rFonts w:asciiTheme="majorHAnsi" w:eastAsia="Times New Roman" w:hAnsiTheme="majorHAnsi"/>
          <w:color w:val="000000" w:themeColor="text1"/>
          <w:sz w:val="24"/>
          <w:szCs w:val="24"/>
        </w:rPr>
        <w:t>An increase in diabetes patient care with the goal of lowering hospitalisations owing to poor disease management is one example of where there may be potential cost savings (O'Cathain et al., 2020) (McDerby et al., 2020) (Amador-Fernández et al., 2023).</w:t>
      </w:r>
      <w:r w:rsidR="001B0BB7" w:rsidRPr="657C8DC2">
        <w:rPr>
          <w:rStyle w:val="apple-converted-space"/>
          <w:rFonts w:asciiTheme="majorHAnsi" w:eastAsia="Times New Roman" w:hAnsiTheme="majorHAnsi"/>
          <w:color w:val="000000" w:themeColor="text1"/>
          <w:sz w:val="24"/>
          <w:szCs w:val="24"/>
        </w:rPr>
        <w:t> </w:t>
      </w:r>
      <w:r w:rsidRPr="657C8DC2">
        <w:rPr>
          <w:rFonts w:asciiTheme="majorHAnsi" w:hAnsiTheme="majorHAnsi"/>
          <w:sz w:val="24"/>
          <w:szCs w:val="24"/>
        </w:rPr>
        <w:t xml:space="preserve"> </w:t>
      </w:r>
      <w:r w:rsidR="002C50AF" w:rsidRPr="657C8DC2">
        <w:rPr>
          <w:rFonts w:asciiTheme="majorHAnsi" w:eastAsia="Times New Roman" w:hAnsiTheme="majorHAnsi"/>
          <w:color w:val="000000" w:themeColor="text1"/>
          <w:sz w:val="24"/>
          <w:szCs w:val="24"/>
        </w:rPr>
        <w:t xml:space="preserve">There will also be changes in service provision as treatment moves from hospitals to community settings. An NHS area in Somerset has been used as an example of a plan to construct </w:t>
      </w:r>
      <w:r w:rsidR="003226C6" w:rsidRPr="657C8DC2">
        <w:rPr>
          <w:rFonts w:asciiTheme="majorHAnsi" w:eastAsia="Times New Roman" w:hAnsiTheme="majorHAnsi"/>
          <w:color w:val="000000" w:themeColor="text1"/>
          <w:sz w:val="24"/>
          <w:szCs w:val="24"/>
        </w:rPr>
        <w:t>an</w:t>
      </w:r>
      <w:r w:rsidR="002C50AF" w:rsidRPr="657C8DC2">
        <w:rPr>
          <w:rFonts w:asciiTheme="majorHAnsi" w:eastAsia="Times New Roman" w:hAnsiTheme="majorHAnsi"/>
          <w:color w:val="000000" w:themeColor="text1"/>
          <w:sz w:val="24"/>
          <w:szCs w:val="24"/>
        </w:rPr>
        <w:t xml:space="preserve"> 'integrated care </w:t>
      </w:r>
      <w:r w:rsidR="003226C6" w:rsidRPr="657C8DC2">
        <w:rPr>
          <w:rFonts w:asciiTheme="majorHAnsi" w:eastAsia="Times New Roman" w:hAnsiTheme="majorHAnsi"/>
          <w:color w:val="000000" w:themeColor="text1"/>
          <w:sz w:val="24"/>
          <w:szCs w:val="24"/>
        </w:rPr>
        <w:t>campuses</w:t>
      </w:r>
      <w:r w:rsidR="002C50AF" w:rsidRPr="657C8DC2">
        <w:rPr>
          <w:rFonts w:asciiTheme="majorHAnsi" w:eastAsia="Times New Roman" w:hAnsiTheme="majorHAnsi"/>
          <w:color w:val="000000" w:themeColor="text1"/>
          <w:sz w:val="24"/>
          <w:szCs w:val="24"/>
        </w:rPr>
        <w:t xml:space="preserve"> to provide a wide range of services, including step-down beds from the hospital and 24/7 urgent care in one site that is closer to patients' homes. This is part of a bigger plan to increase the number of community hospitals and sophisticated community care facilities, with a focus on caring for the elderly and those with severe and long-term ailments. This will be related to improved availability of telemedicine and virtual consultations for patients. Older people are particularly at danger of </w:t>
      </w:r>
      <w:r w:rsidRPr="657C8DC2">
        <w:rPr>
          <w:rFonts w:asciiTheme="majorHAnsi" w:hAnsiTheme="majorHAnsi"/>
          <w:sz w:val="24"/>
          <w:szCs w:val="24"/>
        </w:rPr>
        <w:t>COVID-19, providing alternative management to reduce high-risk hospital visits will be a priority</w:t>
      </w:r>
      <w:r w:rsidR="002832BA" w:rsidRPr="657C8DC2">
        <w:rPr>
          <w:rFonts w:asciiTheme="majorHAnsi" w:hAnsiTheme="majorHAnsi"/>
          <w:sz w:val="24"/>
          <w:szCs w:val="24"/>
        </w:rPr>
        <w:t xml:space="preserve"> </w:t>
      </w:r>
      <w:r w:rsidR="00C537CF" w:rsidRPr="657C8DC2">
        <w:rPr>
          <w:rFonts w:asciiTheme="majorHAnsi" w:hAnsiTheme="majorHAnsi"/>
          <w:color w:val="000000" w:themeColor="text1"/>
          <w:sz w:val="24"/>
          <w:szCs w:val="24"/>
        </w:rPr>
        <w:t>(</w:t>
      </w:r>
      <w:r w:rsidRPr="657C8DC2">
        <w:rPr>
          <w:rFonts w:asciiTheme="majorHAnsi" w:hAnsiTheme="majorHAnsi"/>
          <w:color w:val="000000" w:themeColor="text1"/>
          <w:sz w:val="24"/>
          <w:szCs w:val="24"/>
        </w:rPr>
        <w:t>Wu et al.</w:t>
      </w:r>
      <w:r w:rsidR="00C537CF" w:rsidRPr="657C8DC2">
        <w:rPr>
          <w:rFonts w:asciiTheme="majorHAnsi" w:hAnsiTheme="majorHAnsi"/>
          <w:color w:val="000000" w:themeColor="text1"/>
          <w:sz w:val="24"/>
          <w:szCs w:val="24"/>
        </w:rPr>
        <w:t>2020) (</w:t>
      </w:r>
      <w:r w:rsidRPr="657C8DC2">
        <w:rPr>
          <w:rFonts w:asciiTheme="majorHAnsi" w:hAnsiTheme="majorHAnsi"/>
          <w:color w:val="000000" w:themeColor="text1"/>
          <w:sz w:val="24"/>
          <w:szCs w:val="24"/>
        </w:rPr>
        <w:t>Afrin et al.</w:t>
      </w:r>
      <w:r w:rsidR="00C537CF" w:rsidRPr="657C8DC2">
        <w:rPr>
          <w:rFonts w:asciiTheme="majorHAnsi" w:hAnsiTheme="majorHAnsi"/>
          <w:color w:val="000000" w:themeColor="text1"/>
          <w:sz w:val="24"/>
          <w:szCs w:val="24"/>
        </w:rPr>
        <w:t>2021) (</w:t>
      </w:r>
      <w:r w:rsidRPr="657C8DC2">
        <w:rPr>
          <w:rFonts w:asciiTheme="majorHAnsi" w:hAnsiTheme="majorHAnsi"/>
          <w:color w:val="000000" w:themeColor="text1"/>
          <w:sz w:val="24"/>
          <w:szCs w:val="24"/>
        </w:rPr>
        <w:t>Köchling &amp; Wehner, 2020)</w:t>
      </w:r>
      <w:r w:rsidR="002832BA" w:rsidRPr="657C8DC2">
        <w:rPr>
          <w:rFonts w:asciiTheme="majorHAnsi" w:hAnsiTheme="majorHAnsi"/>
          <w:color w:val="000000" w:themeColor="text1"/>
          <w:sz w:val="24"/>
          <w:szCs w:val="24"/>
        </w:rPr>
        <w:t>.</w:t>
      </w:r>
    </w:p>
    <w:p w14:paraId="7623F220" w14:textId="08BD58CE" w:rsidR="004D0A79" w:rsidRPr="00E062B4" w:rsidRDefault="004D0A79" w:rsidP="007204D7">
      <w:pPr>
        <w:pStyle w:val="Heading2"/>
        <w:jc w:val="both"/>
        <w:rPr>
          <w:b w:val="0"/>
          <w:bCs w:val="0"/>
          <w:sz w:val="24"/>
          <w:szCs w:val="24"/>
        </w:rPr>
      </w:pPr>
    </w:p>
    <w:p w14:paraId="0740F6FE" w14:textId="24D2642C" w:rsidR="001F5F69" w:rsidRPr="00E062B4" w:rsidRDefault="001F5F69" w:rsidP="007204D7">
      <w:pPr>
        <w:spacing w:after="160" w:line="278" w:lineRule="auto"/>
        <w:jc w:val="both"/>
        <w:rPr>
          <w:rFonts w:asciiTheme="majorHAnsi" w:eastAsia="Times New Roman" w:hAnsiTheme="majorHAnsi"/>
          <w:color w:val="000000" w:themeColor="text1"/>
          <w:kern w:val="2"/>
          <w:sz w:val="24"/>
          <w:szCs w:val="24"/>
          <w:lang w:eastAsia="en-GB"/>
          <w14:ligatures w14:val="standardContextual"/>
        </w:rPr>
      </w:pPr>
      <w:r w:rsidRPr="6138D773">
        <w:rPr>
          <w:rFonts w:asciiTheme="majorHAnsi" w:eastAsia="Times New Roman" w:hAnsiTheme="majorHAnsi"/>
          <w:color w:val="000000" w:themeColor="text1"/>
          <w:kern w:val="2"/>
          <w:sz w:val="24"/>
          <w:szCs w:val="24"/>
          <w:lang w:eastAsia="en-GB"/>
          <w14:ligatures w14:val="standardContextual"/>
        </w:rPr>
        <w:t xml:space="preserve">According to Peters et al. (2020) </w:t>
      </w:r>
      <w:r w:rsidR="00852BB4" w:rsidRPr="6138D773">
        <w:rPr>
          <w:rFonts w:asciiTheme="majorHAnsi" w:eastAsia="Times New Roman" w:hAnsiTheme="majorHAnsi"/>
          <w:color w:val="000000" w:themeColor="text1"/>
          <w:kern w:val="2"/>
          <w:sz w:val="24"/>
          <w:szCs w:val="24"/>
          <w:lang w:eastAsia="en-GB"/>
          <w14:ligatures w14:val="standardContextual"/>
        </w:rPr>
        <w:t>Person-centered</w:t>
      </w:r>
      <w:r w:rsidRPr="6138D773">
        <w:rPr>
          <w:rFonts w:asciiTheme="majorHAnsi" w:eastAsia="Times New Roman" w:hAnsiTheme="majorHAnsi"/>
          <w:color w:val="000000" w:themeColor="text1"/>
          <w:kern w:val="2"/>
          <w:sz w:val="24"/>
          <w:szCs w:val="24"/>
          <w:lang w:eastAsia="en-GB"/>
          <w14:ligatures w14:val="standardContextual"/>
        </w:rPr>
        <w:t xml:space="preserve"> care has been recommended as a way of providing safer and more effective healthcare, improving patient experiences, and optimising NHS resources. At its core is a commitment to addressing people' specific needs rather than prioritising the expectations of the healthcare system or its employees. It demands a collaborative approach, but the care experience should centre around the individual, with all care decisions guided by their needs and intended results. In community settings, </w:t>
      </w:r>
      <w:r w:rsidR="00713789" w:rsidRPr="6138D773">
        <w:rPr>
          <w:rFonts w:asciiTheme="majorHAnsi" w:eastAsia="Times New Roman" w:hAnsiTheme="majorHAnsi"/>
          <w:color w:val="000000" w:themeColor="text1"/>
          <w:kern w:val="2"/>
          <w:sz w:val="24"/>
          <w:szCs w:val="24"/>
          <w:lang w:eastAsia="en-GB"/>
          <w14:ligatures w14:val="standardContextual"/>
        </w:rPr>
        <w:t>person-centered</w:t>
      </w:r>
      <w:r w:rsidRPr="6138D773">
        <w:rPr>
          <w:rFonts w:asciiTheme="majorHAnsi" w:eastAsia="Times New Roman" w:hAnsiTheme="majorHAnsi"/>
          <w:color w:val="000000" w:themeColor="text1"/>
          <w:kern w:val="2"/>
          <w:sz w:val="24"/>
          <w:szCs w:val="24"/>
          <w:lang w:eastAsia="en-GB"/>
          <w14:ligatures w14:val="standardContextual"/>
        </w:rPr>
        <w:t xml:space="preserve"> care seeks to empower and support individuals rather than imposing care on them (Burgers et al.2021). This is especially important given the growing number of elderly people suffering with chronic diseases. Many people have complicated requirements, and they run the danger of losing their freedom because of standardised services that focus on conditions rather than personal goals. </w:t>
      </w:r>
      <w:r w:rsidR="00713789" w:rsidRPr="6138D773">
        <w:rPr>
          <w:rFonts w:asciiTheme="majorHAnsi" w:eastAsia="Times New Roman" w:hAnsiTheme="majorHAnsi"/>
          <w:color w:val="000000" w:themeColor="text1"/>
          <w:kern w:val="2"/>
          <w:sz w:val="24"/>
          <w:szCs w:val="24"/>
          <w:lang w:eastAsia="en-GB"/>
          <w14:ligatures w14:val="standardContextual"/>
        </w:rPr>
        <w:t>Person-centered</w:t>
      </w:r>
      <w:r w:rsidRPr="6138D773">
        <w:rPr>
          <w:rFonts w:asciiTheme="majorHAnsi" w:eastAsia="Times New Roman" w:hAnsiTheme="majorHAnsi"/>
          <w:color w:val="000000" w:themeColor="text1"/>
          <w:kern w:val="2"/>
          <w:sz w:val="24"/>
          <w:szCs w:val="24"/>
          <w:lang w:eastAsia="en-GB"/>
          <w14:ligatures w14:val="standardContextual"/>
        </w:rPr>
        <w:t xml:space="preserve"> care is not just for people who can make decisions; it is also important for individuals and their carers who receive assistance from both statutory and voluntary agencies (Van et al.2020).</w:t>
      </w:r>
    </w:p>
    <w:p w14:paraId="0D956785" w14:textId="6F637635" w:rsidR="00CF683C" w:rsidRPr="00E062B4" w:rsidRDefault="00CF683C" w:rsidP="007204D7">
      <w:pPr>
        <w:spacing w:after="160" w:line="278" w:lineRule="auto"/>
        <w:jc w:val="both"/>
        <w:rPr>
          <w:rFonts w:asciiTheme="majorHAnsi" w:eastAsia="Times New Roman" w:hAnsiTheme="majorHAnsi"/>
          <w:color w:val="000000" w:themeColor="text1"/>
          <w:kern w:val="2"/>
          <w:sz w:val="24"/>
          <w:szCs w:val="24"/>
          <w:lang w:eastAsia="en-GB"/>
          <w14:ligatures w14:val="standardContextual"/>
        </w:rPr>
      </w:pPr>
      <w:r w:rsidRPr="6138D773">
        <w:rPr>
          <w:rFonts w:asciiTheme="majorHAnsi" w:eastAsia="Times New Roman" w:hAnsiTheme="majorHAnsi"/>
          <w:color w:val="000000" w:themeColor="text1"/>
          <w:kern w:val="2"/>
          <w:sz w:val="24"/>
          <w:szCs w:val="24"/>
          <w:lang w:eastAsia="en-GB"/>
          <w14:ligatures w14:val="standardContextual"/>
        </w:rPr>
        <w:t>Service users' engagement and sense of control have never been more crucial to the NHS as an organisation. It is now obvious that it has well-defined and beneficial impacts on care delivery and can save money. It improves patient safety and public confidence. When patients feel heard and included in decisions about their treatment and care, they are more likely to follow health recommendations, lowering the likelihood of illness and unplanned care because of issues that might have been avoided or properly handled (Ocloo et al., 2009). </w:t>
      </w:r>
      <w:r w:rsidR="00713789" w:rsidRPr="6138D773">
        <w:rPr>
          <w:rFonts w:asciiTheme="majorHAnsi" w:eastAsia="Times New Roman" w:hAnsiTheme="majorHAnsi"/>
          <w:color w:val="000000" w:themeColor="text1"/>
          <w:kern w:val="2"/>
          <w:sz w:val="24"/>
          <w:szCs w:val="24"/>
          <w:lang w:eastAsia="en-GB"/>
          <w14:ligatures w14:val="standardContextual"/>
        </w:rPr>
        <w:t>Person-centered</w:t>
      </w:r>
      <w:r w:rsidRPr="6138D773">
        <w:rPr>
          <w:rFonts w:asciiTheme="majorHAnsi" w:eastAsia="Times New Roman" w:hAnsiTheme="majorHAnsi"/>
          <w:color w:val="000000" w:themeColor="text1"/>
          <w:kern w:val="2"/>
          <w:sz w:val="24"/>
          <w:szCs w:val="24"/>
          <w:lang w:eastAsia="en-GB"/>
          <w14:ligatures w14:val="standardContextual"/>
        </w:rPr>
        <w:t xml:space="preserve"> care, which includes choice and shared decision making, can reduce mistakes, and research suggests that it can result in higher adherence to a treatment plan than if the patient was not included in the decisions (Bani et al, 2020). This leads to early detection of remission or recovery from sickness, as well as improved functional results. Finally, it establishes a relationship between the patient and the healthcare provider. Higher functional results and early detection of remission or sickness recovery result from this. It forges a relationship of cooperation between the medical practitioner and the patient. According to Health Organization (2021), the doctor's role in decision-making is evolving from paternalistic complete decision-making for the benefit of the patient to persuasive and interpretative utilising their knowledge to determine what is best for the patient and support informed decision-making. </w:t>
      </w:r>
      <w:r w:rsidR="00713789" w:rsidRPr="6138D773">
        <w:rPr>
          <w:rFonts w:asciiTheme="majorHAnsi" w:eastAsia="Times New Roman" w:hAnsiTheme="majorHAnsi"/>
          <w:color w:val="000000" w:themeColor="text1"/>
          <w:kern w:val="2"/>
          <w:sz w:val="24"/>
          <w:szCs w:val="24"/>
          <w:lang w:eastAsia="en-GB"/>
          <w14:ligatures w14:val="standardContextual"/>
        </w:rPr>
        <w:t>Person-centered</w:t>
      </w:r>
      <w:r w:rsidRPr="6138D773">
        <w:rPr>
          <w:rFonts w:asciiTheme="majorHAnsi" w:eastAsia="Times New Roman" w:hAnsiTheme="majorHAnsi"/>
          <w:color w:val="000000" w:themeColor="text1"/>
          <w:kern w:val="2"/>
          <w:sz w:val="24"/>
          <w:szCs w:val="24"/>
          <w:lang w:eastAsia="en-GB"/>
          <w14:ligatures w14:val="standardContextual"/>
        </w:rPr>
        <w:t xml:space="preserve"> care makes the most of the time and abilities of medical professionals, including physicians and allied health workers, which increases productivity and boosts employee happiness. However, it also necessitates extensive patient and doctor contact and decision-making.</w:t>
      </w:r>
    </w:p>
    <w:p w14:paraId="49C51812" w14:textId="77777777" w:rsidR="00F62650" w:rsidRDefault="00F62650" w:rsidP="007204D7">
      <w:pPr>
        <w:spacing w:after="160" w:line="278" w:lineRule="auto"/>
        <w:jc w:val="both"/>
        <w:rPr>
          <w:rFonts w:asciiTheme="majorHAnsi" w:eastAsia="Times New Roman" w:hAnsiTheme="majorHAnsi"/>
          <w:color w:val="000000" w:themeColor="text1"/>
          <w:kern w:val="2"/>
          <w:sz w:val="24"/>
          <w:szCs w:val="24"/>
          <w:lang w:eastAsia="en-GB"/>
          <w14:ligatures w14:val="standardContextual"/>
        </w:rPr>
      </w:pPr>
    </w:p>
    <w:p w14:paraId="20E54CC6" w14:textId="00F9C54B" w:rsidR="00623DB0" w:rsidRPr="00E062B4" w:rsidRDefault="00713789" w:rsidP="007204D7">
      <w:pPr>
        <w:spacing w:after="160" w:line="278" w:lineRule="auto"/>
        <w:jc w:val="both"/>
        <w:rPr>
          <w:rFonts w:asciiTheme="majorHAnsi" w:eastAsia="Times New Roman" w:hAnsiTheme="majorHAnsi"/>
          <w:color w:val="000000"/>
          <w:kern w:val="2"/>
          <w:sz w:val="24"/>
          <w:szCs w:val="24"/>
          <w:lang w:eastAsia="en-GB"/>
          <w14:ligatures w14:val="standardContextual"/>
        </w:rPr>
      </w:pPr>
      <w:r w:rsidRPr="6138D773">
        <w:rPr>
          <w:rFonts w:asciiTheme="majorHAnsi" w:eastAsia="Times New Roman" w:hAnsiTheme="majorHAnsi"/>
          <w:color w:val="000000" w:themeColor="text1"/>
          <w:kern w:val="2"/>
          <w:sz w:val="24"/>
          <w:szCs w:val="24"/>
          <w:lang w:eastAsia="en-GB"/>
          <w14:ligatures w14:val="standardContextual"/>
        </w:rPr>
        <w:lastRenderedPageBreak/>
        <w:t>Person-centered</w:t>
      </w:r>
      <w:r w:rsidR="00C746D8" w:rsidRPr="6138D773">
        <w:rPr>
          <w:rFonts w:asciiTheme="majorHAnsi" w:eastAsia="Times New Roman" w:hAnsiTheme="majorHAnsi"/>
          <w:color w:val="000000" w:themeColor="text1"/>
          <w:kern w:val="2"/>
          <w:sz w:val="24"/>
          <w:szCs w:val="24"/>
          <w:lang w:eastAsia="en-GB"/>
          <w14:ligatures w14:val="standardContextual"/>
        </w:rPr>
        <w:t xml:space="preserve"> care has the advantage of empowering patients to feel as though they oversee their own treatment. For service users, for whom control has been a crucial missing element in their life, this is an invaluable advantage. Regaining control over one's own life is crucial for rehabilitation in mental health care provision, according to MHF (2001). They discovered, meanwhile, that several elements connected to the delivery style of care were in opposition to this. For example, service users were unable to break free from their label and previous behaviours due to ongoing evaluation and risk management. It was observed that the inability to obtain information and the fear of being refused information for just asking restricted the alternatives for therapy. </w:t>
      </w:r>
      <w:r w:rsidR="009F7C2D" w:rsidRPr="6138D773">
        <w:rPr>
          <w:rFonts w:asciiTheme="majorHAnsi" w:eastAsia="Times New Roman" w:hAnsiTheme="majorHAnsi"/>
          <w:color w:val="000000" w:themeColor="text1"/>
          <w:kern w:val="2"/>
          <w:sz w:val="24"/>
          <w:szCs w:val="24"/>
          <w:lang w:eastAsia="en-GB"/>
          <w14:ligatures w14:val="standardContextual"/>
        </w:rPr>
        <w:t>Person-centered</w:t>
      </w:r>
      <w:r w:rsidR="00C746D8" w:rsidRPr="6138D773">
        <w:rPr>
          <w:rFonts w:asciiTheme="majorHAnsi" w:eastAsia="Times New Roman" w:hAnsiTheme="majorHAnsi"/>
          <w:color w:val="000000" w:themeColor="text1"/>
          <w:kern w:val="2"/>
          <w:sz w:val="24"/>
          <w:szCs w:val="24"/>
          <w:lang w:eastAsia="en-GB"/>
          <w14:ligatures w14:val="standardContextual"/>
        </w:rPr>
        <w:t xml:space="preserve"> care allows for a choice of therapies to be chosen in accordance with individual goals by considering factors such as the degree of symptoms and functional impact on treatment alternatives. As a result, there will be a stronger dedication to the treatment and a better outcome. Lastly, it was observed that informed choice and control over decision-making were hampered by the effectiveness and safety of the care. If services users were refused alternatives or treatments based on what posed the least danger to them and others—such as with former forensic mental health patients—this would be considered risk management. Improved care may be provided to patients to boost efficacious therapy and avoid people feeling they are subject to what (peters et al.,2020) (Allerby et al., 2022) Called “Coercive /Madated care.</w:t>
      </w:r>
    </w:p>
    <w:p w14:paraId="6BF95698" w14:textId="34E9F648" w:rsidR="004D0A79" w:rsidRDefault="006E2BC0" w:rsidP="007204D7">
      <w:pPr>
        <w:jc w:val="both"/>
        <w:rPr>
          <w:rFonts w:asciiTheme="majorHAnsi" w:eastAsia="Times New Roman" w:hAnsiTheme="majorHAnsi"/>
          <w:color w:val="000000"/>
          <w:sz w:val="24"/>
          <w:szCs w:val="24"/>
        </w:rPr>
      </w:pPr>
      <w:r w:rsidRPr="657C8DC2">
        <w:rPr>
          <w:rFonts w:asciiTheme="majorHAnsi" w:eastAsia="Times New Roman" w:hAnsiTheme="majorHAnsi"/>
          <w:color w:val="000000" w:themeColor="text1"/>
          <w:sz w:val="24"/>
          <w:szCs w:val="24"/>
        </w:rPr>
        <w:t xml:space="preserve">shifting health and social care strategy aims to create a more integrated care system </w:t>
      </w:r>
      <w:r w:rsidR="006F30BF" w:rsidRPr="657C8DC2">
        <w:rPr>
          <w:rFonts w:asciiTheme="majorHAnsi" w:eastAsia="Times New Roman" w:hAnsiTheme="majorHAnsi"/>
          <w:color w:val="000000" w:themeColor="text1"/>
          <w:sz w:val="24"/>
          <w:szCs w:val="24"/>
        </w:rPr>
        <w:t>centered</w:t>
      </w:r>
      <w:r w:rsidRPr="657C8DC2">
        <w:rPr>
          <w:rFonts w:asciiTheme="majorHAnsi" w:eastAsia="Times New Roman" w:hAnsiTheme="majorHAnsi"/>
          <w:color w:val="000000" w:themeColor="text1"/>
          <w:sz w:val="24"/>
          <w:szCs w:val="24"/>
        </w:rPr>
        <w:t xml:space="preserve"> on the requirements of the service user, with an emphasis on preventative interventions and self-care. With an </w:t>
      </w:r>
      <w:r w:rsidR="006F30BF" w:rsidRPr="657C8DC2">
        <w:rPr>
          <w:rFonts w:asciiTheme="majorHAnsi" w:eastAsia="Times New Roman" w:hAnsiTheme="majorHAnsi"/>
          <w:color w:val="000000" w:themeColor="text1"/>
          <w:sz w:val="24"/>
          <w:szCs w:val="24"/>
        </w:rPr>
        <w:t>aging</w:t>
      </w:r>
      <w:r w:rsidRPr="657C8DC2">
        <w:rPr>
          <w:rFonts w:asciiTheme="majorHAnsi" w:eastAsia="Times New Roman" w:hAnsiTheme="majorHAnsi"/>
          <w:color w:val="000000" w:themeColor="text1"/>
          <w:sz w:val="24"/>
          <w:szCs w:val="24"/>
        </w:rPr>
        <w:t xml:space="preserve"> population, rising rates of chronic disease, and rising public expectations, the existing method for dealing with acute sickness is no longer feasible (Health Organisation, 2021).</w:t>
      </w:r>
      <w:r w:rsidRPr="657C8DC2">
        <w:rPr>
          <w:rStyle w:val="apple-converted-space"/>
          <w:rFonts w:asciiTheme="majorHAnsi" w:eastAsia="Times New Roman" w:hAnsiTheme="majorHAnsi"/>
          <w:color w:val="000000" w:themeColor="text1"/>
          <w:sz w:val="24"/>
          <w:szCs w:val="24"/>
        </w:rPr>
        <w:t> </w:t>
      </w:r>
      <w:r w:rsidR="00856A93" w:rsidRPr="657C8DC2">
        <w:rPr>
          <w:rFonts w:asciiTheme="majorHAnsi" w:hAnsiTheme="majorHAnsi"/>
          <w:color w:val="000000" w:themeColor="text1"/>
          <w:sz w:val="24"/>
          <w:szCs w:val="24"/>
        </w:rPr>
        <w:t xml:space="preserve"> </w:t>
      </w:r>
      <w:r w:rsidR="00856A93" w:rsidRPr="657C8DC2">
        <w:rPr>
          <w:rStyle w:val="apple-converted-space"/>
          <w:rFonts w:asciiTheme="majorHAnsi" w:eastAsia="Times New Roman" w:hAnsiTheme="majorHAnsi"/>
          <w:color w:val="000000" w:themeColor="text1"/>
          <w:sz w:val="24"/>
          <w:szCs w:val="24"/>
        </w:rPr>
        <w:t>The</w:t>
      </w:r>
      <w:r w:rsidR="00856A93" w:rsidRPr="657C8DC2">
        <w:rPr>
          <w:rFonts w:asciiTheme="majorHAnsi" w:hAnsiTheme="majorHAnsi"/>
          <w:sz w:val="24"/>
          <w:szCs w:val="24"/>
        </w:rPr>
        <w:t xml:space="preserve"> Department of Health has set out its vision and two policy strategies to facilitate this change. The NHS Outcomes Framework focuses on the creation of a transparent, health outcomes focus; whilst the Care and Support White Paper has the end goal of providing preventative, personalised and integrated </w:t>
      </w:r>
      <w:r w:rsidR="0BF10245" w:rsidRPr="657C8DC2">
        <w:rPr>
          <w:rFonts w:asciiTheme="majorHAnsi" w:hAnsiTheme="majorHAnsi"/>
          <w:sz w:val="24"/>
          <w:szCs w:val="24"/>
        </w:rPr>
        <w:t>care,</w:t>
      </w:r>
      <w:r w:rsidR="00856A93" w:rsidRPr="657C8DC2">
        <w:rPr>
          <w:rFonts w:asciiTheme="majorHAnsi" w:hAnsiTheme="majorHAnsi"/>
          <w:sz w:val="24"/>
          <w:szCs w:val="24"/>
        </w:rPr>
        <w:t xml:space="preserve"> and support</w:t>
      </w:r>
      <w:r w:rsidR="00856A93" w:rsidRPr="657C8DC2">
        <w:rPr>
          <w:rFonts w:asciiTheme="majorHAnsi" w:hAnsiTheme="majorHAnsi"/>
          <w:color w:val="000000" w:themeColor="text1"/>
          <w:sz w:val="24"/>
          <w:szCs w:val="24"/>
        </w:rPr>
        <w:t xml:space="preserve"> (Rudnicka et al.2020)</w:t>
      </w:r>
      <w:r w:rsidR="00856A93" w:rsidRPr="657C8DC2">
        <w:rPr>
          <w:rFonts w:asciiTheme="majorHAnsi" w:hAnsiTheme="majorHAnsi"/>
          <w:sz w:val="24"/>
          <w:szCs w:val="24"/>
        </w:rPr>
        <w:t>. An NHS that continuously learns and improves is the third national policy enabler from the NHS England's Five year forward view. Learn more about quality improvement and how it can help you in your role at CILIP's conference for health libraries 20th-21st July 2017.</w:t>
      </w:r>
      <w:r>
        <w:br/>
      </w:r>
      <w:r w:rsidR="008A0B52" w:rsidRPr="657C8DC2">
        <w:rPr>
          <w:rFonts w:asciiTheme="majorHAnsi" w:hAnsiTheme="majorHAnsi"/>
          <w:color w:val="000000" w:themeColor="text1"/>
          <w:sz w:val="24"/>
          <w:szCs w:val="24"/>
        </w:rPr>
        <w:t>McGorry et al. (2022) Alcaraz et al. (2020) believe that linking</w:t>
      </w:r>
      <w:r w:rsidR="008A0B52" w:rsidRPr="657C8DC2">
        <w:rPr>
          <w:rFonts w:asciiTheme="majorHAnsi" w:hAnsiTheme="majorHAnsi"/>
          <w:sz w:val="24"/>
          <w:szCs w:val="24"/>
        </w:rPr>
        <w:t xml:space="preserve"> in with these policies, medical research has shown highly beneficial effects of patient-centered care and promoting self-care. </w:t>
      </w:r>
      <w:r w:rsidR="0EF352ED" w:rsidRPr="657C8DC2">
        <w:rPr>
          <w:rFonts w:asciiTheme="majorHAnsi" w:hAnsiTheme="majorHAnsi"/>
          <w:sz w:val="24"/>
          <w:szCs w:val="24"/>
        </w:rPr>
        <w:t>Convincing evidence</w:t>
      </w:r>
      <w:r w:rsidR="008A0B52" w:rsidRPr="657C8DC2">
        <w:rPr>
          <w:rFonts w:asciiTheme="majorHAnsi" w:hAnsiTheme="majorHAnsi"/>
          <w:sz w:val="24"/>
          <w:szCs w:val="24"/>
        </w:rPr>
        <w:t xml:space="preserve"> indicates the improved outcomes for those with chronic medical conditions, through gaining the skills and confidence to effectively self-manage, and utilize support. Self-management education results in less pain, more </w:t>
      </w:r>
      <w:r w:rsidR="383D7C4A" w:rsidRPr="657C8DC2">
        <w:rPr>
          <w:rFonts w:asciiTheme="majorHAnsi" w:hAnsiTheme="majorHAnsi"/>
          <w:sz w:val="24"/>
          <w:szCs w:val="24"/>
        </w:rPr>
        <w:t>energy,</w:t>
      </w:r>
      <w:r w:rsidR="008A0B52" w:rsidRPr="657C8DC2">
        <w:rPr>
          <w:rFonts w:asciiTheme="majorHAnsi" w:hAnsiTheme="majorHAnsi"/>
          <w:sz w:val="24"/>
          <w:szCs w:val="24"/>
        </w:rPr>
        <w:t xml:space="preserve"> and less depression for those with chronic conditions. They also have fewer </w:t>
      </w:r>
      <w:r w:rsidR="008A0B52" w:rsidRPr="657C8DC2">
        <w:rPr>
          <w:rFonts w:asciiTheme="majorHAnsi" w:hAnsiTheme="majorHAnsi"/>
          <w:sz w:val="24"/>
          <w:szCs w:val="24"/>
        </w:rPr>
        <w:lastRenderedPageBreak/>
        <w:t xml:space="preserve">emergency room visits, hospital readmissions and improved overall health status. </w:t>
      </w:r>
      <w:r w:rsidR="001112AA" w:rsidRPr="657C8DC2">
        <w:rPr>
          <w:rFonts w:asciiTheme="majorHAnsi" w:eastAsia="Times New Roman" w:hAnsiTheme="majorHAnsi"/>
          <w:color w:val="000000" w:themeColor="text1"/>
          <w:sz w:val="24"/>
          <w:szCs w:val="24"/>
        </w:rPr>
        <w:t xml:space="preserve">There is now increasing evidence that people with better activation (the ability, confidence, and knowledge to manage their own health) have lower healthcare expenses and are less likely to be hospitalised or require emergency services. These findings give justification for applying these practices and developing health-care policies that encourage patient-centered care and self-management (Shalaby &amp; Agyapong, 2020; </w:t>
      </w:r>
      <w:r w:rsidR="00194E9D" w:rsidRPr="657C8DC2">
        <w:rPr>
          <w:rFonts w:asciiTheme="majorHAnsi" w:eastAsia="Times New Roman" w:hAnsiTheme="majorHAnsi"/>
          <w:color w:val="000000" w:themeColor="text1"/>
          <w:sz w:val="24"/>
          <w:szCs w:val="24"/>
        </w:rPr>
        <w:t>(</w:t>
      </w:r>
      <w:r w:rsidR="001112AA" w:rsidRPr="657C8DC2">
        <w:rPr>
          <w:rFonts w:asciiTheme="majorHAnsi" w:eastAsia="Times New Roman" w:hAnsiTheme="majorHAnsi"/>
          <w:color w:val="000000" w:themeColor="text1"/>
          <w:sz w:val="24"/>
          <w:szCs w:val="24"/>
        </w:rPr>
        <w:t>Sheikh et al., 2021).</w:t>
      </w:r>
    </w:p>
    <w:p w14:paraId="51A7DFE6" w14:textId="3FF8F53C" w:rsidR="001A7331" w:rsidRPr="00C80AC2" w:rsidRDefault="001A7331" w:rsidP="007204D7">
      <w:pPr>
        <w:jc w:val="both"/>
        <w:rPr>
          <w:rFonts w:asciiTheme="majorHAnsi" w:eastAsia="Times New Roman" w:hAnsiTheme="majorHAnsi"/>
          <w:color w:val="000000"/>
          <w:sz w:val="24"/>
          <w:szCs w:val="24"/>
        </w:rPr>
      </w:pPr>
      <w:r w:rsidRPr="657C8DC2">
        <w:rPr>
          <w:rFonts w:asciiTheme="majorHAnsi" w:eastAsia="Times New Roman" w:hAnsiTheme="majorHAnsi"/>
          <w:color w:val="000000" w:themeColor="text1"/>
          <w:sz w:val="24"/>
          <w:szCs w:val="24"/>
        </w:rPr>
        <w:t xml:space="preserve">The merger of health and social care in Wales has resulted in a dramatic shift in the role of the third sector. As these sectors merge, third-sector organisations are experiencing substantial transformations to adapt to the </w:t>
      </w:r>
      <w:r w:rsidR="51FB92E6" w:rsidRPr="657C8DC2">
        <w:rPr>
          <w:rFonts w:asciiTheme="majorHAnsi" w:eastAsia="Times New Roman" w:hAnsiTheme="majorHAnsi"/>
          <w:color w:val="000000" w:themeColor="text1"/>
          <w:sz w:val="24"/>
          <w:szCs w:val="24"/>
        </w:rPr>
        <w:t>unfamiliar environment</w:t>
      </w:r>
      <w:r w:rsidR="00086B3F" w:rsidRPr="657C8DC2">
        <w:rPr>
          <w:rFonts w:asciiTheme="majorHAnsi" w:eastAsia="Times New Roman" w:hAnsiTheme="majorHAnsi"/>
          <w:color w:val="000000" w:themeColor="text1"/>
          <w:sz w:val="24"/>
          <w:szCs w:val="24"/>
        </w:rPr>
        <w:t xml:space="preserve"> (Reed et al., 2021). Collaboration</w:t>
      </w:r>
      <w:r w:rsidRPr="657C8DC2">
        <w:rPr>
          <w:rFonts w:asciiTheme="majorHAnsi" w:eastAsia="Times New Roman" w:hAnsiTheme="majorHAnsi"/>
          <w:color w:val="000000" w:themeColor="text1"/>
          <w:sz w:val="24"/>
          <w:szCs w:val="24"/>
        </w:rPr>
        <w:t xml:space="preserve"> has emerged as a critical component, with organisations, charities, and community groups forming relationships with health boards and local governments to efficiently offer integrated services.</w:t>
      </w:r>
      <w:r w:rsidR="001B0AB0" w:rsidRPr="657C8DC2">
        <w:rPr>
          <w:rFonts w:asciiTheme="majorHAnsi" w:eastAsia="Times New Roman" w:hAnsiTheme="majorHAnsi"/>
          <w:color w:val="000000" w:themeColor="text1"/>
          <w:sz w:val="24"/>
          <w:szCs w:val="24"/>
        </w:rPr>
        <w:t xml:space="preserve"> This collaborative approach guarantees that </w:t>
      </w:r>
      <w:r w:rsidR="360BCEE6" w:rsidRPr="657C8DC2">
        <w:rPr>
          <w:rFonts w:asciiTheme="majorHAnsi" w:eastAsia="Times New Roman" w:hAnsiTheme="majorHAnsi"/>
          <w:color w:val="000000" w:themeColor="text1"/>
          <w:sz w:val="24"/>
          <w:szCs w:val="24"/>
        </w:rPr>
        <w:t>people's</w:t>
      </w:r>
      <w:r w:rsidR="001B0AB0" w:rsidRPr="657C8DC2">
        <w:rPr>
          <w:rFonts w:asciiTheme="majorHAnsi" w:eastAsia="Times New Roman" w:hAnsiTheme="majorHAnsi"/>
          <w:color w:val="000000" w:themeColor="text1"/>
          <w:sz w:val="24"/>
          <w:szCs w:val="24"/>
        </w:rPr>
        <w:t xml:space="preserve"> needs are met holistically, including both medical and social requirements. Furthermore, third-party providers are carefully specialising their services to meet specific community needs, such as mental health support and senior care. They help to build a more complete and responsive healthcare system by providing specialised programmes</w:t>
      </w:r>
      <w:r w:rsidR="00D4143D" w:rsidRPr="657C8DC2">
        <w:rPr>
          <w:rFonts w:asciiTheme="majorHAnsi" w:eastAsia="Times New Roman" w:hAnsiTheme="majorHAnsi"/>
          <w:color w:val="000000" w:themeColor="text1"/>
          <w:sz w:val="24"/>
          <w:szCs w:val="24"/>
        </w:rPr>
        <w:t xml:space="preserve"> (Bridge, Murtagh and O’Neill, 2020)</w:t>
      </w:r>
      <w:r w:rsidR="00EA3CBE" w:rsidRPr="657C8DC2">
        <w:rPr>
          <w:rFonts w:asciiTheme="majorHAnsi" w:eastAsia="Times New Roman" w:hAnsiTheme="majorHAnsi"/>
          <w:color w:val="000000" w:themeColor="text1"/>
          <w:sz w:val="24"/>
          <w:szCs w:val="24"/>
        </w:rPr>
        <w:t xml:space="preserve">. </w:t>
      </w:r>
    </w:p>
    <w:p w14:paraId="687546C5" w14:textId="2D56FAB5" w:rsidR="00C455BC" w:rsidRPr="00C80AC2" w:rsidRDefault="00C455BC" w:rsidP="007204D7">
      <w:pPr>
        <w:jc w:val="both"/>
        <w:rPr>
          <w:rFonts w:asciiTheme="majorHAnsi" w:eastAsia="Times New Roman" w:hAnsiTheme="majorHAnsi"/>
          <w:color w:val="000000"/>
          <w:sz w:val="24"/>
          <w:szCs w:val="24"/>
        </w:rPr>
      </w:pPr>
      <w:r w:rsidRPr="657C8DC2">
        <w:rPr>
          <w:rFonts w:asciiTheme="majorHAnsi" w:eastAsia="Times New Roman" w:hAnsiTheme="majorHAnsi"/>
          <w:color w:val="000000" w:themeColor="text1"/>
          <w:sz w:val="24"/>
          <w:szCs w:val="24"/>
        </w:rPr>
        <w:t xml:space="preserve">Furthermore, </w:t>
      </w:r>
      <w:r w:rsidR="00F326CF" w:rsidRPr="657C8DC2">
        <w:rPr>
          <w:rFonts w:asciiTheme="majorHAnsi" w:hAnsiTheme="majorHAnsi"/>
          <w:color w:val="000000" w:themeColor="text1"/>
        </w:rPr>
        <w:t xml:space="preserve">World Health </w:t>
      </w:r>
      <w:r w:rsidR="007204D7" w:rsidRPr="657C8DC2">
        <w:rPr>
          <w:rFonts w:asciiTheme="majorHAnsi" w:hAnsiTheme="majorHAnsi"/>
          <w:color w:val="000000" w:themeColor="text1"/>
        </w:rPr>
        <w:t>organization</w:t>
      </w:r>
      <w:r w:rsidR="00F326CF" w:rsidRPr="657C8DC2">
        <w:rPr>
          <w:rFonts w:asciiTheme="majorHAnsi" w:hAnsiTheme="majorHAnsi"/>
          <w:color w:val="000000" w:themeColor="text1"/>
        </w:rPr>
        <w:t xml:space="preserve"> (2023)</w:t>
      </w:r>
      <w:r w:rsidR="00963F94" w:rsidRPr="657C8DC2">
        <w:rPr>
          <w:rFonts w:asciiTheme="majorHAnsi" w:hAnsiTheme="majorHAnsi"/>
          <w:color w:val="000000" w:themeColor="text1"/>
        </w:rPr>
        <w:t xml:space="preserve"> st</w:t>
      </w:r>
      <w:r w:rsidR="0005332A" w:rsidRPr="657C8DC2">
        <w:rPr>
          <w:rFonts w:asciiTheme="majorHAnsi" w:hAnsiTheme="majorHAnsi"/>
          <w:color w:val="000000" w:themeColor="text1"/>
        </w:rPr>
        <w:t>ates that</w:t>
      </w:r>
      <w:r w:rsidR="00F326CF" w:rsidRPr="657C8DC2">
        <w:rPr>
          <w:rFonts w:asciiTheme="majorHAnsi" w:eastAsia="Times New Roman" w:hAnsiTheme="majorHAnsi"/>
          <w:color w:val="000000" w:themeColor="text1"/>
          <w:sz w:val="24"/>
          <w:szCs w:val="24"/>
        </w:rPr>
        <w:t xml:space="preserve"> the</w:t>
      </w:r>
      <w:r w:rsidRPr="657C8DC2">
        <w:rPr>
          <w:rFonts w:asciiTheme="majorHAnsi" w:eastAsia="Times New Roman" w:hAnsiTheme="majorHAnsi"/>
          <w:color w:val="000000" w:themeColor="text1"/>
          <w:sz w:val="24"/>
          <w:szCs w:val="24"/>
        </w:rPr>
        <w:t xml:space="preserve"> third sector remains committed to advocate for the rights and needs of disadvantaged communities, amplifying their voices inside the integrated system. Through community participation and advocacy initiatives, these organisations help to ensure equal access to services and resources for all members of society.</w:t>
      </w:r>
      <w:r w:rsidR="00C80AC2" w:rsidRPr="657C8DC2">
        <w:rPr>
          <w:rFonts w:asciiTheme="majorHAnsi" w:eastAsia="Times New Roman" w:hAnsiTheme="majorHAnsi"/>
          <w:color w:val="000000" w:themeColor="text1"/>
          <w:sz w:val="24"/>
          <w:szCs w:val="24"/>
        </w:rPr>
        <w:t xml:space="preserve"> Innovation and flexibility have also become vital, with the third sector adopting </w:t>
      </w:r>
      <w:r w:rsidR="02BB840B" w:rsidRPr="657C8DC2">
        <w:rPr>
          <w:rFonts w:asciiTheme="majorHAnsi" w:eastAsia="Times New Roman" w:hAnsiTheme="majorHAnsi"/>
          <w:color w:val="000000" w:themeColor="text1"/>
          <w:sz w:val="24"/>
          <w:szCs w:val="24"/>
        </w:rPr>
        <w:t>recent technology</w:t>
      </w:r>
      <w:r w:rsidR="00C80AC2" w:rsidRPr="657C8DC2">
        <w:rPr>
          <w:rFonts w:asciiTheme="majorHAnsi" w:eastAsia="Times New Roman" w:hAnsiTheme="majorHAnsi"/>
          <w:color w:val="000000" w:themeColor="text1"/>
          <w:sz w:val="24"/>
          <w:szCs w:val="24"/>
        </w:rPr>
        <w:t xml:space="preserve"> and agile techniques to adapt to the changing environment of health and social care delivery. Through these adaptive methods, the third sector maintains its essential ideals of community support and empowerment while successfully negotiating the intricacies of Wales' integrated health and social care system.</w:t>
      </w:r>
    </w:p>
    <w:p w14:paraId="3805AA75" w14:textId="77777777" w:rsidR="00AD0AE6" w:rsidRPr="00C80AC2" w:rsidRDefault="00AD0AE6" w:rsidP="007204D7">
      <w:pPr>
        <w:jc w:val="both"/>
        <w:rPr>
          <w:rFonts w:asciiTheme="majorHAnsi" w:hAnsiTheme="majorHAnsi"/>
          <w:sz w:val="24"/>
          <w:szCs w:val="24"/>
        </w:rPr>
      </w:pPr>
    </w:p>
    <w:p w14:paraId="2352CA4E" w14:textId="7A9AB8E0" w:rsidR="00440028" w:rsidRDefault="00954105" w:rsidP="007204D7">
      <w:pPr>
        <w:jc w:val="both"/>
        <w:rPr>
          <w:rFonts w:asciiTheme="majorHAnsi" w:eastAsia="Times New Roman" w:hAnsiTheme="majorHAnsi"/>
          <w:color w:val="000000"/>
          <w:sz w:val="24"/>
          <w:szCs w:val="24"/>
        </w:rPr>
      </w:pPr>
      <w:r w:rsidRPr="657C8DC2">
        <w:rPr>
          <w:rFonts w:asciiTheme="majorHAnsi" w:eastAsia="Times New Roman" w:hAnsiTheme="majorHAnsi"/>
          <w:color w:val="000000" w:themeColor="text1"/>
          <w:sz w:val="24"/>
          <w:szCs w:val="24"/>
        </w:rPr>
        <w:t xml:space="preserve">These types of modifications and techniques must guarantee that the requirements of an </w:t>
      </w:r>
      <w:r w:rsidR="00305D20" w:rsidRPr="657C8DC2">
        <w:rPr>
          <w:rFonts w:asciiTheme="majorHAnsi" w:eastAsia="Times New Roman" w:hAnsiTheme="majorHAnsi"/>
          <w:color w:val="000000" w:themeColor="text1"/>
          <w:sz w:val="24"/>
          <w:szCs w:val="24"/>
        </w:rPr>
        <w:t>aging</w:t>
      </w:r>
      <w:r w:rsidRPr="657C8DC2">
        <w:rPr>
          <w:rFonts w:asciiTheme="majorHAnsi" w:eastAsia="Times New Roman" w:hAnsiTheme="majorHAnsi"/>
          <w:color w:val="000000" w:themeColor="text1"/>
          <w:sz w:val="24"/>
          <w:szCs w:val="24"/>
        </w:rPr>
        <w:t xml:space="preserve"> population are appropriately served (Wittenberg et al., 2020</w:t>
      </w:r>
      <w:r w:rsidR="00194E9D" w:rsidRPr="657C8DC2">
        <w:rPr>
          <w:rFonts w:asciiTheme="majorHAnsi" w:eastAsia="Times New Roman" w:hAnsiTheme="majorHAnsi"/>
          <w:color w:val="000000" w:themeColor="text1"/>
          <w:sz w:val="24"/>
          <w:szCs w:val="24"/>
        </w:rPr>
        <w:t>)</w:t>
      </w:r>
      <w:r w:rsidRPr="657C8DC2">
        <w:rPr>
          <w:rFonts w:asciiTheme="majorHAnsi" w:eastAsia="Times New Roman" w:hAnsiTheme="majorHAnsi"/>
          <w:color w:val="000000" w:themeColor="text1"/>
          <w:sz w:val="24"/>
          <w:szCs w:val="24"/>
        </w:rPr>
        <w:t xml:space="preserve">; </w:t>
      </w:r>
      <w:r w:rsidR="00194E9D" w:rsidRPr="657C8DC2">
        <w:rPr>
          <w:rFonts w:asciiTheme="majorHAnsi" w:eastAsia="Times New Roman" w:hAnsiTheme="majorHAnsi"/>
          <w:color w:val="000000" w:themeColor="text1"/>
          <w:sz w:val="24"/>
          <w:szCs w:val="24"/>
        </w:rPr>
        <w:t>(</w:t>
      </w:r>
      <w:r w:rsidRPr="657C8DC2">
        <w:rPr>
          <w:rFonts w:asciiTheme="majorHAnsi" w:eastAsia="Times New Roman" w:hAnsiTheme="majorHAnsi"/>
          <w:color w:val="000000" w:themeColor="text1"/>
          <w:sz w:val="24"/>
          <w:szCs w:val="24"/>
        </w:rPr>
        <w:t>Fogg et al., 2022). There is a need to ensure that these services are successful enough to reduce hospital admissions while not disproportionately benefiting the wealthy. The recent Department of Health announcement of £32 million in financing for fragile senior care services, while only a small portion of total spending in this sector, is a positive move</w:t>
      </w:r>
      <w:r w:rsidR="04607A3F" w:rsidRPr="6138D773">
        <w:rPr>
          <w:rFonts w:ascii="Calibri" w:eastAsia="Calibri" w:hAnsi="Calibri" w:cs="Calibri"/>
          <w:sz w:val="24"/>
          <w:szCs w:val="24"/>
        </w:rPr>
        <w:t xml:space="preserve"> (Knight et al.2022)</w:t>
      </w:r>
      <w:r w:rsidRPr="6138D773">
        <w:rPr>
          <w:rFonts w:asciiTheme="majorHAnsi" w:eastAsia="Times New Roman" w:hAnsiTheme="majorHAnsi"/>
          <w:color w:val="000000" w:themeColor="text1"/>
          <w:sz w:val="24"/>
          <w:szCs w:val="24"/>
        </w:rPr>
        <w:t>.</w:t>
      </w:r>
      <w:r w:rsidRPr="657C8DC2">
        <w:rPr>
          <w:rFonts w:asciiTheme="majorHAnsi" w:eastAsia="Times New Roman" w:hAnsiTheme="majorHAnsi"/>
          <w:color w:val="000000" w:themeColor="text1"/>
          <w:sz w:val="24"/>
          <w:szCs w:val="24"/>
        </w:rPr>
        <w:t xml:space="preserve"> The NHS operational framework outlines specific steps to improve </w:t>
      </w:r>
      <w:r w:rsidRPr="657C8DC2">
        <w:rPr>
          <w:rFonts w:asciiTheme="majorHAnsi" w:eastAsia="Times New Roman" w:hAnsiTheme="majorHAnsi"/>
          <w:color w:val="000000" w:themeColor="text1"/>
          <w:sz w:val="24"/>
          <w:szCs w:val="24"/>
        </w:rPr>
        <w:lastRenderedPageBreak/>
        <w:t xml:space="preserve">primary care, which is a critical component of the healthcare </w:t>
      </w:r>
      <w:r w:rsidR="00305D20" w:rsidRPr="657C8DC2">
        <w:rPr>
          <w:rFonts w:asciiTheme="majorHAnsi" w:eastAsia="Times New Roman" w:hAnsiTheme="majorHAnsi"/>
          <w:color w:val="000000" w:themeColor="text1"/>
          <w:sz w:val="24"/>
          <w:szCs w:val="24"/>
        </w:rPr>
        <w:t>system.</w:t>
      </w:r>
      <w:r w:rsidR="00305D20" w:rsidRPr="657C8DC2">
        <w:rPr>
          <w:rFonts w:asciiTheme="majorHAnsi" w:hAnsiTheme="majorHAnsi"/>
          <w:sz w:val="24"/>
          <w:szCs w:val="24"/>
        </w:rPr>
        <w:t xml:space="preserve"> </w:t>
      </w:r>
      <w:r w:rsidR="0032137D" w:rsidRPr="657C8DC2">
        <w:rPr>
          <w:rFonts w:asciiTheme="majorHAnsi" w:eastAsia="Times New Roman" w:hAnsiTheme="majorHAnsi"/>
          <w:color w:val="000000" w:themeColor="text1"/>
          <w:sz w:val="24"/>
          <w:szCs w:val="24"/>
        </w:rPr>
        <w:t xml:space="preserve">This will entail recruiting more professional nurses and healthcare workers, with a clear emphasis on decreasing health disparities. The NHS is expected to rely </w:t>
      </w:r>
      <w:r w:rsidR="6D897C4C" w:rsidRPr="657C8DC2">
        <w:rPr>
          <w:rFonts w:asciiTheme="majorHAnsi" w:eastAsia="Times New Roman" w:hAnsiTheme="majorHAnsi"/>
          <w:color w:val="000000" w:themeColor="text1"/>
          <w:sz w:val="24"/>
          <w:szCs w:val="24"/>
        </w:rPr>
        <w:t>on</w:t>
      </w:r>
      <w:r w:rsidR="0032137D" w:rsidRPr="657C8DC2">
        <w:rPr>
          <w:rFonts w:asciiTheme="majorHAnsi" w:eastAsia="Times New Roman" w:hAnsiTheme="majorHAnsi"/>
          <w:color w:val="000000" w:themeColor="text1"/>
          <w:sz w:val="24"/>
          <w:szCs w:val="24"/>
        </w:rPr>
        <w:t xml:space="preserve"> the third sector to fill some of these tasks, with private and NHS providers participating (Archibald et al.2021) (Kasajima et al.2022).</w:t>
      </w:r>
      <w:r w:rsidR="0032137D" w:rsidRPr="657C8DC2">
        <w:rPr>
          <w:rStyle w:val="apple-converted-space"/>
          <w:rFonts w:asciiTheme="majorHAnsi" w:eastAsia="Times New Roman" w:hAnsiTheme="majorHAnsi"/>
          <w:color w:val="000000" w:themeColor="text1"/>
          <w:sz w:val="24"/>
          <w:szCs w:val="24"/>
        </w:rPr>
        <w:t> </w:t>
      </w:r>
      <w:r w:rsidR="00DA5447" w:rsidRPr="657C8DC2">
        <w:rPr>
          <w:rFonts w:asciiTheme="majorHAnsi" w:hAnsiTheme="majorHAnsi"/>
          <w:sz w:val="24"/>
          <w:szCs w:val="24"/>
        </w:rPr>
        <w:t xml:space="preserve"> </w:t>
      </w:r>
      <w:r w:rsidR="00D03EAA" w:rsidRPr="657C8DC2">
        <w:rPr>
          <w:rFonts w:asciiTheme="majorHAnsi" w:eastAsia="Times New Roman" w:hAnsiTheme="majorHAnsi"/>
          <w:color w:val="000000" w:themeColor="text1"/>
          <w:sz w:val="24"/>
          <w:szCs w:val="24"/>
        </w:rPr>
        <w:t xml:space="preserve">One example is the recent partnership scheme between Age UK and Torbay Care Trust, in which the public sector commissioned the charity to provide much-needed support to the elderly </w:t>
      </w:r>
      <w:r w:rsidR="3DE7C975" w:rsidRPr="657C8DC2">
        <w:rPr>
          <w:rFonts w:asciiTheme="majorHAnsi" w:eastAsia="Times New Roman" w:hAnsiTheme="majorHAnsi"/>
          <w:color w:val="000000" w:themeColor="text1"/>
          <w:sz w:val="24"/>
          <w:szCs w:val="24"/>
        </w:rPr>
        <w:t>to</w:t>
      </w:r>
      <w:r w:rsidR="00D03EAA" w:rsidRPr="657C8DC2">
        <w:rPr>
          <w:rFonts w:asciiTheme="majorHAnsi" w:eastAsia="Times New Roman" w:hAnsiTheme="majorHAnsi"/>
          <w:color w:val="000000" w:themeColor="text1"/>
          <w:sz w:val="24"/>
          <w:szCs w:val="24"/>
        </w:rPr>
        <w:t xml:space="preserve"> prevent social isolation and reduce the number of older people with high dependency needs (Richardson et al.2020). This effort exemplifies a commonly touted 'win-win' scenario in which the third sector may fill gaps in service delivery and provide job opportunities while offering a cost-effective conclusion.</w:t>
      </w:r>
      <w:r w:rsidR="00D03EAA" w:rsidRPr="657C8DC2">
        <w:rPr>
          <w:rStyle w:val="apple-converted-space"/>
          <w:rFonts w:asciiTheme="majorHAnsi" w:eastAsia="Times New Roman" w:hAnsiTheme="majorHAnsi"/>
          <w:color w:val="000000" w:themeColor="text1"/>
          <w:sz w:val="24"/>
          <w:szCs w:val="24"/>
        </w:rPr>
        <w:t> </w:t>
      </w:r>
      <w:r w:rsidR="001F3F4B" w:rsidRPr="657C8DC2">
        <w:rPr>
          <w:rFonts w:asciiTheme="majorHAnsi" w:eastAsia="Times New Roman" w:hAnsiTheme="majorHAnsi"/>
          <w:color w:val="000000" w:themeColor="text1"/>
          <w:sz w:val="24"/>
          <w:szCs w:val="24"/>
        </w:rPr>
        <w:t>According to Davies et al. (2021), the NHS aims to continuously modernise services and deliver more patient-centered care. This is stated in the NHS Long Term Plan, which was released in 2019. The Plan characterised patient-centered care as assisting individuals in getting the most out of the system by keeping them informed, providing the assistance they require to preserve their quality of life and independence, and treating them with respect at all stages.</w:t>
      </w:r>
      <w:r w:rsidR="006E6EBF" w:rsidRPr="657C8DC2">
        <w:rPr>
          <w:rFonts w:asciiTheme="majorHAnsi" w:eastAsia="Times New Roman" w:hAnsiTheme="majorHAnsi"/>
          <w:color w:val="000000" w:themeColor="text1"/>
          <w:sz w:val="24"/>
          <w:szCs w:val="24"/>
        </w:rPr>
        <w:t xml:space="preserve"> This will need a significant shift in the NHS's conceptual framework, as well as system-wide adjustments, but it has the potential to benefit patients. Over one-fifth of the NHS money is spent on services for individuals with mental health and neurological difficulties, despite widespread perceptions that this group has unmet needs and limited access to treatments. Spending has increased in recent years, and there has been a shift away from institutional care and towards community-based services, with the third sector playing an increasingly </w:t>
      </w:r>
      <w:r w:rsidR="46800D3D" w:rsidRPr="657C8DC2">
        <w:rPr>
          <w:rFonts w:asciiTheme="majorHAnsi" w:eastAsia="Times New Roman" w:hAnsiTheme="majorHAnsi"/>
          <w:color w:val="000000" w:themeColor="text1"/>
          <w:sz w:val="24"/>
          <w:szCs w:val="24"/>
        </w:rPr>
        <w:t>significant role</w:t>
      </w:r>
      <w:r w:rsidR="006E6EBF" w:rsidRPr="657C8DC2">
        <w:rPr>
          <w:rFonts w:asciiTheme="majorHAnsi" w:eastAsia="Times New Roman" w:hAnsiTheme="majorHAnsi"/>
          <w:color w:val="000000" w:themeColor="text1"/>
          <w:sz w:val="24"/>
          <w:szCs w:val="24"/>
        </w:rPr>
        <w:t>. This is the type of service modification that might benefit from expanded third-party involvement. (Henderson et al, 2021). Yu et al., 2020; Snowsill et al., 2022.</w:t>
      </w:r>
    </w:p>
    <w:p w14:paraId="4074B70B" w14:textId="65EB75D2" w:rsidR="00E549FE" w:rsidRPr="00E062B4" w:rsidRDefault="00E549FE" w:rsidP="007204D7">
      <w:pPr>
        <w:jc w:val="both"/>
        <w:rPr>
          <w:color w:val="1F497D" w:themeColor="text2"/>
          <w:sz w:val="24"/>
          <w:szCs w:val="24"/>
        </w:rPr>
      </w:pPr>
    </w:p>
    <w:p w14:paraId="0DD29B3A" w14:textId="018E3E73" w:rsidR="00650B4A" w:rsidRPr="00106846" w:rsidRDefault="005B1A62" w:rsidP="007204D7">
      <w:pPr>
        <w:jc w:val="both"/>
        <w:rPr>
          <w:rFonts w:asciiTheme="majorHAnsi" w:hAnsiTheme="majorHAnsi"/>
          <w:sz w:val="24"/>
          <w:szCs w:val="24"/>
        </w:rPr>
      </w:pPr>
      <w:r w:rsidRPr="657C8DC2">
        <w:rPr>
          <w:rFonts w:asciiTheme="majorHAnsi" w:eastAsia="Times New Roman" w:hAnsiTheme="majorHAnsi"/>
          <w:color w:val="000000" w:themeColor="text1"/>
          <w:sz w:val="24"/>
          <w:szCs w:val="24"/>
        </w:rPr>
        <w:t xml:space="preserve">To summarise, the NHS and Health and Social Care in the UK are experiencing enormous adjustments, pushed by diverse </w:t>
      </w:r>
      <w:r w:rsidR="5D8DABEE" w:rsidRPr="657C8DC2">
        <w:rPr>
          <w:rFonts w:asciiTheme="majorHAnsi" w:eastAsia="Times New Roman" w:hAnsiTheme="majorHAnsi"/>
          <w:color w:val="000000" w:themeColor="text1"/>
          <w:sz w:val="24"/>
          <w:szCs w:val="24"/>
        </w:rPr>
        <w:t>agendas,</w:t>
      </w:r>
      <w:r w:rsidRPr="657C8DC2">
        <w:rPr>
          <w:rFonts w:asciiTheme="majorHAnsi" w:eastAsia="Times New Roman" w:hAnsiTheme="majorHAnsi"/>
          <w:color w:val="000000" w:themeColor="text1"/>
          <w:sz w:val="24"/>
          <w:szCs w:val="24"/>
        </w:rPr>
        <w:t xml:space="preserve"> and hastened by the difficulties posed by the COVID-19 epidemic. These developments, although bringing both possibilities and problems, demonstrate a determined effort to adapt and innovate in response to changing</w:t>
      </w:r>
      <w:r w:rsidR="006D2C9D" w:rsidRPr="657C8DC2">
        <w:rPr>
          <w:rFonts w:asciiTheme="majorHAnsi" w:eastAsia="Times New Roman" w:hAnsiTheme="majorHAnsi"/>
          <w:color w:val="000000" w:themeColor="text1"/>
          <w:sz w:val="24"/>
          <w:szCs w:val="24"/>
        </w:rPr>
        <w:t xml:space="preserve"> </w:t>
      </w:r>
      <w:r w:rsidRPr="657C8DC2">
        <w:rPr>
          <w:rFonts w:asciiTheme="majorHAnsi" w:eastAsia="Times New Roman" w:hAnsiTheme="majorHAnsi"/>
          <w:color w:val="000000" w:themeColor="text1"/>
          <w:sz w:val="24"/>
          <w:szCs w:val="24"/>
        </w:rPr>
        <w:t>healthcare requirements.</w:t>
      </w:r>
      <w:r>
        <w:br/>
      </w:r>
      <w:r>
        <w:br/>
      </w:r>
      <w:r w:rsidRPr="657C8DC2">
        <w:rPr>
          <w:rFonts w:asciiTheme="majorHAnsi" w:eastAsia="Times New Roman" w:hAnsiTheme="majorHAnsi"/>
          <w:color w:val="000000" w:themeColor="text1"/>
          <w:sz w:val="24"/>
          <w:szCs w:val="24"/>
        </w:rPr>
        <w:t xml:space="preserve">The reaction to the COVID-19 epidemic has prompted swift and significant changes in the NHS. From the development of temporary healthcare facilities such as Nightingale Hospitals to collaboration with the independent sector to ensure appropriate treatment availability, the healthcare system has shown extraordinary resilience in the face of a catastrophe. Legislative reforms, such as the COVID-19 Act, have allowed for quick modifications to health-care services, despite concerns about accountability and public </w:t>
      </w:r>
      <w:r w:rsidRPr="657C8DC2">
        <w:rPr>
          <w:rFonts w:asciiTheme="majorHAnsi" w:eastAsia="Times New Roman" w:hAnsiTheme="majorHAnsi"/>
          <w:color w:val="000000" w:themeColor="text1"/>
          <w:sz w:val="24"/>
          <w:szCs w:val="24"/>
        </w:rPr>
        <w:lastRenderedPageBreak/>
        <w:t>scrutiny.</w:t>
      </w:r>
      <w:r w:rsidR="002C753B" w:rsidRPr="657C8DC2">
        <w:rPr>
          <w:rFonts w:asciiTheme="majorHAnsi" w:eastAsia="Times New Roman" w:hAnsiTheme="majorHAnsi"/>
          <w:color w:val="000000" w:themeColor="text1"/>
          <w:sz w:val="24"/>
          <w:szCs w:val="24"/>
        </w:rPr>
        <w:t xml:space="preserve"> Furthermore, the pandemic has pushed long-standing tendencies towards a more integrated and preventative approach to healthcare. Primary care, community-based services, and patient-centered care are increasingly recognised as critical to meeting the population's diverse healthcare demands. Efforts to improve primary care, such as improved financing and workforce sustainability, are critical for providing accessible and complete healthcare.</w:t>
      </w:r>
      <w:r>
        <w:br/>
      </w:r>
      <w:r>
        <w:br/>
      </w:r>
      <w:r w:rsidR="002C753B" w:rsidRPr="657C8DC2">
        <w:rPr>
          <w:rFonts w:asciiTheme="majorHAnsi" w:eastAsia="Times New Roman" w:hAnsiTheme="majorHAnsi"/>
          <w:color w:val="000000" w:themeColor="text1"/>
          <w:sz w:val="24"/>
          <w:szCs w:val="24"/>
        </w:rPr>
        <w:t>The changing role of primary care practitioners, particularly GPs, mirrors wider trends in healthcare delivery. GPs are increasingly involved in service commissioning and work as part of multidisciplinary teams to provide patients with comprehensive care. However, issues persist, such as ensuring appropriate training and support for primary care practitioners in the face of increasing demand.</w:t>
      </w:r>
      <w:r w:rsidR="00EA24EC" w:rsidRPr="657C8DC2">
        <w:rPr>
          <w:rFonts w:asciiTheme="majorHAnsi" w:eastAsia="Times New Roman" w:hAnsiTheme="majorHAnsi"/>
          <w:color w:val="000000" w:themeColor="text1"/>
          <w:sz w:val="24"/>
          <w:szCs w:val="24"/>
        </w:rPr>
        <w:t xml:space="preserve"> Partnerships with the third sector have emerged as an important method for closing gaps in service delivery and addressing socioeconomic determinants of health.</w:t>
      </w:r>
      <w:r w:rsidR="00EA24EC" w:rsidRPr="657C8DC2">
        <w:rPr>
          <w:rStyle w:val="apple-converted-space"/>
          <w:rFonts w:asciiTheme="majorHAnsi" w:eastAsia="Times New Roman" w:hAnsiTheme="majorHAnsi"/>
          <w:color w:val="000000" w:themeColor="text1"/>
          <w:sz w:val="24"/>
          <w:szCs w:val="24"/>
        </w:rPr>
        <w:t> </w:t>
      </w:r>
      <w:r w:rsidR="17A33981" w:rsidRPr="657C8DC2">
        <w:rPr>
          <w:rFonts w:asciiTheme="majorHAnsi" w:eastAsia="Times New Roman" w:hAnsiTheme="majorHAnsi"/>
          <w:color w:val="000000" w:themeColor="text1"/>
          <w:sz w:val="24"/>
          <w:szCs w:val="24"/>
        </w:rPr>
        <w:t>The</w:t>
      </w:r>
      <w:r w:rsidR="00D35A78" w:rsidRPr="657C8DC2">
        <w:rPr>
          <w:rFonts w:asciiTheme="majorHAnsi" w:eastAsia="Times New Roman" w:hAnsiTheme="majorHAnsi"/>
          <w:color w:val="000000" w:themeColor="text1"/>
          <w:sz w:val="24"/>
          <w:szCs w:val="24"/>
        </w:rPr>
        <w:t xml:space="preserve"> continuous developments in the NHS and Health and Social Care demonstrate a willingness to adapt, innovate, and collaborate. By using the pandemic's lessons and continuing to prioritise patient-centered treatment, the healthcare system may aim for improved resilience, equality, and efficacy in fulfilling</w:t>
      </w:r>
      <w:r w:rsidR="42E2D2CF" w:rsidRPr="0C6ADA79">
        <w:rPr>
          <w:rFonts w:asciiTheme="majorHAnsi" w:eastAsia="Times New Roman" w:hAnsiTheme="majorHAnsi"/>
          <w:color w:val="000000" w:themeColor="text1"/>
          <w:sz w:val="24"/>
          <w:szCs w:val="24"/>
        </w:rPr>
        <w:t xml:space="preserve"> </w:t>
      </w:r>
      <w:r w:rsidR="00D35A78" w:rsidRPr="657C8DC2">
        <w:rPr>
          <w:rFonts w:asciiTheme="majorHAnsi" w:eastAsia="Times New Roman" w:hAnsiTheme="majorHAnsi"/>
          <w:color w:val="000000" w:themeColor="text1"/>
          <w:sz w:val="24"/>
          <w:szCs w:val="24"/>
        </w:rPr>
        <w:t xml:space="preserve">the </w:t>
      </w:r>
      <w:r w:rsidR="77A74096" w:rsidRPr="657C8DC2">
        <w:rPr>
          <w:rFonts w:asciiTheme="majorHAnsi" w:eastAsia="Times New Roman" w:hAnsiTheme="majorHAnsi"/>
          <w:color w:val="000000" w:themeColor="text1"/>
          <w:sz w:val="24"/>
          <w:szCs w:val="24"/>
        </w:rPr>
        <w:t>diverse needs</w:t>
      </w:r>
      <w:r w:rsidR="00D35A78" w:rsidRPr="657C8DC2">
        <w:rPr>
          <w:rFonts w:asciiTheme="majorHAnsi" w:eastAsia="Times New Roman" w:hAnsiTheme="majorHAnsi"/>
          <w:color w:val="000000" w:themeColor="text1"/>
          <w:sz w:val="24"/>
          <w:szCs w:val="24"/>
        </w:rPr>
        <w:t xml:space="preserve"> of all patients.</w:t>
      </w:r>
      <w:r w:rsidR="009161AE" w:rsidRPr="657C8DC2">
        <w:rPr>
          <w:rFonts w:asciiTheme="majorHAnsi" w:hAnsiTheme="majorHAnsi"/>
          <w:b/>
          <w:bCs/>
          <w:sz w:val="40"/>
          <w:szCs w:val="40"/>
        </w:rPr>
        <w:t xml:space="preserve"> </w:t>
      </w:r>
    </w:p>
    <w:p w14:paraId="13C09828" w14:textId="77777777" w:rsidR="009161AE" w:rsidRPr="009161AE" w:rsidRDefault="009161AE" w:rsidP="007204D7">
      <w:pPr>
        <w:jc w:val="both"/>
        <w:rPr>
          <w:rFonts w:asciiTheme="majorHAnsi" w:hAnsiTheme="majorHAnsi"/>
          <w:b/>
          <w:bCs/>
          <w:sz w:val="40"/>
          <w:szCs w:val="40"/>
        </w:rPr>
      </w:pPr>
    </w:p>
    <w:p w14:paraId="4E30B177" w14:textId="77777777" w:rsidR="00E5092B" w:rsidRDefault="00E5092B" w:rsidP="007204D7">
      <w:pPr>
        <w:spacing w:after="240" w:line="540" w:lineRule="atLeast"/>
        <w:jc w:val="both"/>
        <w:outlineLvl w:val="0"/>
        <w:divId w:val="1594045265"/>
        <w:rPr>
          <w:rFonts w:asciiTheme="majorHAnsi" w:eastAsia="Times New Roman" w:hAnsiTheme="majorHAnsi" w:cs="Times New Roman"/>
          <w:color w:val="1F497D" w:themeColor="text2"/>
          <w:kern w:val="36"/>
          <w:sz w:val="24"/>
          <w:szCs w:val="24"/>
          <w:lang w:eastAsia="en-GB"/>
        </w:rPr>
      </w:pPr>
    </w:p>
    <w:p w14:paraId="6BD75086" w14:textId="77777777" w:rsidR="00E5092B" w:rsidRDefault="00E5092B" w:rsidP="007204D7">
      <w:pPr>
        <w:spacing w:after="240" w:line="540" w:lineRule="atLeast"/>
        <w:jc w:val="both"/>
        <w:outlineLvl w:val="0"/>
        <w:divId w:val="1594045265"/>
        <w:rPr>
          <w:rFonts w:asciiTheme="majorHAnsi" w:eastAsia="Times New Roman" w:hAnsiTheme="majorHAnsi" w:cs="Times New Roman"/>
          <w:color w:val="1F497D" w:themeColor="text2"/>
          <w:kern w:val="36"/>
          <w:sz w:val="24"/>
          <w:szCs w:val="24"/>
          <w:lang w:eastAsia="en-GB"/>
        </w:rPr>
      </w:pPr>
    </w:p>
    <w:p w14:paraId="2F62F9A1" w14:textId="77777777" w:rsidR="00E5092B" w:rsidRDefault="00E5092B" w:rsidP="007204D7">
      <w:pPr>
        <w:spacing w:after="240" w:line="540" w:lineRule="atLeast"/>
        <w:jc w:val="both"/>
        <w:outlineLvl w:val="0"/>
        <w:divId w:val="1594045265"/>
        <w:rPr>
          <w:rFonts w:asciiTheme="majorHAnsi" w:eastAsia="Times New Roman" w:hAnsiTheme="majorHAnsi" w:cs="Times New Roman"/>
          <w:color w:val="1F497D" w:themeColor="text2"/>
          <w:kern w:val="36"/>
          <w:sz w:val="24"/>
          <w:szCs w:val="24"/>
          <w:lang w:eastAsia="en-GB"/>
        </w:rPr>
      </w:pPr>
    </w:p>
    <w:p w14:paraId="030091C0" w14:textId="77777777" w:rsidR="00E5092B" w:rsidRDefault="00E5092B" w:rsidP="007204D7">
      <w:pPr>
        <w:spacing w:after="240" w:line="540" w:lineRule="atLeast"/>
        <w:jc w:val="both"/>
        <w:outlineLvl w:val="0"/>
        <w:divId w:val="1594045265"/>
        <w:rPr>
          <w:rFonts w:asciiTheme="majorHAnsi" w:eastAsia="Times New Roman" w:hAnsiTheme="majorHAnsi" w:cs="Times New Roman"/>
          <w:color w:val="1F497D" w:themeColor="text2"/>
          <w:kern w:val="36"/>
          <w:sz w:val="24"/>
          <w:szCs w:val="24"/>
          <w:lang w:eastAsia="en-GB"/>
        </w:rPr>
      </w:pPr>
    </w:p>
    <w:p w14:paraId="1772FE0B" w14:textId="77777777" w:rsidR="00E5092B" w:rsidRDefault="00E5092B" w:rsidP="007204D7">
      <w:pPr>
        <w:spacing w:after="240" w:line="540" w:lineRule="atLeast"/>
        <w:jc w:val="both"/>
        <w:outlineLvl w:val="0"/>
        <w:divId w:val="1594045265"/>
        <w:rPr>
          <w:rFonts w:asciiTheme="majorHAnsi" w:eastAsia="Times New Roman" w:hAnsiTheme="majorHAnsi" w:cs="Times New Roman"/>
          <w:color w:val="1F497D" w:themeColor="text2"/>
          <w:kern w:val="36"/>
          <w:sz w:val="24"/>
          <w:szCs w:val="24"/>
          <w:lang w:eastAsia="en-GB"/>
        </w:rPr>
      </w:pPr>
    </w:p>
    <w:p w14:paraId="7E377C20" w14:textId="77777777" w:rsidR="007204D7" w:rsidRDefault="007204D7" w:rsidP="007204D7">
      <w:pPr>
        <w:spacing w:after="240" w:line="540" w:lineRule="atLeast"/>
        <w:jc w:val="both"/>
        <w:outlineLvl w:val="0"/>
        <w:divId w:val="1594045265"/>
        <w:rPr>
          <w:rFonts w:asciiTheme="majorHAnsi" w:eastAsia="Times New Roman" w:hAnsiTheme="majorHAnsi" w:cs="Times New Roman"/>
          <w:color w:val="1F497D" w:themeColor="text2"/>
          <w:kern w:val="36"/>
          <w:sz w:val="24"/>
          <w:szCs w:val="24"/>
          <w:lang w:eastAsia="en-GB"/>
        </w:rPr>
      </w:pPr>
    </w:p>
    <w:p w14:paraId="31A1C77F" w14:textId="77777777" w:rsidR="007204D7" w:rsidRDefault="007204D7" w:rsidP="007204D7">
      <w:pPr>
        <w:spacing w:after="240" w:line="540" w:lineRule="atLeast"/>
        <w:jc w:val="both"/>
        <w:outlineLvl w:val="0"/>
        <w:divId w:val="1594045265"/>
        <w:rPr>
          <w:rFonts w:asciiTheme="majorHAnsi" w:eastAsia="Times New Roman" w:hAnsiTheme="majorHAnsi" w:cs="Times New Roman"/>
          <w:color w:val="1F497D" w:themeColor="text2"/>
          <w:kern w:val="36"/>
          <w:sz w:val="24"/>
          <w:szCs w:val="24"/>
          <w:lang w:eastAsia="en-GB"/>
        </w:rPr>
      </w:pPr>
    </w:p>
    <w:p w14:paraId="6460A6EE" w14:textId="59FA281B" w:rsidR="004F1DEF" w:rsidRPr="00CC6177" w:rsidRDefault="004F1DEF" w:rsidP="007204D7">
      <w:pPr>
        <w:spacing w:after="240" w:line="540" w:lineRule="atLeast"/>
        <w:jc w:val="both"/>
        <w:outlineLvl w:val="0"/>
        <w:divId w:val="1594045265"/>
        <w:rPr>
          <w:rFonts w:asciiTheme="majorHAnsi" w:eastAsia="Times New Roman" w:hAnsiTheme="majorHAnsi" w:cs="Times New Roman"/>
          <w:color w:val="000000"/>
          <w:kern w:val="36"/>
          <w:sz w:val="24"/>
          <w:szCs w:val="24"/>
          <w:lang w:eastAsia="en-GB"/>
        </w:rPr>
      </w:pPr>
      <w:r w:rsidRPr="0C6ADA79">
        <w:rPr>
          <w:rFonts w:asciiTheme="majorHAnsi" w:eastAsia="Times New Roman" w:hAnsiTheme="majorHAnsi" w:cs="Times New Roman"/>
          <w:color w:val="1F497D" w:themeColor="text2"/>
          <w:kern w:val="36"/>
          <w:sz w:val="24"/>
          <w:szCs w:val="24"/>
          <w:lang w:eastAsia="en-GB"/>
        </w:rPr>
        <w:lastRenderedPageBreak/>
        <w:t>Reference list</w:t>
      </w:r>
    </w:p>
    <w:p w14:paraId="6AF0EAB9" w14:textId="31693286"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bookmarkStart w:id="1" w:name="_Int_sqRz2oVL"/>
      <w:r w:rsidRPr="6138D773">
        <w:rPr>
          <w:rFonts w:asciiTheme="majorHAnsi" w:hAnsiTheme="majorHAnsi" w:cs="Times New Roman"/>
          <w:color w:val="000000" w:themeColor="text1"/>
          <w:sz w:val="24"/>
          <w:szCs w:val="24"/>
        </w:rPr>
        <w:t>Afrin, M., Jin, J., Rahman, A., Rahman, A., Wan, J. and Hossain, E. (2021).</w:t>
      </w:r>
      <w:bookmarkEnd w:id="1"/>
      <w:r w:rsidRPr="6138D773">
        <w:rPr>
          <w:rFonts w:asciiTheme="majorHAnsi" w:hAnsiTheme="majorHAnsi" w:cs="Times New Roman"/>
          <w:color w:val="000000" w:themeColor="text1"/>
          <w:sz w:val="24"/>
          <w:szCs w:val="24"/>
        </w:rPr>
        <w:t xml:space="preserve"> </w:t>
      </w:r>
      <w:bookmarkStart w:id="2" w:name="_Int_euRUyPfG"/>
      <w:r w:rsidRPr="6138D773">
        <w:rPr>
          <w:rFonts w:asciiTheme="majorHAnsi" w:hAnsiTheme="majorHAnsi" w:cs="Times New Roman"/>
          <w:color w:val="000000" w:themeColor="text1"/>
          <w:sz w:val="24"/>
          <w:szCs w:val="24"/>
        </w:rPr>
        <w:t xml:space="preserve">Resource Allocation and Service Provisioning in Multi-Agent Cloud Robotics: </w:t>
      </w:r>
      <w:r w:rsidR="00990EE1" w:rsidRPr="6138D773">
        <w:rPr>
          <w:rFonts w:asciiTheme="majorHAnsi" w:hAnsiTheme="majorHAnsi" w:cs="Times New Roman"/>
          <w:color w:val="000000" w:themeColor="text1"/>
          <w:sz w:val="24"/>
          <w:szCs w:val="24"/>
        </w:rPr>
        <w:t>A</w:t>
      </w:r>
      <w:r w:rsidRPr="6138D773">
        <w:rPr>
          <w:rFonts w:asciiTheme="majorHAnsi" w:hAnsiTheme="majorHAnsi" w:cs="Times New Roman"/>
          <w:color w:val="000000" w:themeColor="text1"/>
          <w:sz w:val="24"/>
          <w:szCs w:val="24"/>
        </w:rPr>
        <w:t xml:space="preserve"> Comprehensive Survey.</w:t>
      </w:r>
      <w:bookmarkEnd w:id="2"/>
      <w:r w:rsidRPr="6138D773">
        <w:rPr>
          <w:rFonts w:asciiTheme="majorHAnsi" w:hAnsiTheme="majorHAnsi" w:cs="Times New Roman"/>
          <w:color w:val="000000" w:themeColor="text1"/>
          <w:sz w:val="24"/>
          <w:szCs w:val="24"/>
        </w:rPr>
        <w:t> IEEE Communications Surveys &amp; Tutorials, 23(2), pp.842–870.</w:t>
      </w:r>
    </w:p>
    <w:p w14:paraId="3769BB7C" w14:textId="573CF84A"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t xml:space="preserve">Alcaraz, K.I., Wiedt, T.L., Daniels, E.C., Yabroff, K.R., Guerra, C.E. and Wender, R.C. (2020). Understanding and Addressing Social Determinants to Advance Cancer Health Equity in the </w:t>
      </w:r>
      <w:r w:rsidR="006666EE" w:rsidRPr="6138D773">
        <w:rPr>
          <w:rFonts w:asciiTheme="majorHAnsi" w:hAnsiTheme="majorHAnsi" w:cs="Times New Roman"/>
          <w:color w:val="000000" w:themeColor="text1"/>
          <w:sz w:val="24"/>
          <w:szCs w:val="24"/>
        </w:rPr>
        <w:t>United States</w:t>
      </w:r>
      <w:r w:rsidRPr="6138D773">
        <w:rPr>
          <w:rFonts w:asciiTheme="majorHAnsi" w:hAnsiTheme="majorHAnsi" w:cs="Times New Roman"/>
          <w:color w:val="000000" w:themeColor="text1"/>
          <w:sz w:val="24"/>
          <w:szCs w:val="24"/>
        </w:rPr>
        <w:t xml:space="preserve">: </w:t>
      </w:r>
      <w:r w:rsidR="006666EE" w:rsidRPr="6138D773">
        <w:rPr>
          <w:rFonts w:asciiTheme="majorHAnsi" w:hAnsiTheme="majorHAnsi" w:cs="Times New Roman"/>
          <w:color w:val="000000" w:themeColor="text1"/>
          <w:sz w:val="24"/>
          <w:szCs w:val="24"/>
        </w:rPr>
        <w:t>A</w:t>
      </w:r>
      <w:r w:rsidRPr="6138D773">
        <w:rPr>
          <w:rFonts w:asciiTheme="majorHAnsi" w:hAnsiTheme="majorHAnsi" w:cs="Times New Roman"/>
          <w:color w:val="000000" w:themeColor="text1"/>
          <w:sz w:val="24"/>
          <w:szCs w:val="24"/>
        </w:rPr>
        <w:t xml:space="preserve"> Blueprint for practice, research, and Policy. A Cancer Journal for Clinicians, 70(1), pp.31–46.</w:t>
      </w:r>
    </w:p>
    <w:p w14:paraId="6E4A5CAF" w14:textId="321EA82B"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t xml:space="preserve">Allerby, K., Goulding, A., Ali, L. and Waern, M. (2022). Increasing person-centeredness in Psychosis Inpatient care: Staff Experiences from the </w:t>
      </w:r>
      <w:r w:rsidR="009F7C2D" w:rsidRPr="6138D773">
        <w:rPr>
          <w:rFonts w:asciiTheme="majorHAnsi" w:hAnsiTheme="majorHAnsi" w:cs="Times New Roman"/>
          <w:color w:val="000000" w:themeColor="text1"/>
          <w:sz w:val="24"/>
          <w:szCs w:val="24"/>
        </w:rPr>
        <w:t>Person-Centered</w:t>
      </w:r>
      <w:r w:rsidRPr="6138D773">
        <w:rPr>
          <w:rFonts w:asciiTheme="majorHAnsi" w:hAnsiTheme="majorHAnsi" w:cs="Times New Roman"/>
          <w:color w:val="000000" w:themeColor="text1"/>
          <w:sz w:val="24"/>
          <w:szCs w:val="24"/>
        </w:rPr>
        <w:t xml:space="preserve"> Psychosis Care (PCPC) Project. BMC Health Services Research, 22(1).</w:t>
      </w:r>
    </w:p>
    <w:p w14:paraId="35D2A135" w14:textId="77777777"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t xml:space="preserve">Amador-Fernández, N., Benrimoj, S.I., García-Cárdenas, V., Miguel Ángel Gastelurrutia, Graham, E.L., Rubén Palomo-Llinares, Sánchez-Tormo, J., Baixauli, V.J., Elena Pérez Hoyos, Javier Plaza Zamora, Vicente Colomer Molina, Ricardo Fuertes González, Óscar García Agudo and Martínez-Martínez, F. (2023). </w:t>
      </w:r>
      <w:bookmarkStart w:id="3" w:name="_Int_G4aqDzNs"/>
      <w:r w:rsidRPr="6138D773">
        <w:rPr>
          <w:rFonts w:asciiTheme="majorHAnsi" w:hAnsiTheme="majorHAnsi" w:cs="Times New Roman"/>
          <w:color w:val="000000" w:themeColor="text1"/>
          <w:sz w:val="24"/>
          <w:szCs w:val="24"/>
        </w:rPr>
        <w:t>Identification of high-risk Patients for Referral through Machine Learning Assisting the Decision Making to Manage Minor Ailments in Community Pharmacies.</w:t>
      </w:r>
      <w:bookmarkEnd w:id="3"/>
      <w:r w:rsidRPr="6138D773">
        <w:rPr>
          <w:rFonts w:asciiTheme="majorHAnsi" w:hAnsiTheme="majorHAnsi" w:cs="Times New Roman"/>
          <w:color w:val="000000" w:themeColor="text1"/>
          <w:sz w:val="24"/>
          <w:szCs w:val="24"/>
        </w:rPr>
        <w:t> Frontiers in Pharmacology, 14.</w:t>
      </w:r>
    </w:p>
    <w:p w14:paraId="6C7F3CDA" w14:textId="0E28E813"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t xml:space="preserve">Anderson, M., Pitchforth, E., Asaria, M., Brayne, C., Casadei, B., Charlesworth, A., Coulter, A., Franklin, B.D., Donaldson, C., Drummond, M., </w:t>
      </w:r>
      <w:r w:rsidR="006666EE" w:rsidRPr="6138D773">
        <w:rPr>
          <w:rFonts w:asciiTheme="majorHAnsi" w:hAnsiTheme="majorHAnsi" w:cs="Times New Roman"/>
          <w:color w:val="000000" w:themeColor="text1"/>
          <w:sz w:val="24"/>
          <w:szCs w:val="24"/>
        </w:rPr>
        <w:t>Dunned</w:t>
      </w:r>
      <w:r w:rsidRPr="6138D773">
        <w:rPr>
          <w:rFonts w:asciiTheme="majorHAnsi" w:hAnsiTheme="majorHAnsi" w:cs="Times New Roman"/>
          <w:color w:val="000000" w:themeColor="text1"/>
          <w:sz w:val="24"/>
          <w:szCs w:val="24"/>
        </w:rPr>
        <w:t xml:space="preserve">, K., Foster, M., Hussey, R., Johnson, P., Johnston-Webber, C., Knapp, M., Lavery, G., Longley, M., Clark, J.M. and Majeed, A. (2021). </w:t>
      </w:r>
      <w:bookmarkStart w:id="4" w:name="_Int_bMEAAndA"/>
      <w:r w:rsidRPr="6138D773">
        <w:rPr>
          <w:rFonts w:asciiTheme="majorHAnsi" w:hAnsiTheme="majorHAnsi" w:cs="Times New Roman"/>
          <w:color w:val="000000" w:themeColor="text1"/>
          <w:sz w:val="24"/>
          <w:szCs w:val="24"/>
        </w:rPr>
        <w:t>LSE–Lancet Commission on the future of the NHS: re-laying the foundations for an equitable and efficient health and care service after COVID-19.</w:t>
      </w:r>
      <w:bookmarkEnd w:id="4"/>
      <w:r w:rsidRPr="6138D773">
        <w:rPr>
          <w:rFonts w:asciiTheme="majorHAnsi" w:hAnsiTheme="majorHAnsi" w:cs="Times New Roman"/>
          <w:color w:val="000000" w:themeColor="text1"/>
          <w:sz w:val="24"/>
          <w:szCs w:val="24"/>
        </w:rPr>
        <w:t> The Lancet, 397(10288), pp.1915–1978.</w:t>
      </w:r>
    </w:p>
    <w:p w14:paraId="684E65CA" w14:textId="77777777"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t xml:space="preserve">Archibald, M.M., Lawless, M.T., Ambagtsheer, R.C. and Kitson, A.L. (2020). </w:t>
      </w:r>
      <w:bookmarkStart w:id="5" w:name="_Int_JIAFRhjI"/>
      <w:r w:rsidRPr="6138D773">
        <w:rPr>
          <w:rFonts w:asciiTheme="majorHAnsi" w:hAnsiTheme="majorHAnsi" w:cs="Times New Roman"/>
          <w:color w:val="000000" w:themeColor="text1"/>
          <w:sz w:val="24"/>
          <w:szCs w:val="24"/>
        </w:rPr>
        <w:t>Understanding Consumer Perceptions of Frailty Screening to Inform Knowledge Translation and Health Service Improvements.</w:t>
      </w:r>
      <w:bookmarkEnd w:id="5"/>
      <w:r w:rsidRPr="6138D773">
        <w:rPr>
          <w:rFonts w:asciiTheme="majorHAnsi" w:hAnsiTheme="majorHAnsi" w:cs="Times New Roman"/>
          <w:color w:val="000000" w:themeColor="text1"/>
          <w:sz w:val="24"/>
          <w:szCs w:val="24"/>
        </w:rPr>
        <w:t> Age and Ageing, 50(1), pp.227–232.</w:t>
      </w:r>
    </w:p>
    <w:p w14:paraId="22A3D41F" w14:textId="1057C855"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t xml:space="preserve">Author, Author, Davies, N., Atkins, G., Guerin, B. and Sodhi, S. (2020). Image area Image to come to top of picture box How fit were public services for coronavirus?  Available at: </w:t>
      </w:r>
      <w:r w:rsidR="00716A95" w:rsidRPr="007204D7">
        <w:rPr>
          <w:rFonts w:asciiTheme="majorHAnsi" w:hAnsiTheme="majorHAnsi" w:cs="Times New Roman"/>
          <w:sz w:val="24"/>
          <w:szCs w:val="24"/>
        </w:rPr>
        <w:t>http://allcatsrgrey.org.uk/wp/download/health_services/how-fit-public-services-coronavirus.pdf</w:t>
      </w:r>
      <w:r w:rsidR="00716A95" w:rsidRPr="6138D773">
        <w:rPr>
          <w:rFonts w:asciiTheme="majorHAnsi" w:hAnsiTheme="majorHAnsi" w:cs="Times New Roman"/>
          <w:color w:val="000000" w:themeColor="text1"/>
          <w:sz w:val="24"/>
          <w:szCs w:val="24"/>
        </w:rPr>
        <w:t>.</w:t>
      </w:r>
      <w:r w:rsidRPr="6138D773">
        <w:rPr>
          <w:rFonts w:asciiTheme="majorHAnsi" w:hAnsiTheme="majorHAnsi" w:cs="Times New Roman"/>
          <w:color w:val="000000" w:themeColor="text1"/>
          <w:sz w:val="24"/>
          <w:szCs w:val="24"/>
        </w:rPr>
        <w:t xml:space="preserve"> [Accessed </w:t>
      </w:r>
      <w:r w:rsidR="00716A95" w:rsidRPr="6138D773">
        <w:rPr>
          <w:rFonts w:asciiTheme="majorHAnsi" w:hAnsiTheme="majorHAnsi" w:cs="Times New Roman"/>
          <w:color w:val="000000" w:themeColor="text1"/>
          <w:sz w:val="24"/>
          <w:szCs w:val="24"/>
        </w:rPr>
        <w:t>3</w:t>
      </w:r>
      <w:r w:rsidRPr="6138D773">
        <w:rPr>
          <w:rFonts w:asciiTheme="majorHAnsi" w:hAnsiTheme="majorHAnsi" w:cs="Times New Roman"/>
          <w:color w:val="000000" w:themeColor="text1"/>
          <w:sz w:val="24"/>
          <w:szCs w:val="24"/>
        </w:rPr>
        <w:t xml:space="preserve"> Apr. 2024].</w:t>
      </w:r>
    </w:p>
    <w:p w14:paraId="020D65A8" w14:textId="77777777"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bookmarkStart w:id="6" w:name="_Int_EOyxrYBO"/>
      <w:r w:rsidRPr="6138D773">
        <w:rPr>
          <w:rFonts w:asciiTheme="majorHAnsi" w:hAnsiTheme="majorHAnsi" w:cs="Times New Roman"/>
          <w:color w:val="000000" w:themeColor="text1"/>
          <w:sz w:val="24"/>
          <w:szCs w:val="24"/>
        </w:rPr>
        <w:lastRenderedPageBreak/>
        <w:t>Bani Issa, W., Al Akour, I., Ibrahim, A., Almarzouqi, A., Abbas, S., Hisham, F. and Griffiths, J. (2020).</w:t>
      </w:r>
      <w:bookmarkEnd w:id="6"/>
      <w:r w:rsidRPr="6138D773">
        <w:rPr>
          <w:rFonts w:asciiTheme="majorHAnsi" w:hAnsiTheme="majorHAnsi" w:cs="Times New Roman"/>
          <w:color w:val="000000" w:themeColor="text1"/>
          <w:sz w:val="24"/>
          <w:szCs w:val="24"/>
        </w:rPr>
        <w:t xml:space="preserve"> </w:t>
      </w:r>
      <w:bookmarkStart w:id="7" w:name="_Int_gDCAbIjm"/>
      <w:r w:rsidRPr="6138D773">
        <w:rPr>
          <w:rFonts w:asciiTheme="majorHAnsi" w:hAnsiTheme="majorHAnsi" w:cs="Times New Roman"/>
          <w:color w:val="000000" w:themeColor="text1"/>
          <w:sz w:val="24"/>
          <w:szCs w:val="24"/>
        </w:rPr>
        <w:t>Privacy, confidentiality, Security and Patient Safety Concerns about Electronic Health Records.</w:t>
      </w:r>
      <w:bookmarkEnd w:id="7"/>
      <w:r w:rsidRPr="6138D773">
        <w:rPr>
          <w:rFonts w:asciiTheme="majorHAnsi" w:hAnsiTheme="majorHAnsi" w:cs="Times New Roman"/>
          <w:color w:val="000000" w:themeColor="text1"/>
          <w:sz w:val="24"/>
          <w:szCs w:val="24"/>
        </w:rPr>
        <w:t> International Nursing Review, 67(2), pp.218–230.</w:t>
      </w:r>
    </w:p>
    <w:p w14:paraId="5701A0F1" w14:textId="77777777" w:rsid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t>Beck, D., Closs-Davies, S. and Gwilym, H. (2022). </w:t>
      </w:r>
      <w:bookmarkStart w:id="8" w:name="_Int_Qh1VXUDP"/>
      <w:r w:rsidRPr="6138D773">
        <w:rPr>
          <w:rFonts w:asciiTheme="majorHAnsi" w:hAnsiTheme="majorHAnsi" w:cs="Times New Roman"/>
          <w:color w:val="000000" w:themeColor="text1"/>
          <w:sz w:val="24"/>
          <w:szCs w:val="24"/>
        </w:rPr>
        <w:t>Inquiry into Benefits in Wales: options for a better delivery.</w:t>
      </w:r>
      <w:bookmarkEnd w:id="8"/>
    </w:p>
    <w:p w14:paraId="635B59E7" w14:textId="5829BCFA" w:rsidR="00E05839" w:rsidRPr="00E05839" w:rsidRDefault="00E05839" w:rsidP="007204D7">
      <w:pPr>
        <w:pStyle w:val="NormalWeb"/>
        <w:spacing w:beforeAutospacing="0" w:after="240" w:afterAutospacing="0" w:line="360" w:lineRule="atLeast"/>
        <w:jc w:val="both"/>
        <w:divId w:val="958219413"/>
        <w:rPr>
          <w:rFonts w:asciiTheme="majorHAnsi" w:hAnsiTheme="majorHAnsi"/>
          <w:color w:val="000000"/>
        </w:rPr>
      </w:pPr>
      <w:r w:rsidRPr="6138D773">
        <w:rPr>
          <w:rFonts w:asciiTheme="majorHAnsi" w:hAnsiTheme="majorHAnsi"/>
          <w:color w:val="000000" w:themeColor="text1"/>
        </w:rPr>
        <w:t>Bridge, S., Murtagh, B. and O’Neill, K. (2020).</w:t>
      </w:r>
      <w:r w:rsidRPr="6138D773">
        <w:rPr>
          <w:rStyle w:val="apple-converted-space"/>
          <w:rFonts w:asciiTheme="majorHAnsi" w:hAnsiTheme="majorHAnsi"/>
          <w:color w:val="000000" w:themeColor="text1"/>
        </w:rPr>
        <w:t> </w:t>
      </w:r>
      <w:r w:rsidRPr="6138D773">
        <w:rPr>
          <w:rFonts w:asciiTheme="majorHAnsi" w:hAnsiTheme="majorHAnsi"/>
          <w:color w:val="000000" w:themeColor="text1"/>
        </w:rPr>
        <w:t>Understanding the Social Economy and the Third Sector.</w:t>
      </w:r>
      <w:r w:rsidRPr="6138D773">
        <w:rPr>
          <w:rStyle w:val="apple-converted-space"/>
          <w:rFonts w:asciiTheme="majorHAnsi" w:hAnsiTheme="majorHAnsi"/>
          <w:color w:val="000000" w:themeColor="text1"/>
        </w:rPr>
        <w:t> </w:t>
      </w:r>
      <w:r w:rsidRPr="6138D773">
        <w:rPr>
          <w:rFonts w:asciiTheme="majorHAnsi" w:hAnsiTheme="majorHAnsi"/>
          <w:color w:val="000000" w:themeColor="text1"/>
        </w:rPr>
        <w:t>Google Books. Bloomsbury Publishing.</w:t>
      </w:r>
    </w:p>
    <w:p w14:paraId="74881F42" w14:textId="77777777"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t xml:space="preserve">Burgers, J.S., van der Weijden, T. and Bischoff, E.W.M.A. (2021). </w:t>
      </w:r>
      <w:bookmarkStart w:id="9" w:name="_Int_mOk9zkIb"/>
      <w:r w:rsidRPr="6138D773">
        <w:rPr>
          <w:rFonts w:asciiTheme="majorHAnsi" w:hAnsiTheme="majorHAnsi" w:cs="Times New Roman"/>
          <w:color w:val="000000" w:themeColor="text1"/>
          <w:sz w:val="24"/>
          <w:szCs w:val="24"/>
        </w:rPr>
        <w:t>Challenges of Research on Person-Centered Care in General Practice: a Scoping Review.</w:t>
      </w:r>
      <w:bookmarkEnd w:id="9"/>
      <w:r w:rsidRPr="6138D773">
        <w:rPr>
          <w:rFonts w:asciiTheme="majorHAnsi" w:hAnsiTheme="majorHAnsi" w:cs="Times New Roman"/>
          <w:color w:val="000000" w:themeColor="text1"/>
          <w:sz w:val="24"/>
          <w:szCs w:val="24"/>
        </w:rPr>
        <w:t> Frontiers in Medicine, 8.</w:t>
      </w:r>
    </w:p>
    <w:p w14:paraId="2524126D" w14:textId="77777777"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t>Coleman, A., McDermott, I., Warwick-Giles, L. and Checkland, K. (2020). </w:t>
      </w:r>
      <w:bookmarkStart w:id="10" w:name="_Int_lvTfL7pQ"/>
      <w:r w:rsidRPr="6138D773">
        <w:rPr>
          <w:rFonts w:asciiTheme="majorHAnsi" w:hAnsiTheme="majorHAnsi" w:cs="Times New Roman"/>
          <w:color w:val="000000" w:themeColor="text1"/>
          <w:sz w:val="24"/>
          <w:szCs w:val="24"/>
        </w:rPr>
        <w:t>The development and early operation of Clinical Commissioning Groups (CCGs).</w:t>
      </w:r>
      <w:bookmarkEnd w:id="10"/>
    </w:p>
    <w:p w14:paraId="73E3A534" w14:textId="77777777"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t>Coyle, D., Dreesbeimdiek, K. and Manley, A. (2021). PRODUCTIVITY IN UK HEALTHCARE DURING AND AFTER THE COVID-19 PANDEMIC. National Institute Economic Review, 258(1), pp.90–116.</w:t>
      </w:r>
    </w:p>
    <w:p w14:paraId="7F45B246" w14:textId="77777777"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t>Daly, M. (2020). COVID‐19 and Care Homes in England: What Happened and Why? Social Policy &amp; Administration, 54(7).</w:t>
      </w:r>
    </w:p>
    <w:p w14:paraId="2FD52755" w14:textId="77777777"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t xml:space="preserve">Damarell, R.A., Morgan, D.D. and Tieman, J.J. (2020). </w:t>
      </w:r>
      <w:bookmarkStart w:id="11" w:name="_Int_2LQWuvyk"/>
      <w:r w:rsidRPr="6138D773">
        <w:rPr>
          <w:rFonts w:asciiTheme="majorHAnsi" w:hAnsiTheme="majorHAnsi" w:cs="Times New Roman"/>
          <w:color w:val="000000" w:themeColor="text1"/>
          <w:sz w:val="24"/>
          <w:szCs w:val="24"/>
        </w:rPr>
        <w:t>General Practitioner Strategies for Managing Patients with multimorbidity: a Systematic Review and Thematic Synthesis of Qualitative Research.</w:t>
      </w:r>
      <w:bookmarkEnd w:id="11"/>
      <w:r w:rsidRPr="6138D773">
        <w:rPr>
          <w:rFonts w:asciiTheme="majorHAnsi" w:hAnsiTheme="majorHAnsi" w:cs="Times New Roman"/>
          <w:color w:val="000000" w:themeColor="text1"/>
          <w:sz w:val="24"/>
          <w:szCs w:val="24"/>
        </w:rPr>
        <w:t> BMC Family Practice, 21(1).</w:t>
      </w:r>
    </w:p>
    <w:p w14:paraId="1F52C41E" w14:textId="3E1116C2"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t xml:space="preserve">Davies, K., Maharani, A., Chandola, T., Todd, C. and Pendleton, N. (2021). The Longitudinal Relationship between loneliness, </w:t>
      </w:r>
      <w:r w:rsidR="007A2B68" w:rsidRPr="6138D773">
        <w:rPr>
          <w:rFonts w:asciiTheme="majorHAnsi" w:hAnsiTheme="majorHAnsi" w:cs="Times New Roman"/>
          <w:color w:val="000000" w:themeColor="text1"/>
          <w:sz w:val="24"/>
          <w:szCs w:val="24"/>
        </w:rPr>
        <w:t>social</w:t>
      </w:r>
      <w:r w:rsidRPr="6138D773">
        <w:rPr>
          <w:rFonts w:asciiTheme="majorHAnsi" w:hAnsiTheme="majorHAnsi" w:cs="Times New Roman"/>
          <w:color w:val="000000" w:themeColor="text1"/>
          <w:sz w:val="24"/>
          <w:szCs w:val="24"/>
        </w:rPr>
        <w:t xml:space="preserve"> isolation, and Frailty in Older Adults in England: </w:t>
      </w:r>
      <w:r w:rsidR="007A2B68" w:rsidRPr="6138D773">
        <w:rPr>
          <w:rFonts w:asciiTheme="majorHAnsi" w:hAnsiTheme="majorHAnsi" w:cs="Times New Roman"/>
          <w:color w:val="000000" w:themeColor="text1"/>
          <w:sz w:val="24"/>
          <w:szCs w:val="24"/>
        </w:rPr>
        <w:t>A</w:t>
      </w:r>
      <w:r w:rsidRPr="6138D773">
        <w:rPr>
          <w:rFonts w:asciiTheme="majorHAnsi" w:hAnsiTheme="majorHAnsi" w:cs="Times New Roman"/>
          <w:color w:val="000000" w:themeColor="text1"/>
          <w:sz w:val="24"/>
          <w:szCs w:val="24"/>
        </w:rPr>
        <w:t xml:space="preserve"> Prospective Analysis. The Lancet Healthy Longevity, 2(2).</w:t>
      </w:r>
    </w:p>
    <w:p w14:paraId="453A7D61" w14:textId="77777777"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t>Davies, N., Hoddinott, S., Fright, M., Nye, P., Shepley, P. and Richards, G. (2023). Spring update.</w:t>
      </w:r>
    </w:p>
    <w:p w14:paraId="6FE8BAD7" w14:textId="77777777"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t xml:space="preserve">Davis, JD, MA, PMP, M., Dedon, JD, L., Hoffman, MPH, S., Baker-White, JD, MPH, A., Engleman, JD, D. and Sunshine, JD, G. (2023). </w:t>
      </w:r>
      <w:bookmarkStart w:id="12" w:name="_Int_OtDyRZrr"/>
      <w:r w:rsidRPr="6138D773">
        <w:rPr>
          <w:rFonts w:asciiTheme="majorHAnsi" w:hAnsiTheme="majorHAnsi" w:cs="Times New Roman"/>
          <w:color w:val="000000" w:themeColor="text1"/>
          <w:sz w:val="24"/>
          <w:szCs w:val="24"/>
        </w:rPr>
        <w:t>Emergency powers and the pandemic: Reflecting on state legislative reforms and the future of public health response.</w:t>
      </w:r>
      <w:bookmarkEnd w:id="12"/>
      <w:r w:rsidRPr="6138D773">
        <w:rPr>
          <w:rFonts w:asciiTheme="majorHAnsi" w:hAnsiTheme="majorHAnsi" w:cs="Times New Roman"/>
          <w:color w:val="000000" w:themeColor="text1"/>
          <w:sz w:val="24"/>
          <w:szCs w:val="24"/>
        </w:rPr>
        <w:t> Journal of Emergency Management, 21(7), pp.19–35.</w:t>
      </w:r>
    </w:p>
    <w:p w14:paraId="4E54CAAF" w14:textId="77777777"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lastRenderedPageBreak/>
        <w:t xml:space="preserve">Dube, N., Li, Q., Selviaridis, K. and Jahre, M. (2022). </w:t>
      </w:r>
      <w:bookmarkStart w:id="13" w:name="_Int_MDbqviby"/>
      <w:r w:rsidRPr="6138D773">
        <w:rPr>
          <w:rFonts w:asciiTheme="majorHAnsi" w:hAnsiTheme="majorHAnsi" w:cs="Times New Roman"/>
          <w:color w:val="000000" w:themeColor="text1"/>
          <w:sz w:val="24"/>
          <w:szCs w:val="24"/>
        </w:rPr>
        <w:t>One crisis, different paths to supply resilience: The case of ventilator procurement for the COVID-19 pandemic.</w:t>
      </w:r>
      <w:bookmarkEnd w:id="13"/>
      <w:r w:rsidRPr="6138D773">
        <w:rPr>
          <w:rFonts w:asciiTheme="majorHAnsi" w:hAnsiTheme="majorHAnsi" w:cs="Times New Roman"/>
          <w:color w:val="000000" w:themeColor="text1"/>
          <w:sz w:val="24"/>
          <w:szCs w:val="24"/>
        </w:rPr>
        <w:t> Journal of Purchasing and Supply Management, 28(5), p.100773.</w:t>
      </w:r>
    </w:p>
    <w:p w14:paraId="25F069BA" w14:textId="77777777"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t>Fogg, C., Fraser, S.D.S., Roderick, P., de Lusignan, S., Clegg, A., Brailsford, S., Barkham, A., Patel, H.P., Windle, V., Harris, S., Zhu, S., England, T., Evenden, D., Lambert, F. and Walsh, B. (2022). The Dynamics of Frailty Development and Progression in Older Adults in Primary Care in England (2006–2017): a Retrospective Cohort Profile. BMC Geriatrics, 22(1).</w:t>
      </w:r>
    </w:p>
    <w:p w14:paraId="1314C95C" w14:textId="77777777"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t>Gillam, S. (2021). Leadership and Management for Doctors in Training. CRC Press, p.11.</w:t>
      </w:r>
    </w:p>
    <w:p w14:paraId="1F7D7829" w14:textId="77777777"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t>Hayward, W. (2022). Independent Nation: Should Wales Leave the UK? Google Books. Biteback Publishing.</w:t>
      </w:r>
    </w:p>
    <w:p w14:paraId="2B77770A" w14:textId="77777777"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t>Henderson, D.A.G., Atherton, I., McCowan, C., Mercer, S.W. and Bailey, N. (2020). Linkage of National Health and Social Care data: a cross-sectional Study of Multimorbidity and Social Care Use in People Aged over 65 years in Scotland. Age and Ageing, 50(8).</w:t>
      </w:r>
    </w:p>
    <w:p w14:paraId="211E92AD" w14:textId="5E159D11"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1AED5CD7">
        <w:rPr>
          <w:rFonts w:asciiTheme="majorHAnsi" w:hAnsiTheme="majorHAnsi" w:cs="Times New Roman"/>
          <w:color w:val="000000" w:themeColor="text1"/>
          <w:sz w:val="24"/>
          <w:szCs w:val="24"/>
        </w:rPr>
        <w:t>Hoddinott, S. (2023). </w:t>
      </w:r>
      <w:bookmarkStart w:id="14" w:name="_Int_y9oGWmev"/>
      <w:r w:rsidRPr="1AED5CD7">
        <w:rPr>
          <w:rFonts w:asciiTheme="majorHAnsi" w:hAnsiTheme="majorHAnsi" w:cs="Times New Roman"/>
          <w:color w:val="000000" w:themeColor="text1"/>
          <w:sz w:val="24"/>
          <w:szCs w:val="24"/>
        </w:rPr>
        <w:t>The NHS crisis Does the Sunak government have a plan?</w:t>
      </w:r>
      <w:bookmarkEnd w:id="14"/>
      <w:r w:rsidRPr="1AED5CD7">
        <w:rPr>
          <w:rFonts w:asciiTheme="majorHAnsi" w:hAnsiTheme="majorHAnsi" w:cs="Times New Roman"/>
          <w:color w:val="000000" w:themeColor="text1"/>
          <w:sz w:val="24"/>
          <w:szCs w:val="24"/>
        </w:rPr>
        <w:t xml:space="preserve"> Available at:</w:t>
      </w:r>
      <w:r w:rsidR="009E18B8" w:rsidRPr="007204D7">
        <w:rPr>
          <w:rFonts w:asciiTheme="majorHAnsi" w:hAnsiTheme="majorHAnsi" w:cs="Times New Roman"/>
          <w:sz w:val="24"/>
          <w:szCs w:val="24"/>
        </w:rPr>
        <w:t>https://www.instituteforgovernment.org.uk/sites/default/files/2023-01/NHS-crisis-does-government-have-a-plan.pdf</w:t>
      </w:r>
      <w:r w:rsidR="009E18B8" w:rsidRPr="1AED5CD7">
        <w:rPr>
          <w:rFonts w:asciiTheme="majorHAnsi" w:hAnsiTheme="majorHAnsi" w:cs="Times New Roman"/>
          <w:color w:val="000000" w:themeColor="text1"/>
          <w:sz w:val="24"/>
          <w:szCs w:val="24"/>
        </w:rPr>
        <w:t>.</w:t>
      </w:r>
      <w:r w:rsidRPr="1AED5CD7">
        <w:rPr>
          <w:rFonts w:asciiTheme="majorHAnsi" w:hAnsiTheme="majorHAnsi" w:cs="Times New Roman"/>
          <w:color w:val="000000" w:themeColor="text1"/>
          <w:sz w:val="24"/>
          <w:szCs w:val="24"/>
        </w:rPr>
        <w:t xml:space="preserve">[Accessed </w:t>
      </w:r>
      <w:r w:rsidR="009E18B8" w:rsidRPr="1AED5CD7">
        <w:rPr>
          <w:rFonts w:asciiTheme="majorHAnsi" w:hAnsiTheme="majorHAnsi" w:cs="Times New Roman"/>
          <w:color w:val="000000" w:themeColor="text1"/>
          <w:sz w:val="24"/>
          <w:szCs w:val="24"/>
        </w:rPr>
        <w:t>4</w:t>
      </w:r>
      <w:r w:rsidRPr="1AED5CD7">
        <w:rPr>
          <w:rFonts w:asciiTheme="majorHAnsi" w:hAnsiTheme="majorHAnsi" w:cs="Times New Roman"/>
          <w:color w:val="000000" w:themeColor="text1"/>
          <w:sz w:val="24"/>
          <w:szCs w:val="24"/>
        </w:rPr>
        <w:t xml:space="preserve"> Apr. 2024].</w:t>
      </w:r>
    </w:p>
    <w:p w14:paraId="2CEDBABC" w14:textId="32ED67F8"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t xml:space="preserve">Hodge, J.G., Dunning, </w:t>
      </w:r>
      <w:r w:rsidR="594707B1" w:rsidRPr="6138D773">
        <w:rPr>
          <w:rFonts w:asciiTheme="majorHAnsi" w:hAnsiTheme="majorHAnsi" w:cs="Times New Roman"/>
          <w:color w:val="000000" w:themeColor="text1"/>
          <w:sz w:val="24"/>
          <w:szCs w:val="24"/>
        </w:rPr>
        <w:t>L.T.,</w:t>
      </w:r>
      <w:r w:rsidRPr="6138D773">
        <w:rPr>
          <w:rFonts w:asciiTheme="majorHAnsi" w:hAnsiTheme="majorHAnsi" w:cs="Times New Roman"/>
          <w:color w:val="000000" w:themeColor="text1"/>
          <w:sz w:val="24"/>
          <w:szCs w:val="24"/>
        </w:rPr>
        <w:t xml:space="preserve"> and Piatt, J.L. (2022). State Public Health Emergency Powers in Response to COVID-19. American Journal of Public Health, 113(3), </w:t>
      </w:r>
      <w:r w:rsidR="009B3228" w:rsidRPr="6138D773">
        <w:rPr>
          <w:rFonts w:asciiTheme="majorHAnsi" w:hAnsiTheme="majorHAnsi" w:cs="Times New Roman"/>
          <w:color w:val="000000" w:themeColor="text1"/>
          <w:sz w:val="24"/>
          <w:szCs w:val="24"/>
        </w:rPr>
        <w:t>pp. e</w:t>
      </w:r>
      <w:r w:rsidRPr="6138D773">
        <w:rPr>
          <w:rFonts w:asciiTheme="majorHAnsi" w:hAnsiTheme="majorHAnsi" w:cs="Times New Roman"/>
          <w:color w:val="000000" w:themeColor="text1"/>
          <w:sz w:val="24"/>
          <w:szCs w:val="24"/>
        </w:rPr>
        <w:t>1–e5.</w:t>
      </w:r>
    </w:p>
    <w:p w14:paraId="37218781" w14:textId="77777777"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t xml:space="preserve">Hodge, J.G., Hanfling, D., Hick, J.L. and Piatt, J.L. (2021). </w:t>
      </w:r>
      <w:bookmarkStart w:id="15" w:name="_Int_flMwaub0"/>
      <w:r w:rsidRPr="6138D773">
        <w:rPr>
          <w:rFonts w:asciiTheme="majorHAnsi" w:hAnsiTheme="majorHAnsi" w:cs="Times New Roman"/>
          <w:color w:val="000000" w:themeColor="text1"/>
          <w:sz w:val="24"/>
          <w:szCs w:val="24"/>
        </w:rPr>
        <w:t>Diminishing disparities in U.S. crisis standards of care: Medical and legal challenges.</w:t>
      </w:r>
      <w:bookmarkEnd w:id="15"/>
      <w:r w:rsidRPr="6138D773">
        <w:rPr>
          <w:rFonts w:asciiTheme="majorHAnsi" w:hAnsiTheme="majorHAnsi" w:cs="Times New Roman"/>
          <w:color w:val="000000" w:themeColor="text1"/>
          <w:sz w:val="24"/>
          <w:szCs w:val="24"/>
        </w:rPr>
        <w:t> EClinicalMedicine, 34(1), p.100838.</w:t>
      </w:r>
    </w:p>
    <w:p w14:paraId="1C582519" w14:textId="6AD23CA3"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t>Hutchings, R. (2020). </w:t>
      </w:r>
      <w:bookmarkStart w:id="16" w:name="_Int_ojI4C9wX"/>
      <w:r w:rsidRPr="6138D773">
        <w:rPr>
          <w:rFonts w:asciiTheme="majorHAnsi" w:hAnsiTheme="majorHAnsi" w:cs="Times New Roman"/>
          <w:color w:val="000000" w:themeColor="text1"/>
          <w:sz w:val="24"/>
          <w:szCs w:val="24"/>
        </w:rPr>
        <w:t xml:space="preserve">Key points </w:t>
      </w:r>
      <w:r w:rsidR="009B3228" w:rsidRPr="6138D773">
        <w:rPr>
          <w:rFonts w:asciiTheme="majorHAnsi" w:hAnsiTheme="majorHAnsi" w:cs="Times New Roman"/>
          <w:color w:val="000000" w:themeColor="text1"/>
          <w:sz w:val="24"/>
          <w:szCs w:val="24"/>
        </w:rPr>
        <w:t>the</w:t>
      </w:r>
      <w:r w:rsidRPr="6138D773">
        <w:rPr>
          <w:rFonts w:asciiTheme="majorHAnsi" w:hAnsiTheme="majorHAnsi" w:cs="Times New Roman"/>
          <w:color w:val="000000" w:themeColor="text1"/>
          <w:sz w:val="24"/>
          <w:szCs w:val="24"/>
        </w:rPr>
        <w:t xml:space="preserve"> impact of Covid-19 on the use of digital technology in the NHS.</w:t>
      </w:r>
      <w:bookmarkEnd w:id="16"/>
      <w:r w:rsidRPr="6138D773">
        <w:rPr>
          <w:rFonts w:asciiTheme="majorHAnsi" w:hAnsiTheme="majorHAnsi" w:cs="Times New Roman"/>
          <w:color w:val="000000" w:themeColor="text1"/>
          <w:sz w:val="24"/>
          <w:szCs w:val="24"/>
        </w:rPr>
        <w:t xml:space="preserve"> Nuffield Trust. Available at: </w:t>
      </w:r>
      <w:r w:rsidR="00202006" w:rsidRPr="007204D7">
        <w:rPr>
          <w:rFonts w:asciiTheme="majorHAnsi" w:hAnsiTheme="majorHAnsi" w:cs="Times New Roman"/>
          <w:sz w:val="24"/>
          <w:szCs w:val="24"/>
        </w:rPr>
        <w:t>https://www.nuffieldtrust.org.uk/sites/default/files/2020-08/the-impact-of-covid-19-on-the-use-of-digital-technology-in-the-nhs-web-2.pdf</w:t>
      </w:r>
      <w:r w:rsidR="00202006" w:rsidRPr="6138D773">
        <w:rPr>
          <w:rFonts w:asciiTheme="majorHAnsi" w:hAnsiTheme="majorHAnsi" w:cs="Times New Roman"/>
          <w:color w:val="000000" w:themeColor="text1"/>
          <w:sz w:val="24"/>
          <w:szCs w:val="24"/>
        </w:rPr>
        <w:t>.</w:t>
      </w:r>
      <w:r w:rsidRPr="6138D773">
        <w:rPr>
          <w:rFonts w:asciiTheme="majorHAnsi" w:hAnsiTheme="majorHAnsi" w:cs="Times New Roman"/>
          <w:color w:val="000000" w:themeColor="text1"/>
          <w:sz w:val="24"/>
          <w:szCs w:val="24"/>
        </w:rPr>
        <w:t xml:space="preserve">[Accessed </w:t>
      </w:r>
      <w:r w:rsidR="00202006" w:rsidRPr="6138D773">
        <w:rPr>
          <w:rFonts w:asciiTheme="majorHAnsi" w:hAnsiTheme="majorHAnsi" w:cs="Times New Roman"/>
          <w:color w:val="000000" w:themeColor="text1"/>
          <w:sz w:val="24"/>
          <w:szCs w:val="24"/>
        </w:rPr>
        <w:t>8</w:t>
      </w:r>
      <w:r w:rsidRPr="6138D773">
        <w:rPr>
          <w:rFonts w:asciiTheme="majorHAnsi" w:hAnsiTheme="majorHAnsi" w:cs="Times New Roman"/>
          <w:color w:val="000000" w:themeColor="text1"/>
          <w:sz w:val="24"/>
          <w:szCs w:val="24"/>
        </w:rPr>
        <w:t xml:space="preserve"> Apr. 2024].</w:t>
      </w:r>
    </w:p>
    <w:p w14:paraId="7C9403A0" w14:textId="77777777"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t>Ifan, G., Siôn, C. and Poole, E. (2020). Wales’ Fiscal Future: A path to sustainability? Wales Fiscal Analysis M A R CH 2 0 2 0.</w:t>
      </w:r>
    </w:p>
    <w:p w14:paraId="555BFF45" w14:textId="588963AF"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lastRenderedPageBreak/>
        <w:t xml:space="preserve">Ifan, G., Siôn, C. and Wincott, D. (2022). DEVOLUTION, </w:t>
      </w:r>
      <w:r w:rsidR="7719130E" w:rsidRPr="6138D773">
        <w:rPr>
          <w:rFonts w:asciiTheme="majorHAnsi" w:hAnsiTheme="majorHAnsi" w:cs="Times New Roman"/>
          <w:color w:val="000000" w:themeColor="text1"/>
          <w:sz w:val="24"/>
          <w:szCs w:val="24"/>
        </w:rPr>
        <w:t>INDEPENDENCE,</w:t>
      </w:r>
      <w:r w:rsidRPr="6138D773">
        <w:rPr>
          <w:rFonts w:asciiTheme="majorHAnsi" w:hAnsiTheme="majorHAnsi" w:cs="Times New Roman"/>
          <w:color w:val="000000" w:themeColor="text1"/>
          <w:sz w:val="24"/>
          <w:szCs w:val="24"/>
        </w:rPr>
        <w:t xml:space="preserve"> AND WALES’ FISCAL DEFICIT. National Institute Economic Review, 261(1), pp.16–33.</w:t>
      </w:r>
    </w:p>
    <w:p w14:paraId="455CD45B" w14:textId="77777777"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t>Jones, R. and Jenkins, F. (2021). Managing and Leading in the Allied Health Professions. London: Routledge, pp.16–31.</w:t>
      </w:r>
    </w:p>
    <w:p w14:paraId="154B7C2E" w14:textId="77777777"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t>K. Ganapathy and Reddy, S. (2020). Technology Enabled Remote Healthcare in Public Private Partnership Mode: A Story from India. Telemedicine, Telehealth and Telepresence, pp.197–233.</w:t>
      </w:r>
    </w:p>
    <w:p w14:paraId="0BE7B161" w14:textId="37DBAFE4"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bookmarkStart w:id="17" w:name="_Int_efUhDair"/>
      <w:r w:rsidRPr="6138D773">
        <w:rPr>
          <w:rFonts w:asciiTheme="majorHAnsi" w:hAnsiTheme="majorHAnsi" w:cs="Times New Roman"/>
          <w:color w:val="000000" w:themeColor="text1"/>
          <w:sz w:val="24"/>
          <w:szCs w:val="24"/>
        </w:rPr>
        <w:t>Kasajima, M., Eggleston, K., Kusaka, S., Matsui, H., Tanaka, T., Son, B.-K., Iijima, K., Goda, K., Kitsuregawa, M., Bhattacharya, J. and Hashimoto, H. (2022).</w:t>
      </w:r>
      <w:bookmarkEnd w:id="17"/>
      <w:r w:rsidRPr="6138D773">
        <w:rPr>
          <w:rFonts w:asciiTheme="majorHAnsi" w:hAnsiTheme="majorHAnsi" w:cs="Times New Roman"/>
          <w:color w:val="000000" w:themeColor="text1"/>
          <w:sz w:val="24"/>
          <w:szCs w:val="24"/>
        </w:rPr>
        <w:t xml:space="preserve"> Projecting Prevalence of Frailty and Dementia and the Economic Cost of Care in Japan from 2016 to 2043: a Microsimulation Modelling Study. The Lancet Public Health, 7(5), </w:t>
      </w:r>
      <w:r w:rsidR="004830A2" w:rsidRPr="6138D773">
        <w:rPr>
          <w:rFonts w:asciiTheme="majorHAnsi" w:hAnsiTheme="majorHAnsi" w:cs="Times New Roman"/>
          <w:color w:val="000000" w:themeColor="text1"/>
          <w:sz w:val="24"/>
          <w:szCs w:val="24"/>
        </w:rPr>
        <w:t>pp. e</w:t>
      </w:r>
      <w:r w:rsidRPr="6138D773">
        <w:rPr>
          <w:rFonts w:asciiTheme="majorHAnsi" w:hAnsiTheme="majorHAnsi" w:cs="Times New Roman"/>
          <w:color w:val="000000" w:themeColor="text1"/>
          <w:sz w:val="24"/>
          <w:szCs w:val="24"/>
        </w:rPr>
        <w:t>458–e468.</w:t>
      </w:r>
    </w:p>
    <w:p w14:paraId="528C8059" w14:textId="77777777"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t>Knight, T., Atkin, C., Martin, F.C., Subbe, C., Holland, M., Cooksley, T. and Lasserson, D. (2022). Frailty Assessment and Acute Frailty Service Provision in the UK: Results of a National ‘day of Care’ Survey. BMC Geriatrics, 22(1).</w:t>
      </w:r>
    </w:p>
    <w:p w14:paraId="7324B351" w14:textId="77777777"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t>Köchling, A. and Wehner, M.C. (2020). Discriminated by an algorithm: a Systematic Review of Discrimination and Fairness by Algorithmic decision-making in the Context of HR Recruitment and HR Development. Business Research, 13(3), pp.795–848.</w:t>
      </w:r>
    </w:p>
    <w:p w14:paraId="62001439" w14:textId="5BADF231"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t xml:space="preserve">Lewis, R., Pereira, P., Thorlby, R. and Warburton, W. (2020). Understanding and sustaining the health care service shifts accelerated by COVID-19. Available at: </w:t>
      </w:r>
      <w:r w:rsidR="0004321C" w:rsidRPr="007204D7">
        <w:rPr>
          <w:rFonts w:asciiTheme="majorHAnsi" w:hAnsiTheme="majorHAnsi" w:cs="Times New Roman"/>
          <w:sz w:val="24"/>
          <w:szCs w:val="24"/>
        </w:rPr>
        <w:t>https://www.health.org.uk/sites/default/files/2020-09/Understanding%20and%20sustaining%20the%20health%20care%20service%20shifts%20accelerated%20by%20COVID-19.pdf</w:t>
      </w:r>
      <w:r w:rsidR="00202006" w:rsidRPr="6138D773">
        <w:rPr>
          <w:rFonts w:asciiTheme="majorHAnsi" w:hAnsiTheme="majorHAnsi" w:cs="Times New Roman"/>
          <w:color w:val="000000" w:themeColor="text1"/>
          <w:sz w:val="24"/>
          <w:szCs w:val="24"/>
        </w:rPr>
        <w:t xml:space="preserve">. </w:t>
      </w:r>
      <w:r w:rsidRPr="6138D773">
        <w:rPr>
          <w:rFonts w:asciiTheme="majorHAnsi" w:hAnsiTheme="majorHAnsi" w:cs="Times New Roman"/>
          <w:color w:val="000000" w:themeColor="text1"/>
          <w:sz w:val="24"/>
          <w:szCs w:val="24"/>
        </w:rPr>
        <w:t>[Accessed 5 Apr. 2024].</w:t>
      </w:r>
    </w:p>
    <w:p w14:paraId="3814BAD4" w14:textId="77777777"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bookmarkStart w:id="18" w:name="_Int_V6Bgmm8m"/>
      <w:r w:rsidRPr="6138D773">
        <w:rPr>
          <w:rFonts w:asciiTheme="majorHAnsi" w:hAnsiTheme="majorHAnsi" w:cs="Times New Roman"/>
          <w:color w:val="000000" w:themeColor="text1"/>
          <w:sz w:val="24"/>
          <w:szCs w:val="24"/>
        </w:rPr>
        <w:t>Mangubhai, S., Sykes, H., Manley, M., Vukikomoala, K. and Beattie, M. (2020).</w:t>
      </w:r>
      <w:bookmarkEnd w:id="18"/>
      <w:r w:rsidRPr="6138D773">
        <w:rPr>
          <w:rFonts w:asciiTheme="majorHAnsi" w:hAnsiTheme="majorHAnsi" w:cs="Times New Roman"/>
          <w:color w:val="000000" w:themeColor="text1"/>
          <w:sz w:val="24"/>
          <w:szCs w:val="24"/>
        </w:rPr>
        <w:t xml:space="preserve"> </w:t>
      </w:r>
      <w:bookmarkStart w:id="19" w:name="_Int_AEY3vT3E"/>
      <w:r w:rsidRPr="6138D773">
        <w:rPr>
          <w:rFonts w:asciiTheme="majorHAnsi" w:hAnsiTheme="majorHAnsi" w:cs="Times New Roman"/>
          <w:color w:val="000000" w:themeColor="text1"/>
          <w:sz w:val="24"/>
          <w:szCs w:val="24"/>
        </w:rPr>
        <w:t>Contributions of tourism-based Marine Conservation Agreements to natural resource management in Fiji.</w:t>
      </w:r>
      <w:bookmarkEnd w:id="19"/>
      <w:r w:rsidRPr="6138D773">
        <w:rPr>
          <w:rFonts w:asciiTheme="majorHAnsi" w:hAnsiTheme="majorHAnsi" w:cs="Times New Roman"/>
          <w:color w:val="000000" w:themeColor="text1"/>
          <w:sz w:val="24"/>
          <w:szCs w:val="24"/>
        </w:rPr>
        <w:t> Ecological Economics, 171, p.106607.</w:t>
      </w:r>
    </w:p>
    <w:p w14:paraId="0E5034FB" w14:textId="77777777"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t>McDerby, N., Bail, K., Kosari, S., Shield, A., Peterson, G., Dawda, P. and Naunton, M. (2020). Canaries in the coalmine: Stakeholder Perspectives of Medication Management Reviews for Residents with Dementia. Research in Social and Administrative Pharmacy, 16(9), pp.1220–1227.</w:t>
      </w:r>
    </w:p>
    <w:p w14:paraId="360D2C1E" w14:textId="77777777"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bookmarkStart w:id="20" w:name="_Int_KuYZZgd8"/>
      <w:r w:rsidRPr="6138D773">
        <w:rPr>
          <w:rFonts w:asciiTheme="majorHAnsi" w:hAnsiTheme="majorHAnsi" w:cs="Times New Roman"/>
          <w:color w:val="000000" w:themeColor="text1"/>
          <w:sz w:val="24"/>
          <w:szCs w:val="24"/>
        </w:rPr>
        <w:lastRenderedPageBreak/>
        <w:t>McFadden, P., Ross, J., Moriarty, J., Mallett, J., Schroder, H., Ravalier, J., Manthorpe, J., Currie, D., Harron, J. and Gillen, P. (2021).</w:t>
      </w:r>
      <w:bookmarkEnd w:id="20"/>
      <w:r w:rsidRPr="6138D773">
        <w:rPr>
          <w:rFonts w:asciiTheme="majorHAnsi" w:hAnsiTheme="majorHAnsi" w:cs="Times New Roman"/>
          <w:color w:val="000000" w:themeColor="text1"/>
          <w:sz w:val="24"/>
          <w:szCs w:val="24"/>
        </w:rPr>
        <w:t xml:space="preserve"> </w:t>
      </w:r>
      <w:bookmarkStart w:id="21" w:name="_Int_ybVkG7KS"/>
      <w:r w:rsidRPr="6138D773">
        <w:rPr>
          <w:rFonts w:asciiTheme="majorHAnsi" w:hAnsiTheme="majorHAnsi" w:cs="Times New Roman"/>
          <w:color w:val="000000" w:themeColor="text1"/>
          <w:sz w:val="24"/>
          <w:szCs w:val="24"/>
        </w:rPr>
        <w:t>The Role of Coping in the Wellbeing and Work-Related Quality of Life of UK Health and Social Care Workers during COVID-19.</w:t>
      </w:r>
      <w:bookmarkEnd w:id="21"/>
      <w:r w:rsidRPr="6138D773">
        <w:rPr>
          <w:rFonts w:asciiTheme="majorHAnsi" w:hAnsiTheme="majorHAnsi" w:cs="Times New Roman"/>
          <w:color w:val="000000" w:themeColor="text1"/>
          <w:sz w:val="24"/>
          <w:szCs w:val="24"/>
        </w:rPr>
        <w:t> International Journal of Environmental Research and Public Health, 18(2), p.815.</w:t>
      </w:r>
    </w:p>
    <w:p w14:paraId="326257D0" w14:textId="77777777"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t>McGorry, P.D., Mei, C., Chanen, A., Hodges, C., Alvarez‐Jimenez, M. and Killackey, E. (2022). Designing and Scaling up Integrated Youth Mental Health Care. World Psychiatry, 21(1), pp.61–76.</w:t>
      </w:r>
    </w:p>
    <w:p w14:paraId="01CF8309" w14:textId="29DFD279"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t xml:space="preserve">Mclean, H. and Huf, B. (2020). Emergency Powers, Public </w:t>
      </w:r>
      <w:r w:rsidR="1BA68272" w:rsidRPr="6138D773">
        <w:rPr>
          <w:rFonts w:asciiTheme="majorHAnsi" w:hAnsiTheme="majorHAnsi" w:cs="Times New Roman"/>
          <w:color w:val="000000" w:themeColor="text1"/>
          <w:sz w:val="24"/>
          <w:szCs w:val="24"/>
        </w:rPr>
        <w:t>Health,</w:t>
      </w:r>
      <w:r w:rsidRPr="6138D773">
        <w:rPr>
          <w:rFonts w:asciiTheme="majorHAnsi" w:hAnsiTheme="majorHAnsi" w:cs="Times New Roman"/>
          <w:color w:val="000000" w:themeColor="text1"/>
          <w:sz w:val="24"/>
          <w:szCs w:val="24"/>
        </w:rPr>
        <w:t xml:space="preserve"> and COVID-19. Available at: </w:t>
      </w:r>
      <w:r w:rsidR="00540A2E" w:rsidRPr="007204D7">
        <w:rPr>
          <w:rFonts w:asciiTheme="majorHAnsi" w:hAnsiTheme="majorHAnsi" w:cs="Times New Roman"/>
          <w:sz w:val="24"/>
          <w:szCs w:val="24"/>
        </w:rPr>
        <w:t>https://constitutionwatch.com.au/wp-content/uploads/2020_2_Emergency-powers-Public-Health-and-COVID-19_RP.pdf</w:t>
      </w:r>
      <w:r w:rsidR="0004321C" w:rsidRPr="6138D773">
        <w:rPr>
          <w:rFonts w:asciiTheme="majorHAnsi" w:hAnsiTheme="majorHAnsi" w:cs="Times New Roman"/>
          <w:color w:val="000000" w:themeColor="text1"/>
          <w:sz w:val="24"/>
          <w:szCs w:val="24"/>
        </w:rPr>
        <w:t xml:space="preserve">. </w:t>
      </w:r>
      <w:r w:rsidRPr="6138D773">
        <w:rPr>
          <w:rFonts w:asciiTheme="majorHAnsi" w:hAnsiTheme="majorHAnsi" w:cs="Times New Roman"/>
          <w:color w:val="000000" w:themeColor="text1"/>
          <w:sz w:val="24"/>
          <w:szCs w:val="24"/>
        </w:rPr>
        <w:t xml:space="preserve"> [Accessed 12 May 2022].</w:t>
      </w:r>
    </w:p>
    <w:p w14:paraId="10E293CA" w14:textId="1C90D2E9"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t xml:space="preserve">N, B. (n.d.). Sport policy in </w:t>
      </w:r>
      <w:r w:rsidR="00EC071B" w:rsidRPr="6138D773">
        <w:rPr>
          <w:rFonts w:asciiTheme="majorHAnsi" w:hAnsiTheme="majorHAnsi" w:cs="Times New Roman"/>
          <w:color w:val="000000" w:themeColor="text1"/>
          <w:sz w:val="24"/>
          <w:szCs w:val="24"/>
        </w:rPr>
        <w:t>wales. Sport</w:t>
      </w:r>
      <w:r w:rsidRPr="6138D773">
        <w:rPr>
          <w:rFonts w:asciiTheme="majorHAnsi" w:hAnsiTheme="majorHAnsi" w:cs="Times New Roman"/>
          <w:color w:val="000000" w:themeColor="text1"/>
          <w:sz w:val="24"/>
          <w:szCs w:val="24"/>
        </w:rPr>
        <w:t xml:space="preserve"> Policy Across the United </w:t>
      </w:r>
      <w:r w:rsidR="00EC071B" w:rsidRPr="6138D773">
        <w:rPr>
          <w:rFonts w:asciiTheme="majorHAnsi" w:hAnsiTheme="majorHAnsi" w:cs="Times New Roman"/>
          <w:color w:val="000000" w:themeColor="text1"/>
          <w:sz w:val="24"/>
          <w:szCs w:val="24"/>
        </w:rPr>
        <w:t>Kingdom.</w:t>
      </w:r>
    </w:p>
    <w:p w14:paraId="5F4C639B" w14:textId="61D7AE7D"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t xml:space="preserve">O’Cathain, A., Connell, J., Long, J. and Coster, J. (2020). </w:t>
      </w:r>
      <w:bookmarkStart w:id="22" w:name="_Int_ez2sEyb5"/>
      <w:r w:rsidRPr="6138D773">
        <w:rPr>
          <w:rFonts w:asciiTheme="majorHAnsi" w:hAnsiTheme="majorHAnsi" w:cs="Times New Roman"/>
          <w:color w:val="000000" w:themeColor="text1"/>
          <w:sz w:val="24"/>
          <w:szCs w:val="24"/>
        </w:rPr>
        <w:t>‘Clinically Unnecessary’ Use of Emergency and Urgent care: a Realist Review of patients’ Decision Making.</w:t>
      </w:r>
      <w:bookmarkEnd w:id="22"/>
      <w:r w:rsidRPr="6138D773">
        <w:rPr>
          <w:rFonts w:asciiTheme="majorHAnsi" w:hAnsiTheme="majorHAnsi" w:cs="Times New Roman"/>
          <w:color w:val="000000" w:themeColor="text1"/>
          <w:sz w:val="24"/>
          <w:szCs w:val="24"/>
        </w:rPr>
        <w:t xml:space="preserve"> Health </w:t>
      </w:r>
      <w:r w:rsidR="00EC071B" w:rsidRPr="6138D773">
        <w:rPr>
          <w:rFonts w:asciiTheme="majorHAnsi" w:hAnsiTheme="majorHAnsi" w:cs="Times New Roman"/>
          <w:color w:val="000000" w:themeColor="text1"/>
          <w:sz w:val="24"/>
          <w:szCs w:val="24"/>
        </w:rPr>
        <w:t>Expectations:</w:t>
      </w:r>
      <w:r w:rsidRPr="6138D773">
        <w:rPr>
          <w:rFonts w:asciiTheme="majorHAnsi" w:hAnsiTheme="majorHAnsi" w:cs="Times New Roman"/>
          <w:color w:val="000000" w:themeColor="text1"/>
          <w:sz w:val="24"/>
          <w:szCs w:val="24"/>
        </w:rPr>
        <w:t xml:space="preserve"> </w:t>
      </w:r>
      <w:r w:rsidR="00EC071B" w:rsidRPr="6138D773">
        <w:rPr>
          <w:rFonts w:asciiTheme="majorHAnsi" w:hAnsiTheme="majorHAnsi" w:cs="Times New Roman"/>
          <w:color w:val="000000" w:themeColor="text1"/>
          <w:sz w:val="24"/>
          <w:szCs w:val="24"/>
        </w:rPr>
        <w:t>An</w:t>
      </w:r>
      <w:r w:rsidRPr="6138D773">
        <w:rPr>
          <w:rFonts w:asciiTheme="majorHAnsi" w:hAnsiTheme="majorHAnsi" w:cs="Times New Roman"/>
          <w:color w:val="000000" w:themeColor="text1"/>
          <w:sz w:val="24"/>
          <w:szCs w:val="24"/>
        </w:rPr>
        <w:t xml:space="preserve"> International Journal of Public Participation in Health Care and Health Policy, 23(1), pp.19–40.</w:t>
      </w:r>
    </w:p>
    <w:p w14:paraId="10961D22" w14:textId="77777777"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t xml:space="preserve">Ocloo, J., Garfield, S., Franklin, B.D. and Dawson, S. (2021). </w:t>
      </w:r>
      <w:bookmarkStart w:id="23" w:name="_Int_GWoAYTAH"/>
      <w:r w:rsidRPr="6138D773">
        <w:rPr>
          <w:rFonts w:asciiTheme="majorHAnsi" w:hAnsiTheme="majorHAnsi" w:cs="Times New Roman"/>
          <w:color w:val="000000" w:themeColor="text1"/>
          <w:sz w:val="24"/>
          <w:szCs w:val="24"/>
        </w:rPr>
        <w:t>Exploring the theory, Barriers and Enablers for Patient and Public Involvement across health, Social Care and Patient safety: a Systematic Review of Reviews.</w:t>
      </w:r>
      <w:bookmarkEnd w:id="23"/>
      <w:r w:rsidRPr="6138D773">
        <w:rPr>
          <w:rFonts w:asciiTheme="majorHAnsi" w:hAnsiTheme="majorHAnsi" w:cs="Times New Roman"/>
          <w:color w:val="000000" w:themeColor="text1"/>
          <w:sz w:val="24"/>
          <w:szCs w:val="24"/>
        </w:rPr>
        <w:t> Health Research Policy and Systems, 19(1), pp.1–21.</w:t>
      </w:r>
    </w:p>
    <w:p w14:paraId="69E86370" w14:textId="0A776E81"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t>Ordu, M., Demir, E., Tofallis, C. and Gunal, M.M. (2020). A Novel Healthcare Resource Allocation Decision Support tool: a forecasting-simulation-</w:t>
      </w:r>
      <w:proofErr w:type="spellStart"/>
      <w:r w:rsidR="00EC071B" w:rsidRPr="6138D773">
        <w:rPr>
          <w:rFonts w:asciiTheme="majorHAnsi" w:hAnsiTheme="majorHAnsi" w:cs="Times New Roman"/>
          <w:color w:val="000000" w:themeColor="text1"/>
          <w:sz w:val="24"/>
          <w:szCs w:val="24"/>
        </w:rPr>
        <w:t>optimisation</w:t>
      </w:r>
      <w:proofErr w:type="spellEnd"/>
      <w:r w:rsidRPr="6138D773">
        <w:rPr>
          <w:rFonts w:asciiTheme="majorHAnsi" w:hAnsiTheme="majorHAnsi" w:cs="Times New Roman"/>
          <w:color w:val="000000" w:themeColor="text1"/>
          <w:sz w:val="24"/>
          <w:szCs w:val="24"/>
        </w:rPr>
        <w:t xml:space="preserve"> Approach. Journal of the Operational Research Society, 72(3), pp.485–500.</w:t>
      </w:r>
    </w:p>
    <w:p w14:paraId="133BA179" w14:textId="77777777"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t>Organization, W.H. (2021a). Decade of Healthy ageing: Baseline Report. Google Books. World Health Organization.</w:t>
      </w:r>
    </w:p>
    <w:p w14:paraId="71AE5401" w14:textId="77777777"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t>Organization, W.H. (2021b). Global Patient Safety Action Plan 2021-2030: Towards Eliminating Avoidable Harm in Health Care. Google Books. World Health Organization.</w:t>
      </w:r>
    </w:p>
    <w:p w14:paraId="47D99B48" w14:textId="4A14A524"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t xml:space="preserve">Palmer, B., </w:t>
      </w:r>
      <w:r w:rsidR="00EC071B" w:rsidRPr="6138D773">
        <w:rPr>
          <w:rFonts w:asciiTheme="majorHAnsi" w:hAnsiTheme="majorHAnsi" w:cs="Times New Roman"/>
          <w:color w:val="000000" w:themeColor="text1"/>
          <w:sz w:val="24"/>
          <w:szCs w:val="24"/>
        </w:rPr>
        <w:t>Huteching,</w:t>
      </w:r>
      <w:r w:rsidRPr="6138D773">
        <w:rPr>
          <w:rFonts w:asciiTheme="majorHAnsi" w:hAnsiTheme="majorHAnsi" w:cs="Times New Roman"/>
          <w:color w:val="000000" w:themeColor="text1"/>
          <w:sz w:val="24"/>
          <w:szCs w:val="24"/>
        </w:rPr>
        <w:t xml:space="preserve"> R. and Leone, C. (2024). Laying foundations: Attitudes and access to mental health nurse education. The Nuffield Trust. Available at: </w:t>
      </w:r>
      <w:r w:rsidR="006665A0" w:rsidRPr="007204D7">
        <w:rPr>
          <w:rFonts w:asciiTheme="majorHAnsi" w:hAnsiTheme="majorHAnsi" w:cs="Times New Roman"/>
          <w:sz w:val="24"/>
          <w:szCs w:val="24"/>
        </w:rPr>
        <w:lastRenderedPageBreak/>
        <w:t>https://www.nuffieldtrust.org.uk/research/laying-foundations-attitudes-and-access-to-mental-health-nurse-education</w:t>
      </w:r>
      <w:r w:rsidR="006665A0" w:rsidRPr="6138D773">
        <w:rPr>
          <w:rFonts w:asciiTheme="majorHAnsi" w:hAnsiTheme="majorHAnsi" w:cs="Times New Roman"/>
          <w:color w:val="000000" w:themeColor="text1"/>
          <w:sz w:val="24"/>
          <w:szCs w:val="24"/>
        </w:rPr>
        <w:t xml:space="preserve">. </w:t>
      </w:r>
      <w:r w:rsidRPr="6138D773">
        <w:rPr>
          <w:rFonts w:asciiTheme="majorHAnsi" w:hAnsiTheme="majorHAnsi" w:cs="Times New Roman"/>
          <w:color w:val="000000" w:themeColor="text1"/>
          <w:sz w:val="24"/>
          <w:szCs w:val="24"/>
        </w:rPr>
        <w:t>[Accessed 3 Feb. 2023].</w:t>
      </w:r>
    </w:p>
    <w:p w14:paraId="63F406E4" w14:textId="2C9FB2E8" w:rsidR="007A3F59"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t xml:space="preserve">Parliment (2020). Coronavirus timeline: Welsh and UK Governments’ Response. </w:t>
      </w:r>
      <w:r w:rsidR="00EC071B" w:rsidRPr="6138D773">
        <w:rPr>
          <w:rFonts w:asciiTheme="majorHAnsi" w:hAnsiTheme="majorHAnsi" w:cs="Times New Roman"/>
          <w:color w:val="000000" w:themeColor="text1"/>
          <w:sz w:val="24"/>
          <w:szCs w:val="24"/>
        </w:rPr>
        <w:t>research. senedd. wales</w:t>
      </w:r>
      <w:r w:rsidRPr="6138D773">
        <w:rPr>
          <w:rFonts w:asciiTheme="majorHAnsi" w:hAnsiTheme="majorHAnsi" w:cs="Times New Roman"/>
          <w:color w:val="000000" w:themeColor="text1"/>
          <w:sz w:val="24"/>
          <w:szCs w:val="24"/>
        </w:rPr>
        <w:t xml:space="preserve">. Available at: </w:t>
      </w:r>
      <w:r w:rsidR="007A3F59" w:rsidRPr="007204D7">
        <w:rPr>
          <w:rFonts w:asciiTheme="majorHAnsi" w:hAnsiTheme="majorHAnsi" w:cs="Times New Roman"/>
          <w:sz w:val="24"/>
          <w:szCs w:val="24"/>
        </w:rPr>
        <w:t>https://research.senedd.wales/research-articles/coronavirus-timeline-welsh-and-uk-governments-response/</w:t>
      </w:r>
      <w:r w:rsidR="007A3F59" w:rsidRPr="6138D773">
        <w:rPr>
          <w:rFonts w:asciiTheme="majorHAnsi" w:hAnsiTheme="majorHAnsi" w:cs="Times New Roman"/>
          <w:color w:val="000000" w:themeColor="text1"/>
          <w:sz w:val="24"/>
          <w:szCs w:val="24"/>
        </w:rPr>
        <w:t>.</w:t>
      </w:r>
    </w:p>
    <w:p w14:paraId="0226E8CF" w14:textId="7973A0FD"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t xml:space="preserve"> [Accessed 5 Apr. 2024].</w:t>
      </w:r>
    </w:p>
    <w:p w14:paraId="29BE03E6" w14:textId="77777777"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t>Peters, V.J.T., Meijboom, B.R., Bunt, J.E.H., Bok, L.A., van Steenbergen, M.W., de Winter, J.P. and de Vries, E. (2020). Providing person-centered Care for Patients with Complex Healthcare needs: a Qualitative Study. PLOS ONE, 15(11), p.e0242418.</w:t>
      </w:r>
    </w:p>
    <w:p w14:paraId="79A858F5" w14:textId="77777777"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t>Propper, C., Stoye, G. and Zaranko, B. (2020). The Wider Impacts of the Coronavirus Pandemic on the NHS *. Fiscal Studies, 41(2).</w:t>
      </w:r>
    </w:p>
    <w:p w14:paraId="4A69AE02" w14:textId="77777777" w:rsid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t xml:space="preserve">Rawlings, R. (2022). </w:t>
      </w:r>
      <w:bookmarkStart w:id="24" w:name="_Int_ikZA4PJg"/>
      <w:r w:rsidRPr="6138D773">
        <w:rPr>
          <w:rFonts w:asciiTheme="majorHAnsi" w:hAnsiTheme="majorHAnsi" w:cs="Times New Roman"/>
          <w:color w:val="000000" w:themeColor="text1"/>
          <w:sz w:val="24"/>
          <w:szCs w:val="24"/>
        </w:rPr>
        <w:t>Wales and the United Kingdom: a territorial constitutional policy drive.</w:t>
      </w:r>
      <w:bookmarkEnd w:id="24"/>
      <w:r w:rsidRPr="6138D773">
        <w:rPr>
          <w:rFonts w:asciiTheme="majorHAnsi" w:hAnsiTheme="majorHAnsi" w:cs="Times New Roman"/>
          <w:color w:val="000000" w:themeColor="text1"/>
          <w:sz w:val="24"/>
          <w:szCs w:val="24"/>
        </w:rPr>
        <w:t> Territory, Politics, Governance, 10(5), pp.1–19.</w:t>
      </w:r>
    </w:p>
    <w:p w14:paraId="0458B7DA" w14:textId="62B95F46" w:rsidR="0076426C" w:rsidRPr="004D2632" w:rsidRDefault="0076426C" w:rsidP="007204D7">
      <w:pPr>
        <w:pStyle w:val="NormalWeb"/>
        <w:spacing w:beforeAutospacing="0" w:after="240" w:afterAutospacing="0" w:line="360" w:lineRule="atLeast"/>
        <w:jc w:val="both"/>
        <w:divId w:val="1624068428"/>
        <w:rPr>
          <w:rFonts w:asciiTheme="majorHAnsi" w:hAnsiTheme="majorHAnsi"/>
          <w:color w:val="000000"/>
        </w:rPr>
      </w:pPr>
      <w:r w:rsidRPr="0FDC15D1">
        <w:rPr>
          <w:rFonts w:asciiTheme="majorHAnsi" w:hAnsiTheme="majorHAnsi"/>
          <w:color w:val="000000" w:themeColor="text1"/>
        </w:rPr>
        <w:t>Reed, S., Oung, C., Davies, J., Dayan, M. and Scobie, S. (2021).</w:t>
      </w:r>
      <w:r w:rsidRPr="0FDC15D1">
        <w:rPr>
          <w:rStyle w:val="apple-converted-space"/>
          <w:rFonts w:asciiTheme="majorHAnsi" w:hAnsiTheme="majorHAnsi"/>
          <w:color w:val="000000" w:themeColor="text1"/>
        </w:rPr>
        <w:t> </w:t>
      </w:r>
      <w:bookmarkStart w:id="25" w:name="_Int_bDza2QO1"/>
      <w:r w:rsidRPr="0FDC15D1">
        <w:rPr>
          <w:rFonts w:asciiTheme="majorHAnsi" w:hAnsiTheme="majorHAnsi"/>
          <w:color w:val="000000" w:themeColor="text1"/>
        </w:rPr>
        <w:t>Integrating health and social care A comparison of policy and progress across the four countries of the UK.</w:t>
      </w:r>
      <w:bookmarkEnd w:id="25"/>
      <w:r w:rsidRPr="0FDC15D1">
        <w:rPr>
          <w:rFonts w:asciiTheme="majorHAnsi" w:hAnsiTheme="majorHAnsi"/>
          <w:color w:val="000000" w:themeColor="text1"/>
        </w:rPr>
        <w:t xml:space="preserve"> Available at: </w:t>
      </w:r>
      <w:r w:rsidR="004D2632" w:rsidRPr="007204D7">
        <w:rPr>
          <w:rFonts w:asciiTheme="majorHAnsi" w:hAnsiTheme="majorHAnsi"/>
        </w:rPr>
        <w:t>https://www.nuffieldtrust.org.uk/sites/default/files/2021-12/integrated-care-web.pdf</w:t>
      </w:r>
      <w:r w:rsidR="004D2632" w:rsidRPr="0FDC15D1">
        <w:rPr>
          <w:rFonts w:asciiTheme="majorHAnsi" w:hAnsiTheme="majorHAnsi"/>
          <w:color w:val="000000" w:themeColor="text1"/>
        </w:rPr>
        <w:t xml:space="preserve">. </w:t>
      </w:r>
      <w:r w:rsidRPr="0FDC15D1">
        <w:rPr>
          <w:rFonts w:asciiTheme="majorHAnsi" w:hAnsiTheme="majorHAnsi"/>
          <w:color w:val="000000" w:themeColor="text1"/>
        </w:rPr>
        <w:t>[Accessed 6 Apr. 2024].</w:t>
      </w:r>
    </w:p>
    <w:p w14:paraId="53455812" w14:textId="77777777"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t xml:space="preserve">Richardson, S.J., Carroll, C.B., Close, J., Gordon, A.L., O’Brien, J., Quinn, T.J., Rochester, L., Sayer, A.A., Shenkin, S.D., van der Velde, N., Woo, J. and Witham, M.D. (2020). </w:t>
      </w:r>
      <w:bookmarkStart w:id="26" w:name="_Int_pWwbY3fR"/>
      <w:r w:rsidRPr="6138D773">
        <w:rPr>
          <w:rFonts w:asciiTheme="majorHAnsi" w:hAnsiTheme="majorHAnsi" w:cs="Times New Roman"/>
          <w:color w:val="000000" w:themeColor="text1"/>
          <w:sz w:val="24"/>
          <w:szCs w:val="24"/>
        </w:rPr>
        <w:t>Research with Older People in a World with COVID-19: Identification of Current and Future priorities, Challenges and Opportunities.</w:t>
      </w:r>
      <w:bookmarkEnd w:id="26"/>
      <w:r w:rsidRPr="6138D773">
        <w:rPr>
          <w:rFonts w:asciiTheme="majorHAnsi" w:hAnsiTheme="majorHAnsi" w:cs="Times New Roman"/>
          <w:color w:val="000000" w:themeColor="text1"/>
          <w:sz w:val="24"/>
          <w:szCs w:val="24"/>
        </w:rPr>
        <w:t> Age and Ageing, 49(6).</w:t>
      </w:r>
    </w:p>
    <w:p w14:paraId="2650801C" w14:textId="77777777"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bookmarkStart w:id="27" w:name="_Int_iGGv7oaP"/>
      <w:r w:rsidRPr="6138D773">
        <w:rPr>
          <w:rFonts w:asciiTheme="majorHAnsi" w:hAnsiTheme="majorHAnsi" w:cs="Times New Roman"/>
          <w:color w:val="000000" w:themeColor="text1"/>
          <w:sz w:val="24"/>
          <w:szCs w:val="24"/>
        </w:rPr>
        <w:t>Riera, R., Bagattini, Â.M., Pacheco, R.L., Pachito, D.V., Roitberg, F. and Ilbawi, A. (2021).</w:t>
      </w:r>
      <w:bookmarkEnd w:id="27"/>
      <w:r w:rsidRPr="6138D773">
        <w:rPr>
          <w:rFonts w:asciiTheme="majorHAnsi" w:hAnsiTheme="majorHAnsi" w:cs="Times New Roman"/>
          <w:color w:val="000000" w:themeColor="text1"/>
          <w:sz w:val="24"/>
          <w:szCs w:val="24"/>
        </w:rPr>
        <w:t xml:space="preserve"> Delays and Disruptions in Cancer Health Care Due to COVID-19 Pandemic: Systematic Review. JCO Global Oncology, 7(7), pp.311–323.</w:t>
      </w:r>
    </w:p>
    <w:p w14:paraId="794F7647" w14:textId="77777777"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t xml:space="preserve">Rodríguez-Antón, J.M. and Alonso-Almeida, M. del M. (2020). </w:t>
      </w:r>
      <w:bookmarkStart w:id="28" w:name="_Int_o4UpCGKx"/>
      <w:r w:rsidRPr="6138D773">
        <w:rPr>
          <w:rFonts w:asciiTheme="majorHAnsi" w:hAnsiTheme="majorHAnsi" w:cs="Times New Roman"/>
          <w:color w:val="000000" w:themeColor="text1"/>
          <w:sz w:val="24"/>
          <w:szCs w:val="24"/>
        </w:rPr>
        <w:t>COVID-19 Impacts and Recovery strategies: the Case of the Hospitality Industry in Spain.</w:t>
      </w:r>
      <w:bookmarkEnd w:id="28"/>
      <w:r w:rsidRPr="6138D773">
        <w:rPr>
          <w:rFonts w:asciiTheme="majorHAnsi" w:hAnsiTheme="majorHAnsi" w:cs="Times New Roman"/>
          <w:color w:val="000000" w:themeColor="text1"/>
          <w:sz w:val="24"/>
          <w:szCs w:val="24"/>
        </w:rPr>
        <w:t> Sustainability, 12(20), p.8599.</w:t>
      </w:r>
    </w:p>
    <w:p w14:paraId="78798643" w14:textId="77777777"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t xml:space="preserve">Rosenthal, D.M., Schoenthaler, A., Heys, M., Ucci, M., Hayward, A., Teakle, A., Lakhanpaul, M. and Lewis, C. (2023). How Does Living in Temporary Accommodation </w:t>
      </w:r>
      <w:r w:rsidRPr="6138D773">
        <w:rPr>
          <w:rFonts w:asciiTheme="majorHAnsi" w:hAnsiTheme="majorHAnsi" w:cs="Times New Roman"/>
          <w:color w:val="000000" w:themeColor="text1"/>
          <w:sz w:val="24"/>
          <w:szCs w:val="24"/>
        </w:rPr>
        <w:lastRenderedPageBreak/>
        <w:t xml:space="preserve">and the COVID-19 Pandemic Impact under 5s’ Healthcare Access and Health Outcomes? </w:t>
      </w:r>
      <w:bookmarkStart w:id="29" w:name="_Int_8dM57K2R"/>
      <w:r w:rsidRPr="6138D773">
        <w:rPr>
          <w:rFonts w:asciiTheme="majorHAnsi" w:hAnsiTheme="majorHAnsi" w:cs="Times New Roman"/>
          <w:color w:val="000000" w:themeColor="text1"/>
          <w:sz w:val="24"/>
          <w:szCs w:val="24"/>
        </w:rPr>
        <w:t>A Qualitative Study of Key Professionals in a Socially and Ethnically Diverse and Deprived Area of London.</w:t>
      </w:r>
      <w:bookmarkEnd w:id="29"/>
      <w:r w:rsidRPr="6138D773">
        <w:rPr>
          <w:rFonts w:asciiTheme="majorHAnsi" w:hAnsiTheme="majorHAnsi" w:cs="Times New Roman"/>
          <w:color w:val="000000" w:themeColor="text1"/>
          <w:sz w:val="24"/>
          <w:szCs w:val="24"/>
        </w:rPr>
        <w:t> International Journal of Environmental Research and Public Health, 20(2), p.1300.</w:t>
      </w:r>
    </w:p>
    <w:p w14:paraId="6920BDEF" w14:textId="77777777"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t>Rovers, M.M., Wijn, S.R., Grutters, J.P., Metsemakers, S.J., Vermeulen, R.J., van der Pennen, R., Berden, B.J., Gooszen, H.G., Scholte, M. and Govers, T.M. (2022). Development of a decision analytical framework to prioritise operating room capacity: lessons learnt from an empirical example on delayed elective surgeries during the COVID-19 pandemic in a hospital in the Netherlands. BMJ Open, 12(4), p.e054110.</w:t>
      </w:r>
    </w:p>
    <w:p w14:paraId="282374EF" w14:textId="77777777"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t>Rudnicka, E., Napierała, P., Podfigurna, A., Męczekalski, B., Smolarczyk, R. and Grymowicz, M. (2020). The World Health Organization (WHO) Approach to Healthy Ageing. Maturitas, 139(139), pp.6–11.</w:t>
      </w:r>
    </w:p>
    <w:p w14:paraId="7349B902" w14:textId="4E874421"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t xml:space="preserve">Sheikh, A., Anderson, M., Albala, S., Casadei, B., Franklin, B., Richards, M., Taylor, D., Tibble, H. and Mossialos, E. (2021). Health information technology and digital innovation for national learning health and care systems. The Lancet Digital Health, 3(6), </w:t>
      </w:r>
      <w:r w:rsidR="00BD3D7E" w:rsidRPr="6138D773">
        <w:rPr>
          <w:rFonts w:asciiTheme="majorHAnsi" w:hAnsiTheme="majorHAnsi" w:cs="Times New Roman"/>
          <w:color w:val="000000" w:themeColor="text1"/>
          <w:sz w:val="24"/>
          <w:szCs w:val="24"/>
        </w:rPr>
        <w:t>pp. e</w:t>
      </w:r>
      <w:r w:rsidRPr="6138D773">
        <w:rPr>
          <w:rFonts w:asciiTheme="majorHAnsi" w:hAnsiTheme="majorHAnsi" w:cs="Times New Roman"/>
          <w:color w:val="000000" w:themeColor="text1"/>
          <w:sz w:val="24"/>
          <w:szCs w:val="24"/>
        </w:rPr>
        <w:t>383–e396.</w:t>
      </w:r>
    </w:p>
    <w:p w14:paraId="6E4B66CD" w14:textId="77777777"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t>Smith, S., Jiang, J., Normand, C. and O’Neill, C. (2021). Unit Costs for non-acute Care in Ireland 2016—2019. HRB Open Research, 4(39), p.39.</w:t>
      </w:r>
    </w:p>
    <w:p w14:paraId="5DB3C806" w14:textId="6FCEE3B8"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t xml:space="preserve">Snowsill, T.M., Stathi, A., Green, C., Withall, J., Greaves, C.J., Thompson, J.L., Taylor, G., Gray, S., Johansen-Berg, H., Bilzon, J.L.J., Koning, J.L. de, Bollen, J.C., Moorlock, S.J., Western, M.J., Guralnik, J.M., Rejeski, W.J., Fox, K.R. and Medina-Lara, A. (2022). Cost-effectiveness of a Physical Activity and Behaviour Maintenance Programme on Functional Mobility Decline in Older adults: an Economic Evaluation of the REACT (Retirement in Action) Trial. The Lancet Public </w:t>
      </w:r>
      <w:r w:rsidR="38ED71E1" w:rsidRPr="6138D773">
        <w:rPr>
          <w:rFonts w:asciiTheme="majorHAnsi" w:hAnsiTheme="majorHAnsi" w:cs="Times New Roman"/>
          <w:color w:val="000000" w:themeColor="text1"/>
          <w:sz w:val="24"/>
          <w:szCs w:val="24"/>
        </w:rPr>
        <w:t>Health, 7</w:t>
      </w:r>
      <w:r w:rsidRPr="6138D773">
        <w:rPr>
          <w:rFonts w:asciiTheme="majorHAnsi" w:hAnsiTheme="majorHAnsi" w:cs="Times New Roman"/>
          <w:color w:val="000000" w:themeColor="text1"/>
          <w:sz w:val="24"/>
          <w:szCs w:val="24"/>
        </w:rPr>
        <w:t xml:space="preserve">(4), </w:t>
      </w:r>
      <w:r w:rsidR="00BD3D7E" w:rsidRPr="6138D773">
        <w:rPr>
          <w:rFonts w:asciiTheme="majorHAnsi" w:hAnsiTheme="majorHAnsi" w:cs="Times New Roman"/>
          <w:color w:val="000000" w:themeColor="text1"/>
          <w:sz w:val="24"/>
          <w:szCs w:val="24"/>
        </w:rPr>
        <w:t>pp. e</w:t>
      </w:r>
      <w:r w:rsidRPr="6138D773">
        <w:rPr>
          <w:rFonts w:asciiTheme="majorHAnsi" w:hAnsiTheme="majorHAnsi" w:cs="Times New Roman"/>
          <w:color w:val="000000" w:themeColor="text1"/>
          <w:sz w:val="24"/>
          <w:szCs w:val="24"/>
        </w:rPr>
        <w:t xml:space="preserve">327–e334. Available at: </w:t>
      </w:r>
      <w:r w:rsidR="00FD7EB4" w:rsidRPr="007204D7">
        <w:rPr>
          <w:rFonts w:asciiTheme="majorHAnsi" w:hAnsiTheme="majorHAnsi" w:cs="Times New Roman"/>
          <w:sz w:val="24"/>
          <w:szCs w:val="24"/>
        </w:rPr>
        <w:t>https://www.thelancet.com/journals/lanpub/article/PIIS2468-2667(22)00030-5/fulltext</w:t>
      </w:r>
      <w:r w:rsidR="00FD7EB4" w:rsidRPr="6138D773">
        <w:rPr>
          <w:rFonts w:asciiTheme="majorHAnsi" w:hAnsiTheme="majorHAnsi" w:cs="Times New Roman"/>
          <w:color w:val="000000" w:themeColor="text1"/>
          <w:sz w:val="24"/>
          <w:szCs w:val="24"/>
        </w:rPr>
        <w:t xml:space="preserve">. </w:t>
      </w:r>
      <w:r w:rsidRPr="6138D773">
        <w:rPr>
          <w:rFonts w:asciiTheme="majorHAnsi" w:hAnsiTheme="majorHAnsi" w:cs="Times New Roman"/>
          <w:color w:val="000000" w:themeColor="text1"/>
          <w:sz w:val="24"/>
          <w:szCs w:val="24"/>
        </w:rPr>
        <w:t>[Accessed 11 Oct. 2022].</w:t>
      </w:r>
    </w:p>
    <w:p w14:paraId="550D6A44" w14:textId="77777777"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t>Søreide, K., Hallet, J., Matthews, J.B., Schnitzbauer, A.A., Line, P.D., Lai, P.B.S., Otero, J., Callegaro, D., Warner, S.G., Baxter, N.N., Teh, C.S.C., Ng-Kamstra, J., Meara, J.G., Hagander, L. and Lorenzon, L. (2020). Immediate and long-term impact of the COVID-19 pandemic on delivery of surgical services. British Journal of Surgery, 107(10).</w:t>
      </w:r>
    </w:p>
    <w:p w14:paraId="7EB2959B" w14:textId="7F6C9D62"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lastRenderedPageBreak/>
        <w:t xml:space="preserve">Stein, A. (2022). Understanding the </w:t>
      </w:r>
      <w:r w:rsidR="00FD7EB4" w:rsidRPr="6138D773">
        <w:rPr>
          <w:rFonts w:asciiTheme="majorHAnsi" w:hAnsiTheme="majorHAnsi" w:cs="Times New Roman"/>
          <w:color w:val="000000" w:themeColor="text1"/>
          <w:sz w:val="24"/>
          <w:szCs w:val="24"/>
        </w:rPr>
        <w:t>NHS:</w:t>
      </w:r>
      <w:r w:rsidRPr="6138D773">
        <w:rPr>
          <w:rFonts w:asciiTheme="majorHAnsi" w:hAnsiTheme="majorHAnsi" w:cs="Times New Roman"/>
          <w:color w:val="000000" w:themeColor="text1"/>
          <w:sz w:val="24"/>
          <w:szCs w:val="24"/>
        </w:rPr>
        <w:t xml:space="preserve"> How to Get the Most from Our National Health Service. Understanding the NHS, pp.1–232. Available at: </w:t>
      </w:r>
      <w:r w:rsidR="00CE6012" w:rsidRPr="007204D7">
        <w:rPr>
          <w:rFonts w:asciiTheme="majorHAnsi" w:hAnsiTheme="majorHAnsi" w:cs="Times New Roman"/>
          <w:sz w:val="24"/>
          <w:szCs w:val="24"/>
        </w:rPr>
        <w:t>https://www.torrossa.com/it/resources/an/5277807</w:t>
      </w:r>
      <w:r w:rsidR="00CE6012" w:rsidRPr="6138D773">
        <w:rPr>
          <w:rFonts w:asciiTheme="majorHAnsi" w:hAnsiTheme="majorHAnsi" w:cs="Times New Roman"/>
          <w:color w:val="000000" w:themeColor="text1"/>
          <w:sz w:val="24"/>
          <w:szCs w:val="24"/>
        </w:rPr>
        <w:t xml:space="preserve">. </w:t>
      </w:r>
      <w:r w:rsidRPr="6138D773">
        <w:rPr>
          <w:rFonts w:asciiTheme="majorHAnsi" w:hAnsiTheme="majorHAnsi" w:cs="Times New Roman"/>
          <w:color w:val="000000" w:themeColor="text1"/>
          <w:sz w:val="24"/>
          <w:szCs w:val="24"/>
        </w:rPr>
        <w:t>[Accessed 5 Apr. 2024].</w:t>
      </w:r>
    </w:p>
    <w:p w14:paraId="24225286" w14:textId="26C72D14"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t xml:space="preserve">Teckie, S., Andrews, J.Z., Chen, W.C.-Y., Goenka, A., Koffler, D., Adair, N. and Potters, L. (2021). Impact of the COVID-19 Pandemic Surge on Radiation Treatment: Report </w:t>
      </w:r>
      <w:r w:rsidR="00C01E12" w:rsidRPr="6138D773">
        <w:rPr>
          <w:rFonts w:asciiTheme="majorHAnsi" w:hAnsiTheme="majorHAnsi" w:cs="Times New Roman"/>
          <w:color w:val="000000" w:themeColor="text1"/>
          <w:sz w:val="24"/>
          <w:szCs w:val="24"/>
        </w:rPr>
        <w:t>from</w:t>
      </w:r>
      <w:r w:rsidRPr="6138D773">
        <w:rPr>
          <w:rFonts w:asciiTheme="majorHAnsi" w:hAnsiTheme="majorHAnsi" w:cs="Times New Roman"/>
          <w:color w:val="000000" w:themeColor="text1"/>
          <w:sz w:val="24"/>
          <w:szCs w:val="24"/>
        </w:rPr>
        <w:t xml:space="preserve"> a Multicenter New York Area Institution. JCO Oncology Practice, 17(9), </w:t>
      </w:r>
      <w:r w:rsidR="00CE6012" w:rsidRPr="6138D773">
        <w:rPr>
          <w:rFonts w:asciiTheme="majorHAnsi" w:hAnsiTheme="majorHAnsi" w:cs="Times New Roman"/>
          <w:color w:val="000000" w:themeColor="text1"/>
          <w:sz w:val="24"/>
          <w:szCs w:val="24"/>
        </w:rPr>
        <w:t>pp. e</w:t>
      </w:r>
      <w:r w:rsidRPr="6138D773">
        <w:rPr>
          <w:rFonts w:asciiTheme="majorHAnsi" w:hAnsiTheme="majorHAnsi" w:cs="Times New Roman"/>
          <w:color w:val="000000" w:themeColor="text1"/>
          <w:sz w:val="24"/>
          <w:szCs w:val="24"/>
        </w:rPr>
        <w:t>1270–e1277.</w:t>
      </w:r>
    </w:p>
    <w:p w14:paraId="53C491DB" w14:textId="2510AA99"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t xml:space="preserve">Thomas, C. and Quilter-Pinner, H. (2020). Institute for Public Policy Research REALISING THE NEIGHBOURHOOD NHS DELIVERING A NEW DEAL FOR PRIMARY CARE IN ENGLAND. Available at: </w:t>
      </w:r>
      <w:r w:rsidR="00C01E12" w:rsidRPr="007204D7">
        <w:rPr>
          <w:rFonts w:asciiTheme="majorHAnsi" w:hAnsiTheme="majorHAnsi" w:cs="Times New Roman"/>
          <w:sz w:val="24"/>
          <w:szCs w:val="24"/>
        </w:rPr>
        <w:t>https://ippr-org.files.svdcdn.com/production/Downloads/primary-care-feb20.pdf</w:t>
      </w:r>
      <w:r w:rsidR="00C01E12" w:rsidRPr="6138D773">
        <w:rPr>
          <w:rFonts w:asciiTheme="majorHAnsi" w:hAnsiTheme="majorHAnsi" w:cs="Times New Roman"/>
          <w:color w:val="000000" w:themeColor="text1"/>
          <w:sz w:val="24"/>
          <w:szCs w:val="24"/>
        </w:rPr>
        <w:t xml:space="preserve">. </w:t>
      </w:r>
      <w:r w:rsidRPr="6138D773">
        <w:rPr>
          <w:rFonts w:asciiTheme="majorHAnsi" w:hAnsiTheme="majorHAnsi" w:cs="Times New Roman"/>
          <w:color w:val="000000" w:themeColor="text1"/>
          <w:sz w:val="24"/>
          <w:szCs w:val="24"/>
        </w:rPr>
        <w:t>[Accessed 5 Apr. 2024].</w:t>
      </w:r>
    </w:p>
    <w:p w14:paraId="371C5AB9" w14:textId="77777777"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t>Thomson, S. and Ip, E.C. (2020). COVID-19 emergency measures and the impending authoritarian pandemic. Journal of Law and the Biosciences, 7(1).</w:t>
      </w:r>
    </w:p>
    <w:p w14:paraId="55D12EB7" w14:textId="77777777"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t>TO, D. O. N. O. U. R. P. (2020). BUDGET 2020 DELIVERING ON OUR PROMISES TO THE BRITISH PEOPLE.</w:t>
      </w:r>
    </w:p>
    <w:p w14:paraId="54FA1592" w14:textId="77777777"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t>Van Haitsma, K., Abbott, K.M., Arbogast, A., Bangerter, L.R., Heid, A.R., Behrens, L.L. and Madrigal, C. (2020). A Preference-Based Model of Care: An Integrative Theoretical Model of the Role of Preferences in Person-Centered Care. The Gerontologist, 60(3), pp.376–384.</w:t>
      </w:r>
    </w:p>
    <w:p w14:paraId="191A5BE1" w14:textId="77777777"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t>Williams, J. (2022). The Impact of Devolution in Wales: Social Democracy with a Welsh Stripe? Google Books. University of Wales Press.</w:t>
      </w:r>
    </w:p>
    <w:p w14:paraId="2343986A" w14:textId="77777777" w:rsid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t>Wittenberg, R., Hu, B., Jagger, C., Kingston, A., Knapp, M., Comas-Herrera, A., King, D., Rehill, A. and Banerjee, S. (2019). Projections of Care for Older People with Dementia in England: 2015 to 2040. Age and Ageing, 49(2), pp.264–269.</w:t>
      </w:r>
    </w:p>
    <w:p w14:paraId="59470D5A" w14:textId="180D2FE5" w:rsidR="000B246C" w:rsidRPr="000B246C" w:rsidRDefault="000B246C" w:rsidP="007204D7">
      <w:pPr>
        <w:pStyle w:val="NormalWeb"/>
        <w:spacing w:beforeAutospacing="0" w:after="240" w:afterAutospacing="0" w:line="360" w:lineRule="atLeast"/>
        <w:jc w:val="both"/>
        <w:divId w:val="747269846"/>
        <w:rPr>
          <w:rFonts w:asciiTheme="majorHAnsi" w:hAnsiTheme="majorHAnsi"/>
          <w:color w:val="000000"/>
        </w:rPr>
      </w:pPr>
      <w:r w:rsidRPr="41EA8163">
        <w:rPr>
          <w:rFonts w:asciiTheme="majorHAnsi" w:hAnsiTheme="majorHAnsi"/>
          <w:color w:val="000000" w:themeColor="text1"/>
        </w:rPr>
        <w:t>World Health organisation (2023).</w:t>
      </w:r>
      <w:r w:rsidRPr="41EA8163">
        <w:rPr>
          <w:rStyle w:val="apple-converted-space"/>
          <w:rFonts w:asciiTheme="majorHAnsi" w:hAnsiTheme="majorHAnsi"/>
          <w:color w:val="000000" w:themeColor="text1"/>
        </w:rPr>
        <w:t> </w:t>
      </w:r>
      <w:r w:rsidRPr="41EA8163">
        <w:rPr>
          <w:rFonts w:asciiTheme="majorHAnsi" w:hAnsiTheme="majorHAnsi"/>
          <w:color w:val="000000" w:themeColor="text1"/>
        </w:rPr>
        <w:t xml:space="preserve">Deep Dives on the well-being Economy Showcasing the Experiences of Finland, Iceland, </w:t>
      </w:r>
      <w:r w:rsidR="6A024D54" w:rsidRPr="41EA8163">
        <w:rPr>
          <w:rFonts w:asciiTheme="majorHAnsi" w:hAnsiTheme="majorHAnsi"/>
          <w:color w:val="000000" w:themeColor="text1"/>
        </w:rPr>
        <w:t>Scotland,</w:t>
      </w:r>
      <w:r w:rsidRPr="41EA8163">
        <w:rPr>
          <w:rFonts w:asciiTheme="majorHAnsi" w:hAnsiTheme="majorHAnsi"/>
          <w:color w:val="000000" w:themeColor="text1"/>
        </w:rPr>
        <w:t xml:space="preserve"> and Wales: Summary of Key Findings. Available at: </w:t>
      </w:r>
      <w:r w:rsidRPr="007204D7">
        <w:rPr>
          <w:rFonts w:asciiTheme="majorHAnsi" w:hAnsiTheme="majorHAnsi"/>
        </w:rPr>
        <w:t>https://www.who.int/europe/publications/i/item/WHO-EURO-2023-7033-46799-68216</w:t>
      </w:r>
      <w:r w:rsidRPr="41EA8163">
        <w:rPr>
          <w:rFonts w:asciiTheme="majorHAnsi" w:hAnsiTheme="majorHAnsi"/>
          <w:color w:val="000000" w:themeColor="text1"/>
        </w:rPr>
        <w:t xml:space="preserve"> [Accessed 6 Apr. 2024].</w:t>
      </w:r>
    </w:p>
    <w:p w14:paraId="733ACD88" w14:textId="308879B3"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t>Wu, H., Chen, J., Zhou, C., Shi, W., Cheng, N., Xu, W., Zhuang, W</w:t>
      </w:r>
      <w:r w:rsidR="3498F080" w:rsidRPr="6138D773">
        <w:rPr>
          <w:rFonts w:asciiTheme="majorHAnsi" w:hAnsiTheme="majorHAnsi" w:cs="Times New Roman"/>
          <w:color w:val="000000" w:themeColor="text1"/>
          <w:sz w:val="24"/>
          <w:szCs w:val="24"/>
        </w:rPr>
        <w:t>.,</w:t>
      </w:r>
      <w:r w:rsidRPr="6138D773">
        <w:rPr>
          <w:rFonts w:asciiTheme="majorHAnsi" w:hAnsiTheme="majorHAnsi" w:cs="Times New Roman"/>
          <w:color w:val="000000" w:themeColor="text1"/>
          <w:sz w:val="24"/>
          <w:szCs w:val="24"/>
        </w:rPr>
        <w:t xml:space="preserve"> and Shen, X.S. (2020). Resource Management in Space-Air-Ground Integrated Vehicular Networks: SDN Control and AI Algorithm Design. IEEE Wireless Communications, 27(6), pp.52–60.</w:t>
      </w:r>
    </w:p>
    <w:p w14:paraId="31EBCEFF" w14:textId="77777777" w:rsidR="004F1DEF" w:rsidRPr="004F1DEF" w:rsidRDefault="004F1DEF" w:rsidP="007204D7">
      <w:pPr>
        <w:spacing w:after="240" w:line="360" w:lineRule="atLeast"/>
        <w:jc w:val="both"/>
        <w:divId w:val="910307060"/>
        <w:rPr>
          <w:rFonts w:asciiTheme="majorHAnsi" w:hAnsiTheme="majorHAnsi" w:cs="Times New Roman"/>
          <w:color w:val="000000"/>
          <w:sz w:val="24"/>
          <w:szCs w:val="24"/>
          <w:lang w:eastAsia="en-GB"/>
        </w:rPr>
      </w:pPr>
      <w:r w:rsidRPr="6138D773">
        <w:rPr>
          <w:rFonts w:asciiTheme="majorHAnsi" w:hAnsiTheme="majorHAnsi" w:cs="Times New Roman"/>
          <w:color w:val="000000" w:themeColor="text1"/>
          <w:sz w:val="24"/>
          <w:szCs w:val="24"/>
        </w:rPr>
        <w:lastRenderedPageBreak/>
        <w:t>Yu, R., Tong, C. and Woo, J. (2020). Effect of an Integrated Care Model for pre-frail and Frail Older People Living in Community. Age and Ageing, 49(6).</w:t>
      </w:r>
    </w:p>
    <w:p w14:paraId="36D6D38D" w14:textId="77777777" w:rsidR="009161AE" w:rsidRPr="00990EE1" w:rsidRDefault="009161AE" w:rsidP="007204D7">
      <w:pPr>
        <w:jc w:val="both"/>
        <w:rPr>
          <w:rFonts w:asciiTheme="majorHAnsi" w:hAnsiTheme="majorHAnsi"/>
          <w:sz w:val="24"/>
          <w:szCs w:val="24"/>
        </w:rPr>
      </w:pPr>
    </w:p>
    <w:p w14:paraId="5D50476D" w14:textId="34E51F2C" w:rsidR="007E48E1" w:rsidRPr="00990EE1" w:rsidRDefault="007E48E1" w:rsidP="007204D7">
      <w:pPr>
        <w:jc w:val="both"/>
        <w:rPr>
          <w:rFonts w:asciiTheme="majorHAnsi" w:hAnsiTheme="majorHAnsi"/>
          <w:sz w:val="24"/>
          <w:szCs w:val="24"/>
        </w:rPr>
      </w:pPr>
    </w:p>
    <w:sectPr w:rsidR="007E48E1" w:rsidRPr="00990EE1" w:rsidSect="00920E2E">
      <w:headerReference w:type="even" r:id="rId8"/>
      <w:headerReference w:type="default" r:id="rId9"/>
      <w:footerReference w:type="even" r:id="rId10"/>
      <w:footerReference w:type="default" r:id="rId11"/>
      <w:headerReference w:type="first" r:id="rId12"/>
      <w:footerReference w:type="first" r:id="rId13"/>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16F0F2" w14:textId="77777777" w:rsidR="00920E2E" w:rsidRDefault="00920E2E" w:rsidP="00465AB8">
      <w:pPr>
        <w:spacing w:after="0" w:line="240" w:lineRule="auto"/>
      </w:pPr>
      <w:r>
        <w:separator/>
      </w:r>
    </w:p>
  </w:endnote>
  <w:endnote w:type="continuationSeparator" w:id="0">
    <w:p w14:paraId="5D87CD8C" w14:textId="77777777" w:rsidR="00920E2E" w:rsidRDefault="00920E2E" w:rsidP="00465AB8">
      <w:pPr>
        <w:spacing w:after="0" w:line="240" w:lineRule="auto"/>
      </w:pPr>
      <w:r>
        <w:continuationSeparator/>
      </w:r>
    </w:p>
  </w:endnote>
  <w:endnote w:type="continuationNotice" w:id="1">
    <w:p w14:paraId="204764AF" w14:textId="77777777" w:rsidR="00920E2E" w:rsidRDefault="00920E2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notTrueType/>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B06040202020202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58FC9" w14:textId="77777777" w:rsidR="00465AB8" w:rsidRDefault="00465A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08A12" w14:textId="77777777" w:rsidR="00465AB8" w:rsidRDefault="00465AB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4F77D" w14:textId="77777777" w:rsidR="00465AB8" w:rsidRDefault="00465A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BE09ED" w14:textId="77777777" w:rsidR="00920E2E" w:rsidRDefault="00920E2E" w:rsidP="00465AB8">
      <w:pPr>
        <w:spacing w:after="0" w:line="240" w:lineRule="auto"/>
      </w:pPr>
      <w:r>
        <w:separator/>
      </w:r>
    </w:p>
  </w:footnote>
  <w:footnote w:type="continuationSeparator" w:id="0">
    <w:p w14:paraId="27D88BFD" w14:textId="77777777" w:rsidR="00920E2E" w:rsidRDefault="00920E2E" w:rsidP="00465AB8">
      <w:pPr>
        <w:spacing w:after="0" w:line="240" w:lineRule="auto"/>
      </w:pPr>
      <w:r>
        <w:continuationSeparator/>
      </w:r>
    </w:p>
  </w:footnote>
  <w:footnote w:type="continuationNotice" w:id="1">
    <w:p w14:paraId="5D4B49CE" w14:textId="77777777" w:rsidR="00920E2E" w:rsidRDefault="00920E2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CA57A" w14:textId="77777777" w:rsidR="00465AB8" w:rsidRDefault="00465A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03BB7" w14:textId="77777777" w:rsidR="00465AB8" w:rsidRDefault="00465A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0A6D4" w14:textId="77777777" w:rsidR="00465AB8" w:rsidRDefault="00465AB8">
    <w:pPr>
      <w:pStyle w:val="Header"/>
    </w:pPr>
  </w:p>
</w:hdr>
</file>

<file path=word/intelligence2.xml><?xml version="1.0" encoding="utf-8"?>
<int2:intelligence xmlns:int2="http://schemas.microsoft.com/office/intelligence/2020/intelligence" xmlns:oel="http://schemas.microsoft.com/office/2019/extlst">
  <int2:observations>
    <int2:textHash int2:hashCode="Ef53+qmgAlV5pi" int2:id="0IbZr1b3">
      <int2:state int2:value="Rejected" int2:type="AugLoop_Text_Critique"/>
    </int2:textHash>
    <int2:textHash int2:hashCode="jqHkFTgpBXqa5u" int2:id="11mljLxm">
      <int2:state int2:value="Rejected" int2:type="AugLoop_Text_Critique"/>
    </int2:textHash>
    <int2:textHash int2:hashCode="SKkB12slgSTZF+" int2:id="1CFYFyNX">
      <int2:state int2:value="Rejected" int2:type="AugLoop_Text_Critique"/>
    </int2:textHash>
    <int2:textHash int2:hashCode="+trF6t8n9bFBXb" int2:id="1wU2ZY77">
      <int2:state int2:value="Rejected" int2:type="AugLoop_Text_Critique"/>
    </int2:textHash>
    <int2:textHash int2:hashCode="8MA7sfFGX1VCWN" int2:id="2tbhezdB">
      <int2:state int2:value="Rejected" int2:type="AugLoop_Text_Critique"/>
    </int2:textHash>
    <int2:textHash int2:hashCode="KJ0WMCO/rSktn2" int2:id="3emEI4aT">
      <int2:state int2:value="Rejected" int2:type="AugLoop_Text_Critique"/>
    </int2:textHash>
    <int2:textHash int2:hashCode="Y5BhQk6F/4U4lW" int2:id="5hE8MCzu">
      <int2:state int2:value="Rejected" int2:type="AugLoop_Text_Critique"/>
    </int2:textHash>
    <int2:textHash int2:hashCode="LOKXXXnn8FfYIs" int2:id="5ub2kW6B">
      <int2:state int2:value="Rejected" int2:type="AugLoop_Text_Critique"/>
    </int2:textHash>
    <int2:textHash int2:hashCode="ghMaj06CM6euaW" int2:id="6WSXAesq">
      <int2:state int2:value="Rejected" int2:type="AugLoop_Text_Critique"/>
    </int2:textHash>
    <int2:textHash int2:hashCode="QeWK+Fox+RnbcM" int2:id="7RYnVhDZ">
      <int2:state int2:value="Rejected" int2:type="AugLoop_Text_Critique"/>
    </int2:textHash>
    <int2:textHash int2:hashCode="bioiHbP2Ugimjg" int2:id="7TvEXuus">
      <int2:state int2:value="Rejected" int2:type="AugLoop_Text_Critique"/>
    </int2:textHash>
    <int2:textHash int2:hashCode="P5tjm7r6IhezHX" int2:id="7eBbdEUQ">
      <int2:state int2:value="Rejected" int2:type="AugLoop_Text_Critique"/>
    </int2:textHash>
    <int2:textHash int2:hashCode="vywBnAGQlIzeet" int2:id="8ksSCuft">
      <int2:state int2:value="Rejected" int2:type="AugLoop_Text_Critique"/>
    </int2:textHash>
    <int2:textHash int2:hashCode="LFJ4gCevgSfHDo" int2:id="AAyVVE5L">
      <int2:state int2:value="Rejected" int2:type="AugLoop_Text_Critique"/>
    </int2:textHash>
    <int2:textHash int2:hashCode="BXxaRTy7l+TMSS" int2:id="FCYN5AHm">
      <int2:state int2:value="Rejected" int2:type="AugLoop_Text_Critique"/>
    </int2:textHash>
    <int2:textHash int2:hashCode="aG+z44WpgrTp0l" int2:id="Ff9Cmkvs">
      <int2:state int2:value="Rejected" int2:type="AugLoop_Text_Critique"/>
    </int2:textHash>
    <int2:textHash int2:hashCode="gVtYIsYbqEgCVf" int2:id="GWTySZc9">
      <int2:state int2:value="Rejected" int2:type="AugLoop_Text_Critique"/>
    </int2:textHash>
    <int2:textHash int2:hashCode="QmfwKs9PKPeFiS" int2:id="Gksqp9Ic">
      <int2:state int2:value="Rejected" int2:type="AugLoop_Text_Critique"/>
    </int2:textHash>
    <int2:textHash int2:hashCode="IYX4fH6sLAlWhd" int2:id="HYxxVV9Z">
      <int2:state int2:value="Rejected" int2:type="AugLoop_Text_Critique"/>
    </int2:textHash>
    <int2:textHash int2:hashCode="IgwjWmex7scuks" int2:id="HzQbsjhW">
      <int2:state int2:value="Rejected" int2:type="AugLoop_Text_Critique"/>
    </int2:textHash>
    <int2:textHash int2:hashCode="UCzATdShSxgXmw" int2:id="JXh6XYSC">
      <int2:state int2:value="Rejected" int2:type="AugLoop_Text_Critique"/>
    </int2:textHash>
    <int2:textHash int2:hashCode="T2tPY2Cbe4F5cs" int2:id="Jg0ZcbCv">
      <int2:state int2:value="Rejected" int2:type="AugLoop_Text_Critique"/>
    </int2:textHash>
    <int2:textHash int2:hashCode="wb/hCoVs9aLrRP" int2:id="KgJpWIk5">
      <int2:state int2:value="Rejected" int2:type="AugLoop_Text_Critique"/>
    </int2:textHash>
    <int2:textHash int2:hashCode="Ao8N3O+5B6az2J" int2:id="P9DhFUPW">
      <int2:state int2:value="Rejected" int2:type="AugLoop_Text_Critique"/>
    </int2:textHash>
    <int2:textHash int2:hashCode="SO9wOkhd6fduIu" int2:id="PWyhOjnV">
      <int2:state int2:value="Rejected" int2:type="AugLoop_Text_Critique"/>
    </int2:textHash>
    <int2:textHash int2:hashCode="X1+SWXA1qrwWPh" int2:id="PdmvDvbV">
      <int2:state int2:value="Rejected" int2:type="AugLoop_Text_Critique"/>
    </int2:textHash>
    <int2:textHash int2:hashCode="3JkdcZs7tudVNF" int2:id="Phk7ffXU">
      <int2:state int2:value="Rejected" int2:type="AugLoop_Text_Critique"/>
    </int2:textHash>
    <int2:textHash int2:hashCode="hnH8f2jmWGKHTA" int2:id="PrGko3g3">
      <int2:state int2:value="Rejected" int2:type="AugLoop_Text_Critique"/>
    </int2:textHash>
    <int2:textHash int2:hashCode="5btzpvc0u6lxtR" int2:id="QfRh3H6F">
      <int2:state int2:value="Rejected" int2:type="AugLoop_Text_Critique"/>
    </int2:textHash>
    <int2:textHash int2:hashCode="XdnpUm5JO8EzPr" int2:id="Sml1DcLr">
      <int2:state int2:value="Rejected" int2:type="AugLoop_Text_Critique"/>
    </int2:textHash>
    <int2:textHash int2:hashCode="BquQNcZN+/yFE+" int2:id="TCyUABfd">
      <int2:state int2:value="Rejected" int2:type="AugLoop_Text_Critique"/>
    </int2:textHash>
    <int2:textHash int2:hashCode="oFA1e6ozuYIFvn" int2:id="TVxnLE4u">
      <int2:state int2:value="Rejected" int2:type="AugLoop_Text_Critique"/>
    </int2:textHash>
    <int2:textHash int2:hashCode="1VqOcUW61s2ox5" int2:id="Tr8sfOyy">
      <int2:state int2:value="Rejected" int2:type="AugLoop_Text_Critique"/>
    </int2:textHash>
    <int2:textHash int2:hashCode="BplJjRPBuP9zR/" int2:id="V0cufDyo">
      <int2:state int2:value="Rejected" int2:type="AugLoop_Text_Critique"/>
    </int2:textHash>
    <int2:textHash int2:hashCode="CHzuNZcptnJD9Z" int2:id="X78HKsTF">
      <int2:state int2:value="Rejected" int2:type="AugLoop_Text_Critique"/>
    </int2:textHash>
    <int2:textHash int2:hashCode="8Bg1+6tKXeEM3i" int2:id="XZXBmMpN">
      <int2:state int2:value="Rejected" int2:type="AugLoop_Text_Critique"/>
    </int2:textHash>
    <int2:textHash int2:hashCode="YhxGrCKgOyyTjn" int2:id="XscCxAtq">
      <int2:state int2:value="Rejected" int2:type="AugLoop_Text_Critique"/>
    </int2:textHash>
    <int2:textHash int2:hashCode="y6WMFtzPrxY2y0" int2:id="YdChDkGa">
      <int2:state int2:value="Rejected" int2:type="AugLoop_Text_Critique"/>
    </int2:textHash>
    <int2:textHash int2:hashCode="iygL1Joi929gMS" int2:id="Z2N3LO8T">
      <int2:state int2:value="Rejected" int2:type="AugLoop_Text_Critique"/>
    </int2:textHash>
    <int2:textHash int2:hashCode="dwWMv13Gnjgx4P" int2:id="Z2t3mcsZ">
      <int2:state int2:value="Rejected" int2:type="AugLoop_Text_Critique"/>
    </int2:textHash>
    <int2:textHash int2:hashCode="Y7oA5856WsKtes" int2:id="ZORujqoy">
      <int2:state int2:value="Rejected" int2:type="AugLoop_Text_Critique"/>
    </int2:textHash>
    <int2:textHash int2:hashCode="qPTcDNezAcYsrj" int2:id="a1RhBEJ4">
      <int2:state int2:value="Rejected" int2:type="AugLoop_Text_Critique"/>
    </int2:textHash>
    <int2:textHash int2:hashCode="nLtw7FYMkiaPsV" int2:id="bmY5LS5O">
      <int2:state int2:value="Rejected" int2:type="AugLoop_Text_Critique"/>
    </int2:textHash>
    <int2:textHash int2:hashCode="Xf5wCq/drsu243" int2:id="bnGDxKTv">
      <int2:state int2:value="Rejected" int2:type="AugLoop_Text_Critique"/>
    </int2:textHash>
    <int2:textHash int2:hashCode="nVYl/ce0hZS0Bq" int2:id="c92DfNC1">
      <int2:state int2:value="Rejected" int2:type="AugLoop_Text_Critique"/>
    </int2:textHash>
    <int2:textHash int2:hashCode="kByidkXaRxGvMx" int2:id="dKoJU4C0">
      <int2:state int2:value="Rejected" int2:type="AugLoop_Text_Critique"/>
    </int2:textHash>
    <int2:textHash int2:hashCode="SSZfPj3lOqp01Q" int2:id="eosn79pS">
      <int2:state int2:value="Rejected" int2:type="AugLoop_Text_Critique"/>
    </int2:textHash>
    <int2:textHash int2:hashCode="Vduj3NYy9tG5P8" int2:id="gKOkJVys">
      <int2:state int2:value="Rejected" int2:type="AugLoop_Text_Critique"/>
    </int2:textHash>
    <int2:textHash int2:hashCode="97HLpWePFQynLb" int2:id="gRrmYFRH">
      <int2:state int2:value="Rejected" int2:type="AugLoop_Text_Critique"/>
    </int2:textHash>
    <int2:textHash int2:hashCode="2G4tnMuJIvQb91" int2:id="gnbwnLhF">
      <int2:state int2:value="Rejected" int2:type="AugLoop_Text_Critique"/>
    </int2:textHash>
    <int2:textHash int2:hashCode="HpafklyVQOPIeJ" int2:id="gvBdQdEJ">
      <int2:state int2:value="Rejected" int2:type="AugLoop_Text_Critique"/>
    </int2:textHash>
    <int2:textHash int2:hashCode="DRci1kF0ABT0b7" int2:id="gwoYuqkm">
      <int2:state int2:value="Rejected" int2:type="AugLoop_Text_Critique"/>
    </int2:textHash>
    <int2:textHash int2:hashCode="I07VBGG6JqzDEl" int2:id="h7nnXJBz">
      <int2:state int2:value="Rejected" int2:type="AugLoop_Text_Critique"/>
    </int2:textHash>
    <int2:textHash int2:hashCode="mOlwYZbrZoPM6+" int2:id="iEvDb34Y">
      <int2:state int2:value="Rejected" int2:type="AugLoop_Text_Critique"/>
    </int2:textHash>
    <int2:textHash int2:hashCode="m/C6mGJeQTWOW1" int2:id="jvL3q6qT">
      <int2:state int2:value="Rejected" int2:type="AugLoop_Text_Critique"/>
    </int2:textHash>
    <int2:textHash int2:hashCode="RErcSEIS5369pO" int2:id="kJW9NWKM">
      <int2:state int2:value="Rejected" int2:type="AugLoop_Text_Critique"/>
    </int2:textHash>
    <int2:textHash int2:hashCode="GQ9Yq12whB39pp" int2:id="lRn9O6G0">
      <int2:state int2:value="Rejected" int2:type="AugLoop_Text_Critique"/>
    </int2:textHash>
    <int2:textHash int2:hashCode="xC5qGngDTYYkDq" int2:id="mbQsNzZu">
      <int2:state int2:value="Rejected" int2:type="AugLoop_Text_Critique"/>
    </int2:textHash>
    <int2:textHash int2:hashCode="uXeVtWlZBUKBjn" int2:id="mc34dulW">
      <int2:state int2:value="Rejected" int2:type="AugLoop_Text_Critique"/>
    </int2:textHash>
    <int2:textHash int2:hashCode="oZBAJ8qN3XBjQ5" int2:id="mt2kQ3kc">
      <int2:state int2:value="Rejected" int2:type="AugLoop_Text_Critique"/>
    </int2:textHash>
    <int2:textHash int2:hashCode="hvEFQrPUuorcIf" int2:id="n6vfPixl">
      <int2:state int2:value="Rejected" int2:type="AugLoop_Text_Critique"/>
    </int2:textHash>
    <int2:textHash int2:hashCode="FUH5t1qyt8ypU+" int2:id="nP5X694g">
      <int2:state int2:value="Rejected" int2:type="AugLoop_Text_Critique"/>
    </int2:textHash>
    <int2:textHash int2:hashCode="6QAaziEoUTMCZJ" int2:id="pxH1mXwp">
      <int2:state int2:value="Rejected" int2:type="AugLoop_Text_Critique"/>
    </int2:textHash>
    <int2:textHash int2:hashCode="o7V73M/I3gKYfL" int2:id="qRsEQncI">
      <int2:state int2:value="Rejected" int2:type="AugLoop_Text_Critique"/>
    </int2:textHash>
    <int2:textHash int2:hashCode="gOigg3B4VG+1IR" int2:id="qbNcblje">
      <int2:state int2:value="Rejected" int2:type="AugLoop_Text_Critique"/>
    </int2:textHash>
    <int2:textHash int2:hashCode="yLGa3PbIwIauAZ" int2:id="r1e7daPo">
      <int2:state int2:value="Rejected" int2:type="AugLoop_Text_Critique"/>
    </int2:textHash>
    <int2:textHash int2:hashCode="QpC+mJRksGH7Qq" int2:id="rPjUxzOg">
      <int2:state int2:value="Rejected" int2:type="AugLoop_Text_Critique"/>
    </int2:textHash>
    <int2:textHash int2:hashCode="GJRp1cswuWFFAi" int2:id="rU9W0Led">
      <int2:state int2:value="Rejected" int2:type="AugLoop_Text_Critique"/>
    </int2:textHash>
    <int2:textHash int2:hashCode="2VbFoM9p2x92gg" int2:id="s9PaKmzB">
      <int2:state int2:value="Rejected" int2:type="AugLoop_Text_Critique"/>
    </int2:textHash>
    <int2:textHash int2:hashCode="hN6B5b8f/AaH/i" int2:id="sfFey8Bt">
      <int2:state int2:value="Rejected" int2:type="AugLoop_Text_Critique"/>
    </int2:textHash>
    <int2:textHash int2:hashCode="ZsSVoklr1usIES" int2:id="sieYuZih">
      <int2:state int2:value="Rejected" int2:type="AugLoop_Text_Critique"/>
    </int2:textHash>
    <int2:textHash int2:hashCode="QCPBq+vUjicWmQ" int2:id="tq3xArzU">
      <int2:state int2:value="Rejected" int2:type="AugLoop_Text_Critique"/>
    </int2:textHash>
    <int2:textHash int2:hashCode="OrtZNwJC/JiGrS" int2:id="uKKEOjzn">
      <int2:state int2:value="Rejected" int2:type="AugLoop_Text_Critique"/>
    </int2:textHash>
    <int2:textHash int2:hashCode="AFYevzMuhBO2/B" int2:id="uckUEA71">
      <int2:state int2:value="Rejected" int2:type="AugLoop_Text_Critique"/>
    </int2:textHash>
    <int2:textHash int2:hashCode="kdzn1F3Ka1IUVm" int2:id="urqEddy6">
      <int2:state int2:value="Rejected" int2:type="AugLoop_Text_Critique"/>
    </int2:textHash>
    <int2:textHash int2:hashCode="xT8MDRuvFDiJ97" int2:id="vMaZ4ocE">
      <int2:state int2:value="Rejected" int2:type="AugLoop_Text_Critique"/>
    </int2:textHash>
    <int2:textHash int2:hashCode="5BwOo6Cj92q53M" int2:id="wCHypmzq">
      <int2:state int2:value="Rejected" int2:type="AugLoop_Text_Critique"/>
    </int2:textHash>
    <int2:textHash int2:hashCode="jQdQ6fOulHZiua" int2:id="wHZkRk7R">
      <int2:state int2:value="Rejected" int2:type="AugLoop_Text_Critique"/>
    </int2:textHash>
    <int2:textHash int2:hashCode="OXYYKyIXczQCUZ" int2:id="xGrlBKCs">
      <int2:state int2:value="Rejected" int2:type="AugLoop_Text_Critique"/>
    </int2:textHash>
    <int2:textHash int2:hashCode="M4Xux/ZndScJeN" int2:id="xZxCUybK">
      <int2:state int2:value="Rejected" int2:type="AugLoop_Text_Critique"/>
    </int2:textHash>
    <int2:textHash int2:hashCode="Qr0u8z9SknNxjp" int2:id="xoQQh8ES">
      <int2:state int2:value="Rejected" int2:type="AugLoop_Text_Critique"/>
    </int2:textHash>
    <int2:textHash int2:hashCode="AF+V8jn14+IkAo" int2:id="yG7mstYl">
      <int2:state int2:value="Rejected" int2:type="AugLoop_Text_Critique"/>
    </int2:textHash>
    <int2:textHash int2:hashCode="Qga7FKNOA2pJHR" int2:id="zcQ7Zy4X">
      <int2:state int2:value="Rejected" int2:type="AugLoop_Text_Critique"/>
    </int2:textHash>
    <int2:bookmark int2:bookmarkName="_Int_V6Bgmm8m" int2:invalidationBookmarkName="" int2:hashCode="E/5lQcLCsP6v0/" int2:id="0Lb1Pqqs">
      <int2:extLst>
        <oel:ext uri="426473B9-03D8-482F-96C9-C2C85392BACA">
          <int2:similarityCritique int2:version="1" int2:context="Mangubhai, S., Sykes, H., Manley, M., Vukikomoala, K. and Beattie, M. (2020).">
            <int2:source int2:sourceType="Online" int2:sourceTitle="Marine Conservation Agreements - Wildlife Conservation Society" int2:sourceUrl="https://fiji.wcs.org/Initiatives/Marine-Conservation-Agreements.aspx" int2:sourceSnippet="Mangubhai S, Sykes H, Manley M, Vukikomoala K, Beattie M (2020) Contribution of tourism-led marine conservation agreements to natural resource management in Fiji. ... Mangubhai S, Billé R (2017) Marine conservation agreements as innovative financial mechanisms for biodiversity conservation and sustainable fisheries in the Pacific: The Vatu-i ...">
              <int2:suggestions int2:citationType="Inline">
                <int2:suggestion int2:citationStyle="Mla" int2:isIdentical="0">
                  <int2:citationText>(“Marine Conservation Agreements - Wildlife Conservation Society”)</int2:citationText>
                </int2:suggestion>
                <int2:suggestion int2:citationStyle="Apa" int2:isIdentical="0">
                  <int2:citationText>(“Marine Conservation Agreements - Wildlife Conservation Society”)</int2:citationText>
                </int2:suggestion>
                <int2:suggestion int2:citationStyle="Chicago" int2:isIdentical="0">
                  <int2:citationText>(“Marine Conservation Agreements - Wildlife Conservation Society”)</int2:citationText>
                </int2:suggestion>
              </int2:suggestions>
              <int2:suggestions int2:citationType="Full">
                <int2:suggestion int2:citationStyle="Mla" int2:isIdentical="0">
                  <int2:citationText>&lt;i&gt;Marine Conservation Agreements - Wildlife Conservation Society&lt;/i&gt;, https://fiji.wcs.org/Initiatives/Marine-Conservation-Agreements.aspx.</int2:citationText>
                </int2:suggestion>
                <int2:suggestion int2:citationStyle="Apa" int2:isIdentical="0">
                  <int2:citationText>&lt;i&gt;Marine Conservation Agreements - Wildlife Conservation Society&lt;/i&gt;. (n.d.). Retrieved from https://fiji.wcs.org/Initiatives/Marine-Conservation-Agreements.aspx</int2:citationText>
                </int2:suggestion>
                <int2:suggestion int2:citationStyle="Chicago" int2:isIdentical="0">
                  <int2:citationText>“Marine Conservation Agreements - Wildlife Conservation Society” n.d., https://fiji.wcs.org/Initiatives/Marine-Conservation-Agreements.aspx.</int2:citationText>
                </int2:suggestion>
              </int2:suggestions>
            </int2:source>
            <int2:source int2:sourceType="Online" int2:sourceTitle="Evaluating the impact of roads on the diversity pattern and density of ..." int2:sourceUrl="https://link.springer.com/article/10.1007/s11356-021-16627-y" int2:sourceSnippet="Mangubhai S, Sykes H, Manley M, Vukikomoala K, Beattie M (2020) Contributions of tourism-based marine conservation agreements to natural resource management in Fiji. ... Bhatti, U.A., Yu, Z., Hasnain, A. et al. Evaluating the impact of roads on the diversity pattern and density of trees to improve the conservation of species. Environ Sci Pollut ...">
              <int2:suggestions int2:citationType="Inline">
                <int2:suggestion int2:citationStyle="Mla" int2:isIdentical="0">
                  <int2:citationText>(“Evaluating the impact of roads on the diversity pattern and density of ...”)</int2:citationText>
                </int2:suggestion>
                <int2:suggestion int2:citationStyle="Apa" int2:isIdentical="0">
                  <int2:citationText>(“Evaluating the impact of roads on the diversity pattern and density of ...”)</int2:citationText>
                </int2:suggestion>
                <int2:suggestion int2:citationStyle="Chicago" int2:isIdentical="0">
                  <int2:citationText>(“Evaluating the impact of roads on the diversity pattern and density of ...”)</int2:citationText>
                </int2:suggestion>
              </int2:suggestions>
              <int2:suggestions int2:citationType="Full">
                <int2:suggestion int2:citationStyle="Mla" int2:isIdentical="0">
                  <int2:citationText>&lt;i&gt;Evaluating the impact of roads on the diversity pattern and density of ...&lt;/i&gt;, https://link.springer.com/article/10.1007/s11356-021-16627-y.</int2:citationText>
                </int2:suggestion>
                <int2:suggestion int2:citationStyle="Apa" int2:isIdentical="0">
                  <int2:citationText>&lt;i&gt;Evaluating the impact of roads on the diversity pattern and density of ...&lt;/i&gt;. (n.d.). Retrieved from https://link.springer.com/article/10.1007/s11356-021-16627-y</int2:citationText>
                </int2:suggestion>
                <int2:suggestion int2:citationStyle="Chicago" int2:isIdentical="0">
                  <int2:citationText>“Evaluating the impact of roads on the diversity pattern and density of ...” n.d., https://link.springer.com/article/10.1007/s11356-021-16627-y.</int2:citationText>
                </int2:suggestion>
              </int2:suggestions>
            </int2:source>
            <int2:source int2:sourceType="Online" int2:sourceTitle="Sustainable tourism development strategy in West Nusa ... - IOPscience" int2:sourceUrl="https://iopscience.iop.org/article/10.1088/1755-1315/1129/1/012022" int2:sourceSnippet="[34] Mangubhai S., Sykes H., Manley M., Vukikomoala K. and Beattie M. 2020 Contributions of tourism- based Marine Conservation Agreements to natural resource management in Fiji Ecol. Econ. 171. Crossref; Google Scholar [35] Porto N., Rucci A. C. and Ciaschi M. 2018 Tourism accessibility competitiveness.">
              <int2:suggestions int2:citationType="Inline">
                <int2:suggestion int2:citationStyle="Mla" int2:isIdentical="0">
                  <int2:citationText>(“Sustainable tourism development strategy in West Nusa ... - IOPscience”)</int2:citationText>
                </int2:suggestion>
                <int2:suggestion int2:citationStyle="Apa" int2:isIdentical="0">
                  <int2:citationText>(“Sustainable tourism development strategy in West Nusa ... - IOPscience”)</int2:citationText>
                </int2:suggestion>
                <int2:suggestion int2:citationStyle="Chicago" int2:isIdentical="0">
                  <int2:citationText>(“Sustainable tourism development strategy in West Nusa ... - IOPscience”)</int2:citationText>
                </int2:suggestion>
              </int2:suggestions>
              <int2:suggestions int2:citationType="Full">
                <int2:suggestion int2:citationStyle="Mla" int2:isIdentical="0">
                  <int2:citationText>&lt;i&gt;Sustainable tourism development strategy in West Nusa ... - IOPscience&lt;/i&gt;, https://iopscience.iop.org/article/10.1088/1755-1315/1129/1/012022.</int2:citationText>
                </int2:suggestion>
                <int2:suggestion int2:citationStyle="Apa" int2:isIdentical="0">
                  <int2:citationText>&lt;i&gt;Sustainable tourism development strategy in West Nusa ... - IOPscience&lt;/i&gt;. (n.d.). Retrieved from https://iopscience.iop.org/article/10.1088/1755-1315/1129/1/012022</int2:citationText>
                </int2:suggestion>
                <int2:suggestion int2:citationStyle="Chicago" int2:isIdentical="0">
                  <int2:citationText>“Sustainable tourism development strategy in West Nusa ... - IOPscience” n.d., https://iopscience.iop.org/article/10.1088/1755-1315/1129/1/012022.</int2:citationText>
                </int2:suggestion>
              </int2:suggestions>
            </int2:source>
          </int2:similarityCritique>
        </oel:ext>
      </int2:extLst>
    </int2:bookmark>
    <int2:bookmark int2:bookmarkName="_Int_EOyxrYBO" int2:invalidationBookmarkName="" int2:hashCode="nBoired8D0ap1B" int2:id="0a82m15z">
      <int2:extLst>
        <oel:ext uri="426473B9-03D8-482F-96C9-C2C85392BACA">
          <int2:similarityCritique int2:version="1" int2:context="Bani Issa, W., Al Akour, I., Ibrahim, A., Almarzouqi, A., Abbas, S., Hisham, F. and Griffiths, J. (2020).">
            <int2:source int2:sourceType="Online" int2:sourceTitle="Satisfaction of health-care providers with electronic health records ..." int2:sourceUrl="https://europepmc.org/article/MED/27481126" int2:sourceSnippet="Bani Issa W, Al Akour I, Ibrahim A, Almarzouqi A, Abbas S, Hisham F, Griffiths J. Int Nurs Rev, 67(2):218-230, 21 Apr 2020 Cited by: 11 articles | PMID: 32314398. Definition, structure, content, use and impacts of electronic health records: a review of the research literature. Häyrinen K, Saranto K ...">
              <int2:suggestions int2:citationType="Inline">
                <int2:suggestion int2:citationStyle="Mla" int2:isIdentical="0">
                  <int2:citationText>(“Satisfaction of health-care providers with electronic health records ...”)</int2:citationText>
                </int2:suggestion>
                <int2:suggestion int2:citationStyle="Apa" int2:isIdentical="0">
                  <int2:citationText>(“Satisfaction of health-care providers with electronic health records ...”)</int2:citationText>
                </int2:suggestion>
                <int2:suggestion int2:citationStyle="Chicago" int2:isIdentical="0">
                  <int2:citationText>(“Satisfaction of health-care providers with electronic health records ...”)</int2:citationText>
                </int2:suggestion>
              </int2:suggestions>
              <int2:suggestions int2:citationType="Full">
                <int2:suggestion int2:citationStyle="Mla" int2:isIdentical="0">
                  <int2:citationText>&lt;i&gt;Satisfaction of health-care providers with electronic health records ...&lt;/i&gt;, https://europepmc.org/article/MED/27481126.</int2:citationText>
                </int2:suggestion>
                <int2:suggestion int2:citationStyle="Apa" int2:isIdentical="0">
                  <int2:citationText>&lt;i&gt;Satisfaction of health-care providers with electronic health records ...&lt;/i&gt;. (n.d.). Retrieved from https://europepmc.org/article/MED/27481126</int2:citationText>
                </int2:suggestion>
                <int2:suggestion int2:citationStyle="Chicago" int2:isIdentical="0">
                  <int2:citationText>“Satisfaction of health-care providers with electronic health records ...” n.d., https://europepmc.org/article/MED/27481126.</int2:citationText>
                </int2:suggestion>
              </int2:suggestions>
            </int2:source>
            <int2:source int2:sourceType="Online" int2:sourceTitle="The effect of electronic health records on patient safety: A ..." int2:sourceUrl="https://europepmc.org/article/MED/29239662" int2:sourceSnippet="Bani Issa W, Al Akour I, Ibrahim A, Almarzouqi A, Abbas S, Hisham F, Griffiths J. Int Nurs Rev, 67(2):218-230, 21 Apr 2020 Cited by: 11 articles | PMID: 32314398. Perceived usefulness and perceived ease of use of electronic health records among nurses: Application of Technology Acceptance Model. Tubaishat A. Inform Health Soc ...">
              <int2:suggestions int2:citationType="Inline">
                <int2:suggestion int2:citationStyle="Mla" int2:isIdentical="0">
                  <int2:citationText>(“The effect of electronic health records on patient safety: A ...”)</int2:citationText>
                </int2:suggestion>
                <int2:suggestion int2:citationStyle="Apa" int2:isIdentical="0">
                  <int2:citationText>(“The effect of electronic health records on patient safety: A ...”)</int2:citationText>
                </int2:suggestion>
                <int2:suggestion int2:citationStyle="Chicago" int2:isIdentical="0">
                  <int2:citationText>(“The effect of electronic health records on patient safety: A ...”)</int2:citationText>
                </int2:suggestion>
              </int2:suggestions>
              <int2:suggestions int2:citationType="Full">
                <int2:suggestion int2:citationStyle="Mla" int2:isIdentical="0">
                  <int2:citationText>&lt;i&gt;The effect of electronic health records on patient safety: A ...&lt;/i&gt;, https://europepmc.org/article/MED/29239662.</int2:citationText>
                </int2:suggestion>
                <int2:suggestion int2:citationStyle="Apa" int2:isIdentical="0">
                  <int2:citationText>&lt;i&gt;The effect of electronic health records on patient safety: A ...&lt;/i&gt;. (n.d.). Retrieved from https://europepmc.org/article/MED/29239662</int2:citationText>
                </int2:suggestion>
                <int2:suggestion int2:citationStyle="Chicago" int2:isIdentical="0">
                  <int2:citationText>“The effect of electronic health records on patient safety: A ...” n.d., https://europepmc.org/article/MED/29239662.</int2:citationText>
                </int2:suggestion>
              </int2:suggestions>
            </int2:source>
            <int2:source int2:sourceType="Online" int2:sourceTitle="Saudi Health System and Health Security Structure: A Scope Review Study ..." int2:sourceUrl="https://www.ncbi.nlm.nih.gov/pmc/articles/PMC10659570/" int2:sourceSnippet="Bani Issa W, Al Akour I, Ibrahim A, Almarzouqi A, Abbas S, Hisham F, Griffiths J. Int Nurs Rev. 2020; 67:218–230. [Google Scholar] 11. A culture of health and human rights. Mariner WK, Annas GJ. Health Aff. 2016; 35:1999–2004. [Google Scholar] 12. Does the public health security capacity provide better preparedness for health emergencies? ...">
              <int2:suggestions int2:citationType="Inline">
                <int2:suggestion int2:citationStyle="Mla" int2:isIdentical="0">
                  <int2:citationText>(“Saudi Health System and Health Security Structure: A Scope Review Study ...”)</int2:citationText>
                </int2:suggestion>
                <int2:suggestion int2:citationStyle="Apa" int2:isIdentical="0">
                  <int2:citationText>(“Saudi Health System and Health Security Structure: A Scope Review Study ...”)</int2:citationText>
                </int2:suggestion>
                <int2:suggestion int2:citationStyle="Chicago" int2:isIdentical="0">
                  <int2:citationText>(“Saudi Health System and Health Security Structure: A Scope Review Study ...”)</int2:citationText>
                </int2:suggestion>
              </int2:suggestions>
              <int2:suggestions int2:citationType="Full">
                <int2:suggestion int2:citationStyle="Mla" int2:isIdentical="0">
                  <int2:citationText>&lt;i&gt;Saudi Health System and Health Security Structure: A Scope Review Study ...&lt;/i&gt;, https://www.ncbi.nlm.nih.gov/pmc/articles/PMC10659570/.</int2:citationText>
                </int2:suggestion>
                <int2:suggestion int2:citationStyle="Apa" int2:isIdentical="0">
                  <int2:citationText>&lt;i&gt;Saudi Health System and Health Security Structure: A Scope Review Study ...&lt;/i&gt;. (n.d.). Retrieved from https://www.ncbi.nlm.nih.gov/pmc/articles/PMC10659570/</int2:citationText>
                </int2:suggestion>
                <int2:suggestion int2:citationStyle="Chicago" int2:isIdentical="0">
                  <int2:citationText>“Saudi Health System and Health Security Structure: A Scope Review Study ...” n.d., https://www.ncbi.nlm.nih.gov/pmc/articles/PMC10659570/.</int2:citationText>
                </int2:suggestion>
              </int2:suggestions>
            </int2:source>
          </int2:similarityCritique>
        </oel:ext>
      </int2:extLst>
    </int2:bookmark>
    <int2:bookmark int2:bookmarkName="_Int_MDbqviby" int2:invalidationBookmarkName="" int2:hashCode="hwhm3ZN+Li+ZcV" int2:id="1wLUk255">
      <int2:extLst>
        <oel:ext uri="426473B9-03D8-482F-96C9-C2C85392BACA">
          <int2:similarityCritique int2:version="1" int2:context="One crisis, different paths to supply resilience: The case of ventilator procurement for the COVID-19 pandemic.">
            <int2:source int2:sourceType="Online" int2:sourceTitle="One Crisis, Different Paths to Supply Resilience - Research Portal ..." int2:sourceUrl="https://www.research.lancs.ac.uk/portal/en/publications/one-crisis-different-paths-to-supply-resilience(74e1f953-2cb6-49b0-bedc-23c73256d014)/export.html" int2:sourceSnippet="One Crisis, Different Paths to Supply Resilience: The Case of Ventilator Procurement for the COVID-19 Pandemic. / Dube, Nonhlanhla; Li, Qiujun; Selviaridis, Kostas et al. In: Journal of Purchasing and Supply Management, Vol. 28, No. 5, 100773, 31.12.2022. Research output: Contribution to Journal/Magazine › Journal article › peer-review">
              <int2:suggestions int2:citationType="Inline">
                <int2:suggestion int2:citationStyle="Mla" int2:isIdentical="1">
                  <int2:citationText>(“One Crisis, Different Paths to Supply Resilience - Research Portal ...”)</int2:citationText>
                </int2:suggestion>
                <int2:suggestion int2:citationStyle="Apa" int2:isIdentical="1">
                  <int2:citationText>(“One Crisis, Different Paths to Supply Resilience - Research Portal ...”)</int2:citationText>
                </int2:suggestion>
                <int2:suggestion int2:citationStyle="Chicago" int2:isIdentical="1">
                  <int2:citationText>(“One Crisis, Different Paths to Supply Resilience - Research Portal ...”)</int2:citationText>
                </int2:suggestion>
              </int2:suggestions>
              <int2:suggestions int2:citationType="Full">
                <int2:suggestion int2:citationStyle="Mla" int2:isIdentical="1">
                  <int2:citationText>&lt;i&gt;One Crisis, Different Paths to Supply Resilience - Research Portal ...&lt;/i&gt;, https://www.research.lancs.ac.uk/portal/en/publications/one-crisis-different-paths-to-supply-resilience(74e1f953-2cb6-49b0-bedc-23c73256d014)/export.html.</int2:citationText>
                </int2:suggestion>
                <int2:suggestion int2:citationStyle="Apa" int2:isIdentical="1">
                  <int2:citationText>&lt;i&gt;One Crisis, Different Paths to Supply Resilience - Research Portal ...&lt;/i&gt;. (n.d.). Retrieved from https://www.research.lancs.ac.uk/portal/en/publications/one-crisis-different-paths-to-supply-resilience(74e1f953-2cb6-49b0-bedc-23c73256d014)/export.html</int2:citationText>
                </int2:suggestion>
                <int2:suggestion int2:citationStyle="Chicago" int2:isIdentical="1">
                  <int2:citationText>“One Crisis, Different Paths to Supply Resilience - Research Portal ...” n.d., https://www.research.lancs.ac.uk/portal/en/publications/one-crisis-different-paths-to-supply-resilience(74e1f953-2cb6-49b0-bedc-23c73256d014)/export.html.</int2:citationText>
                </int2:suggestion>
              </int2:suggestions>
            </int2:source>
            <int2:source int2:sourceType="Online" int2:sourceTitle="One Crisis, Different Paths to Supply Resilience - Research Portal ..." int2:sourceUrl="https://www.research.lancs.ac.uk/portal/en/publications/-(74e1f953-2cb6-49b0-bedc-23c73256d014).html" int2:sourceSnippet="One Crisis, Different Paths to Supply Resilience: The Case of Ventilator Procurement for the COVID-19 Pandemic. Research output: Contribution to Journal/Magazine › Journal article › peer-review">
              <int2:suggestions int2:citationType="Inline">
                <int2:suggestion int2:citationStyle="Mla" int2:isIdentical="1">
                  <int2:citationText>(“One Crisis, Different Paths to Supply Resilience - Research Portal ...”)</int2:citationText>
                </int2:suggestion>
                <int2:suggestion int2:citationStyle="Apa" int2:isIdentical="1">
                  <int2:citationText>(“One Crisis, Different Paths to Supply Resilience - Research Portal ...”)</int2:citationText>
                </int2:suggestion>
                <int2:suggestion int2:citationStyle="Chicago" int2:isIdentical="1">
                  <int2:citationText>(“One Crisis, Different Paths to Supply Resilience - Research Portal ...”)</int2:citationText>
                </int2:suggestion>
              </int2:suggestions>
              <int2:suggestions int2:citationType="Full">
                <int2:suggestion int2:citationStyle="Mla" int2:isIdentical="1">
                  <int2:citationText>&lt;i&gt;One Crisis, Different Paths to Supply Resilience - Research Portal ...&lt;/i&gt;, https://www.research.lancs.ac.uk/portal/en/publications/-(74e1f953-2cb6-49b0-bedc-23c73256d014).html.</int2:citationText>
                </int2:suggestion>
                <int2:suggestion int2:citationStyle="Apa" int2:isIdentical="1">
                  <int2:citationText>&lt;i&gt;One Crisis, Different Paths to Supply Resilience - Research Portal ...&lt;/i&gt;. (n.d.). Retrieved from https://www.research.lancs.ac.uk/portal/en/publications/-(74e1f953-2cb6-49b0-bedc-23c73256d014).html</int2:citationText>
                </int2:suggestion>
                <int2:suggestion int2:citationStyle="Chicago" int2:isIdentical="1">
                  <int2:citationText>“One Crisis, Different Paths to Supply Resilience - Research Portal ...” n.d., https://www.research.lancs.ac.uk/portal/en/publications/-(74e1f953-2cb6-49b0-bedc-23c73256d014).html.</int2:citationText>
                </int2:suggestion>
              </int2:suggestions>
            </int2:source>
            <int2:source int2:sourceType="Online" int2:sourceTitle="Journal of Purchasing and Supply Management - ScienceDirect" int2:sourceUrl="https://www.sciencedirect.com/journal/journal-of-purchasing-and-supply-management/special-issue/10H9XCHH5T4" int2:sourceSnippet="One crisis, different paths to supply resilience: The case of ventilator procurement for the COVID-19 pandemic. Nonhlanhla Dube, Qiujun Li, Kostas Selviaridis, Marianne Jahre. December 2022 Article 100773 View PDF. Article preview.">
              <int2:suggestions int2:citationType="Inline">
                <int2:suggestion int2:citationStyle="Mla" int2:isIdentical="1">
                  <int2:citationText>(“Journal of Purchasing and Supply Management - ScienceDirect”)</int2:citationText>
                </int2:suggestion>
                <int2:suggestion int2:citationStyle="Apa" int2:isIdentical="1">
                  <int2:citationText>(“Journal of Purchasing and Supply Management - ScienceDirect”)</int2:citationText>
                </int2:suggestion>
                <int2:suggestion int2:citationStyle="Chicago" int2:isIdentical="1">
                  <int2:citationText>(“Journal of Purchasing and Supply Management - ScienceDirect”)</int2:citationText>
                </int2:suggestion>
              </int2:suggestions>
              <int2:suggestions int2:citationType="Full">
                <int2:suggestion int2:citationStyle="Mla" int2:isIdentical="1">
                  <int2:citationText>&lt;i&gt;Journal of Purchasing and Supply Management - ScienceDirect&lt;/i&gt;, https://www.sciencedirect.com/journal/journal-of-purchasing-and-supply-management/special-issue/10H9XCHH5T4.</int2:citationText>
                </int2:suggestion>
                <int2:suggestion int2:citationStyle="Apa" int2:isIdentical="1">
                  <int2:citationText>&lt;i&gt;Journal of Purchasing and Supply Management - ScienceDirect&lt;/i&gt;. (n.d.). Retrieved from https://www.sciencedirect.com/journal/journal-of-purchasing-and-supply-management/special-issue/10H9XCHH5T4</int2:citationText>
                </int2:suggestion>
                <int2:suggestion int2:citationStyle="Chicago" int2:isIdentical="1">
                  <int2:citationText>“Journal of Purchasing and Supply Management - ScienceDirect” n.d., https://www.sciencedirect.com/journal/journal-of-purchasing-and-supply-management/special-issue/10H9XCHH5T4.</int2:citationText>
                </int2:suggestion>
              </int2:suggestions>
            </int2:source>
          </int2:similarityCritique>
        </oel:ext>
      </int2:extLst>
    </int2:bookmark>
    <int2:bookmark int2:bookmarkName="_Int_ez2sEyb5" int2:invalidationBookmarkName="" int2:hashCode="JKLBD9KjN3M+l/" int2:id="5DtFF7EP">
      <int2:extLst>
        <oel:ext uri="426473B9-03D8-482F-96C9-C2C85392BACA">
          <int2:similarityCritique int2:version="1" int2:context="‘Clinically Unnecessary’ Use of Emergency and Urgent care: a Realist Review of patients’ Decision Making.">
            <int2:source int2:sourceType="Online" int2:sourceTitle="‘Clinically unnecessary’ use of emergency ... - Wiley Online Library" int2:sourceUrl="https://onlinelibrary.wiley.com/doi/abs/10.1111/hex.12995" int2:sourceSnippet="‘Clinically unnecessary’ use of emergency and urgent care: A realist review of patients' decision making. Alicia O'Cathain PhD, Corresponding Author. Alicia O'Cathain PhD. ... explained why patients made clinically unnecessary use of emergency and urgent care: (a) need for risk minimization, for example heightened anxiety due to previous ...">
              <int2:suggestions int2:citationType="Inline">
                <int2:suggestion int2:citationStyle="Mla" int2:isIdentical="1">
                  <int2:citationText>(“‘Clinically unnecessary’ use of emergency ... - Wiley Online Library”)</int2:citationText>
                </int2:suggestion>
                <int2:suggestion int2:citationStyle="Apa" int2:isIdentical="1">
                  <int2:citationText>(“‘Clinically unnecessary’ use of emergency ... - Wiley Online Library”)</int2:citationText>
                </int2:suggestion>
                <int2:suggestion int2:citationStyle="Chicago" int2:isIdentical="1">
                  <int2:citationText>(“‘Clinically unnecessary’ use of emergency ... - Wiley Online Library”)</int2:citationText>
                </int2:suggestion>
              </int2:suggestions>
              <int2:suggestions int2:citationType="Full">
                <int2:suggestion int2:citationStyle="Mla" int2:isIdentical="1">
                  <int2:citationText>&lt;i&gt;‘Clinically unnecessary’ use of emergency ... - Wiley Online Library&lt;/i&gt;, https://onlinelibrary.wiley.com/doi/abs/10.1111/hex.12995.</int2:citationText>
                </int2:suggestion>
                <int2:suggestion int2:citationStyle="Apa" int2:isIdentical="1">
                  <int2:citationText>&lt;i&gt;‘Clinically unnecessary’ use of emergency ... - Wiley Online Library&lt;/i&gt;. (n.d.). Retrieved from https://onlinelibrary.wiley.com/doi/abs/10.1111/hex.12995</int2:citationText>
                </int2:suggestion>
                <int2:suggestion int2:citationStyle="Chicago" int2:isIdentical="1">
                  <int2:citationText>“‘Clinically unnecessary’ use of emergency ... - Wiley Online Library” n.d., https://onlinelibrary.wiley.com/doi/abs/10.1111/hex.12995.</int2:citationText>
                </int2:suggestion>
              </int2:suggestions>
            </int2:source>
            <int2:source int2:sourceType="Online" int2:sourceTitle="Understanding young adults’ reasons for seeking ‘clinically unnecessary ..." int2:sourceUrl="https://www.ncbi.nlm.nih.gov/pmc/articles/PMC8369113/" int2:sourceSnippet="Understanding young adults’ reasons for seeking ‘clinically unnecessary’ urgent and emergency care: A qualitative interview study ... O'Cathain A, Connell J, Long J, Coster J. ‘Clinically unnecessary’ use of emergency and urgent care: a realist review of patients' decision making. Health Expect. 2020; 23 (1):19‐40. 10.1111/hex.12995 ...">
              <int2:suggestions int2:citationType="Inline">
                <int2:suggestion int2:citationStyle="Mla" int2:isIdentical="1">
                  <int2:citationText>(“Understanding young adults’ reasons for seeking ‘clinically unnecessary ...”)</int2:citationText>
                </int2:suggestion>
                <int2:suggestion int2:citationStyle="Apa" int2:isIdentical="1">
                  <int2:citationText>(“Understanding young adults’ reasons for seeking ‘clinically unnecessary ...”)</int2:citationText>
                </int2:suggestion>
                <int2:suggestion int2:citationStyle="Chicago" int2:isIdentical="1">
                  <int2:citationText>(“Understanding young adults’ reasons for seeking ‘clinically unnecessary ...”)</int2:citationText>
                </int2:suggestion>
              </int2:suggestions>
              <int2:suggestions int2:citationType="Full">
                <int2:suggestion int2:citationStyle="Mla" int2:isIdentical="1">
                  <int2:citationText>&lt;i&gt;Understanding young adults’ reasons for seeking ‘clinically unnecessary ...&lt;/i&gt;, https://www.ncbi.nlm.nih.gov/pmc/articles/PMC8369113/.</int2:citationText>
                </int2:suggestion>
                <int2:suggestion int2:citationStyle="Apa" int2:isIdentical="1">
                  <int2:citationText>&lt;i&gt;Understanding young adults’ reasons for seeking ‘clinically unnecessary ...&lt;/i&gt;. (n.d.). Retrieved from https://www.ncbi.nlm.nih.gov/pmc/articles/PMC8369113/</int2:citationText>
                </int2:suggestion>
                <int2:suggestion int2:citationStyle="Chicago" int2:isIdentical="1">
                  <int2:citationText>“Understanding young adults’ reasons for seeking ‘clinically unnecessary ...” n.d., https://www.ncbi.nlm.nih.gov/pmc/articles/PMC8369113/.</int2:citationText>
                </int2:suggestion>
              </int2:suggestions>
            </int2:source>
            <int2:source int2:sourceType="Online" int2:sourceTitle="‘Clinically unnecessary’ use of emergency and urgent care: A realist ..." int2:sourceUrl="https://doaj.org/article/2bff58e2a6424fcdbb310a3cc28e1746" int2:sourceSnippet="‘Clinically unnecessary’ use of emergency and urgent care: A realist review of patients' decision making Alicia O'Cathain, Janice Connell, Jaqui Long, Joanne Coster; Affiliations Alicia O'Cathain School of Health and Related Research (ScHARR) University of Sheffield Sheffield UK ...">
              <int2:suggestions int2:citationType="Inline">
                <int2:suggestion int2:citationStyle="Mla" int2:isIdentical="0">
                  <int2:citationText>(“‘Clinically unnecessary’ use of emergency and urgent care: A realist ...”)</int2:citationText>
                </int2:suggestion>
                <int2:suggestion int2:citationStyle="Apa" int2:isIdentical="0">
                  <int2:citationText>(“‘Clinically unnecessary’ use of emergency and urgent care: A realist ...”)</int2:citationText>
                </int2:suggestion>
                <int2:suggestion int2:citationStyle="Chicago" int2:isIdentical="0">
                  <int2:citationText>(“‘Clinically unnecessary’ use of emergency and urgent care: A realist ...”)</int2:citationText>
                </int2:suggestion>
              </int2:suggestions>
              <int2:suggestions int2:citationType="Full">
                <int2:suggestion int2:citationStyle="Mla" int2:isIdentical="0">
                  <int2:citationText>&lt;i&gt;‘Clinically unnecessary’ use of emergency and urgent care: A realist ...&lt;/i&gt;, https://doaj.org/article/2bff58e2a6424fcdbb310a3cc28e1746.</int2:citationText>
                </int2:suggestion>
                <int2:suggestion int2:citationStyle="Apa" int2:isIdentical="0">
                  <int2:citationText>&lt;i&gt;‘Clinically unnecessary’ use of emergency and urgent care: A realist ...&lt;/i&gt;. (n.d.). Retrieved from https://doaj.org/article/2bff58e2a6424fcdbb310a3cc28e1746</int2:citationText>
                </int2:suggestion>
                <int2:suggestion int2:citationStyle="Chicago" int2:isIdentical="0">
                  <int2:citationText>“‘Clinically unnecessary’ use of emergency and urgent care: A realist ...” n.d., https://doaj.org/article/2bff58e2a6424fcdbb310a3cc28e1746.</int2:citationText>
                </int2:suggestion>
              </int2:suggestions>
            </int2:source>
          </int2:similarityCritique>
        </oel:ext>
      </int2:extLst>
    </int2:bookmark>
    <int2:bookmark int2:bookmarkName="_Int_bMEAAndA" int2:invalidationBookmarkName="" int2:hashCode="ZomNGt445YEn6a" int2:id="BOFMXPnL">
      <int2:extLst>
        <oel:ext uri="426473B9-03D8-482F-96C9-C2C85392BACA">
          <int2:similarityCritique int2:version="1" int2:context="LSE–Lancet Commission on the future of the NHS: re-laying the foundations for an equitable and efficient health and care service after COVID-19.">
            <int2:source int2:sourceType="Online" int2:sourceTitle="LSE–Lancet Commission on the future of the NHS: re-laying the ..." int2:sourceUrl="https://www.thelancet.com/commissions/future-NHS" int2:sourceSnippet="LSE–Lancet Commission on the future of the NHS: re-laying the foundations for an equitable and efficient health and care service after COVID-19. Michael Anderson, Emma Pitchforth, Miqdad Asaria, Carol Brayne, Barbara Casadei, Anita Charlesworth, and others.">
              <int2:suggestions int2:citationType="Inline">
                <int2:suggestion int2:citationStyle="Mla" int2:isIdentical="1">
                  <int2:citationText>(“LSE–Lancet Commission on the future of the NHS: re-laying the ...”)</int2:citationText>
                </int2:suggestion>
                <int2:suggestion int2:citationStyle="Apa" int2:isIdentical="1">
                  <int2:citationText>(“LSE–Lancet Commission on the future of the NHS: re-laying the ...”)</int2:citationText>
                </int2:suggestion>
                <int2:suggestion int2:citationStyle="Chicago" int2:isIdentical="1">
                  <int2:citationText>(“LSE–Lancet Commission on the future of the NHS: re-laying the ...”)</int2:citationText>
                </int2:suggestion>
              </int2:suggestions>
              <int2:suggestions int2:citationType="Full">
                <int2:suggestion int2:citationStyle="Mla" int2:isIdentical="1">
                  <int2:citationText>&lt;i&gt;LSE–Lancet Commission on the future of the NHS: re-laying the ...&lt;/i&gt;, https://www.thelancet.com/commissions/future-NHS.</int2:citationText>
                </int2:suggestion>
                <int2:suggestion int2:citationStyle="Apa" int2:isIdentical="1">
                  <int2:citationText>&lt;i&gt;LSE–Lancet Commission on the future of the NHS: re-laying the ...&lt;/i&gt;. (n.d.). Retrieved from https://www.thelancet.com/commissions/future-NHS</int2:citationText>
                </int2:suggestion>
                <int2:suggestion int2:citationStyle="Chicago" int2:isIdentical="1">
                  <int2:citationText>“LSE–Lancet Commission on the future of the NHS: re-laying the ...” n.d., https://www.thelancet.com/commissions/future-NHS.</int2:citationText>
                </int2:suggestion>
              </int2:suggestions>
            </int2:source>
            <int2:source int2:sourceType="Online" int2:sourceTitle="LSE–Lancet Commission on the future of the NHS: re-laying the ..." int2:sourceUrl="https://researchportal.ukhsa.gov.uk/en/publications/lselancet-commission-on-the-future-of-the-nhs-re-laying-the-found" int2:sourceSnippet="LSE–Lancet Commission on the future of the NHS: re-laying the foundations for an equitable and efficient health and care service after COVID-19. / Anderson, Michael; Pitchforth, Emma; Asaria, Miqdad et al. In: The Lancet, Vol. 397, No. 10288, 22.05.2021, p. 1915-1978. Research output: Contribution to journal › Review article › peer-review">
              <int2:suggestions int2:citationType="Inline">
                <int2:suggestion int2:citationStyle="Mla" int2:isIdentical="1">
                  <int2:citationText>(“LSE–Lancet Commission on the future of the NHS: re-laying the ...”)</int2:citationText>
                </int2:suggestion>
                <int2:suggestion int2:citationStyle="Apa" int2:isIdentical="1">
                  <int2:citationText>(“LSE–Lancet Commission on the future of the NHS: re-laying the ...”)</int2:citationText>
                </int2:suggestion>
                <int2:suggestion int2:citationStyle="Chicago" int2:isIdentical="1">
                  <int2:citationText>(“LSE–Lancet Commission on the future of the NHS: re-laying the ...”)</int2:citationText>
                </int2:suggestion>
              </int2:suggestions>
              <int2:suggestions int2:citationType="Full">
                <int2:suggestion int2:citationStyle="Mla" int2:isIdentical="1">
                  <int2:citationText>&lt;i&gt;LSE–Lancet Commission on the future of the NHS: re-laying the ...&lt;/i&gt;, https://researchportal.ukhsa.gov.uk/en/publications/lselancet-commission-on-the-future-of-the-nhs-re-laying-the-found.</int2:citationText>
                </int2:suggestion>
                <int2:suggestion int2:citationStyle="Apa" int2:isIdentical="1">
                  <int2:citationText>&lt;i&gt;LSE–Lancet Commission on the future of the NHS: re-laying the ...&lt;/i&gt;. (n.d.). Retrieved from https://researchportal.ukhsa.gov.uk/en/publications/lselancet-commission-on-the-future-of-the-nhs-re-laying-the-found</int2:citationText>
                </int2:suggestion>
                <int2:suggestion int2:citationStyle="Chicago" int2:isIdentical="1">
                  <int2:citationText>“LSE–Lancet Commission on the future of the NHS: re-laying the ...” n.d., https://researchportal.ukhsa.gov.uk/en/publications/lselancet-commission-on-the-future-of-the-nhs-re-laying-the-found.</int2:citationText>
                </int2:suggestion>
              </int2:suggestions>
            </int2:source>
            <int2:source int2:sourceType="Online" int2:sourceTitle="Emma Pitchforth | The Medical School | University of Exeter" int2:sourceUrl="https://medicine.exeter.ac.uk/people/profile/index.php?web_id=Emma_Pitchforth" int2:sourceSnippet="LSE–Lancet Commission on the future of the NHS: re-laying the foundations for an equitable and efficient health and care service after COVID-19. The Lancet, 397(10288), 1915-1978. Pitchforth E, Hussein J (2021). Moving ahead together, on a foundation of rights-based evidence. ... Edit Profile. Connect with us.">
              <int2:suggestions int2:citationType="Inline">
                <int2:suggestion int2:citationStyle="Mla" int2:isIdentical="1">
                  <int2:citationText>(“Emma Pitchforth | The Medical School | University of Exeter”)</int2:citationText>
                </int2:suggestion>
                <int2:suggestion int2:citationStyle="Apa" int2:isIdentical="1">
                  <int2:citationText>(“Emma Pitchforth | The Medical School | University of Exeter”)</int2:citationText>
                </int2:suggestion>
                <int2:suggestion int2:citationStyle="Chicago" int2:isIdentical="1">
                  <int2:citationText>(“Emma Pitchforth | The Medical School | University of Exeter”)</int2:citationText>
                </int2:suggestion>
              </int2:suggestions>
              <int2:suggestions int2:citationType="Full">
                <int2:suggestion int2:citationStyle="Mla" int2:isIdentical="1">
                  <int2:citationText>&lt;i&gt;Emma Pitchforth | The Medical School | University of Exeter&lt;/i&gt;, https://medicine.exeter.ac.uk/people/profile/index.php?web_id=Emma_Pitchforth.</int2:citationText>
                </int2:suggestion>
                <int2:suggestion int2:citationStyle="Apa" int2:isIdentical="1">
                  <int2:citationText>&lt;i&gt;Emma Pitchforth | The Medical School | University of Exeter&lt;/i&gt;. (n.d.). Retrieved from https://medicine.exeter.ac.uk/people/profile/index.php?web_id=Emma_Pitchforth</int2:citationText>
                </int2:suggestion>
                <int2:suggestion int2:citationStyle="Chicago" int2:isIdentical="1">
                  <int2:citationText>“Emma Pitchforth | The Medical School | University of Exeter” n.d., https://medicine.exeter.ac.uk/people/profile/index.php?web_id=Emma_Pitchforth.</int2:citationText>
                </int2:suggestion>
              </int2:suggestions>
            </int2:source>
          </int2:similarityCritique>
        </oel:ext>
      </int2:extLst>
    </int2:bookmark>
    <int2:bookmark int2:bookmarkName="_Int_AEY3vT3E" int2:invalidationBookmarkName="" int2:hashCode="FiRIVZ4nHjTq3U" int2:id="Ckgz4aGR">
      <int2:extLst>
        <oel:ext uri="426473B9-03D8-482F-96C9-C2C85392BACA">
          <int2:similarityCritique int2:version="1" int2:context="Contributions of tourism-based Marine Conservation Agreements to natural resource management in Fiji.">
            <int2:source int2:sourceType="Online" int2:sourceTitle="Contributions of tourism-based Marine Conservation Agreements to ..." int2:sourceUrl="https://www.marineecologyfiji.com/wp-content/uploads/2022/05/Mangubhai-etal20_Tourism-based-MCAs-in-Fiji.pdf" int2:sourceSnippet="Contributions of tourism-based Marine Conservation Agreements to natural resource management in Fiji. Sangeeta Mangubhaia,⁎, Helen Sykesb, Marita Manleyc, Kiji Vukikomoalad, Madeline Beattiee. aWildlife Conservation Society, 11 Ma'afu Street, Suva, Fiji bMarine Ecology Consulting, P.O. Box 2558, Government Buildings, Suva, Fiji cTalanoa Treks ...">
              <int2:suggestions int2:citationType="Inline">
                <int2:suggestion int2:citationStyle="Mla" int2:isIdentical="1">
                  <int2:citationText>(“Contributions of tourism-based Marine Conservation Agreements to ...”)</int2:citationText>
                </int2:suggestion>
                <int2:suggestion int2:citationStyle="Apa" int2:isIdentical="1">
                  <int2:citationText>(“Contributions of tourism-based Marine Conservation Agreements to ...”)</int2:citationText>
                </int2:suggestion>
                <int2:suggestion int2:citationStyle="Chicago" int2:isIdentical="1">
                  <int2:citationText>(“Contributions of tourism-based Marine Conservation Agreements to ...”)</int2:citationText>
                </int2:suggestion>
              </int2:suggestions>
              <int2:suggestions int2:citationType="Full">
                <int2:suggestion int2:citationStyle="Mla" int2:isIdentical="1">
                  <int2:citationText>&lt;i&gt;Contributions of tourism-based Marine Conservation Agreements to ...&lt;/i&gt;, https://www.marineecologyfiji.com/wp-content/uploads/2022/05/Mangubhai-etal20_Tourism-based-MCAs-in-Fiji.pdf.</int2:citationText>
                </int2:suggestion>
                <int2:suggestion int2:citationStyle="Apa" int2:isIdentical="1">
                  <int2:citationText>&lt;i&gt;Contributions of tourism-based Marine Conservation Agreements to ...&lt;/i&gt;. (n.d.). Retrieved from https://www.marineecologyfiji.com/wp-content/uploads/2022/05/Mangubhai-etal20_Tourism-based-MCAs-in-Fiji.pdf</int2:citationText>
                </int2:suggestion>
                <int2:suggestion int2:citationStyle="Chicago" int2:isIdentical="1">
                  <int2:citationText>“Contributions of tourism-based Marine Conservation Agreements to ...” n.d., https://www.marineecologyfiji.com/wp-content/uploads/2022/05/Mangubhai-etal20_Tourism-based-MCAs-in-Fiji.pdf.</int2:citationText>
                </int2:suggestion>
              </int2:suggestions>
            </int2:source>
            <int2:source int2:sourceType="Online" int2:sourceTitle="Contributions of tourism-based Marine Conservation Agreements to ..." int2:sourceUrl="https://www.academia.edu/78790424/Contributions_of_tourism_based_Marine_Conservation_Agreements_to_natural_resource_management_in_Fiji" int2:sourceSnippet="Contributions of tourism-based Marine Conservation Agreements to natural resource management in Fiji. Sangeeta Mangubhai H. Sykes. 2020, Ecological Economics. The marine environment is vital for Fiji's tourism sector, yet industry and community partnerships to conserve it have largely gone unrecognised. A study from March to October 2017 ...">
              <int2:suggestions int2:citationType="Inline">
                <int2:suggestion int2:citationStyle="Mla" int2:isIdentical="1">
                  <int2:citationText>(“Contributions of tourism-based Marine Conservation Agreements to ...”)</int2:citationText>
                </int2:suggestion>
                <int2:suggestion int2:citationStyle="Apa" int2:isIdentical="1">
                  <int2:citationText>(“Contributions of tourism-based Marine Conservation Agreements to ...”)</int2:citationText>
                </int2:suggestion>
                <int2:suggestion int2:citationStyle="Chicago" int2:isIdentical="1">
                  <int2:citationText>(“Contributions of tourism-based Marine Conservation Agreements to ...”)</int2:citationText>
                </int2:suggestion>
              </int2:suggestions>
              <int2:suggestions int2:citationType="Full">
                <int2:suggestion int2:citationStyle="Mla" int2:isIdentical="1">
                  <int2:citationText>&lt;i&gt;Contributions of tourism-based Marine Conservation Agreements to ...&lt;/i&gt;, https://www.academia.edu/78790424/Contributions_of_tourism_based_Marine_Conservation_Agreements_to_natural_resource_management_in_Fiji.</int2:citationText>
                </int2:suggestion>
                <int2:suggestion int2:citationStyle="Apa" int2:isIdentical="1">
                  <int2:citationText>&lt;i&gt;Contributions of tourism-based Marine Conservation Agreements to ...&lt;/i&gt;. (n.d.). Retrieved from https://www.academia.edu/78790424/Contributions_of_tourism_based_Marine_Conservation_Agreements_to_natural_resource_management_in_Fiji</int2:citationText>
                </int2:suggestion>
                <int2:suggestion int2:citationStyle="Chicago" int2:isIdentical="1">
                  <int2:citationText>“Contributions of tourism-based Marine Conservation Agreements to ...” n.d., https://www.academia.edu/78790424/Contributions_of_tourism_based_Marine_Conservation_Agreements_to_natural_resource_management_in_Fiji.</int2:citationText>
                </int2:suggestion>
              </int2:suggestions>
            </int2:source>
            <int2:source int2:sourceType="Online" int2:sourceTitle="Contributions of tourism-based Marine Conservation Agreements to ..." int2:sourceUrl="https://econpapers.repec.org/RePEc:eee:ecolec:v:171:y:2020:i:c:s0921800919318075" int2:sourceSnippet="Contributions of tourism-based Marine Conservation Agreements to natural resource management in Fiji. Sangeeta Mangubhai, Helen Sykes, Marita Manley, Kiji Vukikomoala and Madeline Beattie. Ecological Economics, 2020, vol. 171, issue C . Abstract: The marine environment is vital for Fiji's tourism sector, yet industry and community partnerships to conserve it have largely gone unrecognised.">
              <int2:suggestions int2:citationType="Inline">
                <int2:suggestion int2:citationStyle="Mla" int2:isIdentical="1">
                  <int2:citationText>(“Contributions of tourism-based Marine Conservation Agreements to ...”)</int2:citationText>
                </int2:suggestion>
                <int2:suggestion int2:citationStyle="Apa" int2:isIdentical="1">
                  <int2:citationText>(“Contributions of tourism-based Marine Conservation Agreements to ...”)</int2:citationText>
                </int2:suggestion>
                <int2:suggestion int2:citationStyle="Chicago" int2:isIdentical="1">
                  <int2:citationText>(“Contributions of tourism-based Marine Conservation Agreements to ...”)</int2:citationText>
                </int2:suggestion>
              </int2:suggestions>
              <int2:suggestions int2:citationType="Full">
                <int2:suggestion int2:citationStyle="Mla" int2:isIdentical="1">
                  <int2:citationText>&lt;i&gt;Contributions of tourism-based Marine Conservation Agreements to ...&lt;/i&gt;, https://econpapers.repec.org/RePEc:eee:ecolec:v:171:y:2020:i:c:s0921800919318075.</int2:citationText>
                </int2:suggestion>
                <int2:suggestion int2:citationStyle="Apa" int2:isIdentical="1">
                  <int2:citationText>&lt;i&gt;Contributions of tourism-based Marine Conservation Agreements to ...&lt;/i&gt;. (n.d.). Retrieved from https://econpapers.repec.org/RePEc:eee:ecolec:v:171:y:2020:i:c:s0921800919318075</int2:citationText>
                </int2:suggestion>
                <int2:suggestion int2:citationStyle="Chicago" int2:isIdentical="1">
                  <int2:citationText>“Contributions of tourism-based Marine Conservation Agreements to ...” n.d., https://econpapers.repec.org/RePEc:eee:ecolec:v:171:y:2020:i:c:s0921800919318075.</int2:citationText>
                </int2:suggestion>
              </int2:suggestions>
            </int2:source>
          </int2:similarityCritique>
        </oel:ext>
      </int2:extLst>
    </int2:bookmark>
    <int2:bookmark int2:bookmarkName="_Int_Qh1VXUDP" int2:invalidationBookmarkName="" int2:hashCode="3AyKkPQHagkvhz" int2:id="D6FuoJHV">
      <int2:extLst>
        <oel:ext uri="426473B9-03D8-482F-96C9-C2C85392BACA">
          <int2:similarityCritique int2:version="1" int2:context="Inquiry into Benefits in Wales: options for a better delivery.">
            <int2:source int2:sourceType="Online" int2:sourceTitle="Inquiry into Benefits in Wales: options for a better delivery" int2:sourceUrl="https://research.bangor.ac.uk/portal/en/researchoutputs/inquiry-into-benefits-in-wales-options-for-a-better-delivery(4d95445e-59e8-4684-864d-301b91838535).html" int2:sourceSnippet="Inquiry into Benefits in Wales: options for a better deliver... Inquiry into Benefits in Wales: options for a better delivery. Research output: Other contribution. Overview; Research outputs; Research activities; Cite Electronic versions. Documents. Published Welsh Affairs Committee - Report - The Benefits System in Wales 17.03.22 ...">
              <int2:suggestions int2:citationType="Inline">
                <int2:suggestion int2:citationStyle="Mla" int2:isIdentical="1">
                  <int2:citationText>(“Inquiry into Benefits in Wales: options for a better delivery”)</int2:citationText>
                </int2:suggestion>
                <int2:suggestion int2:citationStyle="Apa" int2:isIdentical="1">
                  <int2:citationText>(“Inquiry into Benefits in Wales: options for a better delivery”)</int2:citationText>
                </int2:suggestion>
                <int2:suggestion int2:citationStyle="Chicago" int2:isIdentical="1">
                  <int2:citationText>(“Inquiry into Benefits in Wales: options for a better delivery”)</int2:citationText>
                </int2:suggestion>
              </int2:suggestions>
              <int2:suggestions int2:citationType="Full">
                <int2:suggestion int2:citationStyle="Mla" int2:isIdentical="1">
                  <int2:citationText>&lt;i&gt;Inquiry into Benefits in Wales: options for a better delivery&lt;/i&gt;, https://research.bangor.ac.uk/portal/en/researchoutputs/inquiry-into-benefits-in-wales-options-for-a-better-delivery(4d95445e-59e8-4684-864d-301b91838535).html.</int2:citationText>
                </int2:suggestion>
                <int2:suggestion int2:citationStyle="Apa" int2:isIdentical="1">
                  <int2:citationText>&lt;i&gt;Inquiry into Benefits in Wales: options for a better delivery&lt;/i&gt;. (n.d.). Retrieved from https://research.bangor.ac.uk/portal/en/researchoutputs/inquiry-into-benefits-in-wales-options-for-a-better-delivery(4d95445e-59e8-4684-864d-301b91838535).html</int2:citationText>
                </int2:suggestion>
                <int2:suggestion int2:citationStyle="Chicago" int2:isIdentical="1">
                  <int2:citationText>“Inquiry into Benefits in Wales: options for a better delivery” n.d., https://research.bangor.ac.uk/portal/en/researchoutputs/inquiry-into-benefits-in-wales-options-for-a-better-delivery(4d95445e-59e8-4684-864d-301b91838535).html.</int2:citationText>
                </int2:suggestion>
              </int2:suggestions>
            </int2:source>
            <int2:source int2:sourceType="Online" int2:sourceTitle="Inquiry into Benefits in Wales: options for a better delivery" int2:sourceUrl="https://www.academia.edu/83399693/Inquiry_into_Benefits_in_Wales_options_for_a_better_delivery" int2:sourceSnippet="Inquiry into Benefits in Wales: options for a better delivery. Hefin Gwilym. 2021. Ymchwiliad i Fudd-daliadau yng Nghymru: opsiynau i'w cyflawni'n well . In addition, Universal. See Full PDF Download PDF.">
              <int2:suggestions int2:citationType="Inline">
                <int2:suggestion int2:citationStyle="Mla" int2:isIdentical="1">
                  <int2:citationText>(“Inquiry into Benefits in Wales: options for a better delivery”)</int2:citationText>
                </int2:suggestion>
                <int2:suggestion int2:citationStyle="Apa" int2:isIdentical="1">
                  <int2:citationText>(“Inquiry into Benefits in Wales: options for a better delivery”)</int2:citationText>
                </int2:suggestion>
                <int2:suggestion int2:citationStyle="Chicago" int2:isIdentical="1">
                  <int2:citationText>(“Inquiry into Benefits in Wales: options for a better delivery”)</int2:citationText>
                </int2:suggestion>
              </int2:suggestions>
              <int2:suggestions int2:citationType="Full">
                <int2:suggestion int2:citationStyle="Mla" int2:isIdentical="1">
                  <int2:citationText>&lt;i&gt;Inquiry into Benefits in Wales: options for a better delivery&lt;/i&gt;, https://www.academia.edu/83399693/Inquiry_into_Benefits_in_Wales_options_for_a_better_delivery.</int2:citationText>
                </int2:suggestion>
                <int2:suggestion int2:citationStyle="Apa" int2:isIdentical="1">
                  <int2:citationText>&lt;i&gt;Inquiry into Benefits in Wales: options for a better delivery&lt;/i&gt;. (n.d.). Retrieved from https://www.academia.edu/83399693/Inquiry_into_Benefits_in_Wales_options_for_a_better_delivery</int2:citationText>
                </int2:suggestion>
                <int2:suggestion int2:citationStyle="Chicago" int2:isIdentical="1">
                  <int2:citationText>“Inquiry into Benefits in Wales: options for a better delivery” n.d., https://www.academia.edu/83399693/Inquiry_into_Benefits_in_Wales_options_for_a_better_delivery.</int2:citationText>
                </int2:suggestion>
              </int2:suggestions>
            </int2:source>
            <int2:source int2:sourceType="Online" int2:sourceTitle="Inquiry into Benefits in Wales: options for a better delivery" int2:sourceUrl="https://research.bangor.ac.uk/portal/en/researchoutputs/inquiry-into-benefits-in-wales-options-for-a-better-delivery(4d95445e-59e8-4684-864d-301b91838535)/researchoutputs.html" int2:sourceSnippet="Inquiry into Benefits in Wales: options for a better deliver... Research outputs; Inquiry into Benefits in Wales: options for a better delivery. Research output: Other contribution. Overview; Research outputs; Research activities; Cite 1 - 1 out of 1 Page size: 50. 10; 25; 50; 100; 250; Sort by: Type.">
              <int2:suggestions int2:citationType="Inline">
                <int2:suggestion int2:citationStyle="Mla" int2:isIdentical="1">
                  <int2:citationText>(“Inquiry into Benefits in Wales: options for a better delivery”)</int2:citationText>
                </int2:suggestion>
                <int2:suggestion int2:citationStyle="Apa" int2:isIdentical="1">
                  <int2:citationText>(“Inquiry into Benefits in Wales: options for a better delivery”)</int2:citationText>
                </int2:suggestion>
                <int2:suggestion int2:citationStyle="Chicago" int2:isIdentical="1">
                  <int2:citationText>(“Inquiry into Benefits in Wales: options for a better delivery”)</int2:citationText>
                </int2:suggestion>
              </int2:suggestions>
              <int2:suggestions int2:citationType="Full">
                <int2:suggestion int2:citationStyle="Mla" int2:isIdentical="1">
                  <int2:citationText>&lt;i&gt;Inquiry into Benefits in Wales: options for a better delivery&lt;/i&gt;, https://research.bangor.ac.uk/portal/en/researchoutputs/inquiry-into-benefits-in-wales-options-for-a-better-delivery(4d95445e-59e8-4684-864d-301b91838535)/researchoutputs.html.</int2:citationText>
                </int2:suggestion>
                <int2:suggestion int2:citationStyle="Apa" int2:isIdentical="1">
                  <int2:citationText>&lt;i&gt;Inquiry into Benefits in Wales: options for a better delivery&lt;/i&gt;. (n.d.). Retrieved from https://research.bangor.ac.uk/portal/en/researchoutputs/inquiry-into-benefits-in-wales-options-for-a-better-delivery(4d95445e-59e8-4684-864d-301b91838535)/researchoutputs.html</int2:citationText>
                </int2:suggestion>
                <int2:suggestion int2:citationStyle="Chicago" int2:isIdentical="1">
                  <int2:citationText>“Inquiry into Benefits in Wales: options for a better delivery” n.d., https://research.bangor.ac.uk/portal/en/researchoutputs/inquiry-into-benefits-in-wales-options-for-a-better-delivery(4d95445e-59e8-4684-864d-301b91838535)/researchoutputs.html.</int2:citationText>
                </int2:suggestion>
              </int2:suggestions>
            </int2:source>
          </int2:similarityCritique>
        </oel:ext>
      </int2:extLst>
    </int2:bookmark>
    <int2:bookmark int2:bookmarkName="_Int_2LQWuvyk" int2:invalidationBookmarkName="" int2:hashCode="TSEK+KrLWI5iws" int2:id="EO8HytwI">
      <int2:extLst>
        <oel:ext uri="426473B9-03D8-482F-96C9-C2C85392BACA">
          <int2:similarityCritique int2:version="1" int2:context="General Practitioner Strategies for Managing Patients with multimorbidity: a Systematic Review and Thematic Synthesis of Qualitative Research.">
            <int2:source int2:sourceType="Online" int2:sourceTitle="General practitioner strategies for managing patients with ..." int2:sourceUrl="https://www.ncbi.nlm.nih.gov/pmc/articles/PMC7331183/" int2:sourceSnippet="General practitioner strategies for managing patients with multimorbidity: a systematic review and thematic synthesis of qualitative research. Raechel A. Damarell, Deidre D. Morgan, and Jennifer J. Tieman ... Thomas J, Harden A. Methods for the thematic synthesis of qualitative research in systematic reviews. BMC Med Res Methodol. 2008; 8:45.">
              <int2:suggestions int2:citationType="Inline">
                <int2:suggestion int2:citationStyle="Mla" int2:isIdentical="1">
                  <int2:citationText>(“General practitioner strategies for managing patients with ...”)</int2:citationText>
                </int2:suggestion>
                <int2:suggestion int2:citationStyle="Apa" int2:isIdentical="1">
                  <int2:citationText>(“General practitioner strategies for managing patients with ...”)</int2:citationText>
                </int2:suggestion>
                <int2:suggestion int2:citationStyle="Chicago" int2:isIdentical="1">
                  <int2:citationText>(“General practitioner strategies for managing patients with ...”)</int2:citationText>
                </int2:suggestion>
              </int2:suggestions>
              <int2:suggestions int2:citationType="Full">
                <int2:suggestion int2:citationStyle="Mla" int2:isIdentical="1">
                  <int2:citationText>&lt;i&gt;General practitioner strategies for managing patients with ...&lt;/i&gt;, https://www.ncbi.nlm.nih.gov/pmc/articles/PMC7331183/.</int2:citationText>
                </int2:suggestion>
                <int2:suggestion int2:citationStyle="Apa" int2:isIdentical="1">
                  <int2:citationText>&lt;i&gt;General practitioner strategies for managing patients with ...&lt;/i&gt;. (n.d.). Retrieved from https://www.ncbi.nlm.nih.gov/pmc/articles/PMC7331183/</int2:citationText>
                </int2:suggestion>
                <int2:suggestion int2:citationStyle="Chicago" int2:isIdentical="1">
                  <int2:citationText>“General practitioner strategies for managing patients with ...” n.d., https://www.ncbi.nlm.nih.gov/pmc/articles/PMC7331183/.</int2:citationText>
                </int2:suggestion>
              </int2:suggestions>
            </int2:source>
            <int2:source int2:sourceType="Online" int2:sourceTitle="General practitioner strategies for managing patients with ..." int2:sourceUrl="https://europepmc.org/article/MED/32611391" int2:sourceSnippet="General practitioner strategies for managing patients with multimorbidity: a systematic review and thematic synthesis of qualitative research. Damarell RA 1 , Morgan DD 1 , Tieman JJ 1 Author information. Affiliations. 1. Research Centre for Palliative Care, Death and Dying, College of Nursing and Health Sciences, Flinders University, GPO Box ...">
              <int2:suggestions int2:citationType="Inline">
                <int2:suggestion int2:citationStyle="Mla" int2:isIdentical="1">
                  <int2:citationText>(“General practitioner strategies for managing patients with ...”)</int2:citationText>
                </int2:suggestion>
                <int2:suggestion int2:citationStyle="Apa" int2:isIdentical="1">
                  <int2:citationText>(“General practitioner strategies for managing patients with ...”)</int2:citationText>
                </int2:suggestion>
                <int2:suggestion int2:citationStyle="Chicago" int2:isIdentical="1">
                  <int2:citationText>(“General practitioner strategies for managing patients with ...”)</int2:citationText>
                </int2:suggestion>
              </int2:suggestions>
              <int2:suggestions int2:citationType="Full">
                <int2:suggestion int2:citationStyle="Mla" int2:isIdentical="1">
                  <int2:citationText>&lt;i&gt;General practitioner strategies for managing patients with ...&lt;/i&gt;, https://europepmc.org/article/MED/32611391.</int2:citationText>
                </int2:suggestion>
                <int2:suggestion int2:citationStyle="Apa" int2:isIdentical="1">
                  <int2:citationText>&lt;i&gt;General practitioner strategies for managing patients with ...&lt;/i&gt;. (n.d.). Retrieved from https://europepmc.org/article/MED/32611391</int2:citationText>
                </int2:suggestion>
                <int2:suggestion int2:citationStyle="Chicago" int2:isIdentical="1">
                  <int2:citationText>“General practitioner strategies for managing patients with ...” n.d., https://europepmc.org/article/MED/32611391.</int2:citationText>
                </int2:suggestion>
              </int2:suggestions>
            </int2:source>
            <int2:source int2:sourceType="Online" int2:sourceTitle="Dancing with the patient: a qualitative study of general practitioners ..." int2:sourceUrl="https://bmcprimcare.biomedcentral.com/articles/10.1186/s12875-023-02056-y" int2:sourceSnippet="General practitioner strategies for managing patients with multimorbidity: a systematic review and thematic synthesis of qualitative research. BMC Fam Pract. 2020 Jul 1;21(1):131. Stanners MN, Barton CA, Shakib S, Winefield HR. A qualitative investigation of the impact of multimorbidity on GP diagnosis and treatment of depression in Australia.">
              <int2:suggestions int2:citationType="Inline">
                <int2:suggestion int2:citationStyle="Mla" int2:isIdentical="1">
                  <int2:citationText>(“Dancing with the patient: a qualitative study of general practitioners ...”)</int2:citationText>
                </int2:suggestion>
                <int2:suggestion int2:citationStyle="Apa" int2:isIdentical="1">
                  <int2:citationText>(“Dancing with the patient: a qualitative study of general practitioners ...”)</int2:citationText>
                </int2:suggestion>
                <int2:suggestion int2:citationStyle="Chicago" int2:isIdentical="1">
                  <int2:citationText>(“Dancing with the patient: a qualitative study of general practitioners ...”)</int2:citationText>
                </int2:suggestion>
              </int2:suggestions>
              <int2:suggestions int2:citationType="Full">
                <int2:suggestion int2:citationStyle="Mla" int2:isIdentical="1">
                  <int2:citationText>&lt;i&gt;Dancing with the patient: a qualitative study of general practitioners ...&lt;/i&gt;, https://bmcprimcare.biomedcentral.com/articles/10.1186/s12875-023-02056-y.</int2:citationText>
                </int2:suggestion>
                <int2:suggestion int2:citationStyle="Apa" int2:isIdentical="1">
                  <int2:citationText>&lt;i&gt;Dancing with the patient: a qualitative study of general practitioners ...&lt;/i&gt;. (n.d.). Retrieved from https://bmcprimcare.biomedcentral.com/articles/10.1186/s12875-023-02056-y</int2:citationText>
                </int2:suggestion>
                <int2:suggestion int2:citationStyle="Chicago" int2:isIdentical="1">
                  <int2:citationText>“Dancing with the patient: a qualitative study of general practitioners ...” n.d., https://bmcprimcare.biomedcentral.com/articles/10.1186/s12875-023-02056-y.</int2:citationText>
                </int2:suggestion>
              </int2:suggestions>
            </int2:source>
          </int2:similarityCritique>
        </oel:ext>
      </int2:extLst>
    </int2:bookmark>
    <int2:bookmark int2:bookmarkName="_Int_bDza2QO1" int2:invalidationBookmarkName="" int2:hashCode="DWn99GIR5AvbQn" int2:id="EWpVrcKv">
      <int2:extLst>
        <oel:ext uri="426473B9-03D8-482F-96C9-C2C85392BACA">
          <int2:similarityCritique int2:version="1" int2:context="Integrating health and social care A comparison of policy and progress across the four countries of the UK.">
            <int2:source int2:sourceType="Online" int2:sourceTitle="Integrating health and social care - Nuffield Trust" int2:sourceUrl="https://www.nuffieldtrust.org.uk/sites/default/files/2021-12/integrated-care-web.pdf" int2:sourceSnippet="Integrating health and social care A comparison of policy and progress across the four countries of the UK Sarah Reed, Camille Oung, Jenny Davies, Mark Dayan, Sarah Scobie. Integrating health and social care ii Acknowledgements Special thanks go to our reviewers for their thoughtful feedback and advice on">
              <int2:suggestions int2:citationType="Inline">
                <int2:suggestion int2:citationStyle="Mla" int2:isIdentical="0">
                  <int2:citationText>(“Integrating health and social care - Nuffield Trust”)</int2:citationText>
                </int2:suggestion>
                <int2:suggestion int2:citationStyle="Apa" int2:isIdentical="0">
                  <int2:citationText>(“Integrating health and social care - Nuffield Trust”)</int2:citationText>
                </int2:suggestion>
                <int2:suggestion int2:citationStyle="Chicago" int2:isIdentical="0">
                  <int2:citationText>(“Integrating health and social care - Nuffield Trust”)</int2:citationText>
                </int2:suggestion>
              </int2:suggestions>
              <int2:suggestions int2:citationType="Full">
                <int2:suggestion int2:citationStyle="Mla" int2:isIdentical="0">
                  <int2:citationText>&lt;i&gt;Integrating health and social care - Nuffield Trust&lt;/i&gt;, https://www.nuffieldtrust.org.uk/sites/default/files/2021-12/integrated-care-web.pdf.</int2:citationText>
                </int2:suggestion>
                <int2:suggestion int2:citationStyle="Apa" int2:isIdentical="0">
                  <int2:citationText>&lt;i&gt;Integrating health and social care - Nuffield Trust&lt;/i&gt;. (n.d.). Retrieved from https://www.nuffieldtrust.org.uk/sites/default/files/2021-12/integrated-care-web.pdf</int2:citationText>
                </int2:suggestion>
                <int2:suggestion int2:citationStyle="Chicago" int2:isIdentical="0">
                  <int2:citationText>“Integrating health and social care - Nuffield Trust” n.d., https://www.nuffieldtrust.org.uk/sites/default/files/2021-12/integrated-care-web.pdf.</int2:citationText>
                </int2:suggestion>
              </int2:suggestions>
            </int2:source>
            <int2:source int2:sourceType="Online" int2:sourceTitle="Integrating health and social care: A comparison of pol…" int2:sourceUrl="https://www.goodreads.com/book/show/60225024-integrating-health-and-social-care" int2:sourceSnippet="Integrating health and social care: A comparison of policy and progress across the four countries of the UK">
              <int2:suggestions int2:citationType="Inline">
                <int2:suggestion int2:citationStyle="Mla" int2:isIdentical="0">
                  <int2:citationText>(“Integrating health and social care: A comparison of pol…”)</int2:citationText>
                </int2:suggestion>
                <int2:suggestion int2:citationStyle="Apa" int2:isIdentical="0">
                  <int2:citationText>(“Integrating health and social care: A comparison of pol…”)</int2:citationText>
                </int2:suggestion>
                <int2:suggestion int2:citationStyle="Chicago" int2:isIdentical="0">
                  <int2:citationText>(“Integrating health and social care: A comparison of pol…”)</int2:citationText>
                </int2:suggestion>
              </int2:suggestions>
              <int2:suggestions int2:citationType="Full">
                <int2:suggestion int2:citationStyle="Mla" int2:isIdentical="0">
                  <int2:citationText>&lt;i&gt;Integrating health and social care: A comparison of pol…&lt;/i&gt;, https://www.goodreads.com/book/show/60225024-integrating-health-and-social-care.</int2:citationText>
                </int2:suggestion>
                <int2:suggestion int2:citationStyle="Apa" int2:isIdentical="0">
                  <int2:citationText>&lt;i&gt;Integrating health and social care: A comparison of pol…&lt;/i&gt;. (n.d.). Retrieved from https://www.goodreads.com/book/show/60225024-integrating-health-and-social-care</int2:citationText>
                </int2:suggestion>
                <int2:suggestion int2:citationStyle="Chicago" int2:isIdentical="0">
                  <int2:citationText>“Integrating health and social care: A comparison of pol…” n.d., https://www.goodreads.com/book/show/60225024-integrating-health-and-social-care.</int2:citationText>
                </int2:suggestion>
              </int2:suggestions>
            </int2:source>
          </int2:similarityCritique>
        </oel:ext>
      </int2:extLst>
    </int2:bookmark>
    <int2:bookmark int2:bookmarkName="_Int_y9oGWmev" int2:invalidationBookmarkName="" int2:hashCode="R0FHxyBGmM64hV" int2:id="H1Meb9EE">
      <int2:extLst>
        <oel:ext uri="426473B9-03D8-482F-96C9-C2C85392BACA">
          <int2:similarityCritique int2:version="1" int2:context="The NHS crisis Does the Sunak government have a plan?">
            <int2:source int2:sourceType="Online" int2:sourceTitle="The NHS crisis - Institute for Government" int2:sourceUrl="https://www.instituteforgovernment.org.uk/sites/default/files/2023-01/NHS-crisis-does-government-have-a-plan.pdf?ref=health-policy-insight" int2:sourceSnippet="The NHS crisis Does the Sunak government have a plan? Stuart Hoddinott 1 THE NHS CRISIS IfG INSIGHT | JANUARY 2023 Summary The NHS is experiencing the worst crisis in a generation. Ambulance response times and waits at A&amp;E are both at record levels, bed occupancy is above 95%, and the elective waiting list stands at more than 7 million.">
              <int2:suggestions int2:citationType="Inline">
                <int2:suggestion int2:citationStyle="Mla" int2:isIdentical="1">
                  <int2:citationText>(“The NHS crisis - Institute for Government”)</int2:citationText>
                </int2:suggestion>
                <int2:suggestion int2:citationStyle="Apa" int2:isIdentical="1">
                  <int2:citationText>(“The NHS crisis - Institute for Government”)</int2:citationText>
                </int2:suggestion>
                <int2:suggestion int2:citationStyle="Chicago" int2:isIdentical="1">
                  <int2:citationText>(“The NHS crisis - Institute for Government”)</int2:citationText>
                </int2:suggestion>
              </int2:suggestions>
              <int2:suggestions int2:citationType="Full">
                <int2:suggestion int2:citationStyle="Mla" int2:isIdentical="1">
                  <int2:citationText>&lt;i&gt;The NHS crisis - Institute for Government&lt;/i&gt;, https://www.instituteforgovernment.org.uk/sites/default/files/2023-01/NHS-crisis-does-government-have-a-plan.pdf?ref=health-policy-insight.</int2:citationText>
                </int2:suggestion>
                <int2:suggestion int2:citationStyle="Apa" int2:isIdentical="1">
                  <int2:citationText>&lt;i&gt;The NHS crisis - Institute for Government&lt;/i&gt;. (n.d.). Retrieved from https://www.instituteforgovernment.org.uk/sites/default/files/2023-01/NHS-crisis-does-government-have-a-plan.pdf?ref=health-policy-insight</int2:citationText>
                </int2:suggestion>
                <int2:suggestion int2:citationStyle="Chicago" int2:isIdentical="1">
                  <int2:citationText>“The NHS crisis - Institute for Government” n.d., https://www.instituteforgovernment.org.uk/sites/default/files/2023-01/NHS-crisis-does-government-have-a-plan.pdf?ref=health-policy-insight.</int2:citationText>
                </int2:suggestion>
              </int2:suggestions>
            </int2:source>
          </int2:similarityCritique>
        </oel:ext>
      </int2:extLst>
    </int2:bookmark>
    <int2:bookmark int2:bookmarkName="_Int_mOk9zkIb" int2:invalidationBookmarkName="" int2:hashCode="zm+LYtsuVSAkyQ" int2:id="HLNrUoBx">
      <int2:extLst>
        <oel:ext uri="426473B9-03D8-482F-96C9-C2C85392BACA">
          <int2:similarityCritique int2:version="1" int2:context="Challenges of Research on Person-Centered Care in General Practice: a Scoping Review.">
            <int2:source int2:sourceType="Online" int2:sourceTitle="Frontiers | Challenges of Research on Person-Centered Care in General ..." int2:sourceUrl="https://www.frontiersin.org/articles/10.3389/fmed.2021.669491/full" int2:sourceSnippet="Discussion Person-centered care is a concept that seems obvious and understandable in real life but is complex to operationalize in research. ... Citation: Burgers JS, van der Weijden T and Bischoff EWMA (2021) Challenges of Research on Person-Centered Care in General Practice: A Scoping Review. Front. Med. 8:669491. doi: 10.3389/fmed.2021. ...">
              <int2:suggestions int2:citationType="Inline">
                <int2:suggestion int2:citationStyle="Mla" int2:isIdentical="1">
                  <int2:citationText>(“Frontiers | Challenges of Research on Person-Centered Care in General ...”)</int2:citationText>
                </int2:suggestion>
                <int2:suggestion int2:citationStyle="Apa" int2:isIdentical="1">
                  <int2:citationText>(“Frontiers | Challenges of Research on Person-Centered Care in General ...”)</int2:citationText>
                </int2:suggestion>
                <int2:suggestion int2:citationStyle="Chicago" int2:isIdentical="1">
                  <int2:citationText>(“Frontiers | Challenges of Research on Person-Centered Care in General ...”)</int2:citationText>
                </int2:suggestion>
              </int2:suggestions>
              <int2:suggestions int2:citationType="Full">
                <int2:suggestion int2:citationStyle="Mla" int2:isIdentical="1">
                  <int2:citationText>&lt;i&gt;Frontiers | Challenges of Research on Person-Centered Care in General ...&lt;/i&gt;, https://www.frontiersin.org/articles/10.3389/fmed.2021.669491/full.</int2:citationText>
                </int2:suggestion>
                <int2:suggestion int2:citationStyle="Apa" int2:isIdentical="1">
                  <int2:citationText>&lt;i&gt;Frontiers | Challenges of Research on Person-Centered Care in General ...&lt;/i&gt;. (n.d.). Retrieved from https://www.frontiersin.org/articles/10.3389/fmed.2021.669491/full</int2:citationText>
                </int2:suggestion>
                <int2:suggestion int2:citationStyle="Chicago" int2:isIdentical="1">
                  <int2:citationText>“Frontiers | Challenges of Research on Person-Centered Care in General ...” n.d., https://www.frontiersin.org/articles/10.3389/fmed.2021.669491/full.</int2:citationText>
                </int2:suggestion>
              </int2:suggestions>
            </int2:source>
            <int2:source int2:sourceType="Online" int2:sourceTitle="Challenges of Research on Person-Centered Care in General Practice: A ..." int2:sourceUrl="https://cris.maastrichtuniversity.nl/en/publications/challenges-of-research-on-person-centered-care-in-general-practic" int2:sourceSnippet="T1 - Challenges of Research on Person-Centered Care in General Practice: A Scoping Review. AU - Burgers, J.S. AU - van der Weijden, T. AU - Bischoff, E.W.M.A. PY - 2021/6/24. Y1 - 2021/6/24. N2 - Background: Delivering person-centered care is one of the core values in general practice. Due to the complexity and multifaceted character of person ...">
              <int2:suggestions int2:citationType="Inline">
                <int2:suggestion int2:citationStyle="Mla" int2:isIdentical="1">
                  <int2:citationText>(“Challenges of Research on Person-Centered Care in General Practice: A ...”)</int2:citationText>
                </int2:suggestion>
                <int2:suggestion int2:citationStyle="Apa" int2:isIdentical="1">
                  <int2:citationText>(“Challenges of Research on Person-Centered Care in General Practice: A ...”)</int2:citationText>
                </int2:suggestion>
                <int2:suggestion int2:citationStyle="Chicago" int2:isIdentical="1">
                  <int2:citationText>(“Challenges of Research on Person-Centered Care in General Practice: A ...”)</int2:citationText>
                </int2:suggestion>
              </int2:suggestions>
              <int2:suggestions int2:citationType="Full">
                <int2:suggestion int2:citationStyle="Mla" int2:isIdentical="1">
                  <int2:citationText>&lt;i&gt;Challenges of Research on Person-Centered Care in General Practice: A ...&lt;/i&gt;, https://cris.maastrichtuniversity.nl/en/publications/challenges-of-research-on-person-centered-care-in-general-practic.</int2:citationText>
                </int2:suggestion>
                <int2:suggestion int2:citationStyle="Apa" int2:isIdentical="1">
                  <int2:citationText>&lt;i&gt;Challenges of Research on Person-Centered Care in General Practice: A ...&lt;/i&gt;. (n.d.). Retrieved from https://cris.maastrichtuniversity.nl/en/publications/challenges-of-research-on-person-centered-care-in-general-practic</int2:citationText>
                </int2:suggestion>
                <int2:suggestion int2:citationStyle="Chicago" int2:isIdentical="1">
                  <int2:citationText>“Challenges of Research on Person-Centered Care in General Practice: A ...” n.d., https://cris.maastrichtuniversity.nl/en/publications/challenges-of-research-on-person-centered-care-in-general-practic.</int2:citationText>
                </int2:suggestion>
              </int2:suggestions>
            </int2:source>
            <int2:source int2:sourceType="Online" int2:sourceTitle="Challenges of Research on Person-Centered Care in General ... - DOAJ" int2:sourceUrl="https://doaj.org/article/74d65a078fa146cdbd508e0991e9b38d" int2:sourceSnippet="Challenges of Research on Person-Centered Care in General Practice: A Scoping Review Jako S. Burgers, Jako S. Burgers, Trudy van der Weijden, Erik W. M. A. Bischoff; Affiliations Jako S. Burgers Dutch College of General Practitioners, Utrecht, Netherlands Jako S. Burgers ...">
              <int2:suggestions int2:citationType="Inline">
                <int2:suggestion int2:citationStyle="Mla" int2:isIdentical="0">
                  <int2:citationText>(“Challenges of Research on Person-Centered Care in General ... - DOAJ”)</int2:citationText>
                </int2:suggestion>
                <int2:suggestion int2:citationStyle="Apa" int2:isIdentical="0">
                  <int2:citationText>(“Challenges of Research on Person-Centered Care in General ... - DOAJ”)</int2:citationText>
                </int2:suggestion>
                <int2:suggestion int2:citationStyle="Chicago" int2:isIdentical="0">
                  <int2:citationText>(“Challenges of Research on Person-Centered Care in General ... - DOAJ”)</int2:citationText>
                </int2:suggestion>
              </int2:suggestions>
              <int2:suggestions int2:citationType="Full">
                <int2:suggestion int2:citationStyle="Mla" int2:isIdentical="0">
                  <int2:citationText>&lt;i&gt;Challenges of Research on Person-Centered Care in General ... - DOAJ&lt;/i&gt;, https://doaj.org/article/74d65a078fa146cdbd508e0991e9b38d.</int2:citationText>
                </int2:suggestion>
                <int2:suggestion int2:citationStyle="Apa" int2:isIdentical="0">
                  <int2:citationText>&lt;i&gt;Challenges of Research on Person-Centered Care in General ... - DOAJ&lt;/i&gt;. (n.d.). Retrieved from https://doaj.org/article/74d65a078fa146cdbd508e0991e9b38d</int2:citationText>
                </int2:suggestion>
                <int2:suggestion int2:citationStyle="Chicago" int2:isIdentical="0">
                  <int2:citationText>“Challenges of Research on Person-Centered Care in General ... - DOAJ” n.d., https://doaj.org/article/74d65a078fa146cdbd508e0991e9b38d.</int2:citationText>
                </int2:suggestion>
              </int2:suggestions>
            </int2:source>
          </int2:similarityCritique>
        </oel:ext>
      </int2:extLst>
    </int2:bookmark>
    <int2:bookmark int2:bookmarkName="_Int_lvTfL7pQ" int2:invalidationBookmarkName="" int2:hashCode="QvL6t6m8J1kPM5" int2:id="Jb3vf8uQ">
      <int2:extLst>
        <oel:ext uri="426473B9-03D8-482F-96C9-C2C85392BACA">
          <int2:similarityCritique int2:version="1" int2:context="The development and early operation of Clinical Commissioning Groups (CCGs).">
            <int2:source int2:sourceType="Online" int2:sourceTitle="3 - The Development and Early Operation of Clinical Commissioning ..." int2:sourceUrl="https://www.cambridge.org/core/books/commissioning-healthcare-in-england/development-and-early-operation-of-clinical-commissioning-groups-ccgs/A1BBA31806EA2D192A008DA0C26BEE22" int2:sourceSnippet="3 The Development and Early Operation of Clinical Commissioning Groups (CCGs) 4 Clinical Engagement in Commissioning: Past and Present; 5 Commissioning Primary Care Services: Concepts and Practice; 6 Commissioning of Healthcare Through Competitive and Cooperative Mechanisms Under the HSCA 2012; 7 Healthcare Contracts and the Allocation of ...">
              <int2:suggestions int2:citationType="Inline">
                <int2:suggestion int2:citationStyle="Mla" int2:isIdentical="0">
                  <int2:citationText>(“3 - The Development and Early Operation of Clinical Commissioning ...”)</int2:citationText>
                </int2:suggestion>
                <int2:suggestion int2:citationStyle="Apa" int2:isIdentical="0">
                  <int2:citationText>(“3 - The Development and Early Operation of Clinical Commissioning ...”)</int2:citationText>
                </int2:suggestion>
                <int2:suggestion int2:citationStyle="Chicago" int2:isIdentical="0">
                  <int2:citationText>(“3 - The Development and Early Operation of Clinical Commissioning ...”)</int2:citationText>
                </int2:suggestion>
              </int2:suggestions>
              <int2:suggestions int2:citationType="Full">
                <int2:suggestion int2:citationStyle="Mla" int2:isIdentical="0">
                  <int2:citationText>&lt;i&gt;3 - The Development and Early Operation of Clinical Commissioning ...&lt;/i&gt;, https://www.cambridge.org/core/books/commissioning-healthcare-in-england/development-and-early-operation-of-clinical-commissioning-groups-ccgs/A1BBA31806EA2D192A008DA0C26BEE22.</int2:citationText>
                </int2:suggestion>
                <int2:suggestion int2:citationStyle="Apa" int2:isIdentical="0">
                  <int2:citationText>&lt;i&gt;3 - The Development and Early Operation of Clinical Commissioning ...&lt;/i&gt;. (n.d.). Retrieved from https://www.cambridge.org/core/books/commissioning-healthcare-in-england/development-and-early-operation-of-clinical-commissioning-groups-ccgs/A1BBA31806EA2D192A008DA0C26BEE22</int2:citationText>
                </int2:suggestion>
                <int2:suggestion int2:citationStyle="Chicago" int2:isIdentical="0">
                  <int2:citationText>“3 - The Development and Early Operation of Clinical Commissioning ...” n.d., https://www.cambridge.org/core/books/commissioning-healthcare-in-england/development-and-early-operation-of-clinical-commissioning-groups-ccgs/A1BBA31806EA2D192A008DA0C26BEE22.</int2:citationText>
                </int2:suggestion>
              </int2:suggestions>
            </int2:source>
            <int2:source int2:sourceType="Online" int2:sourceTitle="The development and early operation of Clinical Commissioning Groups ..." int2:sourceUrl="https://www.researchgate.net/publication/345019519_The_development_and_early_operation_of_Clinical_Commissioning_Groups_CCGs" int2:sourceSnippet="Chapter 3 deals with the development and early operation of Clinical Commissioning Groups (CCGs) of GPs. Building upon the context set out in chapter 2, we examine the factors affecting early CCG ...">
              <int2:suggestions int2:citationType="Inline">
                <int2:suggestion int2:citationStyle="Mla" int2:isIdentical="0">
                  <int2:citationText>(“The development and early operation of Clinical Commissioning Groups ...”)</int2:citationText>
                </int2:suggestion>
                <int2:suggestion int2:citationStyle="Apa" int2:isIdentical="0">
                  <int2:citationText>(“The development and early operation of Clinical Commissioning Groups ...”)</int2:citationText>
                </int2:suggestion>
                <int2:suggestion int2:citationStyle="Chicago" int2:isIdentical="0">
                  <int2:citationText>(“The development and early operation of Clinical Commissioning Groups ...”)</int2:citationText>
                </int2:suggestion>
              </int2:suggestions>
              <int2:suggestions int2:citationType="Full">
                <int2:suggestion int2:citationStyle="Mla" int2:isIdentical="0">
                  <int2:citationText>&lt;i&gt;The development and early operation of Clinical Commissioning Groups ...&lt;/i&gt;, https://www.researchgate.net/publication/345019519_The_development_and_early_operation_of_Clinical_Commissioning_Groups_CCGs.</int2:citationText>
                </int2:suggestion>
                <int2:suggestion int2:citationStyle="Apa" int2:isIdentical="0">
                  <int2:citationText>&lt;i&gt;The development and early operation of Clinical Commissioning Groups ...&lt;/i&gt;. (n.d.). Retrieved from https://www.researchgate.net/publication/345019519_The_development_and_early_operation_of_Clinical_Commissioning_Groups_CCGs</int2:citationText>
                </int2:suggestion>
                <int2:suggestion int2:citationStyle="Chicago" int2:isIdentical="0">
                  <int2:citationText>“The development and early operation of Clinical Commissioning Groups ...” n.d., https://www.researchgate.net/publication/345019519_The_development_and_early_operation_of_Clinical_Commissioning_Groups_CCGs.</int2:citationText>
                </int2:suggestion>
              </int2:suggestions>
            </int2:source>
            <int2:source int2:sourceType="Online" int2:sourceTitle="The Development and Early Operation of Clinical ... - ResearchGate" int2:sourceUrl="https://www.researchgate.net/publication/349951075_The_Development_and_Early_Operation_of_Clinical_Commissioning_Groups_CCGs" int2:sourceSnippet="Request PDF | On Mar 25, 2020, Anna Coleman and others published The Development and Early Operation of Clinical Commissioning Groups (CCGs) | Find, read and cite all the research you need on ...">
              <int2:suggestions int2:citationType="Inline">
                <int2:suggestion int2:citationStyle="Mla" int2:isIdentical="0">
                  <int2:citationText>(“The Development and Early Operation of Clinical ... - ResearchGate”)</int2:citationText>
                </int2:suggestion>
                <int2:suggestion int2:citationStyle="Apa" int2:isIdentical="0">
                  <int2:citationText>(“The Development and Early Operation of Clinical ... - ResearchGate”)</int2:citationText>
                </int2:suggestion>
                <int2:suggestion int2:citationStyle="Chicago" int2:isIdentical="0">
                  <int2:citationText>(“The Development and Early Operation of Clinical ... - ResearchGate”)</int2:citationText>
                </int2:suggestion>
              </int2:suggestions>
              <int2:suggestions int2:citationType="Full">
                <int2:suggestion int2:citationStyle="Mla" int2:isIdentical="0">
                  <int2:citationText>&lt;i&gt;The Development and Early Operation of Clinical ... - ResearchGate&lt;/i&gt;, https://www.researchgate.net/publication/349951075_The_Development_and_Early_Operation_of_Clinical_Commissioning_Groups_CCGs.</int2:citationText>
                </int2:suggestion>
                <int2:suggestion int2:citationStyle="Apa" int2:isIdentical="0">
                  <int2:citationText>&lt;i&gt;The Development and Early Operation of Clinical ... - ResearchGate&lt;/i&gt;. (n.d.). Retrieved from https://www.researchgate.net/publication/349951075_The_Development_and_Early_Operation_of_Clinical_Commissioning_Groups_CCGs</int2:citationText>
                </int2:suggestion>
                <int2:suggestion int2:citationStyle="Chicago" int2:isIdentical="0">
                  <int2:citationText>“The Development and Early Operation of Clinical ... - ResearchGate” n.d., https://www.researchgate.net/publication/349951075_The_Development_and_Early_Operation_of_Clinical_Commissioning_Groups_CCGs.</int2:citationText>
                </int2:suggestion>
              </int2:suggestions>
            </int2:source>
          </int2:similarityCritique>
        </oel:ext>
      </int2:extLst>
    </int2:bookmark>
    <int2:bookmark int2:bookmarkName="_Int_8dM57K2R" int2:invalidationBookmarkName="" int2:hashCode="htfx7nxNcEGAI8" int2:id="LYazYJOd">
      <int2:extLst>
        <oel:ext uri="426473B9-03D8-482F-96C9-C2C85392BACA">
          <int2:similarityCritique int2:version="1" int2:context="A Qualitative Study of Key Professionals in a Socially and Ethnically Diverse and Deprived Area of London.">
            <int2:source int2:sourceType="Online" int2:sourceTitle="How Does Living in Temporary Accommodation and the COVID-19 Pandemic ..." int2:sourceUrl="https://www.ncbi.nlm.nih.gov/pmc/articles/PMC9859054/" int2:sourceSnippet="Rosenthal D.M., Heys M., Schoenthaler A., Hayward P.A., Ucci M., Lewis C. How did living in temporary accommodation and the COVID-19 pandemic impact under 5s’ healthcare access and health outcomes? A qualitative study of key professionals in a socially and ethnically diverse and deprived area of London. Lancet.">
              <int2:suggestions int2:citationType="Inline">
                <int2:suggestion int2:citationStyle="Mla" int2:isIdentical="1">
                  <int2:citationText>(“How Does Living in Temporary Accommodation and the COVID-19 Pandemic ...”)</int2:citationText>
                </int2:suggestion>
                <int2:suggestion int2:citationStyle="Apa" int2:isIdentical="1">
                  <int2:citationText>(“How Does Living in Temporary Accommodation and the COVID-19 Pandemic ...”)</int2:citationText>
                </int2:suggestion>
                <int2:suggestion int2:citationStyle="Chicago" int2:isIdentical="1">
                  <int2:citationText>(“How Does Living in Temporary Accommodation and the COVID-19 Pandemic ...”)</int2:citationText>
                </int2:suggestion>
              </int2:suggestions>
              <int2:suggestions int2:citationType="Full">
                <int2:suggestion int2:citationStyle="Mla" int2:isIdentical="1">
                  <int2:citationText>&lt;i&gt;How Does Living in Temporary Accommodation and the COVID-19 Pandemic ...&lt;/i&gt;, https://www.ncbi.nlm.nih.gov/pmc/articles/PMC9859054/.</int2:citationText>
                </int2:suggestion>
                <int2:suggestion int2:citationStyle="Apa" int2:isIdentical="1">
                  <int2:citationText>&lt;i&gt;How Does Living in Temporary Accommodation and the COVID-19 Pandemic ...&lt;/i&gt;. (n.d.). Retrieved from https://www.ncbi.nlm.nih.gov/pmc/articles/PMC9859054/</int2:citationText>
                </int2:suggestion>
                <int2:suggestion int2:citationStyle="Chicago" int2:isIdentical="1">
                  <int2:citationText>“How Does Living in Temporary Accommodation and the COVID-19 Pandemic ...” n.d., https://www.ncbi.nlm.nih.gov/pmc/articles/PMC9859054/.</int2:citationText>
                </int2:suggestion>
              </int2:suggestions>
            </int2:source>
            <int2:source int2:sourceType="Online" int2:sourceTitle="How did living in temporary accommodation during the COVID-19 pandemic ..." int2:sourceUrl="https://www.thelancet.com/journals/lancet/article/PIIS0140-6736(22)02285-1/fulltext" int2:sourceSnippet="A qualitative study of key professionals in a socially and ethnically diverse and deprived area of London. Previous Article Spatial analysis of the association between area deprivation and neonatal outcomes in an ethnically diverse maternal cohort in England: a retrospective cross-sectional study.">
              <int2:suggestions int2:citationType="Inline">
                <int2:suggestion int2:citationStyle="Mla" int2:isIdentical="1">
                  <int2:citationText>(“How did living in temporary accommodation during the COVID-19 pandemic ...”)</int2:citationText>
                </int2:suggestion>
                <int2:suggestion int2:citationStyle="Apa" int2:isIdentical="1">
                  <int2:citationText>(“How did living in temporary accommodation during the COVID-19 pandemic ...”)</int2:citationText>
                </int2:suggestion>
                <int2:suggestion int2:citationStyle="Chicago" int2:isIdentical="1">
                  <int2:citationText>(“How did living in temporary accommodation during the COVID-19 pandemic ...”)</int2:citationText>
                </int2:suggestion>
              </int2:suggestions>
              <int2:suggestions int2:citationType="Full">
                <int2:suggestion int2:citationStyle="Mla" int2:isIdentical="1">
                  <int2:citationText>&lt;i&gt;How did living in temporary accommodation during the COVID-19 pandemic ...&lt;/i&gt;, https://www.thelancet.com/journals/lancet/article/PIIS0140-6736(22)02285-1/fulltext.</int2:citationText>
                </int2:suggestion>
                <int2:suggestion int2:citationStyle="Apa" int2:isIdentical="1">
                  <int2:citationText>&lt;i&gt;How did living in temporary accommodation during the COVID-19 pandemic ...&lt;/i&gt;. (n.d.). Retrieved from https://www.thelancet.com/journals/lancet/article/PIIS0140-6736(22)02285-1/fulltext</int2:citationText>
                </int2:suggestion>
                <int2:suggestion int2:citationStyle="Chicago" int2:isIdentical="1">
                  <int2:citationText>“How did living in temporary accommodation during the COVID-19 pandemic ...” n.d., https://www.thelancet.com/journals/lancet/article/PIIS0140-6736(22)02285-1/fulltext.</int2:citationText>
                </int2:suggestion>
              </int2:suggestions>
            </int2:source>
            <int2:source int2:sourceType="Online" int2:sourceTitle="How did living in temporary accommodation during the COVID-19 pandemic ..." int2:sourceUrl="https://www.ncbi.nlm.nih.gov/pmc/articles/PMC9691073/" int2:sourceSnippet="A qualitative study of key professionals in a socially and ethnically diverse and deprived area of London. Diana Margot Rosenthal, MPA, a, b, * Michelle Heys, MD, a, e Antoinette Schoenthaler, EdD, f Andrew Hayward, Prof, MD, b, c Marcella Ucci, PhD, d and Celine Lewis, PhD a, g">
              <int2:suggestions int2:citationType="Inline">
                <int2:suggestion int2:citationStyle="Mla" int2:isIdentical="1">
                  <int2:citationText>(“How did living in temporary accommodation during the COVID-19 pandemic ...”)</int2:citationText>
                </int2:suggestion>
                <int2:suggestion int2:citationStyle="Apa" int2:isIdentical="1">
                  <int2:citationText>(“How did living in temporary accommodation during the COVID-19 pandemic ...”)</int2:citationText>
                </int2:suggestion>
                <int2:suggestion int2:citationStyle="Chicago" int2:isIdentical="1">
                  <int2:citationText>(“How did living in temporary accommodation during the COVID-19 pandemic ...”)</int2:citationText>
                </int2:suggestion>
              </int2:suggestions>
              <int2:suggestions int2:citationType="Full">
                <int2:suggestion int2:citationStyle="Mla" int2:isIdentical="1">
                  <int2:citationText>&lt;i&gt;How did living in temporary accommodation during the COVID-19 pandemic ...&lt;/i&gt;, https://www.ncbi.nlm.nih.gov/pmc/articles/PMC9691073/.</int2:citationText>
                </int2:suggestion>
                <int2:suggestion int2:citationStyle="Apa" int2:isIdentical="1">
                  <int2:citationText>&lt;i&gt;How did living in temporary accommodation during the COVID-19 pandemic ...&lt;/i&gt;. (n.d.). Retrieved from https://www.ncbi.nlm.nih.gov/pmc/articles/PMC9691073/</int2:citationText>
                </int2:suggestion>
                <int2:suggestion int2:citationStyle="Chicago" int2:isIdentical="1">
                  <int2:citationText>“How did living in temporary accommodation during the COVID-19 pandemic ...” n.d., https://www.ncbi.nlm.nih.gov/pmc/articles/PMC9691073/.</int2:citationText>
                </int2:suggestion>
              </int2:suggestions>
            </int2:source>
          </int2:similarityCritique>
        </oel:ext>
      </int2:extLst>
    </int2:bookmark>
    <int2:bookmark int2:bookmarkName="_Int_sSWHxQ2N" int2:invalidationBookmarkName="" int2:hashCode="iD1/PSiQAqPxln" int2:id="Loo3d4lQ">
      <int2:state int2:value="Rejected" int2:type="AugLoop_Text_Critique"/>
    </int2:bookmark>
    <int2:bookmark int2:bookmarkName="_Int_o4UpCGKx" int2:invalidationBookmarkName="" int2:hashCode="p7cY2vV2MpUNzm" int2:id="P3RiUO0H">
      <int2:extLst>
        <oel:ext uri="426473B9-03D8-482F-96C9-C2C85392BACA">
          <int2:similarityCritique int2:version="1" int2:context="COVID-19 Impacts and Recovery strategies: the Case of the Hospitality Industry in Spain.">
            <int2:source int2:sourceType="Online" int2:sourceTitle="COVID-19 Impacts and Recovery Strategies: The Case of the ... - EconPapers" int2:sourceUrl="https://econpapers.repec.org/RePEc:gam:jsusta:v:12:y:2020:i:20:p:8599-:d:430305" int2:sourceSnippet="COVID-19 Impacts and Recovery Strategies: The Case of the Hospitality Industry in Spain. José Miguel Rodríguez-Antón and María del Mar Alonso-Almeida. Additional contact information. Sustainability, 2020, vol. 12, issue 20, 1-17. Abstract: The health crisis caused by the pandemic COVID-19 has been of such magnitude that the drop-off in ...">
              <int2:suggestions int2:citationType="Inline">
                <int2:suggestion int2:citationStyle="Mla" int2:isIdentical="1">
                  <int2:citationText>(“COVID-19 Impacts and Recovery Strategies: The Case of the ... - EconPapers”)</int2:citationText>
                </int2:suggestion>
                <int2:suggestion int2:citationStyle="Apa" int2:isIdentical="1">
                  <int2:citationText>(“COVID-19 Impacts and Recovery Strategies: The Case of the ... - EconPapers”)</int2:citationText>
                </int2:suggestion>
                <int2:suggestion int2:citationStyle="Chicago" int2:isIdentical="1">
                  <int2:citationText>(“COVID-19 Impacts and Recovery Strategies: The Case of the ... - EconPapers”)</int2:citationText>
                </int2:suggestion>
              </int2:suggestions>
              <int2:suggestions int2:citationType="Full">
                <int2:suggestion int2:citationStyle="Mla" int2:isIdentical="1">
                  <int2:citationText>&lt;i&gt;COVID-19 Impacts and Recovery Strategies: The Case of the ... - EconPapers&lt;/i&gt;, https://econpapers.repec.org/RePEc:gam:jsusta:v:12:y:2020:i:20:p:8599-:d:430305.</int2:citationText>
                </int2:suggestion>
                <int2:suggestion int2:citationStyle="Apa" int2:isIdentical="1">
                  <int2:citationText>&lt;i&gt;COVID-19 Impacts and Recovery Strategies: The Case of the ... - EconPapers&lt;/i&gt;. (n.d.). Retrieved from https://econpapers.repec.org/RePEc:gam:jsusta:v:12:y:2020:i:20:p:8599-:d:430305</int2:citationText>
                </int2:suggestion>
                <int2:suggestion int2:citationStyle="Chicago" int2:isIdentical="1">
                  <int2:citationText>“COVID-19 Impacts and Recovery Strategies: The Case of the ... - EconPapers” n.d., https://econpapers.repec.org/RePEc:gam:jsusta:v:12:y:2020:i:20:p:8599-:d:430305.</int2:citationText>
                </int2:suggestion>
              </int2:suggestions>
            </int2:source>
            <int2:source int2:sourceType="Online" int2:sourceTitle="Effective Crisis Response to COVID-19 in Tourism and ... - ScienceDirect" int2:sourceUrl="https://www.sciencedirect.com/science/article/pii/S1877050923007226" int2:sourceSnippet="COVID-19 impacts and recovery strategies: The case of the hospitality industry in Spain. Sustainability, 12 (20) (2020), p. 8599. CrossRef Google Scholar [30] F. Frandsen, W. Johansen. Organizational crisis communication: A multivocal approach. Sage (2016) Google Scholar [31] W.T. Coombs.">
              <int2:suggestions int2:citationType="Inline">
                <int2:suggestion int2:citationStyle="Mla" int2:isIdentical="1">
                  <int2:citationText>(“Effective Crisis Response to COVID-19 in Tourism and ... - ScienceDirect”)</int2:citationText>
                </int2:suggestion>
                <int2:suggestion int2:citationStyle="Apa" int2:isIdentical="1">
                  <int2:citationText>(“Effective Crisis Response to COVID-19 in Tourism and ... - ScienceDirect”)</int2:citationText>
                </int2:suggestion>
                <int2:suggestion int2:citationStyle="Chicago" int2:isIdentical="1">
                  <int2:citationText>(“Effective Crisis Response to COVID-19 in Tourism and ... - ScienceDirect”)</int2:citationText>
                </int2:suggestion>
              </int2:suggestions>
              <int2:suggestions int2:citationType="Full">
                <int2:suggestion int2:citationStyle="Mla" int2:isIdentical="1">
                  <int2:citationText>&lt;i&gt;Effective Crisis Response to COVID-19 in Tourism and ... - ScienceDirect&lt;/i&gt;, https://www.sciencedirect.com/science/article/pii/S1877050923007226.</int2:citationText>
                </int2:suggestion>
                <int2:suggestion int2:citationStyle="Apa" int2:isIdentical="1">
                  <int2:citationText>&lt;i&gt;Effective Crisis Response to COVID-19 in Tourism and ... - ScienceDirect&lt;/i&gt;. (n.d.). Retrieved from https://www.sciencedirect.com/science/article/pii/S1877050923007226</int2:citationText>
                </int2:suggestion>
                <int2:suggestion int2:citationStyle="Chicago" int2:isIdentical="1">
                  <int2:citationText>“Effective Crisis Response to COVID-19 in Tourism and ... - ScienceDirect” n.d., https://www.sciencedirect.com/science/article/pii/S1877050923007226.</int2:citationText>
                </int2:suggestion>
              </int2:suggestions>
            </int2:source>
            <int2:source int2:sourceType="Online" int2:sourceTitle="(PDF) COVID-19 Impacts and Recovery Strategies: The Case of the ..." int2:sourceUrl="https://www.academia.edu/70809238/COVID_19_Impacts_and_Recovery_Strategies_The_Case_of_the_Hospitality_Industry_in_Spain" int2:sourceSnippet="sustainability Article COVID-19 Impacts and Recovery Strategies: The Case of the Hospitality Industry in Spain José Miguel Rodríguez-Antón * and María del Mar Alonso-Almeida Business Organization Department, Universidad Autónoma de Madrid, 28049 Madrid, Spain; mar.alonso@uam.es * Correspondence: josem.rodriguez@uam.es Received: 10 ...">
              <int2:suggestions int2:citationType="Inline">
                <int2:suggestion int2:citationStyle="Mla" int2:isIdentical="0">
                  <int2:citationText>(“(PDF) COVID-19 Impacts and Recovery Strategies: The Case of the ...”)</int2:citationText>
                </int2:suggestion>
                <int2:suggestion int2:citationStyle="Apa" int2:isIdentical="0">
                  <int2:citationText>(“(PDF) COVID-19 Impacts and Recovery Strategies: The Case of the ...”)</int2:citationText>
                </int2:suggestion>
                <int2:suggestion int2:citationStyle="Chicago" int2:isIdentical="0">
                  <int2:citationText>(“(PDF) COVID-19 Impacts and Recovery Strategies: The Case of the ...”)</int2:citationText>
                </int2:suggestion>
              </int2:suggestions>
              <int2:suggestions int2:citationType="Full">
                <int2:suggestion int2:citationStyle="Mla" int2:isIdentical="0">
                  <int2:citationText>&lt;i&gt;(PDF) COVID-19 Impacts and Recovery Strategies: The Case of the ...&lt;/i&gt;, https://www.academia.edu/70809238/COVID_19_Impacts_and_Recovery_Strategies_The_Case_of_the_Hospitality_Industry_in_Spain.</int2:citationText>
                </int2:suggestion>
                <int2:suggestion int2:citationStyle="Apa" int2:isIdentical="0">
                  <int2:citationText>&lt;i&gt;(PDF) COVID-19 Impacts and Recovery Strategies: The Case of the ...&lt;/i&gt;. (n.d.). Retrieved from https://www.academia.edu/70809238/COVID_19_Impacts_and_Recovery_Strategies_The_Case_of_the_Hospitality_Industry_in_Spain</int2:citationText>
                </int2:suggestion>
                <int2:suggestion int2:citationStyle="Chicago" int2:isIdentical="0">
                  <int2:citationText>“(PDF) COVID-19 Impacts and Recovery Strategies: The Case of the ...” n.d., https://www.academia.edu/70809238/COVID_19_Impacts_and_Recovery_Strategies_The_Case_of_the_Hospitality_Industry_in_Spain.</int2:citationText>
                </int2:suggestion>
              </int2:suggestions>
            </int2:source>
          </int2:similarityCritique>
        </oel:ext>
      </int2:extLst>
    </int2:bookmark>
    <int2:bookmark int2:bookmarkName="_Int_flMwaub0" int2:invalidationBookmarkName="" int2:hashCode="ZN+XKgbXttAzt1" int2:id="SpU9vyWo">
      <int2:extLst>
        <oel:ext uri="426473B9-03D8-482F-96C9-C2C85392BACA">
          <int2:similarityCritique int2:version="1" int2:context="Diminishing disparities in U.S. crisis standards of care: Medical and legal challenges.">
            <int2:source int2:sourceType="Online" int2:sourceTitle="Diminishing disparities in U.S. crisis standards of care: Medical and ..." int2:sourceUrl="https://www.ncbi.nlm.nih.gov/pmc/articles/PMC8060580/" int2:sourceSnippet="Diminishing disparities in U.S. crisis standards of care: Medical and legal challenges. Despite a decade of planning and development of crisis standards of care (CSC) in the U.S. [1], real-time experiences during the COVID-19 pandemic and other disasters have highlighted shortcomings involving potentially disparate outcomes among patients ...">
              <int2:suggestions int2:citationType="Inline">
                <int2:suggestion int2:citationStyle="Mla" int2:isIdentical="1">
                  <int2:citationText>(“Diminishing disparities in U.S. crisis standards of care: Medical and ...”)</int2:citationText>
                </int2:suggestion>
                <int2:suggestion int2:citationStyle="Apa" int2:isIdentical="1">
                  <int2:citationText>(“Diminishing disparities in U.S. crisis standards of care: Medical and ...”)</int2:citationText>
                </int2:suggestion>
                <int2:suggestion int2:citationStyle="Chicago" int2:isIdentical="1">
                  <int2:citationText>(“Diminishing disparities in U.S. crisis standards of care: Medical and ...”)</int2:citationText>
                </int2:suggestion>
              </int2:suggestions>
              <int2:suggestions int2:citationType="Full">
                <int2:suggestion int2:citationStyle="Mla" int2:isIdentical="1">
                  <int2:citationText>&lt;i&gt;Diminishing disparities in U.S. crisis standards of care: Medical and ...&lt;/i&gt;, https://www.ncbi.nlm.nih.gov/pmc/articles/PMC8060580/.</int2:citationText>
                </int2:suggestion>
                <int2:suggestion int2:citationStyle="Apa" int2:isIdentical="1">
                  <int2:citationText>&lt;i&gt;Diminishing disparities in U.S. crisis standards of care: Medical and ...&lt;/i&gt;. (n.d.). Retrieved from https://www.ncbi.nlm.nih.gov/pmc/articles/PMC8060580/</int2:citationText>
                </int2:suggestion>
                <int2:suggestion int2:citationStyle="Chicago" int2:isIdentical="1">
                  <int2:citationText>“Diminishing disparities in U.S. crisis standards of care: Medical and ...” n.d., https://www.ncbi.nlm.nih.gov/pmc/articles/PMC8060580/.</int2:citationText>
                </int2:suggestion>
              </int2:suggestions>
            </int2:source>
            <int2:source int2:sourceType="Online" int2:sourceTitle="Diminishing Disparities in U.S. Crisis Standards of Care ... - SSRN" int2:sourceUrl="https://papers.ssrn.com/sol3/papers.cfm?abstract_id=3828244" int2:sourceSnippet="Hodge, James G. and Hanfling, Dan and Hick, John and Piatt, Jennifer, Diminishing Disparities in U.S. Crisis Standards of Care: Medical and Legal Challenges (April 16, 2021). Hodge JG, Hanfling D, Hick JH, Piatt JL. Diminishing Disparities in U.S. Crisis Standards of Care: Medical and Legal Challenges.">
              <int2:suggestions int2:citationType="Inline">
                <int2:suggestion int2:citationStyle="Mla" int2:isIdentical="1">
                  <int2:citationText>(“Diminishing Disparities in U.S. Crisis Standards of Care ... - SSRN”)</int2:citationText>
                </int2:suggestion>
                <int2:suggestion int2:citationStyle="Apa" int2:isIdentical="1">
                  <int2:citationText>(“Diminishing Disparities in U.S. Crisis Standards of Care ... - SSRN”)</int2:citationText>
                </int2:suggestion>
                <int2:suggestion int2:citationStyle="Chicago" int2:isIdentical="1">
                  <int2:citationText>(“Diminishing Disparities in U.S. Crisis Standards of Care ... - SSRN”)</int2:citationText>
                </int2:suggestion>
              </int2:suggestions>
              <int2:suggestions int2:citationType="Full">
                <int2:suggestion int2:citationStyle="Mla" int2:isIdentical="1">
                  <int2:citationText>&lt;i&gt;Diminishing Disparities in U.S. Crisis Standards of Care ... - SSRN&lt;/i&gt;, https://papers.ssrn.com/sol3/papers.cfm?abstract_id=3828244.</int2:citationText>
                </int2:suggestion>
                <int2:suggestion int2:citationStyle="Apa" int2:isIdentical="1">
                  <int2:citationText>&lt;i&gt;Diminishing Disparities in U.S. Crisis Standards of Care ... - SSRN&lt;/i&gt;. (n.d.). Retrieved from https://papers.ssrn.com/sol3/papers.cfm?abstract_id=3828244</int2:citationText>
                </int2:suggestion>
                <int2:suggestion int2:citationStyle="Chicago" int2:isIdentical="1">
                  <int2:citationText>“Diminishing Disparities in U.S. Crisis Standards of Care ... - SSRN” n.d., https://papers.ssrn.com/sol3/papers.cfm?abstract_id=3828244.</int2:citationText>
                </int2:suggestion>
              </int2:suggestions>
            </int2:source>
            <int2:source int2:sourceType="Online" int2:sourceTitle="Diminishing Disparities in U.S. Crisis Standards of Care: Medical and ..." int2:sourceUrl="https://papers.nonprod.ssrn.com/sol3/papers.cfm?abstract_id=3828244" int2:sourceSnippet="188409, 188409 and 1941350, 1941350 and 2321830, 2321830 and 2801819, 2801819, Diminishing Disparities in U.S. Crisis Standards of Care: Medical and Legal Challenges (April 16, 2021). Hodge JG, Hanfling D, Hick JH, Piatt JL. Diminishing Disparities in U.S. Crisis Standards of Care: Medical and Legal Challenges.">
              <int2:suggestions int2:citationType="Inline">
                <int2:suggestion int2:citationStyle="Mla" int2:isIdentical="1">
                  <int2:citationText>(“Diminishing Disparities in U.S. Crisis Standards of Care: Medical and ...”)</int2:citationText>
                </int2:suggestion>
                <int2:suggestion int2:citationStyle="Apa" int2:isIdentical="1">
                  <int2:citationText>(“Diminishing Disparities in U.S. Crisis Standards of Care: Medical and ...”)</int2:citationText>
                </int2:suggestion>
                <int2:suggestion int2:citationStyle="Chicago" int2:isIdentical="1">
                  <int2:citationText>(“Diminishing Disparities in U.S. Crisis Standards of Care: Medical and ...”)</int2:citationText>
                </int2:suggestion>
              </int2:suggestions>
              <int2:suggestions int2:citationType="Full">
                <int2:suggestion int2:citationStyle="Mla" int2:isIdentical="1">
                  <int2:citationText>&lt;i&gt;Diminishing Disparities in U.S. Crisis Standards of Care: Medical and ...&lt;/i&gt;, https://papers.nonprod.ssrn.com/sol3/papers.cfm?abstract_id=3828244.</int2:citationText>
                </int2:suggestion>
                <int2:suggestion int2:citationStyle="Apa" int2:isIdentical="1">
                  <int2:citationText>&lt;i&gt;Diminishing Disparities in U.S. Crisis Standards of Care: Medical and ...&lt;/i&gt;. (n.d.). Retrieved from https://papers.nonprod.ssrn.com/sol3/papers.cfm?abstract_id=3828244</int2:citationText>
                </int2:suggestion>
                <int2:suggestion int2:citationStyle="Chicago" int2:isIdentical="1">
                  <int2:citationText>“Diminishing Disparities in U.S. Crisis Standards of Care: Medical and ...” n.d., https://papers.nonprod.ssrn.com/sol3/papers.cfm?abstract_id=3828244.</int2:citationText>
                </int2:suggestion>
              </int2:suggestions>
            </int2:source>
          </int2:similarityCritique>
        </oel:ext>
      </int2:extLst>
    </int2:bookmark>
    <int2:bookmark int2:bookmarkName="_Int_euRUyPfG" int2:invalidationBookmarkName="" int2:hashCode="qoe1BOypWnSjgR" int2:id="UBbesxTP">
      <int2:extLst>
        <oel:ext uri="426473B9-03D8-482F-96C9-C2C85392BACA">
          <int2:similarityCritique int2:version="1" int2:context="Resource Allocation and Service Provisioning in Multi-Agent Cloud Robotics: A Comprehensive Survey.">
            <int2:source int2:sourceType="Online" int2:sourceTitle="Resource Allocation and Service Provisioning in Multi-Agent Cloud ..." int2:sourceUrl="https://www.academia.edu/110143143/Resource_Allocation_and_Service_Provisioning_in_Multi_Agent_Cloud_Robotics_A_Comprehensive_Survey" int2:sourceSnippet="Resource Allocation and Service Provisioning in Multi-Agent Cloud Robotics: A Comprehensive Survey. Resource Allocation and Service Provisioning in Multi-Agent Cloud Robotics: A Comprehensive Survey. Akhlaqur Rahman. 2021, IEEE Communications Surveys &amp;amp; Tutorials ...">
              <int2:suggestions int2:citationType="Inline">
                <int2:suggestion int2:citationStyle="Mla" int2:isIdentical="1">
                  <int2:citationText>(“Resource Allocation and Service Provisioning in Multi-Agent Cloud ...”)</int2:citationText>
                </int2:suggestion>
                <int2:suggestion int2:citationStyle="Apa" int2:isIdentical="1">
                  <int2:citationText>(“Resource Allocation and Service Provisioning in Multi-Agent Cloud ...”)</int2:citationText>
                </int2:suggestion>
                <int2:suggestion int2:citationStyle="Chicago" int2:isIdentical="1">
                  <int2:citationText>(“Resource Allocation and Service Provisioning in Multi-Agent Cloud ...”)</int2:citationText>
                </int2:suggestion>
              </int2:suggestions>
              <int2:suggestions int2:citationType="Full">
                <int2:suggestion int2:citationStyle="Mla" int2:isIdentical="1">
                  <int2:citationText>&lt;i&gt;Resource Allocation and Service Provisioning in Multi-Agent Cloud ...&lt;/i&gt;, https://www.academia.edu/110143143/Resource_Allocation_and_Service_Provisioning_in_Multi_Agent_Cloud_Robotics_A_Comprehensive_Survey.</int2:citationText>
                </int2:suggestion>
                <int2:suggestion int2:citationStyle="Apa" int2:isIdentical="1">
                  <int2:citationText>&lt;i&gt;Resource Allocation and Service Provisioning in Multi-Agent Cloud ...&lt;/i&gt;. (n.d.). Retrieved from https://www.academia.edu/110143143/Resource_Allocation_and_Service_Provisioning_in_Multi_Agent_Cloud_Robotics_A_Comprehensive_Survey</int2:citationText>
                </int2:suggestion>
                <int2:suggestion int2:citationStyle="Chicago" int2:isIdentical="1">
                  <int2:citationText>“Resource Allocation and Service Provisioning in Multi-Agent Cloud ...” n.d., https://www.academia.edu/110143143/Resource_Allocation_and_Service_Provisioning_in_Multi_Agent_Cloud_Robotics_A_Comprehensive_Survey.</int2:citationText>
                </int2:suggestion>
              </int2:suggestions>
            </int2:source>
            <int2:source int2:sourceType="Online" int2:sourceTitle="Jiong Jin's lab | Swinburne University of Technology - ResearchGate" int2:sourceUrl="https://www.researchgate.net/lab/Jiong-Jin-Lab" int2:sourceSnippet="Resource Allocation and Service Provisioning in Multi-Agent Cloud Robotics: A Comprehensive Survey. Full-text available. Article. Feb 2021;">
              <int2:suggestions int2:citationType="Inline">
                <int2:suggestion int2:citationStyle="Mla" int2:isIdentical="1">
                  <int2:citationText>(“Jiong Jin's lab | Swinburne University of Technology - ResearchGate”)</int2:citationText>
                </int2:suggestion>
                <int2:suggestion int2:citationStyle="Apa" int2:isIdentical="1">
                  <int2:citationText>(“Jiong Jin's lab | Swinburne University of Technology - ResearchGate”)</int2:citationText>
                </int2:suggestion>
                <int2:suggestion int2:citationStyle="Chicago" int2:isIdentical="1">
                  <int2:citationText>(“Jiong Jin's lab | Swinburne University of Technology - ResearchGate”)</int2:citationText>
                </int2:suggestion>
              </int2:suggestions>
              <int2:suggestions int2:citationType="Full">
                <int2:suggestion int2:citationStyle="Mla" int2:isIdentical="1">
                  <int2:citationText>&lt;i&gt;Jiong Jin's lab | Swinburne University of Technology - ResearchGate&lt;/i&gt;, https://www.researchgate.net/lab/Jiong-Jin-Lab.</int2:citationText>
                </int2:suggestion>
                <int2:suggestion int2:citationStyle="Apa" int2:isIdentical="1">
                  <int2:citationText>&lt;i&gt;Jiong Jin's lab | Swinburne University of Technology - ResearchGate&lt;/i&gt;. (n.d.). Retrieved from https://www.researchgate.net/lab/Jiong-Jin-Lab</int2:citationText>
                </int2:suggestion>
                <int2:suggestion int2:citationStyle="Chicago" int2:isIdentical="1">
                  <int2:citationText>“Jiong Jin's lab | Swinburne University of Technology - ResearchGate” n.d., https://www.researchgate.net/lab/Jiong-Jin-Lab.</int2:citationText>
                </int2:suggestion>
              </int2:suggestions>
            </int2:source>
            <int2:source int2:sourceType="Online" int2:sourceTitle="Resource Allocation and Service Provisioning in Multi-Agent Cloud ..." int2:sourceUrl="https://arxiv.org/abs/2104.14270" int2:sourceSnippet="Title: Resource Allocation and Service Provisioning in Multi-Agent Cloud Robotics: A Comprehensive Survey. ... Taking all these issues into account, this paper comprehensively surveys the state-of-the-art on resource allocation and service provisioning in multi-agent cloud robotics. The paper presents the application domains of multi-agent ...">
              <int2:suggestions int2:citationType="Inline">
                <int2:suggestion int2:citationStyle="Mla" int2:isIdentical="1">
                  <int2:citationText>(“Resource Allocation and Service Provisioning in Multi-Agent Cloud ...”)</int2:citationText>
                </int2:suggestion>
                <int2:suggestion int2:citationStyle="Apa" int2:isIdentical="1">
                  <int2:citationText>(“Resource Allocation and Service Provisioning in Multi-Agent Cloud ...”)</int2:citationText>
                </int2:suggestion>
                <int2:suggestion int2:citationStyle="Chicago" int2:isIdentical="1">
                  <int2:citationText>(“Resource Allocation and Service Provisioning in Multi-Agent Cloud ...”)</int2:citationText>
                </int2:suggestion>
              </int2:suggestions>
              <int2:suggestions int2:citationType="Full">
                <int2:suggestion int2:citationStyle="Mla" int2:isIdentical="1">
                  <int2:citationText>&lt;i&gt;Resource Allocation and Service Provisioning in Multi-Agent Cloud ...&lt;/i&gt;, https://arxiv.org/abs/2104.14270.</int2:citationText>
                </int2:suggestion>
                <int2:suggestion int2:citationStyle="Apa" int2:isIdentical="1">
                  <int2:citationText>&lt;i&gt;Resource Allocation and Service Provisioning in Multi-Agent Cloud ...&lt;/i&gt;. (n.d.). Retrieved from https://arxiv.org/abs/2104.14270</int2:citationText>
                </int2:suggestion>
                <int2:suggestion int2:citationStyle="Chicago" int2:isIdentical="1">
                  <int2:citationText>“Resource Allocation and Service Provisioning in Multi-Agent Cloud ...” n.d., https://arxiv.org/abs/2104.14270.</int2:citationText>
                </int2:suggestion>
              </int2:suggestions>
            </int2:source>
          </int2:similarityCritique>
        </oel:ext>
      </int2:extLst>
    </int2:bookmark>
    <int2:bookmark int2:bookmarkName="_Int_sqRz2oVL" int2:invalidationBookmarkName="" int2:hashCode="btDXR442KWvMh/" int2:id="YjrJO5XC">
      <int2:extLst>
        <oel:ext uri="426473B9-03D8-482F-96C9-C2C85392BACA">
          <int2:similarityCritique int2:version="1" int2:context="Afrin, M., Jin, J., Rahman, A., Rahman, A., Wan, J. and Hossain, E. (2021).">
            <int2:source int2:sourceType="Online" int2:sourceTitle="Cloud Robotics Knowledge Sharing Survey | SpringerLink" int2:sourceUrl="https://link.springer.com/chapter/10.1007/978-981-19-2397-5_49" int2:sourceSnippet="Afrin M, Jin J, Rahman A, Rahman A, Wan J, Hossain E (2021) Resource allocation and service provisioning in multi-agent cloud robotics: a comprehensive survey. IEEE Commun Surv Tutorials 23(2):842–870. Article Google Scholar">
              <int2:suggestions int2:citationType="Inline">
                <int2:suggestion int2:citationStyle="Mla" int2:isIdentical="0">
                  <int2:citationText>(“Cloud Robotics Knowledge Sharing Survey | SpringerLink”)</int2:citationText>
                </int2:suggestion>
                <int2:suggestion int2:citationStyle="Apa" int2:isIdentical="0">
                  <int2:citationText>(“Cloud Robotics Knowledge Sharing Survey | SpringerLink”)</int2:citationText>
                </int2:suggestion>
                <int2:suggestion int2:citationStyle="Chicago" int2:isIdentical="0">
                  <int2:citationText>(“Cloud Robotics Knowledge Sharing Survey | SpringerLink”)</int2:citationText>
                </int2:suggestion>
              </int2:suggestions>
              <int2:suggestions int2:citationType="Full">
                <int2:suggestion int2:citationStyle="Mla" int2:isIdentical="0">
                  <int2:citationText>&lt;i&gt;Cloud Robotics Knowledge Sharing Survey | SpringerLink&lt;/i&gt;, https://link.springer.com/chapter/10.1007/978-981-19-2397-5_49.</int2:citationText>
                </int2:suggestion>
                <int2:suggestion int2:citationStyle="Apa" int2:isIdentical="0">
                  <int2:citationText>&lt;i&gt;Cloud Robotics Knowledge Sharing Survey | SpringerLink&lt;/i&gt;. (n.d.). Retrieved from https://link.springer.com/chapter/10.1007/978-981-19-2397-5_49</int2:citationText>
                </int2:suggestion>
                <int2:suggestion int2:citationStyle="Chicago" int2:isIdentical="0">
                  <int2:citationText>“Cloud Robotics Knowledge Sharing Survey | SpringerLink” n.d., https://link.springer.com/chapter/10.1007/978-981-19-2397-5_49.</int2:citationText>
                </int2:suggestion>
              </int2:suggestions>
            </int2:source>
          </int2:similarityCritique>
        </oel:ext>
      </int2:extLst>
    </int2:bookmark>
    <int2:bookmark int2:bookmarkName="_Int_ojI4C9wX" int2:invalidationBookmarkName="" int2:hashCode="Wn3mXMD5DGvxyo" int2:id="a30b690k">
      <int2:extLst>
        <oel:ext uri="426473B9-03D8-482F-96C9-C2C85392BACA">
          <int2:similarityCritique int2:version="1" int2:context="Key points the impact of Covid-19 on the use of digital technology in the NHS.">
            <int2:source int2:sourceType="Online" int2:sourceTitle="The impact of Covid-19 on the use of digital technology in the NHS ..." int2:sourceUrl="https://policycommons.net/artifacts/1716876/the-impact-of-covid-19-on-the-use-of-digital-technology-in-the-nhs/2448525/" int2:sourceSnippet="Summary. The impact of Covid-19 on the use of digital technology in the NHS Briefing August 2020 The impact of Covid-19 on the use of digital technology in the NHS Rachel Hutchings Key points • The Covid-19 pandemic has resulted in the rapid adoption of digital technology in the NHS and significant changes in the delivery of services more widely – to free up space and capacity in acute ...">
              <int2:suggestions int2:citationType="Inline">
                <int2:suggestion int2:citationStyle="Mla" int2:isIdentical="0">
                  <int2:citationText>(“The impact of Covid-19 on the use of digital technology in the NHS ...”)</int2:citationText>
                </int2:suggestion>
                <int2:suggestion int2:citationStyle="Apa" int2:isIdentical="0">
                  <int2:citationText>(“The impact of Covid-19 on the use of digital technology in the NHS ...”)</int2:citationText>
                </int2:suggestion>
                <int2:suggestion int2:citationStyle="Chicago" int2:isIdentical="0">
                  <int2:citationText>(“The impact of Covid-19 on the use of digital technology in the NHS ...”)</int2:citationText>
                </int2:suggestion>
              </int2:suggestions>
              <int2:suggestions int2:citationType="Full">
                <int2:suggestion int2:citationStyle="Mla" int2:isIdentical="0">
                  <int2:citationText>&lt;i&gt;The impact of Covid-19 on the use of digital technology in the NHS ...&lt;/i&gt;, https://policycommons.net/artifacts/1716876/the-impact-of-covid-19-on-the-use-of-digital-technology-in-the-nhs/2448525/.</int2:citationText>
                </int2:suggestion>
                <int2:suggestion int2:citationStyle="Apa" int2:isIdentical="0">
                  <int2:citationText>&lt;i&gt;The impact of Covid-19 on the use of digital technology in the NHS ...&lt;/i&gt;. (n.d.). Retrieved from https://policycommons.net/artifacts/1716876/the-impact-of-covid-19-on-the-use-of-digital-technology-in-the-nhs/2448525/</int2:citationText>
                </int2:suggestion>
                <int2:suggestion int2:citationStyle="Chicago" int2:isIdentical="0">
                  <int2:citationText>“The impact of Covid-19 on the use of digital technology in the NHS ...” n.d., https://policycommons.net/artifacts/1716876/the-impact-of-covid-19-on-the-use-of-digital-technology-in-the-nhs/2448525/.</int2:citationText>
                </int2:suggestion>
              </int2:suggestions>
            </int2:source>
          </int2:similarityCritique>
        </oel:ext>
      </int2:extLst>
    </int2:bookmark>
    <int2:bookmark int2:bookmarkName="_Int_iGGv7oaP" int2:invalidationBookmarkName="" int2:hashCode="IP91R8w++UumqU" int2:id="fRHjcneG">
      <int2:extLst>
        <oel:ext uri="426473B9-03D8-482F-96C9-C2C85392BACA">
          <int2:similarityCritique int2:version="1" int2:context="Riera, R., Bagattini, Â.M., Pacheco, R.L., Pachito, D.V., Roitberg, F. and Ilbawi, A. (2021).">
            <int2:source int2:sourceType="Online" int2:sourceTitle="Delays in Care by Race, Ethnicity, and Gender Before and During the ..." int2:sourceUrl="https://www.whijournal.com/article/S1049-3867(24)00020-3/fulltext" int2:sourceSnippet="Riera R. Bagattini Â.M. Pacheco R.L. Pachito D.V. Roitberg F. Ilbawi A. Delays and disruptions in cancer health care due to COVID-19 pandemic: Systematic review. JCO Global Oncology. 2021; 7: 311-323. Crossref; PubMed; Scopus (244) Google Scholar). Delays in care are not only common, but also deleterious. Care delays have been linked to ...">
              <int2:suggestions int2:citationType="Inline">
                <int2:suggestion int2:citationStyle="Mla" int2:isIdentical="0">
                  <int2:citationText>(“Delays in Care by Race, Ethnicity, and Gender Before and During the ...”)</int2:citationText>
                </int2:suggestion>
                <int2:suggestion int2:citationStyle="Apa" int2:isIdentical="0">
                  <int2:citationText>(“Delays in Care by Race, Ethnicity, and Gender Before and During the ...”)</int2:citationText>
                </int2:suggestion>
                <int2:suggestion int2:citationStyle="Chicago" int2:isIdentical="0">
                  <int2:citationText>(“Delays in Care by Race, Ethnicity, and Gender Before and During the ...”)</int2:citationText>
                </int2:suggestion>
              </int2:suggestions>
              <int2:suggestions int2:citationType="Full">
                <int2:suggestion int2:citationStyle="Mla" int2:isIdentical="0">
                  <int2:citationText>&lt;i&gt;Delays in Care by Race, Ethnicity, and Gender Before and During the ...&lt;/i&gt;, https://www.whijournal.com/article/S1049-3867(24)00020-3/fulltext.</int2:citationText>
                </int2:suggestion>
                <int2:suggestion int2:citationStyle="Apa" int2:isIdentical="0">
                  <int2:citationText>&lt;i&gt;Delays in Care by Race, Ethnicity, and Gender Before and During the ...&lt;/i&gt;. (n.d.). Retrieved from https://www.whijournal.com/article/S1049-3867(24)00020-3/fulltext</int2:citationText>
                </int2:suggestion>
                <int2:suggestion int2:citationStyle="Chicago" int2:isIdentical="0">
                  <int2:citationText>“Delays in Care by Race, Ethnicity, and Gender Before and During the ...” n.d., https://www.whijournal.com/article/S1049-3867(24)00020-3/fulltext.</int2:citationText>
                </int2:suggestion>
              </int2:suggestions>
            </int2:source>
            <int2:source int2:sourceType="Online" int2:sourceTitle="Just Get in Line: Rural-Urban Differences in Access to Pediatric Renal ..." int2:sourceUrl="https://www.journalofsurgicalresearch.com/article/S0022-4804(23)00427-4/fulltext" int2:sourceSnippet="Riera R. Bagattini Â.M. Pacheco R.L. Pachito D.V. Roitberg F. Ilbawi A. Delays and disruptions in cancer health care due to COVID-19 pandemic: systematic review. JCO Glob Oncol. 2021; 7: 311-323. View in Article Scopus (237) PubMed; Crossref; Google Scholar; Crocco M. Calvi A. Canzoneri F. et al. The influence of SARS-CoV-2 pandemic on the ...">
              <int2:suggestions int2:citationType="Inline">
                <int2:suggestion int2:citationStyle="Mla" int2:isIdentical="0">
                  <int2:citationText>(“Just Get in Line: Rural-Urban Differences in Access to Pediatric Renal ...”)</int2:citationText>
                </int2:suggestion>
                <int2:suggestion int2:citationStyle="Apa" int2:isIdentical="0">
                  <int2:citationText>(“Just Get in Line: Rural-Urban Differences in Access to Pediatric Renal ...”)</int2:citationText>
                </int2:suggestion>
                <int2:suggestion int2:citationStyle="Chicago" int2:isIdentical="0">
                  <int2:citationText>(“Just Get in Line: Rural-Urban Differences in Access to Pediatric Renal ...”)</int2:citationText>
                </int2:suggestion>
              </int2:suggestions>
              <int2:suggestions int2:citationType="Full">
                <int2:suggestion int2:citationStyle="Mla" int2:isIdentical="0">
                  <int2:citationText>&lt;i&gt;Just Get in Line: Rural-Urban Differences in Access to Pediatric Renal ...&lt;/i&gt;, https://www.journalofsurgicalresearch.com/article/S0022-4804(23)00427-4/fulltext.</int2:citationText>
                </int2:suggestion>
                <int2:suggestion int2:citationStyle="Apa" int2:isIdentical="0">
                  <int2:citationText>&lt;i&gt;Just Get in Line: Rural-Urban Differences in Access to Pediatric Renal ...&lt;/i&gt;. (n.d.). Retrieved from https://www.journalofsurgicalresearch.com/article/S0022-4804(23)00427-4/fulltext</int2:citationText>
                </int2:suggestion>
                <int2:suggestion int2:citationStyle="Chicago" int2:isIdentical="0">
                  <int2:citationText>“Just Get in Line: Rural-Urban Differences in Access to Pediatric Renal ...” n.d., https://www.journalofsurgicalresearch.com/article/S0022-4804(23)00427-4/fulltext.</int2:citationText>
                </int2:suggestion>
              </int2:suggestions>
            </int2:source>
          </int2:similarityCritique>
        </oel:ext>
      </int2:extLst>
    </int2:bookmark>
    <int2:bookmark int2:bookmarkName="_Int_gDCAbIjm" int2:invalidationBookmarkName="" int2:hashCode="70U/hWKThuR4Lx" int2:id="fgAtmX1h">
      <int2:extLst>
        <oel:ext uri="426473B9-03D8-482F-96C9-C2C85392BACA">
          <int2:similarityCritique int2:version="1" int2:context="Privacy, confidentiality, Security and Patient Safety Concerns about Electronic Health Records.">
            <int2:source int2:sourceType="Online" int2:sourceTitle="Privacy, confidentiality, security and patient safety concerns about ..." int2:sourceUrl="https://pubmed.ncbi.nlm.nih.gov/32314398/" int2:sourceSnippet="Abstract. Aims: This study explored concerns among nurses working in the United Arab Emirates associated with the use of electronic health records, including privacy, confidentiality, security and patient safety. Background: Given the widespread implementation of electronic health records, there are concerns about data integrity that could ...">
              <int2:suggestions int2:citationType="Inline">
                <int2:suggestion int2:citationStyle="Mla" int2:isIdentical="0">
                  <int2:citationText>(“Privacy, confidentiality, security and patient safety concerns about ...”)</int2:citationText>
                </int2:suggestion>
                <int2:suggestion int2:citationStyle="Apa" int2:isIdentical="0">
                  <int2:citationText>(“Privacy, confidentiality, security and patient safety concerns about ...”)</int2:citationText>
                </int2:suggestion>
                <int2:suggestion int2:citationStyle="Chicago" int2:isIdentical="0">
                  <int2:citationText>(“Privacy, confidentiality, security and patient safety concerns about ...”)</int2:citationText>
                </int2:suggestion>
              </int2:suggestions>
              <int2:suggestions int2:citationType="Full">
                <int2:suggestion int2:citationStyle="Mla" int2:isIdentical="0">
                  <int2:citationText>&lt;i&gt;Privacy, confidentiality, security and patient safety concerns about ...&lt;/i&gt;, https://pubmed.ncbi.nlm.nih.gov/32314398/.</int2:citationText>
                </int2:suggestion>
                <int2:suggestion int2:citationStyle="Apa" int2:isIdentical="0">
                  <int2:citationText>&lt;i&gt;Privacy, confidentiality, security and patient safety concerns about ...&lt;/i&gt;. (n.d.). Retrieved from https://pubmed.ncbi.nlm.nih.gov/32314398/</int2:citationText>
                </int2:suggestion>
                <int2:suggestion int2:citationStyle="Chicago" int2:isIdentical="0">
                  <int2:citationText>“Privacy, confidentiality, security and patient safety concerns about ...” n.d., https://pubmed.ncbi.nlm.nih.gov/32314398/.</int2:citationText>
                </int2:suggestion>
              </int2:suggestions>
            </int2:source>
            <int2:source int2:sourceType="Online" int2:sourceTitle="Privacy, confidentiality, security and patient safety concerns about ..." int2:sourceUrl="https://onlinelibrary.wiley.com/doi/abs/10.1111/inr.12585" int2:sourceSnippet="Data were collected between January and June 2018 via questionnaires and focus group interviews. Following a survey of nurses’ concerns about privacy, confidentiality, security and patient safety in electronic health records, six focus groups were held to gain deeper insights about their concerns.">
              <int2:suggestions int2:citationType="Inline">
                <int2:suggestion int2:citationStyle="Mla" int2:isIdentical="0">
                  <int2:citationText>(“Privacy, confidentiality, security and patient safety concerns about ...”)</int2:citationText>
                </int2:suggestion>
                <int2:suggestion int2:citationStyle="Apa" int2:isIdentical="0">
                  <int2:citationText>(“Privacy, confidentiality, security and patient safety concerns about ...”)</int2:citationText>
                </int2:suggestion>
                <int2:suggestion int2:citationStyle="Chicago" int2:isIdentical="0">
                  <int2:citationText>(“Privacy, confidentiality, security and patient safety concerns about ...”)</int2:citationText>
                </int2:suggestion>
              </int2:suggestions>
              <int2:suggestions int2:citationType="Full">
                <int2:suggestion int2:citationStyle="Mla" int2:isIdentical="0">
                  <int2:citationText>&lt;i&gt;Privacy, confidentiality, security and patient safety concerns about ...&lt;/i&gt;, https://onlinelibrary.wiley.com/doi/abs/10.1111/inr.12585.</int2:citationText>
                </int2:suggestion>
                <int2:suggestion int2:citationStyle="Apa" int2:isIdentical="0">
                  <int2:citationText>&lt;i&gt;Privacy, confidentiality, security and patient safety concerns about ...&lt;/i&gt;. (n.d.). Retrieved from https://onlinelibrary.wiley.com/doi/abs/10.1111/inr.12585</int2:citationText>
                </int2:suggestion>
                <int2:suggestion int2:citationStyle="Chicago" int2:isIdentical="0">
                  <int2:citationText>“Privacy, confidentiality, security and patient safety concerns about ...” n.d., https://onlinelibrary.wiley.com/doi/abs/10.1111/inr.12585.</int2:citationText>
                </int2:suggestion>
              </int2:suggestions>
            </int2:source>
            <int2:source int2:sourceType="Online" int2:sourceTitle="Privacy, confidentiality, security and patient safety concerns about ..." int2:sourceUrl="https://www.researchgate.net/profile/Wegdan-Bani-Issa/publication/340437776_Confidentiality_Security_and_Patient_Safety_Concerns_About_Electronic_Health_Records/links/60c0d11c92851ca6f8d5efab/Confidentiality-Security-and-Patient-Safety-Concerns-About-Electronic-Health-Records.pdf" int2:sourceSnippet="Data were collected between January and June 2018 via questionnaires and focus group interviews. Following a survey of nurses’ concerns about privacy, confidentiality, security and patient ...">
              <int2:suggestions int2:citationType="Inline">
                <int2:suggestion int2:citationStyle="Mla" int2:isIdentical="0">
                  <int2:citationText>(“Privacy, confidentiality, security and patient safety concerns about ...”)</int2:citationText>
                </int2:suggestion>
                <int2:suggestion int2:citationStyle="Apa" int2:isIdentical="0">
                  <int2:citationText>(“Privacy, confidentiality, security and patient safety concerns about ...”)</int2:citationText>
                </int2:suggestion>
                <int2:suggestion int2:citationStyle="Chicago" int2:isIdentical="0">
                  <int2:citationText>(“Privacy, confidentiality, security and patient safety concerns about ...”)</int2:citationText>
                </int2:suggestion>
              </int2:suggestions>
              <int2:suggestions int2:citationType="Full">
                <int2:suggestion int2:citationStyle="Mla" int2:isIdentical="0">
                  <int2:citationText>&lt;i&gt;Privacy, confidentiality, security and patient safety concerns about ...&lt;/i&gt;, https://www.researchgate.net/profile/Wegdan-Bani-Issa/publication/340437776_Confidentiality_Security_and_Patient_Safety_Concerns_About_Electronic_Health_Records/links/60c0d11c92851ca6f8d5efab/Confidentiality-Security-and-Patient-Safety-Concerns-About-Electronic-Health-Records.pdf.</int2:citationText>
                </int2:suggestion>
                <int2:suggestion int2:citationStyle="Apa" int2:isIdentical="0">
                  <int2:citationText>&lt;i&gt;Privacy, confidentiality, security and patient safety concerns about ...&lt;/i&gt;. (n.d.). Retrieved from https://www.researchgate.net/profile/Wegdan-Bani-Issa/publication/340437776_Confidentiality_Security_and_Patient_Safety_Concerns_About_Electronic_Health_Records/links/60c0d11c92851ca6f8d5efab/Confidentiality-Security-and-Patient-Safety-Concerns-About-Electronic-Health-Records.pdf</int2:citationText>
                </int2:suggestion>
                <int2:suggestion int2:citationStyle="Chicago" int2:isIdentical="0">
                  <int2:citationText>“Privacy, confidentiality, security and patient safety concerns about ...” n.d., https://www.researchgate.net/profile/Wegdan-Bani-Issa/publication/340437776_Confidentiality_Security_and_Patient_Safety_Concerns_About_Electronic_Health_Records/links/60c0d11c92851ca6f8d5efab/Confidentiality-Security-and-Patient-Safety-Concerns-About-Electronic-Health-Records.pdf.</int2:citationText>
                </int2:suggestion>
              </int2:suggestions>
            </int2:source>
          </int2:similarityCritique>
        </oel:ext>
      </int2:extLst>
    </int2:bookmark>
    <int2:bookmark int2:bookmarkName="_Int_JIAFRhjI" int2:invalidationBookmarkName="" int2:hashCode="xijQgJROiocY1E" int2:id="hyCh5Slr">
      <int2:extLst>
        <oel:ext uri="426473B9-03D8-482F-96C9-C2C85392BACA">
          <int2:similarityCritique int2:version="1" int2:context="Understanding Consumer Perceptions of Frailty Screening to Inform Knowledge Translation and Health Service Improvements.">
            <int2:source int2:sourceType="Online" int2:sourceTitle="Understanding consumer perceptions of frailty screening to ... - Research" int2:sourceUrl="https://researchnow.flinders.edu.au/en/publications/understanding-consumer-perceptions-of-frailty-screening-to-inform" int2:sourceSnippet="T1 - Understanding consumer perceptions of frailty screening to inform knowledge translation and health service improvements. AU - Archibald, Mandy. AU - Lawless, Michael. AU - Ambagtsheer, Rachel C. AU - Kitson, Alison. PY - 2021/1/1. Y1 - 2021/1/1.">
              <int2:suggestions int2:citationType="Inline">
                <int2:suggestion int2:citationStyle="Mla" int2:isIdentical="1">
                  <int2:citationText>(“Understanding consumer perceptions of frailty screening to ... - Research”)</int2:citationText>
                </int2:suggestion>
                <int2:suggestion int2:citationStyle="Apa" int2:isIdentical="1">
                  <int2:citationText>(“Understanding consumer perceptions of frailty screening to ... - Research”)</int2:citationText>
                </int2:suggestion>
                <int2:suggestion int2:citationStyle="Chicago" int2:isIdentical="1">
                  <int2:citationText>(“Understanding consumer perceptions of frailty screening to ... - Research”)</int2:citationText>
                </int2:suggestion>
              </int2:suggestions>
              <int2:suggestions int2:citationType="Full">
                <int2:suggestion int2:citationStyle="Mla" int2:isIdentical="1">
                  <int2:citationText>&lt;i&gt;Understanding consumer perceptions of frailty screening to ... - Research&lt;/i&gt;, https://researchnow.flinders.edu.au/en/publications/understanding-consumer-perceptions-of-frailty-screening-to-inform.</int2:citationText>
                </int2:suggestion>
                <int2:suggestion int2:citationStyle="Apa" int2:isIdentical="1">
                  <int2:citationText>&lt;i&gt;Understanding consumer perceptions of frailty screening to ... - Research&lt;/i&gt;. (n.d.). Retrieved from https://researchnow.flinders.edu.au/en/publications/understanding-consumer-perceptions-of-frailty-screening-to-inform</int2:citationText>
                </int2:suggestion>
                <int2:suggestion int2:citationStyle="Chicago" int2:isIdentical="1">
                  <int2:citationText>“Understanding consumer perceptions of frailty screening to ... - Research” n.d., https://researchnow.flinders.edu.au/en/publications/understanding-consumer-perceptions-of-frailty-screening-to-inform.</int2:citationText>
                </int2:suggestion>
              </int2:suggestions>
            </int2:source>
            <int2:source int2:sourceType="Online" int2:sourceTitle="Understanding consumer perceptions of frailty screening to inform ..." int2:sourceUrl="https://research.torrens.edu.au/en/publications/understanding-consumer-perceptions-of-frailty-screening-to-inform" int2:sourceSnippet="Understanding consumer perceptions of frailty screening to inform knowledge translation and health service improvements. Age and Ageing . 2021 Jan 1;50(1):227-232. doi: 10.1093/ageing/afaa187 Powered by Pure , Scopus &amp; Elsevier Fingerprint Engine™">
              <int2:suggestions int2:citationType="Inline">
                <int2:suggestion int2:citationStyle="Mla" int2:isIdentical="1">
                  <int2:citationText>(“Understanding consumer perceptions of frailty screening to inform ...”)</int2:citationText>
                </int2:suggestion>
                <int2:suggestion int2:citationStyle="Apa" int2:isIdentical="1">
                  <int2:citationText>(“Understanding consumer perceptions of frailty screening to inform ...”)</int2:citationText>
                </int2:suggestion>
                <int2:suggestion int2:citationStyle="Chicago" int2:isIdentical="1">
                  <int2:citationText>(“Understanding consumer perceptions of frailty screening to inform ...”)</int2:citationText>
                </int2:suggestion>
              </int2:suggestions>
              <int2:suggestions int2:citationType="Full">
                <int2:suggestion int2:citationStyle="Mla" int2:isIdentical="1">
                  <int2:citationText>&lt;i&gt;Understanding consumer perceptions of frailty screening to inform ...&lt;/i&gt;, https://research.torrens.edu.au/en/publications/understanding-consumer-perceptions-of-frailty-screening-to-inform.</int2:citationText>
                </int2:suggestion>
                <int2:suggestion int2:citationStyle="Apa" int2:isIdentical="1">
                  <int2:citationText>&lt;i&gt;Understanding consumer perceptions of frailty screening to inform ...&lt;/i&gt;. (n.d.). Retrieved from https://research.torrens.edu.au/en/publications/understanding-consumer-perceptions-of-frailty-screening-to-inform</int2:citationText>
                </int2:suggestion>
                <int2:suggestion int2:citationStyle="Chicago" int2:isIdentical="1">
                  <int2:citationText>“Understanding consumer perceptions of frailty screening to inform ...” n.d., https://research.torrens.edu.au/en/publications/understanding-consumer-perceptions-of-frailty-screening-to-inform.</int2:citationText>
                </int2:suggestion>
              </int2:suggestions>
            </int2:source>
            <int2:source int2:sourceType="Online" int2:sourceTitle="‪Rachel Ambagtsheer‬ - ‪Google Scholar‬" int2:sourceUrl="https://scholar.google.com/citations?user=ZnOPcowAAAAJ" int2:sourceSnippet="Understanding consumer perceptions of frailty screening to inform knowledge translation and health service improvements. MM Archibald, MT Lawless, RC Ambagtsheer, AL Kitson. Age and Ageing 50 (1), 227-232, 2021. 17: 2021:">
              <int2:suggestions int2:citationType="Inline">
                <int2:suggestion int2:citationStyle="Mla" int2:isIdentical="1">
                  <int2:citationText>(“‪Rachel Ambagtsheer‬ - ‪Google Scholar‬”)</int2:citationText>
                </int2:suggestion>
                <int2:suggestion int2:citationStyle="Apa" int2:isIdentical="1">
                  <int2:citationText>(“‪Rachel Ambagtsheer‬ - ‪Google Scholar‬”)</int2:citationText>
                </int2:suggestion>
                <int2:suggestion int2:citationStyle="Chicago" int2:isIdentical="1">
                  <int2:citationText>(“‪Rachel Ambagtsheer‬ - ‪Google Scholar‬”)</int2:citationText>
                </int2:suggestion>
              </int2:suggestions>
              <int2:suggestions int2:citationType="Full">
                <int2:suggestion int2:citationStyle="Mla" int2:isIdentical="1">
                  <int2:citationText>&lt;i&gt;‪Rachel Ambagtsheer‬ - ‪Google Scholar‬&lt;/i&gt;, https://scholar.google.com/citations?user=ZnOPcowAAAAJ.</int2:citationText>
                </int2:suggestion>
                <int2:suggestion int2:citationStyle="Apa" int2:isIdentical="1">
                  <int2:citationText>&lt;i&gt;‪Rachel Ambagtsheer‬ - ‪Google Scholar‬&lt;/i&gt;. (n.d.). Retrieved from https://scholar.google.com/citations?user=ZnOPcowAAAAJ</int2:citationText>
                </int2:suggestion>
                <int2:suggestion int2:citationStyle="Chicago" int2:isIdentical="1">
                  <int2:citationText>“‪Rachel Ambagtsheer‬ - ‪Google Scholar‬” n.d., https://scholar.google.com/citations?user=ZnOPcowAAAAJ.</int2:citationText>
                </int2:suggestion>
              </int2:suggestions>
            </int2:source>
          </int2:similarityCritique>
        </oel:ext>
      </int2:extLst>
    </int2:bookmark>
    <int2:bookmark int2:bookmarkName="_Int_efUhDair" int2:invalidationBookmarkName="" int2:hashCode="Cg4ag3vyiQrqyy" int2:id="llA82ELj">
      <int2:extLst>
        <oel:ext uri="426473B9-03D8-482F-96C9-C2C85392BACA">
          <int2:similarityCritique int2:version="1" int2:context="Kasajima, M., Eggleston, K., Kusaka, S., Matsui, H., Tanaka, T., Son, B.-K., Iijima, K., Goda, K., Kitsuregawa, M., Bhattacharya, J. and Hashimoto, H. (2022).">
            <int2:source int2:sourceType="Online" int2:sourceTitle="Combined impact of physical frailty and social isolation on use of long ..." int2:sourceUrl="https://www.maturitas.org/article/S0378-5122(24)00016-1/fulltext" int2:sourceSnippet="Kasajima M. Eggleston K. Kusaka S. Matsui H. Tanaka T. Son B.K. Iijima K. Goda K. Kitsuregawa M. Bhattacharya J. Hashimoto H. Projecting prevalence of frailty and dementia and the economic cost of care in Japan from 2016 to 2043: a microsimulation modelling study. Lancet Public Health. 2022; 7: e458-e468. Abstract;">
              <int2:suggestions int2:citationType="Inline">
                <int2:suggestion int2:citationStyle="Mla" int2:isIdentical="0">
                  <int2:citationText>(“Combined impact of physical frailty and social isolation on use of long ...”)</int2:citationText>
                </int2:suggestion>
                <int2:suggestion int2:citationStyle="Apa" int2:isIdentical="0">
                  <int2:citationText>(“Combined impact of physical frailty and social isolation on use of long ...”)</int2:citationText>
                </int2:suggestion>
                <int2:suggestion int2:citationStyle="Chicago" int2:isIdentical="0">
                  <int2:citationText>(“Combined impact of physical frailty and social isolation on use of long ...”)</int2:citationText>
                </int2:suggestion>
              </int2:suggestions>
              <int2:suggestions int2:citationType="Full">
                <int2:suggestion int2:citationStyle="Mla" int2:isIdentical="0">
                  <int2:citationText>&lt;i&gt;Combined impact of physical frailty and social isolation on use of long ...&lt;/i&gt;, https://www.maturitas.org/article/S0378-5122(24)00016-1/fulltext.</int2:citationText>
                </int2:suggestion>
                <int2:suggestion int2:citationStyle="Apa" int2:isIdentical="0">
                  <int2:citationText>&lt;i&gt;Combined impact of physical frailty and social isolation on use of long ...&lt;/i&gt;. (n.d.). Retrieved from https://www.maturitas.org/article/S0378-5122(24)00016-1/fulltext</int2:citationText>
                </int2:suggestion>
                <int2:suggestion int2:citationStyle="Chicago" int2:isIdentical="0">
                  <int2:citationText>“Combined impact of physical frailty and social isolation on use of long ...” n.d., https://www.maturitas.org/article/S0378-5122(24)00016-1/fulltext.</int2:citationText>
                </int2:suggestion>
              </int2:suggestions>
            </int2:source>
          </int2:similarityCritique>
        </oel:ext>
      </int2:extLst>
    </int2:bookmark>
    <int2:bookmark int2:bookmarkName="_Int_KuYZZgd8" int2:invalidationBookmarkName="" int2:hashCode="ZwL23RC8BMnqTf" int2:id="oFWvSO3d">
      <int2:extLst>
        <oel:ext uri="426473B9-03D8-482F-96C9-C2C85392BACA">
          <int2:similarityCritique int2:version="1" int2:context="McFadden, P., Ross, J., Moriarty, J., Mallett, J., Schroder, H., Ravalier, J., Manthorpe, J., Currie, D., Harron, J. and Gillen, P. (2021).">
            <int2:source int2:sourceType="Online" int2:sourceTitle="The role of coping in the wellbeing and work-related quality of life of ..." int2:sourceUrl="https://researchspace.bathspa.ac.uk/13959/" int2:sourceSnippet="McFadden, P, Ross, J, Moriarty, J, Mallett, J, Schroder, H, Ravalier, J.M, Manthorpe, J, Currie, D, Harron, J and Gillen, P (2021) 'The role of coping in the wellbeing and work-related quality of life of UK health and social care workers during COVID-19.' International Journal of Environmental Research and Public Health, 18 (2).e815. ISSN 1660-4601">
              <int2:suggestions int2:citationType="Inline">
                <int2:suggestion int2:citationStyle="Mla" int2:isIdentical="0">
                  <int2:citationText>(“The role of coping in the wellbeing and work-related quality of life of ...”)</int2:citationText>
                </int2:suggestion>
                <int2:suggestion int2:citationStyle="Apa" int2:isIdentical="0">
                  <int2:citationText>(“The role of coping in the wellbeing and work-related quality of life of ...”)</int2:citationText>
                </int2:suggestion>
                <int2:suggestion int2:citationStyle="Chicago" int2:isIdentical="0">
                  <int2:citationText>(“The role of coping in the wellbeing and work-related quality of life of ...”)</int2:citationText>
                </int2:suggestion>
              </int2:suggestions>
              <int2:suggestions int2:citationType="Full">
                <int2:suggestion int2:citationStyle="Mla" int2:isIdentical="0">
                  <int2:citationText>&lt;i&gt;The role of coping in the wellbeing and work-related quality of life of ...&lt;/i&gt;, https://researchspace.bathspa.ac.uk/13959/.</int2:citationText>
                </int2:suggestion>
                <int2:suggestion int2:citationStyle="Apa" int2:isIdentical="0">
                  <int2:citationText>&lt;i&gt;The role of coping in the wellbeing and work-related quality of life of ...&lt;/i&gt;. (n.d.). Retrieved from https://researchspace.bathspa.ac.uk/13959/</int2:citationText>
                </int2:suggestion>
                <int2:suggestion int2:citationStyle="Chicago" int2:isIdentical="0">
                  <int2:citationText>“The role of coping in the wellbeing and work-related quality of life of ...” n.d., https://researchspace.bathspa.ac.uk/13959/.</int2:citationText>
                </int2:suggestion>
              </int2:suggestions>
            </int2:source>
          </int2:similarityCritique>
        </oel:ext>
      </int2:extLst>
    </int2:bookmark>
    <int2:bookmark int2:bookmarkName="_Int_ybVkG7KS" int2:invalidationBookmarkName="" int2:hashCode="d4OQR6jfALfmKc" int2:id="sB7yzU93">
      <int2:extLst>
        <oel:ext uri="426473B9-03D8-482F-96C9-C2C85392BACA">
          <int2:similarityCritique int2:version="1" int2:context="The Role of Coping in the Wellbeing and Work-Related Quality of Life of UK Health and Social Care Workers during COVID-19.">
            <int2:source int2:sourceType="Online" int2:sourceTitle="The Role of Coping in the Wellbeing and Work-Related Quality of Life of ..." int2:sourceUrl="https://www.ncbi.nlm.nih.gov/pmc/articles/PMC7832874/" int2:sourceSnippet="The Role of Coping in the Wellbeing and Work-Related Quality of Life of UK Health and Social Care Workers during COVID-19. Paula McFadden, 1, * Jana Ross, 1 John Moriarty, 2 John Mallett, 3 Heike Schroder, 4 Jermaine Ravalier, 5 Jill Manthorpe, 6 Denise Currie, 4 Jaclyn Harron, 7 and Patricia Gillen 8, 9">
              <int2:suggestions int2:citationType="Inline">
                <int2:suggestion int2:citationStyle="Mla" int2:isIdentical="1">
                  <int2:citationText>(“The Role of Coping in the Wellbeing and Work-Related Quality of Life of ...”)</int2:citationText>
                </int2:suggestion>
                <int2:suggestion int2:citationStyle="Apa" int2:isIdentical="1">
                  <int2:citationText>(“The Role of Coping in the Wellbeing and Work-Related Quality of Life of ...”)</int2:citationText>
                </int2:suggestion>
                <int2:suggestion int2:citationStyle="Chicago" int2:isIdentical="1">
                  <int2:citationText>(“The Role of Coping in the Wellbeing and Work-Related Quality of Life of ...”)</int2:citationText>
                </int2:suggestion>
              </int2:suggestions>
              <int2:suggestions int2:citationType="Full">
                <int2:suggestion int2:citationStyle="Mla" int2:isIdentical="1">
                  <int2:citationText>&lt;i&gt;The Role of Coping in the Wellbeing and Work-Related Quality of Life of ...&lt;/i&gt;, https://www.ncbi.nlm.nih.gov/pmc/articles/PMC7832874/.</int2:citationText>
                </int2:suggestion>
                <int2:suggestion int2:citationStyle="Apa" int2:isIdentical="1">
                  <int2:citationText>&lt;i&gt;The Role of Coping in the Wellbeing and Work-Related Quality of Life of ...&lt;/i&gt;. (n.d.). Retrieved from https://www.ncbi.nlm.nih.gov/pmc/articles/PMC7832874/</int2:citationText>
                </int2:suggestion>
                <int2:suggestion int2:citationStyle="Chicago" int2:isIdentical="1">
                  <int2:citationText>“The Role of Coping in the Wellbeing and Work-Related Quality of Life of ...” n.d., https://www.ncbi.nlm.nih.gov/pmc/articles/PMC7832874/.</int2:citationText>
                </int2:suggestion>
              </int2:suggestions>
            </int2:source>
            <int2:source int2:sourceType="Online" int2:sourceTitle="The Role of Coping in the Wellbeing and Work ... - Ulster University" int2:sourceUrl="https://pure.ulster.ac.uk/en/publications/the-role-of-coping-in-the-wellbeing-and-work-related-quality-of-l" int2:sourceSnippet="The Role of Coping in the Wellbeing and Work-Related Quality of Life of UK Health and Social Care Workers during COVID-19. / Mc Fadden, Paula; Ross, Jana; Moriarty, John et al. In: International Journal of Environmental Research and Public Health, Vol. 18, No. 2, 815, 19.01.2021, p. 1-15.">
              <int2:suggestions int2:citationType="Inline">
                <int2:suggestion int2:citationStyle="Mla" int2:isIdentical="1">
                  <int2:citationText>(“The Role of Coping in the Wellbeing and Work ... - Ulster University”)</int2:citationText>
                </int2:suggestion>
                <int2:suggestion int2:citationStyle="Apa" int2:isIdentical="1">
                  <int2:citationText>(“The Role of Coping in the Wellbeing and Work ... - Ulster University”)</int2:citationText>
                </int2:suggestion>
                <int2:suggestion int2:citationStyle="Chicago" int2:isIdentical="1">
                  <int2:citationText>(“The Role of Coping in the Wellbeing and Work ... - Ulster University”)</int2:citationText>
                </int2:suggestion>
              </int2:suggestions>
              <int2:suggestions int2:citationType="Full">
                <int2:suggestion int2:citationStyle="Mla" int2:isIdentical="1">
                  <int2:citationText>&lt;i&gt;The Role of Coping in the Wellbeing and Work ... - Ulster University&lt;/i&gt;, https://pure.ulster.ac.uk/en/publications/the-role-of-coping-in-the-wellbeing-and-work-related-quality-of-l.</int2:citationText>
                </int2:suggestion>
                <int2:suggestion int2:citationStyle="Apa" int2:isIdentical="1">
                  <int2:citationText>&lt;i&gt;The Role of Coping in the Wellbeing and Work ... - Ulster University&lt;/i&gt;. (n.d.). Retrieved from https://pure.ulster.ac.uk/en/publications/the-role-of-coping-in-the-wellbeing-and-work-related-quality-of-l</int2:citationText>
                </int2:suggestion>
                <int2:suggestion int2:citationStyle="Chicago" int2:isIdentical="1">
                  <int2:citationText>“The Role of Coping in the Wellbeing and Work ... - Ulster University” n.d., https://pure.ulster.ac.uk/en/publications/the-role-of-coping-in-the-wellbeing-and-work-related-quality-of-l.</int2:citationText>
                </int2:suggestion>
              </int2:suggestions>
            </int2:source>
            <int2:source int2:sourceType="Online" int2:sourceTitle="Wellbeing and coping of UK nurses, midwives and allied health ... - PLOS" int2:sourceUrl="https://journals.plos.org/plosone/article?id=10.1371/journal.pone.0274036" int2:sourceSnippet="The Role of Coping in the Wellbeing and Work-Related Quality of Life of UK Health and Social Care Workers during COVID-19. Int J Environ Res Public Health. 2021 Jan 19;18(2):815. pmid:33477880 . View Article PubMed/NCBI Google Scholar 28. McFadden P., Neill R. D., Mallett J., Manthorpe J., Gillen P., Moriarty J., et al. (2022). ...">
              <int2:suggestions int2:citationType="Inline">
                <int2:suggestion int2:citationStyle="Mla" int2:isIdentical="1">
                  <int2:citationText>(“Wellbeing and coping of UK nurses, midwives and allied health ... - PLOS”)</int2:citationText>
                </int2:suggestion>
                <int2:suggestion int2:citationStyle="Apa" int2:isIdentical="1">
                  <int2:citationText>(“Wellbeing and coping of UK nurses, midwives and allied health ... - PLOS”)</int2:citationText>
                </int2:suggestion>
                <int2:suggestion int2:citationStyle="Chicago" int2:isIdentical="1">
                  <int2:citationText>(“Wellbeing and coping of UK nurses, midwives and allied health ... - PLOS”)</int2:citationText>
                </int2:suggestion>
              </int2:suggestions>
              <int2:suggestions int2:citationType="Full">
                <int2:suggestion int2:citationStyle="Mla" int2:isIdentical="1">
                  <int2:citationText>&lt;i&gt;Wellbeing and coping of UK nurses, midwives and allied health ... - PLOS&lt;/i&gt;, https://journals.plos.org/plosone/article?id=10.1371/journal.pone.0274036.</int2:citationText>
                </int2:suggestion>
                <int2:suggestion int2:citationStyle="Apa" int2:isIdentical="1">
                  <int2:citationText>&lt;i&gt;Wellbeing and coping of UK nurses, midwives and allied health ... - PLOS&lt;/i&gt;. (n.d.). Retrieved from https://journals.plos.org/plosone/article?id=10.1371/journal.pone.0274036</int2:citationText>
                </int2:suggestion>
                <int2:suggestion int2:citationStyle="Chicago" int2:isIdentical="1">
                  <int2:citationText>“Wellbeing and coping of UK nurses, midwives and allied health ... - PLOS” n.d., https://journals.plos.org/plosone/article?id=10.1371/journal.pone.0274036.</int2:citationText>
                </int2:suggestion>
              </int2:suggestions>
            </int2:source>
          </int2:similarityCritique>
        </oel:ext>
      </int2:extLst>
    </int2:bookmark>
    <int2:bookmark int2:bookmarkName="_Int_GWoAYTAH" int2:invalidationBookmarkName="" int2:hashCode="wzzBPy4mI2MjuW" int2:id="sG0NKZXQ">
      <int2:extLst>
        <oel:ext uri="426473B9-03D8-482F-96C9-C2C85392BACA">
          <int2:similarityCritique int2:version="1" int2:context="Exploring the theory, Barriers and Enablers for Patient and Public Involvement across health, Social Care and Patient safety: a Systematic Review of Reviews.">
            <int2:source int2:sourceType="Online" int2:sourceTitle="Patient and public involvement (PPI) in health care: A systematic ..." int2:sourceUrl="https://ijic.org/articles/10.5334/ijic.ICIC23250" int2:sourceSnippet="[2] Ocloo J, et al. Exploring the theory, barriers and enablers for patient and public involvement across health, social care and patient safety: a systematic review of reviews. Health Research Policy and Systems 2021;19(1):8. DOI: 10.1186/s12961-020-00644-3.">
              <int2:suggestions int2:citationType="Inline">
                <int2:suggestion int2:citationStyle="Mla" int2:isIdentical="1">
                  <int2:citationText>(“Patient and public involvement (PPI) in health care: A systematic ...”)</int2:citationText>
                </int2:suggestion>
                <int2:suggestion int2:citationStyle="Apa" int2:isIdentical="1">
                  <int2:citationText>(“Patient and public involvement (PPI) in health care: A systematic ...”)</int2:citationText>
                </int2:suggestion>
                <int2:suggestion int2:citationStyle="Chicago" int2:isIdentical="1">
                  <int2:citationText>(“Patient and public involvement (PPI) in health care: A systematic ...”)</int2:citationText>
                </int2:suggestion>
              </int2:suggestions>
              <int2:suggestions int2:citationType="Full">
                <int2:suggestion int2:citationStyle="Mla" int2:isIdentical="1">
                  <int2:citationText>&lt;i&gt;Patient and public involvement (PPI) in health care: A systematic ...&lt;/i&gt;, https://ijic.org/articles/10.5334/ijic.ICIC23250.</int2:citationText>
                </int2:suggestion>
                <int2:suggestion int2:citationStyle="Apa" int2:isIdentical="1">
                  <int2:citationText>&lt;i&gt;Patient and public involvement (PPI) in health care: A systematic ...&lt;/i&gt;. (n.d.). Retrieved from https://ijic.org/articles/10.5334/ijic.ICIC23250</int2:citationText>
                </int2:suggestion>
                <int2:suggestion int2:citationStyle="Chicago" int2:isIdentical="1">
                  <int2:citationText>“Patient and public involvement (PPI) in health care: A systematic ...” n.d., https://ijic.org/articles/10.5334/ijic.ICIC23250.</int2:citationText>
                </int2:suggestion>
              </int2:suggestions>
            </int2:source>
            <int2:source int2:sourceType="Online" int2:sourceTitle="Exploring the theory, barriers and enablers for patient and ... - PubMed" int2:sourceUrl="https://pubmed.ncbi.nlm.nih.gov/33472647/" int2:sourceSnippet="Exploring the theory, barriers and enablers for patient and public involvement across health, social care and patient safety: a systematic review of reviews Health Res Policy Syst . 2021 Jan 20;19(1):8. doi: 10.1186/s12961-020-00644-3.">
              <int2:suggestions int2:citationType="Inline">
                <int2:suggestion int2:citationStyle="Mla" int2:isIdentical="0">
                  <int2:citationText>(“Exploring the theory, barriers and enablers for patient and ... - PubMed”)</int2:citationText>
                </int2:suggestion>
                <int2:suggestion int2:citationStyle="Apa" int2:isIdentical="0">
                  <int2:citationText>(“Exploring the theory, barriers and enablers for patient and ... - PubMed”)</int2:citationText>
                </int2:suggestion>
                <int2:suggestion int2:citationStyle="Chicago" int2:isIdentical="0">
                  <int2:citationText>(“Exploring the theory, barriers and enablers for patient and ... - PubMed”)</int2:citationText>
                </int2:suggestion>
              </int2:suggestions>
              <int2:suggestions int2:citationType="Full">
                <int2:suggestion int2:citationStyle="Mla" int2:isIdentical="0">
                  <int2:citationText>&lt;i&gt;Exploring the theory, barriers and enablers for patient and ... - PubMed&lt;/i&gt;, https://pubmed.ncbi.nlm.nih.gov/33472647/.</int2:citationText>
                </int2:suggestion>
                <int2:suggestion int2:citationStyle="Apa" int2:isIdentical="0">
                  <int2:citationText>&lt;i&gt;Exploring the theory, barriers and enablers for patient and ... - PubMed&lt;/i&gt;. (n.d.). Retrieved from https://pubmed.ncbi.nlm.nih.gov/33472647/</int2:citationText>
                </int2:suggestion>
                <int2:suggestion int2:citationStyle="Chicago" int2:isIdentical="0">
                  <int2:citationText>“Exploring the theory, barriers and enablers for patient and ... - PubMed” n.d., https://pubmed.ncbi.nlm.nih.gov/33472647/.</int2:citationText>
                </int2:suggestion>
              </int2:suggestions>
            </int2:source>
            <int2:source int2:sourceType="Online" int2:sourceTitle="Exploring the theory, barriers and enablers for patient and public ..." int2:sourceUrl="https://www.ncbi.nlm.nih.gov/pmc/articles/PMC5665219/" int2:sourceSnippet="Exploring the theory, barriers and enablers for patient and public involvement across health, social care and patient safety: a protocol for a systematic review of reviews. Josephine Ocloo, 1 Sarah Garfield, 2, 3 Shoba Dawson, 4 and Bryony Dean Franklin 2, 3">
              <int2:suggestions int2:citationType="Inline">
                <int2:suggestion int2:citationStyle="Mla" int2:isIdentical="0">
                  <int2:citationText>(“Exploring the theory, barriers and enablers for patient and public ...”)</int2:citationText>
                </int2:suggestion>
                <int2:suggestion int2:citationStyle="Apa" int2:isIdentical="0">
                  <int2:citationText>(“Exploring the theory, barriers and enablers for patient and public ...”)</int2:citationText>
                </int2:suggestion>
                <int2:suggestion int2:citationStyle="Chicago" int2:isIdentical="0">
                  <int2:citationText>(“Exploring the theory, barriers and enablers for patient and public ...”)</int2:citationText>
                </int2:suggestion>
              </int2:suggestions>
              <int2:suggestions int2:citationType="Full">
                <int2:suggestion int2:citationStyle="Mla" int2:isIdentical="0">
                  <int2:citationText>&lt;i&gt;Exploring the theory, barriers and enablers for patient and public ...&lt;/i&gt;, https://www.ncbi.nlm.nih.gov/pmc/articles/PMC5665219/.</int2:citationText>
                </int2:suggestion>
                <int2:suggestion int2:citationStyle="Apa" int2:isIdentical="0">
                  <int2:citationText>&lt;i&gt;Exploring the theory, barriers and enablers for patient and public ...&lt;/i&gt;. (n.d.). Retrieved from https://www.ncbi.nlm.nih.gov/pmc/articles/PMC5665219/</int2:citationText>
                </int2:suggestion>
                <int2:suggestion int2:citationStyle="Chicago" int2:isIdentical="0">
                  <int2:citationText>“Exploring the theory, barriers and enablers for patient and public ...” n.d., https://www.ncbi.nlm.nih.gov/pmc/articles/PMC5665219/.</int2:citationText>
                </int2:suggestion>
              </int2:suggestions>
            </int2:source>
          </int2:similarityCritique>
        </oel:ext>
      </int2:extLst>
    </int2:bookmark>
    <int2:bookmark int2:bookmarkName="_Int_ikZA4PJg" int2:invalidationBookmarkName="" int2:hashCode="l9alsKt+ETcjGp" int2:id="sJdPpdjE">
      <int2:extLst>
        <oel:ext uri="426473B9-03D8-482F-96C9-C2C85392BACA">
          <int2:similarityCritique int2:version="1" int2:context="Wales and the United Kingdom: a territorial constitutional policy drive.">
            <int2:source int2:sourceType="Online" int2:sourceTitle="Wales and the United Kingdom: a territorial constitutional policy drive ..." int2:sourceUrl="https://www.scienceopen.com/document?vid=91bd909e-fb41-4f9e-a040-8f055335ab1a" int2:sourceSnippet="Wales and the United Kingdom: a territorial constitutional policy drive. Author(s): ...">
              <int2:suggestions int2:citationType="Inline">
                <int2:suggestion int2:citationStyle="Mla" int2:isIdentical="1">
                  <int2:citationText>(“Wales and the United Kingdom: a territorial constitutional policy drive ...”)</int2:citationText>
                </int2:suggestion>
                <int2:suggestion int2:citationStyle="Apa" int2:isIdentical="1">
                  <int2:citationText>(“Wales and the United Kingdom: a territorial constitutional policy drive ...”)</int2:citationText>
                </int2:suggestion>
                <int2:suggestion int2:citationStyle="Chicago" int2:isIdentical="1">
                  <int2:citationText>(“Wales and the United Kingdom: a territorial constitutional policy drive ...”)</int2:citationText>
                </int2:suggestion>
              </int2:suggestions>
              <int2:suggestions int2:citationType="Full">
                <int2:suggestion int2:citationStyle="Mla" int2:isIdentical="1">
                  <int2:citationText>&lt;i&gt;Wales and the United Kingdom: a territorial constitutional policy drive ...&lt;/i&gt;, https://www.scienceopen.com/document?vid=91bd909e-fb41-4f9e-a040-8f055335ab1a.</int2:citationText>
                </int2:suggestion>
                <int2:suggestion int2:citationStyle="Apa" int2:isIdentical="1">
                  <int2:citationText>&lt;i&gt;Wales and the United Kingdom: a territorial constitutional policy drive ...&lt;/i&gt;. (n.d.). Retrieved from https://www.scienceopen.com/document?vid=91bd909e-fb41-4f9e-a040-8f055335ab1a</int2:citationText>
                </int2:suggestion>
                <int2:suggestion int2:citationStyle="Chicago" int2:isIdentical="1">
                  <int2:citationText>“Wales and the United Kingdom: a territorial constitutional policy drive ...” n.d., https://www.scienceopen.com/document?vid=91bd909e-fb41-4f9e-a040-8f055335ab1a.</int2:citationText>
                </int2:suggestion>
              </int2:suggestions>
            </int2:source>
            <int2:source int2:sourceType="Online" int2:sourceTitle="Wales and the United Kingdom: a territorial constitutional policy drive" int2:sourceUrl="https://discovery.ucl.ac.uk/id/eprint/10180321/1/Wales%20and%20the%20United%20Kingdom%20%20a%20territorial%20constitutional%20policy%20drive.pdf" int2:sourceSnippet="Wales and the United Kingdom: a territorial constitutional policy drive 715 TERRITORY, POLITICS, GOVERNANCE. and ‘mutual respect’. The ﬁnal theme concerns the place of a progressive form of politics in the substate constitutionalpolicy. Grounded in the Labour Party’s long-term dominance of electoral">
              <int2:suggestions int2:citationType="Inline">
                <int2:suggestion int2:citationStyle="Mla" int2:isIdentical="0">
                  <int2:citationText>(“Wales and the United Kingdom: a territorial constitutional policy drive”)</int2:citationText>
                </int2:suggestion>
                <int2:suggestion int2:citationStyle="Apa" int2:isIdentical="0">
                  <int2:citationText>(“Wales and the United Kingdom: a territorial constitutional policy drive”)</int2:citationText>
                </int2:suggestion>
                <int2:suggestion int2:citationStyle="Chicago" int2:isIdentical="0">
                  <int2:citationText>(“Wales and the United Kingdom: a territorial constitutional policy drive”)</int2:citationText>
                </int2:suggestion>
              </int2:suggestions>
              <int2:suggestions int2:citationType="Full">
                <int2:suggestion int2:citationStyle="Mla" int2:isIdentical="0">
                  <int2:citationText>&lt;i&gt;Wales and the United Kingdom: a territorial constitutional policy drive&lt;/i&gt;, https://discovery.ucl.ac.uk/id/eprint/10180321/1/Wales%20and%20the%20United%20Kingdom%20%20a%20territorial%20constitutional%20policy%20drive.pdf.</int2:citationText>
                </int2:suggestion>
                <int2:suggestion int2:citationStyle="Apa" int2:isIdentical="0">
                  <int2:citationText>&lt;i&gt;Wales and the United Kingdom: a territorial constitutional policy drive&lt;/i&gt;. (n.d.). Retrieved from https://discovery.ucl.ac.uk/id/eprint/10180321/1/Wales%20and%20the%20United%20Kingdom%20%20a%20territorial%20constitutional%20policy%20drive.pdf</int2:citationText>
                </int2:suggestion>
                <int2:suggestion int2:citationStyle="Chicago" int2:isIdentical="0">
                  <int2:citationText>“Wales and the United Kingdom: a territorial constitutional policy drive” n.d., https://discovery.ucl.ac.uk/id/eprint/10180321/1/Wales%20and%20the%20United%20Kingdom%20%20a%20territorial%20constitutional%20policy%20drive.pdf.</int2:citationText>
                </int2:suggestion>
              </int2:suggestions>
            </int2:source>
            <int2:source int2:sourceType="Online" int2:sourceTitle="(PDF) Wales and the United Kingdom: a territorial ... - ResearchGate" int2:sourceUrl="https://www.researchgate.net/publication/358909966_Wales_and_the_United_Kingdom_a_territorial_constitutional_policy_drive" int2:sourceSnippet="Wales and the United Kingdom: a territorial constitutional policy drive 719 TERRITORY , POLITICS, GOVERNANCE part, the UK should now be viewed as a voluntary association, which through suitably ...">
              <int2:suggestions int2:citationType="Inline">
                <int2:suggestion int2:citationStyle="Mla" int2:isIdentical="0">
                  <int2:citationText>(“(PDF) Wales and the United Kingdom: a territorial ... - ResearchGate”)</int2:citationText>
                </int2:suggestion>
                <int2:suggestion int2:citationStyle="Apa" int2:isIdentical="0">
                  <int2:citationText>(“(PDF) Wales and the United Kingdom: a territorial ... - ResearchGate”)</int2:citationText>
                </int2:suggestion>
                <int2:suggestion int2:citationStyle="Chicago" int2:isIdentical="0">
                  <int2:citationText>(“(PDF) Wales and the United Kingdom: a territorial ... - ResearchGate”)</int2:citationText>
                </int2:suggestion>
              </int2:suggestions>
              <int2:suggestions int2:citationType="Full">
                <int2:suggestion int2:citationStyle="Mla" int2:isIdentical="0">
                  <int2:citationText>&lt;i&gt;(PDF) Wales and the United Kingdom: a territorial ... - ResearchGate&lt;/i&gt;, https://www.researchgate.net/publication/358909966_Wales_and_the_United_Kingdom_a_territorial_constitutional_policy_drive.</int2:citationText>
                </int2:suggestion>
                <int2:suggestion int2:citationStyle="Apa" int2:isIdentical="0">
                  <int2:citationText>&lt;i&gt;(PDF) Wales and the United Kingdom: a territorial ... - ResearchGate&lt;/i&gt;. (n.d.). Retrieved from https://www.researchgate.net/publication/358909966_Wales_and_the_United_Kingdom_a_territorial_constitutional_policy_drive</int2:citationText>
                </int2:suggestion>
                <int2:suggestion int2:citationStyle="Chicago" int2:isIdentical="0">
                  <int2:citationText>“(PDF) Wales and the United Kingdom: a territorial ... - ResearchGate” n.d., https://www.researchgate.net/publication/358909966_Wales_and_the_United_Kingdom_a_territorial_constitutional_policy_drive.</int2:citationText>
                </int2:suggestion>
              </int2:suggestions>
            </int2:source>
          </int2:similarityCritique>
        </oel:ext>
      </int2:extLst>
    </int2:bookmark>
    <int2:bookmark int2:bookmarkName="_Int_OtDyRZrr" int2:invalidationBookmarkName="" int2:hashCode="Wmoqc8h0vJuplW" int2:id="tnEoyZfv">
      <int2:extLst>
        <oel:ext uri="426473B9-03D8-482F-96C9-C2C85392BACA">
          <int2:similarityCritique int2:version="1" int2:context="Emergency powers and the pandemic: Reflecting on state legislative reforms and the future of public health response.">
            <int2:source int2:sourceType="Online" int2:sourceTitle="(PDF) Emergency powers and the pandemic: Reflecting on state ..." int2:sourceUrl="https://www.researchgate.net/publication/368896202_Emergency_powers_and_the_pandemic_Reflecting_on_state_legislative_reforms_and_the_future_of_public_health_response" int2:sourceSnippet="Emergency powers and the pandemic: Reflecting on state legislative reforms and the future of public health response. February 2023; Journal of Emergency Management 21(7):19-35; DOI:10.5055/jem.0772.">
              <int2:suggestions int2:citationType="Inline">
                <int2:suggestion int2:citationStyle="Mla" int2:isIdentical="1">
                  <int2:citationText>(“(PDF) Emergency powers and the pandemic: Reflecting on state ...”)</int2:citationText>
                </int2:suggestion>
                <int2:suggestion int2:citationStyle="Apa" int2:isIdentical="1">
                  <int2:citationText>(“(PDF) Emergency powers and the pandemic: Reflecting on state ...”)</int2:citationText>
                </int2:suggestion>
                <int2:suggestion int2:citationStyle="Chicago" int2:isIdentical="1">
                  <int2:citationText>(“(PDF) Emergency powers and the pandemic: Reflecting on state ...”)</int2:citationText>
                </int2:suggestion>
              </int2:suggestions>
              <int2:suggestions int2:citationType="Full">
                <int2:suggestion int2:citationStyle="Mla" int2:isIdentical="1">
                  <int2:citationText>&lt;i&gt;(PDF) Emergency powers and the pandemic: Reflecting on state ...&lt;/i&gt;, https://www.researchgate.net/publication/368896202_Emergency_powers_and_the_pandemic_Reflecting_on_state_legislative_reforms_and_the_future_of_public_health_response.</int2:citationText>
                </int2:suggestion>
                <int2:suggestion int2:citationStyle="Apa" int2:isIdentical="1">
                  <int2:citationText>&lt;i&gt;(PDF) Emergency powers and the pandemic: Reflecting on state ...&lt;/i&gt;. (n.d.). Retrieved from https://www.researchgate.net/publication/368896202_Emergency_powers_and_the_pandemic_Reflecting_on_state_legislative_reforms_and_the_future_of_public_health_response</int2:citationText>
                </int2:suggestion>
                <int2:suggestion int2:citationStyle="Chicago" int2:isIdentical="1">
                  <int2:citationText>“(PDF) Emergency powers and the pandemic: Reflecting on state ...” n.d., https://www.researchgate.net/publication/368896202_Emergency_powers_and_the_pandemic_Reflecting_on_state_legislative_reforms_and_the_future_of_public_health_response.</int2:citationText>
                </int2:suggestion>
              </int2:suggestions>
            </int2:source>
            <int2:source int2:sourceType="Online" int2:sourceTitle="COVID-19: Public Health Emergency Powers and ... - Europe PMC" int2:sourceUrl="https://europepmc.org/article/MED/33768746" int2:sourceSnippet="Emergency powers and the pandemic: Reflecting on state legislative reforms and the future of public health response. Davis M, Dedon L, Hoffman S, Baker-White A, Engleman D, Sunshine G. J Emerg Manag, 21(7 (spec issue: research and applied science: covid-19 p):19-35, 01 Jan 2023">
              <int2:suggestions int2:citationType="Inline">
                <int2:suggestion int2:citationStyle="Mla" int2:isIdentical="1">
                  <int2:citationText>(“COVID-19: Public Health Emergency Powers and ... - Europe PMC”)</int2:citationText>
                </int2:suggestion>
                <int2:suggestion int2:citationStyle="Apa" int2:isIdentical="1">
                  <int2:citationText>(“COVID-19: Public Health Emergency Powers and ... - Europe PMC”)</int2:citationText>
                </int2:suggestion>
                <int2:suggestion int2:citationStyle="Chicago" int2:isIdentical="1">
                  <int2:citationText>(“COVID-19: Public Health Emergency Powers and ... - Europe PMC”)</int2:citationText>
                </int2:suggestion>
              </int2:suggestions>
              <int2:suggestions int2:citationType="Full">
                <int2:suggestion int2:citationStyle="Mla" int2:isIdentical="1">
                  <int2:citationText>&lt;i&gt;COVID-19: Public Health Emergency Powers and ... - Europe PMC&lt;/i&gt;, https://europepmc.org/article/MED/33768746.</int2:citationText>
                </int2:suggestion>
                <int2:suggestion int2:citationStyle="Apa" int2:isIdentical="1">
                  <int2:citationText>&lt;i&gt;COVID-19: Public Health Emergency Powers and ... - Europe PMC&lt;/i&gt;. (n.d.). Retrieved from https://europepmc.org/article/MED/33768746</int2:citationText>
                </int2:suggestion>
                <int2:suggestion int2:citationStyle="Chicago" int2:isIdentical="1">
                  <int2:citationText>“COVID-19: Public Health Emergency Powers and ... - Europe PMC” n.d., https://europepmc.org/article/MED/33768746.</int2:citationText>
                </int2:suggestion>
              </int2:suggestions>
            </int2:source>
            <int2:source int2:sourceType="Online" int2:sourceTitle="Emergency powers and the pandemic: Reflecting on state legislative ..." int2:sourceUrl="https://wmpllc.org/ojs/index.php/jem/article/view/3394" int2:sourceSnippet="“Emergency Powers and the Pandemic: Reflecting on State Legislative Reforms and the Future of Public Health Response”. Journal of Emergency Management, vol. 21, no. 7, Feb. 2023, pp. 19-35, doi:10.5055/jem.0772. More Citation Formats ACM ACS APA ABNT ...">
              <int2:suggestions int2:citationType="Inline">
                <int2:suggestion int2:citationStyle="Mla" int2:isIdentical="0">
                  <int2:citationText>(“Emergency powers and the pandemic: Reflecting on state legislative ...”)</int2:citationText>
                </int2:suggestion>
                <int2:suggestion int2:citationStyle="Apa" int2:isIdentical="0">
                  <int2:citationText>(“Emergency powers and the pandemic: Reflecting on state legislative ...”)</int2:citationText>
                </int2:suggestion>
                <int2:suggestion int2:citationStyle="Chicago" int2:isIdentical="0">
                  <int2:citationText>(“Emergency powers and the pandemic: Reflecting on state legislative ...”)</int2:citationText>
                </int2:suggestion>
              </int2:suggestions>
              <int2:suggestions int2:citationType="Full">
                <int2:suggestion int2:citationStyle="Mla" int2:isIdentical="0">
                  <int2:citationText>&lt;i&gt;Emergency powers and the pandemic: Reflecting on state legislative ...&lt;/i&gt;, https://wmpllc.org/ojs/index.php/jem/article/view/3394.</int2:citationText>
                </int2:suggestion>
                <int2:suggestion int2:citationStyle="Apa" int2:isIdentical="0">
                  <int2:citationText>&lt;i&gt;Emergency powers and the pandemic: Reflecting on state legislative ...&lt;/i&gt;. (n.d.). Retrieved from https://wmpllc.org/ojs/index.php/jem/article/view/3394</int2:citationText>
                </int2:suggestion>
                <int2:suggestion int2:citationStyle="Chicago" int2:isIdentical="0">
                  <int2:citationText>“Emergency powers and the pandemic: Reflecting on state legislative ...” n.d., https://wmpllc.org/ojs/index.php/jem/article/view/3394.</int2:citationText>
                </int2:suggestion>
              </int2:suggestions>
            </int2:source>
          </int2:similarityCritique>
        </oel:ext>
      </int2:extLst>
    </int2:bookmark>
    <int2:bookmark int2:bookmarkName="_Int_pWwbY3fR" int2:invalidationBookmarkName="" int2:hashCode="mdTnbMyoMZZUMM" int2:id="uH1f9JWa">
      <int2:extLst>
        <oel:ext uri="426473B9-03D8-482F-96C9-C2C85392BACA">
          <int2:similarityCritique int2:version="1" int2:context="Research with Older People in a World with COVID-19: Identification of Current and Future priorities, Challenges and Opportunities.">
            <int2:source int2:sourceType="Online" int2:sourceTitle="Research with older people in a world with COVID-19: identification of ..." int2:sourceUrl="https://www.ncbi.nlm.nih.gov/pmc/articles/PMC7454250/" int2:sourceSnippet="Research with older people in a world with COVID-19: identification of current and future priorities, challenges and opportunities. Sarah J Richardson, 1 Camille B Carroll, 2 Jacqueline Close, 3 Adam L Gordon, 4, 5 John O’Brien, 6 Terence J Quinn, 7 Lynn Rochester, 8 Avan A Sayer, 1 Susan D Shenkin, 9 Nathalie van der Velde, 10 Jean Woo, 11 ...">
              <int2:suggestions int2:citationType="Inline">
                <int2:suggestion int2:citationStyle="Mla" int2:isIdentical="1">
                  <int2:citationText>(“Research with older people in a world with COVID-19: identification of ...”)</int2:citationText>
                </int2:suggestion>
                <int2:suggestion int2:citationStyle="Apa" int2:isIdentical="1">
                  <int2:citationText>(“Research with older people in a world with COVID-19: identification of ...”)</int2:citationText>
                </int2:suggestion>
                <int2:suggestion int2:citationStyle="Chicago" int2:isIdentical="1">
                  <int2:citationText>(“Research with older people in a world with COVID-19: identification of ...”)</int2:citationText>
                </int2:suggestion>
              </int2:suggestions>
              <int2:suggestions int2:citationType="Full">
                <int2:suggestion int2:citationStyle="Mla" int2:isIdentical="1">
                  <int2:citationText>&lt;i&gt;Research with older people in a world with COVID-19: identification of ...&lt;/i&gt;, https://www.ncbi.nlm.nih.gov/pmc/articles/PMC7454250/.</int2:citationText>
                </int2:suggestion>
                <int2:suggestion int2:citationStyle="Apa" int2:isIdentical="1">
                  <int2:citationText>&lt;i&gt;Research with older people in a world with COVID-19: identification of ...&lt;/i&gt;. (n.d.). Retrieved from https://www.ncbi.nlm.nih.gov/pmc/articles/PMC7454250/</int2:citationText>
                </int2:suggestion>
                <int2:suggestion int2:citationStyle="Chicago" int2:isIdentical="1">
                  <int2:citationText>“Research with older people in a world with COVID-19: identification of ...” n.d., https://www.ncbi.nlm.nih.gov/pmc/articles/PMC7454250/.</int2:citationText>
                </int2:suggestion>
              </int2:suggestions>
            </int2:source>
            <int2:source int2:sourceType="Online" int2:sourceTitle="Research with older people in a world with COVID-19: identification of ..." int2:sourceUrl="https://pearl.plymouth.ac.uk/handle/10026.1/15763" int2:sourceSnippet="Research with older people in a world with COVID-19: identification of current and future priorities, challenges and opportunities. View/ Open. Research in the time of COVID 140620 final.pdf (667.1Kb) Research in the time of COVID title page 140620.pdf (423.4Kb)">
              <int2:suggestions int2:citationType="Inline">
                <int2:suggestion int2:citationStyle="Mla" int2:isIdentical="1">
                  <int2:citationText>(“Research with older people in a world with COVID-19: identification of ...”)</int2:citationText>
                </int2:suggestion>
                <int2:suggestion int2:citationStyle="Apa" int2:isIdentical="1">
                  <int2:citationText>(“Research with older people in a world with COVID-19: identification of ...”)</int2:citationText>
                </int2:suggestion>
                <int2:suggestion int2:citationStyle="Chicago" int2:isIdentical="1">
                  <int2:citationText>(“Research with older people in a world with COVID-19: identification of ...”)</int2:citationText>
                </int2:suggestion>
              </int2:suggestions>
              <int2:suggestions int2:citationType="Full">
                <int2:suggestion int2:citationStyle="Mla" int2:isIdentical="1">
                  <int2:citationText>&lt;i&gt;Research with older people in a world with COVID-19: identification of ...&lt;/i&gt;, https://pearl.plymouth.ac.uk/handle/10026.1/15763.</int2:citationText>
                </int2:suggestion>
                <int2:suggestion int2:citationStyle="Apa" int2:isIdentical="1">
                  <int2:citationText>&lt;i&gt;Research with older people in a world with COVID-19: identification of ...&lt;/i&gt;. (n.d.). Retrieved from https://pearl.plymouth.ac.uk/handle/10026.1/15763</int2:citationText>
                </int2:suggestion>
                <int2:suggestion int2:citationStyle="Chicago" int2:isIdentical="1">
                  <int2:citationText>“Research with older people in a world with COVID-19: identification of ...” n.d., https://pearl.plymouth.ac.uk/handle/10026.1/15763.</int2:citationText>
                </int2:suggestion>
              </int2:suggestions>
            </int2:source>
            <int2:source int2:sourceType="Online" int2:sourceTitle="COVID-19 and the elaboration of personal plans in - BMC Public Health" int2:sourceUrl="https://bmcpublichealth.biomedcentral.com/articles/10.1186/s12889-023-15006-1" int2:sourceSnippet="Richardson SJ, Carroll CB, Close J, Gordon AL, O’Brien J, Quinn TJ, et al. Research with older people in a world with COVID-19: Identification of current and future priorities, challenges and opportunities. Age Ageing. 2020;49:901–6. Article Google Scholar">
              <int2:suggestions int2:citationType="Inline">
                <int2:suggestion int2:citationStyle="Mla" int2:isIdentical="1">
                  <int2:citationText>(“COVID-19 and the elaboration of personal plans in - BMC Public Health”)</int2:citationText>
                </int2:suggestion>
                <int2:suggestion int2:citationStyle="Apa" int2:isIdentical="1">
                  <int2:citationText>(“COVID-19 and the elaboration of personal plans in - BMC Public Health”)</int2:citationText>
                </int2:suggestion>
                <int2:suggestion int2:citationStyle="Chicago" int2:isIdentical="1">
                  <int2:citationText>(“COVID-19 and the elaboration of personal plans in - BMC Public Health”)</int2:citationText>
                </int2:suggestion>
              </int2:suggestions>
              <int2:suggestions int2:citationType="Full">
                <int2:suggestion int2:citationStyle="Mla" int2:isIdentical="1">
                  <int2:citationText>&lt;i&gt;COVID-19 and the elaboration of personal plans in - BMC Public Health&lt;/i&gt;, https://bmcpublichealth.biomedcentral.com/articles/10.1186/s12889-023-15006-1.</int2:citationText>
                </int2:suggestion>
                <int2:suggestion int2:citationStyle="Apa" int2:isIdentical="1">
                  <int2:citationText>&lt;i&gt;COVID-19 and the elaboration of personal plans in - BMC Public Health&lt;/i&gt;. (n.d.). Retrieved from https://bmcpublichealth.biomedcentral.com/articles/10.1186/s12889-023-15006-1</int2:citationText>
                </int2:suggestion>
                <int2:suggestion int2:citationStyle="Chicago" int2:isIdentical="1">
                  <int2:citationText>“COVID-19 and the elaboration of personal plans in - BMC Public Health” n.d., https://bmcpublichealth.biomedcentral.com/articles/10.1186/s12889-023-15006-1.</int2:citationText>
                </int2:suggestion>
              </int2:suggestions>
            </int2:source>
          </int2:similarityCritique>
        </oel:ext>
      </int2:extLst>
    </int2:bookmark>
    <int2:bookmark int2:bookmarkName="_Int_G4aqDzNs" int2:invalidationBookmarkName="" int2:hashCode="fFVivDk+ZDQlpN" int2:id="xcrzV8Zu">
      <int2:extLst>
        <oel:ext uri="426473B9-03D8-482F-96C9-C2C85392BACA">
          <int2:similarityCritique int2:version="1" int2:context="Identification of high-risk Patients for Referral through Machine Learning Assisting the Decision Making to Manage Minor Ailments in Community Pharmacies.">
            <int2:source int2:sourceType="Online" int2:sourceTitle="Europe PMC" int2:sourceUrl="https://europepmc.org/article/MED/32787618" int2:sourceSnippet="Identification of high-risk patients for referral through machine learning assisting the decision making to manage minor ailments in community pharmacies. Amador-Fernández N, Benrimoj SI, García-Cárdenas V, Gastelurrutia M Á, ...">
              <int2:suggestions int2:citationType="Inline">
                <int2:suggestion int2:citationStyle="Mla" int2:isIdentical="1">
                  <int2:citationText>(“Europe PMC”)</int2:citationText>
                </int2:suggestion>
                <int2:suggestion int2:citationStyle="Apa" int2:isIdentical="1">
                  <int2:citationText>(“Europe PMC”)</int2:citationText>
                </int2:suggestion>
                <int2:suggestion int2:citationStyle="Chicago" int2:isIdentical="1">
                  <int2:citationText>(“Europe PMC”)</int2:citationText>
                </int2:suggestion>
              </int2:suggestions>
              <int2:suggestions int2:citationType="Full">
                <int2:suggestion int2:citationStyle="Mla" int2:isIdentical="1">
                  <int2:citationText>&lt;i&gt;Europe PMC&lt;/i&gt;, https://europepmc.org/article/MED/32787618.</int2:citationText>
                </int2:suggestion>
                <int2:suggestion int2:citationStyle="Apa" int2:isIdentical="1">
                  <int2:citationText>&lt;i&gt;Europe PMC&lt;/i&gt;. (n.d.). Retrieved from https://europepmc.org/article/MED/32787618</int2:citationText>
                </int2:suggestion>
                <int2:suggestion int2:citationStyle="Chicago" int2:isIdentical="1">
                  <int2:citationText>“Europe PMC” n.d., https://europepmc.org/article/MED/32787618.</int2:citationText>
                </int2:suggestion>
              </int2:suggestions>
            </int2:source>
            <int2:source int2:sourceType="Online" int2:sourceTitle="Protocolos de indicación farmacéutica y criterios de derivación al ..." int2:sourceUrl="https://www.semanticscholar.org/paper/Protocolos-de-indicaci%C3%B3n-farmac%C3%A9utica-y-criterios-Arenas-Baos/dc2911f5ee1a565985420b60109dc0c61f131138" int2:sourceSnippet="Identification of high-risk patients for referral through machine learning assisting the decision making to manage minor ailments in community pharmacies. Noelia Amador-Fernández S. Benrimoj +11 authors F. Martínez-Martínez">
              <int2:suggestions int2:citationType="Inline">
                <int2:suggestion int2:citationStyle="Mla" int2:isIdentical="1">
                  <int2:citationText>(“Protocolos de indicación farmacéutica y criterios de derivación al ...”)</int2:citationText>
                </int2:suggestion>
                <int2:suggestion int2:citationStyle="Apa" int2:isIdentical="1">
                  <int2:citationText>(“Protocolos de indicación farmacéutica y criterios de derivación al ...”)</int2:citationText>
                </int2:suggestion>
                <int2:suggestion int2:citationStyle="Chicago" int2:isIdentical="1">
                  <int2:citationText>(“Protocolos de indicación farmacéutica y criterios de derivación al ...”)</int2:citationText>
                </int2:suggestion>
              </int2:suggestions>
              <int2:suggestions int2:citationType="Full">
                <int2:suggestion int2:citationStyle="Mla" int2:isIdentical="1">
                  <int2:citationText>&lt;i&gt;Protocolos de indicación farmacéutica y criterios de derivación al ...&lt;/i&gt;, https://www.semanticscholar.org/paper/Protocolos-de-indicaci%C3%B3n-farmac%C3%A9utica-y-criterios-Arenas-Baos/dc2911f5ee1a565985420b60109dc0c61f131138.</int2:citationText>
                </int2:suggestion>
                <int2:suggestion int2:citationStyle="Apa" int2:isIdentical="1">
                  <int2:citationText>&lt;i&gt;Protocolos de indicación farmacéutica y criterios de derivación al ...&lt;/i&gt;. (n.d.). Retrieved from https://www.semanticscholar.org/paper/Protocolos-de-indicaci%C3%B3n-farmac%C3%A9utica-y-criterios-Arenas-Baos/dc2911f5ee1a565985420b60109dc0c61f131138</int2:citationText>
                </int2:suggestion>
                <int2:suggestion int2:citationStyle="Chicago" int2:isIdentical="1">
                  <int2:citationText>“Protocolos de indicación farmacéutica y criterios de derivación al ...” n.d., https://www.semanticscholar.org/paper/Protocolos-de-indicaci%C3%B3n-farmac%C3%A9utica-y-criterios-Arenas-Baos/dc2911f5ee1a565985420b60109dc0c61f131138.</int2:citationText>
                </int2:suggestion>
              </int2:suggestions>
            </int2:source>
            <int2:source int2:sourceType="Online" int2:sourceTitle="Identification of high-risk patients for referral through machine ..." int2:sourceUrl="https://doaj.org/article/fbab83ef63e142bcb1e0435e494bad0d" int2:sourceSnippet="Identification of high-risk patients for referral through machine learning assisting the decision making to manage minor ailments in community pharmacies Noelia Amador-Fernández, Noelia Amador-Fernández, Shalom I. Benrimoj, Victoria García-Cárdenas, Miguel Ángel Gastelurrutia, ...">
              <int2:suggestions int2:citationType="Inline">
                <int2:suggestion int2:citationStyle="Mla" int2:isIdentical="0">
                  <int2:citationText>(“Identification of high-risk patients for referral through machine ...”)</int2:citationText>
                </int2:suggestion>
                <int2:suggestion int2:citationStyle="Apa" int2:isIdentical="0">
                  <int2:citationText>(“Identification of high-risk patients for referral through machine ...”)</int2:citationText>
                </int2:suggestion>
                <int2:suggestion int2:citationStyle="Chicago" int2:isIdentical="0">
                  <int2:citationText>(“Identification of high-risk patients for referral through machine ...”)</int2:citationText>
                </int2:suggestion>
              </int2:suggestions>
              <int2:suggestions int2:citationType="Full">
                <int2:suggestion int2:citationStyle="Mla" int2:isIdentical="0">
                  <int2:citationText>&lt;i&gt;Identification of high-risk patients for referral through machine ...&lt;/i&gt;, https://doaj.org/article/fbab83ef63e142bcb1e0435e494bad0d.</int2:citationText>
                </int2:suggestion>
                <int2:suggestion int2:citationStyle="Apa" int2:isIdentical="0">
                  <int2:citationText>&lt;i&gt;Identification of high-risk patients for referral through machine ...&lt;/i&gt;. (n.d.). Retrieved from https://doaj.org/article/fbab83ef63e142bcb1e0435e494bad0d</int2:citationText>
                </int2:suggestion>
                <int2:suggestion int2:citationStyle="Chicago" int2:isIdentical="0">
                  <int2:citationText>“Identification of high-risk patients for referral through machine ...” n.d., https://doaj.org/article/fbab83ef63e142bcb1e0435e494bad0d.</int2:citationText>
                </int2:suggestion>
              </int2:suggestions>
            </int2:source>
          </int2:similarityCritique>
        </oel:ext>
      </int2:extLst>
    </int2:bookmark>
    <int2:entireDocument int2:id="Svw2LV7p">
      <int2:extLst>
        <oel:ext uri="E302BA01-7950-474C-9AD3-286E660C40A8">
          <int2:similaritySummary int2:version="1" int2:runId="1713345794251" int2:tilesCheckedInThisRun="99" int2:totalNumOfTiles="99" int2:similarityAnnotationCount="39" int2:numWords="6470" int2:numFlaggedWords="625"/>
        </oel:ext>
      </int2:extLst>
    </int2:entireDocument>
  </int2:observations>
  <int2:intelligenceSettings/>
  <int2:onDemandWorkflows>
    <int2:onDemandWorkflow int2:type="SimilarityCheck" int2:paragraphVersions="10D4FEE4-77777777 56432A86-6D688B2E 69C32B46-3C3B1EE9 0D30A828-5EB04557 59C42AC3-17EB17D1 3D2E377E-77777777 5E0942EB-77777777 37A62814-2B610E85 07A66C4A-77777777 7C5C6A51-241DE9D7 0067AA94-63900A70 24079AB4-65D756CA 07A4B8A2-5BC260DC 7EC644D5-3C20EDFC 0C092E69-05FADCC7 04DC11C9-77777777 352E0942-2C6F7938 4225F900-6C2F11C3 45CE5CED-2E18CEAC 18CFC777-7883F8E4 7623F220-08BD58CE 0740F6FE-77777777 0D956785-77777777 49C51812-77777777 20E54CC6-06175FDB 6BF95698-34E9F648 51A7DFE6-381589D8 687546C5-3587807D 3805AA75-77777777 2352CA4E-6208A45F 4074B70B-0283772C 12D1594C-78C7F311 0DD29B3A-6067E88A 13C09828-77777777 4E30B177-77777777 6BD75086-77777777 2F62F9A1-77777777 030091C0-77777777 1772FE0B-77777777 6434D5C7-77777777 6CE17477-77777777 0099139C-2D2E02BF 7FC6D8A8-1A6DB5E2 545E34B5-092DFA10 79D31E44-2B9D9D6E 48990271-20B4E01C 7CCFD922-23AFD58B 21DCDD25-43C27AC9 562353E2-5D8FE769 6460A6EE-59FA281B 6AF0EAB9-31693286 3769BB7C-573CF84A 6E4A5CAF-09230B92 35D2A135-77777777 6C7F3CDA-0E28E813 684E65CA-77777777 22A3D41F-2FC5CB97 020D65A8-77777777 5701A0F1-77777777 635B59E7-5829BCFA 74881F42-77777777 2524126D-77777777 73E3A534-77777777 7F45B246-77777777 2FD52755-77777777 1F52C41E-3E1116C2 453A7D61-77777777 6FE8BAD7-77777777 4E54CAAF-77777777 25F069BA-77777777 1314C95C-77777777 1F7D7829-77777777 2B77770A-77777777 211E92AD-5B878A11 2CEDBABC-6A6F0070 37218781-77777777 1C582519-34CF6547 7C9403A0-77777777 555BFF45-588963AF 455CD45B-77777777 154B7C2E-77777777 0BE7B161-37DBAFE4 528C8059-77777777 7324B351-77777777 62001439-0F9267B6 3814BAD4-77777777 0E5034FB-77777777 360D2C1E-77777777 326257D0-77777777 01CF8309-7320D3FF 10E293CA-1C90D2E9 5F4C639B-61D7AE7D 10961D22-77777777 69E86370-0A776E81 133BA179-77777777 71AE5401-77777777 47D99B48-2D935A44 63F406E4-265C8455 0226E8CF-7973A0FD 29BE03E6-77777777 79A858F5-77777777 4A69AE02-77777777 0458B7DA-5BB80E74 53455812-77777777 2650801C-77777777 794F7647-77777777 78798643-77777777 6920BDEF-77777777 282374EF-77777777 7349B902-4E874421 6E4B66CD-77777777 5DB3C806-64F5A325 550D6A44-77777777 7EB2959B-3F244A3E 24225286-26C72D14 53C491DB-60424ECE 371C5AB9-77777777 55D12EB7-77777777 54FA1592-77777777 191A5BE1-77777777 2343986A-77777777 59470D5A-5BA495D0 69AF13D0-77777777 733ACD88-77777777 31EBCEFF-77777777 36D6D38D-77777777 5D50476D-34E51F2C 64203BB7-77777777 0840A6D4-77777777 042CA57A-77777777 7BC08A12-77777777 2444F77D-77777777 62158FC9-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970012210">
    <w:abstractNumId w:val="8"/>
  </w:num>
  <w:num w:numId="2" w16cid:durableId="1614752932">
    <w:abstractNumId w:val="6"/>
  </w:num>
  <w:num w:numId="3" w16cid:durableId="1160004280">
    <w:abstractNumId w:val="5"/>
  </w:num>
  <w:num w:numId="4" w16cid:durableId="745348919">
    <w:abstractNumId w:val="4"/>
  </w:num>
  <w:num w:numId="5" w16cid:durableId="186526934">
    <w:abstractNumId w:val="7"/>
  </w:num>
  <w:num w:numId="6" w16cid:durableId="1148324571">
    <w:abstractNumId w:val="3"/>
  </w:num>
  <w:num w:numId="7" w16cid:durableId="1083406221">
    <w:abstractNumId w:val="2"/>
  </w:num>
  <w:num w:numId="8" w16cid:durableId="1528445119">
    <w:abstractNumId w:val="1"/>
  </w:num>
  <w:num w:numId="9" w16cid:durableId="11803114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2"/>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111AB"/>
    <w:rsid w:val="00034616"/>
    <w:rsid w:val="0004321C"/>
    <w:rsid w:val="000457C3"/>
    <w:rsid w:val="0005332A"/>
    <w:rsid w:val="00055326"/>
    <w:rsid w:val="0006063C"/>
    <w:rsid w:val="0006089B"/>
    <w:rsid w:val="00064E34"/>
    <w:rsid w:val="0006649C"/>
    <w:rsid w:val="00066B8B"/>
    <w:rsid w:val="00071D73"/>
    <w:rsid w:val="00083E5F"/>
    <w:rsid w:val="00086B3F"/>
    <w:rsid w:val="00093D18"/>
    <w:rsid w:val="00096810"/>
    <w:rsid w:val="000A3C68"/>
    <w:rsid w:val="000A41CD"/>
    <w:rsid w:val="000A5118"/>
    <w:rsid w:val="000B0517"/>
    <w:rsid w:val="000B2169"/>
    <w:rsid w:val="000B246C"/>
    <w:rsid w:val="000B5C51"/>
    <w:rsid w:val="000C5289"/>
    <w:rsid w:val="000D3175"/>
    <w:rsid w:val="000E1BB7"/>
    <w:rsid w:val="000E1D41"/>
    <w:rsid w:val="000E284F"/>
    <w:rsid w:val="000E7FB7"/>
    <w:rsid w:val="000F04E7"/>
    <w:rsid w:val="00104602"/>
    <w:rsid w:val="001063AA"/>
    <w:rsid w:val="00106427"/>
    <w:rsid w:val="001067EC"/>
    <w:rsid w:val="00106846"/>
    <w:rsid w:val="001112AA"/>
    <w:rsid w:val="00111C60"/>
    <w:rsid w:val="00111EA5"/>
    <w:rsid w:val="001143C3"/>
    <w:rsid w:val="00117521"/>
    <w:rsid w:val="0015074B"/>
    <w:rsid w:val="001608EA"/>
    <w:rsid w:val="00194E9D"/>
    <w:rsid w:val="001A083B"/>
    <w:rsid w:val="001A0911"/>
    <w:rsid w:val="001A7331"/>
    <w:rsid w:val="001B0AB0"/>
    <w:rsid w:val="001B0BB7"/>
    <w:rsid w:val="001B45A6"/>
    <w:rsid w:val="001B58E1"/>
    <w:rsid w:val="001B5F3F"/>
    <w:rsid w:val="001D1688"/>
    <w:rsid w:val="001D2331"/>
    <w:rsid w:val="001F3F4B"/>
    <w:rsid w:val="001F54EE"/>
    <w:rsid w:val="001F5F69"/>
    <w:rsid w:val="001F6BAA"/>
    <w:rsid w:val="00202006"/>
    <w:rsid w:val="00210A2B"/>
    <w:rsid w:val="002319B7"/>
    <w:rsid w:val="00232D38"/>
    <w:rsid w:val="00235DE0"/>
    <w:rsid w:val="00247D2D"/>
    <w:rsid w:val="0025197A"/>
    <w:rsid w:val="002548A5"/>
    <w:rsid w:val="00254FD6"/>
    <w:rsid w:val="00271269"/>
    <w:rsid w:val="002829D3"/>
    <w:rsid w:val="002832BA"/>
    <w:rsid w:val="0029639D"/>
    <w:rsid w:val="002A1A89"/>
    <w:rsid w:val="002A4DCE"/>
    <w:rsid w:val="002B0DCA"/>
    <w:rsid w:val="002B14AD"/>
    <w:rsid w:val="002B5386"/>
    <w:rsid w:val="002C3D9B"/>
    <w:rsid w:val="002C50AF"/>
    <w:rsid w:val="002C5BE7"/>
    <w:rsid w:val="002C753B"/>
    <w:rsid w:val="002C7B98"/>
    <w:rsid w:val="002D4F39"/>
    <w:rsid w:val="002E06BA"/>
    <w:rsid w:val="002E077A"/>
    <w:rsid w:val="002F02C1"/>
    <w:rsid w:val="002F14EE"/>
    <w:rsid w:val="002F2BD1"/>
    <w:rsid w:val="002F37F5"/>
    <w:rsid w:val="00305D20"/>
    <w:rsid w:val="003122B1"/>
    <w:rsid w:val="0032137D"/>
    <w:rsid w:val="003226C6"/>
    <w:rsid w:val="0032632D"/>
    <w:rsid w:val="00326F90"/>
    <w:rsid w:val="00340D61"/>
    <w:rsid w:val="0034415A"/>
    <w:rsid w:val="0035759C"/>
    <w:rsid w:val="003632EE"/>
    <w:rsid w:val="0038683D"/>
    <w:rsid w:val="00387D94"/>
    <w:rsid w:val="003A7255"/>
    <w:rsid w:val="003D18DE"/>
    <w:rsid w:val="003D330B"/>
    <w:rsid w:val="003D35F2"/>
    <w:rsid w:val="004007D3"/>
    <w:rsid w:val="004012AF"/>
    <w:rsid w:val="00407FC1"/>
    <w:rsid w:val="00440028"/>
    <w:rsid w:val="00460391"/>
    <w:rsid w:val="004618CC"/>
    <w:rsid w:val="00463A33"/>
    <w:rsid w:val="00464F56"/>
    <w:rsid w:val="00465AB8"/>
    <w:rsid w:val="004830A2"/>
    <w:rsid w:val="0048323C"/>
    <w:rsid w:val="004D0A79"/>
    <w:rsid w:val="004D2632"/>
    <w:rsid w:val="004E7B30"/>
    <w:rsid w:val="004F1DEF"/>
    <w:rsid w:val="00500F80"/>
    <w:rsid w:val="005118A9"/>
    <w:rsid w:val="00533092"/>
    <w:rsid w:val="00540A2E"/>
    <w:rsid w:val="005420D1"/>
    <w:rsid w:val="00544243"/>
    <w:rsid w:val="00547DD8"/>
    <w:rsid w:val="005A3C80"/>
    <w:rsid w:val="005B1A62"/>
    <w:rsid w:val="005D3703"/>
    <w:rsid w:val="005E33C5"/>
    <w:rsid w:val="005E369C"/>
    <w:rsid w:val="0060558D"/>
    <w:rsid w:val="00607E2C"/>
    <w:rsid w:val="0061162F"/>
    <w:rsid w:val="00614792"/>
    <w:rsid w:val="00614C9F"/>
    <w:rsid w:val="00617F2A"/>
    <w:rsid w:val="00623DB0"/>
    <w:rsid w:val="00631307"/>
    <w:rsid w:val="00637BE5"/>
    <w:rsid w:val="00650B4A"/>
    <w:rsid w:val="00652E67"/>
    <w:rsid w:val="006665A0"/>
    <w:rsid w:val="006666EE"/>
    <w:rsid w:val="00697AB9"/>
    <w:rsid w:val="006A2713"/>
    <w:rsid w:val="006B2010"/>
    <w:rsid w:val="006C48E8"/>
    <w:rsid w:val="006D2C9D"/>
    <w:rsid w:val="006E2BC0"/>
    <w:rsid w:val="006E5B4A"/>
    <w:rsid w:val="006E6EBF"/>
    <w:rsid w:val="006F30BF"/>
    <w:rsid w:val="006F3E5B"/>
    <w:rsid w:val="00713789"/>
    <w:rsid w:val="00716A95"/>
    <w:rsid w:val="007204D7"/>
    <w:rsid w:val="00741BFF"/>
    <w:rsid w:val="00747684"/>
    <w:rsid w:val="0076426C"/>
    <w:rsid w:val="007652D1"/>
    <w:rsid w:val="00766A6E"/>
    <w:rsid w:val="00771AF3"/>
    <w:rsid w:val="0077215A"/>
    <w:rsid w:val="00775CFA"/>
    <w:rsid w:val="00793258"/>
    <w:rsid w:val="007A2B68"/>
    <w:rsid w:val="007A3F59"/>
    <w:rsid w:val="007C2CF9"/>
    <w:rsid w:val="007E04B8"/>
    <w:rsid w:val="007E48E1"/>
    <w:rsid w:val="007E4F7B"/>
    <w:rsid w:val="007E7173"/>
    <w:rsid w:val="007F56C3"/>
    <w:rsid w:val="0084031A"/>
    <w:rsid w:val="008404DE"/>
    <w:rsid w:val="00852BB4"/>
    <w:rsid w:val="00856A93"/>
    <w:rsid w:val="0085770E"/>
    <w:rsid w:val="00877830"/>
    <w:rsid w:val="008839DE"/>
    <w:rsid w:val="00887702"/>
    <w:rsid w:val="00891992"/>
    <w:rsid w:val="0089694F"/>
    <w:rsid w:val="00897A0E"/>
    <w:rsid w:val="008A0B52"/>
    <w:rsid w:val="008A1F8B"/>
    <w:rsid w:val="008A3AFB"/>
    <w:rsid w:val="008B08FE"/>
    <w:rsid w:val="008C0C71"/>
    <w:rsid w:val="008C6062"/>
    <w:rsid w:val="008E3203"/>
    <w:rsid w:val="008F16C7"/>
    <w:rsid w:val="00902F4E"/>
    <w:rsid w:val="00914DF5"/>
    <w:rsid w:val="009161AE"/>
    <w:rsid w:val="00920E2E"/>
    <w:rsid w:val="00934CA4"/>
    <w:rsid w:val="0094683A"/>
    <w:rsid w:val="00954105"/>
    <w:rsid w:val="00963F94"/>
    <w:rsid w:val="00976F56"/>
    <w:rsid w:val="00986E01"/>
    <w:rsid w:val="00990EE1"/>
    <w:rsid w:val="0099474A"/>
    <w:rsid w:val="009A249C"/>
    <w:rsid w:val="009B3228"/>
    <w:rsid w:val="009C0A2D"/>
    <w:rsid w:val="009C4C05"/>
    <w:rsid w:val="009E18B8"/>
    <w:rsid w:val="009F5199"/>
    <w:rsid w:val="009F7C2D"/>
    <w:rsid w:val="00A01123"/>
    <w:rsid w:val="00A20F5A"/>
    <w:rsid w:val="00A328D2"/>
    <w:rsid w:val="00A60A50"/>
    <w:rsid w:val="00A671EC"/>
    <w:rsid w:val="00A709F0"/>
    <w:rsid w:val="00A91DBF"/>
    <w:rsid w:val="00A96787"/>
    <w:rsid w:val="00AA1D8D"/>
    <w:rsid w:val="00AB2952"/>
    <w:rsid w:val="00AC430E"/>
    <w:rsid w:val="00AD0AE6"/>
    <w:rsid w:val="00AF243F"/>
    <w:rsid w:val="00B06258"/>
    <w:rsid w:val="00B066A9"/>
    <w:rsid w:val="00B23BEF"/>
    <w:rsid w:val="00B2625E"/>
    <w:rsid w:val="00B3444D"/>
    <w:rsid w:val="00B47730"/>
    <w:rsid w:val="00B506C3"/>
    <w:rsid w:val="00B5473D"/>
    <w:rsid w:val="00B64699"/>
    <w:rsid w:val="00B86D2C"/>
    <w:rsid w:val="00B91EF1"/>
    <w:rsid w:val="00B927BC"/>
    <w:rsid w:val="00B931DE"/>
    <w:rsid w:val="00BA27A8"/>
    <w:rsid w:val="00BC3366"/>
    <w:rsid w:val="00BD2A27"/>
    <w:rsid w:val="00BD3D7E"/>
    <w:rsid w:val="00C00738"/>
    <w:rsid w:val="00C01E12"/>
    <w:rsid w:val="00C13B97"/>
    <w:rsid w:val="00C20265"/>
    <w:rsid w:val="00C20A4B"/>
    <w:rsid w:val="00C31C1A"/>
    <w:rsid w:val="00C455BC"/>
    <w:rsid w:val="00C5127E"/>
    <w:rsid w:val="00C537CF"/>
    <w:rsid w:val="00C67063"/>
    <w:rsid w:val="00C746D8"/>
    <w:rsid w:val="00C80AC2"/>
    <w:rsid w:val="00C909E2"/>
    <w:rsid w:val="00CB0664"/>
    <w:rsid w:val="00CC12D7"/>
    <w:rsid w:val="00CC6177"/>
    <w:rsid w:val="00CC73A0"/>
    <w:rsid w:val="00CD2E9D"/>
    <w:rsid w:val="00CE462B"/>
    <w:rsid w:val="00CE6012"/>
    <w:rsid w:val="00CE74A3"/>
    <w:rsid w:val="00CF683C"/>
    <w:rsid w:val="00D03EAA"/>
    <w:rsid w:val="00D17124"/>
    <w:rsid w:val="00D35A78"/>
    <w:rsid w:val="00D3675D"/>
    <w:rsid w:val="00D4143D"/>
    <w:rsid w:val="00D61DC4"/>
    <w:rsid w:val="00D62891"/>
    <w:rsid w:val="00D70698"/>
    <w:rsid w:val="00D81666"/>
    <w:rsid w:val="00D85E09"/>
    <w:rsid w:val="00D92E76"/>
    <w:rsid w:val="00D941CC"/>
    <w:rsid w:val="00D97B43"/>
    <w:rsid w:val="00DA4A94"/>
    <w:rsid w:val="00DA5447"/>
    <w:rsid w:val="00DA6188"/>
    <w:rsid w:val="00DB7606"/>
    <w:rsid w:val="00DD2798"/>
    <w:rsid w:val="00DD4046"/>
    <w:rsid w:val="00DE076E"/>
    <w:rsid w:val="00DE19AE"/>
    <w:rsid w:val="00DE33FB"/>
    <w:rsid w:val="00DF1380"/>
    <w:rsid w:val="00DF5A09"/>
    <w:rsid w:val="00DF65A1"/>
    <w:rsid w:val="00DF79CF"/>
    <w:rsid w:val="00E05839"/>
    <w:rsid w:val="00E062B4"/>
    <w:rsid w:val="00E20572"/>
    <w:rsid w:val="00E275C4"/>
    <w:rsid w:val="00E300EC"/>
    <w:rsid w:val="00E31459"/>
    <w:rsid w:val="00E3238C"/>
    <w:rsid w:val="00E330BE"/>
    <w:rsid w:val="00E42540"/>
    <w:rsid w:val="00E427FF"/>
    <w:rsid w:val="00E44779"/>
    <w:rsid w:val="00E5092B"/>
    <w:rsid w:val="00E51788"/>
    <w:rsid w:val="00E53DE0"/>
    <w:rsid w:val="00E549FE"/>
    <w:rsid w:val="00E63E36"/>
    <w:rsid w:val="00E74808"/>
    <w:rsid w:val="00E823B7"/>
    <w:rsid w:val="00EA24EC"/>
    <w:rsid w:val="00EA3CBE"/>
    <w:rsid w:val="00EA6C32"/>
    <w:rsid w:val="00EA7A30"/>
    <w:rsid w:val="00EC071B"/>
    <w:rsid w:val="00EF2330"/>
    <w:rsid w:val="00F04FA4"/>
    <w:rsid w:val="00F21417"/>
    <w:rsid w:val="00F326CF"/>
    <w:rsid w:val="00F3358E"/>
    <w:rsid w:val="00F37FFA"/>
    <w:rsid w:val="00F554C0"/>
    <w:rsid w:val="00F62650"/>
    <w:rsid w:val="00F702FE"/>
    <w:rsid w:val="00F81DC2"/>
    <w:rsid w:val="00FA0791"/>
    <w:rsid w:val="00FA7454"/>
    <w:rsid w:val="00FC693F"/>
    <w:rsid w:val="00FD7EB4"/>
    <w:rsid w:val="00FF5ACC"/>
    <w:rsid w:val="00FF61A8"/>
    <w:rsid w:val="02BB840B"/>
    <w:rsid w:val="03CC44C5"/>
    <w:rsid w:val="03D434EC"/>
    <w:rsid w:val="04607A3F"/>
    <w:rsid w:val="055F93C4"/>
    <w:rsid w:val="092E34AF"/>
    <w:rsid w:val="0BF10245"/>
    <w:rsid w:val="0C6ADA79"/>
    <w:rsid w:val="0C89E489"/>
    <w:rsid w:val="0EF352ED"/>
    <w:rsid w:val="0FDC15D1"/>
    <w:rsid w:val="101FDB28"/>
    <w:rsid w:val="10CA269C"/>
    <w:rsid w:val="11C23AC3"/>
    <w:rsid w:val="14637064"/>
    <w:rsid w:val="169E1458"/>
    <w:rsid w:val="17A33981"/>
    <w:rsid w:val="1AED5CD7"/>
    <w:rsid w:val="1BA68272"/>
    <w:rsid w:val="20A31595"/>
    <w:rsid w:val="215EE16B"/>
    <w:rsid w:val="2A103278"/>
    <w:rsid w:val="30DFA3C0"/>
    <w:rsid w:val="34126361"/>
    <w:rsid w:val="3498F080"/>
    <w:rsid w:val="34AB6F29"/>
    <w:rsid w:val="357EB3B1"/>
    <w:rsid w:val="360BCEE6"/>
    <w:rsid w:val="383D7C4A"/>
    <w:rsid w:val="38ED71E1"/>
    <w:rsid w:val="3C57FB22"/>
    <w:rsid w:val="3DD26182"/>
    <w:rsid w:val="3DE7C975"/>
    <w:rsid w:val="41EA8163"/>
    <w:rsid w:val="42E2D2CF"/>
    <w:rsid w:val="46800D3D"/>
    <w:rsid w:val="4AA0F249"/>
    <w:rsid w:val="4CC133E6"/>
    <w:rsid w:val="507BE0EA"/>
    <w:rsid w:val="51FB92E6"/>
    <w:rsid w:val="55C98FC8"/>
    <w:rsid w:val="5644AD8F"/>
    <w:rsid w:val="5886F5C3"/>
    <w:rsid w:val="594707B1"/>
    <w:rsid w:val="5BC5B5B0"/>
    <w:rsid w:val="5D8DABEE"/>
    <w:rsid w:val="6091621A"/>
    <w:rsid w:val="6138D773"/>
    <w:rsid w:val="64EC37D4"/>
    <w:rsid w:val="657C8DC2"/>
    <w:rsid w:val="6670BE35"/>
    <w:rsid w:val="69A7C77F"/>
    <w:rsid w:val="6A024D54"/>
    <w:rsid w:val="6A61D09D"/>
    <w:rsid w:val="6CC5041C"/>
    <w:rsid w:val="6D897C4C"/>
    <w:rsid w:val="6E698291"/>
    <w:rsid w:val="70FF6EAB"/>
    <w:rsid w:val="7719130E"/>
    <w:rsid w:val="77A74096"/>
    <w:rsid w:val="7A43B48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CA3B7DA"/>
  <w15:docId w15:val="{05A41A40-F03D-BA41-A268-7F67C7BEC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6138D773"/>
    <w:pPr>
      <w:keepNext/>
      <w:keepLines/>
      <w:spacing w:before="200" w:after="0"/>
      <w:outlineLvl w:val="4"/>
    </w:pPr>
    <w:rPr>
      <w:rFonts w:asciiTheme="majorHAnsi" w:eastAsiaTheme="majorEastAsia" w:hAnsiTheme="majorHAnsi" w:cstheme="majorBidi"/>
      <w:color w:val="243F60"/>
      <w:lang w:val="en-GB"/>
    </w:rPr>
  </w:style>
  <w:style w:type="paragraph" w:styleId="Heading6">
    <w:name w:val="heading 6"/>
    <w:basedOn w:val="Normal"/>
    <w:next w:val="Normal"/>
    <w:link w:val="Heading6Char"/>
    <w:uiPriority w:val="9"/>
    <w:semiHidden/>
    <w:unhideWhenUsed/>
    <w:qFormat/>
    <w:rsid w:val="6138D773"/>
    <w:pPr>
      <w:keepNext/>
      <w:keepLines/>
      <w:spacing w:before="200" w:after="0"/>
      <w:outlineLvl w:val="5"/>
    </w:pPr>
    <w:rPr>
      <w:rFonts w:asciiTheme="majorHAnsi" w:eastAsiaTheme="majorEastAsia" w:hAnsiTheme="majorHAnsi" w:cstheme="majorBidi"/>
      <w:i/>
      <w:iCs/>
      <w:color w:val="243F60"/>
      <w:lang w:val="en-GB"/>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6138D773"/>
    <w:pPr>
      <w:spacing w:after="300" w:line="240" w:lineRule="auto"/>
      <w:contextualSpacing/>
    </w:pPr>
    <w:rPr>
      <w:rFonts w:asciiTheme="majorHAnsi" w:eastAsiaTheme="majorEastAsia" w:hAnsiTheme="majorHAnsi" w:cstheme="majorBidi"/>
      <w:color w:val="17365D" w:themeColor="text2" w:themeShade="BF"/>
      <w:sz w:val="52"/>
      <w:szCs w:val="52"/>
      <w:lang w:val="en-GB"/>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z w:val="52"/>
      <w:szCs w:val="52"/>
      <w:lang w:val="en-GB"/>
    </w:rPr>
  </w:style>
  <w:style w:type="paragraph" w:styleId="Subtitle">
    <w:name w:val="Subtitle"/>
    <w:basedOn w:val="Normal"/>
    <w:next w:val="Normal"/>
    <w:link w:val="SubtitleChar"/>
    <w:uiPriority w:val="11"/>
    <w:qFormat/>
    <w:rsid w:val="6138D773"/>
    <w:rPr>
      <w:rFonts w:asciiTheme="majorHAnsi" w:eastAsiaTheme="majorEastAsia" w:hAnsiTheme="majorHAnsi" w:cstheme="majorBidi"/>
      <w:i/>
      <w:iCs/>
      <w:color w:val="4F81BD" w:themeColor="accent1"/>
      <w:sz w:val="24"/>
      <w:szCs w:val="24"/>
      <w:lang w:val="en-GB"/>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z w:val="24"/>
      <w:szCs w:val="24"/>
      <w:lang w:val="en-GB"/>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lang w:val="en-GB"/>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lang w:val="en-GB"/>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6138D773"/>
    <w:pPr>
      <w:spacing w:before="200" w:after="280"/>
      <w:ind w:left="936" w:right="936"/>
    </w:pPr>
    <w:rPr>
      <w:b/>
      <w:bCs/>
      <w:i/>
      <w:iCs/>
      <w:color w:val="4F81BD" w:themeColor="accent1"/>
      <w:lang w:val="en-GB"/>
    </w:rPr>
  </w:style>
  <w:style w:type="character" w:customStyle="1" w:styleId="IntenseQuoteChar">
    <w:name w:val="Intense Quote Char"/>
    <w:basedOn w:val="DefaultParagraphFont"/>
    <w:link w:val="IntenseQuote"/>
    <w:uiPriority w:val="30"/>
    <w:rsid w:val="00FC693F"/>
    <w:rPr>
      <w:b/>
      <w:bCs/>
      <w:i/>
      <w:iCs/>
      <w:color w:val="4F81BD" w:themeColor="accent1"/>
      <w:lang w:val="en-GB"/>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apple-converted-space">
    <w:name w:val="apple-converted-space"/>
    <w:basedOn w:val="DefaultParagraphFont"/>
    <w:rsid w:val="00D92E76"/>
  </w:style>
  <w:style w:type="paragraph" w:styleId="NormalWeb">
    <w:name w:val="Normal (Web)"/>
    <w:basedOn w:val="Normal"/>
    <w:uiPriority w:val="99"/>
    <w:unhideWhenUsed/>
    <w:rsid w:val="6138D773"/>
    <w:pPr>
      <w:spacing w:beforeAutospacing="1" w:afterAutospacing="1" w:line="240" w:lineRule="auto"/>
    </w:pPr>
    <w:rPr>
      <w:rFonts w:ascii="Times New Roman" w:hAnsi="Times New Roman" w:cs="Times New Roman"/>
      <w:sz w:val="24"/>
      <w:szCs w:val="24"/>
      <w:lang w:val="en-GB" w:eastAsia="en-GB"/>
    </w:rPr>
  </w:style>
  <w:style w:type="character" w:customStyle="1" w:styleId="s7">
    <w:name w:val="s7"/>
    <w:basedOn w:val="DefaultParagraphFont"/>
    <w:rsid w:val="00E20572"/>
  </w:style>
  <w:style w:type="character" w:customStyle="1" w:styleId="s9">
    <w:name w:val="s9"/>
    <w:basedOn w:val="DefaultParagraphFont"/>
    <w:rsid w:val="00E20572"/>
  </w:style>
  <w:style w:type="character" w:customStyle="1" w:styleId="s6">
    <w:name w:val="s6"/>
    <w:basedOn w:val="DefaultParagraphFont"/>
    <w:rsid w:val="007E48E1"/>
  </w:style>
  <w:style w:type="character" w:styleId="Hyperlink">
    <w:name w:val="Hyperlink"/>
    <w:basedOn w:val="DefaultParagraphFont"/>
    <w:uiPriority w:val="99"/>
    <w:unhideWhenUsed/>
    <w:rsid w:val="006665A0"/>
    <w:rPr>
      <w:color w:val="0000FF" w:themeColor="hyperlink"/>
      <w:u w:val="single"/>
    </w:rPr>
  </w:style>
  <w:style w:type="character" w:customStyle="1" w:styleId="UnresolvedMention1">
    <w:name w:val="Unresolved Mention1"/>
    <w:basedOn w:val="DefaultParagraphFont"/>
    <w:uiPriority w:val="99"/>
    <w:semiHidden/>
    <w:unhideWhenUsed/>
    <w:rsid w:val="006665A0"/>
    <w:rPr>
      <w:color w:val="605E5C"/>
      <w:shd w:val="clear" w:color="auto" w:fill="E1DFDD"/>
    </w:rPr>
  </w:style>
  <w:style w:type="paragraph" w:styleId="TOC1">
    <w:name w:val="toc 1"/>
    <w:basedOn w:val="Normal"/>
    <w:next w:val="Normal"/>
    <w:uiPriority w:val="39"/>
    <w:unhideWhenUsed/>
    <w:rsid w:val="00DE19AE"/>
    <w:pPr>
      <w:spacing w:after="100"/>
    </w:pPr>
    <w:rPr>
      <w:lang w:val="en-GB"/>
    </w:rPr>
  </w:style>
  <w:style w:type="paragraph" w:styleId="TOC2">
    <w:name w:val="toc 2"/>
    <w:basedOn w:val="Normal"/>
    <w:next w:val="Normal"/>
    <w:uiPriority w:val="39"/>
    <w:unhideWhenUsed/>
    <w:rsid w:val="00DE19AE"/>
    <w:pPr>
      <w:spacing w:after="100"/>
      <w:ind w:left="220"/>
    </w:pPr>
    <w:rPr>
      <w:lang w:val="en-GB"/>
    </w:rPr>
  </w:style>
  <w:style w:type="paragraph" w:styleId="TOC3">
    <w:name w:val="toc 3"/>
    <w:basedOn w:val="Normal"/>
    <w:next w:val="Normal"/>
    <w:uiPriority w:val="39"/>
    <w:unhideWhenUsed/>
    <w:rsid w:val="00DE19AE"/>
    <w:pPr>
      <w:spacing w:after="100"/>
      <w:ind w:left="440"/>
    </w:pPr>
    <w:rPr>
      <w:lang w:val="en-GB"/>
    </w:rPr>
  </w:style>
  <w:style w:type="paragraph" w:styleId="TOC4">
    <w:name w:val="toc 4"/>
    <w:basedOn w:val="Normal"/>
    <w:next w:val="Normal"/>
    <w:uiPriority w:val="39"/>
    <w:unhideWhenUsed/>
    <w:rsid w:val="00DE19AE"/>
    <w:pPr>
      <w:spacing w:after="100"/>
      <w:ind w:left="660"/>
    </w:pPr>
    <w:rPr>
      <w:lang w:val="en-GB"/>
    </w:rPr>
  </w:style>
  <w:style w:type="paragraph" w:styleId="TOC5">
    <w:name w:val="toc 5"/>
    <w:basedOn w:val="Normal"/>
    <w:next w:val="Normal"/>
    <w:uiPriority w:val="39"/>
    <w:unhideWhenUsed/>
    <w:rsid w:val="00DE19AE"/>
    <w:pPr>
      <w:spacing w:after="100"/>
      <w:ind w:left="880"/>
    </w:pPr>
    <w:rPr>
      <w:lang w:val="en-GB"/>
    </w:rPr>
  </w:style>
  <w:style w:type="paragraph" w:styleId="TOC6">
    <w:name w:val="toc 6"/>
    <w:basedOn w:val="Normal"/>
    <w:next w:val="Normal"/>
    <w:uiPriority w:val="39"/>
    <w:unhideWhenUsed/>
    <w:rsid w:val="00DE19AE"/>
    <w:pPr>
      <w:spacing w:after="100"/>
      <w:ind w:left="1100"/>
    </w:pPr>
    <w:rPr>
      <w:lang w:val="en-GB"/>
    </w:rPr>
  </w:style>
  <w:style w:type="paragraph" w:styleId="TOC7">
    <w:name w:val="toc 7"/>
    <w:basedOn w:val="Normal"/>
    <w:next w:val="Normal"/>
    <w:uiPriority w:val="39"/>
    <w:unhideWhenUsed/>
    <w:rsid w:val="00DE19AE"/>
    <w:pPr>
      <w:spacing w:after="100"/>
      <w:ind w:left="1320"/>
    </w:pPr>
    <w:rPr>
      <w:lang w:val="en-GB"/>
    </w:rPr>
  </w:style>
  <w:style w:type="paragraph" w:styleId="TOC8">
    <w:name w:val="toc 8"/>
    <w:basedOn w:val="Normal"/>
    <w:next w:val="Normal"/>
    <w:uiPriority w:val="39"/>
    <w:unhideWhenUsed/>
    <w:rsid w:val="00DE19AE"/>
    <w:pPr>
      <w:spacing w:after="100"/>
      <w:ind w:left="1540"/>
    </w:pPr>
    <w:rPr>
      <w:lang w:val="en-GB"/>
    </w:rPr>
  </w:style>
  <w:style w:type="paragraph" w:styleId="TOC9">
    <w:name w:val="toc 9"/>
    <w:basedOn w:val="Normal"/>
    <w:next w:val="Normal"/>
    <w:uiPriority w:val="39"/>
    <w:unhideWhenUsed/>
    <w:rsid w:val="00DE19AE"/>
    <w:pPr>
      <w:spacing w:after="100"/>
      <w:ind w:left="1760"/>
    </w:pPr>
    <w:rPr>
      <w:lang w:val="en-GB"/>
    </w:rPr>
  </w:style>
  <w:style w:type="paragraph" w:styleId="EndnoteText">
    <w:name w:val="endnote text"/>
    <w:basedOn w:val="Normal"/>
    <w:link w:val="EndnoteTextChar"/>
    <w:uiPriority w:val="99"/>
    <w:semiHidden/>
    <w:unhideWhenUsed/>
    <w:rsid w:val="00DE19AE"/>
    <w:pPr>
      <w:spacing w:after="0" w:line="240" w:lineRule="auto"/>
    </w:pPr>
    <w:rPr>
      <w:sz w:val="20"/>
      <w:szCs w:val="20"/>
      <w:lang w:val="en-GB"/>
    </w:rPr>
  </w:style>
  <w:style w:type="character" w:customStyle="1" w:styleId="EndnoteTextChar">
    <w:name w:val="Endnote Text Char"/>
    <w:basedOn w:val="DefaultParagraphFont"/>
    <w:link w:val="EndnoteText"/>
    <w:uiPriority w:val="99"/>
    <w:semiHidden/>
    <w:rsid w:val="00DE19AE"/>
    <w:rPr>
      <w:sz w:val="20"/>
      <w:szCs w:val="20"/>
      <w:lang w:val="en-GB"/>
    </w:rPr>
  </w:style>
  <w:style w:type="paragraph" w:styleId="FootnoteText">
    <w:name w:val="footnote text"/>
    <w:basedOn w:val="Normal"/>
    <w:link w:val="FootnoteTextChar"/>
    <w:uiPriority w:val="99"/>
    <w:semiHidden/>
    <w:unhideWhenUsed/>
    <w:rsid w:val="00DE19AE"/>
    <w:pPr>
      <w:spacing w:after="0" w:line="240" w:lineRule="auto"/>
    </w:pPr>
    <w:rPr>
      <w:sz w:val="20"/>
      <w:szCs w:val="20"/>
      <w:lang w:val="en-GB"/>
    </w:rPr>
  </w:style>
  <w:style w:type="character" w:customStyle="1" w:styleId="FootnoteTextChar">
    <w:name w:val="Footnote Text Char"/>
    <w:basedOn w:val="DefaultParagraphFont"/>
    <w:link w:val="FootnoteText"/>
    <w:uiPriority w:val="99"/>
    <w:semiHidden/>
    <w:rsid w:val="00DE19AE"/>
    <w:rPr>
      <w:sz w:val="20"/>
      <w:szCs w:val="20"/>
      <w:lang w:val="en-GB"/>
    </w:rPr>
  </w:style>
  <w:style w:type="character" w:styleId="FollowedHyperlink">
    <w:name w:val="FollowedHyperlink"/>
    <w:basedOn w:val="DefaultParagraphFont"/>
    <w:uiPriority w:val="99"/>
    <w:semiHidden/>
    <w:unhideWhenUsed/>
    <w:rsid w:val="00B91EF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888275">
      <w:bodyDiv w:val="1"/>
      <w:marLeft w:val="0"/>
      <w:marRight w:val="0"/>
      <w:marTop w:val="0"/>
      <w:marBottom w:val="0"/>
      <w:divBdr>
        <w:top w:val="none" w:sz="0" w:space="0" w:color="auto"/>
        <w:left w:val="none" w:sz="0" w:space="0" w:color="auto"/>
        <w:bottom w:val="none" w:sz="0" w:space="0" w:color="auto"/>
        <w:right w:val="none" w:sz="0" w:space="0" w:color="auto"/>
      </w:divBdr>
    </w:div>
    <w:div w:id="1594045265">
      <w:bodyDiv w:val="1"/>
      <w:marLeft w:val="0"/>
      <w:marRight w:val="0"/>
      <w:marTop w:val="0"/>
      <w:marBottom w:val="0"/>
      <w:divBdr>
        <w:top w:val="none" w:sz="0" w:space="0" w:color="auto"/>
        <w:left w:val="none" w:sz="0" w:space="0" w:color="auto"/>
        <w:bottom w:val="none" w:sz="0" w:space="0" w:color="auto"/>
        <w:right w:val="none" w:sz="0" w:space="0" w:color="auto"/>
      </w:divBdr>
      <w:divsChild>
        <w:div w:id="910307060">
          <w:marLeft w:val="0"/>
          <w:marRight w:val="0"/>
          <w:marTop w:val="0"/>
          <w:marBottom w:val="0"/>
          <w:divBdr>
            <w:top w:val="none" w:sz="0" w:space="0" w:color="auto"/>
            <w:left w:val="none" w:sz="0" w:space="0" w:color="auto"/>
            <w:bottom w:val="none" w:sz="0" w:space="0" w:color="auto"/>
            <w:right w:val="none" w:sz="0" w:space="0" w:color="auto"/>
          </w:divBdr>
          <w:divsChild>
            <w:div w:id="32847531">
              <w:marLeft w:val="0"/>
              <w:marRight w:val="0"/>
              <w:marTop w:val="0"/>
              <w:marBottom w:val="0"/>
              <w:divBdr>
                <w:top w:val="none" w:sz="0" w:space="0" w:color="auto"/>
                <w:left w:val="none" w:sz="0" w:space="0" w:color="auto"/>
                <w:bottom w:val="none" w:sz="0" w:space="0" w:color="auto"/>
                <w:right w:val="none" w:sz="0" w:space="0" w:color="auto"/>
              </w:divBdr>
              <w:divsChild>
                <w:div w:id="1624068428">
                  <w:marLeft w:val="0"/>
                  <w:marRight w:val="0"/>
                  <w:marTop w:val="0"/>
                  <w:marBottom w:val="0"/>
                  <w:divBdr>
                    <w:top w:val="none" w:sz="0" w:space="0" w:color="auto"/>
                    <w:left w:val="none" w:sz="0" w:space="0" w:color="auto"/>
                    <w:bottom w:val="none" w:sz="0" w:space="0" w:color="auto"/>
                    <w:right w:val="none" w:sz="0" w:space="0" w:color="auto"/>
                  </w:divBdr>
                </w:div>
              </w:divsChild>
            </w:div>
            <w:div w:id="435714445">
              <w:marLeft w:val="0"/>
              <w:marRight w:val="0"/>
              <w:marTop w:val="0"/>
              <w:marBottom w:val="0"/>
              <w:divBdr>
                <w:top w:val="none" w:sz="0" w:space="0" w:color="auto"/>
                <w:left w:val="none" w:sz="0" w:space="0" w:color="auto"/>
                <w:bottom w:val="none" w:sz="0" w:space="0" w:color="auto"/>
                <w:right w:val="none" w:sz="0" w:space="0" w:color="auto"/>
              </w:divBdr>
              <w:divsChild>
                <w:div w:id="958219413">
                  <w:marLeft w:val="0"/>
                  <w:marRight w:val="0"/>
                  <w:marTop w:val="0"/>
                  <w:marBottom w:val="0"/>
                  <w:divBdr>
                    <w:top w:val="none" w:sz="0" w:space="0" w:color="auto"/>
                    <w:left w:val="none" w:sz="0" w:space="0" w:color="auto"/>
                    <w:bottom w:val="none" w:sz="0" w:space="0" w:color="auto"/>
                    <w:right w:val="none" w:sz="0" w:space="0" w:color="auto"/>
                  </w:divBdr>
                </w:div>
              </w:divsChild>
            </w:div>
            <w:div w:id="1068771408">
              <w:marLeft w:val="0"/>
              <w:marRight w:val="0"/>
              <w:marTop w:val="0"/>
              <w:marBottom w:val="0"/>
              <w:divBdr>
                <w:top w:val="none" w:sz="0" w:space="0" w:color="auto"/>
                <w:left w:val="none" w:sz="0" w:space="0" w:color="auto"/>
                <w:bottom w:val="none" w:sz="0" w:space="0" w:color="auto"/>
                <w:right w:val="none" w:sz="0" w:space="0" w:color="auto"/>
              </w:divBdr>
              <w:divsChild>
                <w:div w:id="747269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F22C01-730D-481C-8E04-94D5EACB076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19</Pages>
  <Words>6560</Words>
  <Characters>37393</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43866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Mesfin Kebede (2115101)</cp:lastModifiedBy>
  <cp:revision>7</cp:revision>
  <dcterms:created xsi:type="dcterms:W3CDTF">2024-04-25T17:05:00Z</dcterms:created>
  <dcterms:modified xsi:type="dcterms:W3CDTF">2024-04-25T20:03:00Z</dcterms:modified>
</cp:coreProperties>
</file>