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60D95" w14:textId="77777777" w:rsidR="005D7887" w:rsidRDefault="00C46CFD" w:rsidP="00DD3739">
      <w:pPr>
        <w:ind w:firstLine="720"/>
      </w:pPr>
      <w:r>
        <w:t>Dudo of St. Q</w:t>
      </w:r>
      <w:r w:rsidR="004840B9">
        <w:t xml:space="preserve">uentin </w:t>
      </w:r>
      <w:r w:rsidR="00D3029D">
        <w:t xml:space="preserve">is the primary chronicler of the early reign of the Norman dukes, he </w:t>
      </w:r>
      <w:r w:rsidR="00833025">
        <w:t xml:space="preserve">was born in the </w:t>
      </w:r>
      <w:r w:rsidR="007455E5">
        <w:t xml:space="preserve">960’s A.D. although the exact date of his birth is unknown. </w:t>
      </w:r>
      <w:r w:rsidR="00F67C11">
        <w:t xml:space="preserve">Much of what is known about Dudo is from his own works, and because of this, most of what is know is through the context clues left to the reader in his works. One fact is certain about Dudo, </w:t>
      </w:r>
      <w:r w:rsidR="00F307B8">
        <w:t xml:space="preserve">he was the canon of </w:t>
      </w:r>
      <w:r w:rsidR="0062719D">
        <w:t xml:space="preserve">St. Quentin </w:t>
      </w:r>
      <w:r w:rsidR="0085466E">
        <w:t>in the summer of 987</w:t>
      </w:r>
      <w:r w:rsidR="00EC6127">
        <w:t>,</w:t>
      </w:r>
      <w:r w:rsidR="00850141">
        <w:rPr>
          <w:rStyle w:val="FootnoteReference"/>
        </w:rPr>
        <w:footnoteReference w:id="1"/>
      </w:r>
      <w:r w:rsidR="00EC6127">
        <w:t xml:space="preserve"> this would require him to be of a certain age to be allowed such an important post. In addition to</w:t>
      </w:r>
      <w:r w:rsidR="002359DB">
        <w:t xml:space="preserve"> that he would have been from a well to do family. </w:t>
      </w:r>
      <w:r w:rsidR="00850141">
        <w:t>The role of canon</w:t>
      </w:r>
      <w:r w:rsidR="00647FE4">
        <w:t xml:space="preserve"> was crucial as the mediator, or in between, between the church and the laity. </w:t>
      </w:r>
      <w:r w:rsidR="006C2DC7">
        <w:t>After holding the post of canon Dudo of St. Quentin was</w:t>
      </w:r>
      <w:r w:rsidR="00C407B5">
        <w:t xml:space="preserve"> later</w:t>
      </w:r>
      <w:r w:rsidR="006C2DC7">
        <w:t xml:space="preserve"> selected to be the Dean </w:t>
      </w:r>
      <w:r w:rsidR="00996CAA">
        <w:t>of St. Quentin</w:t>
      </w:r>
      <w:r w:rsidR="00C407B5">
        <w:t xml:space="preserve">. While he is most know for being a chronicler, he was a very successful and important churchman in his day. </w:t>
      </w:r>
      <w:r w:rsidR="00DD3739">
        <w:t>His most famous work</w:t>
      </w:r>
      <w:r w:rsidR="004F6818">
        <w:t xml:space="preserve"> was Historia </w:t>
      </w:r>
      <w:proofErr w:type="spellStart"/>
      <w:r w:rsidR="004F6818">
        <w:t>Norma</w:t>
      </w:r>
      <w:r w:rsidR="00BD5409">
        <w:t>n</w:t>
      </w:r>
      <w:r w:rsidR="004F6818">
        <w:t>norum</w:t>
      </w:r>
      <w:proofErr w:type="spellEnd"/>
      <w:r w:rsidR="00BD5409">
        <w:t xml:space="preserve">, which was a work accounting the early history of the early </w:t>
      </w:r>
      <w:r w:rsidR="00F34988">
        <w:t xml:space="preserve">dukes of Normandy, the work </w:t>
      </w:r>
      <w:r w:rsidR="006B53C0">
        <w:t>seeks to document the history of the founding of the duchy by Rollo and his band of Scandinavian Vikings.</w:t>
      </w:r>
    </w:p>
    <w:p w14:paraId="30EF415C" w14:textId="36B3A508" w:rsidR="00F12FD1" w:rsidRDefault="006B53C0" w:rsidP="006C11F2">
      <w:pPr>
        <w:ind w:firstLine="720"/>
      </w:pPr>
      <w:r>
        <w:t xml:space="preserve"> Much doubt has been cast at the trustworthiness of this account as a source</w:t>
      </w:r>
      <w:r w:rsidR="00847615">
        <w:t>.</w:t>
      </w:r>
      <w:r w:rsidR="00E25750">
        <w:t xml:space="preserve"> However, as Dudo is writing a </w:t>
      </w:r>
      <w:r w:rsidR="00CA5893" w:rsidRPr="00CA5893">
        <w:t>panegyric</w:t>
      </w:r>
      <w:r w:rsidR="00BC1EFC">
        <w:t xml:space="preserve">, he </w:t>
      </w:r>
      <w:r w:rsidR="00CD5B72">
        <w:t xml:space="preserve">can be relied on to </w:t>
      </w:r>
      <w:r w:rsidR="00D23E1F">
        <w:t>write in the best interest of the Norman dukes</w:t>
      </w:r>
      <w:r w:rsidR="00BC1EFC">
        <w:t>.</w:t>
      </w:r>
      <w:r w:rsidR="00D23E1F">
        <w:t xml:space="preserve"> While his account is not the cold recounting of facts, the contents are vital to help ou</w:t>
      </w:r>
      <w:r w:rsidR="00944494">
        <w:t>r</w:t>
      </w:r>
      <w:r w:rsidR="00D23E1F">
        <w:t xml:space="preserve"> understanding of the early years of the Norman presence in what was Neustria.</w:t>
      </w:r>
      <w:r w:rsidR="00BC1EFC">
        <w:t xml:space="preserve"> Dudo’s work was started at the request of the Norman Dukes, namely Richard the 1</w:t>
      </w:r>
      <w:r w:rsidR="00BC1EFC" w:rsidRPr="00BC1EFC">
        <w:rPr>
          <w:vertAlign w:val="superscript"/>
        </w:rPr>
        <w:t>st</w:t>
      </w:r>
      <w:r w:rsidR="00BC1EFC">
        <w:t>.</w:t>
      </w:r>
      <w:r w:rsidR="00BC1EFC">
        <w:rPr>
          <w:rStyle w:val="FootnoteReference"/>
        </w:rPr>
        <w:footnoteReference w:id="2"/>
      </w:r>
      <w:r w:rsidR="00BC1EFC">
        <w:t xml:space="preserve"> </w:t>
      </w:r>
      <w:r w:rsidR="006C11F2">
        <w:t>and while he is apologetic about his abilities</w:t>
      </w:r>
      <w:r w:rsidR="00BC1EFC">
        <w:t xml:space="preserve"> his work does help to </w:t>
      </w:r>
      <w:r w:rsidR="00E44B39">
        <w:t>legitimise the Norman Dukes, and provide them a sort of founding myth.</w:t>
      </w:r>
      <w:r w:rsidR="00847615">
        <w:t xml:space="preserve"> Dudo makes no reference to consulting other histories when he sets out to write this work</w:t>
      </w:r>
      <w:r w:rsidR="003D2934">
        <w:t xml:space="preserve"> and would have relied on his close relationship with the Ducal family to </w:t>
      </w:r>
      <w:r w:rsidR="006D22D6">
        <w:t>interview the family for oral history.</w:t>
      </w:r>
      <w:r w:rsidR="006D22D6">
        <w:rPr>
          <w:rStyle w:val="FootnoteReference"/>
        </w:rPr>
        <w:footnoteReference w:id="3"/>
      </w:r>
      <w:r w:rsidR="006D22D6">
        <w:t xml:space="preserve"> Because of this his work takes the form o</w:t>
      </w:r>
      <w:r w:rsidR="004F7944">
        <w:t>f a romance, L</w:t>
      </w:r>
      <w:r w:rsidR="006F0EED">
        <w:t xml:space="preserve">eah </w:t>
      </w:r>
      <w:proofErr w:type="spellStart"/>
      <w:r w:rsidR="006F0EED">
        <w:t>Shopkow</w:t>
      </w:r>
      <w:proofErr w:type="spellEnd"/>
      <w:r w:rsidR="007F7B78">
        <w:t xml:space="preserve">, in her work on Norman History notes the </w:t>
      </w:r>
      <w:proofErr w:type="spellStart"/>
      <w:r w:rsidR="007F7B78">
        <w:t>parralels</w:t>
      </w:r>
      <w:proofErr w:type="spellEnd"/>
      <w:r w:rsidR="007F7B78">
        <w:t xml:space="preserve"> with a number of other works</w:t>
      </w:r>
      <w:r w:rsidR="00E44B39">
        <w:t xml:space="preserve">, such as the </w:t>
      </w:r>
      <w:r w:rsidR="000F04A6">
        <w:t>‘</w:t>
      </w:r>
      <w:r w:rsidR="00E44B39">
        <w:t>Aeneid</w:t>
      </w:r>
      <w:r w:rsidR="000F04A6">
        <w:t>’</w:t>
      </w:r>
      <w:r w:rsidR="00E44B39">
        <w:t xml:space="preserve">, </w:t>
      </w:r>
      <w:r w:rsidR="000F04A6">
        <w:t xml:space="preserve">‘The Ecclesiastical History’, and ‘The Ecclesiastical History of the English People.’ </w:t>
      </w:r>
      <w:r w:rsidR="00E44B39">
        <w:t xml:space="preserve"> </w:t>
      </w:r>
      <w:r w:rsidR="00B4409A">
        <w:t xml:space="preserve">There are even parallels with the Old testament books of Exodus and Joshua. </w:t>
      </w:r>
      <w:r w:rsidR="00B4409A">
        <w:rPr>
          <w:rStyle w:val="FootnoteReference"/>
        </w:rPr>
        <w:footnoteReference w:id="4"/>
      </w:r>
      <w:r w:rsidR="00B4409A">
        <w:t xml:space="preserve"> </w:t>
      </w:r>
    </w:p>
    <w:p w14:paraId="2664F44C" w14:textId="77777777" w:rsidR="00BA1C17" w:rsidRDefault="00F12FD1" w:rsidP="008A40A7">
      <w:pPr>
        <w:ind w:firstLine="720"/>
      </w:pPr>
      <w:r>
        <w:t>Th</w:t>
      </w:r>
      <w:r w:rsidR="00873B3C">
        <w:t xml:space="preserve">is excerpt is from chapter ten of Dudo’s work. </w:t>
      </w:r>
      <w:r w:rsidR="006C11F2">
        <w:t xml:space="preserve">This chapters covers the portion of the tale when Rollo and his band travel from </w:t>
      </w:r>
      <w:r w:rsidR="006B2BB3" w:rsidRPr="002010A2">
        <w:t>the River Schelde</w:t>
      </w:r>
      <w:r w:rsidR="006B2BB3">
        <w:t xml:space="preserve"> up the mouth of the Seine in France. </w:t>
      </w:r>
      <w:r w:rsidR="001232AB">
        <w:t xml:space="preserve">Notably, this is a place where Dudo </w:t>
      </w:r>
      <w:proofErr w:type="spellStart"/>
      <w:r w:rsidR="001232AB">
        <w:t>demonstrate’s</w:t>
      </w:r>
      <w:proofErr w:type="spellEnd"/>
      <w:r w:rsidR="001232AB">
        <w:t xml:space="preserve"> his familiarity with Normandy, and the mouth of the Seine as he accurately describes the way that the ocean interacts with the river and its tidal nature. </w:t>
      </w:r>
      <w:r w:rsidR="008A40A7">
        <w:t>Rollo and his band sail up the Seine until they arrive a</w:t>
      </w:r>
      <w:r w:rsidR="00DB23A2">
        <w:t xml:space="preserve">t a </w:t>
      </w:r>
      <w:r w:rsidR="00ED5E58">
        <w:t>monastery</w:t>
      </w:r>
      <w:r w:rsidR="00DB23A2">
        <w:t xml:space="preserve"> and</w:t>
      </w:r>
      <w:r w:rsidR="00ED5E58">
        <w:t xml:space="preserve">, in an attempt to </w:t>
      </w:r>
      <w:r w:rsidR="002637B5">
        <w:t>avoid</w:t>
      </w:r>
      <w:r w:rsidR="00ED5E58">
        <w:t xml:space="preserve"> the monastery, there is a strange episode about a virgin</w:t>
      </w:r>
      <w:r w:rsidR="002637B5">
        <w:t>.</w:t>
      </w:r>
    </w:p>
    <w:p w14:paraId="7571BED8" w14:textId="259A5A46" w:rsidR="00BA1C17" w:rsidRDefault="00BA1C17" w:rsidP="00BA1C17">
      <w:pPr>
        <w:ind w:left="720"/>
      </w:pPr>
      <w:r w:rsidRPr="002010A2">
        <w:t xml:space="preserve">And seeing the monastery of Saint Peter and reckoning the place to be holy and embellished with abodes of monkish habitation, he hesitated to linger there, but steered his ships to the other side of the river, to the chapel of Saint Vedast, and he placed upon the altar of Saint Vedast the body of a certain virgin, </w:t>
      </w:r>
      <w:proofErr w:type="spellStart"/>
      <w:r w:rsidRPr="002010A2">
        <w:t>Hameltrude</w:t>
      </w:r>
      <w:proofErr w:type="spellEnd"/>
      <w:r w:rsidRPr="002010A2">
        <w:t xml:space="preserve"> by name, which he had carried there with him, and a name from the virgin’s name has forever stuck to this chapel. And that place is called at Saint </w:t>
      </w:r>
      <w:proofErr w:type="spellStart"/>
      <w:r w:rsidRPr="002010A2">
        <w:t>Hameltrude</w:t>
      </w:r>
      <w:proofErr w:type="spellEnd"/>
      <w:r w:rsidRPr="002010A2">
        <w:t xml:space="preserve"> by the residents</w:t>
      </w:r>
      <w:r>
        <w:t>.</w:t>
      </w:r>
      <w:r>
        <w:rPr>
          <w:rStyle w:val="FootnoteReference"/>
        </w:rPr>
        <w:footnoteReference w:id="5"/>
      </w:r>
    </w:p>
    <w:p w14:paraId="563F40E8" w14:textId="762C195E" w:rsidR="009A4D6C" w:rsidRDefault="00546838" w:rsidP="00BA1C17">
      <w:r>
        <w:lastRenderedPageBreak/>
        <w:t xml:space="preserve"> </w:t>
      </w:r>
      <w:r w:rsidR="00BA1C17">
        <w:t xml:space="preserve">This excerpt is an excellent example of a theme that runs through out Dudo’s work. </w:t>
      </w:r>
      <w:r w:rsidR="00586BE6">
        <w:t xml:space="preserve">Dudo is writing this to legalize </w:t>
      </w:r>
      <w:r w:rsidR="00BB16D9">
        <w:t xml:space="preserve">his contemporary Norman Dukes, this section is an exemplar of Dudo Christianising </w:t>
      </w:r>
      <w:r w:rsidR="008A54BC">
        <w:t>their pagan founder</w:t>
      </w:r>
      <w:r w:rsidR="00C04125">
        <w:t xml:space="preserve">. This </w:t>
      </w:r>
      <w:r w:rsidR="00694CA9">
        <w:t xml:space="preserve">relatively short excerpt has a few notable elements that allow us to understand the reason for its inclusion. This is especially useful as </w:t>
      </w:r>
      <w:r w:rsidR="009A4D6C">
        <w:t xml:space="preserve">it is such a strange and tangential inclusion. Dudo is </w:t>
      </w:r>
      <w:r w:rsidR="00093926">
        <w:t xml:space="preserve">making sure the reader is aware that unlike other Vikings, who make a practice of raiding monasteries, Rollo and his band left these holy places alone. In the second </w:t>
      </w:r>
      <w:r w:rsidR="00301E37">
        <w:t xml:space="preserve">point he goes to a Christian alter, and presents there the body of a virgin, while it is not specified in what manner he presents her, </w:t>
      </w:r>
      <w:r w:rsidR="00B560BC">
        <w:t xml:space="preserve">we don’t know is she is dead or alive. He does make sure that </w:t>
      </w:r>
      <w:proofErr w:type="spellStart"/>
      <w:r w:rsidR="008C1BB2">
        <w:t>shes</w:t>
      </w:r>
      <w:proofErr w:type="spellEnd"/>
      <w:r w:rsidR="008C1BB2">
        <w:t xml:space="preserve"> is in a Christian chapel. This is a contrasts to what is expected of a pagan. This entire </w:t>
      </w:r>
      <w:r w:rsidR="00B472CC">
        <w:t>work is busy making Rollo look much more like the ‘contemporary’ Norman dukes tha</w:t>
      </w:r>
      <w:r w:rsidR="006D085B">
        <w:t>n</w:t>
      </w:r>
      <w:r w:rsidR="00B472CC">
        <w:t xml:space="preserve"> a pagan </w:t>
      </w:r>
      <w:proofErr w:type="spellStart"/>
      <w:r w:rsidR="00B472CC">
        <w:t>viking</w:t>
      </w:r>
      <w:proofErr w:type="spellEnd"/>
      <w:r w:rsidR="00B472CC">
        <w:t xml:space="preserve"> warlord</w:t>
      </w:r>
      <w:r w:rsidR="006D085B">
        <w:t>.</w:t>
      </w:r>
      <w:r w:rsidR="00E538BB">
        <w:t xml:space="preserve"> This is the key theme that runs through Dudo, while he was very interested in writing a history the goal is to legitimise the Norman dukes. </w:t>
      </w:r>
      <w:r w:rsidR="00E044C2">
        <w:t xml:space="preserve">While it is historically implausible that Rollo was in the habit of safeguarding Christian relics this is a crucial piece of information to understand Dudo’s work. </w:t>
      </w:r>
      <w:r w:rsidR="00183D38">
        <w:t xml:space="preserve">As Hicks says, Dudo is </w:t>
      </w:r>
      <w:r w:rsidR="009B503C">
        <w:t xml:space="preserve">attempting to </w:t>
      </w:r>
    </w:p>
    <w:p w14:paraId="757DCDD8" w14:textId="0BC37108" w:rsidR="00810667" w:rsidRDefault="0098101F" w:rsidP="00BA1C17">
      <w:r>
        <w:tab/>
        <w:t>Dudo uses the</w:t>
      </w:r>
      <w:r w:rsidR="0098624F">
        <w:t xml:space="preserve"> </w:t>
      </w:r>
      <w:r w:rsidR="00B72861">
        <w:t>l</w:t>
      </w:r>
      <w:r w:rsidR="0098624F">
        <w:t>iterary</w:t>
      </w:r>
      <w:r>
        <w:t xml:space="preserve"> Apostrophe</w:t>
      </w:r>
      <w:r w:rsidR="00B72861">
        <w:t xml:space="preserve">, </w:t>
      </w:r>
      <w:r w:rsidR="009E031B">
        <w:t xml:space="preserve">to address Rollo directly, </w:t>
      </w:r>
      <w:r w:rsidR="0000120A">
        <w:t xml:space="preserve">this portion is eye opening </w:t>
      </w:r>
      <w:r w:rsidR="005367A6">
        <w:t xml:space="preserve">for understanding the </w:t>
      </w:r>
      <w:r w:rsidR="0080532D">
        <w:t xml:space="preserve">way the Dudo views Rollo and the founding of the </w:t>
      </w:r>
      <w:r w:rsidR="00BF04AC">
        <w:t xml:space="preserve">Norman dynasty. This </w:t>
      </w:r>
      <w:r w:rsidR="006E454E">
        <w:t xml:space="preserve">section is full of </w:t>
      </w:r>
      <w:r w:rsidR="00677C58">
        <w:t xml:space="preserve">praise for Rollo and his Descendants </w:t>
      </w:r>
      <w:r w:rsidR="00B02947">
        <w:t>he talks about Rollo’s baptism</w:t>
      </w:r>
      <w:r w:rsidR="00810667">
        <w:t xml:space="preserve"> in the future in terms of a leprosy.</w:t>
      </w:r>
    </w:p>
    <w:p w14:paraId="62FC0872" w14:textId="41852024" w:rsidR="00810667" w:rsidRDefault="00810667" w:rsidP="00391AB2">
      <w:pPr>
        <w:spacing w:line="240" w:lineRule="auto"/>
        <w:ind w:left="720"/>
      </w:pPr>
      <w:r w:rsidRPr="002010A2">
        <w:t>Behold the mount of the church where you kept seeing yourself rejoice,</w:t>
      </w:r>
      <w:r>
        <w:t xml:space="preserve"> </w:t>
      </w:r>
      <w:r w:rsidRPr="002010A2">
        <w:t>Behold here th</w:t>
      </w:r>
      <w:r>
        <w:t xml:space="preserve">e </w:t>
      </w:r>
      <w:r w:rsidRPr="002010A2">
        <w:t>font of the bath where you were cleansed of leprosy.</w:t>
      </w:r>
      <w:r>
        <w:t xml:space="preserve"> </w:t>
      </w:r>
      <w:r w:rsidRPr="002010A2">
        <w:t>This fatherland is to be built by your followers, themselves renewed in the font.</w:t>
      </w:r>
      <w:r w:rsidR="004E0516">
        <w:rPr>
          <w:rStyle w:val="FootnoteReference"/>
        </w:rPr>
        <w:footnoteReference w:id="6"/>
      </w:r>
    </w:p>
    <w:p w14:paraId="4A9027DF" w14:textId="77777777" w:rsidR="00C57DB4" w:rsidRDefault="002E041C" w:rsidP="00391AB2">
      <w:pPr>
        <w:spacing w:line="240" w:lineRule="auto"/>
      </w:pPr>
      <w:r>
        <w:t xml:space="preserve">This emphasis a big point </w:t>
      </w:r>
      <w:r w:rsidR="00C55330">
        <w:t xml:space="preserve">for Dudo and </w:t>
      </w:r>
      <w:r w:rsidR="001C4AC0">
        <w:t>Rollo’s successors is that</w:t>
      </w:r>
      <w:r w:rsidR="0052279C">
        <w:t xml:space="preserve"> </w:t>
      </w:r>
      <w:r w:rsidR="00153BBF">
        <w:t xml:space="preserve">Rollo </w:t>
      </w:r>
      <w:r w:rsidR="006E6DDD">
        <w:t xml:space="preserve">took on the Christian faith of </w:t>
      </w:r>
      <w:r w:rsidR="00DD352E">
        <w:t xml:space="preserve">the </w:t>
      </w:r>
      <w:proofErr w:type="spellStart"/>
      <w:r w:rsidR="00FE6A22">
        <w:t>Neustrian’s</w:t>
      </w:r>
      <w:proofErr w:type="spellEnd"/>
      <w:r w:rsidR="00DD352E">
        <w:t xml:space="preserve"> </w:t>
      </w:r>
      <w:proofErr w:type="spellStart"/>
      <w:r w:rsidR="00FE6A22">
        <w:t>whos</w:t>
      </w:r>
      <w:proofErr w:type="spellEnd"/>
      <w:r w:rsidR="00FE6A22">
        <w:t xml:space="preserve"> land he was granted. </w:t>
      </w:r>
      <w:r w:rsidR="002F68CE">
        <w:t>This Apos</w:t>
      </w:r>
      <w:r w:rsidR="00DB79DC">
        <w:t xml:space="preserve">trophe is part of the way they </w:t>
      </w:r>
      <w:r w:rsidR="002B2732">
        <w:t>legitimise</w:t>
      </w:r>
      <w:r w:rsidR="00DB79DC">
        <w:t xml:space="preserve"> </w:t>
      </w:r>
      <w:r w:rsidR="002B2732">
        <w:t xml:space="preserve">Rollo as a ruler, he embraces the faith whole sail. </w:t>
      </w:r>
      <w:r w:rsidR="00FB30CF">
        <w:t xml:space="preserve">He even references </w:t>
      </w:r>
      <w:r w:rsidR="008C2851">
        <w:t xml:space="preserve">the dream that </w:t>
      </w:r>
      <w:proofErr w:type="spellStart"/>
      <w:r w:rsidR="008C2851">
        <w:t>rollo</w:t>
      </w:r>
      <w:proofErr w:type="spellEnd"/>
      <w:r w:rsidR="008C2851">
        <w:t xml:space="preserve"> has that prophetically shows him the location of his new lands.</w:t>
      </w:r>
      <w:r w:rsidR="008C2851">
        <w:rPr>
          <w:rStyle w:val="FootnoteReference"/>
        </w:rPr>
        <w:footnoteReference w:id="7"/>
      </w:r>
      <w:r w:rsidR="008C2851">
        <w:t xml:space="preserve"> This is in the vein of the prophecies of the Aeneid</w:t>
      </w:r>
      <w:r w:rsidR="006A014C">
        <w:t xml:space="preserve">. </w:t>
      </w:r>
      <w:r w:rsidR="00CE1E88">
        <w:t xml:space="preserve"> </w:t>
      </w:r>
    </w:p>
    <w:p w14:paraId="2F233E1E" w14:textId="77777777" w:rsidR="009744A4" w:rsidRDefault="00C57DB4" w:rsidP="00391AB2">
      <w:pPr>
        <w:spacing w:line="240" w:lineRule="auto"/>
      </w:pPr>
      <w:r>
        <w:tab/>
        <w:t>Dudo of St. Quentin’s work on the history of the Normans was setting out to provide a founding legend for the Dukes of Normandy</w:t>
      </w:r>
      <w:r w:rsidR="00514367">
        <w:t xml:space="preserve">. His Christianisation of the pagan </w:t>
      </w:r>
      <w:r w:rsidR="00861CA7">
        <w:t xml:space="preserve">Rollo and his followers and framing the tale as a </w:t>
      </w:r>
      <w:r w:rsidR="00A601EB">
        <w:t>Latin</w:t>
      </w:r>
      <w:r w:rsidR="00861CA7">
        <w:t xml:space="preserve"> legend.</w:t>
      </w:r>
      <w:r w:rsidR="00A601EB">
        <w:t xml:space="preserve"> </w:t>
      </w:r>
      <w:r w:rsidR="00D9203B">
        <w:t xml:space="preserve">This is telling about the political atmosphere that pervaded the era in which Dudo was writing. </w:t>
      </w:r>
      <w:r w:rsidR="00A65B24">
        <w:t xml:space="preserve">This commission </w:t>
      </w:r>
      <w:r w:rsidR="007575F6">
        <w:t xml:space="preserve">by Richard the first, finished under the reign of Richard </w:t>
      </w:r>
      <w:r w:rsidR="00AF1C52">
        <w:t>2</w:t>
      </w:r>
      <w:r w:rsidR="007575F6" w:rsidRPr="00AF1C52">
        <w:rPr>
          <w:vertAlign w:val="superscript"/>
        </w:rPr>
        <w:t>nd</w:t>
      </w:r>
      <w:r w:rsidR="00642347">
        <w:t xml:space="preserve"> was part of the way to </w:t>
      </w:r>
      <w:r w:rsidR="00EC046B">
        <w:t>legitimize</w:t>
      </w:r>
      <w:r w:rsidR="00642347">
        <w:t xml:space="preserve"> the rule of the Norman dukes</w:t>
      </w:r>
      <w:r w:rsidR="00C605FC">
        <w:t>.</w:t>
      </w:r>
      <w:r w:rsidR="0028185E">
        <w:t xml:space="preserve"> And is clearly </w:t>
      </w:r>
      <w:r w:rsidR="001D68F3">
        <w:t xml:space="preserve">very highly influenced by the political situation of their era. </w:t>
      </w:r>
    </w:p>
    <w:p w14:paraId="4D9E82D5" w14:textId="77777777" w:rsidR="009744A4" w:rsidRDefault="009744A4" w:rsidP="00391AB2">
      <w:pPr>
        <w:spacing w:line="240" w:lineRule="auto"/>
      </w:pPr>
    </w:p>
    <w:p w14:paraId="13A0690E" w14:textId="77777777" w:rsidR="009744A4" w:rsidRDefault="009744A4" w:rsidP="00391AB2">
      <w:pPr>
        <w:spacing w:line="240" w:lineRule="auto"/>
      </w:pPr>
    </w:p>
    <w:p w14:paraId="51081E8D" w14:textId="77777777" w:rsidR="009744A4" w:rsidRDefault="009744A4" w:rsidP="00391AB2">
      <w:pPr>
        <w:spacing w:line="240" w:lineRule="auto"/>
      </w:pPr>
    </w:p>
    <w:p w14:paraId="0145F374" w14:textId="77777777" w:rsidR="009744A4" w:rsidRDefault="009744A4" w:rsidP="00391AB2">
      <w:pPr>
        <w:spacing w:line="240" w:lineRule="auto"/>
      </w:pPr>
    </w:p>
    <w:p w14:paraId="5E40A289" w14:textId="77777777" w:rsidR="009744A4" w:rsidRDefault="009744A4" w:rsidP="00391AB2">
      <w:pPr>
        <w:spacing w:line="240" w:lineRule="auto"/>
      </w:pPr>
    </w:p>
    <w:p w14:paraId="0228D428" w14:textId="77777777" w:rsidR="009744A4" w:rsidRDefault="009744A4" w:rsidP="00391AB2">
      <w:pPr>
        <w:spacing w:line="240" w:lineRule="auto"/>
      </w:pPr>
    </w:p>
    <w:p w14:paraId="3A043A55" w14:textId="77777777" w:rsidR="009744A4" w:rsidRDefault="009744A4" w:rsidP="00391AB2">
      <w:pPr>
        <w:spacing w:line="240" w:lineRule="auto"/>
      </w:pPr>
    </w:p>
    <w:p w14:paraId="311DB50D" w14:textId="77777777" w:rsidR="009744A4" w:rsidRDefault="009744A4" w:rsidP="00391AB2">
      <w:pPr>
        <w:spacing w:line="240" w:lineRule="auto"/>
      </w:pPr>
    </w:p>
    <w:p w14:paraId="2C3199D0" w14:textId="77777777" w:rsidR="009744A4" w:rsidRDefault="009744A4" w:rsidP="00391AB2">
      <w:pPr>
        <w:spacing w:line="240" w:lineRule="auto"/>
      </w:pPr>
    </w:p>
    <w:p w14:paraId="19137A46" w14:textId="77777777" w:rsidR="009744A4" w:rsidRDefault="009744A4" w:rsidP="00391AB2">
      <w:pPr>
        <w:spacing w:line="240" w:lineRule="auto"/>
      </w:pPr>
    </w:p>
    <w:p w14:paraId="775591A0" w14:textId="3468AC69" w:rsidR="009744A4" w:rsidRDefault="009744A4" w:rsidP="009744A4">
      <w:pPr>
        <w:spacing w:line="240" w:lineRule="auto"/>
      </w:pPr>
      <w:r>
        <w:t>Bibliography</w:t>
      </w:r>
    </w:p>
    <w:p w14:paraId="370B4FDD" w14:textId="36A87321" w:rsidR="009744A4" w:rsidRPr="009744A4" w:rsidRDefault="009744A4" w:rsidP="009744A4">
      <w:pPr>
        <w:spacing w:line="240" w:lineRule="auto"/>
      </w:pPr>
      <w:r w:rsidRPr="009744A4">
        <w:t xml:space="preserve">Allmand, C. (1999). Shorter notice. </w:t>
      </w:r>
      <w:r w:rsidRPr="009744A4">
        <w:rPr>
          <w:i/>
          <w:iCs/>
        </w:rPr>
        <w:t>Dudo of St Quentin: History of the Normans.</w:t>
      </w:r>
      <w:r w:rsidRPr="009744A4">
        <w:t xml:space="preserve"> E Christiansen. </w:t>
      </w:r>
      <w:r w:rsidRPr="009744A4">
        <w:rPr>
          <w:i/>
          <w:iCs/>
        </w:rPr>
        <w:t>The English Historical Review, 114</w:t>
      </w:r>
      <w:r w:rsidRPr="009744A4">
        <w:t xml:space="preserve">(459), 1284–1285. </w:t>
      </w:r>
      <w:hyperlink r:id="rId6" w:tgtFrame="_new" w:history="1">
        <w:r w:rsidRPr="009744A4">
          <w:rPr>
            <w:rStyle w:val="Hyperlink"/>
          </w:rPr>
          <w:t>https://doi.org/10.1093/ehr/114.459.1284</w:t>
        </w:r>
      </w:hyperlink>
    </w:p>
    <w:p w14:paraId="4803AC19" w14:textId="77777777" w:rsidR="009744A4" w:rsidRPr="009744A4" w:rsidRDefault="009744A4" w:rsidP="009744A4">
      <w:pPr>
        <w:spacing w:line="240" w:lineRule="auto"/>
      </w:pPr>
      <w:r w:rsidRPr="009744A4">
        <w:t xml:space="preserve">Dudo, &amp; Christiansen, E. (1998). </w:t>
      </w:r>
      <w:r w:rsidRPr="009744A4">
        <w:rPr>
          <w:i/>
          <w:iCs/>
        </w:rPr>
        <w:t>History of the Normans.</w:t>
      </w:r>
      <w:r w:rsidRPr="009744A4">
        <w:t xml:space="preserve"> Boydell Press.</w:t>
      </w:r>
    </w:p>
    <w:p w14:paraId="4FEE1A9D" w14:textId="77777777" w:rsidR="009744A4" w:rsidRPr="009744A4" w:rsidRDefault="009744A4" w:rsidP="009744A4">
      <w:pPr>
        <w:spacing w:line="240" w:lineRule="auto"/>
      </w:pPr>
      <w:r w:rsidRPr="009744A4">
        <w:t xml:space="preserve">Green, J. A. (2017). </w:t>
      </w:r>
      <w:r w:rsidRPr="009744A4">
        <w:rPr>
          <w:i/>
          <w:iCs/>
        </w:rPr>
        <w:t xml:space="preserve">Dudo of Saint-Quentin’s Historia </w:t>
      </w:r>
      <w:proofErr w:type="spellStart"/>
      <w:r w:rsidRPr="009744A4">
        <w:rPr>
          <w:i/>
          <w:iCs/>
        </w:rPr>
        <w:t>Normannorum</w:t>
      </w:r>
      <w:proofErr w:type="spellEnd"/>
      <w:r w:rsidRPr="009744A4">
        <w:rPr>
          <w:i/>
          <w:iCs/>
        </w:rPr>
        <w:t>: Tradition, Innovation and Memory,</w:t>
      </w:r>
      <w:r w:rsidRPr="009744A4">
        <w:t xml:space="preserve"> by Benjamin Pohl. </w:t>
      </w:r>
      <w:r w:rsidRPr="009744A4">
        <w:rPr>
          <w:i/>
          <w:iCs/>
        </w:rPr>
        <w:t>The English Historical Review, 132</w:t>
      </w:r>
      <w:r w:rsidRPr="009744A4">
        <w:t xml:space="preserve">(554), 101–102. </w:t>
      </w:r>
      <w:hyperlink r:id="rId7" w:tgtFrame="_new" w:history="1">
        <w:r w:rsidRPr="009744A4">
          <w:rPr>
            <w:rStyle w:val="Hyperlink"/>
          </w:rPr>
          <w:t>https://doi.org/10.1093/ehr/cew389</w:t>
        </w:r>
      </w:hyperlink>
    </w:p>
    <w:p w14:paraId="7C7FE993" w14:textId="77777777" w:rsidR="009744A4" w:rsidRPr="009744A4" w:rsidRDefault="009744A4" w:rsidP="009744A4">
      <w:pPr>
        <w:spacing w:line="240" w:lineRule="auto"/>
      </w:pPr>
      <w:r w:rsidRPr="009744A4">
        <w:t xml:space="preserve">Hicks, Leonie V. (2019). </w:t>
      </w:r>
      <w:r w:rsidRPr="009744A4">
        <w:rPr>
          <w:i/>
          <w:iCs/>
        </w:rPr>
        <w:t>A Short History of the Normans.</w:t>
      </w:r>
      <w:r w:rsidRPr="009744A4">
        <w:t xml:space="preserve"> London: Bloomsbury Academic.</w:t>
      </w:r>
    </w:p>
    <w:p w14:paraId="5230A5DC" w14:textId="77777777" w:rsidR="009744A4" w:rsidRPr="009744A4" w:rsidRDefault="009744A4" w:rsidP="009744A4">
      <w:pPr>
        <w:spacing w:line="240" w:lineRule="auto"/>
      </w:pPr>
      <w:r w:rsidRPr="009744A4">
        <w:t xml:space="preserve">Lindsay, Jack. (1973). </w:t>
      </w:r>
      <w:r w:rsidRPr="009744A4">
        <w:rPr>
          <w:i/>
          <w:iCs/>
        </w:rPr>
        <w:t>The Normans and Their World.</w:t>
      </w:r>
      <w:r w:rsidRPr="009744A4">
        <w:t xml:space="preserve"> Grafton Books.</w:t>
      </w:r>
    </w:p>
    <w:p w14:paraId="2F57D3B2" w14:textId="77777777" w:rsidR="009744A4" w:rsidRPr="009744A4" w:rsidRDefault="009744A4" w:rsidP="009744A4">
      <w:pPr>
        <w:spacing w:line="240" w:lineRule="auto"/>
        <w:rPr>
          <w:lang w:val="it-IT"/>
        </w:rPr>
      </w:pPr>
      <w:r w:rsidRPr="009744A4">
        <w:t xml:space="preserve">Mortensen, L. B. (1995). Stylistic choice in a reborn genre. The national histories of Widukind of Corvey and Dudo of St. Quentin. </w:t>
      </w:r>
      <w:r w:rsidRPr="009744A4">
        <w:rPr>
          <w:i/>
          <w:iCs/>
          <w:lang w:val="it-IT"/>
        </w:rPr>
        <w:t xml:space="preserve">Dipartimento di scienze filologiche e storiche, </w:t>
      </w:r>
      <w:proofErr w:type="spellStart"/>
      <w:r w:rsidRPr="009744A4">
        <w:rPr>
          <w:i/>
          <w:iCs/>
          <w:lang w:val="it-IT"/>
        </w:rPr>
        <w:t>Universita</w:t>
      </w:r>
      <w:proofErr w:type="spellEnd"/>
      <w:r w:rsidRPr="009744A4">
        <w:rPr>
          <w:i/>
          <w:iCs/>
          <w:lang w:val="it-IT"/>
        </w:rPr>
        <w:t>̀ degli studi di Trento.</w:t>
      </w:r>
    </w:p>
    <w:p w14:paraId="57612748" w14:textId="77777777" w:rsidR="009744A4" w:rsidRPr="009744A4" w:rsidRDefault="009744A4" w:rsidP="009744A4">
      <w:pPr>
        <w:spacing w:line="240" w:lineRule="auto"/>
        <w:rPr>
          <w:lang w:val="fr-FR"/>
        </w:rPr>
      </w:pPr>
      <w:r w:rsidRPr="009744A4">
        <w:t xml:space="preserve">Pohl, B. (2016). Poetry, punctuation and performance: Was there an aural context for Dudo of Saint-Quentin’s </w:t>
      </w:r>
      <w:r w:rsidRPr="009744A4">
        <w:rPr>
          <w:i/>
          <w:iCs/>
        </w:rPr>
        <w:t xml:space="preserve">Historia </w:t>
      </w:r>
      <w:proofErr w:type="spellStart"/>
      <w:r w:rsidRPr="009744A4">
        <w:rPr>
          <w:i/>
          <w:iCs/>
        </w:rPr>
        <w:t>Normannorum</w:t>
      </w:r>
      <w:proofErr w:type="spellEnd"/>
      <w:r w:rsidRPr="009744A4">
        <w:rPr>
          <w:i/>
          <w:iCs/>
        </w:rPr>
        <w:t>?</w:t>
      </w:r>
      <w:r w:rsidRPr="009744A4">
        <w:t xml:space="preserve"> </w:t>
      </w:r>
      <w:proofErr w:type="spellStart"/>
      <w:r w:rsidRPr="009744A4">
        <w:rPr>
          <w:i/>
          <w:iCs/>
          <w:lang w:val="fr-FR"/>
        </w:rPr>
        <w:t>Tabularia</w:t>
      </w:r>
      <w:proofErr w:type="spellEnd"/>
      <w:r w:rsidRPr="009744A4">
        <w:rPr>
          <w:i/>
          <w:iCs/>
          <w:lang w:val="fr-FR"/>
        </w:rPr>
        <w:t xml:space="preserve"> (Caen).</w:t>
      </w:r>
      <w:r w:rsidRPr="009744A4">
        <w:rPr>
          <w:lang w:val="fr-FR"/>
        </w:rPr>
        <w:t xml:space="preserve"> </w:t>
      </w:r>
      <w:hyperlink r:id="rId8" w:tgtFrame="_new" w:history="1">
        <w:r w:rsidRPr="009744A4">
          <w:rPr>
            <w:rStyle w:val="Hyperlink"/>
            <w:lang w:val="fr-FR"/>
          </w:rPr>
          <w:t>https://doi.org/10.4000/tabularia.2781</w:t>
        </w:r>
      </w:hyperlink>
    </w:p>
    <w:p w14:paraId="452CEA45" w14:textId="77777777" w:rsidR="009744A4" w:rsidRPr="009744A4" w:rsidRDefault="009744A4" w:rsidP="009744A4">
      <w:pPr>
        <w:spacing w:line="240" w:lineRule="auto"/>
      </w:pPr>
      <w:r w:rsidRPr="009744A4">
        <w:rPr>
          <w:lang w:val="fr-FR"/>
        </w:rPr>
        <w:t xml:space="preserve">Rivière, F. (2015). </w:t>
      </w:r>
      <w:proofErr w:type="spellStart"/>
      <w:r w:rsidRPr="009744A4">
        <w:rPr>
          <w:lang w:val="fr-FR"/>
        </w:rPr>
        <w:t>Leonie</w:t>
      </w:r>
      <w:proofErr w:type="spellEnd"/>
      <w:r w:rsidRPr="009744A4">
        <w:rPr>
          <w:lang w:val="fr-FR"/>
        </w:rPr>
        <w:t xml:space="preserve"> V. Hicks et </w:t>
      </w:r>
      <w:proofErr w:type="spellStart"/>
      <w:r w:rsidRPr="009744A4">
        <w:rPr>
          <w:lang w:val="fr-FR"/>
        </w:rPr>
        <w:t>Elma</w:t>
      </w:r>
      <w:proofErr w:type="spellEnd"/>
      <w:r w:rsidRPr="009744A4">
        <w:rPr>
          <w:lang w:val="fr-FR"/>
        </w:rPr>
        <w:t xml:space="preserve"> Brenner (éd.) </w:t>
      </w:r>
      <w:r w:rsidRPr="009744A4">
        <w:rPr>
          <w:i/>
          <w:iCs/>
        </w:rPr>
        <w:t>Society and Culture in Medieval Rouen, 911-1300.</w:t>
      </w:r>
      <w:r w:rsidRPr="009744A4">
        <w:t xml:space="preserve"> </w:t>
      </w:r>
      <w:r w:rsidRPr="009744A4">
        <w:rPr>
          <w:lang w:val="fr-FR"/>
        </w:rPr>
        <w:t xml:space="preserve">Turnhout, </w:t>
      </w:r>
      <w:proofErr w:type="spellStart"/>
      <w:r w:rsidRPr="009744A4">
        <w:rPr>
          <w:lang w:val="fr-FR"/>
        </w:rPr>
        <w:t>Brepols</w:t>
      </w:r>
      <w:proofErr w:type="spellEnd"/>
      <w:r w:rsidRPr="009744A4">
        <w:rPr>
          <w:lang w:val="fr-FR"/>
        </w:rPr>
        <w:t xml:space="preserve">, 2013, XIV-400 p. </w:t>
      </w:r>
      <w:r w:rsidRPr="009744A4">
        <w:rPr>
          <w:i/>
          <w:iCs/>
          <w:lang w:val="fr-FR"/>
        </w:rPr>
        <w:t xml:space="preserve">Annales: histoire, sciences sociales (French </w:t>
      </w:r>
      <w:proofErr w:type="spellStart"/>
      <w:r w:rsidRPr="009744A4">
        <w:rPr>
          <w:i/>
          <w:iCs/>
          <w:lang w:val="fr-FR"/>
        </w:rPr>
        <w:t>ed</w:t>
      </w:r>
      <w:proofErr w:type="spellEnd"/>
      <w:r w:rsidRPr="009744A4">
        <w:rPr>
          <w:i/>
          <w:iCs/>
          <w:lang w:val="fr-FR"/>
        </w:rPr>
        <w:t>.), 70</w:t>
      </w:r>
      <w:r w:rsidRPr="009744A4">
        <w:rPr>
          <w:lang w:val="fr-FR"/>
        </w:rPr>
        <w:t xml:space="preserve">(4), 1004–1006. </w:t>
      </w:r>
      <w:hyperlink r:id="rId9" w:tgtFrame="_new" w:history="1">
        <w:r w:rsidRPr="009744A4">
          <w:rPr>
            <w:rStyle w:val="Hyperlink"/>
          </w:rPr>
          <w:t>https://doi.org/10.1353/ahs.2015.0169</w:t>
        </w:r>
      </w:hyperlink>
    </w:p>
    <w:p w14:paraId="7234E64A" w14:textId="77777777" w:rsidR="009744A4" w:rsidRPr="009744A4" w:rsidRDefault="009744A4" w:rsidP="009744A4">
      <w:pPr>
        <w:spacing w:line="240" w:lineRule="auto"/>
      </w:pPr>
      <w:proofErr w:type="spellStart"/>
      <w:r w:rsidRPr="009744A4">
        <w:t>Shopkow</w:t>
      </w:r>
      <w:proofErr w:type="spellEnd"/>
      <w:r w:rsidRPr="009744A4">
        <w:t xml:space="preserve">, Leah. (1997). </w:t>
      </w:r>
      <w:r w:rsidRPr="009744A4">
        <w:rPr>
          <w:i/>
          <w:iCs/>
        </w:rPr>
        <w:t>History &amp; Community: Norman Historical Writing in the Eleventh and Twelfth Centuries.</w:t>
      </w:r>
      <w:r w:rsidRPr="009744A4">
        <w:t xml:space="preserve"> Washington D.C.: The Catholic University of America Press.</w:t>
      </w:r>
    </w:p>
    <w:p w14:paraId="3FC8F371" w14:textId="61807B9F" w:rsidR="00391AB2" w:rsidRPr="00546838" w:rsidRDefault="00861CA7" w:rsidP="00391AB2">
      <w:pPr>
        <w:spacing w:line="240" w:lineRule="auto"/>
      </w:pPr>
      <w:r>
        <w:t xml:space="preserve"> </w:t>
      </w:r>
    </w:p>
    <w:sectPr w:rsidR="00391AB2" w:rsidRPr="005468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0B6F5F" w14:textId="77777777" w:rsidR="00850141" w:rsidRDefault="00850141" w:rsidP="00850141">
      <w:pPr>
        <w:spacing w:after="0" w:line="240" w:lineRule="auto"/>
      </w:pPr>
      <w:r>
        <w:separator/>
      </w:r>
    </w:p>
  </w:endnote>
  <w:endnote w:type="continuationSeparator" w:id="0">
    <w:p w14:paraId="592FD226" w14:textId="77777777" w:rsidR="00850141" w:rsidRDefault="00850141" w:rsidP="00850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44351F" w14:textId="77777777" w:rsidR="00850141" w:rsidRDefault="00850141" w:rsidP="00850141">
      <w:pPr>
        <w:spacing w:after="0" w:line="240" w:lineRule="auto"/>
      </w:pPr>
      <w:r>
        <w:separator/>
      </w:r>
    </w:p>
  </w:footnote>
  <w:footnote w:type="continuationSeparator" w:id="0">
    <w:p w14:paraId="1357E2B6" w14:textId="77777777" w:rsidR="00850141" w:rsidRDefault="00850141" w:rsidP="00850141">
      <w:pPr>
        <w:spacing w:after="0" w:line="240" w:lineRule="auto"/>
      </w:pPr>
      <w:r>
        <w:continuationSeparator/>
      </w:r>
    </w:p>
  </w:footnote>
  <w:footnote w:id="1">
    <w:p w14:paraId="125A8518" w14:textId="05B2C143" w:rsidR="00850141" w:rsidRDefault="00850141" w:rsidP="00592809">
      <w:pPr>
        <w:spacing w:line="240" w:lineRule="auto"/>
      </w:pPr>
      <w:r>
        <w:rPr>
          <w:rStyle w:val="FootnoteReference"/>
        </w:rPr>
        <w:footnoteRef/>
      </w:r>
      <w:r>
        <w:t xml:space="preserve"> </w:t>
      </w:r>
      <w:r w:rsidR="00592809" w:rsidRPr="009744A4">
        <w:t xml:space="preserve">Dudo, &amp; Christiansen, E. (1998). </w:t>
      </w:r>
      <w:r w:rsidR="00592809" w:rsidRPr="009744A4">
        <w:rPr>
          <w:i/>
          <w:iCs/>
        </w:rPr>
        <w:t>History of the Normans.</w:t>
      </w:r>
      <w:r w:rsidR="00592809" w:rsidRPr="009744A4">
        <w:t xml:space="preserve"> Boydell Press</w:t>
      </w:r>
      <w:r w:rsidR="00592809">
        <w:t xml:space="preserve">. </w:t>
      </w:r>
      <w:r>
        <w:t xml:space="preserve">p. </w:t>
      </w:r>
      <w:r w:rsidR="00920C73">
        <w:t>ix</w:t>
      </w:r>
    </w:p>
  </w:footnote>
  <w:footnote w:id="2">
    <w:p w14:paraId="0D123DE8" w14:textId="590EFD7B" w:rsidR="00BC1EFC" w:rsidRDefault="00BC1EFC" w:rsidP="00F227CC">
      <w:pPr>
        <w:spacing w:line="240" w:lineRule="auto"/>
      </w:pPr>
      <w:r>
        <w:rPr>
          <w:rStyle w:val="FootnoteReference"/>
        </w:rPr>
        <w:footnoteRef/>
      </w:r>
      <w:r>
        <w:t xml:space="preserve"> </w:t>
      </w:r>
      <w:r w:rsidR="00F227CC" w:rsidRPr="009744A4">
        <w:t>Leonie V.</w:t>
      </w:r>
      <w:r w:rsidR="00F227CC">
        <w:t xml:space="preserve"> </w:t>
      </w:r>
      <w:r w:rsidR="00F227CC" w:rsidRPr="009744A4">
        <w:t xml:space="preserve">Hicks (2019). </w:t>
      </w:r>
      <w:r w:rsidR="00F227CC" w:rsidRPr="009744A4">
        <w:rPr>
          <w:i/>
          <w:iCs/>
        </w:rPr>
        <w:t>A Short History of the Normans.</w:t>
      </w:r>
      <w:r w:rsidR="00F227CC" w:rsidRPr="009744A4">
        <w:t xml:space="preserve"> London: Bloomsbury Academic.</w:t>
      </w:r>
      <w:r w:rsidR="003F7781">
        <w:t xml:space="preserve"> p.35</w:t>
      </w:r>
    </w:p>
  </w:footnote>
  <w:footnote w:id="3">
    <w:p w14:paraId="7047D584" w14:textId="068CDD09" w:rsidR="006D22D6" w:rsidRDefault="006D22D6">
      <w:pPr>
        <w:pStyle w:val="FootnoteText"/>
      </w:pPr>
      <w:r>
        <w:rPr>
          <w:rStyle w:val="FootnoteReference"/>
        </w:rPr>
        <w:footnoteRef/>
      </w:r>
      <w:r>
        <w:t xml:space="preserve"> </w:t>
      </w:r>
      <w:r w:rsidR="003F7781" w:rsidRPr="009744A4">
        <w:t xml:space="preserve">Hicks (2019). </w:t>
      </w:r>
      <w:r w:rsidR="003F7781" w:rsidRPr="009744A4">
        <w:rPr>
          <w:i/>
          <w:iCs/>
        </w:rPr>
        <w:t>A Short History of the Normans.</w:t>
      </w:r>
      <w:r w:rsidR="003F7781">
        <w:rPr>
          <w:i/>
          <w:iCs/>
        </w:rPr>
        <w:t xml:space="preserve"> p.35</w:t>
      </w:r>
    </w:p>
  </w:footnote>
  <w:footnote w:id="4">
    <w:p w14:paraId="43AD7040" w14:textId="0634EBB9" w:rsidR="00B4409A" w:rsidRDefault="00B4409A" w:rsidP="00BE2557">
      <w:pPr>
        <w:spacing w:line="240" w:lineRule="auto"/>
      </w:pPr>
      <w:r>
        <w:rPr>
          <w:rStyle w:val="FootnoteReference"/>
        </w:rPr>
        <w:footnoteRef/>
      </w:r>
      <w:r>
        <w:t xml:space="preserve"> </w:t>
      </w:r>
      <w:r w:rsidR="00BE2557" w:rsidRPr="009744A4">
        <w:t>Leah</w:t>
      </w:r>
      <w:r w:rsidR="00BE2557">
        <w:t xml:space="preserve"> </w:t>
      </w:r>
      <w:proofErr w:type="spellStart"/>
      <w:r w:rsidR="00BE2557" w:rsidRPr="009744A4">
        <w:t>Shopkow</w:t>
      </w:r>
      <w:proofErr w:type="spellEnd"/>
      <w:r w:rsidR="00BE2557">
        <w:t>.</w:t>
      </w:r>
      <w:r w:rsidR="00BE2557" w:rsidRPr="009744A4">
        <w:t xml:space="preserve"> (1997). </w:t>
      </w:r>
      <w:r w:rsidR="00BE2557" w:rsidRPr="009744A4">
        <w:rPr>
          <w:i/>
          <w:iCs/>
        </w:rPr>
        <w:t>History &amp; Community: Norman Historical Writing in the Eleventh and Twelfth Centuries.</w:t>
      </w:r>
      <w:r w:rsidR="00BE2557" w:rsidRPr="009744A4">
        <w:t xml:space="preserve"> Washington D.C.: The Catholic University of America Press.</w:t>
      </w:r>
      <w:r w:rsidR="00BE2557">
        <w:t xml:space="preserve"> P.68</w:t>
      </w:r>
    </w:p>
  </w:footnote>
  <w:footnote w:id="5">
    <w:p w14:paraId="2D85E501" w14:textId="188C41C2" w:rsidR="00BA1C17" w:rsidRDefault="00BA1C17">
      <w:pPr>
        <w:pStyle w:val="FootnoteText"/>
      </w:pPr>
      <w:r>
        <w:rPr>
          <w:rStyle w:val="FootnoteReference"/>
        </w:rPr>
        <w:footnoteRef/>
      </w:r>
      <w:r w:rsidR="00C02F01">
        <w:t xml:space="preserve"> </w:t>
      </w:r>
      <w:r w:rsidR="00C02F01" w:rsidRPr="009744A4">
        <w:t xml:space="preserve">Dudo, </w:t>
      </w:r>
      <w:r w:rsidR="00C02F01" w:rsidRPr="009744A4">
        <w:rPr>
          <w:i/>
          <w:iCs/>
        </w:rPr>
        <w:t>History of the Normans.</w:t>
      </w:r>
      <w:r w:rsidR="00C02F01" w:rsidRPr="009744A4">
        <w:t xml:space="preserve"> Boydell Press</w:t>
      </w:r>
      <w:r w:rsidR="00C02F01">
        <w:t xml:space="preserve">. </w:t>
      </w:r>
    </w:p>
  </w:footnote>
  <w:footnote w:id="6">
    <w:p w14:paraId="08E1E7C7" w14:textId="109ED3C6" w:rsidR="004E0516" w:rsidRDefault="004E0516">
      <w:pPr>
        <w:pStyle w:val="FootnoteText"/>
      </w:pPr>
      <w:r>
        <w:rPr>
          <w:rStyle w:val="FootnoteReference"/>
        </w:rPr>
        <w:footnoteRef/>
      </w:r>
      <w:r>
        <w:t xml:space="preserve"> </w:t>
      </w:r>
      <w:r w:rsidR="00E95673" w:rsidRPr="009744A4">
        <w:t xml:space="preserve">Dudo, &amp; Christiansen, E. (1998). </w:t>
      </w:r>
      <w:r w:rsidR="00E95673" w:rsidRPr="009744A4">
        <w:rPr>
          <w:i/>
          <w:iCs/>
        </w:rPr>
        <w:t>History of the Normans.</w:t>
      </w:r>
      <w:r w:rsidR="00E95673" w:rsidRPr="009744A4">
        <w:t xml:space="preserve"> Boydell Press</w:t>
      </w:r>
      <w:r w:rsidR="00E95673">
        <w:t>. p. ix</w:t>
      </w:r>
    </w:p>
  </w:footnote>
  <w:footnote w:id="7">
    <w:p w14:paraId="740A2B42" w14:textId="17C2062C" w:rsidR="008C2851" w:rsidRDefault="008C2851" w:rsidP="00C676AF">
      <w:pPr>
        <w:spacing w:line="240" w:lineRule="auto"/>
      </w:pPr>
      <w:r>
        <w:rPr>
          <w:rStyle w:val="FootnoteReference"/>
        </w:rPr>
        <w:footnoteRef/>
      </w:r>
      <w:r>
        <w:t xml:space="preserve"> </w:t>
      </w:r>
      <w:r w:rsidR="00C676AF" w:rsidRPr="009744A4">
        <w:t xml:space="preserve">Hicks, Leonie V. (2019). </w:t>
      </w:r>
      <w:r w:rsidR="00C676AF" w:rsidRPr="009744A4">
        <w:rPr>
          <w:i/>
          <w:iCs/>
        </w:rPr>
        <w:t>A Short History of the Normans.</w:t>
      </w:r>
      <w:r w:rsidR="00C676AF" w:rsidRPr="009744A4">
        <w:t xml:space="preserve"> London: Bloomsbury Academic.</w:t>
      </w:r>
      <w:r w:rsidR="00C676AF">
        <w:t xml:space="preserve"> p.</w:t>
      </w:r>
      <w:r w:rsidR="00D6222C">
        <w:t>30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108"/>
    <w:rsid w:val="0000120A"/>
    <w:rsid w:val="0007181E"/>
    <w:rsid w:val="00073071"/>
    <w:rsid w:val="00093926"/>
    <w:rsid w:val="000B26C9"/>
    <w:rsid w:val="000F04A6"/>
    <w:rsid w:val="001232AB"/>
    <w:rsid w:val="00153BBF"/>
    <w:rsid w:val="00183D38"/>
    <w:rsid w:val="001A77C8"/>
    <w:rsid w:val="001C4AC0"/>
    <w:rsid w:val="001D0108"/>
    <w:rsid w:val="001D68F3"/>
    <w:rsid w:val="002359DB"/>
    <w:rsid w:val="002637B5"/>
    <w:rsid w:val="0028185E"/>
    <w:rsid w:val="002B2732"/>
    <w:rsid w:val="002E041C"/>
    <w:rsid w:val="002F5FF8"/>
    <w:rsid w:val="002F68CE"/>
    <w:rsid w:val="00301E37"/>
    <w:rsid w:val="00391AB2"/>
    <w:rsid w:val="003D2934"/>
    <w:rsid w:val="003F7781"/>
    <w:rsid w:val="00414DA9"/>
    <w:rsid w:val="004840B9"/>
    <w:rsid w:val="004E0516"/>
    <w:rsid w:val="004F6818"/>
    <w:rsid w:val="004F7944"/>
    <w:rsid w:val="00514367"/>
    <w:rsid w:val="0052279C"/>
    <w:rsid w:val="005367A6"/>
    <w:rsid w:val="00546838"/>
    <w:rsid w:val="00586BE6"/>
    <w:rsid w:val="00592809"/>
    <w:rsid w:val="005D7887"/>
    <w:rsid w:val="0062719D"/>
    <w:rsid w:val="00627C82"/>
    <w:rsid w:val="00642347"/>
    <w:rsid w:val="00647FE4"/>
    <w:rsid w:val="00677C58"/>
    <w:rsid w:val="00694CA9"/>
    <w:rsid w:val="006A014C"/>
    <w:rsid w:val="006B2BB3"/>
    <w:rsid w:val="006B53C0"/>
    <w:rsid w:val="006C11F2"/>
    <w:rsid w:val="006C2DC7"/>
    <w:rsid w:val="006D085B"/>
    <w:rsid w:val="006D22D6"/>
    <w:rsid w:val="006E454E"/>
    <w:rsid w:val="006E6DDD"/>
    <w:rsid w:val="006F0EED"/>
    <w:rsid w:val="00735B32"/>
    <w:rsid w:val="007455E5"/>
    <w:rsid w:val="007575F6"/>
    <w:rsid w:val="00797FAE"/>
    <w:rsid w:val="007B2ED4"/>
    <w:rsid w:val="007F7B78"/>
    <w:rsid w:val="00801865"/>
    <w:rsid w:val="0080532D"/>
    <w:rsid w:val="00810667"/>
    <w:rsid w:val="00833025"/>
    <w:rsid w:val="00847615"/>
    <w:rsid w:val="00850141"/>
    <w:rsid w:val="0085466E"/>
    <w:rsid w:val="00861CA7"/>
    <w:rsid w:val="00865337"/>
    <w:rsid w:val="00873B3C"/>
    <w:rsid w:val="008A40A7"/>
    <w:rsid w:val="008A54BC"/>
    <w:rsid w:val="008C1BB2"/>
    <w:rsid w:val="008C2851"/>
    <w:rsid w:val="00920C73"/>
    <w:rsid w:val="00930883"/>
    <w:rsid w:val="00944494"/>
    <w:rsid w:val="009622A0"/>
    <w:rsid w:val="009744A4"/>
    <w:rsid w:val="0098101F"/>
    <w:rsid w:val="0098624F"/>
    <w:rsid w:val="00996CAA"/>
    <w:rsid w:val="009A4D6C"/>
    <w:rsid w:val="009B503C"/>
    <w:rsid w:val="009E031B"/>
    <w:rsid w:val="00A25E97"/>
    <w:rsid w:val="00A4484F"/>
    <w:rsid w:val="00A601EB"/>
    <w:rsid w:val="00A65B24"/>
    <w:rsid w:val="00AD68BA"/>
    <w:rsid w:val="00AF1C52"/>
    <w:rsid w:val="00B02947"/>
    <w:rsid w:val="00B4409A"/>
    <w:rsid w:val="00B472CC"/>
    <w:rsid w:val="00B560BC"/>
    <w:rsid w:val="00B71165"/>
    <w:rsid w:val="00B72861"/>
    <w:rsid w:val="00BA1C17"/>
    <w:rsid w:val="00BB16D9"/>
    <w:rsid w:val="00BC1EFC"/>
    <w:rsid w:val="00BD5409"/>
    <w:rsid w:val="00BE2557"/>
    <w:rsid w:val="00BF04AC"/>
    <w:rsid w:val="00C02F01"/>
    <w:rsid w:val="00C04125"/>
    <w:rsid w:val="00C3481E"/>
    <w:rsid w:val="00C407B5"/>
    <w:rsid w:val="00C46CFD"/>
    <w:rsid w:val="00C55330"/>
    <w:rsid w:val="00C57DB4"/>
    <w:rsid w:val="00C605FC"/>
    <w:rsid w:val="00C676AF"/>
    <w:rsid w:val="00CA5893"/>
    <w:rsid w:val="00CD5B72"/>
    <w:rsid w:val="00CE1E88"/>
    <w:rsid w:val="00D23E1F"/>
    <w:rsid w:val="00D3029D"/>
    <w:rsid w:val="00D6222C"/>
    <w:rsid w:val="00D9203B"/>
    <w:rsid w:val="00DA7BFD"/>
    <w:rsid w:val="00DB23A2"/>
    <w:rsid w:val="00DB79DC"/>
    <w:rsid w:val="00DD352E"/>
    <w:rsid w:val="00DD3739"/>
    <w:rsid w:val="00E044C2"/>
    <w:rsid w:val="00E25750"/>
    <w:rsid w:val="00E44B39"/>
    <w:rsid w:val="00E538BB"/>
    <w:rsid w:val="00E95673"/>
    <w:rsid w:val="00EC046B"/>
    <w:rsid w:val="00EC6127"/>
    <w:rsid w:val="00ED5E58"/>
    <w:rsid w:val="00F12FD1"/>
    <w:rsid w:val="00F227CC"/>
    <w:rsid w:val="00F307B8"/>
    <w:rsid w:val="00F34988"/>
    <w:rsid w:val="00F67C11"/>
    <w:rsid w:val="00FB30CF"/>
    <w:rsid w:val="00FE6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92BF1"/>
  <w15:chartTrackingRefBased/>
  <w15:docId w15:val="{E01A0323-CD42-43B5-A211-6A453B25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ED4"/>
  </w:style>
  <w:style w:type="paragraph" w:styleId="Heading1">
    <w:name w:val="heading 1"/>
    <w:basedOn w:val="Normal"/>
    <w:next w:val="Normal"/>
    <w:link w:val="Heading1Char"/>
    <w:uiPriority w:val="9"/>
    <w:qFormat/>
    <w:rsid w:val="001D01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1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1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1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1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1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1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1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1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1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1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1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1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1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108"/>
    <w:rPr>
      <w:rFonts w:eastAsiaTheme="majorEastAsia" w:cstheme="majorBidi"/>
      <w:color w:val="272727" w:themeColor="text1" w:themeTint="D8"/>
    </w:rPr>
  </w:style>
  <w:style w:type="paragraph" w:styleId="Title">
    <w:name w:val="Title"/>
    <w:basedOn w:val="Normal"/>
    <w:next w:val="Normal"/>
    <w:link w:val="TitleChar"/>
    <w:uiPriority w:val="10"/>
    <w:qFormat/>
    <w:rsid w:val="001D01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1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1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108"/>
    <w:pPr>
      <w:spacing w:before="160"/>
      <w:jc w:val="center"/>
    </w:pPr>
    <w:rPr>
      <w:i/>
      <w:iCs/>
      <w:color w:val="404040" w:themeColor="text1" w:themeTint="BF"/>
    </w:rPr>
  </w:style>
  <w:style w:type="character" w:customStyle="1" w:styleId="QuoteChar">
    <w:name w:val="Quote Char"/>
    <w:basedOn w:val="DefaultParagraphFont"/>
    <w:link w:val="Quote"/>
    <w:uiPriority w:val="29"/>
    <w:rsid w:val="001D0108"/>
    <w:rPr>
      <w:i/>
      <w:iCs/>
      <w:color w:val="404040" w:themeColor="text1" w:themeTint="BF"/>
    </w:rPr>
  </w:style>
  <w:style w:type="paragraph" w:styleId="ListParagraph">
    <w:name w:val="List Paragraph"/>
    <w:basedOn w:val="Normal"/>
    <w:uiPriority w:val="34"/>
    <w:qFormat/>
    <w:rsid w:val="001D0108"/>
    <w:pPr>
      <w:ind w:left="720"/>
      <w:contextualSpacing/>
    </w:pPr>
  </w:style>
  <w:style w:type="character" w:styleId="IntenseEmphasis">
    <w:name w:val="Intense Emphasis"/>
    <w:basedOn w:val="DefaultParagraphFont"/>
    <w:uiPriority w:val="21"/>
    <w:qFormat/>
    <w:rsid w:val="001D0108"/>
    <w:rPr>
      <w:i/>
      <w:iCs/>
      <w:color w:val="0F4761" w:themeColor="accent1" w:themeShade="BF"/>
    </w:rPr>
  </w:style>
  <w:style w:type="paragraph" w:styleId="IntenseQuote">
    <w:name w:val="Intense Quote"/>
    <w:basedOn w:val="Normal"/>
    <w:next w:val="Normal"/>
    <w:link w:val="IntenseQuoteChar"/>
    <w:uiPriority w:val="30"/>
    <w:qFormat/>
    <w:rsid w:val="001D01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108"/>
    <w:rPr>
      <w:i/>
      <w:iCs/>
      <w:color w:val="0F4761" w:themeColor="accent1" w:themeShade="BF"/>
    </w:rPr>
  </w:style>
  <w:style w:type="character" w:styleId="IntenseReference">
    <w:name w:val="Intense Reference"/>
    <w:basedOn w:val="DefaultParagraphFont"/>
    <w:uiPriority w:val="32"/>
    <w:qFormat/>
    <w:rsid w:val="001D0108"/>
    <w:rPr>
      <w:b/>
      <w:bCs/>
      <w:smallCaps/>
      <w:color w:val="0F4761" w:themeColor="accent1" w:themeShade="BF"/>
      <w:spacing w:val="5"/>
    </w:rPr>
  </w:style>
  <w:style w:type="paragraph" w:styleId="FootnoteText">
    <w:name w:val="footnote text"/>
    <w:basedOn w:val="Normal"/>
    <w:link w:val="FootnoteTextChar"/>
    <w:uiPriority w:val="99"/>
    <w:semiHidden/>
    <w:unhideWhenUsed/>
    <w:rsid w:val="008501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0141"/>
    <w:rPr>
      <w:sz w:val="20"/>
      <w:szCs w:val="20"/>
    </w:rPr>
  </w:style>
  <w:style w:type="character" w:styleId="FootnoteReference">
    <w:name w:val="footnote reference"/>
    <w:basedOn w:val="DefaultParagraphFont"/>
    <w:uiPriority w:val="99"/>
    <w:semiHidden/>
    <w:unhideWhenUsed/>
    <w:rsid w:val="00850141"/>
    <w:rPr>
      <w:vertAlign w:val="superscript"/>
    </w:rPr>
  </w:style>
  <w:style w:type="character" w:styleId="Hyperlink">
    <w:name w:val="Hyperlink"/>
    <w:basedOn w:val="DefaultParagraphFont"/>
    <w:uiPriority w:val="99"/>
    <w:unhideWhenUsed/>
    <w:rsid w:val="009744A4"/>
    <w:rPr>
      <w:color w:val="467886" w:themeColor="hyperlink"/>
      <w:u w:val="single"/>
    </w:rPr>
  </w:style>
  <w:style w:type="character" w:styleId="UnresolvedMention">
    <w:name w:val="Unresolved Mention"/>
    <w:basedOn w:val="DefaultParagraphFont"/>
    <w:uiPriority w:val="99"/>
    <w:semiHidden/>
    <w:unhideWhenUsed/>
    <w:rsid w:val="009744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63274">
      <w:bodyDiv w:val="1"/>
      <w:marLeft w:val="0"/>
      <w:marRight w:val="0"/>
      <w:marTop w:val="0"/>
      <w:marBottom w:val="0"/>
      <w:divBdr>
        <w:top w:val="none" w:sz="0" w:space="0" w:color="auto"/>
        <w:left w:val="none" w:sz="0" w:space="0" w:color="auto"/>
        <w:bottom w:val="none" w:sz="0" w:space="0" w:color="auto"/>
        <w:right w:val="none" w:sz="0" w:space="0" w:color="auto"/>
      </w:divBdr>
    </w:div>
    <w:div w:id="41736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00/tabularia.2781" TargetMode="External"/><Relationship Id="rId3" Type="http://schemas.openxmlformats.org/officeDocument/2006/relationships/webSettings" Target="webSettings.xml"/><Relationship Id="rId7" Type="http://schemas.openxmlformats.org/officeDocument/2006/relationships/hyperlink" Target="https://doi.org/10.1093/ehr/cew3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93/ehr/114.459.1284"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oi.org/10.1353/ahs.2015.01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1164</Words>
  <Characters>6641</Characters>
  <Application>Microsoft Office Word</Application>
  <DocSecurity>0</DocSecurity>
  <Lines>55</Lines>
  <Paragraphs>15</Paragraphs>
  <ScaleCrop>false</ScaleCrop>
  <Company/>
  <LinksUpToDate>false</LinksUpToDate>
  <CharactersWithSpaces>7790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 G</dc:creator>
  <cp:keywords/>
  <dc:description/>
  <cp:lastModifiedBy>Agne G</cp:lastModifiedBy>
  <cp:revision>2</cp:revision>
  <dcterms:created xsi:type="dcterms:W3CDTF">2025-03-09T22:56:00Z</dcterms:created>
  <dcterms:modified xsi:type="dcterms:W3CDTF">2025-03-09T22:56:00Z</dcterms:modified>
</cp:coreProperties>
</file>