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E15A3AD" w14:textId="7E1342EE" w:rsidR="00823364" w:rsidRDefault="00823364" w:rsidP="00982940">
      <w:pPr>
        <w:spacing w:line="240" w:lineRule="auto"/>
        <w:jc w:val="center"/>
        <w:rPr>
          <w:rFonts w:ascii="Times New Roman" w:hAnsi="Times New Roman" w:cs="Times New Roman"/>
          <w:b/>
          <w:bCs/>
          <w:sz w:val="20"/>
          <w:szCs w:val="20"/>
          <w:u w:val="single"/>
        </w:rPr>
      </w:pPr>
      <w:r w:rsidRPr="00823364">
        <w:rPr>
          <w:rFonts w:ascii="Times New Roman" w:hAnsi="Times New Roman" w:cs="Times New Roman"/>
          <w:b/>
          <w:bCs/>
          <w:sz w:val="20"/>
          <w:szCs w:val="20"/>
          <w:u w:val="single"/>
        </w:rPr>
        <w:t xml:space="preserve">On The Nature Of Gender Roles In </w:t>
      </w:r>
      <w:r w:rsidR="00B175E3">
        <w:rPr>
          <w:rFonts w:ascii="Times New Roman" w:hAnsi="Times New Roman" w:cs="Times New Roman"/>
          <w:b/>
          <w:bCs/>
          <w:sz w:val="20"/>
          <w:szCs w:val="20"/>
          <w:u w:val="single"/>
        </w:rPr>
        <w:t xml:space="preserve">Early </w:t>
      </w:r>
      <w:r w:rsidR="00EE5393">
        <w:rPr>
          <w:rFonts w:ascii="Times New Roman" w:hAnsi="Times New Roman" w:cs="Times New Roman"/>
          <w:b/>
          <w:bCs/>
          <w:sz w:val="20"/>
          <w:szCs w:val="20"/>
          <w:u w:val="single"/>
        </w:rPr>
        <w:t>Imperial</w:t>
      </w:r>
      <w:r w:rsidRPr="00823364">
        <w:rPr>
          <w:rFonts w:ascii="Times New Roman" w:hAnsi="Times New Roman" w:cs="Times New Roman"/>
          <w:b/>
          <w:bCs/>
          <w:sz w:val="20"/>
          <w:szCs w:val="20"/>
          <w:u w:val="single"/>
        </w:rPr>
        <w:t xml:space="preserve"> Rome</w:t>
      </w:r>
    </w:p>
    <w:p w14:paraId="43FBAFC1" w14:textId="2C58FBEB" w:rsidR="00CE6D5A" w:rsidRPr="00CE6D5A" w:rsidRDefault="00CE6D5A" w:rsidP="00982940">
      <w:pPr>
        <w:spacing w:line="240" w:lineRule="auto"/>
        <w:jc w:val="both"/>
        <w:rPr>
          <w:rFonts w:ascii="Times New Roman" w:hAnsi="Times New Roman" w:cs="Times New Roman"/>
          <w:b/>
          <w:bCs/>
          <w:sz w:val="20"/>
          <w:szCs w:val="20"/>
        </w:rPr>
      </w:pPr>
      <w:r>
        <w:rPr>
          <w:rFonts w:ascii="Times New Roman" w:hAnsi="Times New Roman" w:cs="Times New Roman"/>
          <w:b/>
          <w:bCs/>
          <w:sz w:val="20"/>
          <w:szCs w:val="20"/>
        </w:rPr>
        <w:t>Introduction</w:t>
      </w:r>
    </w:p>
    <w:p w14:paraId="5B8285E5" w14:textId="0412340D" w:rsidR="00CE6D5A" w:rsidRDefault="001223D1"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The idea of gender fluid</w:t>
      </w:r>
      <w:r w:rsidR="006E5E58">
        <w:rPr>
          <w:rFonts w:ascii="Times New Roman" w:hAnsi="Times New Roman" w:cs="Times New Roman"/>
          <w:sz w:val="20"/>
          <w:szCs w:val="20"/>
        </w:rPr>
        <w:t>ity</w:t>
      </w:r>
      <w:r>
        <w:rPr>
          <w:rFonts w:ascii="Times New Roman" w:hAnsi="Times New Roman" w:cs="Times New Roman"/>
          <w:sz w:val="20"/>
          <w:szCs w:val="20"/>
        </w:rPr>
        <w:t xml:space="preserve"> is becoming increasingly prevalent in modern </w:t>
      </w:r>
      <w:r w:rsidR="00B175E3">
        <w:rPr>
          <w:rFonts w:ascii="Times New Roman" w:hAnsi="Times New Roman" w:cs="Times New Roman"/>
          <w:sz w:val="20"/>
          <w:szCs w:val="20"/>
        </w:rPr>
        <w:t>w</w:t>
      </w:r>
      <w:r>
        <w:rPr>
          <w:rFonts w:ascii="Times New Roman" w:hAnsi="Times New Roman" w:cs="Times New Roman"/>
          <w:sz w:val="20"/>
          <w:szCs w:val="20"/>
        </w:rPr>
        <w:t>estern culture</w:t>
      </w:r>
      <w:r w:rsidR="001E1CA1">
        <w:rPr>
          <w:rFonts w:ascii="Times New Roman" w:hAnsi="Times New Roman" w:cs="Times New Roman"/>
          <w:sz w:val="20"/>
          <w:szCs w:val="20"/>
        </w:rPr>
        <w:t>. This</w:t>
      </w:r>
      <w:r>
        <w:rPr>
          <w:rFonts w:ascii="Times New Roman" w:hAnsi="Times New Roman" w:cs="Times New Roman"/>
          <w:sz w:val="20"/>
          <w:szCs w:val="20"/>
        </w:rPr>
        <w:t xml:space="preserve"> has led to increasing study into historical perceptions of gender</w:t>
      </w:r>
      <w:r w:rsidR="001E1CA1">
        <w:rPr>
          <w:rFonts w:ascii="Times New Roman" w:hAnsi="Times New Roman" w:cs="Times New Roman"/>
          <w:sz w:val="20"/>
          <w:szCs w:val="20"/>
        </w:rPr>
        <w:t>.</w:t>
      </w:r>
    </w:p>
    <w:p w14:paraId="583929F4" w14:textId="0AEEF581" w:rsidR="00CE6D5A" w:rsidRDefault="0080588E" w:rsidP="00982940">
      <w:pPr>
        <w:pStyle w:val="ListParagraph"/>
        <w:numPr>
          <w:ilvl w:val="0"/>
          <w:numId w:val="1"/>
        </w:numPr>
        <w:spacing w:line="240" w:lineRule="auto"/>
        <w:jc w:val="both"/>
        <w:rPr>
          <w:rFonts w:ascii="Times New Roman" w:hAnsi="Times New Roman" w:cs="Times New Roman"/>
          <w:sz w:val="20"/>
          <w:szCs w:val="20"/>
        </w:rPr>
      </w:pPr>
      <w:r w:rsidRPr="00CE6D5A">
        <w:rPr>
          <w:rFonts w:ascii="Times New Roman" w:hAnsi="Times New Roman" w:cs="Times New Roman"/>
          <w:sz w:val="20"/>
          <w:szCs w:val="20"/>
        </w:rPr>
        <w:t xml:space="preserve">A good example of this in Chen’s 2017 article, which looks at </w:t>
      </w:r>
      <w:r w:rsidR="001E1CA1" w:rsidRPr="00CE6D5A">
        <w:rPr>
          <w:rFonts w:ascii="Times New Roman" w:hAnsi="Times New Roman" w:cs="Times New Roman"/>
          <w:sz w:val="20"/>
          <w:szCs w:val="20"/>
        </w:rPr>
        <w:t>Gra</w:t>
      </w:r>
      <w:r w:rsidR="001E1CA1">
        <w:rPr>
          <w:rFonts w:ascii="Times New Roman" w:hAnsi="Times New Roman" w:cs="Times New Roman"/>
          <w:sz w:val="20"/>
          <w:szCs w:val="20"/>
        </w:rPr>
        <w:t>eco-Roman</w:t>
      </w:r>
      <w:r w:rsidRPr="00CE6D5A">
        <w:rPr>
          <w:rFonts w:ascii="Times New Roman" w:hAnsi="Times New Roman" w:cs="Times New Roman"/>
          <w:sz w:val="20"/>
          <w:szCs w:val="20"/>
        </w:rPr>
        <w:t>, myth</w:t>
      </w:r>
      <w:r w:rsidR="001E1CA1">
        <w:rPr>
          <w:rFonts w:ascii="Times New Roman" w:hAnsi="Times New Roman" w:cs="Times New Roman"/>
          <w:sz w:val="20"/>
          <w:szCs w:val="20"/>
        </w:rPr>
        <w:t>ological</w:t>
      </w:r>
      <w:r w:rsidRPr="00CE6D5A">
        <w:rPr>
          <w:rFonts w:ascii="Times New Roman" w:hAnsi="Times New Roman" w:cs="Times New Roman"/>
          <w:sz w:val="20"/>
          <w:szCs w:val="20"/>
        </w:rPr>
        <w:t>, and art</w:t>
      </w:r>
      <w:r w:rsidR="001E1CA1">
        <w:rPr>
          <w:rFonts w:ascii="Times New Roman" w:hAnsi="Times New Roman" w:cs="Times New Roman"/>
          <w:sz w:val="20"/>
          <w:szCs w:val="20"/>
        </w:rPr>
        <w:t>istic</w:t>
      </w:r>
      <w:r w:rsidRPr="00CE6D5A">
        <w:rPr>
          <w:rFonts w:ascii="Times New Roman" w:hAnsi="Times New Roman" w:cs="Times New Roman"/>
          <w:sz w:val="20"/>
          <w:szCs w:val="20"/>
        </w:rPr>
        <w:t xml:space="preserve">, </w:t>
      </w:r>
      <w:r w:rsidR="001E1CA1">
        <w:rPr>
          <w:rFonts w:ascii="Times New Roman" w:hAnsi="Times New Roman" w:cs="Times New Roman"/>
          <w:sz w:val="20"/>
          <w:szCs w:val="20"/>
        </w:rPr>
        <w:t>depictions of</w:t>
      </w:r>
      <w:r w:rsidRPr="00CE6D5A">
        <w:rPr>
          <w:rFonts w:ascii="Times New Roman" w:hAnsi="Times New Roman" w:cs="Times New Roman"/>
          <w:sz w:val="20"/>
          <w:szCs w:val="20"/>
        </w:rPr>
        <w:t xml:space="preserve"> intersex, and transformative themes, and applies them to the empowerment of modern gender fluid individuals (Chen, 2017, P</w:t>
      </w:r>
      <w:r w:rsidR="008012C1" w:rsidRPr="00CE6D5A">
        <w:rPr>
          <w:rFonts w:ascii="Times New Roman" w:hAnsi="Times New Roman" w:cs="Times New Roman"/>
          <w:sz w:val="20"/>
          <w:szCs w:val="20"/>
        </w:rPr>
        <w:t>p.208-209)</w:t>
      </w:r>
      <w:r w:rsidRPr="00CE6D5A">
        <w:rPr>
          <w:rFonts w:ascii="Times New Roman" w:hAnsi="Times New Roman" w:cs="Times New Roman"/>
          <w:sz w:val="20"/>
          <w:szCs w:val="20"/>
        </w:rPr>
        <w:t xml:space="preserve">. </w:t>
      </w:r>
    </w:p>
    <w:p w14:paraId="4A486A5D" w14:textId="4B0EC9B0" w:rsidR="001E1CA1" w:rsidRDefault="001E1CA1"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U</w:t>
      </w:r>
      <w:r w:rsidR="008012C1" w:rsidRPr="00CE6D5A">
        <w:rPr>
          <w:rFonts w:ascii="Times New Roman" w:hAnsi="Times New Roman" w:cs="Times New Roman"/>
          <w:sz w:val="20"/>
          <w:szCs w:val="20"/>
        </w:rPr>
        <w:t xml:space="preserve">nfortunately, these indications from myth, and art, </w:t>
      </w:r>
      <w:r>
        <w:rPr>
          <w:rFonts w:ascii="Times New Roman" w:hAnsi="Times New Roman" w:cs="Times New Roman"/>
          <w:sz w:val="20"/>
          <w:szCs w:val="20"/>
        </w:rPr>
        <w:t>were not</w:t>
      </w:r>
      <w:r w:rsidR="008012C1" w:rsidRPr="00CE6D5A">
        <w:rPr>
          <w:rFonts w:ascii="Times New Roman" w:hAnsi="Times New Roman" w:cs="Times New Roman"/>
          <w:sz w:val="20"/>
          <w:szCs w:val="20"/>
        </w:rPr>
        <w:t xml:space="preserve"> reflected in society</w:t>
      </w:r>
      <w:r w:rsidR="000E3B0E" w:rsidRPr="00CE6D5A">
        <w:rPr>
          <w:rFonts w:ascii="Times New Roman" w:hAnsi="Times New Roman" w:cs="Times New Roman"/>
          <w:sz w:val="20"/>
          <w:szCs w:val="20"/>
        </w:rPr>
        <w:t xml:space="preserve">. </w:t>
      </w:r>
      <w:r w:rsidR="00CE65FE">
        <w:rPr>
          <w:rFonts w:ascii="Times New Roman" w:hAnsi="Times New Roman" w:cs="Times New Roman"/>
          <w:sz w:val="20"/>
          <w:szCs w:val="20"/>
        </w:rPr>
        <w:t>Roman society, in particular, deviated from them</w:t>
      </w:r>
      <w:r w:rsidR="00EE5393">
        <w:rPr>
          <w:rFonts w:ascii="Times New Roman" w:hAnsi="Times New Roman" w:cs="Times New Roman"/>
          <w:sz w:val="20"/>
          <w:szCs w:val="20"/>
        </w:rPr>
        <w:t>.</w:t>
      </w:r>
      <w:r w:rsidR="00CE65FE">
        <w:rPr>
          <w:rFonts w:ascii="Times New Roman" w:hAnsi="Times New Roman" w:cs="Times New Roman"/>
          <w:sz w:val="20"/>
          <w:szCs w:val="20"/>
        </w:rPr>
        <w:t xml:space="preserve"> A deviation which I shall explore through the familial institutions of early, imperial Rome.</w:t>
      </w:r>
    </w:p>
    <w:p w14:paraId="544DC79C" w14:textId="6333837E" w:rsidR="00CE6D5A" w:rsidRDefault="00CE6D5A"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Such was the scale of the Roman family that</w:t>
      </w:r>
      <w:r w:rsidRPr="00CE6D5A">
        <w:rPr>
          <w:rFonts w:ascii="Times New Roman" w:hAnsi="Times New Roman" w:cs="Times New Roman"/>
          <w:sz w:val="20"/>
          <w:szCs w:val="20"/>
        </w:rPr>
        <w:t xml:space="preserve"> </w:t>
      </w:r>
      <w:r>
        <w:rPr>
          <w:rFonts w:ascii="Times New Roman" w:hAnsi="Times New Roman" w:cs="Times New Roman"/>
          <w:sz w:val="20"/>
          <w:szCs w:val="20"/>
        </w:rPr>
        <w:t xml:space="preserve">it was likely had a similar structure to society, with similar gender roles, and power dynamics. </w:t>
      </w:r>
    </w:p>
    <w:p w14:paraId="0271856C" w14:textId="046AA956" w:rsidR="00CE6D5A" w:rsidRPr="00982940" w:rsidRDefault="00CE65FE" w:rsidP="00982940">
      <w:pPr>
        <w:pStyle w:val="ListParagraph"/>
        <w:numPr>
          <w:ilvl w:val="0"/>
          <w:numId w:val="1"/>
        </w:numPr>
        <w:spacing w:line="240" w:lineRule="auto"/>
        <w:jc w:val="both"/>
        <w:rPr>
          <w:rFonts w:ascii="Times New Roman" w:hAnsi="Times New Roman" w:cs="Times New Roman"/>
          <w:sz w:val="20"/>
          <w:szCs w:val="20"/>
        </w:rPr>
      </w:pPr>
      <w:r>
        <w:rPr>
          <w:rFonts w:ascii="Times New Roman" w:hAnsi="Times New Roman" w:cs="Times New Roman"/>
          <w:sz w:val="20"/>
          <w:szCs w:val="20"/>
        </w:rPr>
        <w:t>A</w:t>
      </w:r>
      <w:r w:rsidR="000E3B0E" w:rsidRPr="00982940">
        <w:rPr>
          <w:rFonts w:ascii="Times New Roman" w:hAnsi="Times New Roman" w:cs="Times New Roman"/>
          <w:sz w:val="20"/>
          <w:szCs w:val="20"/>
        </w:rPr>
        <w:t xml:space="preserve"> </w:t>
      </w:r>
      <w:r w:rsidR="00CE6D5A" w:rsidRPr="00982940">
        <w:rPr>
          <w:rFonts w:ascii="Times New Roman" w:hAnsi="Times New Roman" w:cs="Times New Roman"/>
          <w:sz w:val="20"/>
          <w:szCs w:val="20"/>
        </w:rPr>
        <w:t>R</w:t>
      </w:r>
      <w:r w:rsidR="000E3B0E" w:rsidRPr="00982940">
        <w:rPr>
          <w:rFonts w:ascii="Times New Roman" w:hAnsi="Times New Roman" w:cs="Times New Roman"/>
          <w:sz w:val="20"/>
          <w:szCs w:val="20"/>
        </w:rPr>
        <w:t>oman family could</w:t>
      </w:r>
      <w:r w:rsidR="00EE5393" w:rsidRPr="00982940">
        <w:rPr>
          <w:rFonts w:ascii="Times New Roman" w:hAnsi="Times New Roman" w:cs="Times New Roman"/>
          <w:sz w:val="20"/>
          <w:szCs w:val="20"/>
        </w:rPr>
        <w:t xml:space="preserve"> include </w:t>
      </w:r>
      <w:r w:rsidR="005F585E" w:rsidRPr="00982940">
        <w:rPr>
          <w:rFonts w:ascii="Times New Roman" w:hAnsi="Times New Roman" w:cs="Times New Roman"/>
          <w:sz w:val="20"/>
          <w:szCs w:val="20"/>
        </w:rPr>
        <w:t>close,</w:t>
      </w:r>
      <w:r>
        <w:rPr>
          <w:rFonts w:ascii="Times New Roman" w:hAnsi="Times New Roman" w:cs="Times New Roman"/>
          <w:sz w:val="20"/>
          <w:szCs w:val="20"/>
        </w:rPr>
        <w:t xml:space="preserve"> and</w:t>
      </w:r>
      <w:r w:rsidR="005F585E" w:rsidRPr="00982940">
        <w:rPr>
          <w:rFonts w:ascii="Times New Roman" w:hAnsi="Times New Roman" w:cs="Times New Roman"/>
          <w:sz w:val="20"/>
          <w:szCs w:val="20"/>
        </w:rPr>
        <w:t xml:space="preserve"> distant relations, </w:t>
      </w:r>
      <w:r w:rsidR="00EE5393" w:rsidRPr="00982940">
        <w:rPr>
          <w:rFonts w:ascii="Times New Roman" w:hAnsi="Times New Roman" w:cs="Times New Roman"/>
          <w:sz w:val="20"/>
          <w:szCs w:val="20"/>
        </w:rPr>
        <w:t>multiple wives, the widows of deceased male relatives</w:t>
      </w:r>
      <w:r w:rsidR="005F585E" w:rsidRPr="00982940">
        <w:rPr>
          <w:rFonts w:ascii="Times New Roman" w:hAnsi="Times New Roman" w:cs="Times New Roman"/>
          <w:sz w:val="20"/>
          <w:szCs w:val="20"/>
        </w:rPr>
        <w:t xml:space="preserve">, and slaves (Osgood, 2011, Pp.70-71). </w:t>
      </w:r>
    </w:p>
    <w:p w14:paraId="67C84691" w14:textId="48775B46" w:rsidR="001E1CA1" w:rsidRDefault="005F585E" w:rsidP="00982940">
      <w:pPr>
        <w:pStyle w:val="ListParagraph"/>
        <w:numPr>
          <w:ilvl w:val="1"/>
          <w:numId w:val="1"/>
        </w:numPr>
        <w:spacing w:line="240" w:lineRule="auto"/>
        <w:jc w:val="both"/>
        <w:rPr>
          <w:rFonts w:ascii="Times New Roman" w:hAnsi="Times New Roman" w:cs="Times New Roman"/>
          <w:sz w:val="20"/>
          <w:szCs w:val="20"/>
        </w:rPr>
      </w:pPr>
      <w:r w:rsidRPr="00CE6D5A">
        <w:rPr>
          <w:rFonts w:ascii="Times New Roman" w:hAnsi="Times New Roman" w:cs="Times New Roman"/>
          <w:sz w:val="20"/>
          <w:szCs w:val="20"/>
        </w:rPr>
        <w:t xml:space="preserve">Such a large family would </w:t>
      </w:r>
      <w:r w:rsidR="001E1CA1" w:rsidRPr="00CE6D5A">
        <w:rPr>
          <w:rFonts w:ascii="Times New Roman" w:hAnsi="Times New Roman" w:cs="Times New Roman"/>
          <w:sz w:val="20"/>
          <w:szCs w:val="20"/>
        </w:rPr>
        <w:t>require a</w:t>
      </w:r>
      <w:r w:rsidRPr="00CE6D5A">
        <w:rPr>
          <w:rFonts w:ascii="Times New Roman" w:hAnsi="Times New Roman" w:cs="Times New Roman"/>
          <w:sz w:val="20"/>
          <w:szCs w:val="20"/>
        </w:rPr>
        <w:t xml:space="preserve"> more official style of administration than a smaller one, with more people </w:t>
      </w:r>
      <w:r w:rsidR="001E1CA1">
        <w:rPr>
          <w:rFonts w:ascii="Times New Roman" w:hAnsi="Times New Roman" w:cs="Times New Roman"/>
          <w:sz w:val="20"/>
          <w:szCs w:val="20"/>
        </w:rPr>
        <w:t>comes</w:t>
      </w:r>
      <w:r w:rsidRPr="00CE6D5A">
        <w:rPr>
          <w:rFonts w:ascii="Times New Roman" w:hAnsi="Times New Roman" w:cs="Times New Roman"/>
          <w:sz w:val="20"/>
          <w:szCs w:val="20"/>
        </w:rPr>
        <w:t xml:space="preserve"> greater chance of disagreement</w:t>
      </w:r>
      <w:r w:rsidR="001E1CA1">
        <w:rPr>
          <w:rFonts w:ascii="Times New Roman" w:hAnsi="Times New Roman" w:cs="Times New Roman"/>
          <w:sz w:val="20"/>
          <w:szCs w:val="20"/>
        </w:rPr>
        <w:t>.</w:t>
      </w:r>
      <w:r w:rsidRPr="00CE6D5A">
        <w:rPr>
          <w:rFonts w:ascii="Times New Roman" w:hAnsi="Times New Roman" w:cs="Times New Roman"/>
          <w:sz w:val="20"/>
          <w:szCs w:val="20"/>
        </w:rPr>
        <w:t xml:space="preserve"> </w:t>
      </w:r>
    </w:p>
    <w:p w14:paraId="7270A223" w14:textId="2D69B309" w:rsidR="00A10403" w:rsidRDefault="001E1CA1" w:rsidP="00982940">
      <w:pPr>
        <w:pStyle w:val="ListParagraph"/>
        <w:numPr>
          <w:ilvl w:val="1"/>
          <w:numId w:val="1"/>
        </w:numPr>
        <w:spacing w:line="240" w:lineRule="auto"/>
        <w:jc w:val="both"/>
        <w:rPr>
          <w:rFonts w:ascii="Times New Roman" w:hAnsi="Times New Roman" w:cs="Times New Roman"/>
          <w:sz w:val="20"/>
          <w:szCs w:val="20"/>
        </w:rPr>
      </w:pPr>
      <w:r>
        <w:rPr>
          <w:rFonts w:ascii="Times New Roman" w:hAnsi="Times New Roman" w:cs="Times New Roman"/>
          <w:sz w:val="20"/>
          <w:szCs w:val="20"/>
        </w:rPr>
        <w:t>T</w:t>
      </w:r>
      <w:r w:rsidR="00CC2FFB" w:rsidRPr="00CE6D5A">
        <w:rPr>
          <w:rFonts w:ascii="Times New Roman" w:hAnsi="Times New Roman" w:cs="Times New Roman"/>
          <w:sz w:val="20"/>
          <w:szCs w:val="20"/>
        </w:rPr>
        <w:t>he family becomes a microcosm of an entire society, and – logically – the one would be structured similarly to the other</w:t>
      </w:r>
      <w:r w:rsidR="00B175E3" w:rsidRPr="00CE6D5A">
        <w:rPr>
          <w:rFonts w:ascii="Times New Roman" w:hAnsi="Times New Roman" w:cs="Times New Roman"/>
          <w:sz w:val="20"/>
          <w:szCs w:val="20"/>
        </w:rPr>
        <w:t>, with similar dynamics of power</w:t>
      </w:r>
      <w:r w:rsidR="00CC2FFB" w:rsidRPr="00CE6D5A">
        <w:rPr>
          <w:rFonts w:ascii="Times New Roman" w:hAnsi="Times New Roman" w:cs="Times New Roman"/>
          <w:sz w:val="20"/>
          <w:szCs w:val="20"/>
        </w:rPr>
        <w:t>.</w:t>
      </w:r>
      <w:r w:rsidR="000E3B0E" w:rsidRPr="00CE6D5A">
        <w:rPr>
          <w:rFonts w:ascii="Times New Roman" w:hAnsi="Times New Roman" w:cs="Times New Roman"/>
          <w:sz w:val="20"/>
          <w:szCs w:val="20"/>
        </w:rPr>
        <w:t xml:space="preserve"> </w:t>
      </w:r>
    </w:p>
    <w:p w14:paraId="47A46D0D" w14:textId="332F032E" w:rsidR="00EE5393" w:rsidRPr="00A10403" w:rsidRDefault="000E3B0E" w:rsidP="00982940">
      <w:pPr>
        <w:spacing w:line="240" w:lineRule="auto"/>
        <w:jc w:val="both"/>
        <w:rPr>
          <w:rFonts w:ascii="Times New Roman" w:hAnsi="Times New Roman" w:cs="Times New Roman"/>
          <w:sz w:val="20"/>
          <w:szCs w:val="20"/>
        </w:rPr>
      </w:pPr>
      <w:r w:rsidRPr="00A10403">
        <w:rPr>
          <w:rFonts w:ascii="Times New Roman" w:hAnsi="Times New Roman" w:cs="Times New Roman"/>
          <w:sz w:val="20"/>
          <w:szCs w:val="20"/>
        </w:rPr>
        <w:t>As such familial institutions seem to be a</w:t>
      </w:r>
      <w:r w:rsidR="00B175E3" w:rsidRPr="00A10403">
        <w:rPr>
          <w:rFonts w:ascii="Times New Roman" w:hAnsi="Times New Roman" w:cs="Times New Roman"/>
          <w:sz w:val="20"/>
          <w:szCs w:val="20"/>
        </w:rPr>
        <w:t>ppropriate to the study of gender roles in early imperial Roman society, and these present a rather different picture to the myth, and art.</w:t>
      </w:r>
    </w:p>
    <w:p w14:paraId="63C7A59C" w14:textId="60D4DC0E" w:rsidR="00CE6D5A" w:rsidRDefault="00CE6D5A" w:rsidP="00982940">
      <w:pPr>
        <w:spacing w:line="240" w:lineRule="auto"/>
        <w:jc w:val="both"/>
        <w:rPr>
          <w:rFonts w:ascii="Times New Roman" w:hAnsi="Times New Roman" w:cs="Times New Roman"/>
          <w:b/>
          <w:bCs/>
          <w:sz w:val="20"/>
          <w:szCs w:val="20"/>
        </w:rPr>
      </w:pPr>
      <w:r>
        <w:rPr>
          <w:rFonts w:ascii="Times New Roman" w:hAnsi="Times New Roman" w:cs="Times New Roman"/>
          <w:b/>
          <w:bCs/>
          <w:sz w:val="20"/>
          <w:szCs w:val="20"/>
        </w:rPr>
        <w:t>Men And The Binary</w:t>
      </w:r>
    </w:p>
    <w:p w14:paraId="7EC899BA" w14:textId="3102B84F" w:rsidR="00982940" w:rsidRDefault="00A10403" w:rsidP="00982940">
      <w:pPr>
        <w:spacing w:line="240" w:lineRule="auto"/>
        <w:jc w:val="both"/>
        <w:rPr>
          <w:rFonts w:ascii="Times New Roman" w:hAnsi="Times New Roman" w:cs="Times New Roman"/>
          <w:sz w:val="20"/>
          <w:szCs w:val="20"/>
        </w:rPr>
      </w:pPr>
      <w:r w:rsidRPr="00A10403">
        <w:rPr>
          <w:rFonts w:ascii="Times New Roman" w:hAnsi="Times New Roman" w:cs="Times New Roman"/>
          <w:sz w:val="20"/>
          <w:szCs w:val="20"/>
        </w:rPr>
        <w:t>Th</w:t>
      </w:r>
      <w:r>
        <w:rPr>
          <w:rFonts w:ascii="Times New Roman" w:hAnsi="Times New Roman" w:cs="Times New Roman"/>
          <w:sz w:val="20"/>
          <w:szCs w:val="20"/>
        </w:rPr>
        <w:t>e male role within the</w:t>
      </w:r>
      <w:r w:rsidRPr="00A10403">
        <w:rPr>
          <w:rFonts w:ascii="Times New Roman" w:hAnsi="Times New Roman" w:cs="Times New Roman"/>
          <w:sz w:val="20"/>
          <w:szCs w:val="20"/>
        </w:rPr>
        <w:t xml:space="preserve"> gender binary </w:t>
      </w:r>
      <w:r>
        <w:rPr>
          <w:rFonts w:ascii="Times New Roman" w:hAnsi="Times New Roman" w:cs="Times New Roman"/>
          <w:sz w:val="20"/>
          <w:szCs w:val="20"/>
        </w:rPr>
        <w:t>of</w:t>
      </w:r>
      <w:r w:rsidRPr="00A10403">
        <w:rPr>
          <w:rFonts w:ascii="Times New Roman" w:hAnsi="Times New Roman" w:cs="Times New Roman"/>
          <w:sz w:val="20"/>
          <w:szCs w:val="20"/>
        </w:rPr>
        <w:t xml:space="preserve"> early </w:t>
      </w:r>
      <w:r>
        <w:rPr>
          <w:rFonts w:ascii="Times New Roman" w:hAnsi="Times New Roman" w:cs="Times New Roman"/>
          <w:sz w:val="20"/>
          <w:szCs w:val="20"/>
        </w:rPr>
        <w:t>i</w:t>
      </w:r>
      <w:r w:rsidRPr="00A10403">
        <w:rPr>
          <w:rFonts w:ascii="Times New Roman" w:hAnsi="Times New Roman" w:cs="Times New Roman"/>
          <w:sz w:val="20"/>
          <w:szCs w:val="20"/>
        </w:rPr>
        <w:t>mperial Roman society</w:t>
      </w:r>
      <w:r>
        <w:rPr>
          <w:rFonts w:ascii="Times New Roman" w:hAnsi="Times New Roman" w:cs="Times New Roman"/>
          <w:sz w:val="20"/>
          <w:szCs w:val="20"/>
        </w:rPr>
        <w:t xml:space="preserve"> is best explored through authority, even within the family men exclusively took roles of power, suggesting that authority was seen as a distinctly masculine pursuit</w:t>
      </w:r>
      <w:r w:rsidR="00982940">
        <w:rPr>
          <w:rFonts w:ascii="Times New Roman" w:hAnsi="Times New Roman" w:cs="Times New Roman"/>
          <w:sz w:val="20"/>
          <w:szCs w:val="20"/>
        </w:rPr>
        <w:t>.</w:t>
      </w:r>
    </w:p>
    <w:p w14:paraId="70C8A92E" w14:textId="0C4CFE41" w:rsidR="00A10403" w:rsidRPr="00982940" w:rsidRDefault="00FE29AB" w:rsidP="00982940">
      <w:pPr>
        <w:pStyle w:val="ListParagraph"/>
        <w:numPr>
          <w:ilvl w:val="0"/>
          <w:numId w:val="4"/>
        </w:numPr>
        <w:spacing w:line="240" w:lineRule="auto"/>
        <w:jc w:val="both"/>
        <w:rPr>
          <w:rFonts w:ascii="Times New Roman" w:hAnsi="Times New Roman" w:cs="Times New Roman"/>
          <w:sz w:val="20"/>
          <w:szCs w:val="20"/>
        </w:rPr>
      </w:pPr>
      <w:r w:rsidRPr="00982940">
        <w:rPr>
          <w:rFonts w:ascii="Times New Roman" w:hAnsi="Times New Roman" w:cs="Times New Roman"/>
          <w:sz w:val="20"/>
          <w:szCs w:val="20"/>
        </w:rPr>
        <w:t xml:space="preserve">At the head of a family was the </w:t>
      </w:r>
      <w:r w:rsidR="00512F99" w:rsidRPr="00982940">
        <w:rPr>
          <w:rFonts w:ascii="Times New Roman" w:hAnsi="Times New Roman" w:cs="Times New Roman"/>
          <w:sz w:val="20"/>
          <w:szCs w:val="20"/>
        </w:rPr>
        <w:t>p</w:t>
      </w:r>
      <w:r w:rsidR="009C0D18" w:rsidRPr="00982940">
        <w:rPr>
          <w:rFonts w:ascii="Times New Roman" w:hAnsi="Times New Roman" w:cs="Times New Roman"/>
          <w:sz w:val="20"/>
          <w:szCs w:val="20"/>
        </w:rPr>
        <w:t>aterfamilias</w:t>
      </w:r>
      <w:r w:rsidRPr="00982940">
        <w:rPr>
          <w:rFonts w:ascii="Times New Roman" w:hAnsi="Times New Roman" w:cs="Times New Roman"/>
          <w:sz w:val="20"/>
          <w:szCs w:val="20"/>
        </w:rPr>
        <w:t>, who</w:t>
      </w:r>
      <w:r w:rsidR="004F2988" w:rsidRPr="00982940">
        <w:rPr>
          <w:rFonts w:ascii="Times New Roman" w:hAnsi="Times New Roman" w:cs="Times New Roman"/>
          <w:sz w:val="20"/>
          <w:szCs w:val="20"/>
        </w:rPr>
        <w:t xml:space="preserve"> wielded substantial power</w:t>
      </w:r>
      <w:r w:rsidR="00B175E3" w:rsidRPr="00982940">
        <w:rPr>
          <w:rFonts w:ascii="Times New Roman" w:hAnsi="Times New Roman" w:cs="Times New Roman"/>
          <w:sz w:val="20"/>
          <w:szCs w:val="20"/>
        </w:rPr>
        <w:t xml:space="preserve"> (Osgood, 2011, P.70)</w:t>
      </w:r>
      <w:r w:rsidR="00353C78" w:rsidRPr="00982940">
        <w:rPr>
          <w:rFonts w:ascii="Times New Roman" w:hAnsi="Times New Roman" w:cs="Times New Roman"/>
          <w:sz w:val="20"/>
          <w:szCs w:val="20"/>
        </w:rPr>
        <w:t xml:space="preserve">. </w:t>
      </w:r>
    </w:p>
    <w:p w14:paraId="308F079D" w14:textId="00C2B36C" w:rsidR="00A10403" w:rsidRDefault="00512F99" w:rsidP="00982940">
      <w:pPr>
        <w:pStyle w:val="ListParagraph"/>
        <w:numPr>
          <w:ilvl w:val="0"/>
          <w:numId w:val="2"/>
        </w:numPr>
        <w:spacing w:line="240" w:lineRule="auto"/>
        <w:jc w:val="both"/>
        <w:rPr>
          <w:rFonts w:ascii="Times New Roman" w:hAnsi="Times New Roman" w:cs="Times New Roman"/>
          <w:sz w:val="20"/>
          <w:szCs w:val="20"/>
        </w:rPr>
      </w:pPr>
      <w:r w:rsidRPr="00A10403">
        <w:rPr>
          <w:rFonts w:ascii="Times New Roman" w:hAnsi="Times New Roman" w:cs="Times New Roman"/>
          <w:sz w:val="20"/>
          <w:szCs w:val="20"/>
        </w:rPr>
        <w:t xml:space="preserve">That term ‘paterfamilias’, </w:t>
      </w:r>
      <w:r w:rsidR="00E144FE" w:rsidRPr="00A10403">
        <w:rPr>
          <w:rFonts w:ascii="Times New Roman" w:hAnsi="Times New Roman" w:cs="Times New Roman"/>
          <w:sz w:val="20"/>
          <w:szCs w:val="20"/>
        </w:rPr>
        <w:t>‘pater’ translates as father, but – in addition – it can be used as an honourable title for senators</w:t>
      </w:r>
      <w:r w:rsidR="004253EE" w:rsidRPr="00A10403">
        <w:rPr>
          <w:rFonts w:ascii="Times New Roman" w:hAnsi="Times New Roman" w:cs="Times New Roman"/>
          <w:sz w:val="20"/>
          <w:szCs w:val="20"/>
        </w:rPr>
        <w:t xml:space="preserve"> </w:t>
      </w:r>
      <w:r w:rsidR="00E144FE" w:rsidRPr="00A10403">
        <w:rPr>
          <w:rFonts w:ascii="Times New Roman" w:hAnsi="Times New Roman" w:cs="Times New Roman"/>
          <w:sz w:val="20"/>
          <w:szCs w:val="20"/>
        </w:rPr>
        <w:t>(Beard, Beard, 1854, P.302).</w:t>
      </w:r>
    </w:p>
    <w:p w14:paraId="4E50AB3A" w14:textId="4869E55D" w:rsidR="00A10403" w:rsidRDefault="004253EE" w:rsidP="00982940">
      <w:pPr>
        <w:pStyle w:val="ListParagraph"/>
        <w:numPr>
          <w:ilvl w:val="0"/>
          <w:numId w:val="2"/>
        </w:numPr>
        <w:spacing w:line="240" w:lineRule="auto"/>
        <w:jc w:val="both"/>
        <w:rPr>
          <w:rFonts w:ascii="Times New Roman" w:hAnsi="Times New Roman" w:cs="Times New Roman"/>
          <w:sz w:val="20"/>
          <w:szCs w:val="20"/>
        </w:rPr>
      </w:pPr>
      <w:r w:rsidRPr="00A10403">
        <w:rPr>
          <w:rFonts w:ascii="Times New Roman" w:hAnsi="Times New Roman" w:cs="Times New Roman"/>
          <w:sz w:val="20"/>
          <w:szCs w:val="20"/>
        </w:rPr>
        <w:t xml:space="preserve"> </w:t>
      </w:r>
      <w:r w:rsidR="00B175E3" w:rsidRPr="00A10403">
        <w:rPr>
          <w:rFonts w:ascii="Times New Roman" w:hAnsi="Times New Roman" w:cs="Times New Roman"/>
          <w:sz w:val="20"/>
          <w:szCs w:val="20"/>
        </w:rPr>
        <w:t>‘Familias’ refers to the household, and its people, family, and slaves included</w:t>
      </w:r>
      <w:r w:rsidR="003726AC" w:rsidRPr="00A10403">
        <w:rPr>
          <w:rFonts w:ascii="Times New Roman" w:hAnsi="Times New Roman" w:cs="Times New Roman"/>
          <w:sz w:val="20"/>
          <w:szCs w:val="20"/>
        </w:rPr>
        <w:t xml:space="preserve">. </w:t>
      </w:r>
      <w:r w:rsidR="003726AC" w:rsidRPr="00A10403">
        <w:rPr>
          <w:rFonts w:ascii="Times New Roman" w:hAnsi="Times New Roman" w:cs="Times New Roman"/>
          <w:sz w:val="20"/>
          <w:szCs w:val="20"/>
        </w:rPr>
        <w:t>(Beard, Beard, 1854, P.151)</w:t>
      </w:r>
      <w:r w:rsidR="00B175E3" w:rsidRPr="00A10403">
        <w:rPr>
          <w:rFonts w:ascii="Times New Roman" w:hAnsi="Times New Roman" w:cs="Times New Roman"/>
          <w:sz w:val="20"/>
          <w:szCs w:val="20"/>
        </w:rPr>
        <w:t xml:space="preserve">. </w:t>
      </w:r>
    </w:p>
    <w:p w14:paraId="67DB00AD" w14:textId="5EBB073F" w:rsidR="00A10403" w:rsidRPr="00982940" w:rsidRDefault="004253EE" w:rsidP="00982940">
      <w:pPr>
        <w:pStyle w:val="ListParagraph"/>
        <w:numPr>
          <w:ilvl w:val="0"/>
          <w:numId w:val="5"/>
        </w:numPr>
        <w:spacing w:line="240" w:lineRule="auto"/>
        <w:jc w:val="both"/>
        <w:rPr>
          <w:rFonts w:ascii="Times New Roman" w:hAnsi="Times New Roman" w:cs="Times New Roman"/>
          <w:sz w:val="20"/>
          <w:szCs w:val="20"/>
        </w:rPr>
      </w:pPr>
      <w:r w:rsidRPr="00982940">
        <w:rPr>
          <w:rFonts w:ascii="Times New Roman" w:hAnsi="Times New Roman" w:cs="Times New Roman"/>
          <w:sz w:val="20"/>
          <w:szCs w:val="20"/>
        </w:rPr>
        <w:t>‘Paterfamilias’, therefore, literally means father of the household, but</w:t>
      </w:r>
      <w:r w:rsidR="003726AC" w:rsidRPr="00982940">
        <w:rPr>
          <w:rFonts w:ascii="Times New Roman" w:hAnsi="Times New Roman" w:cs="Times New Roman"/>
          <w:sz w:val="20"/>
          <w:szCs w:val="20"/>
        </w:rPr>
        <w:t xml:space="preserve"> it</w:t>
      </w:r>
      <w:r w:rsidRPr="00982940">
        <w:rPr>
          <w:rFonts w:ascii="Times New Roman" w:hAnsi="Times New Roman" w:cs="Times New Roman"/>
          <w:sz w:val="20"/>
          <w:szCs w:val="20"/>
        </w:rPr>
        <w:t xml:space="preserve"> is suggestive authority</w:t>
      </w:r>
      <w:r w:rsidR="003726AC" w:rsidRPr="00982940">
        <w:rPr>
          <w:rFonts w:ascii="Times New Roman" w:hAnsi="Times New Roman" w:cs="Times New Roman"/>
          <w:sz w:val="20"/>
          <w:szCs w:val="20"/>
        </w:rPr>
        <w:t>.</w:t>
      </w:r>
      <w:r w:rsidRPr="00982940">
        <w:rPr>
          <w:rFonts w:ascii="Times New Roman" w:hAnsi="Times New Roman" w:cs="Times New Roman"/>
          <w:sz w:val="20"/>
          <w:szCs w:val="20"/>
        </w:rPr>
        <w:t xml:space="preserve"> </w:t>
      </w:r>
    </w:p>
    <w:p w14:paraId="67906DCD" w14:textId="77777777" w:rsidR="00A10403" w:rsidRDefault="003726AC" w:rsidP="00982940">
      <w:pPr>
        <w:pStyle w:val="ListParagraph"/>
        <w:numPr>
          <w:ilvl w:val="0"/>
          <w:numId w:val="3"/>
        </w:numPr>
        <w:spacing w:line="240" w:lineRule="auto"/>
        <w:jc w:val="both"/>
        <w:rPr>
          <w:rFonts w:ascii="Times New Roman" w:hAnsi="Times New Roman" w:cs="Times New Roman"/>
          <w:sz w:val="20"/>
          <w:szCs w:val="20"/>
        </w:rPr>
      </w:pPr>
      <w:r w:rsidRPr="00A10403">
        <w:rPr>
          <w:rFonts w:ascii="Times New Roman" w:hAnsi="Times New Roman" w:cs="Times New Roman"/>
          <w:sz w:val="20"/>
          <w:szCs w:val="20"/>
        </w:rPr>
        <w:t>‘</w:t>
      </w:r>
      <w:r w:rsidR="00A10403">
        <w:rPr>
          <w:rFonts w:ascii="Times New Roman" w:hAnsi="Times New Roman" w:cs="Times New Roman"/>
          <w:sz w:val="20"/>
          <w:szCs w:val="20"/>
        </w:rPr>
        <w:t>P</w:t>
      </w:r>
      <w:r w:rsidRPr="00A10403">
        <w:rPr>
          <w:rFonts w:ascii="Times New Roman" w:hAnsi="Times New Roman" w:cs="Times New Roman"/>
          <w:sz w:val="20"/>
          <w:szCs w:val="20"/>
        </w:rPr>
        <w:t xml:space="preserve">ater’ </w:t>
      </w:r>
      <w:r w:rsidR="00A10403">
        <w:rPr>
          <w:rFonts w:ascii="Times New Roman" w:hAnsi="Times New Roman" w:cs="Times New Roman"/>
          <w:sz w:val="20"/>
          <w:szCs w:val="20"/>
        </w:rPr>
        <w:t>has</w:t>
      </w:r>
      <w:r w:rsidRPr="00A10403">
        <w:rPr>
          <w:rFonts w:ascii="Times New Roman" w:hAnsi="Times New Roman" w:cs="Times New Roman"/>
          <w:sz w:val="20"/>
          <w:szCs w:val="20"/>
        </w:rPr>
        <w:t xml:space="preserve"> connotations of political power, due to </w:t>
      </w:r>
      <w:r w:rsidR="00A10403">
        <w:rPr>
          <w:rFonts w:ascii="Times New Roman" w:hAnsi="Times New Roman" w:cs="Times New Roman"/>
          <w:sz w:val="20"/>
          <w:szCs w:val="20"/>
        </w:rPr>
        <w:t>the</w:t>
      </w:r>
      <w:r w:rsidRPr="00A10403">
        <w:rPr>
          <w:rFonts w:ascii="Times New Roman" w:hAnsi="Times New Roman" w:cs="Times New Roman"/>
          <w:sz w:val="20"/>
          <w:szCs w:val="20"/>
        </w:rPr>
        <w:t xml:space="preserve"> connection with senatorial titles</w:t>
      </w:r>
      <w:r w:rsidR="00A10403">
        <w:rPr>
          <w:rFonts w:ascii="Times New Roman" w:hAnsi="Times New Roman" w:cs="Times New Roman"/>
          <w:sz w:val="20"/>
          <w:szCs w:val="20"/>
        </w:rPr>
        <w:t>.</w:t>
      </w:r>
    </w:p>
    <w:p w14:paraId="474FBC72" w14:textId="77777777" w:rsidR="00A10403" w:rsidRDefault="003726AC" w:rsidP="00982940">
      <w:pPr>
        <w:pStyle w:val="ListParagraph"/>
        <w:numPr>
          <w:ilvl w:val="0"/>
          <w:numId w:val="3"/>
        </w:numPr>
        <w:spacing w:line="240" w:lineRule="auto"/>
        <w:jc w:val="both"/>
        <w:rPr>
          <w:rFonts w:ascii="Times New Roman" w:hAnsi="Times New Roman" w:cs="Times New Roman"/>
          <w:sz w:val="20"/>
          <w:szCs w:val="20"/>
        </w:rPr>
      </w:pPr>
      <w:r w:rsidRPr="00A10403">
        <w:rPr>
          <w:rFonts w:ascii="Times New Roman" w:hAnsi="Times New Roman" w:cs="Times New Roman"/>
          <w:sz w:val="20"/>
          <w:szCs w:val="20"/>
        </w:rPr>
        <w:t xml:space="preserve"> ‘</w:t>
      </w:r>
      <w:r w:rsidR="00A10403">
        <w:rPr>
          <w:rFonts w:ascii="Times New Roman" w:hAnsi="Times New Roman" w:cs="Times New Roman"/>
          <w:sz w:val="20"/>
          <w:szCs w:val="20"/>
        </w:rPr>
        <w:t>F</w:t>
      </w:r>
      <w:r w:rsidRPr="00A10403">
        <w:rPr>
          <w:rFonts w:ascii="Times New Roman" w:hAnsi="Times New Roman" w:cs="Times New Roman"/>
          <w:sz w:val="20"/>
          <w:szCs w:val="20"/>
        </w:rPr>
        <w:t xml:space="preserve">amilias’ </w:t>
      </w:r>
      <w:r w:rsidR="00A10403">
        <w:rPr>
          <w:rFonts w:ascii="Times New Roman" w:hAnsi="Times New Roman" w:cs="Times New Roman"/>
          <w:sz w:val="20"/>
          <w:szCs w:val="20"/>
        </w:rPr>
        <w:t>has connotations of submission to power due to its</w:t>
      </w:r>
      <w:r w:rsidRPr="00A10403">
        <w:rPr>
          <w:rFonts w:ascii="Times New Roman" w:hAnsi="Times New Roman" w:cs="Times New Roman"/>
          <w:sz w:val="20"/>
          <w:szCs w:val="20"/>
        </w:rPr>
        <w:t xml:space="preserve"> possible application to slaves.</w:t>
      </w:r>
    </w:p>
    <w:p w14:paraId="464F5B70" w14:textId="77777777" w:rsidR="00A10403" w:rsidRDefault="00A10403" w:rsidP="00982940">
      <w:pPr>
        <w:pStyle w:val="ListParagraph"/>
        <w:numPr>
          <w:ilvl w:val="0"/>
          <w:numId w:val="3"/>
        </w:numPr>
        <w:spacing w:line="240" w:lineRule="auto"/>
        <w:jc w:val="both"/>
        <w:rPr>
          <w:rFonts w:ascii="Times New Roman" w:hAnsi="Times New Roman" w:cs="Times New Roman"/>
          <w:sz w:val="20"/>
          <w:szCs w:val="20"/>
        </w:rPr>
      </w:pPr>
      <w:r>
        <w:rPr>
          <w:rFonts w:ascii="Times New Roman" w:hAnsi="Times New Roman" w:cs="Times New Roman"/>
          <w:sz w:val="20"/>
          <w:szCs w:val="20"/>
        </w:rPr>
        <w:t>T</w:t>
      </w:r>
      <w:r w:rsidR="004253EE" w:rsidRPr="00A10403">
        <w:rPr>
          <w:rFonts w:ascii="Times New Roman" w:hAnsi="Times New Roman" w:cs="Times New Roman"/>
          <w:sz w:val="20"/>
          <w:szCs w:val="20"/>
        </w:rPr>
        <w:t>he authority of</w:t>
      </w:r>
      <w:r w:rsidR="003726AC" w:rsidRPr="00A10403">
        <w:rPr>
          <w:rFonts w:ascii="Times New Roman" w:hAnsi="Times New Roman" w:cs="Times New Roman"/>
          <w:sz w:val="20"/>
          <w:szCs w:val="20"/>
        </w:rPr>
        <w:t xml:space="preserve"> the</w:t>
      </w:r>
      <w:r w:rsidR="004253EE" w:rsidRPr="00A10403">
        <w:rPr>
          <w:rFonts w:ascii="Times New Roman" w:hAnsi="Times New Roman" w:cs="Times New Roman"/>
          <w:sz w:val="20"/>
          <w:szCs w:val="20"/>
        </w:rPr>
        <w:t xml:space="preserve"> paterfamilias is distinctly masculine</w:t>
      </w:r>
      <w:r w:rsidR="00AE6045" w:rsidRPr="00A10403">
        <w:rPr>
          <w:rFonts w:ascii="Times New Roman" w:hAnsi="Times New Roman" w:cs="Times New Roman"/>
          <w:sz w:val="20"/>
          <w:szCs w:val="20"/>
        </w:rPr>
        <w:t>, patriarchal in fact, as shown by ‘pater’s’ primary meaning of father.</w:t>
      </w:r>
    </w:p>
    <w:p w14:paraId="08D08721" w14:textId="37472B80" w:rsidR="00A10403" w:rsidRDefault="00A10403" w:rsidP="00982940">
      <w:pPr>
        <w:pStyle w:val="ListParagraph"/>
        <w:numPr>
          <w:ilvl w:val="1"/>
          <w:numId w:val="3"/>
        </w:numPr>
        <w:spacing w:line="240" w:lineRule="auto"/>
        <w:jc w:val="both"/>
        <w:rPr>
          <w:rFonts w:ascii="Times New Roman" w:hAnsi="Times New Roman" w:cs="Times New Roman"/>
          <w:sz w:val="20"/>
          <w:szCs w:val="20"/>
        </w:rPr>
      </w:pPr>
      <w:r>
        <w:rPr>
          <w:rFonts w:ascii="Times New Roman" w:hAnsi="Times New Roman" w:cs="Times New Roman"/>
          <w:sz w:val="20"/>
          <w:szCs w:val="20"/>
        </w:rPr>
        <w:t>As pater was applied to senators, as well, it suggests that political power was also seen to be masculine.</w:t>
      </w:r>
    </w:p>
    <w:p w14:paraId="7078CA6E" w14:textId="235EDCF7" w:rsidR="00982940" w:rsidRDefault="00353C78"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This strict binary</w:t>
      </w:r>
      <w:r w:rsidR="001E1CA1">
        <w:rPr>
          <w:rFonts w:ascii="Times New Roman" w:hAnsi="Times New Roman" w:cs="Times New Roman"/>
          <w:sz w:val="20"/>
          <w:szCs w:val="20"/>
        </w:rPr>
        <w:t xml:space="preserve"> can also be explored through</w:t>
      </w:r>
      <w:r>
        <w:rPr>
          <w:rFonts w:ascii="Times New Roman" w:hAnsi="Times New Roman" w:cs="Times New Roman"/>
          <w:sz w:val="20"/>
          <w:szCs w:val="20"/>
        </w:rPr>
        <w:t xml:space="preserve"> inheritance</w:t>
      </w:r>
      <w:r w:rsidR="001E1CA1">
        <w:rPr>
          <w:rFonts w:ascii="Times New Roman" w:hAnsi="Times New Roman" w:cs="Times New Roman"/>
          <w:sz w:val="20"/>
          <w:szCs w:val="20"/>
        </w:rPr>
        <w:t xml:space="preserve"> rules</w:t>
      </w:r>
      <w:r>
        <w:rPr>
          <w:rFonts w:ascii="Times New Roman" w:hAnsi="Times New Roman" w:cs="Times New Roman"/>
          <w:sz w:val="20"/>
          <w:szCs w:val="20"/>
        </w:rPr>
        <w:t xml:space="preserve">. </w:t>
      </w:r>
    </w:p>
    <w:p w14:paraId="1EDB58CF" w14:textId="2191044B" w:rsidR="00982940" w:rsidRDefault="00353C78" w:rsidP="00982940">
      <w:pPr>
        <w:pStyle w:val="ListParagraph"/>
        <w:numPr>
          <w:ilvl w:val="0"/>
          <w:numId w:val="6"/>
        </w:numPr>
        <w:spacing w:line="240" w:lineRule="auto"/>
        <w:jc w:val="both"/>
        <w:rPr>
          <w:rFonts w:ascii="Times New Roman" w:hAnsi="Times New Roman" w:cs="Times New Roman"/>
          <w:sz w:val="20"/>
          <w:szCs w:val="20"/>
        </w:rPr>
      </w:pPr>
      <w:r w:rsidRPr="00982940">
        <w:rPr>
          <w:rFonts w:ascii="Times New Roman" w:hAnsi="Times New Roman" w:cs="Times New Roman"/>
          <w:sz w:val="20"/>
          <w:szCs w:val="20"/>
        </w:rPr>
        <w:t xml:space="preserve">A paterfamilias’ sons inherited his estate, split between them, with each one becoming paterfamilias of his own family (Saller, 1994, P.161). </w:t>
      </w:r>
    </w:p>
    <w:p w14:paraId="65B5E31B" w14:textId="4F3EFF83" w:rsidR="00982940" w:rsidRDefault="00353C78" w:rsidP="00982940">
      <w:pPr>
        <w:pStyle w:val="ListParagraph"/>
        <w:numPr>
          <w:ilvl w:val="0"/>
          <w:numId w:val="6"/>
        </w:numPr>
        <w:spacing w:line="240" w:lineRule="auto"/>
        <w:jc w:val="both"/>
        <w:rPr>
          <w:rFonts w:ascii="Times New Roman" w:hAnsi="Times New Roman" w:cs="Times New Roman"/>
          <w:sz w:val="20"/>
          <w:szCs w:val="20"/>
        </w:rPr>
      </w:pPr>
      <w:r w:rsidRPr="00982940">
        <w:rPr>
          <w:rFonts w:ascii="Times New Roman" w:hAnsi="Times New Roman" w:cs="Times New Roman"/>
          <w:sz w:val="20"/>
          <w:szCs w:val="20"/>
        </w:rPr>
        <w:t>That m</w:t>
      </w:r>
      <w:r w:rsidR="00982940">
        <w:rPr>
          <w:rFonts w:ascii="Times New Roman" w:hAnsi="Times New Roman" w:cs="Times New Roman"/>
          <w:sz w:val="20"/>
          <w:szCs w:val="20"/>
        </w:rPr>
        <w:t>ale inheritance took precedence t</w:t>
      </w:r>
      <w:r w:rsidR="00CD1748" w:rsidRPr="00982940">
        <w:rPr>
          <w:rFonts w:ascii="Times New Roman" w:hAnsi="Times New Roman" w:cs="Times New Roman"/>
          <w:sz w:val="20"/>
          <w:szCs w:val="20"/>
        </w:rPr>
        <w:t>he binary division</w:t>
      </w:r>
      <w:r w:rsidR="00982940">
        <w:rPr>
          <w:rFonts w:ascii="Times New Roman" w:hAnsi="Times New Roman" w:cs="Times New Roman"/>
          <w:sz w:val="20"/>
          <w:szCs w:val="20"/>
        </w:rPr>
        <w:t xml:space="preserve"> between them and women’</w:t>
      </w:r>
    </w:p>
    <w:p w14:paraId="749313A1" w14:textId="763C7720" w:rsidR="00982940" w:rsidRDefault="00982940" w:rsidP="00982940">
      <w:pPr>
        <w:pStyle w:val="ListParagraph"/>
        <w:numPr>
          <w:ilvl w:val="1"/>
          <w:numId w:val="6"/>
        </w:num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It suggests that the sexes had different roles within society, and </w:t>
      </w:r>
      <w:r w:rsidR="001E1CA1">
        <w:rPr>
          <w:rFonts w:ascii="Times New Roman" w:hAnsi="Times New Roman" w:cs="Times New Roman"/>
          <w:sz w:val="20"/>
          <w:szCs w:val="20"/>
        </w:rPr>
        <w:t>that it was not a</w:t>
      </w:r>
      <w:r>
        <w:rPr>
          <w:rFonts w:ascii="Times New Roman" w:hAnsi="Times New Roman" w:cs="Times New Roman"/>
          <w:sz w:val="20"/>
          <w:szCs w:val="20"/>
        </w:rPr>
        <w:t xml:space="preserve"> woman’s role</w:t>
      </w:r>
      <w:r w:rsidR="001E1CA1">
        <w:rPr>
          <w:rFonts w:ascii="Times New Roman" w:hAnsi="Times New Roman" w:cs="Times New Roman"/>
          <w:sz w:val="20"/>
          <w:szCs w:val="20"/>
        </w:rPr>
        <w:t xml:space="preserve"> </w:t>
      </w:r>
      <w:r>
        <w:rPr>
          <w:rFonts w:ascii="Times New Roman" w:hAnsi="Times New Roman" w:cs="Times New Roman"/>
          <w:sz w:val="20"/>
          <w:szCs w:val="20"/>
        </w:rPr>
        <w:t>to own property.</w:t>
      </w:r>
    </w:p>
    <w:p w14:paraId="0BF7FBD9" w14:textId="20DCFD80" w:rsidR="006E5E58" w:rsidRPr="00CE65FE" w:rsidRDefault="006E5E58" w:rsidP="00CE65FE">
      <w:pPr>
        <w:pStyle w:val="ListParagraph"/>
        <w:numPr>
          <w:ilvl w:val="2"/>
          <w:numId w:val="6"/>
        </w:numPr>
        <w:spacing w:line="240" w:lineRule="auto"/>
        <w:jc w:val="both"/>
        <w:rPr>
          <w:rFonts w:ascii="Times New Roman" w:hAnsi="Times New Roman" w:cs="Times New Roman"/>
          <w:sz w:val="20"/>
          <w:szCs w:val="20"/>
        </w:rPr>
      </w:pPr>
      <w:r>
        <w:rPr>
          <w:rFonts w:ascii="Times New Roman" w:hAnsi="Times New Roman" w:cs="Times New Roman"/>
          <w:sz w:val="20"/>
          <w:szCs w:val="20"/>
        </w:rPr>
        <w:t>Suggesting in turn that were considered unsuited for authority. The authority of a paterfamilias comes from the ownership of the household, so restricting women from inheriting a household means they cannot inherit authority.</w:t>
      </w:r>
      <w:r w:rsidR="00CE65FE">
        <w:rPr>
          <w:rFonts w:ascii="Times New Roman" w:hAnsi="Times New Roman" w:cs="Times New Roman"/>
          <w:sz w:val="20"/>
          <w:szCs w:val="20"/>
        </w:rPr>
        <w:t xml:space="preserve"> </w:t>
      </w:r>
      <w:r w:rsidR="001E1CA1" w:rsidRPr="00CE65FE">
        <w:rPr>
          <w:rFonts w:ascii="Times New Roman" w:hAnsi="Times New Roman" w:cs="Times New Roman"/>
          <w:sz w:val="20"/>
          <w:szCs w:val="20"/>
        </w:rPr>
        <w:t>F</w:t>
      </w:r>
      <w:r w:rsidRPr="00CE65FE">
        <w:rPr>
          <w:rFonts w:ascii="Times New Roman" w:hAnsi="Times New Roman" w:cs="Times New Roman"/>
          <w:sz w:val="20"/>
          <w:szCs w:val="20"/>
        </w:rPr>
        <w:t>urther show</w:t>
      </w:r>
      <w:r w:rsidR="001E1CA1" w:rsidRPr="00CE65FE">
        <w:rPr>
          <w:rFonts w:ascii="Times New Roman" w:hAnsi="Times New Roman" w:cs="Times New Roman"/>
          <w:sz w:val="20"/>
          <w:szCs w:val="20"/>
        </w:rPr>
        <w:t>ing</w:t>
      </w:r>
      <w:r w:rsidRPr="00CE65FE">
        <w:rPr>
          <w:rFonts w:ascii="Times New Roman" w:hAnsi="Times New Roman" w:cs="Times New Roman"/>
          <w:sz w:val="20"/>
          <w:szCs w:val="20"/>
        </w:rPr>
        <w:t xml:space="preserve"> authority to be masculine. </w:t>
      </w:r>
    </w:p>
    <w:p w14:paraId="4F066215" w14:textId="5A3F28FC" w:rsidR="00982940" w:rsidRDefault="00CD1748" w:rsidP="00982940">
      <w:pPr>
        <w:pStyle w:val="ListParagraph"/>
        <w:numPr>
          <w:ilvl w:val="0"/>
          <w:numId w:val="6"/>
        </w:numPr>
        <w:spacing w:line="240" w:lineRule="auto"/>
        <w:jc w:val="both"/>
        <w:rPr>
          <w:rFonts w:ascii="Times New Roman" w:hAnsi="Times New Roman" w:cs="Times New Roman"/>
          <w:sz w:val="20"/>
          <w:szCs w:val="20"/>
        </w:rPr>
      </w:pPr>
      <w:r w:rsidRPr="00982940">
        <w:rPr>
          <w:rFonts w:ascii="Times New Roman" w:hAnsi="Times New Roman" w:cs="Times New Roman"/>
          <w:sz w:val="20"/>
          <w:szCs w:val="20"/>
        </w:rPr>
        <w:t xml:space="preserve"> </w:t>
      </w:r>
      <w:r w:rsidR="00982940">
        <w:rPr>
          <w:rFonts w:ascii="Times New Roman" w:hAnsi="Times New Roman" w:cs="Times New Roman"/>
          <w:sz w:val="20"/>
          <w:szCs w:val="20"/>
        </w:rPr>
        <w:t>T</w:t>
      </w:r>
      <w:r w:rsidRPr="00982940">
        <w:rPr>
          <w:rFonts w:ascii="Times New Roman" w:hAnsi="Times New Roman" w:cs="Times New Roman"/>
          <w:sz w:val="20"/>
          <w:szCs w:val="20"/>
        </w:rPr>
        <w:t xml:space="preserve">hat they inherit equally shows a lack fluidity within the male gender. </w:t>
      </w:r>
    </w:p>
    <w:p w14:paraId="608E3B6F" w14:textId="42ED9F3D" w:rsidR="003312BA" w:rsidRPr="00982940" w:rsidRDefault="00CD1748" w:rsidP="00982940">
      <w:pPr>
        <w:pStyle w:val="ListParagraph"/>
        <w:numPr>
          <w:ilvl w:val="1"/>
          <w:numId w:val="6"/>
        </w:numPr>
        <w:spacing w:line="240" w:lineRule="auto"/>
        <w:jc w:val="both"/>
        <w:rPr>
          <w:rFonts w:ascii="Times New Roman" w:hAnsi="Times New Roman" w:cs="Times New Roman"/>
          <w:sz w:val="20"/>
          <w:szCs w:val="20"/>
        </w:rPr>
      </w:pPr>
      <w:r w:rsidRPr="00982940">
        <w:rPr>
          <w:rFonts w:ascii="Times New Roman" w:hAnsi="Times New Roman" w:cs="Times New Roman"/>
          <w:sz w:val="20"/>
          <w:szCs w:val="20"/>
        </w:rPr>
        <w:t>It suggests that all men, within the boundaries of their class, were expected to have an equal aptitude for authority</w:t>
      </w:r>
      <w:r w:rsidR="00B175E3" w:rsidRPr="00982940">
        <w:rPr>
          <w:rFonts w:ascii="Times New Roman" w:hAnsi="Times New Roman" w:cs="Times New Roman"/>
          <w:sz w:val="20"/>
          <w:szCs w:val="20"/>
        </w:rPr>
        <w:t xml:space="preserve">. </w:t>
      </w:r>
    </w:p>
    <w:p w14:paraId="07698267" w14:textId="26BD0DA8" w:rsidR="00CE6D5A" w:rsidRPr="00CE6D5A" w:rsidRDefault="00CE6D5A" w:rsidP="00982940">
      <w:pPr>
        <w:spacing w:line="240" w:lineRule="auto"/>
        <w:jc w:val="both"/>
        <w:rPr>
          <w:rFonts w:ascii="Times New Roman" w:hAnsi="Times New Roman" w:cs="Times New Roman"/>
          <w:b/>
          <w:bCs/>
          <w:sz w:val="20"/>
          <w:szCs w:val="20"/>
        </w:rPr>
      </w:pPr>
      <w:r>
        <w:rPr>
          <w:rFonts w:ascii="Times New Roman" w:hAnsi="Times New Roman" w:cs="Times New Roman"/>
          <w:b/>
          <w:bCs/>
          <w:sz w:val="20"/>
          <w:szCs w:val="20"/>
        </w:rPr>
        <w:t>Women, And The Binary</w:t>
      </w:r>
    </w:p>
    <w:p w14:paraId="3FD7A6AB" w14:textId="7DF2E523" w:rsidR="0027781C" w:rsidRDefault="00CD1748" w:rsidP="0027781C">
      <w:pPr>
        <w:spacing w:line="240" w:lineRule="auto"/>
        <w:jc w:val="both"/>
        <w:rPr>
          <w:rFonts w:ascii="Times New Roman" w:hAnsi="Times New Roman" w:cs="Times New Roman"/>
          <w:sz w:val="20"/>
          <w:szCs w:val="20"/>
        </w:rPr>
      </w:pPr>
      <w:r>
        <w:rPr>
          <w:rFonts w:ascii="Times New Roman" w:hAnsi="Times New Roman" w:cs="Times New Roman"/>
          <w:sz w:val="20"/>
          <w:szCs w:val="20"/>
        </w:rPr>
        <w:lastRenderedPageBreak/>
        <w:t>If the male portion of the binary is distinguished by authority</w:t>
      </w:r>
      <w:r w:rsidR="0027781C">
        <w:rPr>
          <w:rFonts w:ascii="Times New Roman" w:hAnsi="Times New Roman" w:cs="Times New Roman"/>
          <w:sz w:val="20"/>
          <w:szCs w:val="20"/>
        </w:rPr>
        <w:t xml:space="preserve">, </w:t>
      </w:r>
      <w:r>
        <w:rPr>
          <w:rFonts w:ascii="Times New Roman" w:hAnsi="Times New Roman" w:cs="Times New Roman"/>
          <w:sz w:val="20"/>
          <w:szCs w:val="20"/>
        </w:rPr>
        <w:t>then the female</w:t>
      </w:r>
      <w:r w:rsidR="006E5E58">
        <w:rPr>
          <w:rFonts w:ascii="Times New Roman" w:hAnsi="Times New Roman" w:cs="Times New Roman"/>
          <w:sz w:val="20"/>
          <w:szCs w:val="20"/>
        </w:rPr>
        <w:t xml:space="preserve"> </w:t>
      </w:r>
      <w:r w:rsidR="0027781C">
        <w:rPr>
          <w:rFonts w:ascii="Times New Roman" w:hAnsi="Times New Roman" w:cs="Times New Roman"/>
          <w:sz w:val="20"/>
          <w:szCs w:val="20"/>
        </w:rPr>
        <w:t>part might be explored through their relative lack of authority.</w:t>
      </w:r>
      <w:r w:rsidR="0027781C" w:rsidRPr="0027781C">
        <w:rPr>
          <w:rFonts w:ascii="Times New Roman" w:hAnsi="Times New Roman" w:cs="Times New Roman"/>
          <w:sz w:val="20"/>
          <w:szCs w:val="20"/>
        </w:rPr>
        <w:t xml:space="preserve"> </w:t>
      </w:r>
      <w:r w:rsidR="0027781C">
        <w:rPr>
          <w:rFonts w:ascii="Times New Roman" w:hAnsi="Times New Roman" w:cs="Times New Roman"/>
          <w:sz w:val="20"/>
          <w:szCs w:val="20"/>
        </w:rPr>
        <w:t>Th</w:t>
      </w:r>
      <w:r w:rsidR="00C0405A">
        <w:rPr>
          <w:rFonts w:ascii="Times New Roman" w:hAnsi="Times New Roman" w:cs="Times New Roman"/>
          <w:sz w:val="20"/>
          <w:szCs w:val="20"/>
        </w:rPr>
        <w:t>is</w:t>
      </w:r>
      <w:r w:rsidR="0027781C">
        <w:rPr>
          <w:rFonts w:ascii="Times New Roman" w:hAnsi="Times New Roman" w:cs="Times New Roman"/>
          <w:sz w:val="20"/>
          <w:szCs w:val="20"/>
        </w:rPr>
        <w:t xml:space="preserve"> contrast in authority</w:t>
      </w:r>
      <w:r w:rsidR="00C0405A">
        <w:rPr>
          <w:rFonts w:ascii="Times New Roman" w:hAnsi="Times New Roman" w:cs="Times New Roman"/>
          <w:sz w:val="20"/>
          <w:szCs w:val="20"/>
        </w:rPr>
        <w:t xml:space="preserve"> does much to show the rigidity of binary between men, and women.</w:t>
      </w:r>
      <w:r w:rsidR="0027781C">
        <w:rPr>
          <w:rFonts w:ascii="Times New Roman" w:hAnsi="Times New Roman" w:cs="Times New Roman"/>
          <w:sz w:val="20"/>
          <w:szCs w:val="20"/>
        </w:rPr>
        <w:t xml:space="preserve"> </w:t>
      </w:r>
    </w:p>
    <w:p w14:paraId="3FDD18CF" w14:textId="77777777" w:rsidR="0027781C" w:rsidRDefault="00CD1748" w:rsidP="0027781C">
      <w:pPr>
        <w:pStyle w:val="ListParagraph"/>
        <w:numPr>
          <w:ilvl w:val="0"/>
          <w:numId w:val="8"/>
        </w:numPr>
        <w:spacing w:line="240" w:lineRule="auto"/>
        <w:jc w:val="both"/>
        <w:rPr>
          <w:rFonts w:ascii="Times New Roman" w:hAnsi="Times New Roman" w:cs="Times New Roman"/>
          <w:sz w:val="20"/>
          <w:szCs w:val="20"/>
        </w:rPr>
      </w:pPr>
      <w:r w:rsidRPr="0027781C">
        <w:rPr>
          <w:rFonts w:ascii="Times New Roman" w:hAnsi="Times New Roman" w:cs="Times New Roman"/>
          <w:sz w:val="20"/>
          <w:szCs w:val="20"/>
        </w:rPr>
        <w:t xml:space="preserve">In their 2014 chapter, </w:t>
      </w:r>
      <w:r w:rsidR="00C9444D" w:rsidRPr="0027781C">
        <w:rPr>
          <w:rFonts w:ascii="Times New Roman" w:hAnsi="Times New Roman" w:cs="Times New Roman"/>
          <w:sz w:val="20"/>
          <w:szCs w:val="20"/>
        </w:rPr>
        <w:t>Glazebrook, and Olson</w:t>
      </w:r>
      <w:r w:rsidRPr="0027781C">
        <w:rPr>
          <w:rFonts w:ascii="Times New Roman" w:hAnsi="Times New Roman" w:cs="Times New Roman"/>
          <w:sz w:val="20"/>
          <w:szCs w:val="20"/>
        </w:rPr>
        <w:t xml:space="preserve"> </w:t>
      </w:r>
      <w:r w:rsidR="00C9444D" w:rsidRPr="0027781C">
        <w:rPr>
          <w:rFonts w:ascii="Times New Roman" w:hAnsi="Times New Roman" w:cs="Times New Roman"/>
          <w:sz w:val="20"/>
          <w:szCs w:val="20"/>
        </w:rPr>
        <w:t>discuss the necessity of the female partner’s consent</w:t>
      </w:r>
      <w:r w:rsidRPr="0027781C">
        <w:rPr>
          <w:rFonts w:ascii="Times New Roman" w:hAnsi="Times New Roman" w:cs="Times New Roman"/>
          <w:sz w:val="20"/>
          <w:szCs w:val="20"/>
        </w:rPr>
        <w:t xml:space="preserve"> in a Roman marriage</w:t>
      </w:r>
      <w:r w:rsidR="00C9444D" w:rsidRPr="0027781C">
        <w:rPr>
          <w:rFonts w:ascii="Times New Roman" w:hAnsi="Times New Roman" w:cs="Times New Roman"/>
          <w:sz w:val="20"/>
          <w:szCs w:val="20"/>
        </w:rPr>
        <w:t xml:space="preserve">. </w:t>
      </w:r>
    </w:p>
    <w:p w14:paraId="55FCD54B" w14:textId="535E7894" w:rsidR="0027781C" w:rsidRDefault="0027781C" w:rsidP="0027781C">
      <w:pPr>
        <w:pStyle w:val="ListParagraph"/>
        <w:numPr>
          <w:ilvl w:val="1"/>
          <w:numId w:val="8"/>
        </w:numPr>
        <w:spacing w:line="240" w:lineRule="auto"/>
        <w:jc w:val="both"/>
        <w:rPr>
          <w:rFonts w:ascii="Times New Roman" w:hAnsi="Times New Roman" w:cs="Times New Roman"/>
          <w:sz w:val="20"/>
          <w:szCs w:val="20"/>
        </w:rPr>
      </w:pPr>
      <w:r>
        <w:rPr>
          <w:rFonts w:ascii="Times New Roman" w:hAnsi="Times New Roman" w:cs="Times New Roman"/>
          <w:sz w:val="20"/>
          <w:szCs w:val="20"/>
        </w:rPr>
        <w:t>L</w:t>
      </w:r>
      <w:r w:rsidR="00954065" w:rsidRPr="0027781C">
        <w:rPr>
          <w:rFonts w:ascii="Times New Roman" w:hAnsi="Times New Roman" w:cs="Times New Roman"/>
          <w:sz w:val="20"/>
          <w:szCs w:val="20"/>
        </w:rPr>
        <w:t>egally the woman’s consent was required, in practice women had very little say</w:t>
      </w:r>
      <w:r w:rsidR="00530374" w:rsidRPr="0027781C">
        <w:rPr>
          <w:rFonts w:ascii="Times New Roman" w:hAnsi="Times New Roman" w:cs="Times New Roman"/>
          <w:sz w:val="20"/>
          <w:szCs w:val="20"/>
        </w:rPr>
        <w:t>;</w:t>
      </w:r>
      <w:r w:rsidR="00954065" w:rsidRPr="0027781C">
        <w:rPr>
          <w:rFonts w:ascii="Times New Roman" w:hAnsi="Times New Roman" w:cs="Times New Roman"/>
          <w:sz w:val="20"/>
          <w:szCs w:val="20"/>
        </w:rPr>
        <w:t xml:space="preserve"> their opinions were rarely sought, and, if they were, th</w:t>
      </w:r>
      <w:r>
        <w:rPr>
          <w:rFonts w:ascii="Times New Roman" w:hAnsi="Times New Roman" w:cs="Times New Roman"/>
          <w:sz w:val="20"/>
          <w:szCs w:val="20"/>
        </w:rPr>
        <w:t>ey had</w:t>
      </w:r>
      <w:r w:rsidR="00954065" w:rsidRPr="0027781C">
        <w:rPr>
          <w:rFonts w:ascii="Times New Roman" w:hAnsi="Times New Roman" w:cs="Times New Roman"/>
          <w:sz w:val="20"/>
          <w:szCs w:val="20"/>
        </w:rPr>
        <w:t xml:space="preserve"> little ground for</w:t>
      </w:r>
      <w:r>
        <w:rPr>
          <w:rFonts w:ascii="Times New Roman" w:hAnsi="Times New Roman" w:cs="Times New Roman"/>
          <w:sz w:val="20"/>
          <w:szCs w:val="20"/>
        </w:rPr>
        <w:t xml:space="preserve"> objection</w:t>
      </w:r>
      <w:r w:rsidR="00954065" w:rsidRPr="0027781C">
        <w:rPr>
          <w:rFonts w:ascii="Times New Roman" w:hAnsi="Times New Roman" w:cs="Times New Roman"/>
          <w:sz w:val="20"/>
          <w:szCs w:val="20"/>
        </w:rPr>
        <w:t xml:space="preserve"> (Glazebrook, Olson, 2014, P.75).</w:t>
      </w:r>
      <w:r w:rsidR="00530374" w:rsidRPr="0027781C">
        <w:rPr>
          <w:rFonts w:ascii="Times New Roman" w:hAnsi="Times New Roman" w:cs="Times New Roman"/>
          <w:sz w:val="20"/>
          <w:szCs w:val="20"/>
        </w:rPr>
        <w:t xml:space="preserve"> </w:t>
      </w:r>
    </w:p>
    <w:p w14:paraId="26214705" w14:textId="77777777" w:rsidR="0027781C" w:rsidRDefault="00530374" w:rsidP="0027781C">
      <w:pPr>
        <w:pStyle w:val="ListParagraph"/>
        <w:numPr>
          <w:ilvl w:val="1"/>
          <w:numId w:val="8"/>
        </w:numPr>
        <w:spacing w:line="240" w:lineRule="auto"/>
        <w:jc w:val="both"/>
        <w:rPr>
          <w:rFonts w:ascii="Times New Roman" w:hAnsi="Times New Roman" w:cs="Times New Roman"/>
          <w:sz w:val="20"/>
          <w:szCs w:val="20"/>
        </w:rPr>
      </w:pPr>
      <w:r w:rsidRPr="0027781C">
        <w:rPr>
          <w:rFonts w:ascii="Times New Roman" w:hAnsi="Times New Roman" w:cs="Times New Roman"/>
          <w:sz w:val="20"/>
          <w:szCs w:val="20"/>
        </w:rPr>
        <w:t xml:space="preserve">Clearly women’s </w:t>
      </w:r>
      <w:r w:rsidR="0027781C">
        <w:rPr>
          <w:rFonts w:ascii="Times New Roman" w:hAnsi="Times New Roman" w:cs="Times New Roman"/>
          <w:sz w:val="20"/>
          <w:szCs w:val="20"/>
        </w:rPr>
        <w:t xml:space="preserve">wishes </w:t>
      </w:r>
      <w:r w:rsidRPr="0027781C">
        <w:rPr>
          <w:rFonts w:ascii="Times New Roman" w:hAnsi="Times New Roman" w:cs="Times New Roman"/>
          <w:sz w:val="20"/>
          <w:szCs w:val="20"/>
        </w:rPr>
        <w:t>were secondary to men’s, male consent was sought in a marriage</w:t>
      </w:r>
      <w:r w:rsidR="0027781C">
        <w:rPr>
          <w:rFonts w:ascii="Times New Roman" w:hAnsi="Times New Roman" w:cs="Times New Roman"/>
          <w:sz w:val="20"/>
          <w:szCs w:val="20"/>
        </w:rPr>
        <w:t xml:space="preserve">. </w:t>
      </w:r>
    </w:p>
    <w:p w14:paraId="05EC0EC3" w14:textId="58F5C8CD" w:rsidR="0027781C" w:rsidRDefault="00BC0870" w:rsidP="0027781C">
      <w:pPr>
        <w:pStyle w:val="ListParagraph"/>
        <w:numPr>
          <w:ilvl w:val="2"/>
          <w:numId w:val="8"/>
        </w:numPr>
        <w:spacing w:line="240" w:lineRule="auto"/>
        <w:jc w:val="both"/>
        <w:rPr>
          <w:rFonts w:ascii="Times New Roman" w:hAnsi="Times New Roman" w:cs="Times New Roman"/>
          <w:sz w:val="20"/>
          <w:szCs w:val="20"/>
        </w:rPr>
      </w:pPr>
      <w:r w:rsidRPr="0027781C">
        <w:rPr>
          <w:rFonts w:ascii="Times New Roman" w:hAnsi="Times New Roman" w:cs="Times New Roman"/>
          <w:sz w:val="20"/>
          <w:szCs w:val="20"/>
        </w:rPr>
        <w:t>The power of control over a woman’s life was firmly in the hands of her</w:t>
      </w:r>
      <w:r w:rsidR="00954065" w:rsidRPr="0027781C">
        <w:rPr>
          <w:rFonts w:ascii="Times New Roman" w:hAnsi="Times New Roman" w:cs="Times New Roman"/>
          <w:sz w:val="20"/>
          <w:szCs w:val="20"/>
        </w:rPr>
        <w:t xml:space="preserve"> paterfamilias,</w:t>
      </w:r>
      <w:r w:rsidR="0027781C">
        <w:rPr>
          <w:rFonts w:ascii="Times New Roman" w:hAnsi="Times New Roman" w:cs="Times New Roman"/>
          <w:sz w:val="20"/>
          <w:szCs w:val="20"/>
        </w:rPr>
        <w:t xml:space="preserve"> who was required to give consent for a marriage (Glazebrook, Olson, 2014, P.75).</w:t>
      </w:r>
      <w:r w:rsidRPr="0027781C">
        <w:rPr>
          <w:rFonts w:ascii="Times New Roman" w:hAnsi="Times New Roman" w:cs="Times New Roman"/>
          <w:sz w:val="20"/>
          <w:szCs w:val="20"/>
        </w:rPr>
        <w:t xml:space="preserve"> </w:t>
      </w:r>
    </w:p>
    <w:p w14:paraId="6456E4DE" w14:textId="68254E3E" w:rsidR="00C0405A" w:rsidRDefault="00C0405A" w:rsidP="00C0405A">
      <w:pPr>
        <w:spacing w:line="240" w:lineRule="auto"/>
        <w:jc w:val="both"/>
        <w:rPr>
          <w:rFonts w:ascii="Times New Roman" w:hAnsi="Times New Roman" w:cs="Times New Roman"/>
          <w:sz w:val="20"/>
          <w:szCs w:val="20"/>
        </w:rPr>
      </w:pPr>
      <w:r>
        <w:rPr>
          <w:rFonts w:ascii="Times New Roman" w:hAnsi="Times New Roman" w:cs="Times New Roman"/>
          <w:sz w:val="20"/>
          <w:szCs w:val="20"/>
        </w:rPr>
        <w:t>The role of women within the binary can also be explored through their role within the family, primarily as carers (Osgood, 2011, P.72).</w:t>
      </w:r>
    </w:p>
    <w:p w14:paraId="3722B0A4" w14:textId="7A377E55" w:rsidR="00C0405A" w:rsidRDefault="00C0405A" w:rsidP="00102BB9">
      <w:pPr>
        <w:pStyle w:val="ListParagraph"/>
        <w:numPr>
          <w:ilvl w:val="0"/>
          <w:numId w:val="9"/>
        </w:numPr>
        <w:spacing w:line="240" w:lineRule="auto"/>
        <w:jc w:val="both"/>
        <w:rPr>
          <w:rFonts w:ascii="Times New Roman" w:hAnsi="Times New Roman" w:cs="Times New Roman"/>
          <w:sz w:val="20"/>
          <w:szCs w:val="20"/>
        </w:rPr>
      </w:pPr>
      <w:r w:rsidRPr="00C0405A">
        <w:rPr>
          <w:rFonts w:ascii="Times New Roman" w:hAnsi="Times New Roman" w:cs="Times New Roman"/>
          <w:sz w:val="20"/>
          <w:szCs w:val="20"/>
        </w:rPr>
        <w:t xml:space="preserve">Osgood discusses the familial tragedies of Quintilian, amongst these </w:t>
      </w:r>
      <w:r>
        <w:rPr>
          <w:rFonts w:ascii="Times New Roman" w:hAnsi="Times New Roman" w:cs="Times New Roman"/>
          <w:sz w:val="20"/>
          <w:szCs w:val="20"/>
        </w:rPr>
        <w:t>was</w:t>
      </w:r>
      <w:r w:rsidRPr="00C0405A">
        <w:rPr>
          <w:rFonts w:ascii="Times New Roman" w:hAnsi="Times New Roman" w:cs="Times New Roman"/>
          <w:sz w:val="20"/>
          <w:szCs w:val="20"/>
        </w:rPr>
        <w:t xml:space="preserve"> wife’s death</w:t>
      </w:r>
      <w:r w:rsidR="00102BB9">
        <w:rPr>
          <w:rFonts w:ascii="Times New Roman" w:hAnsi="Times New Roman" w:cs="Times New Roman"/>
          <w:sz w:val="20"/>
          <w:szCs w:val="20"/>
        </w:rPr>
        <w:t>,</w:t>
      </w:r>
      <w:r w:rsidR="00102BB9" w:rsidRPr="00102BB9">
        <w:rPr>
          <w:rFonts w:ascii="Times New Roman" w:hAnsi="Times New Roman" w:cs="Times New Roman"/>
          <w:sz w:val="20"/>
          <w:szCs w:val="20"/>
        </w:rPr>
        <w:t xml:space="preserve"> </w:t>
      </w:r>
      <w:r w:rsidR="00102BB9">
        <w:rPr>
          <w:rFonts w:ascii="Times New Roman" w:hAnsi="Times New Roman" w:cs="Times New Roman"/>
          <w:sz w:val="20"/>
          <w:szCs w:val="20"/>
        </w:rPr>
        <w:t>f</w:t>
      </w:r>
      <w:r w:rsidR="00102BB9">
        <w:rPr>
          <w:rFonts w:ascii="Times New Roman" w:hAnsi="Times New Roman" w:cs="Times New Roman"/>
          <w:sz w:val="20"/>
          <w:szCs w:val="20"/>
        </w:rPr>
        <w:t xml:space="preserve">ollowing </w:t>
      </w:r>
      <w:r w:rsidR="00102BB9">
        <w:rPr>
          <w:rFonts w:ascii="Times New Roman" w:hAnsi="Times New Roman" w:cs="Times New Roman"/>
          <w:sz w:val="20"/>
          <w:szCs w:val="20"/>
        </w:rPr>
        <w:t>which</w:t>
      </w:r>
      <w:r w:rsidR="00102BB9">
        <w:rPr>
          <w:rFonts w:ascii="Times New Roman" w:hAnsi="Times New Roman" w:cs="Times New Roman"/>
          <w:sz w:val="20"/>
          <w:szCs w:val="20"/>
        </w:rPr>
        <w:t xml:space="preserve"> </w:t>
      </w:r>
      <w:r w:rsidR="00102BB9">
        <w:rPr>
          <w:rFonts w:ascii="Times New Roman" w:hAnsi="Times New Roman" w:cs="Times New Roman"/>
          <w:sz w:val="20"/>
          <w:szCs w:val="20"/>
        </w:rPr>
        <w:t>their</w:t>
      </w:r>
      <w:r w:rsidR="00102BB9">
        <w:rPr>
          <w:rFonts w:ascii="Times New Roman" w:hAnsi="Times New Roman" w:cs="Times New Roman"/>
          <w:sz w:val="20"/>
          <w:szCs w:val="20"/>
        </w:rPr>
        <w:t xml:space="preserve"> </w:t>
      </w:r>
      <w:r w:rsidR="00102BB9">
        <w:rPr>
          <w:rFonts w:ascii="Times New Roman" w:hAnsi="Times New Roman" w:cs="Times New Roman"/>
          <w:sz w:val="20"/>
          <w:szCs w:val="20"/>
        </w:rPr>
        <w:t>sons</w:t>
      </w:r>
      <w:r w:rsidR="00102BB9">
        <w:rPr>
          <w:rFonts w:ascii="Times New Roman" w:hAnsi="Times New Roman" w:cs="Times New Roman"/>
          <w:sz w:val="20"/>
          <w:szCs w:val="20"/>
        </w:rPr>
        <w:t xml:space="preserve"> were cared for by </w:t>
      </w:r>
      <w:r w:rsidR="00102BB9">
        <w:rPr>
          <w:rFonts w:ascii="Times New Roman" w:hAnsi="Times New Roman" w:cs="Times New Roman"/>
          <w:sz w:val="20"/>
          <w:szCs w:val="20"/>
        </w:rPr>
        <w:t>a</w:t>
      </w:r>
      <w:r w:rsidR="00102BB9">
        <w:rPr>
          <w:rFonts w:ascii="Times New Roman" w:hAnsi="Times New Roman" w:cs="Times New Roman"/>
          <w:sz w:val="20"/>
          <w:szCs w:val="20"/>
        </w:rPr>
        <w:t xml:space="preserve"> grandmother, and nurses</w:t>
      </w:r>
      <w:r w:rsidR="00102BB9">
        <w:rPr>
          <w:rFonts w:ascii="Times New Roman" w:hAnsi="Times New Roman" w:cs="Times New Roman"/>
          <w:sz w:val="20"/>
          <w:szCs w:val="20"/>
        </w:rPr>
        <w:t xml:space="preserve"> </w:t>
      </w:r>
      <w:r w:rsidRPr="00102BB9">
        <w:rPr>
          <w:rFonts w:ascii="Times New Roman" w:hAnsi="Times New Roman" w:cs="Times New Roman"/>
          <w:sz w:val="20"/>
          <w:szCs w:val="20"/>
        </w:rPr>
        <w:t>(Osgood, 2011, P.72).</w:t>
      </w:r>
      <w:bookmarkStart w:id="0" w:name="_Hlk54441439"/>
    </w:p>
    <w:p w14:paraId="187A296F" w14:textId="5B5741C6" w:rsidR="00102BB9" w:rsidRDefault="00102BB9" w:rsidP="00102BB9">
      <w:pPr>
        <w:pStyle w:val="ListParagraph"/>
        <w:numPr>
          <w:ilvl w:val="0"/>
          <w:numId w:val="9"/>
        </w:numPr>
        <w:spacing w:line="240" w:lineRule="auto"/>
        <w:jc w:val="both"/>
        <w:rPr>
          <w:rFonts w:ascii="Times New Roman" w:hAnsi="Times New Roman" w:cs="Times New Roman"/>
          <w:sz w:val="20"/>
          <w:szCs w:val="20"/>
        </w:rPr>
      </w:pPr>
      <w:r>
        <w:rPr>
          <w:rFonts w:ascii="Times New Roman" w:hAnsi="Times New Roman" w:cs="Times New Roman"/>
          <w:sz w:val="20"/>
          <w:szCs w:val="20"/>
        </w:rPr>
        <w:t>That care for these children fell to their grandmother, not their father, nor any male relative, and nurses,</w:t>
      </w:r>
      <w:r w:rsidR="00B8374B">
        <w:rPr>
          <w:rFonts w:ascii="Times New Roman" w:hAnsi="Times New Roman" w:cs="Times New Roman"/>
          <w:sz w:val="20"/>
          <w:szCs w:val="20"/>
        </w:rPr>
        <w:t xml:space="preserve"> </w:t>
      </w:r>
      <w:r>
        <w:rPr>
          <w:rFonts w:ascii="Times New Roman" w:hAnsi="Times New Roman" w:cs="Times New Roman"/>
          <w:sz w:val="20"/>
          <w:szCs w:val="20"/>
        </w:rPr>
        <w:t>shows that caring for children was seen as distinctly feminine.</w:t>
      </w:r>
    </w:p>
    <w:p w14:paraId="15DE29FF" w14:textId="77777777" w:rsidR="00B8374B" w:rsidRDefault="00102BB9" w:rsidP="00B8374B">
      <w:pPr>
        <w:pStyle w:val="ListParagraph"/>
        <w:numPr>
          <w:ilvl w:val="1"/>
          <w:numId w:val="9"/>
        </w:num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This is especially apparent from the fact that nurses were employed. </w:t>
      </w:r>
    </w:p>
    <w:p w14:paraId="7BC91471" w14:textId="3DF66C9A" w:rsidR="00B8374B" w:rsidRPr="00B8374B" w:rsidRDefault="00102BB9" w:rsidP="00B8374B">
      <w:pPr>
        <w:pStyle w:val="ListParagraph"/>
        <w:numPr>
          <w:ilvl w:val="2"/>
          <w:numId w:val="9"/>
        </w:numPr>
        <w:spacing w:line="240" w:lineRule="auto"/>
        <w:jc w:val="both"/>
        <w:rPr>
          <w:rFonts w:ascii="Times New Roman" w:hAnsi="Times New Roman" w:cs="Times New Roman"/>
          <w:sz w:val="20"/>
          <w:szCs w:val="20"/>
        </w:rPr>
      </w:pPr>
      <w:r w:rsidRPr="00B8374B">
        <w:rPr>
          <w:rFonts w:ascii="Times New Roman" w:hAnsi="Times New Roman" w:cs="Times New Roman"/>
          <w:sz w:val="20"/>
          <w:szCs w:val="20"/>
        </w:rPr>
        <w:t>These women were likely to be of a lower social status than Quintilian and his household</w:t>
      </w:r>
      <w:r w:rsidR="00CD4F02">
        <w:rPr>
          <w:rFonts w:ascii="Times New Roman" w:hAnsi="Times New Roman" w:cs="Times New Roman"/>
          <w:sz w:val="20"/>
          <w:szCs w:val="20"/>
        </w:rPr>
        <w:t>,</w:t>
      </w:r>
      <w:r w:rsidRPr="00B8374B">
        <w:rPr>
          <w:rFonts w:ascii="Times New Roman" w:hAnsi="Times New Roman" w:cs="Times New Roman"/>
          <w:sz w:val="20"/>
          <w:szCs w:val="20"/>
        </w:rPr>
        <w:t xml:space="preserve"> </w:t>
      </w:r>
      <w:r w:rsidR="00B8374B" w:rsidRPr="00B8374B">
        <w:rPr>
          <w:rFonts w:ascii="Times New Roman" w:hAnsi="Times New Roman" w:cs="Times New Roman"/>
          <w:sz w:val="20"/>
          <w:szCs w:val="20"/>
        </w:rPr>
        <w:t>but they were employed to work alongside the children’s grandmother, who was likely of the same class as Quintilian</w:t>
      </w:r>
      <w:r w:rsidR="00B8374B">
        <w:rPr>
          <w:rFonts w:ascii="Times New Roman" w:hAnsi="Times New Roman" w:cs="Times New Roman"/>
          <w:sz w:val="20"/>
          <w:szCs w:val="20"/>
        </w:rPr>
        <w:t xml:space="preserve"> (Osgood, 2011, P.72)</w:t>
      </w:r>
      <w:r w:rsidR="00B8374B" w:rsidRPr="00B8374B">
        <w:rPr>
          <w:rFonts w:ascii="Times New Roman" w:hAnsi="Times New Roman" w:cs="Times New Roman"/>
          <w:sz w:val="20"/>
          <w:szCs w:val="20"/>
        </w:rPr>
        <w:t>.</w:t>
      </w:r>
    </w:p>
    <w:p w14:paraId="0DE186FF" w14:textId="77777777" w:rsidR="00B8374B" w:rsidRDefault="00B8374B" w:rsidP="00102BB9">
      <w:pPr>
        <w:pStyle w:val="ListParagraph"/>
        <w:numPr>
          <w:ilvl w:val="1"/>
          <w:numId w:val="9"/>
        </w:num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The idea of women as carers seems common to all women in early imperial Roman society, not dependant on class. </w:t>
      </w:r>
    </w:p>
    <w:p w14:paraId="5AF37480" w14:textId="40F18E01" w:rsidR="00102BB9" w:rsidRPr="00102BB9" w:rsidRDefault="00B8374B" w:rsidP="00102BB9">
      <w:pPr>
        <w:pStyle w:val="ListParagraph"/>
        <w:numPr>
          <w:ilvl w:val="1"/>
          <w:numId w:val="9"/>
        </w:numPr>
        <w:spacing w:line="240" w:lineRule="auto"/>
        <w:jc w:val="both"/>
        <w:rPr>
          <w:rFonts w:ascii="Times New Roman" w:hAnsi="Times New Roman" w:cs="Times New Roman"/>
          <w:sz w:val="20"/>
          <w:szCs w:val="20"/>
        </w:rPr>
      </w:pPr>
      <w:r>
        <w:rPr>
          <w:rFonts w:ascii="Times New Roman" w:hAnsi="Times New Roman" w:cs="Times New Roman"/>
          <w:sz w:val="20"/>
          <w:szCs w:val="20"/>
        </w:rPr>
        <w:t>As such caring can be said to be distinct of the feminine part of the binary as a whole, rather that certain classes of women.</w:t>
      </w:r>
    </w:p>
    <w:bookmarkEnd w:id="0"/>
    <w:p w14:paraId="346C2FBD" w14:textId="091CADE4" w:rsidR="00CE6D5A" w:rsidRPr="00CE6D5A" w:rsidRDefault="00CE6D5A" w:rsidP="00982940">
      <w:pPr>
        <w:spacing w:line="240" w:lineRule="auto"/>
        <w:jc w:val="both"/>
        <w:rPr>
          <w:rFonts w:ascii="Times New Roman" w:hAnsi="Times New Roman" w:cs="Times New Roman"/>
          <w:b/>
          <w:bCs/>
          <w:sz w:val="20"/>
          <w:szCs w:val="20"/>
        </w:rPr>
      </w:pPr>
      <w:r>
        <w:rPr>
          <w:rFonts w:ascii="Times New Roman" w:hAnsi="Times New Roman" w:cs="Times New Roman"/>
          <w:b/>
          <w:bCs/>
          <w:sz w:val="20"/>
          <w:szCs w:val="20"/>
        </w:rPr>
        <w:t>Intersex People, And The Binary</w:t>
      </w:r>
    </w:p>
    <w:p w14:paraId="219A3543" w14:textId="77777777" w:rsidR="00CE3338" w:rsidRDefault="009E2DDC"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The binary is made most distinct by how transgressors of that binary were perceived, and treated. </w:t>
      </w:r>
    </w:p>
    <w:p w14:paraId="5AF589B5" w14:textId="31B1352D" w:rsidR="00CE3338" w:rsidRPr="00CE3338" w:rsidRDefault="00BD74EF" w:rsidP="00CE3338">
      <w:pPr>
        <w:pStyle w:val="ListParagraph"/>
        <w:numPr>
          <w:ilvl w:val="0"/>
          <w:numId w:val="12"/>
        </w:numPr>
        <w:spacing w:line="240" w:lineRule="auto"/>
        <w:jc w:val="both"/>
        <w:rPr>
          <w:rFonts w:ascii="Times New Roman" w:hAnsi="Times New Roman" w:cs="Times New Roman"/>
          <w:sz w:val="20"/>
          <w:szCs w:val="20"/>
        </w:rPr>
      </w:pPr>
      <w:r w:rsidRPr="00CE3338">
        <w:rPr>
          <w:rFonts w:ascii="Times New Roman" w:hAnsi="Times New Roman" w:cs="Times New Roman"/>
          <w:sz w:val="20"/>
          <w:szCs w:val="20"/>
        </w:rPr>
        <w:t>Intersex people</w:t>
      </w:r>
      <w:r w:rsidR="00CD4F02">
        <w:rPr>
          <w:rFonts w:ascii="Times New Roman" w:hAnsi="Times New Roman" w:cs="Times New Roman"/>
          <w:sz w:val="20"/>
          <w:szCs w:val="20"/>
        </w:rPr>
        <w:t>,</w:t>
      </w:r>
      <w:r w:rsidRPr="00CE3338">
        <w:rPr>
          <w:rFonts w:ascii="Times New Roman" w:hAnsi="Times New Roman" w:cs="Times New Roman"/>
          <w:sz w:val="20"/>
          <w:szCs w:val="20"/>
        </w:rPr>
        <w:t xml:space="preserve"> who may have no easily </w:t>
      </w:r>
      <w:r w:rsidR="00CD4F02" w:rsidRPr="00CE3338">
        <w:rPr>
          <w:rFonts w:ascii="Times New Roman" w:hAnsi="Times New Roman" w:cs="Times New Roman"/>
          <w:sz w:val="20"/>
          <w:szCs w:val="20"/>
        </w:rPr>
        <w:t>recognisable</w:t>
      </w:r>
      <w:r w:rsidR="00CD4F02">
        <w:rPr>
          <w:rFonts w:ascii="Times New Roman" w:hAnsi="Times New Roman" w:cs="Times New Roman"/>
          <w:sz w:val="20"/>
          <w:szCs w:val="20"/>
        </w:rPr>
        <w:t xml:space="preserve"> </w:t>
      </w:r>
      <w:r w:rsidR="00CD4F02" w:rsidRPr="00CE3338">
        <w:rPr>
          <w:rFonts w:ascii="Times New Roman" w:hAnsi="Times New Roman" w:cs="Times New Roman"/>
          <w:sz w:val="20"/>
          <w:szCs w:val="20"/>
        </w:rPr>
        <w:t>sex</w:t>
      </w:r>
      <w:r w:rsidR="00CD4F02">
        <w:rPr>
          <w:rFonts w:ascii="Times New Roman" w:hAnsi="Times New Roman" w:cs="Times New Roman"/>
          <w:sz w:val="20"/>
          <w:szCs w:val="20"/>
        </w:rPr>
        <w:t>, were</w:t>
      </w:r>
      <w:r w:rsidRPr="00CE3338">
        <w:rPr>
          <w:rFonts w:ascii="Times New Roman" w:hAnsi="Times New Roman" w:cs="Times New Roman"/>
          <w:sz w:val="20"/>
          <w:szCs w:val="20"/>
        </w:rPr>
        <w:t xml:space="preserve"> physically apart from the male/female binary, and – where the binary </w:t>
      </w:r>
      <w:r w:rsidR="00CD4F02">
        <w:rPr>
          <w:rFonts w:ascii="Times New Roman" w:hAnsi="Times New Roman" w:cs="Times New Roman"/>
          <w:sz w:val="20"/>
          <w:szCs w:val="20"/>
        </w:rPr>
        <w:t>was</w:t>
      </w:r>
      <w:r w:rsidRPr="00CE3338">
        <w:rPr>
          <w:rFonts w:ascii="Times New Roman" w:hAnsi="Times New Roman" w:cs="Times New Roman"/>
          <w:sz w:val="20"/>
          <w:szCs w:val="20"/>
        </w:rPr>
        <w:t xml:space="preserve"> rigid –</w:t>
      </w:r>
      <w:r w:rsidR="00CD4F02">
        <w:rPr>
          <w:rFonts w:ascii="Times New Roman" w:hAnsi="Times New Roman" w:cs="Times New Roman"/>
          <w:sz w:val="20"/>
          <w:szCs w:val="20"/>
        </w:rPr>
        <w:t xml:space="preserve"> </w:t>
      </w:r>
      <w:r w:rsidRPr="00CE3338">
        <w:rPr>
          <w:rFonts w:ascii="Times New Roman" w:hAnsi="Times New Roman" w:cs="Times New Roman"/>
          <w:sz w:val="20"/>
          <w:szCs w:val="20"/>
        </w:rPr>
        <w:t>transgress</w:t>
      </w:r>
      <w:r w:rsidR="00CD4F02">
        <w:rPr>
          <w:rFonts w:ascii="Times New Roman" w:hAnsi="Times New Roman" w:cs="Times New Roman"/>
          <w:sz w:val="20"/>
          <w:szCs w:val="20"/>
        </w:rPr>
        <w:t>ed</w:t>
      </w:r>
      <w:r w:rsidRPr="00CE3338">
        <w:rPr>
          <w:rFonts w:ascii="Times New Roman" w:hAnsi="Times New Roman" w:cs="Times New Roman"/>
          <w:sz w:val="20"/>
          <w:szCs w:val="20"/>
        </w:rPr>
        <w:t xml:space="preserve"> it (Chen, 2017, Pp.206-208).</w:t>
      </w:r>
      <w:r w:rsidR="00CE3338" w:rsidRPr="00CE3338">
        <w:t xml:space="preserve"> </w:t>
      </w:r>
    </w:p>
    <w:p w14:paraId="1F990818" w14:textId="73D20422" w:rsidR="00BD74EF" w:rsidRPr="00CE3338" w:rsidRDefault="00CE3338" w:rsidP="00CE3338">
      <w:pPr>
        <w:spacing w:line="240" w:lineRule="auto"/>
        <w:jc w:val="both"/>
        <w:rPr>
          <w:rFonts w:ascii="Times New Roman" w:hAnsi="Times New Roman" w:cs="Times New Roman"/>
          <w:sz w:val="20"/>
          <w:szCs w:val="20"/>
        </w:rPr>
      </w:pPr>
      <w:r w:rsidRPr="00CE3338">
        <w:rPr>
          <w:rFonts w:ascii="Times New Roman" w:hAnsi="Times New Roman" w:cs="Times New Roman"/>
          <w:sz w:val="20"/>
          <w:szCs w:val="20"/>
        </w:rPr>
        <w:t>Intersex people don’t fit into the male/female binary, and so apparent was this binary in Roman society, that the intersex lacked a place there.</w:t>
      </w:r>
    </w:p>
    <w:p w14:paraId="3474C241" w14:textId="7F6E68A3" w:rsidR="00BD74EF" w:rsidRDefault="00FB4C60" w:rsidP="00BD74EF">
      <w:pPr>
        <w:pStyle w:val="ListParagraph"/>
        <w:numPr>
          <w:ilvl w:val="0"/>
          <w:numId w:val="10"/>
        </w:numPr>
        <w:spacing w:line="240" w:lineRule="auto"/>
        <w:jc w:val="both"/>
        <w:rPr>
          <w:rFonts w:ascii="Times New Roman" w:hAnsi="Times New Roman" w:cs="Times New Roman"/>
          <w:sz w:val="20"/>
          <w:szCs w:val="20"/>
        </w:rPr>
      </w:pPr>
      <w:r w:rsidRPr="00BD74EF">
        <w:rPr>
          <w:rFonts w:ascii="Times New Roman" w:hAnsi="Times New Roman" w:cs="Times New Roman"/>
          <w:sz w:val="20"/>
          <w:szCs w:val="20"/>
        </w:rPr>
        <w:t xml:space="preserve">As Cosgrave </w:t>
      </w:r>
      <w:r w:rsidR="00BD74EF">
        <w:rPr>
          <w:rFonts w:ascii="Times New Roman" w:hAnsi="Times New Roman" w:cs="Times New Roman"/>
          <w:sz w:val="20"/>
          <w:szCs w:val="20"/>
        </w:rPr>
        <w:t>describes</w:t>
      </w:r>
      <w:r w:rsidRPr="00BD74EF">
        <w:rPr>
          <w:rFonts w:ascii="Times New Roman" w:hAnsi="Times New Roman" w:cs="Times New Roman"/>
          <w:sz w:val="20"/>
          <w:szCs w:val="20"/>
        </w:rPr>
        <w:t xml:space="preserve"> in her academic blog, </w:t>
      </w:r>
      <w:r w:rsidR="00BD74EF">
        <w:rPr>
          <w:rFonts w:ascii="Times New Roman" w:hAnsi="Times New Roman" w:cs="Times New Roman"/>
          <w:sz w:val="20"/>
          <w:szCs w:val="20"/>
        </w:rPr>
        <w:t xml:space="preserve">how </w:t>
      </w:r>
      <w:r w:rsidRPr="00BD74EF">
        <w:rPr>
          <w:rFonts w:ascii="Times New Roman" w:hAnsi="Times New Roman" w:cs="Times New Roman"/>
          <w:sz w:val="20"/>
          <w:szCs w:val="20"/>
        </w:rPr>
        <w:t xml:space="preserve">intersex people, especially </w:t>
      </w:r>
      <w:r w:rsidR="00BD74EF">
        <w:rPr>
          <w:rFonts w:ascii="Times New Roman" w:hAnsi="Times New Roman" w:cs="Times New Roman"/>
          <w:sz w:val="20"/>
          <w:szCs w:val="20"/>
        </w:rPr>
        <w:t>before and during</w:t>
      </w:r>
      <w:r w:rsidRPr="00BD74EF">
        <w:rPr>
          <w:rFonts w:ascii="Times New Roman" w:hAnsi="Times New Roman" w:cs="Times New Roman"/>
          <w:sz w:val="20"/>
          <w:szCs w:val="20"/>
        </w:rPr>
        <w:t xml:space="preserve"> the early </w:t>
      </w:r>
      <w:r w:rsidR="00BD74EF">
        <w:rPr>
          <w:rFonts w:ascii="Times New Roman" w:hAnsi="Times New Roman" w:cs="Times New Roman"/>
          <w:sz w:val="20"/>
          <w:szCs w:val="20"/>
        </w:rPr>
        <w:t>i</w:t>
      </w:r>
      <w:r w:rsidRPr="00BD74EF">
        <w:rPr>
          <w:rFonts w:ascii="Times New Roman" w:hAnsi="Times New Roman" w:cs="Times New Roman"/>
          <w:sz w:val="20"/>
          <w:szCs w:val="20"/>
        </w:rPr>
        <w:t>mperial period, were considered to be</w:t>
      </w:r>
      <w:r w:rsidR="00CD4F02">
        <w:rPr>
          <w:rFonts w:ascii="Times New Roman" w:hAnsi="Times New Roman" w:cs="Times New Roman"/>
          <w:sz w:val="20"/>
          <w:szCs w:val="20"/>
        </w:rPr>
        <w:t xml:space="preserve"> omens</w:t>
      </w:r>
      <w:r w:rsidRPr="00BD74EF">
        <w:rPr>
          <w:rFonts w:ascii="Times New Roman" w:hAnsi="Times New Roman" w:cs="Times New Roman"/>
          <w:sz w:val="20"/>
          <w:szCs w:val="20"/>
        </w:rPr>
        <w:t xml:space="preserve"> from the gods (</w:t>
      </w:r>
      <w:r w:rsidR="008C1B16" w:rsidRPr="00BD74EF">
        <w:rPr>
          <w:rFonts w:ascii="Times New Roman" w:hAnsi="Times New Roman" w:cs="Times New Roman"/>
          <w:sz w:val="20"/>
          <w:szCs w:val="20"/>
        </w:rPr>
        <w:t>Cosgrave, 2015).</w:t>
      </w:r>
    </w:p>
    <w:p w14:paraId="5363578B" w14:textId="2C745AE5" w:rsidR="00F854CC" w:rsidRDefault="008C1B16" w:rsidP="00CE3338">
      <w:pPr>
        <w:pStyle w:val="ListParagraph"/>
        <w:numPr>
          <w:ilvl w:val="1"/>
          <w:numId w:val="10"/>
        </w:numPr>
        <w:spacing w:line="240" w:lineRule="auto"/>
        <w:jc w:val="both"/>
        <w:rPr>
          <w:rFonts w:ascii="Times New Roman" w:hAnsi="Times New Roman" w:cs="Times New Roman"/>
          <w:sz w:val="20"/>
          <w:szCs w:val="20"/>
        </w:rPr>
      </w:pPr>
      <w:r w:rsidRPr="00BD74EF">
        <w:rPr>
          <w:rFonts w:ascii="Times New Roman" w:hAnsi="Times New Roman" w:cs="Times New Roman"/>
          <w:sz w:val="20"/>
          <w:szCs w:val="20"/>
        </w:rPr>
        <w:t>As Cosgrave discusses, they were treated as bad omens, not as people, and their role within society was to be sacrificed to the gods</w:t>
      </w:r>
      <w:r w:rsidR="00BA3E1C" w:rsidRPr="00BD74EF">
        <w:rPr>
          <w:rFonts w:ascii="Times New Roman" w:hAnsi="Times New Roman" w:cs="Times New Roman"/>
          <w:sz w:val="20"/>
          <w:szCs w:val="20"/>
        </w:rPr>
        <w:t xml:space="preserve"> (Cosgrave, 2015)</w:t>
      </w:r>
      <w:r w:rsidRPr="00BD74EF">
        <w:rPr>
          <w:rFonts w:ascii="Times New Roman" w:hAnsi="Times New Roman" w:cs="Times New Roman"/>
          <w:sz w:val="20"/>
          <w:szCs w:val="20"/>
        </w:rPr>
        <w:t>.</w:t>
      </w:r>
    </w:p>
    <w:p w14:paraId="3808034A" w14:textId="1C44DBB5" w:rsidR="00884EB6" w:rsidRDefault="00884EB6" w:rsidP="00CE3338">
      <w:pPr>
        <w:pStyle w:val="ListParagraph"/>
        <w:numPr>
          <w:ilvl w:val="2"/>
          <w:numId w:val="10"/>
        </w:numPr>
        <w:spacing w:line="240" w:lineRule="auto"/>
        <w:jc w:val="both"/>
        <w:rPr>
          <w:rFonts w:ascii="Times New Roman" w:hAnsi="Times New Roman" w:cs="Times New Roman"/>
          <w:sz w:val="20"/>
          <w:szCs w:val="20"/>
        </w:rPr>
      </w:pPr>
      <w:r>
        <w:rPr>
          <w:rFonts w:ascii="Times New Roman" w:hAnsi="Times New Roman" w:cs="Times New Roman"/>
          <w:sz w:val="20"/>
          <w:szCs w:val="20"/>
        </w:rPr>
        <w:t>Cosgrave suggests that they were seen to be on a level with animals, being as intersex births were recorded alongside the births of deformed animals (Cosgrave, 2015).</w:t>
      </w:r>
    </w:p>
    <w:p w14:paraId="18AD756A" w14:textId="7651C208" w:rsidR="00884EB6" w:rsidRDefault="00CD4F02" w:rsidP="00CE3338">
      <w:pPr>
        <w:pStyle w:val="ListParagraph"/>
        <w:numPr>
          <w:ilvl w:val="2"/>
          <w:numId w:val="10"/>
        </w:numPr>
        <w:spacing w:line="240" w:lineRule="auto"/>
        <w:jc w:val="both"/>
        <w:rPr>
          <w:rFonts w:ascii="Times New Roman" w:hAnsi="Times New Roman" w:cs="Times New Roman"/>
          <w:sz w:val="20"/>
          <w:szCs w:val="20"/>
        </w:rPr>
      </w:pPr>
      <w:r>
        <w:rPr>
          <w:rFonts w:ascii="Times New Roman" w:hAnsi="Times New Roman" w:cs="Times New Roman"/>
          <w:sz w:val="20"/>
          <w:szCs w:val="20"/>
        </w:rPr>
        <w:t>I</w:t>
      </w:r>
      <w:r w:rsidR="00884EB6">
        <w:rPr>
          <w:rFonts w:ascii="Times New Roman" w:hAnsi="Times New Roman" w:cs="Times New Roman"/>
          <w:sz w:val="20"/>
          <w:szCs w:val="20"/>
        </w:rPr>
        <w:t xml:space="preserve">t is worth noting that animals which were ‘abnormal’, in the Romans’ view, were considered unsuitable for sacrifice, while intersex people, who the Roman’s saw as abnormal too, </w:t>
      </w:r>
      <w:r>
        <w:rPr>
          <w:rFonts w:ascii="Times New Roman" w:hAnsi="Times New Roman" w:cs="Times New Roman"/>
          <w:sz w:val="20"/>
          <w:szCs w:val="20"/>
        </w:rPr>
        <w:t xml:space="preserve">were </w:t>
      </w:r>
      <w:r w:rsidR="00884EB6">
        <w:rPr>
          <w:rFonts w:ascii="Times New Roman" w:hAnsi="Times New Roman" w:cs="Times New Roman"/>
          <w:sz w:val="20"/>
          <w:szCs w:val="20"/>
        </w:rPr>
        <w:t>sacrificed (Aldrete, 2004, Pp.146-147</w:t>
      </w:r>
      <w:r w:rsidR="00CE3338">
        <w:rPr>
          <w:rFonts w:ascii="Times New Roman" w:hAnsi="Times New Roman" w:cs="Times New Roman"/>
          <w:sz w:val="20"/>
          <w:szCs w:val="20"/>
        </w:rPr>
        <w:t xml:space="preserve"> &amp; Cosgrave, 2015</w:t>
      </w:r>
      <w:r w:rsidR="00884EB6">
        <w:rPr>
          <w:rFonts w:ascii="Times New Roman" w:hAnsi="Times New Roman" w:cs="Times New Roman"/>
          <w:sz w:val="20"/>
          <w:szCs w:val="20"/>
        </w:rPr>
        <w:t>).</w:t>
      </w:r>
    </w:p>
    <w:p w14:paraId="2B9B7EAF" w14:textId="14D9245F" w:rsidR="00884EB6" w:rsidRPr="00884EB6" w:rsidRDefault="00884EB6" w:rsidP="00CE3338">
      <w:pPr>
        <w:pStyle w:val="ListParagraph"/>
        <w:numPr>
          <w:ilvl w:val="3"/>
          <w:numId w:val="10"/>
        </w:num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This suggests that </w:t>
      </w:r>
      <w:r w:rsidR="00CE3338">
        <w:rPr>
          <w:rFonts w:ascii="Times New Roman" w:hAnsi="Times New Roman" w:cs="Times New Roman"/>
          <w:sz w:val="20"/>
          <w:szCs w:val="20"/>
        </w:rPr>
        <w:t>transgressors of the binary were considered apart, even in terms of perceived deformity.</w:t>
      </w:r>
    </w:p>
    <w:p w14:paraId="40617C34" w14:textId="5AB2FCF8" w:rsidR="00CE3338" w:rsidRDefault="00BA3E1C" w:rsidP="00F854CC">
      <w:pPr>
        <w:spacing w:line="240" w:lineRule="auto"/>
        <w:jc w:val="both"/>
        <w:rPr>
          <w:rFonts w:ascii="Times New Roman" w:hAnsi="Times New Roman" w:cs="Times New Roman"/>
          <w:sz w:val="20"/>
          <w:szCs w:val="20"/>
        </w:rPr>
      </w:pPr>
      <w:r w:rsidRPr="00F854CC">
        <w:rPr>
          <w:rFonts w:ascii="Times New Roman" w:hAnsi="Times New Roman" w:cs="Times New Roman"/>
          <w:sz w:val="20"/>
          <w:szCs w:val="20"/>
        </w:rPr>
        <w:t xml:space="preserve"> As time went on intersex people began to be more accepted, </w:t>
      </w:r>
      <w:r w:rsidR="00CE3338">
        <w:rPr>
          <w:rFonts w:ascii="Times New Roman" w:hAnsi="Times New Roman" w:cs="Times New Roman"/>
          <w:sz w:val="20"/>
          <w:szCs w:val="20"/>
        </w:rPr>
        <w:t xml:space="preserve">by the first century AD </w:t>
      </w:r>
      <w:r w:rsidRPr="00F854CC">
        <w:rPr>
          <w:rFonts w:ascii="Times New Roman" w:hAnsi="Times New Roman" w:cs="Times New Roman"/>
          <w:sz w:val="20"/>
          <w:szCs w:val="20"/>
        </w:rPr>
        <w:t xml:space="preserve">they began to be seen with fascination (Cosgrave, 2015). </w:t>
      </w:r>
    </w:p>
    <w:p w14:paraId="4B75068D" w14:textId="2F473461" w:rsidR="00CE3338" w:rsidRPr="00CE3338" w:rsidRDefault="00CE3338" w:rsidP="00CE3338">
      <w:pPr>
        <w:pStyle w:val="ListParagraph"/>
        <w:numPr>
          <w:ilvl w:val="0"/>
          <w:numId w:val="11"/>
        </w:numPr>
        <w:spacing w:line="240" w:lineRule="auto"/>
        <w:jc w:val="both"/>
        <w:rPr>
          <w:rFonts w:ascii="Times New Roman" w:hAnsi="Times New Roman" w:cs="Times New Roman"/>
          <w:sz w:val="20"/>
          <w:szCs w:val="20"/>
        </w:rPr>
      </w:pPr>
      <w:r>
        <w:rPr>
          <w:rFonts w:ascii="Times New Roman" w:hAnsi="Times New Roman" w:cs="Times New Roman"/>
          <w:sz w:val="20"/>
          <w:szCs w:val="20"/>
        </w:rPr>
        <w:t>Cosgrave discusses the use of intersex figures in crude, ‘humorous’ – by Roman standards – art</w:t>
      </w:r>
      <w:r w:rsidR="00CD4F02">
        <w:rPr>
          <w:rFonts w:ascii="Times New Roman" w:hAnsi="Times New Roman" w:cs="Times New Roman"/>
          <w:sz w:val="20"/>
          <w:szCs w:val="20"/>
        </w:rPr>
        <w:t xml:space="preserve"> </w:t>
      </w:r>
      <w:r>
        <w:rPr>
          <w:rFonts w:ascii="Times New Roman" w:hAnsi="Times New Roman" w:cs="Times New Roman"/>
          <w:sz w:val="20"/>
          <w:szCs w:val="20"/>
        </w:rPr>
        <w:t>(Cosgrave, 2015)</w:t>
      </w:r>
    </w:p>
    <w:p w14:paraId="54C0D779" w14:textId="4D09972A" w:rsidR="00CE3338" w:rsidRDefault="00CE65FE" w:rsidP="00CE3338">
      <w:pPr>
        <w:pStyle w:val="ListParagraph"/>
        <w:numPr>
          <w:ilvl w:val="1"/>
          <w:numId w:val="11"/>
        </w:numPr>
        <w:spacing w:line="240" w:lineRule="auto"/>
        <w:jc w:val="both"/>
        <w:rPr>
          <w:rFonts w:ascii="Times New Roman" w:hAnsi="Times New Roman" w:cs="Times New Roman"/>
          <w:sz w:val="20"/>
          <w:szCs w:val="20"/>
        </w:rPr>
      </w:pPr>
      <w:r w:rsidRPr="003749EA">
        <w:lastRenderedPageBreak/>
        <w:drawing>
          <wp:anchor distT="0" distB="0" distL="114300" distR="114300" simplePos="0" relativeHeight="251658240" behindDoc="0" locked="0" layoutInCell="1" allowOverlap="1" wp14:anchorId="7DF800E2" wp14:editId="26E01B0C">
            <wp:simplePos x="0" y="0"/>
            <wp:positionH relativeFrom="page">
              <wp:align>left</wp:align>
            </wp:positionH>
            <wp:positionV relativeFrom="paragraph">
              <wp:posOffset>11430</wp:posOffset>
            </wp:positionV>
            <wp:extent cx="1752600" cy="1627505"/>
            <wp:effectExtent l="0" t="0" r="0" b="0"/>
            <wp:wrapThrough wrapText="bothSides">
              <wp:wrapPolygon edited="0">
                <wp:start x="0" y="0"/>
                <wp:lineTo x="0" y="21238"/>
                <wp:lineTo x="21365" y="21238"/>
                <wp:lineTo x="21365"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52600" cy="1627505"/>
                    </a:xfrm>
                    <a:prstGeom prst="rect">
                      <a:avLst/>
                    </a:prstGeom>
                  </pic:spPr>
                </pic:pic>
              </a:graphicData>
            </a:graphic>
            <wp14:sizeRelH relativeFrom="page">
              <wp14:pctWidth>0</wp14:pctWidth>
            </wp14:sizeRelH>
            <wp14:sizeRelV relativeFrom="page">
              <wp14:pctHeight>0</wp14:pctHeight>
            </wp14:sizeRelV>
          </wp:anchor>
        </w:drawing>
      </w:r>
      <w:r w:rsidR="00CE3338">
        <w:rPr>
          <w:rFonts w:ascii="Times New Roman" w:hAnsi="Times New Roman" w:cs="Times New Roman"/>
          <w:sz w:val="20"/>
          <w:szCs w:val="20"/>
        </w:rPr>
        <w:t xml:space="preserve">An example of their use in ‘humorous’ art would be the Pompei depiction of </w:t>
      </w:r>
      <w:r w:rsidR="006827F2">
        <w:rPr>
          <w:rFonts w:ascii="Times New Roman" w:hAnsi="Times New Roman" w:cs="Times New Roman"/>
          <w:sz w:val="20"/>
          <w:szCs w:val="20"/>
        </w:rPr>
        <w:t>satyrs attempting to rape a number of intersex people, who the satyrs think are women, but from the viewers perspective clearly have male genitalia (Cosgrave, 2015).</w:t>
      </w:r>
    </w:p>
    <w:p w14:paraId="4988D829" w14:textId="63C77CD6" w:rsidR="006827F2" w:rsidRDefault="006827F2" w:rsidP="006827F2">
      <w:pPr>
        <w:pStyle w:val="ListParagraph"/>
        <w:numPr>
          <w:ilvl w:val="2"/>
          <w:numId w:val="11"/>
        </w:numPr>
        <w:spacing w:line="240" w:lineRule="auto"/>
        <w:jc w:val="both"/>
        <w:rPr>
          <w:rFonts w:ascii="Times New Roman" w:hAnsi="Times New Roman" w:cs="Times New Roman"/>
          <w:sz w:val="20"/>
          <w:szCs w:val="20"/>
        </w:rPr>
      </w:pPr>
      <w:r>
        <w:rPr>
          <w:rFonts w:ascii="Times New Roman" w:hAnsi="Times New Roman" w:cs="Times New Roman"/>
          <w:sz w:val="20"/>
          <w:szCs w:val="20"/>
        </w:rPr>
        <w:t>Cosgrave reasons that the ‘humour’ of this rape comes from the satyrs’ ignorance of their victims being intersex (Cosgrave, 2015).</w:t>
      </w:r>
    </w:p>
    <w:p w14:paraId="35D2D7BA" w14:textId="24F44183" w:rsidR="006827F2" w:rsidRDefault="006827F2" w:rsidP="006827F2">
      <w:pPr>
        <w:pStyle w:val="ListParagraph"/>
        <w:numPr>
          <w:ilvl w:val="2"/>
          <w:numId w:val="11"/>
        </w:numPr>
        <w:spacing w:line="240" w:lineRule="auto"/>
        <w:jc w:val="both"/>
        <w:rPr>
          <w:rFonts w:ascii="Times New Roman" w:hAnsi="Times New Roman" w:cs="Times New Roman"/>
          <w:sz w:val="20"/>
          <w:szCs w:val="20"/>
        </w:rPr>
      </w:pPr>
      <w:r w:rsidRPr="006827F2">
        <w:rPr>
          <w:rFonts w:ascii="Times New Roman" w:hAnsi="Times New Roman" w:cs="Times New Roman"/>
          <w:sz w:val="20"/>
          <w:szCs w:val="20"/>
        </w:rPr>
        <w:t>If this is so then it is indicative of a taboo regarding intersex people</w:t>
      </w:r>
      <w:r>
        <w:rPr>
          <w:rFonts w:ascii="Times New Roman" w:hAnsi="Times New Roman" w:cs="Times New Roman"/>
          <w:sz w:val="20"/>
          <w:szCs w:val="20"/>
        </w:rPr>
        <w:t>.</w:t>
      </w:r>
    </w:p>
    <w:p w14:paraId="03D84A01" w14:textId="725D20F1" w:rsidR="0017030D" w:rsidRDefault="006827F2" w:rsidP="00F854CC">
      <w:pPr>
        <w:pStyle w:val="ListParagraph"/>
        <w:numPr>
          <w:ilvl w:val="3"/>
          <w:numId w:val="11"/>
        </w:num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It suggests that the satyrs wouldn’t be interested if they knew. </w:t>
      </w:r>
      <w:r w:rsidR="003749EA">
        <w:rPr>
          <w:rFonts w:ascii="Times New Roman" w:hAnsi="Times New Roman" w:cs="Times New Roman"/>
          <w:sz w:val="20"/>
          <w:szCs w:val="20"/>
        </w:rPr>
        <w:t>This denotes intersex people as separate from the binary</w:t>
      </w:r>
      <w:r w:rsidR="00CD4F02">
        <w:rPr>
          <w:rFonts w:ascii="Times New Roman" w:hAnsi="Times New Roman" w:cs="Times New Roman"/>
          <w:sz w:val="20"/>
          <w:szCs w:val="20"/>
        </w:rPr>
        <w:t>;</w:t>
      </w:r>
      <w:r w:rsidR="003749EA">
        <w:rPr>
          <w:rFonts w:ascii="Times New Roman" w:hAnsi="Times New Roman" w:cs="Times New Roman"/>
          <w:sz w:val="20"/>
          <w:szCs w:val="20"/>
        </w:rPr>
        <w:t xml:space="preserve"> </w:t>
      </w:r>
      <w:r w:rsidR="00530459">
        <w:rPr>
          <w:rFonts w:ascii="Times New Roman" w:hAnsi="Times New Roman" w:cs="Times New Roman"/>
          <w:sz w:val="20"/>
          <w:szCs w:val="20"/>
        </w:rPr>
        <w:t xml:space="preserve">images of </w:t>
      </w:r>
      <w:r w:rsidR="003749EA">
        <w:rPr>
          <w:rFonts w:ascii="Times New Roman" w:hAnsi="Times New Roman" w:cs="Times New Roman"/>
          <w:sz w:val="20"/>
          <w:szCs w:val="20"/>
        </w:rPr>
        <w:t>satyrs</w:t>
      </w:r>
      <w:r w:rsidR="003749EA" w:rsidRPr="0017030D">
        <w:rPr>
          <w:rFonts w:ascii="Times New Roman" w:hAnsi="Times New Roman" w:cs="Times New Roman"/>
          <w:sz w:val="20"/>
          <w:szCs w:val="20"/>
        </w:rPr>
        <w:t xml:space="preserve"> raping</w:t>
      </w:r>
      <w:r w:rsidR="00530459" w:rsidRPr="0017030D">
        <w:rPr>
          <w:rFonts w:ascii="Times New Roman" w:hAnsi="Times New Roman" w:cs="Times New Roman"/>
          <w:sz w:val="20"/>
          <w:szCs w:val="20"/>
        </w:rPr>
        <w:t xml:space="preserve"> people within the binary</w:t>
      </w:r>
      <w:r w:rsidR="0017030D">
        <w:rPr>
          <w:rFonts w:ascii="Times New Roman" w:hAnsi="Times New Roman" w:cs="Times New Roman"/>
          <w:sz w:val="20"/>
          <w:szCs w:val="20"/>
        </w:rPr>
        <w:t xml:space="preserve"> </w:t>
      </w:r>
      <w:r w:rsidR="003749EA" w:rsidRPr="0017030D">
        <w:rPr>
          <w:rFonts w:ascii="Times New Roman" w:hAnsi="Times New Roman" w:cs="Times New Roman"/>
          <w:sz w:val="20"/>
          <w:szCs w:val="20"/>
        </w:rPr>
        <w:t>(see: Fig. 1)</w:t>
      </w:r>
      <w:r w:rsidR="00530459" w:rsidRPr="0017030D">
        <w:rPr>
          <w:rFonts w:ascii="Times New Roman" w:hAnsi="Times New Roman" w:cs="Times New Roman"/>
          <w:sz w:val="20"/>
          <w:szCs w:val="20"/>
        </w:rPr>
        <w:t>,</w:t>
      </w:r>
      <w:r w:rsidR="0017030D">
        <w:rPr>
          <w:rFonts w:ascii="Times New Roman" w:hAnsi="Times New Roman" w:cs="Times New Roman"/>
          <w:sz w:val="20"/>
          <w:szCs w:val="20"/>
        </w:rPr>
        <w:t xml:space="preserve"> </w:t>
      </w:r>
      <w:r w:rsidR="00530459" w:rsidRPr="0017030D">
        <w:rPr>
          <w:rFonts w:ascii="Times New Roman" w:hAnsi="Times New Roman" w:cs="Times New Roman"/>
          <w:sz w:val="20"/>
          <w:szCs w:val="20"/>
        </w:rPr>
        <w:t>have been seen in</w:t>
      </w:r>
      <w:r w:rsidR="001E1CA1">
        <w:rPr>
          <w:rFonts w:ascii="Times New Roman" w:hAnsi="Times New Roman" w:cs="Times New Roman"/>
          <w:sz w:val="20"/>
          <w:szCs w:val="20"/>
        </w:rPr>
        <w:t xml:space="preserve"> </w:t>
      </w:r>
      <w:r w:rsidR="00530459" w:rsidRPr="0017030D">
        <w:rPr>
          <w:rFonts w:ascii="Times New Roman" w:hAnsi="Times New Roman" w:cs="Times New Roman"/>
          <w:sz w:val="20"/>
          <w:szCs w:val="20"/>
        </w:rPr>
        <w:t>more serious contexts.</w:t>
      </w:r>
    </w:p>
    <w:p w14:paraId="66B15AEE" w14:textId="2B27D31D" w:rsidR="00BA3E1C" w:rsidRDefault="0017030D" w:rsidP="00F854CC">
      <w:pPr>
        <w:pStyle w:val="ListParagraph"/>
        <w:numPr>
          <w:ilvl w:val="3"/>
          <w:numId w:val="11"/>
        </w:numPr>
        <w:spacing w:line="240" w:lineRule="auto"/>
        <w:jc w:val="both"/>
        <w:rPr>
          <w:rFonts w:ascii="Times New Roman" w:hAnsi="Times New Roman" w:cs="Times New Roman"/>
          <w:sz w:val="20"/>
          <w:szCs w:val="20"/>
        </w:rPr>
      </w:pPr>
      <w:r>
        <w:rPr>
          <w:rFonts w:ascii="Times New Roman" w:hAnsi="Times New Roman" w:cs="Times New Roman"/>
          <w:sz w:val="20"/>
          <w:szCs w:val="20"/>
        </w:rPr>
        <w:t>T</w:t>
      </w:r>
      <w:r w:rsidR="00A37270" w:rsidRPr="0017030D">
        <w:rPr>
          <w:rFonts w:ascii="Times New Roman" w:hAnsi="Times New Roman" w:cs="Times New Roman"/>
          <w:sz w:val="20"/>
          <w:szCs w:val="20"/>
        </w:rPr>
        <w:t>his shows that they continued to be seen as outside of conventional society.</w:t>
      </w:r>
    </w:p>
    <w:p w14:paraId="6A4207CC" w14:textId="31DAD960" w:rsidR="0017030D" w:rsidRDefault="00322A8F" w:rsidP="0017030D">
      <w:pPr>
        <w:pStyle w:val="ListParagraph"/>
        <w:numPr>
          <w:ilvl w:val="1"/>
          <w:numId w:val="11"/>
        </w:numPr>
        <w:spacing w:line="240" w:lineRule="auto"/>
        <w:jc w:val="both"/>
        <w:rPr>
          <w:rFonts w:ascii="Times New Roman" w:hAnsi="Times New Roman" w:cs="Times New Roman"/>
          <w:sz w:val="20"/>
          <w:szCs w:val="20"/>
        </w:rPr>
      </w:pPr>
      <w:r w:rsidRPr="003749EA">
        <w:rPr>
          <w:noProof/>
        </w:rPr>
        <mc:AlternateContent>
          <mc:Choice Requires="wps">
            <w:drawing>
              <wp:anchor distT="45720" distB="45720" distL="114300" distR="114300" simplePos="0" relativeHeight="251660288" behindDoc="0" locked="0" layoutInCell="1" allowOverlap="1" wp14:anchorId="78743B96" wp14:editId="5A63B315">
                <wp:simplePos x="0" y="0"/>
                <wp:positionH relativeFrom="page">
                  <wp:posOffset>0</wp:posOffset>
                </wp:positionH>
                <wp:positionV relativeFrom="paragraph">
                  <wp:posOffset>153670</wp:posOffset>
                </wp:positionV>
                <wp:extent cx="1733550" cy="390525"/>
                <wp:effectExtent l="0" t="0" r="19050" b="28575"/>
                <wp:wrapThrough wrapText="bothSides">
                  <wp:wrapPolygon edited="0">
                    <wp:start x="0" y="0"/>
                    <wp:lineTo x="0" y="22127"/>
                    <wp:lineTo x="21600" y="22127"/>
                    <wp:lineTo x="21600" y="0"/>
                    <wp:lineTo x="0" y="0"/>
                  </wp:wrapPolygon>
                </wp:wrapThrough>
                <wp:docPr id="217" name="Text Box 2" descr="Fig.1 (Imperium Romanum, 2015)&#10;">
                  <a:extLst xmlns:a="http://schemas.openxmlformats.org/drawingml/2006/main">
                    <a:ext uri="{C183D7F6-B498-43B3-948B-1728B52AA6E4}">
                      <adec:decorative xmlns:adec="http://schemas.microsoft.com/office/drawing/2017/decorative" val="0"/>
                    </a:ext>
                  </a:extLst>
                </wp:docPr>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390525"/>
                        </a:xfrm>
                        <a:prstGeom prst="rect">
                          <a:avLst/>
                        </a:prstGeom>
                        <a:ln>
                          <a:headEnd/>
                          <a:tailEnd/>
                        </a:ln>
                      </wps:spPr>
                      <wps:style>
                        <a:lnRef idx="2">
                          <a:schemeClr val="dk1"/>
                        </a:lnRef>
                        <a:fillRef idx="1">
                          <a:schemeClr val="lt1"/>
                        </a:fillRef>
                        <a:effectRef idx="0">
                          <a:schemeClr val="dk1"/>
                        </a:effectRef>
                        <a:fontRef idx="minor">
                          <a:schemeClr val="dk1"/>
                        </a:fontRef>
                      </wps:style>
                      <wps:txbx>
                        <w:txbxContent>
                          <w:p w14:paraId="5D646151" w14:textId="04AE93BF" w:rsidR="003749EA" w:rsidRPr="003749EA" w:rsidRDefault="003749EA" w:rsidP="003749EA">
                            <w:pPr>
                              <w:jc w:val="center"/>
                              <w:rPr>
                                <w:rFonts w:ascii="Times New Roman" w:hAnsi="Times New Roman" w:cs="Times New Roman"/>
                                <w:sz w:val="20"/>
                                <w:szCs w:val="20"/>
                              </w:rPr>
                            </w:pPr>
                            <w:r w:rsidRPr="003749EA">
                              <w:rPr>
                                <w:rFonts w:ascii="Times New Roman" w:hAnsi="Times New Roman" w:cs="Times New Roman"/>
                                <w:sz w:val="20"/>
                                <w:szCs w:val="20"/>
                              </w:rPr>
                              <w:t>Fig.1 (Imperium Romanum, 2015)</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78743B96" id="_x0000_t202" coordsize="21600,21600" o:spt="202" path="m,l,21600r21600,l21600,xe">
                <v:stroke joinstyle="miter"/>
                <v:path gradientshapeok="t" o:connecttype="rect"/>
              </v:shapetype>
              <v:shape id="Text Box 2" o:spid="_x0000_s1026" type="#_x0000_t202" alt="Fig.1 (Imperium Romanum, 2015)&#10;" style="position:absolute;left:0;text-align:left;margin-left:0;margin-top:12.1pt;width:136.5pt;height:30.75pt;z-index:251660288;visibility:visible;mso-wrap-style:square;mso-width-percent:0;mso-height-percent:0;mso-wrap-distance-left:9pt;mso-wrap-distance-top:3.6pt;mso-wrap-distance-right:9pt;mso-wrap-distance-bottom:3.6pt;mso-position-horizontal:absolute;mso-position-horizontal-relative:page;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" fillcolor="white [3201]" strokecolor="black [3200]" strokeweight="1pt">
                <v:textbox>
                  <w:txbxContent>
                    <w:p w14:paraId="5D646151" w14:textId="04AE93BF" w:rsidR="003749EA" w:rsidRPr="003749EA" w:rsidRDefault="003749EA" w:rsidP="003749EA">
                      <w:pPr>
                        <w:jc w:val="center"/>
                        <w:rPr>
                          <w:rFonts w:ascii="Times New Roman" w:hAnsi="Times New Roman" w:cs="Times New Roman"/>
                          <w:sz w:val="20"/>
                          <w:szCs w:val="20"/>
                        </w:rPr>
                      </w:pPr>
                      <w:r w:rsidRPr="003749EA">
                        <w:rPr>
                          <w:rFonts w:ascii="Times New Roman" w:hAnsi="Times New Roman" w:cs="Times New Roman"/>
                          <w:sz w:val="20"/>
                          <w:szCs w:val="20"/>
                        </w:rPr>
                        <w:t>Fig.1 (Imperium Romanum, 2015)</w:t>
                      </w:r>
                    </w:p>
                  </w:txbxContent>
                </v:textbox>
                <w10:wrap type="through" anchorx="page"/>
              </v:shape>
            </w:pict>
          </mc:Fallback>
        </mc:AlternateContent>
      </w:r>
      <w:r w:rsidR="0017030D">
        <w:rPr>
          <w:rFonts w:ascii="Times New Roman" w:hAnsi="Times New Roman" w:cs="Times New Roman"/>
          <w:sz w:val="20"/>
          <w:szCs w:val="20"/>
        </w:rPr>
        <w:t>This new perception of intersex people as figures of fun, or shock, seems to be little more than objectification. They were considered humorous because they were intersex, not because of who they were as people.</w:t>
      </w:r>
    </w:p>
    <w:p w14:paraId="6C2115BA" w14:textId="59CC6A59" w:rsidR="0017030D" w:rsidRPr="0017030D" w:rsidRDefault="00CD4F02" w:rsidP="0017030D">
      <w:pPr>
        <w:pStyle w:val="ListParagraph"/>
        <w:numPr>
          <w:ilvl w:val="2"/>
          <w:numId w:val="11"/>
        </w:numPr>
        <w:spacing w:line="240" w:lineRule="auto"/>
        <w:jc w:val="both"/>
        <w:rPr>
          <w:rFonts w:ascii="Times New Roman" w:hAnsi="Times New Roman" w:cs="Times New Roman"/>
          <w:sz w:val="20"/>
          <w:szCs w:val="20"/>
        </w:rPr>
      </w:pPr>
      <w:r>
        <w:rPr>
          <w:rFonts w:ascii="Times New Roman" w:hAnsi="Times New Roman" w:cs="Times New Roman"/>
          <w:sz w:val="20"/>
          <w:szCs w:val="20"/>
        </w:rPr>
        <w:t>Showing that they continued to be viewed as separate from the rest of humanity,</w:t>
      </w:r>
    </w:p>
    <w:p w14:paraId="2E5E02DF" w14:textId="46FB7484" w:rsidR="00CC2FFB" w:rsidRDefault="003312BA" w:rsidP="00982940">
      <w:pPr>
        <w:spacing w:line="240" w:lineRule="auto"/>
        <w:jc w:val="both"/>
        <w:rPr>
          <w:rFonts w:ascii="Times New Roman" w:hAnsi="Times New Roman" w:cs="Times New Roman"/>
          <w:b/>
          <w:bCs/>
          <w:sz w:val="20"/>
          <w:szCs w:val="20"/>
          <w:u w:val="single"/>
        </w:rPr>
      </w:pPr>
      <w:r>
        <w:rPr>
          <w:rFonts w:ascii="Times New Roman" w:hAnsi="Times New Roman" w:cs="Times New Roman"/>
          <w:b/>
          <w:bCs/>
          <w:sz w:val="20"/>
          <w:szCs w:val="20"/>
          <w:u w:val="single"/>
        </w:rPr>
        <w:t>Reference List</w:t>
      </w:r>
    </w:p>
    <w:p w14:paraId="692853F1" w14:textId="45B0531B" w:rsidR="00884EB6" w:rsidRPr="00884EB6" w:rsidRDefault="00884EB6"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Aldrete, G. S. 2004. </w:t>
      </w:r>
      <w:r w:rsidRPr="00884EB6">
        <w:rPr>
          <w:rFonts w:ascii="Times New Roman" w:hAnsi="Times New Roman" w:cs="Times New Roman"/>
          <w:i/>
          <w:iCs/>
          <w:sz w:val="20"/>
          <w:szCs w:val="20"/>
        </w:rPr>
        <w:t>Daily Life in the Roman City: Rome, Pompeii and Ostia</w:t>
      </w:r>
      <w:r>
        <w:rPr>
          <w:rFonts w:ascii="Times New Roman" w:hAnsi="Times New Roman" w:cs="Times New Roman"/>
          <w:sz w:val="20"/>
          <w:szCs w:val="20"/>
        </w:rPr>
        <w:t>. Connecticut, Greenwood Press.</w:t>
      </w:r>
    </w:p>
    <w:p w14:paraId="0CA3E20E" w14:textId="5CFF6647" w:rsidR="00E144FE" w:rsidRPr="00E144FE" w:rsidRDefault="00E144FE"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Beard, J. R. &amp; Beard, C. 1854. </w:t>
      </w:r>
      <w:r>
        <w:rPr>
          <w:rFonts w:ascii="Times New Roman" w:hAnsi="Times New Roman" w:cs="Times New Roman"/>
          <w:i/>
          <w:iCs/>
          <w:sz w:val="20"/>
          <w:szCs w:val="20"/>
        </w:rPr>
        <w:t>Cassell’s Latin Dictionary: In Two Parts. I. Latin-English; II. English-Latin.</w:t>
      </w:r>
      <w:r>
        <w:rPr>
          <w:rFonts w:ascii="Times New Roman" w:hAnsi="Times New Roman" w:cs="Times New Roman"/>
          <w:sz w:val="20"/>
          <w:szCs w:val="20"/>
        </w:rPr>
        <w:t>. London, John Cassell.</w:t>
      </w:r>
    </w:p>
    <w:p w14:paraId="22BACEAC" w14:textId="61210081" w:rsidR="008012C1" w:rsidRDefault="008012C1"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Chen, M. 2017. </w:t>
      </w:r>
      <w:r w:rsidRPr="008012C1">
        <w:rPr>
          <w:rFonts w:ascii="Times New Roman" w:hAnsi="Times New Roman" w:cs="Times New Roman"/>
          <w:sz w:val="20"/>
          <w:szCs w:val="20"/>
        </w:rPr>
        <w:t>Fluidity models in ancient Greece and current practices of sex assignment</w:t>
      </w:r>
      <w:r>
        <w:rPr>
          <w:rFonts w:ascii="Times New Roman" w:hAnsi="Times New Roman" w:cs="Times New Roman"/>
          <w:sz w:val="20"/>
          <w:szCs w:val="20"/>
        </w:rPr>
        <w:t xml:space="preserve">. </w:t>
      </w:r>
      <w:r w:rsidRPr="008012C1">
        <w:rPr>
          <w:rFonts w:ascii="Times New Roman" w:hAnsi="Times New Roman" w:cs="Times New Roman"/>
          <w:i/>
          <w:iCs/>
          <w:sz w:val="20"/>
          <w:szCs w:val="20"/>
        </w:rPr>
        <w:t>Seminars in Perinatolog</w:t>
      </w:r>
      <w:r>
        <w:rPr>
          <w:rFonts w:ascii="Times New Roman" w:hAnsi="Times New Roman" w:cs="Times New Roman"/>
          <w:i/>
          <w:iCs/>
          <w:sz w:val="20"/>
          <w:szCs w:val="20"/>
        </w:rPr>
        <w:t>y</w:t>
      </w:r>
      <w:r>
        <w:rPr>
          <w:rFonts w:ascii="Times New Roman" w:hAnsi="Times New Roman" w:cs="Times New Roman"/>
          <w:sz w:val="20"/>
          <w:szCs w:val="20"/>
        </w:rPr>
        <w:t xml:space="preserve"> 41; 206-213.</w:t>
      </w:r>
    </w:p>
    <w:p w14:paraId="4366B406" w14:textId="241AB760" w:rsidR="009E2DDC" w:rsidRPr="00FB4C60" w:rsidRDefault="009E2DDC"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Cosgrave, E. 20</w:t>
      </w:r>
      <w:r w:rsidR="00FB4C60">
        <w:rPr>
          <w:rFonts w:ascii="Times New Roman" w:hAnsi="Times New Roman" w:cs="Times New Roman"/>
          <w:sz w:val="20"/>
          <w:szCs w:val="20"/>
        </w:rPr>
        <w:t xml:space="preserve">15. </w:t>
      </w:r>
      <w:r w:rsidR="00FB4C60" w:rsidRPr="00FB4C60">
        <w:rPr>
          <w:rFonts w:ascii="Times New Roman" w:hAnsi="Times New Roman" w:cs="Times New Roman"/>
          <w:sz w:val="20"/>
          <w:szCs w:val="20"/>
        </w:rPr>
        <w:t>Ancient Rome and Intersex People, Those Known to the Romans as Hermaphrodites</w:t>
      </w:r>
      <w:r w:rsidR="00FB4C60">
        <w:rPr>
          <w:rFonts w:ascii="Times New Roman" w:hAnsi="Times New Roman" w:cs="Times New Roman"/>
          <w:sz w:val="20"/>
          <w:szCs w:val="20"/>
        </w:rPr>
        <w:t xml:space="preserve">. </w:t>
      </w:r>
      <w:r w:rsidR="00FB4C60">
        <w:rPr>
          <w:rFonts w:ascii="Times New Roman" w:hAnsi="Times New Roman" w:cs="Times New Roman"/>
          <w:i/>
          <w:iCs/>
          <w:sz w:val="20"/>
          <w:szCs w:val="20"/>
        </w:rPr>
        <w:t>classicallytrained</w:t>
      </w:r>
      <w:r w:rsidR="00FB4C60">
        <w:rPr>
          <w:rFonts w:ascii="Times New Roman" w:hAnsi="Times New Roman" w:cs="Times New Roman"/>
          <w:sz w:val="20"/>
          <w:szCs w:val="20"/>
        </w:rPr>
        <w:t xml:space="preserve">. Available from: </w:t>
      </w:r>
      <w:r w:rsidR="00FB4C60" w:rsidRPr="00FB4C60">
        <w:rPr>
          <w:rFonts w:ascii="Times New Roman" w:hAnsi="Times New Roman" w:cs="Times New Roman"/>
          <w:sz w:val="20"/>
          <w:szCs w:val="20"/>
        </w:rPr>
        <w:t>https://classicallytrainedblog.wordpress.com/2015/10/03/ancient-rome-and-intersex-people-those-known-to-the-romans-as-hermaphrodites/</w:t>
      </w:r>
      <w:r w:rsidR="00FB4C60">
        <w:rPr>
          <w:rFonts w:ascii="Times New Roman" w:hAnsi="Times New Roman" w:cs="Times New Roman"/>
          <w:sz w:val="20"/>
          <w:szCs w:val="20"/>
        </w:rPr>
        <w:t>. [Accessed on: 22/10/2020].</w:t>
      </w:r>
    </w:p>
    <w:p w14:paraId="4E3C8C1C" w14:textId="1EFCF6D0" w:rsidR="00E31BD9" w:rsidRDefault="00E31BD9"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Glazebrook, A. &amp; Olson, K. 2014. Greek and Roman Marriage, in Hubbard T. K.(ed.) </w:t>
      </w:r>
      <w:r>
        <w:rPr>
          <w:rFonts w:ascii="Times New Roman" w:hAnsi="Times New Roman" w:cs="Times New Roman"/>
          <w:i/>
          <w:iCs/>
          <w:sz w:val="20"/>
          <w:szCs w:val="20"/>
        </w:rPr>
        <w:t>A Companion to Greek and Roman Sexualities</w:t>
      </w:r>
      <w:r>
        <w:rPr>
          <w:rFonts w:ascii="Times New Roman" w:hAnsi="Times New Roman" w:cs="Times New Roman"/>
          <w:sz w:val="20"/>
          <w:szCs w:val="20"/>
        </w:rPr>
        <w:t>. 69-82. Chichester, Blackwell Publishing Ltd.</w:t>
      </w:r>
    </w:p>
    <w:p w14:paraId="6995486D" w14:textId="706FC620" w:rsidR="003749EA" w:rsidRPr="003749EA" w:rsidRDefault="003749EA"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Imperium Romanum. 2015. </w:t>
      </w:r>
      <w:r w:rsidRPr="003749EA">
        <w:rPr>
          <w:rFonts w:ascii="Times New Roman" w:hAnsi="Times New Roman" w:cs="Times New Roman"/>
          <w:sz w:val="20"/>
          <w:szCs w:val="20"/>
        </w:rPr>
        <w:t>Fresco of Menad and Satyr</w:t>
      </w:r>
      <w:r>
        <w:rPr>
          <w:rFonts w:ascii="Times New Roman" w:hAnsi="Times New Roman" w:cs="Times New Roman"/>
          <w:sz w:val="20"/>
          <w:szCs w:val="20"/>
        </w:rPr>
        <w:t xml:space="preserve">. </w:t>
      </w:r>
      <w:r>
        <w:rPr>
          <w:rFonts w:ascii="Times New Roman" w:hAnsi="Times New Roman" w:cs="Times New Roman"/>
          <w:i/>
          <w:iCs/>
          <w:sz w:val="20"/>
          <w:szCs w:val="20"/>
        </w:rPr>
        <w:t>Imperium Romanum</w:t>
      </w:r>
      <w:r w:rsidR="00530459">
        <w:rPr>
          <w:rFonts w:ascii="Times New Roman" w:hAnsi="Times New Roman" w:cs="Times New Roman"/>
          <w:sz w:val="20"/>
          <w:szCs w:val="20"/>
        </w:rPr>
        <w:t xml:space="preserve">. Available from: </w:t>
      </w:r>
      <w:r w:rsidR="00530459" w:rsidRPr="00530459">
        <w:rPr>
          <w:rFonts w:ascii="Times New Roman" w:hAnsi="Times New Roman" w:cs="Times New Roman"/>
          <w:sz w:val="20"/>
          <w:szCs w:val="20"/>
        </w:rPr>
        <w:t>https://www.imperiumromanum.edu.pl/en/curiosities/fresco-of-menad-and-satyr/</w:t>
      </w:r>
      <w:r w:rsidR="00530459">
        <w:rPr>
          <w:rFonts w:ascii="Times New Roman" w:hAnsi="Times New Roman" w:cs="Times New Roman"/>
          <w:sz w:val="20"/>
          <w:szCs w:val="20"/>
        </w:rPr>
        <w:t>. [Accessed on: 24/10/20].</w:t>
      </w:r>
    </w:p>
    <w:p w14:paraId="3730B194" w14:textId="5101AA56" w:rsidR="003312BA" w:rsidRDefault="003312BA"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Osgood, J. 2011. Making Romans In The Family, in Peschin, M.(ed.) </w:t>
      </w:r>
      <w:r w:rsidRPr="003312BA">
        <w:rPr>
          <w:rFonts w:ascii="Times New Roman" w:hAnsi="Times New Roman" w:cs="Times New Roman"/>
          <w:i/>
          <w:iCs/>
          <w:sz w:val="20"/>
          <w:szCs w:val="20"/>
        </w:rPr>
        <w:t>The Oxford Handbook of Social Relations in the Roman World</w:t>
      </w:r>
      <w:r>
        <w:rPr>
          <w:rFonts w:ascii="Times New Roman" w:hAnsi="Times New Roman" w:cs="Times New Roman"/>
          <w:sz w:val="20"/>
          <w:szCs w:val="20"/>
        </w:rPr>
        <w:t>. 69-83. Oxford, Oxford University Press.</w:t>
      </w:r>
    </w:p>
    <w:p w14:paraId="47F08B4B" w14:textId="16772A2C" w:rsidR="003312BA" w:rsidRDefault="003312BA" w:rsidP="00982940">
      <w:pPr>
        <w:spacing w:line="240" w:lineRule="auto"/>
        <w:jc w:val="both"/>
        <w:rPr>
          <w:rFonts w:ascii="Times New Roman" w:hAnsi="Times New Roman" w:cs="Times New Roman"/>
          <w:sz w:val="20"/>
          <w:szCs w:val="20"/>
        </w:rPr>
      </w:pPr>
      <w:r>
        <w:rPr>
          <w:rFonts w:ascii="Times New Roman" w:hAnsi="Times New Roman" w:cs="Times New Roman"/>
          <w:sz w:val="20"/>
          <w:szCs w:val="20"/>
        </w:rPr>
        <w:t xml:space="preserve">Saller, R. P. </w:t>
      </w:r>
      <w:r w:rsidR="004F2988">
        <w:rPr>
          <w:rFonts w:ascii="Times New Roman" w:hAnsi="Times New Roman" w:cs="Times New Roman"/>
          <w:sz w:val="20"/>
          <w:szCs w:val="20"/>
        </w:rPr>
        <w:t xml:space="preserve">1994. </w:t>
      </w:r>
      <w:r w:rsidR="004F2988" w:rsidRPr="004F2988">
        <w:rPr>
          <w:rFonts w:ascii="Times New Roman" w:hAnsi="Times New Roman" w:cs="Times New Roman"/>
          <w:i/>
          <w:iCs/>
          <w:sz w:val="20"/>
          <w:szCs w:val="20"/>
        </w:rPr>
        <w:t>Patriarchy, Property and Death in the Roman Family</w:t>
      </w:r>
      <w:r w:rsidR="004F2988">
        <w:rPr>
          <w:rFonts w:ascii="Times New Roman" w:hAnsi="Times New Roman" w:cs="Times New Roman"/>
          <w:sz w:val="20"/>
          <w:szCs w:val="20"/>
        </w:rPr>
        <w:t>. Cambridge, Cambridge University Press.</w:t>
      </w:r>
    </w:p>
    <w:sectPr w:rsidR="003312BA">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3D4B55"/>
    <w:multiLevelType w:val="hybridMultilevel"/>
    <w:tmpl w:val="DF60F6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8D119B"/>
    <w:multiLevelType w:val="hybridMultilevel"/>
    <w:tmpl w:val="215891E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1">
      <w:start w:val="1"/>
      <w:numFmt w:val="bullet"/>
      <w:lvlText w:val=""/>
      <w:lvlJc w:val="left"/>
      <w:pPr>
        <w:ind w:left="3600" w:hanging="360"/>
      </w:pPr>
      <w:rPr>
        <w:rFonts w:ascii="Symbol" w:hAnsi="Symbol"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0B3C5D"/>
    <w:multiLevelType w:val="hybridMultilevel"/>
    <w:tmpl w:val="EFAC60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F918F6"/>
    <w:multiLevelType w:val="hybridMultilevel"/>
    <w:tmpl w:val="7F8C95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576C62"/>
    <w:multiLevelType w:val="hybridMultilevel"/>
    <w:tmpl w:val="B2C492AA"/>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8DE3B76"/>
    <w:multiLevelType w:val="hybridMultilevel"/>
    <w:tmpl w:val="5EB4A390"/>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216039"/>
    <w:multiLevelType w:val="hybridMultilevel"/>
    <w:tmpl w:val="C068E54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7B577AF"/>
    <w:multiLevelType w:val="hybridMultilevel"/>
    <w:tmpl w:val="DE54E26E"/>
    <w:lvl w:ilvl="0" w:tplc="08090001">
      <w:start w:val="1"/>
      <w:numFmt w:val="bullet"/>
      <w:lvlText w:val=""/>
      <w:lvlJc w:val="left"/>
      <w:pPr>
        <w:ind w:left="1440" w:hanging="360"/>
      </w:pPr>
      <w:rPr>
        <w:rFonts w:ascii="Symbol" w:hAnsi="Symbol" w:hint="default"/>
      </w:rPr>
    </w:lvl>
    <w:lvl w:ilvl="1" w:tplc="08090001">
      <w:start w:val="1"/>
      <w:numFmt w:val="bullet"/>
      <w:lvlText w:val=""/>
      <w:lvlJc w:val="left"/>
      <w:pPr>
        <w:ind w:left="2160" w:hanging="360"/>
      </w:pPr>
      <w:rPr>
        <w:rFonts w:ascii="Symbol" w:hAnsi="Symbol"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5D0E2F1A"/>
    <w:multiLevelType w:val="hybridMultilevel"/>
    <w:tmpl w:val="DF60F63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2E374B3"/>
    <w:multiLevelType w:val="hybridMultilevel"/>
    <w:tmpl w:val="3A08C0B2"/>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4F902BA"/>
    <w:multiLevelType w:val="hybridMultilevel"/>
    <w:tmpl w:val="9BB02BA4"/>
    <w:lvl w:ilvl="0" w:tplc="08090001">
      <w:start w:val="1"/>
      <w:numFmt w:val="bullet"/>
      <w:lvlText w:val=""/>
      <w:lvlJc w:val="left"/>
      <w:pPr>
        <w:ind w:left="720" w:hanging="360"/>
      </w:pPr>
      <w:rPr>
        <w:rFonts w:ascii="Symbol" w:hAnsi="Symbol" w:hint="default"/>
      </w:rPr>
    </w:lvl>
    <w:lvl w:ilvl="1" w:tplc="08090001">
      <w:start w:val="1"/>
      <w:numFmt w:val="bullet"/>
      <w:lvlText w:val=""/>
      <w:lvlJc w:val="left"/>
      <w:pPr>
        <w:ind w:left="1440" w:hanging="360"/>
      </w:pPr>
      <w:rPr>
        <w:rFonts w:ascii="Symbol" w:hAnsi="Symbol"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6EDB0E2C"/>
    <w:multiLevelType w:val="hybridMultilevel"/>
    <w:tmpl w:val="BC4641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8"/>
  </w:num>
  <w:num w:numId="3">
    <w:abstractNumId w:val="7"/>
  </w:num>
  <w:num w:numId="4">
    <w:abstractNumId w:val="11"/>
  </w:num>
  <w:num w:numId="5">
    <w:abstractNumId w:val="0"/>
  </w:num>
  <w:num w:numId="6">
    <w:abstractNumId w:val="10"/>
  </w:num>
  <w:num w:numId="7">
    <w:abstractNumId w:val="2"/>
  </w:num>
  <w:num w:numId="8">
    <w:abstractNumId w:val="6"/>
  </w:num>
  <w:num w:numId="9">
    <w:abstractNumId w:val="5"/>
  </w:num>
  <w:num w:numId="10">
    <w:abstractNumId w:val="1"/>
  </w:num>
  <w:num w:numId="11">
    <w:abstractNumId w:val="9"/>
  </w:num>
  <w:num w:numId="1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23364"/>
    <w:rsid w:val="000E3B0E"/>
    <w:rsid w:val="00102BB9"/>
    <w:rsid w:val="001223D1"/>
    <w:rsid w:val="0017030D"/>
    <w:rsid w:val="0019477B"/>
    <w:rsid w:val="001E1CA1"/>
    <w:rsid w:val="0027781C"/>
    <w:rsid w:val="00322A8F"/>
    <w:rsid w:val="003312BA"/>
    <w:rsid w:val="00353C78"/>
    <w:rsid w:val="003726AC"/>
    <w:rsid w:val="003749EA"/>
    <w:rsid w:val="003D327D"/>
    <w:rsid w:val="004253EE"/>
    <w:rsid w:val="004F2988"/>
    <w:rsid w:val="00512F99"/>
    <w:rsid w:val="00530374"/>
    <w:rsid w:val="00530459"/>
    <w:rsid w:val="005921B8"/>
    <w:rsid w:val="005F585E"/>
    <w:rsid w:val="006827F2"/>
    <w:rsid w:val="006E5E58"/>
    <w:rsid w:val="008012C1"/>
    <w:rsid w:val="0080588E"/>
    <w:rsid w:val="00823364"/>
    <w:rsid w:val="00884EB6"/>
    <w:rsid w:val="008C1B16"/>
    <w:rsid w:val="008C5979"/>
    <w:rsid w:val="00954065"/>
    <w:rsid w:val="00982940"/>
    <w:rsid w:val="009C0D18"/>
    <w:rsid w:val="009E2DDC"/>
    <w:rsid w:val="009F0551"/>
    <w:rsid w:val="00A10403"/>
    <w:rsid w:val="00A37270"/>
    <w:rsid w:val="00AC69AB"/>
    <w:rsid w:val="00AE6045"/>
    <w:rsid w:val="00B175E3"/>
    <w:rsid w:val="00B8374B"/>
    <w:rsid w:val="00BA3E1C"/>
    <w:rsid w:val="00BC0870"/>
    <w:rsid w:val="00BD74EF"/>
    <w:rsid w:val="00C0405A"/>
    <w:rsid w:val="00C9444D"/>
    <w:rsid w:val="00CB7FFD"/>
    <w:rsid w:val="00CC2FFB"/>
    <w:rsid w:val="00CD1748"/>
    <w:rsid w:val="00CD4F02"/>
    <w:rsid w:val="00CE3338"/>
    <w:rsid w:val="00CE65FE"/>
    <w:rsid w:val="00CE6D5A"/>
    <w:rsid w:val="00E144FE"/>
    <w:rsid w:val="00E31BD9"/>
    <w:rsid w:val="00EE5393"/>
    <w:rsid w:val="00F83B6F"/>
    <w:rsid w:val="00F854CC"/>
    <w:rsid w:val="00FB4C60"/>
    <w:rsid w:val="00FC3317"/>
    <w:rsid w:val="00FE29A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E3BC62A"/>
  <w15:chartTrackingRefBased/>
  <w15:docId w15:val="{58DCD50F-8128-4A01-9D8B-0C11747E7CB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B4C60"/>
    <w:rPr>
      <w:color w:val="0563C1" w:themeColor="hyperlink"/>
      <w:u w:val="single"/>
    </w:rPr>
  </w:style>
  <w:style w:type="character" w:styleId="UnresolvedMention">
    <w:name w:val="Unresolved Mention"/>
    <w:basedOn w:val="DefaultParagraphFont"/>
    <w:uiPriority w:val="99"/>
    <w:semiHidden/>
    <w:unhideWhenUsed/>
    <w:rsid w:val="00FB4C60"/>
    <w:rPr>
      <w:color w:val="605E5C"/>
      <w:shd w:val="clear" w:color="auto" w:fill="E1DFDD"/>
    </w:rPr>
  </w:style>
  <w:style w:type="character" w:styleId="FollowedHyperlink">
    <w:name w:val="FollowedHyperlink"/>
    <w:basedOn w:val="DefaultParagraphFont"/>
    <w:uiPriority w:val="99"/>
    <w:semiHidden/>
    <w:unhideWhenUsed/>
    <w:rsid w:val="00FB4C60"/>
    <w:rPr>
      <w:color w:val="954F72" w:themeColor="followedHyperlink"/>
      <w:u w:val="single"/>
    </w:rPr>
  </w:style>
  <w:style w:type="paragraph" w:styleId="ListParagraph">
    <w:name w:val="List Paragraph"/>
    <w:basedOn w:val="Normal"/>
    <w:uiPriority w:val="34"/>
    <w:qFormat/>
    <w:rsid w:val="00CE6D5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4334334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jpe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DF79B6A-B035-4F19-B160-75C8650091B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669</TotalTime>
  <Pages>3</Pages>
  <Words>1389</Words>
  <Characters>7918</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9289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Samuel Lawrence</dc:creator>
  <cp:keywords/>
  <dc:description/>
  <cp:lastModifiedBy>Samuel Lawrence</cp:lastModifiedBy>
  <cp:revision>5</cp:revision>
  <dcterms:created xsi:type="dcterms:W3CDTF">2020-10-20T16:38:00Z</dcterms:created>
  <dcterms:modified xsi:type="dcterms:W3CDTF">2020-10-24T15:59:00Z</dcterms:modified>
</cp:coreProperties>
</file>