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D689" w14:textId="367634A2" w:rsidR="00A57FA1" w:rsidRPr="00A57FA1" w:rsidRDefault="00A57FA1" w:rsidP="00A57FA1">
      <w:pPr>
        <w:spacing w:line="360" w:lineRule="auto"/>
        <w:jc w:val="right"/>
        <w:rPr>
          <w:rFonts w:ascii="Times New Roman" w:hAnsi="Times New Roman" w:cs="Times New Roman"/>
          <w:sz w:val="24"/>
          <w:szCs w:val="24"/>
        </w:rPr>
      </w:pPr>
      <w:r w:rsidRPr="00A57FA1">
        <w:rPr>
          <w:rFonts w:ascii="Times New Roman" w:hAnsi="Times New Roman" w:cs="Times New Roman"/>
          <w:sz w:val="24"/>
          <w:szCs w:val="24"/>
        </w:rPr>
        <w:t>Gareth Jenkins. 99091195.</w:t>
      </w:r>
    </w:p>
    <w:p w14:paraId="68259876" w14:textId="07505C81" w:rsidR="00A57FA1" w:rsidRDefault="00A57FA1" w:rsidP="00A57FA1">
      <w:pPr>
        <w:spacing w:line="360" w:lineRule="auto"/>
        <w:jc w:val="right"/>
        <w:rPr>
          <w:rFonts w:ascii="Times New Roman" w:hAnsi="Times New Roman" w:cs="Times New Roman"/>
          <w:b/>
          <w:bCs/>
          <w:sz w:val="24"/>
          <w:szCs w:val="24"/>
        </w:rPr>
      </w:pPr>
      <w:r w:rsidRPr="00A57FA1">
        <w:rPr>
          <w:rFonts w:ascii="Times New Roman" w:hAnsi="Times New Roman" w:cs="Times New Roman"/>
          <w:sz w:val="24"/>
          <w:szCs w:val="24"/>
        </w:rPr>
        <w:t>HPHE6003. 22 February 2026.</w:t>
      </w:r>
    </w:p>
    <w:p w14:paraId="12A7FF05" w14:textId="43EFF8B9" w:rsidR="00935117" w:rsidRDefault="008C2855" w:rsidP="00DD1373">
      <w:pPr>
        <w:spacing w:line="360" w:lineRule="auto"/>
        <w:rPr>
          <w:rFonts w:ascii="Times New Roman" w:hAnsi="Times New Roman" w:cs="Times New Roman"/>
          <w:sz w:val="24"/>
          <w:szCs w:val="24"/>
        </w:rPr>
      </w:pPr>
      <w:r w:rsidRPr="00302D68">
        <w:rPr>
          <w:rFonts w:ascii="Times New Roman" w:hAnsi="Times New Roman" w:cs="Times New Roman"/>
          <w:b/>
          <w:bCs/>
          <w:sz w:val="24"/>
          <w:szCs w:val="24"/>
        </w:rPr>
        <w:t>Discuss the issue of authenticity in relation to</w:t>
      </w:r>
      <w:r w:rsidR="009D160B">
        <w:rPr>
          <w:rFonts w:ascii="Times New Roman" w:hAnsi="Times New Roman" w:cs="Times New Roman"/>
          <w:b/>
          <w:bCs/>
          <w:sz w:val="24"/>
          <w:szCs w:val="24"/>
        </w:rPr>
        <w:t xml:space="preserve"> </w:t>
      </w:r>
      <w:r w:rsidRPr="00302D68">
        <w:rPr>
          <w:rFonts w:ascii="Times New Roman" w:hAnsi="Times New Roman" w:cs="Times New Roman"/>
          <w:b/>
          <w:bCs/>
          <w:sz w:val="24"/>
          <w:szCs w:val="24"/>
        </w:rPr>
        <w:t>military memorials</w:t>
      </w:r>
      <w:r w:rsidR="007D6477" w:rsidRPr="00302D68">
        <w:rPr>
          <w:rFonts w:ascii="Times New Roman" w:hAnsi="Times New Roman" w:cs="Times New Roman"/>
          <w:b/>
          <w:bCs/>
          <w:sz w:val="24"/>
          <w:szCs w:val="24"/>
        </w:rPr>
        <w:t>, in particular t</w:t>
      </w:r>
      <w:r w:rsidRPr="00302D68">
        <w:rPr>
          <w:rFonts w:ascii="Times New Roman" w:hAnsi="Times New Roman" w:cs="Times New Roman"/>
          <w:b/>
          <w:bCs/>
          <w:sz w:val="24"/>
          <w:szCs w:val="24"/>
        </w:rPr>
        <w:t xml:space="preserve">he </w:t>
      </w:r>
      <w:r w:rsidR="00567A17">
        <w:rPr>
          <w:rFonts w:ascii="Times New Roman" w:hAnsi="Times New Roman" w:cs="Times New Roman"/>
          <w:b/>
          <w:bCs/>
          <w:sz w:val="24"/>
          <w:szCs w:val="24"/>
        </w:rPr>
        <w:t>cemeteries and memorials</w:t>
      </w:r>
      <w:r w:rsidRPr="00302D68">
        <w:rPr>
          <w:rFonts w:ascii="Times New Roman" w:hAnsi="Times New Roman" w:cs="Times New Roman"/>
          <w:b/>
          <w:bCs/>
          <w:sz w:val="24"/>
          <w:szCs w:val="24"/>
        </w:rPr>
        <w:t xml:space="preserve"> of the Commonwealth War Graves Commission.</w:t>
      </w:r>
    </w:p>
    <w:p w14:paraId="46C6166A" w14:textId="51EF3144" w:rsidR="004A0180" w:rsidRDefault="00302D68" w:rsidP="00DD1373">
      <w:pPr>
        <w:spacing w:line="360" w:lineRule="auto"/>
        <w:rPr>
          <w:rFonts w:ascii="Times New Roman" w:hAnsi="Times New Roman" w:cs="Times New Roman"/>
          <w:sz w:val="24"/>
          <w:szCs w:val="24"/>
        </w:rPr>
      </w:pPr>
      <w:r w:rsidRPr="00302D68">
        <w:rPr>
          <w:rFonts w:ascii="Times New Roman" w:hAnsi="Times New Roman" w:cs="Times New Roman"/>
          <w:sz w:val="24"/>
          <w:szCs w:val="24"/>
        </w:rPr>
        <w:t>War m</w:t>
      </w:r>
      <w:r>
        <w:rPr>
          <w:rFonts w:ascii="Times New Roman" w:hAnsi="Times New Roman" w:cs="Times New Roman"/>
          <w:sz w:val="24"/>
          <w:szCs w:val="24"/>
        </w:rPr>
        <w:t>emorials</w:t>
      </w:r>
      <w:r w:rsidRPr="00302D68">
        <w:rPr>
          <w:rFonts w:ascii="Times New Roman" w:hAnsi="Times New Roman" w:cs="Times New Roman"/>
          <w:sz w:val="24"/>
          <w:szCs w:val="24"/>
        </w:rPr>
        <w:t xml:space="preserve"> are constructed to recognise a specific conflict</w:t>
      </w:r>
      <w:r>
        <w:rPr>
          <w:rFonts w:ascii="Times New Roman" w:hAnsi="Times New Roman" w:cs="Times New Roman"/>
          <w:sz w:val="24"/>
          <w:szCs w:val="24"/>
        </w:rPr>
        <w:t xml:space="preserve">, </w:t>
      </w:r>
      <w:r w:rsidRPr="00302D68">
        <w:rPr>
          <w:rFonts w:ascii="Times New Roman" w:hAnsi="Times New Roman" w:cs="Times New Roman"/>
          <w:sz w:val="24"/>
          <w:szCs w:val="24"/>
        </w:rPr>
        <w:t>to celebrate a victory</w:t>
      </w:r>
      <w:r>
        <w:rPr>
          <w:rFonts w:ascii="Times New Roman" w:hAnsi="Times New Roman" w:cs="Times New Roman"/>
          <w:sz w:val="24"/>
          <w:szCs w:val="24"/>
        </w:rPr>
        <w:t xml:space="preserve"> </w:t>
      </w:r>
      <w:r w:rsidR="001053E7">
        <w:rPr>
          <w:rFonts w:ascii="Times New Roman" w:hAnsi="Times New Roman" w:cs="Times New Roman"/>
          <w:sz w:val="24"/>
          <w:szCs w:val="24"/>
        </w:rPr>
        <w:t>or</w:t>
      </w:r>
      <w:r w:rsidRPr="00302D68">
        <w:rPr>
          <w:rFonts w:ascii="Times New Roman" w:hAnsi="Times New Roman" w:cs="Times New Roman"/>
          <w:sz w:val="24"/>
          <w:szCs w:val="24"/>
        </w:rPr>
        <w:t xml:space="preserve"> to remember individuals who have lost their lives </w:t>
      </w:r>
      <w:r>
        <w:rPr>
          <w:rFonts w:ascii="Times New Roman" w:hAnsi="Times New Roman" w:cs="Times New Roman"/>
          <w:sz w:val="24"/>
          <w:szCs w:val="24"/>
        </w:rPr>
        <w:t>during</w:t>
      </w:r>
      <w:r w:rsidRPr="00302D68">
        <w:rPr>
          <w:rFonts w:ascii="Times New Roman" w:hAnsi="Times New Roman" w:cs="Times New Roman"/>
          <w:sz w:val="24"/>
          <w:szCs w:val="24"/>
        </w:rPr>
        <w:t xml:space="preserve"> </w:t>
      </w:r>
      <w:r>
        <w:rPr>
          <w:rFonts w:ascii="Times New Roman" w:hAnsi="Times New Roman" w:cs="Times New Roman"/>
          <w:sz w:val="24"/>
          <w:szCs w:val="24"/>
        </w:rPr>
        <w:t>a war</w:t>
      </w:r>
      <w:r w:rsidR="001053E7">
        <w:rPr>
          <w:rFonts w:ascii="Times New Roman" w:hAnsi="Times New Roman" w:cs="Times New Roman"/>
          <w:sz w:val="24"/>
          <w:szCs w:val="24"/>
        </w:rPr>
        <w:t>, and t</w:t>
      </w:r>
      <w:r w:rsidR="001053E7" w:rsidRPr="001053E7">
        <w:rPr>
          <w:rFonts w:ascii="Times New Roman" w:hAnsi="Times New Roman" w:cs="Times New Roman"/>
          <w:sz w:val="24"/>
          <w:szCs w:val="24"/>
        </w:rPr>
        <w:t>hey serve as evidence of just how important it is to accurately express the emotions of the communities that c</w:t>
      </w:r>
      <w:r w:rsidR="001053E7">
        <w:rPr>
          <w:rFonts w:ascii="Times New Roman" w:hAnsi="Times New Roman" w:cs="Times New Roman"/>
          <w:sz w:val="24"/>
          <w:szCs w:val="24"/>
        </w:rPr>
        <w:t>onstruct</w:t>
      </w:r>
      <w:r w:rsidR="002C12A7">
        <w:rPr>
          <w:rFonts w:ascii="Times New Roman" w:hAnsi="Times New Roman" w:cs="Times New Roman"/>
          <w:sz w:val="24"/>
          <w:szCs w:val="24"/>
        </w:rPr>
        <w:t>ed</w:t>
      </w:r>
      <w:r w:rsidR="001053E7" w:rsidRPr="001053E7">
        <w:rPr>
          <w:rFonts w:ascii="Times New Roman" w:hAnsi="Times New Roman" w:cs="Times New Roman"/>
          <w:sz w:val="24"/>
          <w:szCs w:val="24"/>
        </w:rPr>
        <w:t xml:space="preserve"> them</w:t>
      </w:r>
      <w:r w:rsidRPr="00302D68">
        <w:rPr>
          <w:rFonts w:ascii="Times New Roman" w:hAnsi="Times New Roman" w:cs="Times New Roman"/>
          <w:sz w:val="24"/>
          <w:szCs w:val="24"/>
        </w:rPr>
        <w:t xml:space="preserve"> </w:t>
      </w:r>
      <w:r>
        <w:rPr>
          <w:rFonts w:ascii="Times New Roman" w:hAnsi="Times New Roman" w:cs="Times New Roman"/>
          <w:sz w:val="24"/>
          <w:szCs w:val="24"/>
        </w:rPr>
        <w:t>(CWGC, 2022)</w:t>
      </w:r>
      <w:r w:rsidRPr="00302D68">
        <w:rPr>
          <w:rFonts w:ascii="Times New Roman" w:hAnsi="Times New Roman" w:cs="Times New Roman"/>
          <w:sz w:val="24"/>
          <w:szCs w:val="24"/>
        </w:rPr>
        <w:t>.</w:t>
      </w:r>
      <w:r>
        <w:rPr>
          <w:rFonts w:ascii="Times New Roman" w:hAnsi="Times New Roman" w:cs="Times New Roman"/>
          <w:sz w:val="24"/>
          <w:szCs w:val="24"/>
        </w:rPr>
        <w:t xml:space="preserve"> </w:t>
      </w:r>
      <w:r w:rsidR="002C12A7">
        <w:rPr>
          <w:rFonts w:ascii="Times New Roman" w:hAnsi="Times New Roman" w:cs="Times New Roman"/>
          <w:sz w:val="24"/>
          <w:szCs w:val="24"/>
        </w:rPr>
        <w:t xml:space="preserve">The Commonwealth </w:t>
      </w:r>
      <w:r w:rsidR="00426517">
        <w:rPr>
          <w:rFonts w:ascii="Times New Roman" w:hAnsi="Times New Roman" w:cs="Times New Roman"/>
          <w:sz w:val="24"/>
          <w:szCs w:val="24"/>
        </w:rPr>
        <w:t>W</w:t>
      </w:r>
      <w:r w:rsidR="002C12A7">
        <w:rPr>
          <w:rFonts w:ascii="Times New Roman" w:hAnsi="Times New Roman" w:cs="Times New Roman"/>
          <w:sz w:val="24"/>
          <w:szCs w:val="24"/>
        </w:rPr>
        <w:t>ar Graves Commission</w:t>
      </w:r>
      <w:r w:rsidR="00504060">
        <w:rPr>
          <w:rFonts w:ascii="Times New Roman" w:hAnsi="Times New Roman" w:cs="Times New Roman"/>
          <w:sz w:val="24"/>
          <w:szCs w:val="24"/>
        </w:rPr>
        <w:t xml:space="preserve"> (CWGC)</w:t>
      </w:r>
      <w:r w:rsidR="00426517">
        <w:rPr>
          <w:rFonts w:ascii="Times New Roman" w:hAnsi="Times New Roman" w:cs="Times New Roman"/>
          <w:sz w:val="24"/>
          <w:szCs w:val="24"/>
        </w:rPr>
        <w:t>, formerly the Imperial War Graves Commission</w:t>
      </w:r>
      <w:r w:rsidR="008C3D91">
        <w:rPr>
          <w:rFonts w:ascii="Times New Roman" w:hAnsi="Times New Roman" w:cs="Times New Roman"/>
          <w:sz w:val="24"/>
          <w:szCs w:val="24"/>
        </w:rPr>
        <w:t xml:space="preserve"> (IWGC)</w:t>
      </w:r>
      <w:r w:rsidR="00426517">
        <w:rPr>
          <w:rFonts w:ascii="Times New Roman" w:hAnsi="Times New Roman" w:cs="Times New Roman"/>
          <w:sz w:val="24"/>
          <w:szCs w:val="24"/>
        </w:rPr>
        <w:t>,</w:t>
      </w:r>
      <w:r w:rsidR="002C12A7">
        <w:rPr>
          <w:rFonts w:ascii="Times New Roman" w:hAnsi="Times New Roman" w:cs="Times New Roman"/>
          <w:sz w:val="24"/>
          <w:szCs w:val="24"/>
        </w:rPr>
        <w:t xml:space="preserve"> which was established under Royal Charter in 1917 was set up to</w:t>
      </w:r>
      <w:r w:rsidR="00426517" w:rsidRPr="00426517">
        <w:rPr>
          <w:rFonts w:ascii="Times New Roman" w:hAnsi="Times New Roman" w:cs="Times New Roman"/>
          <w:sz w:val="24"/>
          <w:szCs w:val="24"/>
        </w:rPr>
        <w:t xml:space="preserve"> respond to the public's mounting discontent with how the dead were treated during World War One</w:t>
      </w:r>
      <w:r w:rsidR="00426517">
        <w:rPr>
          <w:rFonts w:ascii="Times New Roman" w:hAnsi="Times New Roman" w:cs="Times New Roman"/>
          <w:sz w:val="24"/>
          <w:szCs w:val="24"/>
        </w:rPr>
        <w:t xml:space="preserve"> (</w:t>
      </w:r>
      <w:r w:rsidR="00471B65">
        <w:rPr>
          <w:rFonts w:ascii="Times New Roman" w:hAnsi="Times New Roman" w:cs="Times New Roman"/>
          <w:sz w:val="24"/>
          <w:szCs w:val="24"/>
        </w:rPr>
        <w:t xml:space="preserve">Crane, 2013, p.97; </w:t>
      </w:r>
      <w:r w:rsidR="00426517">
        <w:rPr>
          <w:rFonts w:ascii="Times New Roman" w:hAnsi="Times New Roman" w:cs="Times New Roman"/>
          <w:sz w:val="24"/>
          <w:szCs w:val="24"/>
        </w:rPr>
        <w:t>CWGC, 2018, p.</w:t>
      </w:r>
      <w:r w:rsidR="002F12FE">
        <w:rPr>
          <w:rFonts w:ascii="Times New Roman" w:hAnsi="Times New Roman" w:cs="Times New Roman"/>
          <w:sz w:val="24"/>
          <w:szCs w:val="24"/>
        </w:rPr>
        <w:t>14.)</w:t>
      </w:r>
      <w:r w:rsidR="00426517" w:rsidRPr="00426517">
        <w:rPr>
          <w:rFonts w:ascii="Times New Roman" w:hAnsi="Times New Roman" w:cs="Times New Roman"/>
          <w:sz w:val="24"/>
          <w:szCs w:val="24"/>
        </w:rPr>
        <w:t>.</w:t>
      </w:r>
      <w:r w:rsidR="00504060">
        <w:rPr>
          <w:rFonts w:ascii="Times New Roman" w:hAnsi="Times New Roman" w:cs="Times New Roman"/>
          <w:sz w:val="24"/>
          <w:szCs w:val="24"/>
        </w:rPr>
        <w:t xml:space="preserve"> </w:t>
      </w:r>
      <w:r w:rsidR="00130568">
        <w:rPr>
          <w:rFonts w:ascii="Times New Roman" w:hAnsi="Times New Roman" w:cs="Times New Roman"/>
          <w:sz w:val="24"/>
          <w:szCs w:val="24"/>
        </w:rPr>
        <w:t xml:space="preserve">The </w:t>
      </w:r>
      <w:r w:rsidR="005C34B2">
        <w:rPr>
          <w:rFonts w:ascii="Times New Roman" w:hAnsi="Times New Roman" w:cs="Times New Roman"/>
          <w:sz w:val="24"/>
          <w:szCs w:val="24"/>
        </w:rPr>
        <w:t>C</w:t>
      </w:r>
      <w:r w:rsidR="00130568">
        <w:rPr>
          <w:rFonts w:ascii="Times New Roman" w:hAnsi="Times New Roman" w:cs="Times New Roman"/>
          <w:sz w:val="24"/>
          <w:szCs w:val="24"/>
        </w:rPr>
        <w:t xml:space="preserve">ommission was set up with </w:t>
      </w:r>
      <w:r w:rsidR="00471B65">
        <w:rPr>
          <w:rFonts w:ascii="Times New Roman" w:hAnsi="Times New Roman" w:cs="Times New Roman"/>
          <w:sz w:val="24"/>
          <w:szCs w:val="24"/>
        </w:rPr>
        <w:t xml:space="preserve">the </w:t>
      </w:r>
      <w:r w:rsidR="00130568">
        <w:rPr>
          <w:rFonts w:ascii="Times New Roman" w:hAnsi="Times New Roman" w:cs="Times New Roman"/>
          <w:sz w:val="24"/>
          <w:szCs w:val="24"/>
        </w:rPr>
        <w:t>very noble intentions of ensuring that all soldiers of the then ‘Em</w:t>
      </w:r>
      <w:r w:rsidR="00130568" w:rsidRPr="00130568">
        <w:rPr>
          <w:rFonts w:ascii="Times New Roman" w:hAnsi="Times New Roman" w:cs="Times New Roman"/>
          <w:sz w:val="24"/>
          <w:szCs w:val="24"/>
        </w:rPr>
        <w:t>pire</w:t>
      </w:r>
      <w:r w:rsidR="00130568">
        <w:rPr>
          <w:rFonts w:ascii="Times New Roman" w:hAnsi="Times New Roman" w:cs="Times New Roman"/>
          <w:sz w:val="24"/>
          <w:szCs w:val="24"/>
        </w:rPr>
        <w:t>’</w:t>
      </w:r>
      <w:r w:rsidR="00130568" w:rsidRPr="00130568">
        <w:rPr>
          <w:rFonts w:ascii="Times New Roman" w:hAnsi="Times New Roman" w:cs="Times New Roman"/>
          <w:sz w:val="24"/>
          <w:szCs w:val="24"/>
        </w:rPr>
        <w:t xml:space="preserve"> would be</w:t>
      </w:r>
      <w:r w:rsidR="00130568">
        <w:rPr>
          <w:rFonts w:ascii="Times New Roman" w:hAnsi="Times New Roman" w:cs="Times New Roman"/>
          <w:sz w:val="24"/>
          <w:szCs w:val="24"/>
        </w:rPr>
        <w:t xml:space="preserve"> buried with dignity</w:t>
      </w:r>
      <w:r w:rsidR="00471B65">
        <w:rPr>
          <w:rFonts w:ascii="Times New Roman" w:hAnsi="Times New Roman" w:cs="Times New Roman"/>
          <w:sz w:val="24"/>
          <w:szCs w:val="24"/>
        </w:rPr>
        <w:t xml:space="preserve">, without </w:t>
      </w:r>
      <w:r w:rsidR="005C34B2">
        <w:rPr>
          <w:rFonts w:ascii="Times New Roman" w:hAnsi="Times New Roman" w:cs="Times New Roman"/>
          <w:sz w:val="24"/>
          <w:szCs w:val="24"/>
        </w:rPr>
        <w:t>discrimination through nationality, faith or rank</w:t>
      </w:r>
      <w:r w:rsidR="00130568">
        <w:rPr>
          <w:rFonts w:ascii="Times New Roman" w:hAnsi="Times New Roman" w:cs="Times New Roman"/>
          <w:sz w:val="24"/>
          <w:szCs w:val="24"/>
        </w:rPr>
        <w:t xml:space="preserve"> and the site of their burial recorded for future disclosure to family members who may wish to visit (Longworth, 2003, pp. 1-28</w:t>
      </w:r>
      <w:r w:rsidR="00471B65">
        <w:rPr>
          <w:rFonts w:ascii="Times New Roman" w:hAnsi="Times New Roman" w:cs="Times New Roman"/>
          <w:sz w:val="24"/>
          <w:szCs w:val="24"/>
        </w:rPr>
        <w:t>; Crane, 2013</w:t>
      </w:r>
      <w:r w:rsidR="005C34B2">
        <w:rPr>
          <w:rFonts w:ascii="Times New Roman" w:hAnsi="Times New Roman" w:cs="Times New Roman"/>
          <w:sz w:val="24"/>
          <w:szCs w:val="24"/>
        </w:rPr>
        <w:t xml:space="preserve">; Summers, 2014, pp.18-19). </w:t>
      </w:r>
      <w:r w:rsidR="004A0180" w:rsidRPr="004A0180">
        <w:rPr>
          <w:rFonts w:ascii="Times New Roman" w:hAnsi="Times New Roman" w:cs="Times New Roman"/>
          <w:sz w:val="24"/>
          <w:szCs w:val="24"/>
        </w:rPr>
        <w:t>N</w:t>
      </w:r>
      <w:r w:rsidR="004A0180">
        <w:rPr>
          <w:rFonts w:ascii="Times New Roman" w:hAnsi="Times New Roman" w:cs="Times New Roman"/>
          <w:sz w:val="24"/>
          <w:szCs w:val="24"/>
        </w:rPr>
        <w:t>evertheless</w:t>
      </w:r>
      <w:r w:rsidR="004A0180" w:rsidRPr="004A0180">
        <w:rPr>
          <w:rFonts w:ascii="Times New Roman" w:hAnsi="Times New Roman" w:cs="Times New Roman"/>
          <w:sz w:val="24"/>
          <w:szCs w:val="24"/>
        </w:rPr>
        <w:t xml:space="preserve">, the Commission would encounter hostility, opposition, and disagreement </w:t>
      </w:r>
      <w:r w:rsidR="004A0180">
        <w:rPr>
          <w:rFonts w:ascii="Times New Roman" w:hAnsi="Times New Roman" w:cs="Times New Roman"/>
          <w:sz w:val="24"/>
          <w:szCs w:val="24"/>
        </w:rPr>
        <w:t xml:space="preserve">towards </w:t>
      </w:r>
      <w:r w:rsidR="004A0180" w:rsidRPr="004A0180">
        <w:rPr>
          <w:rFonts w:ascii="Times New Roman" w:hAnsi="Times New Roman" w:cs="Times New Roman"/>
          <w:sz w:val="24"/>
          <w:szCs w:val="24"/>
        </w:rPr>
        <w:t>its objectives</w:t>
      </w:r>
      <w:r w:rsidR="004A0180">
        <w:rPr>
          <w:rFonts w:ascii="Times New Roman" w:hAnsi="Times New Roman" w:cs="Times New Roman"/>
          <w:sz w:val="24"/>
          <w:szCs w:val="24"/>
        </w:rPr>
        <w:t>, and has been embroiled in controversy even to this day with the manner it has undertaken its work (</w:t>
      </w:r>
      <w:proofErr w:type="spellStart"/>
      <w:r w:rsidR="004A0180">
        <w:rPr>
          <w:rFonts w:ascii="Times New Roman" w:hAnsi="Times New Roman" w:cs="Times New Roman"/>
          <w:sz w:val="24"/>
          <w:szCs w:val="24"/>
        </w:rPr>
        <w:t>Braybon</w:t>
      </w:r>
      <w:proofErr w:type="spellEnd"/>
      <w:r w:rsidR="004A0180">
        <w:rPr>
          <w:rFonts w:ascii="Times New Roman" w:hAnsi="Times New Roman" w:cs="Times New Roman"/>
          <w:sz w:val="24"/>
          <w:szCs w:val="24"/>
        </w:rPr>
        <w:t>, 2008, pp.32-39; Crane, 2013, pp.</w:t>
      </w:r>
      <w:r w:rsidR="00076AE9">
        <w:rPr>
          <w:rFonts w:ascii="Times New Roman" w:hAnsi="Times New Roman" w:cs="Times New Roman"/>
          <w:sz w:val="24"/>
          <w:szCs w:val="24"/>
        </w:rPr>
        <w:t xml:space="preserve">96-118; CWGC, 2021; </w:t>
      </w:r>
      <w:r w:rsidR="004A0180">
        <w:rPr>
          <w:rFonts w:ascii="Times New Roman" w:hAnsi="Times New Roman" w:cs="Times New Roman"/>
          <w:sz w:val="24"/>
          <w:szCs w:val="24"/>
        </w:rPr>
        <w:t xml:space="preserve">Longworth, 2003, pp.29 – 55; </w:t>
      </w:r>
      <w:r w:rsidR="00076AE9">
        <w:rPr>
          <w:rFonts w:ascii="Times New Roman" w:hAnsi="Times New Roman" w:cs="Times New Roman"/>
          <w:sz w:val="24"/>
          <w:szCs w:val="24"/>
        </w:rPr>
        <w:t xml:space="preserve">Parsons, 2025; </w:t>
      </w:r>
      <w:r w:rsidR="004A0180">
        <w:rPr>
          <w:rFonts w:ascii="Times New Roman" w:hAnsi="Times New Roman" w:cs="Times New Roman"/>
          <w:sz w:val="24"/>
          <w:szCs w:val="24"/>
        </w:rPr>
        <w:t>Summers, 2014, pp. 14-16)</w:t>
      </w:r>
      <w:r w:rsidR="004A0180" w:rsidRPr="004A0180">
        <w:rPr>
          <w:rFonts w:ascii="Times New Roman" w:hAnsi="Times New Roman" w:cs="Times New Roman"/>
          <w:sz w:val="24"/>
          <w:szCs w:val="24"/>
        </w:rPr>
        <w:t xml:space="preserve">. </w:t>
      </w:r>
    </w:p>
    <w:p w14:paraId="1248BF00" w14:textId="30F975FD" w:rsidR="006F526E" w:rsidRDefault="00076AE9" w:rsidP="00DD137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will discuss the CWGC’s role in commemorating the fallen of both World Wars and will examine the criticisms it has received it relation to its objectives and allegations of </w:t>
      </w:r>
      <w:r w:rsidR="00413758">
        <w:rPr>
          <w:rFonts w:ascii="Times New Roman" w:hAnsi="Times New Roman" w:cs="Times New Roman"/>
          <w:sz w:val="24"/>
          <w:szCs w:val="24"/>
        </w:rPr>
        <w:t xml:space="preserve">misogyny, </w:t>
      </w:r>
      <w:r>
        <w:rPr>
          <w:rFonts w:ascii="Times New Roman" w:hAnsi="Times New Roman" w:cs="Times New Roman"/>
          <w:sz w:val="24"/>
          <w:szCs w:val="24"/>
        </w:rPr>
        <w:t>imperialism and racism that may have clouded its judgement in achieving those objectives</w:t>
      </w:r>
      <w:r w:rsidR="00265452">
        <w:rPr>
          <w:rFonts w:ascii="Times New Roman" w:hAnsi="Times New Roman" w:cs="Times New Roman"/>
          <w:sz w:val="24"/>
          <w:szCs w:val="24"/>
        </w:rPr>
        <w:t xml:space="preserve"> (CWGC, 2021; Parsons, 2025)</w:t>
      </w:r>
      <w:r>
        <w:rPr>
          <w:rFonts w:ascii="Times New Roman" w:hAnsi="Times New Roman" w:cs="Times New Roman"/>
          <w:sz w:val="24"/>
          <w:szCs w:val="24"/>
        </w:rPr>
        <w:t>. In doing so the question of the authenticity of the CWGC memorials will be considered.</w:t>
      </w:r>
    </w:p>
    <w:p w14:paraId="62490B54" w14:textId="2525D0EF" w:rsidR="00F72C9A" w:rsidRDefault="00757A17" w:rsidP="00757A17">
      <w:pPr>
        <w:spacing w:line="360" w:lineRule="auto"/>
        <w:rPr>
          <w:rFonts w:ascii="Times New Roman" w:hAnsi="Times New Roman" w:cs="Times New Roman"/>
          <w:sz w:val="24"/>
          <w:szCs w:val="24"/>
        </w:rPr>
      </w:pPr>
      <w:r w:rsidRPr="00757A17">
        <w:rPr>
          <w:rFonts w:ascii="Times New Roman" w:hAnsi="Times New Roman" w:cs="Times New Roman"/>
          <w:sz w:val="24"/>
          <w:szCs w:val="24"/>
        </w:rPr>
        <w:t xml:space="preserve">British Army </w:t>
      </w:r>
      <w:r>
        <w:rPr>
          <w:rFonts w:ascii="Times New Roman" w:hAnsi="Times New Roman" w:cs="Times New Roman"/>
          <w:sz w:val="24"/>
          <w:szCs w:val="24"/>
        </w:rPr>
        <w:t>personnel</w:t>
      </w:r>
      <w:r w:rsidRPr="00757A17">
        <w:rPr>
          <w:rFonts w:ascii="Times New Roman" w:hAnsi="Times New Roman" w:cs="Times New Roman"/>
          <w:sz w:val="24"/>
          <w:szCs w:val="24"/>
        </w:rPr>
        <w:t xml:space="preserve"> who lost their lives in conflict prior to the First World War were frequently buried in mass graves that were essentially unmarked and forgotten (Francis, 2014, p.12; </w:t>
      </w:r>
      <w:r w:rsidR="00C31989">
        <w:rPr>
          <w:rFonts w:ascii="Times New Roman" w:hAnsi="Times New Roman" w:cs="Times New Roman"/>
          <w:sz w:val="24"/>
          <w:szCs w:val="24"/>
        </w:rPr>
        <w:t xml:space="preserve">Longworth, 2003, p. xx; </w:t>
      </w:r>
      <w:r w:rsidRPr="00757A17">
        <w:rPr>
          <w:rFonts w:ascii="Times New Roman" w:hAnsi="Times New Roman" w:cs="Times New Roman"/>
          <w:sz w:val="24"/>
          <w:szCs w:val="24"/>
        </w:rPr>
        <w:t xml:space="preserve">Summers, 2014, pp.7-11). The First World War resulted in casualties within the British Army of the time on an </w:t>
      </w:r>
      <w:r w:rsidR="008D2703">
        <w:rPr>
          <w:rFonts w:ascii="Times New Roman" w:hAnsi="Times New Roman" w:cs="Times New Roman"/>
          <w:sz w:val="24"/>
          <w:szCs w:val="24"/>
        </w:rPr>
        <w:t xml:space="preserve">unforeseen and </w:t>
      </w:r>
      <w:r w:rsidRPr="00757A17">
        <w:rPr>
          <w:rFonts w:ascii="Times New Roman" w:hAnsi="Times New Roman" w:cs="Times New Roman"/>
          <w:sz w:val="24"/>
          <w:szCs w:val="24"/>
        </w:rPr>
        <w:t>unprecedented scale, with 704,803 killed from the British Isles</w:t>
      </w:r>
      <w:r w:rsidR="00C31989">
        <w:rPr>
          <w:rFonts w:ascii="Times New Roman" w:hAnsi="Times New Roman" w:cs="Times New Roman"/>
          <w:sz w:val="24"/>
          <w:szCs w:val="24"/>
        </w:rPr>
        <w:t xml:space="preserve"> alone,</w:t>
      </w:r>
      <w:r w:rsidRPr="00757A17">
        <w:rPr>
          <w:rFonts w:ascii="Times New Roman" w:hAnsi="Times New Roman" w:cs="Times New Roman"/>
          <w:sz w:val="24"/>
          <w:szCs w:val="24"/>
        </w:rPr>
        <w:t xml:space="preserve"> 251,900 from other Commonwealth Countries, and with a further 2,272,998 wounded (Bowdler, 2019, p.31; Summers, 2014, p.13; UK Parliament, 2026). What followed was the </w:t>
      </w:r>
      <w:r w:rsidR="00C31989">
        <w:rPr>
          <w:rFonts w:ascii="Times New Roman" w:hAnsi="Times New Roman" w:cs="Times New Roman"/>
          <w:sz w:val="24"/>
          <w:szCs w:val="24"/>
        </w:rPr>
        <w:t>lar</w:t>
      </w:r>
      <w:r w:rsidRPr="00757A17">
        <w:rPr>
          <w:rFonts w:ascii="Times New Roman" w:hAnsi="Times New Roman" w:cs="Times New Roman"/>
          <w:sz w:val="24"/>
          <w:szCs w:val="24"/>
        </w:rPr>
        <w:t xml:space="preserve">gest public </w:t>
      </w:r>
      <w:r w:rsidR="001B3021">
        <w:rPr>
          <w:rFonts w:ascii="Times New Roman" w:hAnsi="Times New Roman" w:cs="Times New Roman"/>
          <w:sz w:val="24"/>
          <w:szCs w:val="24"/>
        </w:rPr>
        <w:t>demonstration of distress and sorrow</w:t>
      </w:r>
      <w:r w:rsidRPr="00757A17">
        <w:rPr>
          <w:rFonts w:ascii="Times New Roman" w:hAnsi="Times New Roman" w:cs="Times New Roman"/>
          <w:sz w:val="24"/>
          <w:szCs w:val="24"/>
        </w:rPr>
        <w:t xml:space="preserve"> that had ever been seen, which led to the government adopting a more direct and </w:t>
      </w:r>
      <w:r w:rsidRPr="00757A17">
        <w:rPr>
          <w:rFonts w:ascii="Times New Roman" w:hAnsi="Times New Roman" w:cs="Times New Roman"/>
          <w:sz w:val="24"/>
          <w:szCs w:val="24"/>
        </w:rPr>
        <w:lastRenderedPageBreak/>
        <w:t>sympathetic approach to the commemoration of its fallen</w:t>
      </w:r>
      <w:r w:rsidR="001E4F12">
        <w:rPr>
          <w:rFonts w:ascii="Times New Roman" w:hAnsi="Times New Roman" w:cs="Times New Roman"/>
          <w:sz w:val="24"/>
          <w:szCs w:val="24"/>
        </w:rPr>
        <w:t>, and ultimately led to the formation of the Imperial War Graves Commission</w:t>
      </w:r>
      <w:r w:rsidRPr="00757A17">
        <w:rPr>
          <w:rFonts w:ascii="Times New Roman" w:hAnsi="Times New Roman" w:cs="Times New Roman"/>
          <w:sz w:val="24"/>
          <w:szCs w:val="24"/>
        </w:rPr>
        <w:t xml:space="preserve"> (Summers, 2014, p13). </w:t>
      </w:r>
    </w:p>
    <w:p w14:paraId="7514A011" w14:textId="377F04B0" w:rsidR="00E0256A" w:rsidRDefault="00653A84" w:rsidP="00757A17">
      <w:pPr>
        <w:spacing w:line="360" w:lineRule="auto"/>
        <w:rPr>
          <w:rFonts w:ascii="Times New Roman" w:hAnsi="Times New Roman" w:cs="Times New Roman"/>
          <w:sz w:val="24"/>
          <w:szCs w:val="24"/>
        </w:rPr>
      </w:pPr>
      <w:r>
        <w:rPr>
          <w:rFonts w:ascii="Times New Roman" w:hAnsi="Times New Roman" w:cs="Times New Roman"/>
          <w:sz w:val="24"/>
          <w:szCs w:val="24"/>
        </w:rPr>
        <w:t>It all began i</w:t>
      </w:r>
      <w:r w:rsidR="00E0256A">
        <w:rPr>
          <w:rFonts w:ascii="Times New Roman" w:hAnsi="Times New Roman" w:cs="Times New Roman"/>
          <w:sz w:val="24"/>
          <w:szCs w:val="24"/>
        </w:rPr>
        <w:t xml:space="preserve">n September 1914 </w:t>
      </w:r>
      <w:r>
        <w:rPr>
          <w:rFonts w:ascii="Times New Roman" w:hAnsi="Times New Roman" w:cs="Times New Roman"/>
          <w:sz w:val="24"/>
          <w:szCs w:val="24"/>
        </w:rPr>
        <w:t xml:space="preserve">when </w:t>
      </w:r>
      <w:r w:rsidR="001E4F12">
        <w:rPr>
          <w:rFonts w:ascii="Times New Roman" w:hAnsi="Times New Roman" w:cs="Times New Roman"/>
          <w:sz w:val="24"/>
          <w:szCs w:val="24"/>
        </w:rPr>
        <w:t>a</w:t>
      </w:r>
      <w:r w:rsidR="00E0256A">
        <w:rPr>
          <w:rFonts w:ascii="Times New Roman" w:hAnsi="Times New Roman" w:cs="Times New Roman"/>
          <w:sz w:val="24"/>
          <w:szCs w:val="24"/>
        </w:rPr>
        <w:t xml:space="preserve"> British Red Cross mobile ambulance unit</w:t>
      </w:r>
      <w:r w:rsidR="00F72C9A">
        <w:rPr>
          <w:rFonts w:ascii="Times New Roman" w:hAnsi="Times New Roman" w:cs="Times New Roman"/>
          <w:sz w:val="24"/>
          <w:szCs w:val="24"/>
        </w:rPr>
        <w:t xml:space="preserve"> (Figure 2),</w:t>
      </w:r>
      <w:r w:rsidR="00E0256A">
        <w:rPr>
          <w:rFonts w:ascii="Times New Roman" w:hAnsi="Times New Roman" w:cs="Times New Roman"/>
          <w:sz w:val="24"/>
          <w:szCs w:val="24"/>
        </w:rPr>
        <w:t xml:space="preserve"> </w:t>
      </w:r>
      <w:r w:rsidR="007264E2" w:rsidRPr="007264E2">
        <w:rPr>
          <w:rFonts w:ascii="Times New Roman" w:hAnsi="Times New Roman" w:cs="Times New Roman"/>
          <w:sz w:val="24"/>
          <w:szCs w:val="24"/>
        </w:rPr>
        <w:t>headed by a former journalist and civil servant Fabian Ware</w:t>
      </w:r>
      <w:r w:rsidR="007264E2">
        <w:rPr>
          <w:rFonts w:ascii="Times New Roman" w:hAnsi="Times New Roman" w:cs="Times New Roman"/>
          <w:sz w:val="24"/>
          <w:szCs w:val="24"/>
        </w:rPr>
        <w:t xml:space="preserve"> (Figure 1),</w:t>
      </w:r>
      <w:r w:rsidR="007264E2" w:rsidRPr="007264E2">
        <w:rPr>
          <w:rFonts w:ascii="Times New Roman" w:hAnsi="Times New Roman" w:cs="Times New Roman"/>
          <w:sz w:val="24"/>
          <w:szCs w:val="24"/>
        </w:rPr>
        <w:t xml:space="preserve"> </w:t>
      </w:r>
      <w:r w:rsidR="00E0256A">
        <w:rPr>
          <w:rFonts w:ascii="Times New Roman" w:hAnsi="Times New Roman" w:cs="Times New Roman"/>
          <w:sz w:val="24"/>
          <w:szCs w:val="24"/>
        </w:rPr>
        <w:t xml:space="preserve">arrived </w:t>
      </w:r>
      <w:r>
        <w:rPr>
          <w:rFonts w:ascii="Times New Roman" w:hAnsi="Times New Roman" w:cs="Times New Roman"/>
          <w:sz w:val="24"/>
          <w:szCs w:val="24"/>
        </w:rPr>
        <w:t>o</w:t>
      </w:r>
      <w:r w:rsidR="00E0256A">
        <w:rPr>
          <w:rFonts w:ascii="Times New Roman" w:hAnsi="Times New Roman" w:cs="Times New Roman"/>
          <w:sz w:val="24"/>
          <w:szCs w:val="24"/>
        </w:rPr>
        <w:t xml:space="preserve">n </w:t>
      </w:r>
      <w:r>
        <w:rPr>
          <w:rFonts w:ascii="Times New Roman" w:hAnsi="Times New Roman" w:cs="Times New Roman"/>
          <w:sz w:val="24"/>
          <w:szCs w:val="24"/>
        </w:rPr>
        <w:t xml:space="preserve">the Western Front </w:t>
      </w:r>
      <w:r w:rsidR="007264E2">
        <w:rPr>
          <w:rFonts w:ascii="Times New Roman" w:hAnsi="Times New Roman" w:cs="Times New Roman"/>
          <w:sz w:val="24"/>
          <w:szCs w:val="24"/>
        </w:rPr>
        <w:t xml:space="preserve">to assist with the recovery of the wounded on the battlefield </w:t>
      </w:r>
      <w:r>
        <w:rPr>
          <w:rFonts w:ascii="Times New Roman" w:hAnsi="Times New Roman" w:cs="Times New Roman"/>
          <w:sz w:val="24"/>
          <w:szCs w:val="24"/>
        </w:rPr>
        <w:t>(CWGC, 2026a)</w:t>
      </w:r>
      <w:r w:rsidR="001E4F12">
        <w:rPr>
          <w:rFonts w:ascii="Times New Roman" w:hAnsi="Times New Roman" w:cs="Times New Roman"/>
          <w:sz w:val="24"/>
          <w:szCs w:val="24"/>
        </w:rPr>
        <w:t>.</w:t>
      </w:r>
      <w:r>
        <w:rPr>
          <w:rFonts w:ascii="Times New Roman" w:hAnsi="Times New Roman" w:cs="Times New Roman"/>
          <w:sz w:val="24"/>
          <w:szCs w:val="24"/>
        </w:rPr>
        <w:t xml:space="preserve"> Ware noticed the makeshift manner </w:t>
      </w:r>
      <w:r w:rsidR="007264E2">
        <w:rPr>
          <w:rFonts w:ascii="Times New Roman" w:hAnsi="Times New Roman" w:cs="Times New Roman"/>
          <w:sz w:val="24"/>
          <w:szCs w:val="24"/>
        </w:rPr>
        <w:t>with</w:t>
      </w:r>
      <w:r>
        <w:rPr>
          <w:rFonts w:ascii="Times New Roman" w:hAnsi="Times New Roman" w:cs="Times New Roman"/>
          <w:sz w:val="24"/>
          <w:szCs w:val="24"/>
        </w:rPr>
        <w:t xml:space="preserve"> which the deceased were buried and their graves </w:t>
      </w:r>
      <w:r w:rsidR="007264E2">
        <w:rPr>
          <w:rFonts w:ascii="Times New Roman" w:hAnsi="Times New Roman" w:cs="Times New Roman"/>
          <w:sz w:val="24"/>
          <w:szCs w:val="24"/>
        </w:rPr>
        <w:t>recorded and</w:t>
      </w:r>
      <w:r>
        <w:rPr>
          <w:rFonts w:ascii="Times New Roman" w:hAnsi="Times New Roman" w:cs="Times New Roman"/>
          <w:sz w:val="24"/>
          <w:szCs w:val="24"/>
        </w:rPr>
        <w:t xml:space="preserve"> persuaded his superiors into allowing his unit to become a specialised </w:t>
      </w:r>
      <w:r w:rsidR="007264E2">
        <w:rPr>
          <w:rFonts w:ascii="Times New Roman" w:hAnsi="Times New Roman" w:cs="Times New Roman"/>
          <w:sz w:val="24"/>
          <w:szCs w:val="24"/>
        </w:rPr>
        <w:t>detachment</w:t>
      </w:r>
      <w:r>
        <w:rPr>
          <w:rFonts w:ascii="Times New Roman" w:hAnsi="Times New Roman" w:cs="Times New Roman"/>
          <w:sz w:val="24"/>
          <w:szCs w:val="24"/>
        </w:rPr>
        <w:t xml:space="preserve"> responsible for the </w:t>
      </w:r>
      <w:r w:rsidR="007264E2">
        <w:rPr>
          <w:rFonts w:ascii="Times New Roman" w:hAnsi="Times New Roman" w:cs="Times New Roman"/>
          <w:sz w:val="24"/>
          <w:szCs w:val="24"/>
        </w:rPr>
        <w:t xml:space="preserve">collection of the </w:t>
      </w:r>
      <w:r>
        <w:rPr>
          <w:rFonts w:ascii="Times New Roman" w:hAnsi="Times New Roman" w:cs="Times New Roman"/>
          <w:sz w:val="24"/>
          <w:szCs w:val="24"/>
        </w:rPr>
        <w:t>dead</w:t>
      </w:r>
      <w:r w:rsidR="001522F0">
        <w:rPr>
          <w:rFonts w:ascii="Times New Roman" w:hAnsi="Times New Roman" w:cs="Times New Roman"/>
          <w:sz w:val="24"/>
          <w:szCs w:val="24"/>
        </w:rPr>
        <w:t xml:space="preserve"> and the recording of their place of burial</w:t>
      </w:r>
      <w:r>
        <w:rPr>
          <w:rFonts w:ascii="Times New Roman" w:hAnsi="Times New Roman" w:cs="Times New Roman"/>
          <w:sz w:val="24"/>
          <w:szCs w:val="24"/>
        </w:rPr>
        <w:t xml:space="preserve"> (CWGC, 2026a</w:t>
      </w:r>
      <w:r w:rsidR="007264E2">
        <w:rPr>
          <w:rFonts w:ascii="Times New Roman" w:hAnsi="Times New Roman" w:cs="Times New Roman"/>
          <w:sz w:val="24"/>
          <w:szCs w:val="24"/>
        </w:rPr>
        <w:t>; Summers, 2014, pp.15-16</w:t>
      </w:r>
      <w:r>
        <w:rPr>
          <w:rFonts w:ascii="Times New Roman" w:hAnsi="Times New Roman" w:cs="Times New Roman"/>
          <w:sz w:val="24"/>
          <w:szCs w:val="24"/>
        </w:rPr>
        <w:t>).</w:t>
      </w:r>
      <w:r w:rsidR="00B33562">
        <w:rPr>
          <w:rFonts w:ascii="Times New Roman" w:hAnsi="Times New Roman" w:cs="Times New Roman"/>
          <w:sz w:val="24"/>
          <w:szCs w:val="24"/>
        </w:rPr>
        <w:t xml:space="preserve"> Ware and his team </w:t>
      </w:r>
      <w:r w:rsidR="00C1362D">
        <w:rPr>
          <w:rFonts w:ascii="Times New Roman" w:hAnsi="Times New Roman" w:cs="Times New Roman"/>
          <w:sz w:val="24"/>
          <w:szCs w:val="24"/>
        </w:rPr>
        <w:t>had already</w:t>
      </w:r>
      <w:r w:rsidR="00B33562">
        <w:rPr>
          <w:rFonts w:ascii="Times New Roman" w:hAnsi="Times New Roman" w:cs="Times New Roman"/>
          <w:sz w:val="24"/>
          <w:szCs w:val="24"/>
        </w:rPr>
        <w:t xml:space="preserve"> beg</w:t>
      </w:r>
      <w:r w:rsidR="00C1362D">
        <w:rPr>
          <w:rFonts w:ascii="Times New Roman" w:hAnsi="Times New Roman" w:cs="Times New Roman"/>
          <w:sz w:val="24"/>
          <w:szCs w:val="24"/>
        </w:rPr>
        <w:t>u</w:t>
      </w:r>
      <w:r w:rsidR="00B33562">
        <w:rPr>
          <w:rFonts w:ascii="Times New Roman" w:hAnsi="Times New Roman" w:cs="Times New Roman"/>
          <w:sz w:val="24"/>
          <w:szCs w:val="24"/>
        </w:rPr>
        <w:t xml:space="preserve">n </w:t>
      </w:r>
      <w:r w:rsidR="00C1362D">
        <w:rPr>
          <w:rFonts w:ascii="Times New Roman" w:hAnsi="Times New Roman" w:cs="Times New Roman"/>
          <w:sz w:val="24"/>
          <w:szCs w:val="24"/>
        </w:rPr>
        <w:t xml:space="preserve">to </w:t>
      </w:r>
      <w:r w:rsidR="00B33562">
        <w:rPr>
          <w:rFonts w:ascii="Times New Roman" w:hAnsi="Times New Roman" w:cs="Times New Roman"/>
          <w:sz w:val="24"/>
          <w:szCs w:val="24"/>
        </w:rPr>
        <w:t xml:space="preserve">record the exact location and details of any graves that they found during their work along the Western Front (Summers, 2014, pp.15-16). </w:t>
      </w:r>
    </w:p>
    <w:p w14:paraId="1C2AB0D1" w14:textId="77777777" w:rsidR="001522F0" w:rsidRDefault="001522F0" w:rsidP="00757A17">
      <w:pPr>
        <w:spacing w:line="360" w:lineRule="auto"/>
        <w:rPr>
          <w:rFonts w:ascii="Times New Roman" w:hAnsi="Times New Roman" w:cs="Times New Roman"/>
          <w:sz w:val="24"/>
          <w:szCs w:val="24"/>
        </w:rPr>
      </w:pPr>
    </w:p>
    <w:p w14:paraId="6B34FC27" w14:textId="19D752E8" w:rsidR="007264E2" w:rsidRDefault="00F72C9A" w:rsidP="00F72C9A">
      <w:pPr>
        <w:spacing w:line="360" w:lineRule="auto"/>
        <w:jc w:val="center"/>
        <w:rPr>
          <w:rFonts w:ascii="Times New Roman" w:hAnsi="Times New Roman" w:cs="Times New Roman"/>
          <w:sz w:val="24"/>
          <w:szCs w:val="24"/>
        </w:rPr>
      </w:pPr>
      <w:r w:rsidRPr="00F72C9A">
        <w:rPr>
          <w:rFonts w:ascii="Times New Roman" w:hAnsi="Times New Roman" w:cs="Times New Roman"/>
          <w:noProof/>
          <w:sz w:val="24"/>
          <w:szCs w:val="24"/>
        </w:rPr>
        <w:drawing>
          <wp:inline distT="0" distB="0" distL="0" distR="0" wp14:anchorId="7774DD05" wp14:editId="23BCB779">
            <wp:extent cx="3813175" cy="3813175"/>
            <wp:effectExtent l="0" t="0" r="0" b="0"/>
            <wp:docPr id="609536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175" cy="3813175"/>
                    </a:xfrm>
                    <a:prstGeom prst="rect">
                      <a:avLst/>
                    </a:prstGeom>
                    <a:noFill/>
                    <a:ln>
                      <a:noFill/>
                    </a:ln>
                  </pic:spPr>
                </pic:pic>
              </a:graphicData>
            </a:graphic>
          </wp:inline>
        </w:drawing>
      </w:r>
    </w:p>
    <w:p w14:paraId="0B7B6455" w14:textId="6D073A94" w:rsidR="007264E2" w:rsidRPr="00F72C9A" w:rsidRDefault="00F72C9A" w:rsidP="00F72C9A">
      <w:pPr>
        <w:spacing w:line="360" w:lineRule="auto"/>
        <w:jc w:val="center"/>
        <w:rPr>
          <w:rFonts w:ascii="Times New Roman" w:hAnsi="Times New Roman" w:cs="Times New Roman"/>
          <w:sz w:val="20"/>
          <w:szCs w:val="20"/>
        </w:rPr>
      </w:pPr>
      <w:r w:rsidRPr="00F72C9A">
        <w:rPr>
          <w:rFonts w:ascii="Times New Roman" w:hAnsi="Times New Roman" w:cs="Times New Roman"/>
          <w:sz w:val="20"/>
          <w:szCs w:val="20"/>
        </w:rPr>
        <w:t>Figure 1, Fabian Ware (</w:t>
      </w:r>
      <w:hyperlink r:id="rId9" w:history="1">
        <w:r w:rsidRPr="00F72C9A">
          <w:rPr>
            <w:rStyle w:val="Hyperlink"/>
            <w:rFonts w:ascii="Times New Roman" w:hAnsi="Times New Roman" w:cs="Times New Roman"/>
            <w:sz w:val="20"/>
            <w:szCs w:val="20"/>
          </w:rPr>
          <w:t>https://alchetron.com/Fabian-Ware</w:t>
        </w:r>
      </w:hyperlink>
      <w:r w:rsidRPr="00F72C9A">
        <w:rPr>
          <w:rFonts w:ascii="Times New Roman" w:hAnsi="Times New Roman" w:cs="Times New Roman"/>
          <w:sz w:val="20"/>
          <w:szCs w:val="20"/>
        </w:rPr>
        <w:t>, 2026).</w:t>
      </w:r>
    </w:p>
    <w:p w14:paraId="7209D019" w14:textId="77777777" w:rsidR="007264E2" w:rsidRDefault="007264E2" w:rsidP="00757A17">
      <w:pPr>
        <w:spacing w:line="360" w:lineRule="auto"/>
        <w:rPr>
          <w:rFonts w:ascii="Times New Roman" w:hAnsi="Times New Roman" w:cs="Times New Roman"/>
          <w:sz w:val="24"/>
          <w:szCs w:val="24"/>
        </w:rPr>
      </w:pPr>
    </w:p>
    <w:p w14:paraId="656F4DD1" w14:textId="77777777" w:rsidR="007264E2" w:rsidRDefault="007264E2" w:rsidP="00757A17">
      <w:pPr>
        <w:spacing w:line="360" w:lineRule="auto"/>
        <w:rPr>
          <w:rFonts w:ascii="Times New Roman" w:hAnsi="Times New Roman" w:cs="Times New Roman"/>
          <w:sz w:val="24"/>
          <w:szCs w:val="24"/>
        </w:rPr>
      </w:pPr>
    </w:p>
    <w:p w14:paraId="0EA84D3D" w14:textId="0C88E5B0" w:rsidR="004D405A" w:rsidRPr="00757A17" w:rsidRDefault="004D405A" w:rsidP="00757A17">
      <w:pPr>
        <w:spacing w:line="360" w:lineRule="auto"/>
        <w:rPr>
          <w:rFonts w:ascii="Times New Roman" w:hAnsi="Times New Roman" w:cs="Times New Roman"/>
          <w:sz w:val="24"/>
          <w:szCs w:val="24"/>
        </w:rPr>
      </w:pPr>
      <w:r w:rsidRPr="004D405A">
        <w:rPr>
          <w:rFonts w:ascii="Times New Roman" w:hAnsi="Times New Roman" w:cs="Times New Roman"/>
          <w:noProof/>
          <w:sz w:val="24"/>
          <w:szCs w:val="24"/>
        </w:rPr>
        <w:lastRenderedPageBreak/>
        <w:drawing>
          <wp:inline distT="0" distB="0" distL="0" distR="0" wp14:anchorId="1F4EFE96" wp14:editId="6B11135D">
            <wp:extent cx="5731510" cy="3358515"/>
            <wp:effectExtent l="0" t="0" r="2540" b="0"/>
            <wp:docPr id="52511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58515"/>
                    </a:xfrm>
                    <a:prstGeom prst="rect">
                      <a:avLst/>
                    </a:prstGeom>
                    <a:noFill/>
                    <a:ln>
                      <a:noFill/>
                    </a:ln>
                  </pic:spPr>
                </pic:pic>
              </a:graphicData>
            </a:graphic>
          </wp:inline>
        </w:drawing>
      </w:r>
    </w:p>
    <w:p w14:paraId="5F897B85" w14:textId="0488C83C" w:rsidR="00757A17" w:rsidRPr="001E4F12" w:rsidRDefault="004D405A" w:rsidP="001E4F12">
      <w:pPr>
        <w:spacing w:line="360" w:lineRule="auto"/>
        <w:jc w:val="center"/>
        <w:rPr>
          <w:rFonts w:ascii="Times New Roman" w:hAnsi="Times New Roman" w:cs="Times New Roman"/>
          <w:sz w:val="20"/>
          <w:szCs w:val="20"/>
        </w:rPr>
      </w:pPr>
      <w:r w:rsidRPr="001E4F12">
        <w:rPr>
          <w:rFonts w:ascii="Times New Roman" w:hAnsi="Times New Roman" w:cs="Times New Roman"/>
          <w:sz w:val="20"/>
          <w:szCs w:val="20"/>
        </w:rPr>
        <w:t xml:space="preserve">Figure </w:t>
      </w:r>
      <w:r w:rsidR="007264E2">
        <w:rPr>
          <w:rFonts w:ascii="Times New Roman" w:hAnsi="Times New Roman" w:cs="Times New Roman"/>
          <w:sz w:val="20"/>
          <w:szCs w:val="20"/>
        </w:rPr>
        <w:t>2</w:t>
      </w:r>
      <w:r w:rsidRPr="001E4F12">
        <w:rPr>
          <w:rFonts w:ascii="Times New Roman" w:hAnsi="Times New Roman" w:cs="Times New Roman"/>
          <w:sz w:val="20"/>
          <w:szCs w:val="20"/>
        </w:rPr>
        <w:t xml:space="preserve">, </w:t>
      </w:r>
      <w:r w:rsidR="001E4F12" w:rsidRPr="001E4F12">
        <w:rPr>
          <w:rFonts w:ascii="Times New Roman" w:hAnsi="Times New Roman" w:cs="Times New Roman"/>
          <w:sz w:val="20"/>
          <w:szCs w:val="20"/>
        </w:rPr>
        <w:t xml:space="preserve">British Red Cross mobile ambulance unit on the Western Front </w:t>
      </w:r>
      <w:r w:rsidRPr="001E4F12">
        <w:rPr>
          <w:rFonts w:ascii="Times New Roman" w:hAnsi="Times New Roman" w:cs="Times New Roman"/>
          <w:sz w:val="20"/>
          <w:szCs w:val="20"/>
        </w:rPr>
        <w:t>(CWGC, 2026a,</w:t>
      </w:r>
      <w:r w:rsidRPr="001E4F12">
        <w:rPr>
          <w:rFonts w:ascii="Arial" w:hAnsi="Arial" w:cs="Arial"/>
          <w:i/>
          <w:iCs/>
          <w:color w:val="565656"/>
          <w:sz w:val="20"/>
          <w:szCs w:val="20"/>
        </w:rPr>
        <w:t xml:space="preserve"> </w:t>
      </w:r>
      <w:r w:rsidRPr="001E4F12">
        <w:rPr>
          <w:rFonts w:ascii="Times New Roman" w:hAnsi="Times New Roman" w:cs="Times New Roman"/>
          <w:sz w:val="20"/>
          <w:szCs w:val="20"/>
        </w:rPr>
        <w:t xml:space="preserve">© </w:t>
      </w:r>
      <w:r w:rsidR="001E4F12" w:rsidRPr="001E4F12">
        <w:rPr>
          <w:rFonts w:ascii="Times New Roman" w:hAnsi="Times New Roman" w:cs="Times New Roman"/>
          <w:sz w:val="20"/>
          <w:szCs w:val="20"/>
        </w:rPr>
        <w:t>IWM (Q 2644)</w:t>
      </w:r>
      <w:r w:rsidRPr="001E4F12">
        <w:rPr>
          <w:rFonts w:ascii="Times New Roman" w:hAnsi="Times New Roman" w:cs="Times New Roman"/>
          <w:sz w:val="20"/>
          <w:szCs w:val="20"/>
        </w:rPr>
        <w:t>).</w:t>
      </w:r>
    </w:p>
    <w:p w14:paraId="2534F170" w14:textId="0FC4907F" w:rsidR="00581DC8" w:rsidRDefault="001522F0" w:rsidP="00DD1373">
      <w:pPr>
        <w:spacing w:line="360" w:lineRule="auto"/>
        <w:rPr>
          <w:rFonts w:ascii="Times New Roman" w:hAnsi="Times New Roman" w:cs="Times New Roman"/>
          <w:sz w:val="24"/>
          <w:szCs w:val="24"/>
        </w:rPr>
      </w:pPr>
      <w:r>
        <w:rPr>
          <w:rFonts w:ascii="Times New Roman" w:hAnsi="Times New Roman" w:cs="Times New Roman"/>
          <w:sz w:val="24"/>
          <w:szCs w:val="24"/>
        </w:rPr>
        <w:t>Upon the agreement of the War Office, Ware’s unit transferred from the Red Cross to the British Army and was</w:t>
      </w:r>
      <w:r w:rsidR="00C1362D">
        <w:rPr>
          <w:rFonts w:ascii="Times New Roman" w:hAnsi="Times New Roman" w:cs="Times New Roman"/>
          <w:sz w:val="24"/>
          <w:szCs w:val="24"/>
        </w:rPr>
        <w:t xml:space="preserve"> redesignated as the Graves Registration Commission (GRC) (CWGC, 2026a; </w:t>
      </w:r>
      <w:r w:rsidR="005266CC">
        <w:rPr>
          <w:rFonts w:ascii="Times New Roman" w:hAnsi="Times New Roman" w:cs="Times New Roman"/>
          <w:sz w:val="24"/>
          <w:szCs w:val="24"/>
        </w:rPr>
        <w:t xml:space="preserve">Longworth, 2003, p.6; </w:t>
      </w:r>
      <w:r w:rsidR="00C1362D">
        <w:rPr>
          <w:rFonts w:ascii="Times New Roman" w:hAnsi="Times New Roman" w:cs="Times New Roman"/>
          <w:sz w:val="24"/>
          <w:szCs w:val="24"/>
        </w:rPr>
        <w:t>Summers, 2014, pp.16-17).</w:t>
      </w:r>
      <w:r w:rsidR="00E83223">
        <w:rPr>
          <w:rFonts w:ascii="Times New Roman" w:hAnsi="Times New Roman" w:cs="Times New Roman"/>
          <w:sz w:val="24"/>
          <w:szCs w:val="24"/>
        </w:rPr>
        <w:t xml:space="preserve"> </w:t>
      </w:r>
      <w:r w:rsidR="005266CC">
        <w:rPr>
          <w:rFonts w:ascii="Times New Roman" w:hAnsi="Times New Roman" w:cs="Times New Roman"/>
          <w:sz w:val="24"/>
          <w:szCs w:val="24"/>
        </w:rPr>
        <w:t xml:space="preserve">The importance of Ware’s work was noted by </w:t>
      </w:r>
      <w:r w:rsidR="002F216A">
        <w:rPr>
          <w:rFonts w:ascii="Times New Roman" w:hAnsi="Times New Roman" w:cs="Times New Roman"/>
          <w:sz w:val="24"/>
          <w:szCs w:val="24"/>
        </w:rPr>
        <w:t>Field</w:t>
      </w:r>
      <w:r w:rsidR="005266CC">
        <w:rPr>
          <w:rFonts w:ascii="Times New Roman" w:hAnsi="Times New Roman" w:cs="Times New Roman"/>
          <w:sz w:val="24"/>
          <w:szCs w:val="24"/>
        </w:rPr>
        <w:t xml:space="preserve"> Marshall Haig (Longworth, 2003, p. 6-7).</w:t>
      </w:r>
    </w:p>
    <w:p w14:paraId="36DCD449" w14:textId="2D829E43" w:rsidR="002F216A" w:rsidRPr="002F216A" w:rsidRDefault="002F216A" w:rsidP="002F216A">
      <w:pPr>
        <w:spacing w:line="360" w:lineRule="auto"/>
        <w:ind w:left="720"/>
        <w:rPr>
          <w:rFonts w:ascii="Times New Roman" w:hAnsi="Times New Roman" w:cs="Times New Roman"/>
          <w:sz w:val="24"/>
          <w:szCs w:val="24"/>
        </w:rPr>
      </w:pPr>
      <w:r w:rsidRPr="002F216A">
        <w:rPr>
          <w:rFonts w:ascii="Times New Roman" w:hAnsi="Times New Roman" w:cs="Times New Roman"/>
          <w:sz w:val="24"/>
          <w:szCs w:val="24"/>
        </w:rPr>
        <w:t>“</w:t>
      </w:r>
      <w:r w:rsidRPr="002F216A">
        <w:rPr>
          <w:rFonts w:ascii="Times New Roman" w:hAnsi="Times New Roman" w:cs="Times New Roman"/>
          <w:i/>
          <w:iCs/>
          <w:sz w:val="24"/>
          <w:szCs w:val="24"/>
        </w:rPr>
        <w:t>The mere fact that these officers visit day after day the cemeteries close behind the trenches, fully exposed to shell and rifle fire, accurately to record not only the names of the dead but also the exact place of burial, has a symbolic value to the men that it would be difficult to exaggerate.”</w:t>
      </w:r>
      <w:r>
        <w:rPr>
          <w:rFonts w:ascii="Times New Roman" w:hAnsi="Times New Roman" w:cs="Times New Roman"/>
          <w:sz w:val="24"/>
          <w:szCs w:val="24"/>
        </w:rPr>
        <w:t xml:space="preserve"> </w:t>
      </w:r>
      <w:r w:rsidRPr="002F216A">
        <w:rPr>
          <w:rFonts w:ascii="Times New Roman" w:hAnsi="Times New Roman" w:cs="Times New Roman"/>
          <w:i/>
          <w:iCs/>
          <w:sz w:val="24"/>
          <w:szCs w:val="24"/>
        </w:rPr>
        <w:t xml:space="preserve">Field Marshal Douglas Haig, March 1915 </w:t>
      </w:r>
      <w:r w:rsidRPr="002F216A">
        <w:rPr>
          <w:rFonts w:ascii="Times New Roman" w:hAnsi="Times New Roman" w:cs="Times New Roman"/>
          <w:sz w:val="24"/>
          <w:szCs w:val="24"/>
        </w:rPr>
        <w:t>(CWGC, 2026a</w:t>
      </w:r>
      <w:r>
        <w:rPr>
          <w:rFonts w:ascii="Times New Roman" w:hAnsi="Times New Roman" w:cs="Times New Roman"/>
          <w:sz w:val="24"/>
          <w:szCs w:val="24"/>
        </w:rPr>
        <w:t>; Longworth, 2003, p.6-7</w:t>
      </w:r>
      <w:r w:rsidRPr="002F216A">
        <w:rPr>
          <w:rFonts w:ascii="Times New Roman" w:hAnsi="Times New Roman" w:cs="Times New Roman"/>
          <w:sz w:val="24"/>
          <w:szCs w:val="24"/>
        </w:rPr>
        <w:t>).</w:t>
      </w:r>
    </w:p>
    <w:p w14:paraId="4C11EBC0" w14:textId="77823891" w:rsidR="00757A17" w:rsidRDefault="00E83223" w:rsidP="00DD1373">
      <w:pPr>
        <w:spacing w:line="360" w:lineRule="auto"/>
        <w:rPr>
          <w:rFonts w:ascii="Times New Roman" w:hAnsi="Times New Roman" w:cs="Times New Roman"/>
          <w:sz w:val="24"/>
          <w:szCs w:val="24"/>
        </w:rPr>
      </w:pPr>
      <w:r>
        <w:rPr>
          <w:rFonts w:ascii="Times New Roman" w:hAnsi="Times New Roman" w:cs="Times New Roman"/>
          <w:sz w:val="24"/>
          <w:szCs w:val="24"/>
        </w:rPr>
        <w:t>By 1916 the GRC’s role</w:t>
      </w:r>
      <w:r w:rsidR="00710CA5">
        <w:rPr>
          <w:rFonts w:ascii="Times New Roman" w:hAnsi="Times New Roman" w:cs="Times New Roman"/>
          <w:sz w:val="24"/>
          <w:szCs w:val="24"/>
        </w:rPr>
        <w:t xml:space="preserve"> had</w:t>
      </w:r>
      <w:r>
        <w:rPr>
          <w:rFonts w:ascii="Times New Roman" w:hAnsi="Times New Roman" w:cs="Times New Roman"/>
          <w:sz w:val="24"/>
          <w:szCs w:val="24"/>
        </w:rPr>
        <w:t xml:space="preserve"> broadened to deal with </w:t>
      </w:r>
      <w:r w:rsidR="00710CA5">
        <w:rPr>
          <w:rFonts w:ascii="Times New Roman" w:hAnsi="Times New Roman" w:cs="Times New Roman"/>
          <w:sz w:val="24"/>
          <w:szCs w:val="24"/>
        </w:rPr>
        <w:t>requests for information from grieving relatives and was renamed the Directorate of Graves Registration and Enquiries (DGRE) (CWGC, 2026a</w:t>
      </w:r>
      <w:r w:rsidR="00B03500">
        <w:rPr>
          <w:rFonts w:ascii="Times New Roman" w:hAnsi="Times New Roman" w:cs="Times New Roman"/>
          <w:sz w:val="24"/>
          <w:szCs w:val="24"/>
        </w:rPr>
        <w:t>; Longworth, 2003, p.17</w:t>
      </w:r>
      <w:r w:rsidR="00710CA5">
        <w:rPr>
          <w:rFonts w:ascii="Times New Roman" w:hAnsi="Times New Roman" w:cs="Times New Roman"/>
          <w:sz w:val="24"/>
          <w:szCs w:val="24"/>
        </w:rPr>
        <w:t xml:space="preserve">). </w:t>
      </w:r>
      <w:r w:rsidR="0096438E">
        <w:rPr>
          <w:rFonts w:ascii="Times New Roman" w:hAnsi="Times New Roman" w:cs="Times New Roman"/>
          <w:sz w:val="24"/>
          <w:szCs w:val="24"/>
        </w:rPr>
        <w:t>This role also involved searching for the bodies of the missing, the identification of bodies that they found and the moving of solitary graves and small plots of graves to larger cemeteries (CWGC, 2026a).</w:t>
      </w:r>
    </w:p>
    <w:p w14:paraId="45FFAD9C" w14:textId="790BFFA6" w:rsidR="0096438E" w:rsidRDefault="0096438E" w:rsidP="00DD1373">
      <w:pPr>
        <w:spacing w:line="360" w:lineRule="auto"/>
        <w:rPr>
          <w:rFonts w:ascii="Times New Roman" w:hAnsi="Times New Roman" w:cs="Times New Roman"/>
          <w:sz w:val="24"/>
          <w:szCs w:val="24"/>
        </w:rPr>
      </w:pPr>
      <w:r>
        <w:rPr>
          <w:rFonts w:ascii="Times New Roman" w:hAnsi="Times New Roman" w:cs="Times New Roman"/>
          <w:sz w:val="24"/>
          <w:szCs w:val="24"/>
        </w:rPr>
        <w:t>Ware had by this time be</w:t>
      </w:r>
      <w:r w:rsidR="00DA1600">
        <w:rPr>
          <w:rFonts w:ascii="Times New Roman" w:hAnsi="Times New Roman" w:cs="Times New Roman"/>
          <w:sz w:val="24"/>
          <w:szCs w:val="24"/>
        </w:rPr>
        <w:t>e</w:t>
      </w:r>
      <w:r>
        <w:rPr>
          <w:rFonts w:ascii="Times New Roman" w:hAnsi="Times New Roman" w:cs="Times New Roman"/>
          <w:sz w:val="24"/>
          <w:szCs w:val="24"/>
        </w:rPr>
        <w:t>n given the military rank of Major General, and together with the Adj</w:t>
      </w:r>
      <w:r w:rsidR="00DA1600">
        <w:rPr>
          <w:rFonts w:ascii="Times New Roman" w:hAnsi="Times New Roman" w:cs="Times New Roman"/>
          <w:sz w:val="24"/>
          <w:szCs w:val="24"/>
        </w:rPr>
        <w:t>ut</w:t>
      </w:r>
      <w:r>
        <w:rPr>
          <w:rFonts w:ascii="Times New Roman" w:hAnsi="Times New Roman" w:cs="Times New Roman"/>
          <w:sz w:val="24"/>
          <w:szCs w:val="24"/>
        </w:rPr>
        <w:t>ant</w:t>
      </w:r>
      <w:r w:rsidR="00DA1600">
        <w:rPr>
          <w:rFonts w:ascii="Times New Roman" w:hAnsi="Times New Roman" w:cs="Times New Roman"/>
          <w:sz w:val="24"/>
          <w:szCs w:val="24"/>
        </w:rPr>
        <w:t>-</w:t>
      </w:r>
      <w:r>
        <w:rPr>
          <w:rFonts w:ascii="Times New Roman" w:hAnsi="Times New Roman" w:cs="Times New Roman"/>
          <w:sz w:val="24"/>
          <w:szCs w:val="24"/>
        </w:rPr>
        <w:t>General</w:t>
      </w:r>
      <w:r w:rsidR="00DA1600">
        <w:rPr>
          <w:rFonts w:ascii="Times New Roman" w:hAnsi="Times New Roman" w:cs="Times New Roman"/>
          <w:sz w:val="24"/>
          <w:szCs w:val="24"/>
        </w:rPr>
        <w:t xml:space="preserve"> of the British Expeditionary Force a Major General Neville Macready, who was </w:t>
      </w:r>
      <w:r w:rsidR="002C7961">
        <w:rPr>
          <w:rFonts w:ascii="Times New Roman" w:hAnsi="Times New Roman" w:cs="Times New Roman"/>
          <w:sz w:val="24"/>
          <w:szCs w:val="24"/>
        </w:rPr>
        <w:t xml:space="preserve">himself </w:t>
      </w:r>
      <w:r w:rsidR="00DA1600">
        <w:rPr>
          <w:rFonts w:ascii="Times New Roman" w:hAnsi="Times New Roman" w:cs="Times New Roman"/>
          <w:sz w:val="24"/>
          <w:szCs w:val="24"/>
        </w:rPr>
        <w:t xml:space="preserve">sympathetic towards the fate and treatment of the allied war dead, they began negotiations to acquire land from the French Government to create larger cemeteries for the </w:t>
      </w:r>
      <w:r w:rsidR="00DA1600">
        <w:rPr>
          <w:rFonts w:ascii="Times New Roman" w:hAnsi="Times New Roman" w:cs="Times New Roman"/>
          <w:sz w:val="24"/>
          <w:szCs w:val="24"/>
        </w:rPr>
        <w:lastRenderedPageBreak/>
        <w:t>fallen (</w:t>
      </w:r>
      <w:r w:rsidR="002F216A">
        <w:rPr>
          <w:rFonts w:ascii="Times New Roman" w:hAnsi="Times New Roman" w:cs="Times New Roman"/>
          <w:sz w:val="24"/>
          <w:szCs w:val="24"/>
        </w:rPr>
        <w:t xml:space="preserve">Longworth, 2003, p.11; </w:t>
      </w:r>
      <w:r w:rsidR="00DA1600">
        <w:rPr>
          <w:rFonts w:ascii="Times New Roman" w:hAnsi="Times New Roman" w:cs="Times New Roman"/>
          <w:sz w:val="24"/>
          <w:szCs w:val="24"/>
        </w:rPr>
        <w:t xml:space="preserve">Summers, 2014, pp.15-17). This is seen as the first step in the development of </w:t>
      </w:r>
      <w:r w:rsidR="001B3021">
        <w:rPr>
          <w:rFonts w:ascii="Times New Roman" w:hAnsi="Times New Roman" w:cs="Times New Roman"/>
          <w:sz w:val="24"/>
          <w:szCs w:val="24"/>
        </w:rPr>
        <w:t>the</w:t>
      </w:r>
      <w:r w:rsidR="00DA1600">
        <w:rPr>
          <w:rFonts w:ascii="Times New Roman" w:hAnsi="Times New Roman" w:cs="Times New Roman"/>
          <w:sz w:val="24"/>
          <w:szCs w:val="24"/>
        </w:rPr>
        <w:t xml:space="preserve"> blueprint for the cemeteries of the IWGC (Summers, 2014, p.16).</w:t>
      </w:r>
    </w:p>
    <w:p w14:paraId="5B2EF942" w14:textId="24DDC57B" w:rsidR="005266CC" w:rsidRDefault="005266CC" w:rsidP="005266CC">
      <w:pPr>
        <w:spacing w:line="360" w:lineRule="auto"/>
        <w:rPr>
          <w:rFonts w:ascii="Times New Roman" w:hAnsi="Times New Roman" w:cs="Times New Roman"/>
          <w:sz w:val="24"/>
          <w:szCs w:val="24"/>
        </w:rPr>
      </w:pPr>
      <w:r w:rsidRPr="005266CC">
        <w:rPr>
          <w:rFonts w:ascii="Times New Roman" w:hAnsi="Times New Roman" w:cs="Times New Roman"/>
          <w:sz w:val="24"/>
          <w:szCs w:val="24"/>
        </w:rPr>
        <w:t xml:space="preserve">The thought of men being buried overseas did not sit well with everyone in Britain, and some influential people pressed for </w:t>
      </w:r>
      <w:r>
        <w:rPr>
          <w:rFonts w:ascii="Times New Roman" w:hAnsi="Times New Roman" w:cs="Times New Roman"/>
          <w:sz w:val="24"/>
          <w:szCs w:val="24"/>
        </w:rPr>
        <w:t>the return of the fallen to local cemeteries</w:t>
      </w:r>
      <w:r w:rsidR="00B03500">
        <w:rPr>
          <w:rFonts w:ascii="Times New Roman" w:hAnsi="Times New Roman" w:cs="Times New Roman"/>
          <w:sz w:val="24"/>
          <w:szCs w:val="24"/>
        </w:rPr>
        <w:t xml:space="preserve"> (Summers, 2014, p.16).</w:t>
      </w:r>
      <w:r>
        <w:rPr>
          <w:rFonts w:ascii="Times New Roman" w:hAnsi="Times New Roman" w:cs="Times New Roman"/>
          <w:sz w:val="24"/>
          <w:szCs w:val="24"/>
        </w:rPr>
        <w:t xml:space="preserve"> </w:t>
      </w:r>
      <w:r w:rsidR="00B03500">
        <w:rPr>
          <w:rFonts w:ascii="Times New Roman" w:hAnsi="Times New Roman" w:cs="Times New Roman"/>
          <w:sz w:val="24"/>
          <w:szCs w:val="24"/>
        </w:rPr>
        <w:t xml:space="preserve">Even though the repatriation of the dead was banned by both </w:t>
      </w:r>
      <w:r w:rsidR="004A6424">
        <w:rPr>
          <w:rFonts w:ascii="Times New Roman" w:hAnsi="Times New Roman" w:cs="Times New Roman"/>
          <w:sz w:val="24"/>
          <w:szCs w:val="24"/>
        </w:rPr>
        <w:t>the</w:t>
      </w:r>
      <w:r w:rsidR="00B03500">
        <w:rPr>
          <w:rFonts w:ascii="Times New Roman" w:hAnsi="Times New Roman" w:cs="Times New Roman"/>
          <w:sz w:val="24"/>
          <w:szCs w:val="24"/>
        </w:rPr>
        <w:t xml:space="preserve"> British and French authorities there were numerous instances of covert repatriation being undertaken (Longworth, 2003, p. 14). In one such instance through the influence of</w:t>
      </w:r>
      <w:r w:rsidR="004A6424">
        <w:rPr>
          <w:rFonts w:ascii="Times New Roman" w:hAnsi="Times New Roman" w:cs="Times New Roman"/>
          <w:sz w:val="24"/>
          <w:szCs w:val="24"/>
        </w:rPr>
        <w:t xml:space="preserve"> some prominent figures,</w:t>
      </w:r>
      <w:r w:rsidR="00B03500">
        <w:rPr>
          <w:rFonts w:ascii="Times New Roman" w:hAnsi="Times New Roman" w:cs="Times New Roman"/>
          <w:sz w:val="24"/>
          <w:szCs w:val="24"/>
        </w:rPr>
        <w:t xml:space="preserve"> the body of a British Officer, grandson of  W.E. Gladstone had been </w:t>
      </w:r>
      <w:r w:rsidR="004A6424">
        <w:rPr>
          <w:rFonts w:ascii="Times New Roman" w:hAnsi="Times New Roman" w:cs="Times New Roman"/>
          <w:sz w:val="24"/>
          <w:szCs w:val="24"/>
        </w:rPr>
        <w:t>exhumed</w:t>
      </w:r>
      <w:r w:rsidR="00B03500">
        <w:rPr>
          <w:rFonts w:ascii="Times New Roman" w:hAnsi="Times New Roman" w:cs="Times New Roman"/>
          <w:sz w:val="24"/>
          <w:szCs w:val="24"/>
        </w:rPr>
        <w:t xml:space="preserve"> and returned home</w:t>
      </w:r>
      <w:r w:rsidR="004A6424">
        <w:rPr>
          <w:rFonts w:ascii="Times New Roman" w:hAnsi="Times New Roman" w:cs="Times New Roman"/>
          <w:sz w:val="24"/>
          <w:szCs w:val="24"/>
        </w:rPr>
        <w:t xml:space="preserve"> (</w:t>
      </w:r>
      <w:r w:rsidR="001B3021">
        <w:rPr>
          <w:rFonts w:ascii="Times New Roman" w:hAnsi="Times New Roman" w:cs="Times New Roman"/>
          <w:sz w:val="24"/>
          <w:szCs w:val="24"/>
        </w:rPr>
        <w:t xml:space="preserve">Crane, 2013, pp. 70-74; </w:t>
      </w:r>
      <w:r w:rsidR="004A6424">
        <w:rPr>
          <w:rFonts w:ascii="Times New Roman" w:hAnsi="Times New Roman" w:cs="Times New Roman"/>
          <w:sz w:val="24"/>
          <w:szCs w:val="24"/>
        </w:rPr>
        <w:t>Longworth, 2003, p.14</w:t>
      </w:r>
      <w:r w:rsidR="00D834B9">
        <w:rPr>
          <w:rFonts w:ascii="Times New Roman" w:hAnsi="Times New Roman" w:cs="Times New Roman"/>
          <w:sz w:val="24"/>
          <w:szCs w:val="24"/>
        </w:rPr>
        <w:t>; Summers, 2014, p. 17</w:t>
      </w:r>
      <w:r w:rsidR="004A6424">
        <w:rPr>
          <w:rFonts w:ascii="Times New Roman" w:hAnsi="Times New Roman" w:cs="Times New Roman"/>
          <w:sz w:val="24"/>
          <w:szCs w:val="24"/>
        </w:rPr>
        <w:t>).</w:t>
      </w:r>
      <w:r w:rsidR="00525691">
        <w:rPr>
          <w:rFonts w:ascii="Times New Roman" w:hAnsi="Times New Roman" w:cs="Times New Roman"/>
          <w:sz w:val="24"/>
          <w:szCs w:val="24"/>
        </w:rPr>
        <w:t xml:space="preserve"> The heated debate on the subject of the repatriation and burial of the fallen would continue throughout the war and well after it had ended, with many people of the opinion that it was their absolute right to have the bodies of their family members returned home and buried in their own cemetery (House of Commons Debates, Vol.123, 1919).</w:t>
      </w:r>
    </w:p>
    <w:p w14:paraId="728261DB" w14:textId="58F0FCE7" w:rsidR="00525691" w:rsidRDefault="00D834B9" w:rsidP="005266CC">
      <w:pPr>
        <w:spacing w:line="360" w:lineRule="auto"/>
        <w:rPr>
          <w:rFonts w:ascii="Times New Roman" w:hAnsi="Times New Roman" w:cs="Times New Roman"/>
          <w:sz w:val="24"/>
          <w:szCs w:val="24"/>
        </w:rPr>
      </w:pPr>
      <w:r>
        <w:rPr>
          <w:rFonts w:ascii="Times New Roman" w:hAnsi="Times New Roman" w:cs="Times New Roman"/>
          <w:sz w:val="24"/>
          <w:szCs w:val="24"/>
        </w:rPr>
        <w:t xml:space="preserve">Ware saw it otherwise and with Macready’s assistance declared that for reasons of hygiene and on grounds of </w:t>
      </w:r>
      <w:r w:rsidRPr="00D834B9">
        <w:rPr>
          <w:rFonts w:ascii="Times New Roman" w:hAnsi="Times New Roman" w:cs="Times New Roman"/>
          <w:sz w:val="24"/>
          <w:szCs w:val="24"/>
        </w:rPr>
        <w:t xml:space="preserve">impartiality with regard to </w:t>
      </w:r>
      <w:r>
        <w:rPr>
          <w:rFonts w:ascii="Times New Roman" w:hAnsi="Times New Roman" w:cs="Times New Roman"/>
          <w:sz w:val="24"/>
          <w:szCs w:val="24"/>
        </w:rPr>
        <w:t xml:space="preserve">the </w:t>
      </w:r>
      <w:r w:rsidRPr="00D834B9">
        <w:rPr>
          <w:rFonts w:ascii="Times New Roman" w:hAnsi="Times New Roman" w:cs="Times New Roman"/>
          <w:sz w:val="24"/>
          <w:szCs w:val="24"/>
        </w:rPr>
        <w:t xml:space="preserve">social standing </w:t>
      </w:r>
      <w:r w:rsidR="002B5A65">
        <w:rPr>
          <w:rFonts w:ascii="Times New Roman" w:hAnsi="Times New Roman" w:cs="Times New Roman"/>
          <w:sz w:val="24"/>
          <w:szCs w:val="24"/>
        </w:rPr>
        <w:t>of the bereaved families no</w:t>
      </w:r>
      <w:r>
        <w:rPr>
          <w:rFonts w:ascii="Times New Roman" w:hAnsi="Times New Roman" w:cs="Times New Roman"/>
          <w:sz w:val="24"/>
          <w:szCs w:val="24"/>
        </w:rPr>
        <w:t xml:space="preserve"> further repatriations should be considered (Summers, 2014, </w:t>
      </w:r>
      <w:r w:rsidR="00AE567E">
        <w:rPr>
          <w:rFonts w:ascii="Times New Roman" w:hAnsi="Times New Roman" w:cs="Times New Roman"/>
          <w:sz w:val="24"/>
          <w:szCs w:val="24"/>
        </w:rPr>
        <w:t>p</w:t>
      </w:r>
      <w:r>
        <w:rPr>
          <w:rFonts w:ascii="Times New Roman" w:hAnsi="Times New Roman" w:cs="Times New Roman"/>
          <w:sz w:val="24"/>
          <w:szCs w:val="24"/>
        </w:rPr>
        <w:t>.17). Th</w:t>
      </w:r>
      <w:r w:rsidR="002B5A65">
        <w:rPr>
          <w:rFonts w:ascii="Times New Roman" w:hAnsi="Times New Roman" w:cs="Times New Roman"/>
          <w:sz w:val="24"/>
          <w:szCs w:val="24"/>
        </w:rPr>
        <w:t>is idea of uniformity for the dead became another of the principal themes for the</w:t>
      </w:r>
      <w:r>
        <w:rPr>
          <w:rFonts w:ascii="Times New Roman" w:hAnsi="Times New Roman" w:cs="Times New Roman"/>
          <w:sz w:val="24"/>
          <w:szCs w:val="24"/>
        </w:rPr>
        <w:t xml:space="preserve"> </w:t>
      </w:r>
      <w:r w:rsidR="002B5A65">
        <w:rPr>
          <w:rFonts w:ascii="Times New Roman" w:hAnsi="Times New Roman" w:cs="Times New Roman"/>
          <w:sz w:val="24"/>
          <w:szCs w:val="24"/>
        </w:rPr>
        <w:t>IWGC (Summers, 2014, p.17).</w:t>
      </w:r>
      <w:r>
        <w:rPr>
          <w:rFonts w:ascii="Times New Roman" w:hAnsi="Times New Roman" w:cs="Times New Roman"/>
          <w:sz w:val="24"/>
          <w:szCs w:val="24"/>
        </w:rPr>
        <w:t xml:space="preserve"> </w:t>
      </w:r>
      <w:r w:rsidR="002B5A65">
        <w:rPr>
          <w:rFonts w:ascii="Times New Roman" w:hAnsi="Times New Roman" w:cs="Times New Roman"/>
          <w:sz w:val="24"/>
          <w:szCs w:val="24"/>
        </w:rPr>
        <w:t xml:space="preserve">Ware was also aware that </w:t>
      </w:r>
      <w:r w:rsidR="0090503F">
        <w:rPr>
          <w:rFonts w:ascii="Times New Roman" w:hAnsi="Times New Roman" w:cs="Times New Roman"/>
          <w:sz w:val="24"/>
          <w:szCs w:val="24"/>
        </w:rPr>
        <w:t xml:space="preserve">after the war, the responsibility for the care of the dead and their graves would stop being that of the army and therefore the DGRE, and as negotiations with the French authorities had indicated they would only deal with one organising body, a special organisation was </w:t>
      </w:r>
      <w:r w:rsidR="008006B8">
        <w:rPr>
          <w:rFonts w:ascii="Times New Roman" w:hAnsi="Times New Roman" w:cs="Times New Roman"/>
          <w:sz w:val="24"/>
          <w:szCs w:val="24"/>
        </w:rPr>
        <w:t>needed</w:t>
      </w:r>
      <w:r w:rsidR="0090503F">
        <w:rPr>
          <w:rFonts w:ascii="Times New Roman" w:hAnsi="Times New Roman" w:cs="Times New Roman"/>
          <w:sz w:val="24"/>
          <w:szCs w:val="24"/>
        </w:rPr>
        <w:t xml:space="preserve"> to take over from the DGRE (CWGC, 2026a, </w:t>
      </w:r>
      <w:r w:rsidR="002C7961">
        <w:rPr>
          <w:rFonts w:ascii="Times New Roman" w:hAnsi="Times New Roman" w:cs="Times New Roman"/>
          <w:sz w:val="24"/>
          <w:szCs w:val="24"/>
        </w:rPr>
        <w:t>Longworth</w:t>
      </w:r>
      <w:r w:rsidR="0090503F">
        <w:rPr>
          <w:rFonts w:ascii="Times New Roman" w:hAnsi="Times New Roman" w:cs="Times New Roman"/>
          <w:sz w:val="24"/>
          <w:szCs w:val="24"/>
        </w:rPr>
        <w:t>,</w:t>
      </w:r>
      <w:r w:rsidR="002C7961">
        <w:rPr>
          <w:rFonts w:ascii="Times New Roman" w:hAnsi="Times New Roman" w:cs="Times New Roman"/>
          <w:sz w:val="24"/>
          <w:szCs w:val="24"/>
        </w:rPr>
        <w:t xml:space="preserve"> 2003, pp. 24-28).</w:t>
      </w:r>
      <w:r w:rsidR="0090503F">
        <w:rPr>
          <w:rFonts w:ascii="Times New Roman" w:hAnsi="Times New Roman" w:cs="Times New Roman"/>
          <w:sz w:val="24"/>
          <w:szCs w:val="24"/>
        </w:rPr>
        <w:t xml:space="preserve"> </w:t>
      </w:r>
    </w:p>
    <w:p w14:paraId="1FDA19F3" w14:textId="7A3026B7" w:rsidR="003B7643" w:rsidRDefault="002C7961" w:rsidP="002C7961">
      <w:pPr>
        <w:spacing w:line="360" w:lineRule="auto"/>
        <w:rPr>
          <w:rFonts w:ascii="Times New Roman" w:hAnsi="Times New Roman" w:cs="Times New Roman"/>
          <w:sz w:val="24"/>
          <w:szCs w:val="24"/>
        </w:rPr>
      </w:pPr>
      <w:r w:rsidRPr="002C7961">
        <w:rPr>
          <w:rFonts w:ascii="Times New Roman" w:hAnsi="Times New Roman" w:cs="Times New Roman"/>
          <w:sz w:val="24"/>
          <w:szCs w:val="24"/>
        </w:rPr>
        <w:t>The Imperial War Graves Commission was founded by Royal Charter on May 21, 1917</w:t>
      </w:r>
      <w:r>
        <w:rPr>
          <w:rFonts w:ascii="Times New Roman" w:hAnsi="Times New Roman" w:cs="Times New Roman"/>
          <w:sz w:val="24"/>
          <w:szCs w:val="24"/>
        </w:rPr>
        <w:t xml:space="preserve"> (</w:t>
      </w:r>
      <w:r w:rsidR="004D59AD">
        <w:rPr>
          <w:rFonts w:ascii="Times New Roman" w:hAnsi="Times New Roman" w:cs="Times New Roman"/>
          <w:sz w:val="24"/>
          <w:szCs w:val="24"/>
        </w:rPr>
        <w:t xml:space="preserve">Crane, 2013, pp.96-97; </w:t>
      </w:r>
      <w:r>
        <w:rPr>
          <w:rFonts w:ascii="Times New Roman" w:hAnsi="Times New Roman" w:cs="Times New Roman"/>
          <w:sz w:val="24"/>
          <w:szCs w:val="24"/>
        </w:rPr>
        <w:t>CWGC, 2026a</w:t>
      </w:r>
      <w:r w:rsidR="001969F6">
        <w:rPr>
          <w:rFonts w:ascii="Times New Roman" w:hAnsi="Times New Roman" w:cs="Times New Roman"/>
          <w:sz w:val="24"/>
          <w:szCs w:val="24"/>
        </w:rPr>
        <w:t>; Longworth, 2003, p.27</w:t>
      </w:r>
      <w:r>
        <w:rPr>
          <w:rFonts w:ascii="Times New Roman" w:hAnsi="Times New Roman" w:cs="Times New Roman"/>
          <w:sz w:val="24"/>
          <w:szCs w:val="24"/>
        </w:rPr>
        <w:t>)</w:t>
      </w:r>
      <w:r w:rsidRPr="002C7961">
        <w:rPr>
          <w:rFonts w:ascii="Times New Roman" w:hAnsi="Times New Roman" w:cs="Times New Roman"/>
          <w:sz w:val="24"/>
          <w:szCs w:val="24"/>
        </w:rPr>
        <w:t>.</w:t>
      </w:r>
      <w:r w:rsidR="001969F6">
        <w:rPr>
          <w:rFonts w:ascii="Times New Roman" w:hAnsi="Times New Roman" w:cs="Times New Roman"/>
          <w:sz w:val="24"/>
          <w:szCs w:val="24"/>
        </w:rPr>
        <w:t xml:space="preserve"> </w:t>
      </w:r>
      <w:r w:rsidR="003B7643">
        <w:rPr>
          <w:rFonts w:ascii="Times New Roman" w:hAnsi="Times New Roman" w:cs="Times New Roman"/>
          <w:sz w:val="24"/>
          <w:szCs w:val="24"/>
        </w:rPr>
        <w:t xml:space="preserve">The Commission’s </w:t>
      </w:r>
      <w:r w:rsidR="001969F6">
        <w:rPr>
          <w:rFonts w:ascii="Times New Roman" w:hAnsi="Times New Roman" w:cs="Times New Roman"/>
          <w:sz w:val="24"/>
          <w:szCs w:val="24"/>
        </w:rPr>
        <w:t>President was the Prince of Wales</w:t>
      </w:r>
      <w:r w:rsidR="003B7643">
        <w:rPr>
          <w:rFonts w:ascii="Times New Roman" w:hAnsi="Times New Roman" w:cs="Times New Roman"/>
          <w:sz w:val="24"/>
          <w:szCs w:val="24"/>
        </w:rPr>
        <w:t xml:space="preserve">, the Secretary of State for War became its Chairman and Ware became its Vice-Chairman (CWGC, 2026a; Longworth, 2003, p.27; Summers, 2014, pp. 17-18). Figure 3 below is a copy of the </w:t>
      </w:r>
      <w:r w:rsidR="003B7643" w:rsidRPr="003B7643">
        <w:rPr>
          <w:rFonts w:ascii="Times New Roman" w:hAnsi="Times New Roman" w:cs="Times New Roman"/>
          <w:sz w:val="24"/>
          <w:szCs w:val="24"/>
        </w:rPr>
        <w:t>Charter of the Incorporation of the Imperial war Graves Commission</w:t>
      </w:r>
      <w:r w:rsidR="00977151">
        <w:rPr>
          <w:rFonts w:ascii="Times New Roman" w:hAnsi="Times New Roman" w:cs="Times New Roman"/>
          <w:sz w:val="24"/>
          <w:szCs w:val="24"/>
        </w:rPr>
        <w:t>.</w:t>
      </w:r>
    </w:p>
    <w:p w14:paraId="620AB469" w14:textId="001B353D" w:rsidR="003B7643" w:rsidRDefault="00C87756" w:rsidP="002C7961">
      <w:pPr>
        <w:spacing w:line="360" w:lineRule="auto"/>
        <w:rPr>
          <w:rFonts w:ascii="Times New Roman" w:hAnsi="Times New Roman" w:cs="Times New Roman"/>
          <w:sz w:val="24"/>
          <w:szCs w:val="24"/>
        </w:rPr>
      </w:pPr>
      <w:r>
        <w:rPr>
          <w:rFonts w:ascii="Times New Roman" w:hAnsi="Times New Roman" w:cs="Times New Roman"/>
          <w:sz w:val="24"/>
          <w:szCs w:val="24"/>
        </w:rPr>
        <w:t xml:space="preserve">Major General </w:t>
      </w:r>
      <w:r w:rsidR="00977151">
        <w:rPr>
          <w:rFonts w:ascii="Times New Roman" w:hAnsi="Times New Roman" w:cs="Times New Roman"/>
          <w:sz w:val="24"/>
          <w:szCs w:val="24"/>
        </w:rPr>
        <w:t xml:space="preserve">Neville Macready, the High Commissioners of </w:t>
      </w:r>
      <w:r>
        <w:rPr>
          <w:rFonts w:ascii="Times New Roman" w:hAnsi="Times New Roman" w:cs="Times New Roman"/>
          <w:sz w:val="24"/>
          <w:szCs w:val="24"/>
        </w:rPr>
        <w:t>Australia</w:t>
      </w:r>
      <w:r w:rsidR="00977151">
        <w:rPr>
          <w:rFonts w:ascii="Times New Roman" w:hAnsi="Times New Roman" w:cs="Times New Roman"/>
          <w:sz w:val="24"/>
          <w:szCs w:val="24"/>
        </w:rPr>
        <w:t>,</w:t>
      </w:r>
      <w:r>
        <w:rPr>
          <w:rFonts w:ascii="Times New Roman" w:hAnsi="Times New Roman" w:cs="Times New Roman"/>
          <w:sz w:val="24"/>
          <w:szCs w:val="24"/>
        </w:rPr>
        <w:t xml:space="preserve"> Canada,</w:t>
      </w:r>
      <w:r w:rsidR="00977151">
        <w:rPr>
          <w:rFonts w:ascii="Times New Roman" w:hAnsi="Times New Roman" w:cs="Times New Roman"/>
          <w:sz w:val="24"/>
          <w:szCs w:val="24"/>
        </w:rPr>
        <w:t xml:space="preserve"> New Zealand,</w:t>
      </w:r>
      <w:r>
        <w:rPr>
          <w:rFonts w:ascii="Times New Roman" w:hAnsi="Times New Roman" w:cs="Times New Roman"/>
          <w:sz w:val="24"/>
          <w:szCs w:val="24"/>
        </w:rPr>
        <w:t xml:space="preserve"> and </w:t>
      </w:r>
      <w:r w:rsidR="00977151">
        <w:rPr>
          <w:rFonts w:ascii="Times New Roman" w:hAnsi="Times New Roman" w:cs="Times New Roman"/>
          <w:sz w:val="24"/>
          <w:szCs w:val="24"/>
        </w:rPr>
        <w:t xml:space="preserve">South Africa </w:t>
      </w:r>
      <w:r>
        <w:rPr>
          <w:rFonts w:ascii="Times New Roman" w:hAnsi="Times New Roman" w:cs="Times New Roman"/>
          <w:sz w:val="24"/>
          <w:szCs w:val="24"/>
        </w:rPr>
        <w:t>were given positions on the board as were representatives from India and Newfoundland (Longworth, 2003, p 27; Summers, 2014, p. 18). Rudyard Kipling was appointed literary advisor (Summers, 2014, p.18).</w:t>
      </w:r>
    </w:p>
    <w:p w14:paraId="16D52176" w14:textId="0045F2F5" w:rsidR="002C7961" w:rsidRDefault="003B7643" w:rsidP="002C7961">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686463F" wp14:editId="12BB7483">
            <wp:extent cx="5731510" cy="3909060"/>
            <wp:effectExtent l="0" t="0" r="2540" b="0"/>
            <wp:docPr id="173569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93458" name="Picture 1735693458"/>
                    <pic:cNvPicPr/>
                  </pic:nvPicPr>
                  <pic:blipFill>
                    <a:blip r:embed="rId11">
                      <a:extLst>
                        <a:ext uri="{28A0092B-C50C-407E-A947-70E740481C1C}">
                          <a14:useLocalDpi xmlns:a14="http://schemas.microsoft.com/office/drawing/2010/main" val="0"/>
                        </a:ext>
                      </a:extLst>
                    </a:blip>
                    <a:stretch>
                      <a:fillRect/>
                    </a:stretch>
                  </pic:blipFill>
                  <pic:spPr>
                    <a:xfrm>
                      <a:off x="0" y="0"/>
                      <a:ext cx="5731510" cy="3909060"/>
                    </a:xfrm>
                    <a:prstGeom prst="rect">
                      <a:avLst/>
                    </a:prstGeom>
                  </pic:spPr>
                </pic:pic>
              </a:graphicData>
            </a:graphic>
          </wp:inline>
        </w:drawing>
      </w:r>
      <w:r>
        <w:rPr>
          <w:rFonts w:ascii="Times New Roman" w:hAnsi="Times New Roman" w:cs="Times New Roman"/>
          <w:sz w:val="24"/>
          <w:szCs w:val="24"/>
        </w:rPr>
        <w:t xml:space="preserve"> </w:t>
      </w:r>
    </w:p>
    <w:p w14:paraId="3E23D266" w14:textId="59B1A176" w:rsidR="003B7643" w:rsidRPr="002C7961" w:rsidRDefault="003B7643" w:rsidP="00977151">
      <w:pPr>
        <w:spacing w:line="360" w:lineRule="auto"/>
        <w:jc w:val="center"/>
        <w:rPr>
          <w:rFonts w:ascii="Times New Roman" w:hAnsi="Times New Roman" w:cs="Times New Roman"/>
          <w:sz w:val="20"/>
          <w:szCs w:val="20"/>
        </w:rPr>
      </w:pPr>
      <w:r w:rsidRPr="00977151">
        <w:rPr>
          <w:rFonts w:ascii="Times New Roman" w:hAnsi="Times New Roman" w:cs="Times New Roman"/>
          <w:sz w:val="20"/>
          <w:szCs w:val="20"/>
        </w:rPr>
        <w:t>Figure 3, Charter of the Incorporation of the Imperial war Graves Commission (</w:t>
      </w:r>
      <w:r w:rsidR="00977151" w:rsidRPr="00977151">
        <w:rPr>
          <w:rFonts w:ascii="Times New Roman" w:hAnsi="Times New Roman" w:cs="Times New Roman"/>
          <w:sz w:val="20"/>
          <w:szCs w:val="20"/>
        </w:rPr>
        <w:t>CWGC, 2026a).</w:t>
      </w:r>
    </w:p>
    <w:p w14:paraId="395196E6" w14:textId="77777777" w:rsidR="00A320E1" w:rsidRPr="00A320E1" w:rsidRDefault="00A320E1" w:rsidP="00A320E1">
      <w:pPr>
        <w:spacing w:line="360" w:lineRule="auto"/>
        <w:rPr>
          <w:rFonts w:ascii="Times New Roman" w:hAnsi="Times New Roman" w:cs="Times New Roman"/>
          <w:sz w:val="24"/>
          <w:szCs w:val="24"/>
        </w:rPr>
      </w:pPr>
      <w:r w:rsidRPr="00A320E1">
        <w:rPr>
          <w:rFonts w:ascii="Times New Roman" w:hAnsi="Times New Roman" w:cs="Times New Roman"/>
          <w:sz w:val="24"/>
          <w:szCs w:val="24"/>
        </w:rPr>
        <w:t>The Commission was responsible for the care of all members of the Armed Services of the British Empire who had ‘died of wounds inflicted, accident occurring or disease contracted while on active service whether on sea or land’ (Longworth, 2003, p.27; Summers, 2014, p.18). It was entrusted with burying the dead, standardising the cemeteries, building memorials to the missing,  maintaining records and registers of graves and with the maintenance of these sites forever (CWGC, 2026a; Summers, 2014, pp. 18-19).</w:t>
      </w:r>
    </w:p>
    <w:p w14:paraId="2E2848E6" w14:textId="42201EC9" w:rsidR="009B3305" w:rsidRDefault="008E68A4" w:rsidP="00137B96">
      <w:pPr>
        <w:spacing w:line="360" w:lineRule="auto"/>
        <w:rPr>
          <w:rFonts w:ascii="Times New Roman" w:hAnsi="Times New Roman" w:cs="Times New Roman"/>
          <w:sz w:val="24"/>
          <w:szCs w:val="24"/>
        </w:rPr>
      </w:pPr>
      <w:r w:rsidRPr="008E68A4">
        <w:rPr>
          <w:rFonts w:ascii="Times New Roman" w:hAnsi="Times New Roman" w:cs="Times New Roman"/>
          <w:sz w:val="24"/>
          <w:szCs w:val="24"/>
        </w:rPr>
        <w:t xml:space="preserve">A working group </w:t>
      </w:r>
      <w:r w:rsidR="00A320E1">
        <w:rPr>
          <w:rFonts w:ascii="Times New Roman" w:hAnsi="Times New Roman" w:cs="Times New Roman"/>
          <w:sz w:val="24"/>
          <w:szCs w:val="24"/>
        </w:rPr>
        <w:t xml:space="preserve">from the Commission </w:t>
      </w:r>
      <w:r w:rsidRPr="008E68A4">
        <w:rPr>
          <w:rFonts w:ascii="Times New Roman" w:hAnsi="Times New Roman" w:cs="Times New Roman"/>
          <w:sz w:val="24"/>
          <w:szCs w:val="24"/>
        </w:rPr>
        <w:t>visited the Somme battlefields in July 1917 to decide on the overall layout of the official graves and memorials</w:t>
      </w:r>
      <w:r>
        <w:rPr>
          <w:rFonts w:ascii="Times New Roman" w:hAnsi="Times New Roman" w:cs="Times New Roman"/>
          <w:sz w:val="24"/>
          <w:szCs w:val="24"/>
        </w:rPr>
        <w:t xml:space="preserve"> (CWGC, 2018, p.20; CWGC, 2026a)</w:t>
      </w:r>
      <w:r w:rsidRPr="008E68A4">
        <w:rPr>
          <w:rFonts w:ascii="Times New Roman" w:hAnsi="Times New Roman" w:cs="Times New Roman"/>
          <w:sz w:val="24"/>
          <w:szCs w:val="24"/>
        </w:rPr>
        <w:t>.</w:t>
      </w:r>
      <w:r w:rsidR="009858F0">
        <w:rPr>
          <w:rFonts w:ascii="Times New Roman" w:hAnsi="Times New Roman" w:cs="Times New Roman"/>
          <w:sz w:val="24"/>
          <w:szCs w:val="24"/>
        </w:rPr>
        <w:t xml:space="preserve"> This group </w:t>
      </w:r>
      <w:r w:rsidR="009858F0" w:rsidRPr="009858F0">
        <w:rPr>
          <w:rFonts w:ascii="Times New Roman" w:hAnsi="Times New Roman" w:cs="Times New Roman"/>
          <w:sz w:val="24"/>
          <w:szCs w:val="24"/>
        </w:rPr>
        <w:t>included Rudyard Kipling, gardener Arthur Hill of Kew Gardens, architects Edwin Lutyens, Herbert Baker, and Reginald Bloomfield</w:t>
      </w:r>
      <w:r w:rsidR="009858F0">
        <w:rPr>
          <w:rFonts w:ascii="Times New Roman" w:hAnsi="Times New Roman" w:cs="Times New Roman"/>
          <w:sz w:val="24"/>
          <w:szCs w:val="24"/>
        </w:rPr>
        <w:t xml:space="preserve">, all of whom had different </w:t>
      </w:r>
      <w:r w:rsidR="009858F0" w:rsidRPr="009858F0">
        <w:rPr>
          <w:rFonts w:ascii="Times New Roman" w:hAnsi="Times New Roman" w:cs="Times New Roman"/>
          <w:sz w:val="24"/>
          <w:szCs w:val="24"/>
        </w:rPr>
        <w:t>perspective</w:t>
      </w:r>
      <w:r w:rsidR="009858F0">
        <w:rPr>
          <w:rFonts w:ascii="Times New Roman" w:hAnsi="Times New Roman" w:cs="Times New Roman"/>
          <w:sz w:val="24"/>
          <w:szCs w:val="24"/>
        </w:rPr>
        <w:t>s</w:t>
      </w:r>
      <w:r w:rsidR="009858F0" w:rsidRPr="009858F0">
        <w:rPr>
          <w:rFonts w:ascii="Times New Roman" w:hAnsi="Times New Roman" w:cs="Times New Roman"/>
          <w:sz w:val="24"/>
          <w:szCs w:val="24"/>
        </w:rPr>
        <w:t xml:space="preserve"> for the cemetery' design</w:t>
      </w:r>
      <w:r w:rsidR="009858F0">
        <w:rPr>
          <w:rFonts w:ascii="Times New Roman" w:hAnsi="Times New Roman" w:cs="Times New Roman"/>
          <w:sz w:val="24"/>
          <w:szCs w:val="24"/>
        </w:rPr>
        <w:t xml:space="preserve"> (</w:t>
      </w:r>
      <w:r w:rsidR="00137B96">
        <w:rPr>
          <w:rFonts w:ascii="Times New Roman" w:hAnsi="Times New Roman" w:cs="Times New Roman"/>
          <w:sz w:val="24"/>
          <w:szCs w:val="24"/>
        </w:rPr>
        <w:t xml:space="preserve">CWGC, 2026a; </w:t>
      </w:r>
      <w:r w:rsidR="00A31F41">
        <w:rPr>
          <w:rFonts w:ascii="Times New Roman" w:hAnsi="Times New Roman" w:cs="Times New Roman"/>
          <w:sz w:val="24"/>
          <w:szCs w:val="24"/>
        </w:rPr>
        <w:t xml:space="preserve">Durrell, 2022; </w:t>
      </w:r>
      <w:r w:rsidR="000E42FE">
        <w:rPr>
          <w:rFonts w:ascii="Times New Roman" w:hAnsi="Times New Roman" w:cs="Times New Roman"/>
          <w:sz w:val="24"/>
          <w:szCs w:val="24"/>
        </w:rPr>
        <w:t xml:space="preserve">Longworth, 2003, p. 32; </w:t>
      </w:r>
      <w:r w:rsidR="00A31F41">
        <w:rPr>
          <w:rFonts w:ascii="Times New Roman" w:hAnsi="Times New Roman" w:cs="Times New Roman"/>
          <w:sz w:val="24"/>
          <w:szCs w:val="24"/>
        </w:rPr>
        <w:t>Willay,2024, p.5).</w:t>
      </w:r>
      <w:r w:rsidR="00137B96">
        <w:rPr>
          <w:rFonts w:ascii="Times New Roman" w:hAnsi="Times New Roman" w:cs="Times New Roman"/>
          <w:sz w:val="24"/>
          <w:szCs w:val="24"/>
        </w:rPr>
        <w:t xml:space="preserve"> However, they did agree on certain aspects including </w:t>
      </w:r>
      <w:r w:rsidR="00137B96" w:rsidRPr="00137B96">
        <w:rPr>
          <w:rFonts w:ascii="Times New Roman" w:hAnsi="Times New Roman" w:cs="Times New Roman"/>
          <w:sz w:val="24"/>
          <w:szCs w:val="24"/>
        </w:rPr>
        <w:t>in order to accommodate all religions, the headstones were to have a round top and a simple style</w:t>
      </w:r>
      <w:r w:rsidR="00137B96">
        <w:rPr>
          <w:rFonts w:ascii="Times New Roman" w:hAnsi="Times New Roman" w:cs="Times New Roman"/>
          <w:sz w:val="24"/>
          <w:szCs w:val="24"/>
        </w:rPr>
        <w:t xml:space="preserve"> (Durrell, 2022; </w:t>
      </w:r>
      <w:proofErr w:type="spellStart"/>
      <w:r w:rsidR="00137B96">
        <w:rPr>
          <w:rFonts w:ascii="Times New Roman" w:hAnsi="Times New Roman" w:cs="Times New Roman"/>
          <w:sz w:val="24"/>
          <w:szCs w:val="24"/>
        </w:rPr>
        <w:t>Willay</w:t>
      </w:r>
      <w:proofErr w:type="spellEnd"/>
      <w:r w:rsidR="00137B96">
        <w:rPr>
          <w:rFonts w:ascii="Times New Roman" w:hAnsi="Times New Roman" w:cs="Times New Roman"/>
          <w:sz w:val="24"/>
          <w:szCs w:val="24"/>
        </w:rPr>
        <w:t>, 2024, p5)</w:t>
      </w:r>
      <w:r w:rsidR="00137B96" w:rsidRPr="00137B96">
        <w:rPr>
          <w:rFonts w:ascii="Times New Roman" w:hAnsi="Times New Roman" w:cs="Times New Roman"/>
          <w:sz w:val="24"/>
          <w:szCs w:val="24"/>
        </w:rPr>
        <w:t xml:space="preserve">. </w:t>
      </w:r>
      <w:r w:rsidR="00137B96">
        <w:rPr>
          <w:rFonts w:ascii="Times New Roman" w:hAnsi="Times New Roman" w:cs="Times New Roman"/>
          <w:sz w:val="24"/>
          <w:szCs w:val="24"/>
        </w:rPr>
        <w:t>Lutyens, B</w:t>
      </w:r>
      <w:r w:rsidR="008759DB">
        <w:rPr>
          <w:rFonts w:ascii="Times New Roman" w:hAnsi="Times New Roman" w:cs="Times New Roman"/>
          <w:sz w:val="24"/>
          <w:szCs w:val="24"/>
        </w:rPr>
        <w:t>lo</w:t>
      </w:r>
      <w:r w:rsidR="00137B96">
        <w:rPr>
          <w:rFonts w:ascii="Times New Roman" w:hAnsi="Times New Roman" w:cs="Times New Roman"/>
          <w:sz w:val="24"/>
          <w:szCs w:val="24"/>
        </w:rPr>
        <w:t xml:space="preserve">omfield and Baker became </w:t>
      </w:r>
      <w:r w:rsidR="008759DB">
        <w:rPr>
          <w:rFonts w:ascii="Times New Roman" w:hAnsi="Times New Roman" w:cs="Times New Roman"/>
          <w:sz w:val="24"/>
          <w:szCs w:val="24"/>
        </w:rPr>
        <w:t xml:space="preserve">the </w:t>
      </w:r>
      <w:r w:rsidR="00137B96">
        <w:rPr>
          <w:rFonts w:ascii="Times New Roman" w:hAnsi="Times New Roman" w:cs="Times New Roman"/>
          <w:sz w:val="24"/>
          <w:szCs w:val="24"/>
        </w:rPr>
        <w:t>official architects of the Commission (CWGC. 2026a</w:t>
      </w:r>
      <w:r w:rsidR="008759DB">
        <w:rPr>
          <w:rFonts w:ascii="Times New Roman" w:hAnsi="Times New Roman" w:cs="Times New Roman"/>
          <w:sz w:val="24"/>
          <w:szCs w:val="24"/>
        </w:rPr>
        <w:t>).</w:t>
      </w:r>
      <w:r w:rsidR="009B3305">
        <w:rPr>
          <w:rFonts w:ascii="Times New Roman" w:hAnsi="Times New Roman" w:cs="Times New Roman"/>
          <w:sz w:val="24"/>
          <w:szCs w:val="24"/>
        </w:rPr>
        <w:t xml:space="preserve"> Later that year Ware decided to create a committee headed by Sir Frederick Kenyon Director of the British Museum to advise on the </w:t>
      </w:r>
      <w:r w:rsidR="009B3305">
        <w:rPr>
          <w:rFonts w:ascii="Times New Roman" w:hAnsi="Times New Roman" w:cs="Times New Roman"/>
          <w:sz w:val="24"/>
          <w:szCs w:val="24"/>
        </w:rPr>
        <w:lastRenderedPageBreak/>
        <w:t>various proposals put forward for the designs of the cemeteries (Longworth, 2003, p.32).</w:t>
      </w:r>
      <w:r w:rsidR="00F33669">
        <w:rPr>
          <w:rFonts w:ascii="Times New Roman" w:hAnsi="Times New Roman" w:cs="Times New Roman"/>
          <w:sz w:val="24"/>
          <w:szCs w:val="24"/>
        </w:rPr>
        <w:t xml:space="preserve"> Kenyon published a report in 1918 outlining the policies of the IWGC, entitled ‘War Graves: How the Cemeteries </w:t>
      </w:r>
      <w:r w:rsidR="00B2692D">
        <w:rPr>
          <w:rFonts w:ascii="Times New Roman" w:hAnsi="Times New Roman" w:cs="Times New Roman"/>
          <w:sz w:val="24"/>
          <w:szCs w:val="24"/>
        </w:rPr>
        <w:t>abroad</w:t>
      </w:r>
      <w:r w:rsidR="00F33669">
        <w:rPr>
          <w:rFonts w:ascii="Times New Roman" w:hAnsi="Times New Roman" w:cs="Times New Roman"/>
          <w:sz w:val="24"/>
          <w:szCs w:val="24"/>
        </w:rPr>
        <w:t xml:space="preserve"> will be designed</w:t>
      </w:r>
      <w:r w:rsidR="00B2692D">
        <w:rPr>
          <w:rFonts w:ascii="Times New Roman" w:hAnsi="Times New Roman" w:cs="Times New Roman"/>
          <w:sz w:val="24"/>
          <w:szCs w:val="24"/>
        </w:rPr>
        <w:t>,’(</w:t>
      </w:r>
      <w:proofErr w:type="spellStart"/>
      <w:r w:rsidR="00B2692D">
        <w:rPr>
          <w:rFonts w:ascii="Times New Roman" w:hAnsi="Times New Roman" w:cs="Times New Roman"/>
          <w:sz w:val="24"/>
          <w:szCs w:val="24"/>
        </w:rPr>
        <w:t>Braybon</w:t>
      </w:r>
      <w:proofErr w:type="spellEnd"/>
      <w:r w:rsidR="00B2692D">
        <w:rPr>
          <w:rFonts w:ascii="Times New Roman" w:hAnsi="Times New Roman" w:cs="Times New Roman"/>
          <w:sz w:val="24"/>
          <w:szCs w:val="24"/>
        </w:rPr>
        <w:t>, 2008, p.32; Kenyon, 1918; Low et al, 2012, p.121-124).</w:t>
      </w:r>
      <w:r w:rsidR="00A94823">
        <w:rPr>
          <w:rFonts w:ascii="Times New Roman" w:hAnsi="Times New Roman" w:cs="Times New Roman"/>
          <w:sz w:val="24"/>
          <w:szCs w:val="24"/>
        </w:rPr>
        <w:t xml:space="preserve"> It this report Kenyon reinforced the principles of the Commission that of ‘equal treatment of the war dead’ (Low et all, 2012, p.123).</w:t>
      </w:r>
      <w:r w:rsidR="00D867DA">
        <w:rPr>
          <w:rFonts w:ascii="Times New Roman" w:hAnsi="Times New Roman" w:cs="Times New Roman"/>
          <w:sz w:val="24"/>
          <w:szCs w:val="24"/>
        </w:rPr>
        <w:t xml:space="preserve"> </w:t>
      </w:r>
    </w:p>
    <w:p w14:paraId="2EA4D308" w14:textId="798E50B8" w:rsidR="00BD5472" w:rsidRDefault="004452E9" w:rsidP="004A6672">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41B6DDB1" wp14:editId="63BB9D5A">
            <wp:simplePos x="0" y="0"/>
            <wp:positionH relativeFrom="margin">
              <wp:align>right</wp:align>
            </wp:positionH>
            <wp:positionV relativeFrom="paragraph">
              <wp:posOffset>1940560</wp:posOffset>
            </wp:positionV>
            <wp:extent cx="5734050" cy="3445510"/>
            <wp:effectExtent l="0" t="0" r="0" b="2540"/>
            <wp:wrapSquare wrapText="bothSides"/>
            <wp:docPr id="1066367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67808" name="Picture 1066367808"/>
                    <pic:cNvPicPr/>
                  </pic:nvPicPr>
                  <pic:blipFill>
                    <a:blip r:embed="rId12">
                      <a:extLst>
                        <a:ext uri="{28A0092B-C50C-407E-A947-70E740481C1C}">
                          <a14:useLocalDpi xmlns:a14="http://schemas.microsoft.com/office/drawing/2010/main" val="0"/>
                        </a:ext>
                      </a:extLst>
                    </a:blip>
                    <a:stretch>
                      <a:fillRect/>
                    </a:stretch>
                  </pic:blipFill>
                  <pic:spPr>
                    <a:xfrm>
                      <a:off x="0" y="0"/>
                      <a:ext cx="5734050" cy="3445510"/>
                    </a:xfrm>
                    <a:prstGeom prst="rect">
                      <a:avLst/>
                    </a:prstGeom>
                  </pic:spPr>
                </pic:pic>
              </a:graphicData>
            </a:graphic>
            <wp14:sizeRelH relativeFrom="margin">
              <wp14:pctWidth>0</wp14:pctWidth>
            </wp14:sizeRelH>
            <wp14:sizeRelV relativeFrom="margin">
              <wp14:pctHeight>0</wp14:pctHeight>
            </wp14:sizeRelV>
          </wp:anchor>
        </w:drawing>
      </w:r>
      <w:r w:rsidR="0019206C">
        <w:rPr>
          <w:rFonts w:ascii="Times New Roman" w:hAnsi="Times New Roman" w:cs="Times New Roman"/>
          <w:sz w:val="24"/>
          <w:szCs w:val="24"/>
        </w:rPr>
        <w:t xml:space="preserve">In 1919, Rudyard Kipling published </w:t>
      </w:r>
      <w:r w:rsidR="0019206C" w:rsidRPr="0019206C">
        <w:rPr>
          <w:rFonts w:ascii="Times New Roman" w:hAnsi="Times New Roman" w:cs="Times New Roman"/>
          <w:i/>
          <w:iCs/>
          <w:sz w:val="24"/>
          <w:szCs w:val="24"/>
        </w:rPr>
        <w:t>The Graves of the Fallen</w:t>
      </w:r>
      <w:r w:rsidR="0019206C">
        <w:rPr>
          <w:rFonts w:ascii="Times New Roman" w:hAnsi="Times New Roman" w:cs="Times New Roman"/>
          <w:i/>
          <w:iCs/>
          <w:sz w:val="24"/>
          <w:szCs w:val="24"/>
        </w:rPr>
        <w:t xml:space="preserve"> </w:t>
      </w:r>
      <w:r w:rsidR="0019206C">
        <w:rPr>
          <w:rFonts w:ascii="Times New Roman" w:hAnsi="Times New Roman" w:cs="Times New Roman"/>
          <w:sz w:val="24"/>
          <w:szCs w:val="24"/>
        </w:rPr>
        <w:t xml:space="preserve">with the intention of providing </w:t>
      </w:r>
      <w:r w:rsidR="00BD5472">
        <w:rPr>
          <w:rFonts w:ascii="Times New Roman" w:hAnsi="Times New Roman" w:cs="Times New Roman"/>
          <w:sz w:val="24"/>
          <w:szCs w:val="24"/>
        </w:rPr>
        <w:t xml:space="preserve">details of </w:t>
      </w:r>
      <w:r w:rsidR="0019206C">
        <w:rPr>
          <w:rFonts w:ascii="Times New Roman" w:hAnsi="Times New Roman" w:cs="Times New Roman"/>
          <w:sz w:val="24"/>
          <w:szCs w:val="24"/>
        </w:rPr>
        <w:t>the</w:t>
      </w:r>
      <w:r w:rsidR="00BD5472">
        <w:rPr>
          <w:rFonts w:ascii="Times New Roman" w:hAnsi="Times New Roman" w:cs="Times New Roman"/>
          <w:sz w:val="24"/>
          <w:szCs w:val="24"/>
        </w:rPr>
        <w:t xml:space="preserve"> Commission’s</w:t>
      </w:r>
      <w:r w:rsidR="0019206C">
        <w:rPr>
          <w:rFonts w:ascii="Times New Roman" w:hAnsi="Times New Roman" w:cs="Times New Roman"/>
          <w:sz w:val="24"/>
          <w:szCs w:val="24"/>
        </w:rPr>
        <w:t xml:space="preserve"> proposals to </w:t>
      </w:r>
      <w:r w:rsidR="0019206C" w:rsidRPr="0019206C">
        <w:rPr>
          <w:rFonts w:ascii="Times New Roman" w:hAnsi="Times New Roman" w:cs="Times New Roman"/>
          <w:sz w:val="24"/>
          <w:szCs w:val="24"/>
        </w:rPr>
        <w:t>a wider audience</w:t>
      </w:r>
      <w:r w:rsidR="0019206C">
        <w:rPr>
          <w:rFonts w:ascii="Times New Roman" w:hAnsi="Times New Roman" w:cs="Times New Roman"/>
          <w:sz w:val="24"/>
          <w:szCs w:val="24"/>
        </w:rPr>
        <w:t xml:space="preserve"> (</w:t>
      </w:r>
      <w:proofErr w:type="spellStart"/>
      <w:r w:rsidR="0019206C">
        <w:rPr>
          <w:rFonts w:ascii="Times New Roman" w:hAnsi="Times New Roman" w:cs="Times New Roman"/>
          <w:sz w:val="24"/>
          <w:szCs w:val="24"/>
        </w:rPr>
        <w:t>Braybon</w:t>
      </w:r>
      <w:proofErr w:type="spellEnd"/>
      <w:r w:rsidR="0019206C">
        <w:rPr>
          <w:rFonts w:ascii="Times New Roman" w:hAnsi="Times New Roman" w:cs="Times New Roman"/>
          <w:sz w:val="24"/>
          <w:szCs w:val="24"/>
        </w:rPr>
        <w:t xml:space="preserve">, 2008, p.32; Kipling, </w:t>
      </w:r>
      <w:r w:rsidR="00D447E8">
        <w:rPr>
          <w:rFonts w:ascii="Times New Roman" w:hAnsi="Times New Roman" w:cs="Times New Roman"/>
          <w:sz w:val="24"/>
          <w:szCs w:val="24"/>
        </w:rPr>
        <w:t>1917</w:t>
      </w:r>
      <w:r w:rsidR="0045308E">
        <w:rPr>
          <w:rFonts w:ascii="Times New Roman" w:hAnsi="Times New Roman" w:cs="Times New Roman"/>
          <w:sz w:val="24"/>
          <w:szCs w:val="24"/>
        </w:rPr>
        <w:t xml:space="preserve">; </w:t>
      </w:r>
      <w:proofErr w:type="spellStart"/>
      <w:r w:rsidR="0045308E">
        <w:rPr>
          <w:rFonts w:ascii="Times New Roman" w:hAnsi="Times New Roman" w:cs="Times New Roman"/>
          <w:sz w:val="24"/>
          <w:szCs w:val="24"/>
        </w:rPr>
        <w:t>Willay</w:t>
      </w:r>
      <w:proofErr w:type="spellEnd"/>
      <w:r w:rsidR="0045308E">
        <w:rPr>
          <w:rFonts w:ascii="Times New Roman" w:hAnsi="Times New Roman" w:cs="Times New Roman"/>
          <w:sz w:val="24"/>
          <w:szCs w:val="24"/>
        </w:rPr>
        <w:t>, 2024, p.3</w:t>
      </w:r>
      <w:r w:rsidR="0019206C">
        <w:rPr>
          <w:rFonts w:ascii="Times New Roman" w:hAnsi="Times New Roman" w:cs="Times New Roman"/>
          <w:sz w:val="24"/>
          <w:szCs w:val="24"/>
        </w:rPr>
        <w:t xml:space="preserve">). It contained </w:t>
      </w:r>
      <w:r w:rsidR="00BD5472">
        <w:rPr>
          <w:rFonts w:ascii="Times New Roman" w:hAnsi="Times New Roman" w:cs="Times New Roman"/>
          <w:sz w:val="24"/>
          <w:szCs w:val="24"/>
        </w:rPr>
        <w:t xml:space="preserve">illustrations </w:t>
      </w:r>
      <w:r w:rsidR="00D447E8">
        <w:rPr>
          <w:rFonts w:ascii="Times New Roman" w:hAnsi="Times New Roman" w:cs="Times New Roman"/>
          <w:sz w:val="24"/>
          <w:szCs w:val="24"/>
        </w:rPr>
        <w:t>showing what the cemeteries would look like and explaining key elements such as the Cross of Sacrifice, the Stone of Remembrance and the shape of the headstones, hoping it would placate the opposition to the Commission’s plans (</w:t>
      </w:r>
      <w:proofErr w:type="spellStart"/>
      <w:r w:rsidR="00D447E8">
        <w:rPr>
          <w:rFonts w:ascii="Times New Roman" w:hAnsi="Times New Roman" w:cs="Times New Roman"/>
          <w:sz w:val="24"/>
          <w:szCs w:val="24"/>
        </w:rPr>
        <w:t>Braybon</w:t>
      </w:r>
      <w:proofErr w:type="spellEnd"/>
      <w:r w:rsidR="00D447E8">
        <w:rPr>
          <w:rFonts w:ascii="Times New Roman" w:hAnsi="Times New Roman" w:cs="Times New Roman"/>
          <w:sz w:val="24"/>
          <w:szCs w:val="24"/>
        </w:rPr>
        <w:t>, 2008, p.33; Kipling, 1917).</w:t>
      </w:r>
      <w:r w:rsidR="0045308E">
        <w:rPr>
          <w:rFonts w:ascii="Times New Roman" w:hAnsi="Times New Roman" w:cs="Times New Roman"/>
          <w:sz w:val="24"/>
          <w:szCs w:val="24"/>
        </w:rPr>
        <w:t xml:space="preserve"> Figures 4,5,6,7 and 8 are copies of some of the illustrations that Kipling used in his book.</w:t>
      </w:r>
    </w:p>
    <w:p w14:paraId="454F851D" w14:textId="5B115FF0" w:rsidR="0045308E" w:rsidRPr="004452E9" w:rsidRDefault="0045308E" w:rsidP="004452E9">
      <w:pPr>
        <w:spacing w:line="360" w:lineRule="auto"/>
        <w:jc w:val="center"/>
        <w:rPr>
          <w:rFonts w:ascii="Times New Roman" w:hAnsi="Times New Roman" w:cs="Times New Roman"/>
          <w:sz w:val="20"/>
          <w:szCs w:val="20"/>
        </w:rPr>
      </w:pPr>
      <w:r>
        <w:rPr>
          <w:rFonts w:ascii="Times New Roman" w:hAnsi="Times New Roman" w:cs="Times New Roman"/>
          <w:sz w:val="24"/>
          <w:szCs w:val="24"/>
        </w:rPr>
        <w:br w:type="textWrapping" w:clear="all"/>
      </w:r>
      <w:r w:rsidR="004452E9" w:rsidRPr="004452E9">
        <w:rPr>
          <w:rFonts w:ascii="Times New Roman" w:hAnsi="Times New Roman" w:cs="Times New Roman"/>
          <w:sz w:val="20"/>
          <w:szCs w:val="20"/>
        </w:rPr>
        <w:t>Figure 4 Design for a war cemetery with permanent memorials (Kipling, 1917, p3).</w:t>
      </w:r>
    </w:p>
    <w:p w14:paraId="4B4E983B" w14:textId="333E454B" w:rsidR="00BD5472" w:rsidRDefault="004452E9" w:rsidP="004452E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6F50BFC" wp14:editId="491EFD72">
            <wp:extent cx="2730500" cy="3509639"/>
            <wp:effectExtent l="0" t="0" r="0" b="0"/>
            <wp:docPr id="206451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510185" name="Picture 2064510185"/>
                    <pic:cNvPicPr/>
                  </pic:nvPicPr>
                  <pic:blipFill>
                    <a:blip r:embed="rId13">
                      <a:extLst>
                        <a:ext uri="{28A0092B-C50C-407E-A947-70E740481C1C}">
                          <a14:useLocalDpi xmlns:a14="http://schemas.microsoft.com/office/drawing/2010/main" val="0"/>
                        </a:ext>
                      </a:extLst>
                    </a:blip>
                    <a:stretch>
                      <a:fillRect/>
                    </a:stretch>
                  </pic:blipFill>
                  <pic:spPr>
                    <a:xfrm>
                      <a:off x="0" y="0"/>
                      <a:ext cx="2743882" cy="3526840"/>
                    </a:xfrm>
                    <a:prstGeom prst="rect">
                      <a:avLst/>
                    </a:prstGeom>
                  </pic:spPr>
                </pic:pic>
              </a:graphicData>
            </a:graphic>
          </wp:inline>
        </w:drawing>
      </w:r>
    </w:p>
    <w:p w14:paraId="4F96E723" w14:textId="3E759C57" w:rsidR="004452E9" w:rsidRDefault="004452E9" w:rsidP="004452E9">
      <w:pPr>
        <w:spacing w:line="360" w:lineRule="auto"/>
        <w:jc w:val="center"/>
        <w:rPr>
          <w:rFonts w:ascii="Times New Roman" w:hAnsi="Times New Roman" w:cs="Times New Roman"/>
          <w:sz w:val="24"/>
          <w:szCs w:val="24"/>
        </w:rPr>
      </w:pPr>
      <w:r w:rsidRPr="004452E9">
        <w:rPr>
          <w:rFonts w:ascii="Times New Roman" w:hAnsi="Times New Roman" w:cs="Times New Roman"/>
          <w:sz w:val="20"/>
          <w:szCs w:val="20"/>
        </w:rPr>
        <w:t>Figure 5 The Cross of Sacrifice (Kipling, 1917, p. 4).</w:t>
      </w:r>
    </w:p>
    <w:p w14:paraId="3D33407A" w14:textId="63F881C2" w:rsidR="00BD5472" w:rsidRDefault="004452E9" w:rsidP="004452E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FE2ADF" wp14:editId="7268EDBF">
            <wp:extent cx="5490980" cy="4140200"/>
            <wp:effectExtent l="0" t="0" r="0" b="0"/>
            <wp:docPr id="360997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97577" name="Picture 360997577"/>
                    <pic:cNvPicPr/>
                  </pic:nvPicPr>
                  <pic:blipFill>
                    <a:blip r:embed="rId14">
                      <a:extLst>
                        <a:ext uri="{28A0092B-C50C-407E-A947-70E740481C1C}">
                          <a14:useLocalDpi xmlns:a14="http://schemas.microsoft.com/office/drawing/2010/main" val="0"/>
                        </a:ext>
                      </a:extLst>
                    </a:blip>
                    <a:stretch>
                      <a:fillRect/>
                    </a:stretch>
                  </pic:blipFill>
                  <pic:spPr>
                    <a:xfrm>
                      <a:off x="0" y="0"/>
                      <a:ext cx="5523076" cy="4164400"/>
                    </a:xfrm>
                    <a:prstGeom prst="rect">
                      <a:avLst/>
                    </a:prstGeom>
                  </pic:spPr>
                </pic:pic>
              </a:graphicData>
            </a:graphic>
          </wp:inline>
        </w:drawing>
      </w:r>
    </w:p>
    <w:p w14:paraId="34B8556D" w14:textId="2528ECEC" w:rsidR="00BD5472" w:rsidRPr="004452E9" w:rsidRDefault="004452E9" w:rsidP="004452E9">
      <w:pPr>
        <w:spacing w:line="360" w:lineRule="auto"/>
        <w:jc w:val="center"/>
        <w:rPr>
          <w:rFonts w:ascii="Times New Roman" w:hAnsi="Times New Roman" w:cs="Times New Roman"/>
          <w:sz w:val="20"/>
          <w:szCs w:val="20"/>
        </w:rPr>
      </w:pPr>
      <w:r w:rsidRPr="004452E9">
        <w:rPr>
          <w:rFonts w:ascii="Times New Roman" w:hAnsi="Times New Roman" w:cs="Times New Roman"/>
          <w:sz w:val="20"/>
          <w:szCs w:val="20"/>
        </w:rPr>
        <w:t xml:space="preserve">Figure 6 The Stone of </w:t>
      </w:r>
      <w:r>
        <w:rPr>
          <w:rFonts w:ascii="Times New Roman" w:hAnsi="Times New Roman" w:cs="Times New Roman"/>
          <w:sz w:val="20"/>
          <w:szCs w:val="20"/>
        </w:rPr>
        <w:t>R</w:t>
      </w:r>
      <w:r w:rsidRPr="004452E9">
        <w:rPr>
          <w:rFonts w:ascii="Times New Roman" w:hAnsi="Times New Roman" w:cs="Times New Roman"/>
          <w:sz w:val="20"/>
          <w:szCs w:val="20"/>
        </w:rPr>
        <w:t>emembrance (Kipling, 1917, p. 5).</w:t>
      </w:r>
    </w:p>
    <w:p w14:paraId="2DE8C47C" w14:textId="77777777" w:rsidR="00BD5472" w:rsidRDefault="00BD5472" w:rsidP="004A6672">
      <w:pPr>
        <w:spacing w:line="360" w:lineRule="auto"/>
        <w:rPr>
          <w:rFonts w:ascii="Times New Roman" w:hAnsi="Times New Roman" w:cs="Times New Roman"/>
          <w:sz w:val="24"/>
          <w:szCs w:val="24"/>
        </w:rPr>
      </w:pPr>
    </w:p>
    <w:p w14:paraId="07B6A198" w14:textId="594D710B" w:rsidR="00BD5472" w:rsidRPr="004452E9" w:rsidRDefault="004452E9" w:rsidP="004A6672">
      <w:pPr>
        <w:spacing w:line="360" w:lineRule="auto"/>
        <w:rPr>
          <w:rFonts w:ascii="Times New Roman" w:hAnsi="Times New Roman" w:cs="Times New Roman"/>
          <w:sz w:val="20"/>
          <w:szCs w:val="20"/>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14C2FE8A" wp14:editId="46AF6710">
            <wp:simplePos x="914400" y="914400"/>
            <wp:positionH relativeFrom="margin">
              <wp:align>left</wp:align>
            </wp:positionH>
            <wp:positionV relativeFrom="paragraph">
              <wp:align>top</wp:align>
            </wp:positionV>
            <wp:extent cx="1873250" cy="2762885"/>
            <wp:effectExtent l="0" t="0" r="0" b="0"/>
            <wp:wrapSquare wrapText="bothSides"/>
            <wp:docPr id="160198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982198" name="Picture 1601982198"/>
                    <pic:cNvPicPr/>
                  </pic:nvPicPr>
                  <pic:blipFill>
                    <a:blip r:embed="rId15">
                      <a:extLst>
                        <a:ext uri="{28A0092B-C50C-407E-A947-70E740481C1C}">
                          <a14:useLocalDpi xmlns:a14="http://schemas.microsoft.com/office/drawing/2010/main" val="0"/>
                        </a:ext>
                      </a:extLst>
                    </a:blip>
                    <a:stretch>
                      <a:fillRect/>
                    </a:stretch>
                  </pic:blipFill>
                  <pic:spPr>
                    <a:xfrm>
                      <a:off x="0" y="0"/>
                      <a:ext cx="1873250" cy="27628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774E043E" wp14:editId="7E96A082">
            <wp:extent cx="1581150" cy="2590165"/>
            <wp:effectExtent l="0" t="0" r="0" b="635"/>
            <wp:docPr id="2069307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0704" name="Picture 206930704"/>
                    <pic:cNvPicPr/>
                  </pic:nvPicPr>
                  <pic:blipFill>
                    <a:blip r:embed="rId16">
                      <a:extLst>
                        <a:ext uri="{28A0092B-C50C-407E-A947-70E740481C1C}">
                          <a14:useLocalDpi xmlns:a14="http://schemas.microsoft.com/office/drawing/2010/main" val="0"/>
                        </a:ext>
                      </a:extLst>
                    </a:blip>
                    <a:stretch>
                      <a:fillRect/>
                    </a:stretch>
                  </pic:blipFill>
                  <pic:spPr>
                    <a:xfrm>
                      <a:off x="0" y="0"/>
                      <a:ext cx="1591330" cy="2606842"/>
                    </a:xfrm>
                    <a:prstGeom prst="rect">
                      <a:avLst/>
                    </a:prstGeom>
                  </pic:spPr>
                </pic:pic>
              </a:graphicData>
            </a:graphic>
          </wp:inline>
        </w:drawing>
      </w:r>
      <w:r>
        <w:rPr>
          <w:rFonts w:ascii="Times New Roman" w:hAnsi="Times New Roman" w:cs="Times New Roman"/>
          <w:sz w:val="24"/>
          <w:szCs w:val="24"/>
        </w:rPr>
        <w:br w:type="textWrapping" w:clear="all"/>
      </w:r>
      <w:r w:rsidRPr="004452E9">
        <w:rPr>
          <w:rFonts w:ascii="Times New Roman" w:hAnsi="Times New Roman" w:cs="Times New Roman"/>
          <w:sz w:val="20"/>
          <w:szCs w:val="20"/>
        </w:rPr>
        <w:t xml:space="preserve">Figure 7 Specimen of a Regimental Headstone (Kipling, 1917, p.5)  Figure 8 Specimen of a Jewish Headstone </w:t>
      </w:r>
      <w:r w:rsidR="00E73D48">
        <w:rPr>
          <w:rFonts w:ascii="Times New Roman" w:hAnsi="Times New Roman" w:cs="Times New Roman"/>
          <w:sz w:val="20"/>
          <w:szCs w:val="20"/>
        </w:rPr>
        <w:t xml:space="preserve">                   </w:t>
      </w:r>
      <w:r w:rsidRPr="004452E9">
        <w:rPr>
          <w:rFonts w:ascii="Times New Roman" w:hAnsi="Times New Roman" w:cs="Times New Roman"/>
          <w:sz w:val="20"/>
          <w:szCs w:val="20"/>
        </w:rPr>
        <w:t>(Kipling, 1917, p.8).</w:t>
      </w:r>
    </w:p>
    <w:p w14:paraId="3F3FA420" w14:textId="3321141C" w:rsidR="00BD5472" w:rsidRDefault="00E73D48" w:rsidP="004A6672">
      <w:pPr>
        <w:spacing w:line="360" w:lineRule="auto"/>
        <w:rPr>
          <w:rFonts w:ascii="Times New Roman" w:hAnsi="Times New Roman" w:cs="Times New Roman"/>
          <w:sz w:val="24"/>
          <w:szCs w:val="24"/>
        </w:rPr>
      </w:pPr>
      <w:r>
        <w:rPr>
          <w:rFonts w:ascii="Times New Roman" w:hAnsi="Times New Roman" w:cs="Times New Roman"/>
          <w:sz w:val="24"/>
          <w:szCs w:val="24"/>
        </w:rPr>
        <w:t>Kipling claimed in his book that “the overwhelming majority of relatives are content that their kin should lie – officers and men together- in the countries that they have redeemed”</w:t>
      </w:r>
      <w:r w:rsidR="00155F50">
        <w:rPr>
          <w:rFonts w:ascii="Times New Roman" w:hAnsi="Times New Roman" w:cs="Times New Roman"/>
          <w:sz w:val="24"/>
          <w:szCs w:val="24"/>
        </w:rPr>
        <w:t xml:space="preserve"> Kipling, 1917, p.8</w:t>
      </w:r>
      <w:r w:rsidR="000031CD">
        <w:rPr>
          <w:rFonts w:ascii="Times New Roman" w:hAnsi="Times New Roman" w:cs="Times New Roman"/>
          <w:sz w:val="24"/>
          <w:szCs w:val="24"/>
        </w:rPr>
        <w:t xml:space="preserve">; </w:t>
      </w:r>
      <w:proofErr w:type="spellStart"/>
      <w:r w:rsidR="000031CD">
        <w:rPr>
          <w:rFonts w:ascii="Times New Roman" w:hAnsi="Times New Roman" w:cs="Times New Roman"/>
          <w:sz w:val="24"/>
          <w:szCs w:val="24"/>
        </w:rPr>
        <w:t>Willay</w:t>
      </w:r>
      <w:proofErr w:type="spellEnd"/>
      <w:r w:rsidR="000031CD">
        <w:rPr>
          <w:rFonts w:ascii="Times New Roman" w:hAnsi="Times New Roman" w:cs="Times New Roman"/>
          <w:sz w:val="24"/>
          <w:szCs w:val="24"/>
        </w:rPr>
        <w:t>, 2024, p.3</w:t>
      </w:r>
      <w:r w:rsidR="00155F50">
        <w:rPr>
          <w:rFonts w:ascii="Times New Roman" w:hAnsi="Times New Roman" w:cs="Times New Roman"/>
          <w:sz w:val="24"/>
          <w:szCs w:val="24"/>
        </w:rPr>
        <w:t xml:space="preserve">). </w:t>
      </w:r>
      <w:r w:rsidR="008321B7">
        <w:rPr>
          <w:rFonts w:ascii="Times New Roman" w:hAnsi="Times New Roman" w:cs="Times New Roman"/>
          <w:sz w:val="24"/>
          <w:szCs w:val="24"/>
        </w:rPr>
        <w:t>However,</w:t>
      </w:r>
      <w:r w:rsidR="000031CD">
        <w:rPr>
          <w:rFonts w:ascii="Times New Roman" w:hAnsi="Times New Roman" w:cs="Times New Roman"/>
          <w:sz w:val="24"/>
          <w:szCs w:val="24"/>
        </w:rPr>
        <w:t xml:space="preserve"> what followed was a surge in public dissatisfaction driven</w:t>
      </w:r>
      <w:r w:rsidR="000031CD" w:rsidRPr="000031CD">
        <w:rPr>
          <w:rFonts w:ascii="Times New Roman" w:hAnsi="Times New Roman" w:cs="Times New Roman"/>
          <w:sz w:val="24"/>
          <w:szCs w:val="24"/>
        </w:rPr>
        <w:t xml:space="preserve"> by campaigns organised by the Daily Mail and the Spectator</w:t>
      </w:r>
      <w:r w:rsidR="000031CD">
        <w:rPr>
          <w:rFonts w:ascii="Times New Roman" w:hAnsi="Times New Roman" w:cs="Times New Roman"/>
          <w:sz w:val="24"/>
          <w:szCs w:val="24"/>
        </w:rPr>
        <w:t>, and w</w:t>
      </w:r>
      <w:r w:rsidR="000031CD" w:rsidRPr="000031CD">
        <w:rPr>
          <w:rFonts w:ascii="Times New Roman" w:hAnsi="Times New Roman" w:cs="Times New Roman"/>
          <w:sz w:val="24"/>
          <w:szCs w:val="24"/>
        </w:rPr>
        <w:t xml:space="preserve">hich culminated </w:t>
      </w:r>
      <w:r w:rsidR="000031CD">
        <w:rPr>
          <w:rFonts w:ascii="Times New Roman" w:hAnsi="Times New Roman" w:cs="Times New Roman"/>
          <w:sz w:val="24"/>
          <w:szCs w:val="24"/>
        </w:rPr>
        <w:t xml:space="preserve">in a </w:t>
      </w:r>
      <w:r w:rsidR="000031CD" w:rsidRPr="000031CD">
        <w:rPr>
          <w:rFonts w:ascii="Times New Roman" w:hAnsi="Times New Roman" w:cs="Times New Roman"/>
          <w:sz w:val="24"/>
          <w:szCs w:val="24"/>
        </w:rPr>
        <w:t>debate in the House of Commons in May 1920</w:t>
      </w:r>
      <w:r w:rsidR="000031CD">
        <w:rPr>
          <w:rFonts w:ascii="Times New Roman" w:hAnsi="Times New Roman" w:cs="Times New Roman"/>
          <w:sz w:val="24"/>
          <w:szCs w:val="24"/>
        </w:rPr>
        <w:t xml:space="preserve"> (</w:t>
      </w:r>
      <w:proofErr w:type="spellStart"/>
      <w:r w:rsidR="000031CD">
        <w:rPr>
          <w:rFonts w:ascii="Times New Roman" w:hAnsi="Times New Roman" w:cs="Times New Roman"/>
          <w:sz w:val="24"/>
          <w:szCs w:val="24"/>
        </w:rPr>
        <w:t>Braybon</w:t>
      </w:r>
      <w:proofErr w:type="spellEnd"/>
      <w:r w:rsidR="000031CD">
        <w:rPr>
          <w:rFonts w:ascii="Times New Roman" w:hAnsi="Times New Roman" w:cs="Times New Roman"/>
          <w:sz w:val="24"/>
          <w:szCs w:val="24"/>
        </w:rPr>
        <w:t>, 2008, p.32</w:t>
      </w:r>
      <w:r w:rsidR="008321B7">
        <w:rPr>
          <w:rFonts w:ascii="Times New Roman" w:hAnsi="Times New Roman" w:cs="Times New Roman"/>
          <w:sz w:val="24"/>
          <w:szCs w:val="24"/>
        </w:rPr>
        <w:t>; Longworth, 2003, p.46</w:t>
      </w:r>
      <w:r w:rsidR="000031CD">
        <w:rPr>
          <w:rFonts w:ascii="Times New Roman" w:hAnsi="Times New Roman" w:cs="Times New Roman"/>
          <w:sz w:val="24"/>
          <w:szCs w:val="24"/>
        </w:rPr>
        <w:t>)</w:t>
      </w:r>
      <w:r w:rsidR="000031CD" w:rsidRPr="000031CD">
        <w:rPr>
          <w:rFonts w:ascii="Times New Roman" w:hAnsi="Times New Roman" w:cs="Times New Roman"/>
          <w:sz w:val="24"/>
          <w:szCs w:val="24"/>
        </w:rPr>
        <w:t>.</w:t>
      </w:r>
      <w:r w:rsidR="004E26B6">
        <w:rPr>
          <w:rFonts w:ascii="Times New Roman" w:hAnsi="Times New Roman" w:cs="Times New Roman"/>
          <w:sz w:val="24"/>
          <w:szCs w:val="24"/>
        </w:rPr>
        <w:t xml:space="preserve"> </w:t>
      </w:r>
      <w:r w:rsidR="00416E7F">
        <w:rPr>
          <w:rFonts w:ascii="Times New Roman" w:hAnsi="Times New Roman" w:cs="Times New Roman"/>
          <w:sz w:val="24"/>
          <w:szCs w:val="24"/>
        </w:rPr>
        <w:t xml:space="preserve">During this heated debate </w:t>
      </w:r>
      <w:r w:rsidR="00805E6E">
        <w:rPr>
          <w:rFonts w:ascii="Times New Roman" w:hAnsi="Times New Roman" w:cs="Times New Roman"/>
          <w:sz w:val="24"/>
          <w:szCs w:val="24"/>
        </w:rPr>
        <w:t>i</w:t>
      </w:r>
      <w:r w:rsidR="00416E7F">
        <w:rPr>
          <w:rFonts w:ascii="Times New Roman" w:hAnsi="Times New Roman" w:cs="Times New Roman"/>
          <w:sz w:val="24"/>
          <w:szCs w:val="24"/>
        </w:rPr>
        <w:t>n Parliament agreement was reached</w:t>
      </w:r>
      <w:r w:rsidR="00805E6E">
        <w:rPr>
          <w:rFonts w:ascii="Times New Roman" w:hAnsi="Times New Roman" w:cs="Times New Roman"/>
          <w:sz w:val="24"/>
          <w:szCs w:val="24"/>
        </w:rPr>
        <w:t xml:space="preserve"> and the Commission was </w:t>
      </w:r>
      <w:r w:rsidR="004E26B6">
        <w:rPr>
          <w:rFonts w:ascii="Times New Roman" w:hAnsi="Times New Roman" w:cs="Times New Roman"/>
          <w:sz w:val="24"/>
          <w:szCs w:val="24"/>
        </w:rPr>
        <w:t xml:space="preserve">allowed to take its proposals forward, although its opponents vowed to carry on fighting their cause (Crane, 2013, p.164; Longworth, 2003, pp. 54-55; </w:t>
      </w:r>
      <w:proofErr w:type="spellStart"/>
      <w:r w:rsidR="004E26B6">
        <w:rPr>
          <w:rFonts w:ascii="Times New Roman" w:hAnsi="Times New Roman" w:cs="Times New Roman"/>
          <w:sz w:val="24"/>
          <w:szCs w:val="24"/>
        </w:rPr>
        <w:t>Willay</w:t>
      </w:r>
      <w:proofErr w:type="spellEnd"/>
      <w:r w:rsidR="004E26B6">
        <w:rPr>
          <w:rFonts w:ascii="Times New Roman" w:hAnsi="Times New Roman" w:cs="Times New Roman"/>
          <w:sz w:val="24"/>
          <w:szCs w:val="24"/>
        </w:rPr>
        <w:t xml:space="preserve">, 2024, p.9). </w:t>
      </w:r>
    </w:p>
    <w:p w14:paraId="024FD6BB" w14:textId="30E32636" w:rsidR="004A6672" w:rsidRPr="004A6672" w:rsidRDefault="004E26B6" w:rsidP="004A6672">
      <w:pPr>
        <w:spacing w:line="360" w:lineRule="auto"/>
        <w:rPr>
          <w:rFonts w:ascii="Times New Roman" w:hAnsi="Times New Roman" w:cs="Times New Roman"/>
          <w:sz w:val="24"/>
          <w:szCs w:val="24"/>
        </w:rPr>
      </w:pPr>
      <w:r>
        <w:rPr>
          <w:rFonts w:ascii="Times New Roman" w:hAnsi="Times New Roman" w:cs="Times New Roman"/>
          <w:sz w:val="24"/>
          <w:szCs w:val="24"/>
        </w:rPr>
        <w:t>One of the major grievances during the debate on the work of the IW</w:t>
      </w:r>
      <w:r w:rsidR="00BE54A0">
        <w:rPr>
          <w:rFonts w:ascii="Times New Roman" w:hAnsi="Times New Roman" w:cs="Times New Roman"/>
          <w:sz w:val="24"/>
          <w:szCs w:val="24"/>
        </w:rPr>
        <w:t>G</w:t>
      </w:r>
      <w:r>
        <w:rPr>
          <w:rFonts w:ascii="Times New Roman" w:hAnsi="Times New Roman" w:cs="Times New Roman"/>
          <w:sz w:val="24"/>
          <w:szCs w:val="24"/>
        </w:rPr>
        <w:t>C</w:t>
      </w:r>
      <w:r w:rsidR="00BE54A0">
        <w:rPr>
          <w:rFonts w:ascii="Times New Roman" w:hAnsi="Times New Roman" w:cs="Times New Roman"/>
          <w:sz w:val="24"/>
          <w:szCs w:val="24"/>
        </w:rPr>
        <w:t xml:space="preserve"> is</w:t>
      </w:r>
      <w:r>
        <w:rPr>
          <w:rFonts w:ascii="Times New Roman" w:hAnsi="Times New Roman" w:cs="Times New Roman"/>
          <w:sz w:val="24"/>
          <w:szCs w:val="24"/>
        </w:rPr>
        <w:t xml:space="preserve"> </w:t>
      </w:r>
      <w:r w:rsidR="004A6672" w:rsidRPr="004A6672">
        <w:rPr>
          <w:rFonts w:ascii="Times New Roman" w:hAnsi="Times New Roman" w:cs="Times New Roman"/>
          <w:sz w:val="24"/>
          <w:szCs w:val="24"/>
        </w:rPr>
        <w:t>that there were no women on the Commission even though some women’s organisations had requested to be included (Crane, 2014, pp.160-161; House of Commons Debate 128, 1920; Longworth, 2003, p.29). At the beginning of World War One the conventional understanding of women's role in society had prevented them from entering the political arena as they were perceived as being morally, emotionally, intellectually, and physically inferior to males (BBC, 2026). It was believed that women could not be relied upon to vote rationally, and these Victorian sentiments were ingrained in the majority of the commissioners (BBC, 2026; Longworth, 2003, p. 29). They rejected the idea that mourning wives and mother’s ought to have a say in policymaking and did not acknowledge women's contributions and sacrifices to the war effort (Longworth, 2003, p.29).</w:t>
      </w:r>
    </w:p>
    <w:p w14:paraId="4BED83C6" w14:textId="77777777" w:rsidR="004A6672" w:rsidRPr="004A6672" w:rsidRDefault="004A6672" w:rsidP="004A6672">
      <w:pPr>
        <w:spacing w:line="360" w:lineRule="auto"/>
        <w:rPr>
          <w:rFonts w:ascii="Times New Roman" w:hAnsi="Times New Roman" w:cs="Times New Roman"/>
          <w:sz w:val="24"/>
          <w:szCs w:val="24"/>
        </w:rPr>
      </w:pPr>
      <w:r w:rsidRPr="004A6672">
        <w:rPr>
          <w:rFonts w:ascii="Times New Roman" w:hAnsi="Times New Roman" w:cs="Times New Roman"/>
          <w:sz w:val="24"/>
          <w:szCs w:val="24"/>
        </w:rPr>
        <w:lastRenderedPageBreak/>
        <w:t>The deliberate omission of women to the Commission became one of the main arguments against its formation, with claims that it was a wholly male dominated organisation (</w:t>
      </w:r>
      <w:proofErr w:type="spellStart"/>
      <w:r w:rsidRPr="004A6672">
        <w:rPr>
          <w:rFonts w:ascii="Times New Roman" w:hAnsi="Times New Roman" w:cs="Times New Roman"/>
          <w:sz w:val="24"/>
          <w:szCs w:val="24"/>
        </w:rPr>
        <w:t>Willay</w:t>
      </w:r>
      <w:proofErr w:type="spellEnd"/>
      <w:r w:rsidRPr="004A6672">
        <w:rPr>
          <w:rFonts w:ascii="Times New Roman" w:hAnsi="Times New Roman" w:cs="Times New Roman"/>
          <w:sz w:val="24"/>
          <w:szCs w:val="24"/>
        </w:rPr>
        <w:t xml:space="preserve">, 2024, p.3). One Canadian mother who had lost her son during the conflict called it “the most tyrannical and autocratic body of men that has existed since England lost the North American colonies” (Durie 1925, quoted in </w:t>
      </w:r>
      <w:proofErr w:type="spellStart"/>
      <w:r w:rsidRPr="004A6672">
        <w:rPr>
          <w:rFonts w:ascii="Times New Roman" w:hAnsi="Times New Roman" w:cs="Times New Roman"/>
          <w:sz w:val="24"/>
          <w:szCs w:val="24"/>
        </w:rPr>
        <w:t>Willay</w:t>
      </w:r>
      <w:proofErr w:type="spellEnd"/>
      <w:r w:rsidRPr="004A6672">
        <w:rPr>
          <w:rFonts w:ascii="Times New Roman" w:hAnsi="Times New Roman" w:cs="Times New Roman"/>
          <w:sz w:val="24"/>
          <w:szCs w:val="24"/>
        </w:rPr>
        <w:t xml:space="preserve">, 2024, p.3). The Commission's power to deal with the bodies of the fallen in any way that they chose was one of its biggest criticisms (Willay, 2024, p.3). Another distressed mother Ruth Jervis claimed, “it surprises me how a commission composed of say a handful of men dare to arrive at these decisions” and added “without having obtained the wishes of parents […] the country took him, and the country should bring him back” (Jervis, 1918, quoted in </w:t>
      </w:r>
      <w:proofErr w:type="spellStart"/>
      <w:r w:rsidRPr="004A6672">
        <w:rPr>
          <w:rFonts w:ascii="Times New Roman" w:hAnsi="Times New Roman" w:cs="Times New Roman"/>
          <w:sz w:val="24"/>
          <w:szCs w:val="24"/>
        </w:rPr>
        <w:t>Willay</w:t>
      </w:r>
      <w:proofErr w:type="spellEnd"/>
      <w:r w:rsidRPr="004A6672">
        <w:rPr>
          <w:rFonts w:ascii="Times New Roman" w:hAnsi="Times New Roman" w:cs="Times New Roman"/>
          <w:sz w:val="24"/>
          <w:szCs w:val="24"/>
        </w:rPr>
        <w:t>, 2024, p.3 and p.11).</w:t>
      </w:r>
    </w:p>
    <w:p w14:paraId="25593004" w14:textId="669B37E4" w:rsidR="00E43674" w:rsidRDefault="001D0A52" w:rsidP="00E43674">
      <w:pPr>
        <w:spacing w:line="360" w:lineRule="auto"/>
        <w:rPr>
          <w:rFonts w:ascii="Times New Roman" w:hAnsi="Times New Roman" w:cs="Times New Roman"/>
          <w:sz w:val="24"/>
          <w:szCs w:val="24"/>
        </w:rPr>
      </w:pPr>
      <w:r>
        <w:rPr>
          <w:rFonts w:ascii="Times New Roman" w:hAnsi="Times New Roman" w:cs="Times New Roman"/>
          <w:sz w:val="24"/>
          <w:szCs w:val="24"/>
        </w:rPr>
        <w:t>However, i</w:t>
      </w:r>
      <w:r w:rsidR="00347F7F">
        <w:rPr>
          <w:rFonts w:ascii="Times New Roman" w:hAnsi="Times New Roman" w:cs="Times New Roman"/>
          <w:sz w:val="24"/>
          <w:szCs w:val="24"/>
        </w:rPr>
        <w:t>t is not only allegations of misogyny that have clouded the Commission’s principles and possibly the authenticity of its sites of commemoration, in</w:t>
      </w:r>
      <w:r w:rsidR="00D867DA">
        <w:rPr>
          <w:rFonts w:ascii="Times New Roman" w:hAnsi="Times New Roman" w:cs="Times New Roman"/>
          <w:sz w:val="24"/>
          <w:szCs w:val="24"/>
        </w:rPr>
        <w:t xml:space="preserve"> 2019 a Channel 4 documentary highlighted</w:t>
      </w:r>
      <w:r w:rsidR="001269BF">
        <w:rPr>
          <w:rFonts w:ascii="Times New Roman" w:hAnsi="Times New Roman" w:cs="Times New Roman"/>
          <w:sz w:val="24"/>
          <w:szCs w:val="24"/>
        </w:rPr>
        <w:t xml:space="preserve"> the lack of equality in the commemoration of East African</w:t>
      </w:r>
      <w:r w:rsidR="006E6EE2">
        <w:rPr>
          <w:rFonts w:ascii="Times New Roman" w:hAnsi="Times New Roman" w:cs="Times New Roman"/>
          <w:sz w:val="24"/>
          <w:szCs w:val="24"/>
        </w:rPr>
        <w:t xml:space="preserve"> soldiers in WW1(Parsons, 2025, p. 18).</w:t>
      </w:r>
      <w:r w:rsidR="00AC55A6">
        <w:rPr>
          <w:rFonts w:ascii="Times New Roman" w:hAnsi="Times New Roman" w:cs="Times New Roman"/>
          <w:sz w:val="24"/>
          <w:szCs w:val="24"/>
        </w:rPr>
        <w:t xml:space="preserve"> The</w:t>
      </w:r>
      <w:r w:rsidR="00E43674">
        <w:rPr>
          <w:rFonts w:ascii="Times New Roman" w:hAnsi="Times New Roman" w:cs="Times New Roman"/>
          <w:sz w:val="24"/>
          <w:szCs w:val="24"/>
        </w:rPr>
        <w:t xml:space="preserve"> documentary</w:t>
      </w:r>
      <w:r w:rsidR="00AC55A6">
        <w:rPr>
          <w:rFonts w:ascii="Times New Roman" w:hAnsi="Times New Roman" w:cs="Times New Roman"/>
          <w:sz w:val="24"/>
          <w:szCs w:val="24"/>
        </w:rPr>
        <w:t xml:space="preserve"> criticis</w:t>
      </w:r>
      <w:r w:rsidR="00E43674">
        <w:rPr>
          <w:rFonts w:ascii="Times New Roman" w:hAnsi="Times New Roman" w:cs="Times New Roman"/>
          <w:sz w:val="24"/>
          <w:szCs w:val="24"/>
        </w:rPr>
        <w:t>ed</w:t>
      </w:r>
      <w:r w:rsidR="00AC55A6">
        <w:rPr>
          <w:rFonts w:ascii="Times New Roman" w:hAnsi="Times New Roman" w:cs="Times New Roman"/>
          <w:sz w:val="24"/>
          <w:szCs w:val="24"/>
        </w:rPr>
        <w:t xml:space="preserve"> the IWGC’s </w:t>
      </w:r>
      <w:r w:rsidR="00E43674">
        <w:rPr>
          <w:rFonts w:ascii="Times New Roman" w:hAnsi="Times New Roman" w:cs="Times New Roman"/>
          <w:sz w:val="24"/>
          <w:szCs w:val="24"/>
        </w:rPr>
        <w:t xml:space="preserve">assertion </w:t>
      </w:r>
      <w:r w:rsidR="00AC55A6">
        <w:rPr>
          <w:rFonts w:ascii="Times New Roman" w:hAnsi="Times New Roman" w:cs="Times New Roman"/>
          <w:sz w:val="24"/>
          <w:szCs w:val="24"/>
        </w:rPr>
        <w:t>that all of those who fell in war serving the Empire should be treated with equality whatever their ethnicity or social standing</w:t>
      </w:r>
      <w:r w:rsidR="00347F7F">
        <w:rPr>
          <w:rFonts w:ascii="Times New Roman" w:hAnsi="Times New Roman" w:cs="Times New Roman"/>
          <w:sz w:val="24"/>
          <w:szCs w:val="24"/>
        </w:rPr>
        <w:t>,</w:t>
      </w:r>
      <w:r w:rsidR="00E43674">
        <w:rPr>
          <w:rFonts w:ascii="Times New Roman" w:hAnsi="Times New Roman" w:cs="Times New Roman"/>
          <w:sz w:val="24"/>
          <w:szCs w:val="24"/>
        </w:rPr>
        <w:t xml:space="preserve"> since it</w:t>
      </w:r>
      <w:r w:rsidR="00AC55A6">
        <w:rPr>
          <w:rFonts w:ascii="Times New Roman" w:hAnsi="Times New Roman" w:cs="Times New Roman"/>
          <w:sz w:val="24"/>
          <w:szCs w:val="24"/>
        </w:rPr>
        <w:t xml:space="preserve"> f</w:t>
      </w:r>
      <w:r w:rsidR="00E43674">
        <w:rPr>
          <w:rFonts w:ascii="Times New Roman" w:hAnsi="Times New Roman" w:cs="Times New Roman"/>
          <w:sz w:val="24"/>
          <w:szCs w:val="24"/>
        </w:rPr>
        <w:t>e</w:t>
      </w:r>
      <w:r w:rsidR="00AC55A6">
        <w:rPr>
          <w:rFonts w:ascii="Times New Roman" w:hAnsi="Times New Roman" w:cs="Times New Roman"/>
          <w:sz w:val="24"/>
          <w:szCs w:val="24"/>
        </w:rPr>
        <w:t>ll short when it c</w:t>
      </w:r>
      <w:r w:rsidR="00E43674">
        <w:rPr>
          <w:rFonts w:ascii="Times New Roman" w:hAnsi="Times New Roman" w:cs="Times New Roman"/>
          <w:sz w:val="24"/>
          <w:szCs w:val="24"/>
        </w:rPr>
        <w:t>ame</w:t>
      </w:r>
      <w:r w:rsidR="00AC55A6">
        <w:rPr>
          <w:rFonts w:ascii="Times New Roman" w:hAnsi="Times New Roman" w:cs="Times New Roman"/>
          <w:sz w:val="24"/>
          <w:szCs w:val="24"/>
        </w:rPr>
        <w:t xml:space="preserve"> to</w:t>
      </w:r>
      <w:r w:rsidR="00E43674">
        <w:rPr>
          <w:rFonts w:ascii="Times New Roman" w:hAnsi="Times New Roman" w:cs="Times New Roman"/>
          <w:sz w:val="24"/>
          <w:szCs w:val="24"/>
        </w:rPr>
        <w:t xml:space="preserve"> the </w:t>
      </w:r>
      <w:r w:rsidR="00245937">
        <w:rPr>
          <w:rFonts w:ascii="Times New Roman" w:hAnsi="Times New Roman" w:cs="Times New Roman"/>
          <w:sz w:val="24"/>
          <w:szCs w:val="24"/>
        </w:rPr>
        <w:t xml:space="preserve">fallen </w:t>
      </w:r>
      <w:r w:rsidR="00E43674">
        <w:rPr>
          <w:rFonts w:ascii="Times New Roman" w:hAnsi="Times New Roman" w:cs="Times New Roman"/>
          <w:sz w:val="24"/>
          <w:szCs w:val="24"/>
        </w:rPr>
        <w:t>soldiers of E</w:t>
      </w:r>
      <w:r w:rsidR="00AC55A6">
        <w:rPr>
          <w:rFonts w:ascii="Times New Roman" w:hAnsi="Times New Roman" w:cs="Times New Roman"/>
          <w:sz w:val="24"/>
          <w:szCs w:val="24"/>
        </w:rPr>
        <w:t>ast Africa</w:t>
      </w:r>
      <w:r w:rsidR="00E43674">
        <w:rPr>
          <w:rFonts w:ascii="Times New Roman" w:hAnsi="Times New Roman" w:cs="Times New Roman"/>
          <w:sz w:val="24"/>
          <w:szCs w:val="24"/>
        </w:rPr>
        <w:t>, where evidence suggests that they were separated from the European graves and were not cared for in perpetuity</w:t>
      </w:r>
      <w:r w:rsidR="00AC55A6">
        <w:rPr>
          <w:rFonts w:ascii="Times New Roman" w:hAnsi="Times New Roman" w:cs="Times New Roman"/>
          <w:sz w:val="24"/>
          <w:szCs w:val="24"/>
        </w:rPr>
        <w:t xml:space="preserve"> (Parsons, 2025, p. 19).</w:t>
      </w:r>
      <w:r w:rsidR="00E43674">
        <w:rPr>
          <w:rFonts w:ascii="Times New Roman" w:hAnsi="Times New Roman" w:cs="Times New Roman"/>
          <w:sz w:val="24"/>
          <w:szCs w:val="24"/>
        </w:rPr>
        <w:t xml:space="preserve"> There are claims that </w:t>
      </w:r>
      <w:r>
        <w:rPr>
          <w:rFonts w:ascii="Times New Roman" w:hAnsi="Times New Roman" w:cs="Times New Roman"/>
          <w:sz w:val="24"/>
          <w:szCs w:val="24"/>
        </w:rPr>
        <w:t>this</w:t>
      </w:r>
      <w:r w:rsidR="00E43674" w:rsidRPr="00E43674">
        <w:rPr>
          <w:rFonts w:ascii="Times New Roman" w:hAnsi="Times New Roman" w:cs="Times New Roman"/>
          <w:sz w:val="24"/>
          <w:szCs w:val="24"/>
        </w:rPr>
        <w:t xml:space="preserve"> emphasises how the IWGC was an expression of its time and </w:t>
      </w:r>
      <w:r w:rsidR="00E43674">
        <w:rPr>
          <w:rFonts w:ascii="Times New Roman" w:hAnsi="Times New Roman" w:cs="Times New Roman"/>
          <w:sz w:val="24"/>
          <w:szCs w:val="24"/>
        </w:rPr>
        <w:t xml:space="preserve">was </w:t>
      </w:r>
      <w:r w:rsidR="00E43674" w:rsidRPr="00E43674">
        <w:rPr>
          <w:rFonts w:ascii="Times New Roman" w:hAnsi="Times New Roman" w:cs="Times New Roman"/>
          <w:sz w:val="24"/>
          <w:szCs w:val="24"/>
        </w:rPr>
        <w:t>completely in accordance with colonial European policies that presumed African racial inferiority</w:t>
      </w:r>
      <w:r w:rsidR="00E43674">
        <w:rPr>
          <w:rFonts w:ascii="Times New Roman" w:hAnsi="Times New Roman" w:cs="Times New Roman"/>
          <w:sz w:val="24"/>
          <w:szCs w:val="24"/>
        </w:rPr>
        <w:t xml:space="preserve"> (Parsons, 2025, pp.19-20).</w:t>
      </w:r>
      <w:r w:rsidR="00E43674" w:rsidRPr="00E43674">
        <w:rPr>
          <w:rFonts w:ascii="Times New Roman" w:hAnsi="Times New Roman" w:cs="Times New Roman"/>
          <w:sz w:val="24"/>
          <w:szCs w:val="24"/>
        </w:rPr>
        <w:t xml:space="preserve"> </w:t>
      </w:r>
      <w:r w:rsidR="00245937">
        <w:rPr>
          <w:rFonts w:ascii="Times New Roman" w:hAnsi="Times New Roman" w:cs="Times New Roman"/>
          <w:sz w:val="24"/>
          <w:szCs w:val="24"/>
        </w:rPr>
        <w:t>The documentary by demonstrating the failure of the IWGC to live up to its promises of equality in death and remembrance reveals the underlying racism that lay beneath the ‘western imperial project’(Parsons, 2025, p.19).</w:t>
      </w:r>
    </w:p>
    <w:p w14:paraId="2E595543" w14:textId="2890BAAC" w:rsidR="004469B3" w:rsidRDefault="00156859" w:rsidP="004469B3">
      <w:pPr>
        <w:spacing w:line="360" w:lineRule="auto"/>
        <w:rPr>
          <w:rFonts w:ascii="Times New Roman" w:hAnsi="Times New Roman" w:cs="Times New Roman"/>
          <w:sz w:val="24"/>
          <w:szCs w:val="24"/>
        </w:rPr>
      </w:pPr>
      <w:r>
        <w:rPr>
          <w:rFonts w:ascii="Times New Roman" w:hAnsi="Times New Roman" w:cs="Times New Roman"/>
          <w:sz w:val="24"/>
          <w:szCs w:val="24"/>
        </w:rPr>
        <w:t>This ill-treatment of fallen military personnel from Africa was again highlighted following the Second World War (WW2)</w:t>
      </w:r>
      <w:r w:rsidR="004469B3">
        <w:rPr>
          <w:rFonts w:ascii="Times New Roman" w:hAnsi="Times New Roman" w:cs="Times New Roman"/>
          <w:sz w:val="24"/>
          <w:szCs w:val="24"/>
        </w:rPr>
        <w:t xml:space="preserve"> when it was revealed that e</w:t>
      </w:r>
      <w:r w:rsidR="004469B3" w:rsidRPr="004469B3">
        <w:rPr>
          <w:rFonts w:ascii="Times New Roman" w:hAnsi="Times New Roman" w:cs="Times New Roman"/>
          <w:sz w:val="24"/>
          <w:szCs w:val="24"/>
        </w:rPr>
        <w:t xml:space="preserve">ven as it retrieved the bodies of European troops for reinterment in military cemeteries, </w:t>
      </w:r>
      <w:r w:rsidR="001D0A52">
        <w:rPr>
          <w:rFonts w:ascii="Times New Roman" w:hAnsi="Times New Roman" w:cs="Times New Roman"/>
          <w:sz w:val="24"/>
          <w:szCs w:val="24"/>
        </w:rPr>
        <w:t>I</w:t>
      </w:r>
      <w:r w:rsidR="004469B3" w:rsidRPr="004469B3">
        <w:rPr>
          <w:rFonts w:ascii="Times New Roman" w:hAnsi="Times New Roman" w:cs="Times New Roman"/>
          <w:sz w:val="24"/>
          <w:szCs w:val="24"/>
        </w:rPr>
        <w:t>WGC's policy was to not retrieve the graves of African war dead</w:t>
      </w:r>
      <w:r w:rsidR="004469B3">
        <w:rPr>
          <w:rFonts w:ascii="Times New Roman" w:hAnsi="Times New Roman" w:cs="Times New Roman"/>
          <w:sz w:val="24"/>
          <w:szCs w:val="24"/>
        </w:rPr>
        <w:t xml:space="preserve"> (Parsons, 2025, pp. 1-3)</w:t>
      </w:r>
      <w:r w:rsidR="004469B3" w:rsidRPr="004469B3">
        <w:rPr>
          <w:rFonts w:ascii="Times New Roman" w:hAnsi="Times New Roman" w:cs="Times New Roman"/>
          <w:sz w:val="24"/>
          <w:szCs w:val="24"/>
        </w:rPr>
        <w:t>.</w:t>
      </w:r>
    </w:p>
    <w:p w14:paraId="44152365" w14:textId="1FC20A00" w:rsidR="001B2E95" w:rsidRDefault="00E62700" w:rsidP="001B2E95">
      <w:pPr>
        <w:spacing w:line="360" w:lineRule="auto"/>
        <w:rPr>
          <w:rFonts w:ascii="Times New Roman" w:hAnsi="Times New Roman" w:cs="Times New Roman"/>
          <w:sz w:val="24"/>
          <w:szCs w:val="24"/>
        </w:rPr>
      </w:pPr>
      <w:r w:rsidRPr="00E62700">
        <w:rPr>
          <w:rFonts w:ascii="Times New Roman" w:hAnsi="Times New Roman" w:cs="Times New Roman"/>
          <w:sz w:val="24"/>
          <w:szCs w:val="24"/>
        </w:rPr>
        <w:t>In response</w:t>
      </w:r>
      <w:r w:rsidR="00413758">
        <w:rPr>
          <w:rFonts w:ascii="Times New Roman" w:hAnsi="Times New Roman" w:cs="Times New Roman"/>
          <w:sz w:val="24"/>
          <w:szCs w:val="24"/>
        </w:rPr>
        <w:t xml:space="preserve"> to these allegations</w:t>
      </w:r>
      <w:r w:rsidRPr="00E62700">
        <w:rPr>
          <w:rFonts w:ascii="Times New Roman" w:hAnsi="Times New Roman" w:cs="Times New Roman"/>
          <w:sz w:val="24"/>
          <w:szCs w:val="24"/>
        </w:rPr>
        <w:t xml:space="preserve"> the CWGC established a Special Committee to examine historical injustices in commemoration</w:t>
      </w:r>
      <w:r>
        <w:rPr>
          <w:rFonts w:ascii="Times New Roman" w:hAnsi="Times New Roman" w:cs="Times New Roman"/>
          <w:sz w:val="24"/>
          <w:szCs w:val="24"/>
        </w:rPr>
        <w:t xml:space="preserve"> (CWGC. 2021; </w:t>
      </w:r>
      <w:r w:rsidR="006B14A2">
        <w:rPr>
          <w:rFonts w:ascii="Times New Roman" w:hAnsi="Times New Roman" w:cs="Times New Roman"/>
          <w:sz w:val="24"/>
          <w:szCs w:val="24"/>
        </w:rPr>
        <w:t xml:space="preserve">CWGC, 2021a; </w:t>
      </w:r>
      <w:r>
        <w:rPr>
          <w:rFonts w:ascii="Times New Roman" w:hAnsi="Times New Roman" w:cs="Times New Roman"/>
          <w:sz w:val="24"/>
          <w:szCs w:val="24"/>
        </w:rPr>
        <w:t>Parsons, 2025, p.19-22)</w:t>
      </w:r>
      <w:r w:rsidRPr="00E62700">
        <w:rPr>
          <w:rFonts w:ascii="Times New Roman" w:hAnsi="Times New Roman" w:cs="Times New Roman"/>
          <w:sz w:val="24"/>
          <w:szCs w:val="24"/>
        </w:rPr>
        <w:t>.</w:t>
      </w:r>
      <w:r w:rsidR="00903C8E">
        <w:rPr>
          <w:rFonts w:ascii="Times New Roman" w:hAnsi="Times New Roman" w:cs="Times New Roman"/>
          <w:sz w:val="24"/>
          <w:szCs w:val="24"/>
        </w:rPr>
        <w:t xml:space="preserve"> </w:t>
      </w:r>
      <w:r w:rsidR="001B2E95" w:rsidRPr="001B2E95">
        <w:rPr>
          <w:rFonts w:ascii="Times New Roman" w:hAnsi="Times New Roman" w:cs="Times New Roman"/>
          <w:sz w:val="24"/>
          <w:szCs w:val="24"/>
        </w:rPr>
        <w:t xml:space="preserve">The committee's </w:t>
      </w:r>
      <w:r w:rsidR="001B2E95">
        <w:rPr>
          <w:rFonts w:ascii="Times New Roman" w:hAnsi="Times New Roman" w:cs="Times New Roman"/>
          <w:sz w:val="24"/>
          <w:szCs w:val="24"/>
        </w:rPr>
        <w:t>main finding</w:t>
      </w:r>
      <w:r w:rsidR="001B2E95" w:rsidRPr="001B2E95">
        <w:rPr>
          <w:rFonts w:ascii="Times New Roman" w:hAnsi="Times New Roman" w:cs="Times New Roman"/>
          <w:sz w:val="24"/>
          <w:szCs w:val="24"/>
        </w:rPr>
        <w:t xml:space="preserve"> was that not every casualty had received the same level of commemoration</w:t>
      </w:r>
      <w:r w:rsidR="00AD63CB">
        <w:rPr>
          <w:rFonts w:ascii="Times New Roman" w:hAnsi="Times New Roman" w:cs="Times New Roman"/>
          <w:sz w:val="24"/>
          <w:szCs w:val="24"/>
        </w:rPr>
        <w:t xml:space="preserve"> (CWGC, 2021a)</w:t>
      </w:r>
      <w:r w:rsidR="001B2E95" w:rsidRPr="001B2E95">
        <w:rPr>
          <w:rFonts w:ascii="Times New Roman" w:hAnsi="Times New Roman" w:cs="Times New Roman"/>
          <w:sz w:val="24"/>
          <w:szCs w:val="24"/>
        </w:rPr>
        <w:t>.</w:t>
      </w:r>
      <w:r w:rsidR="00AD63CB">
        <w:rPr>
          <w:rFonts w:ascii="Times New Roman" w:hAnsi="Times New Roman" w:cs="Times New Roman"/>
          <w:sz w:val="24"/>
          <w:szCs w:val="24"/>
        </w:rPr>
        <w:t xml:space="preserve"> It estimated that between 116,000 and 350,000 military personnel, predominantly of African, Indian or Egyptian decent who died in WW1 </w:t>
      </w:r>
      <w:r w:rsidR="001D0A52">
        <w:rPr>
          <w:rFonts w:ascii="Times New Roman" w:hAnsi="Times New Roman" w:cs="Times New Roman"/>
          <w:sz w:val="24"/>
          <w:szCs w:val="24"/>
        </w:rPr>
        <w:t>were</w:t>
      </w:r>
      <w:r w:rsidR="00AD63CB">
        <w:rPr>
          <w:rFonts w:ascii="Times New Roman" w:hAnsi="Times New Roman" w:cs="Times New Roman"/>
          <w:sz w:val="24"/>
          <w:szCs w:val="24"/>
        </w:rPr>
        <w:t xml:space="preserve"> not </w:t>
      </w:r>
      <w:r w:rsidR="00AD63CB">
        <w:rPr>
          <w:rFonts w:ascii="Times New Roman" w:hAnsi="Times New Roman" w:cs="Times New Roman"/>
          <w:sz w:val="24"/>
          <w:szCs w:val="24"/>
        </w:rPr>
        <w:lastRenderedPageBreak/>
        <w:t>remembered on  CWGC memorials (CWGC, 2021a). Up to 54,000 who were commemorated</w:t>
      </w:r>
      <w:r w:rsidR="001B2E95" w:rsidRPr="001B2E95">
        <w:rPr>
          <w:rFonts w:ascii="Times New Roman" w:hAnsi="Times New Roman" w:cs="Times New Roman"/>
          <w:sz w:val="24"/>
          <w:szCs w:val="24"/>
        </w:rPr>
        <w:t xml:space="preserve"> </w:t>
      </w:r>
      <w:r w:rsidR="00AD63CB">
        <w:rPr>
          <w:rFonts w:ascii="Times New Roman" w:hAnsi="Times New Roman" w:cs="Times New Roman"/>
          <w:sz w:val="24"/>
          <w:szCs w:val="24"/>
        </w:rPr>
        <w:t xml:space="preserve">were deliberately given unequal commemoration </w:t>
      </w:r>
      <w:r w:rsidR="000E0F10">
        <w:rPr>
          <w:rFonts w:ascii="Times New Roman" w:hAnsi="Times New Roman" w:cs="Times New Roman"/>
          <w:sz w:val="24"/>
          <w:szCs w:val="24"/>
        </w:rPr>
        <w:t xml:space="preserve">compared </w:t>
      </w:r>
      <w:r w:rsidR="00AD63CB">
        <w:rPr>
          <w:rFonts w:ascii="Times New Roman" w:hAnsi="Times New Roman" w:cs="Times New Roman"/>
          <w:sz w:val="24"/>
          <w:szCs w:val="24"/>
        </w:rPr>
        <w:t>to that of European service personnel (CWGC, 2021a).</w:t>
      </w:r>
      <w:r w:rsidR="000E0F10">
        <w:rPr>
          <w:rFonts w:ascii="Times New Roman" w:hAnsi="Times New Roman" w:cs="Times New Roman"/>
          <w:sz w:val="24"/>
          <w:szCs w:val="24"/>
        </w:rPr>
        <w:t xml:space="preserve"> The reasons identified for these omissions were put down to the practicalities of dealing with these issues at the time, however, they were also found to be due to deliberate omissions based on imperial dogma </w:t>
      </w:r>
      <w:r w:rsidR="00C056E4">
        <w:rPr>
          <w:rFonts w:ascii="Times New Roman" w:hAnsi="Times New Roman" w:cs="Times New Roman"/>
          <w:sz w:val="24"/>
          <w:szCs w:val="24"/>
        </w:rPr>
        <w:t>within</w:t>
      </w:r>
      <w:r w:rsidR="000E0F10">
        <w:rPr>
          <w:rFonts w:ascii="Times New Roman" w:hAnsi="Times New Roman" w:cs="Times New Roman"/>
          <w:sz w:val="24"/>
          <w:szCs w:val="24"/>
        </w:rPr>
        <w:t xml:space="preserve"> the IWGC (CWGC, 202</w:t>
      </w:r>
      <w:r w:rsidR="005E5118">
        <w:rPr>
          <w:rFonts w:ascii="Times New Roman" w:hAnsi="Times New Roman" w:cs="Times New Roman"/>
          <w:sz w:val="24"/>
          <w:szCs w:val="24"/>
        </w:rPr>
        <w:t>1</w:t>
      </w:r>
      <w:r w:rsidR="000E0F10">
        <w:rPr>
          <w:rFonts w:ascii="Times New Roman" w:hAnsi="Times New Roman" w:cs="Times New Roman"/>
          <w:sz w:val="24"/>
          <w:szCs w:val="24"/>
        </w:rPr>
        <w:t>a).</w:t>
      </w:r>
      <w:r w:rsidR="00B82E64">
        <w:rPr>
          <w:rFonts w:ascii="Times New Roman" w:hAnsi="Times New Roman" w:cs="Times New Roman"/>
          <w:sz w:val="24"/>
          <w:szCs w:val="24"/>
        </w:rPr>
        <w:t xml:space="preserve"> </w:t>
      </w:r>
    </w:p>
    <w:p w14:paraId="574BF05D" w14:textId="68F7005E" w:rsidR="00B82E64" w:rsidRDefault="00E63F42" w:rsidP="001B2E95">
      <w:pPr>
        <w:spacing w:line="360" w:lineRule="auto"/>
        <w:rPr>
          <w:rFonts w:ascii="Times New Roman" w:hAnsi="Times New Roman" w:cs="Times New Roman"/>
          <w:sz w:val="24"/>
          <w:szCs w:val="24"/>
        </w:rPr>
      </w:pPr>
      <w:r>
        <w:rPr>
          <w:rFonts w:ascii="Times New Roman" w:hAnsi="Times New Roman" w:cs="Times New Roman"/>
          <w:sz w:val="24"/>
          <w:szCs w:val="24"/>
        </w:rPr>
        <w:t>In a further report the</w:t>
      </w:r>
      <w:r w:rsidR="00B82E64">
        <w:rPr>
          <w:rFonts w:ascii="Times New Roman" w:hAnsi="Times New Roman" w:cs="Times New Roman"/>
          <w:sz w:val="24"/>
          <w:szCs w:val="24"/>
        </w:rPr>
        <w:t xml:space="preserve"> Special Committee found that </w:t>
      </w:r>
      <w:r>
        <w:rPr>
          <w:rFonts w:ascii="Times New Roman" w:hAnsi="Times New Roman" w:cs="Times New Roman"/>
          <w:sz w:val="24"/>
          <w:szCs w:val="24"/>
        </w:rPr>
        <w:t>f</w:t>
      </w:r>
      <w:r w:rsidRPr="00E63F42">
        <w:rPr>
          <w:rFonts w:ascii="Times New Roman" w:hAnsi="Times New Roman" w:cs="Times New Roman"/>
          <w:sz w:val="24"/>
          <w:szCs w:val="24"/>
        </w:rPr>
        <w:t xml:space="preserve">or some </w:t>
      </w:r>
      <w:r>
        <w:rPr>
          <w:rFonts w:ascii="Times New Roman" w:hAnsi="Times New Roman" w:cs="Times New Roman"/>
          <w:sz w:val="24"/>
          <w:szCs w:val="24"/>
        </w:rPr>
        <w:t>combatants</w:t>
      </w:r>
      <w:r w:rsidRPr="00E63F42">
        <w:rPr>
          <w:rFonts w:ascii="Times New Roman" w:hAnsi="Times New Roman" w:cs="Times New Roman"/>
          <w:sz w:val="24"/>
          <w:szCs w:val="24"/>
        </w:rPr>
        <w:t>, especially those from African and Indian communities, decisions made during World War II</w:t>
      </w:r>
      <w:r>
        <w:rPr>
          <w:rFonts w:ascii="Times New Roman" w:hAnsi="Times New Roman" w:cs="Times New Roman"/>
          <w:sz w:val="24"/>
          <w:szCs w:val="24"/>
        </w:rPr>
        <w:t xml:space="preserve">, whilst not deliberate, </w:t>
      </w:r>
      <w:r w:rsidR="00C056E4">
        <w:rPr>
          <w:rFonts w:ascii="Times New Roman" w:hAnsi="Times New Roman" w:cs="Times New Roman"/>
          <w:sz w:val="24"/>
          <w:szCs w:val="24"/>
        </w:rPr>
        <w:t>also</w:t>
      </w:r>
      <w:r>
        <w:rPr>
          <w:rFonts w:ascii="Times New Roman" w:hAnsi="Times New Roman" w:cs="Times New Roman"/>
          <w:sz w:val="24"/>
          <w:szCs w:val="24"/>
        </w:rPr>
        <w:t xml:space="preserve"> </w:t>
      </w:r>
      <w:r w:rsidRPr="00E63F42">
        <w:rPr>
          <w:rFonts w:ascii="Times New Roman" w:hAnsi="Times New Roman" w:cs="Times New Roman"/>
          <w:sz w:val="24"/>
          <w:szCs w:val="24"/>
        </w:rPr>
        <w:t>result</w:t>
      </w:r>
      <w:r w:rsidR="00413758">
        <w:rPr>
          <w:rFonts w:ascii="Times New Roman" w:hAnsi="Times New Roman" w:cs="Times New Roman"/>
          <w:sz w:val="24"/>
          <w:szCs w:val="24"/>
        </w:rPr>
        <w:t>ed</w:t>
      </w:r>
      <w:r w:rsidRPr="00E63F42">
        <w:rPr>
          <w:rFonts w:ascii="Times New Roman" w:hAnsi="Times New Roman" w:cs="Times New Roman"/>
          <w:sz w:val="24"/>
          <w:szCs w:val="24"/>
        </w:rPr>
        <w:t xml:space="preserve"> in unequal commemoration</w:t>
      </w:r>
      <w:r>
        <w:rPr>
          <w:rFonts w:ascii="Times New Roman" w:hAnsi="Times New Roman" w:cs="Times New Roman"/>
          <w:sz w:val="24"/>
          <w:szCs w:val="24"/>
        </w:rPr>
        <w:t xml:space="preserve"> (CWGC, 2025c)</w:t>
      </w:r>
      <w:r w:rsidRPr="00E63F42">
        <w:rPr>
          <w:rFonts w:ascii="Times New Roman" w:hAnsi="Times New Roman" w:cs="Times New Roman"/>
          <w:sz w:val="24"/>
          <w:szCs w:val="24"/>
        </w:rPr>
        <w:t>.</w:t>
      </w:r>
    </w:p>
    <w:p w14:paraId="36E86AD4" w14:textId="2E14272C" w:rsidR="00B82E64" w:rsidRDefault="00B82E64" w:rsidP="001B2E95">
      <w:pPr>
        <w:spacing w:line="360" w:lineRule="auto"/>
        <w:rPr>
          <w:rFonts w:ascii="Times New Roman" w:hAnsi="Times New Roman" w:cs="Times New Roman"/>
          <w:sz w:val="24"/>
          <w:szCs w:val="24"/>
        </w:rPr>
      </w:pPr>
      <w:r>
        <w:rPr>
          <w:rFonts w:ascii="Times New Roman" w:hAnsi="Times New Roman" w:cs="Times New Roman"/>
          <w:sz w:val="24"/>
          <w:szCs w:val="24"/>
        </w:rPr>
        <w:t>In the CWGC’s response to the report</w:t>
      </w:r>
      <w:r w:rsidR="00E63F42">
        <w:rPr>
          <w:rFonts w:ascii="Times New Roman" w:hAnsi="Times New Roman" w:cs="Times New Roman"/>
          <w:sz w:val="24"/>
          <w:szCs w:val="24"/>
        </w:rPr>
        <w:t>s</w:t>
      </w:r>
      <w:r>
        <w:rPr>
          <w:rFonts w:ascii="Times New Roman" w:hAnsi="Times New Roman" w:cs="Times New Roman"/>
          <w:sz w:val="24"/>
          <w:szCs w:val="24"/>
        </w:rPr>
        <w:t xml:space="preserve"> the Director General, Claire Horton, said “….</w:t>
      </w:r>
      <w:r w:rsidRPr="00B82E64">
        <w:rPr>
          <w:rFonts w:ascii="Times New Roman" w:hAnsi="Times New Roman" w:cs="Times New Roman"/>
          <w:sz w:val="24"/>
          <w:szCs w:val="24"/>
        </w:rPr>
        <w:t>the events of a Century ago were wrong then and are wrong now. We are sorry for what happened and will act to right the wrongs of the past</w:t>
      </w:r>
      <w:r>
        <w:rPr>
          <w:rFonts w:ascii="Times New Roman" w:hAnsi="Times New Roman" w:cs="Times New Roman"/>
          <w:sz w:val="24"/>
          <w:szCs w:val="24"/>
        </w:rPr>
        <w:t>” (CWGC, 2021a).</w:t>
      </w:r>
    </w:p>
    <w:p w14:paraId="7BB224D5" w14:textId="3446436A" w:rsidR="00E63F42" w:rsidRDefault="00E63F42" w:rsidP="001B2E9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CWGC implemented a non-commemoration programme to address its </w:t>
      </w:r>
      <w:r w:rsidR="00C056E4">
        <w:rPr>
          <w:rFonts w:ascii="Times New Roman" w:hAnsi="Times New Roman" w:cs="Times New Roman"/>
          <w:sz w:val="24"/>
          <w:szCs w:val="24"/>
        </w:rPr>
        <w:t>failings and</w:t>
      </w:r>
      <w:r>
        <w:rPr>
          <w:rFonts w:ascii="Times New Roman" w:hAnsi="Times New Roman" w:cs="Times New Roman"/>
          <w:sz w:val="24"/>
          <w:szCs w:val="24"/>
        </w:rPr>
        <w:t xml:space="preserve"> has begun</w:t>
      </w:r>
      <w:r w:rsidR="009E5A8B">
        <w:rPr>
          <w:rFonts w:ascii="Times New Roman" w:hAnsi="Times New Roman" w:cs="Times New Roman"/>
          <w:sz w:val="24"/>
          <w:szCs w:val="24"/>
        </w:rPr>
        <w:t xml:space="preserve"> a series of reconciliatory strategies based on ten recommendations </w:t>
      </w:r>
      <w:r w:rsidR="00D73EC2">
        <w:rPr>
          <w:rFonts w:ascii="Times New Roman" w:hAnsi="Times New Roman" w:cs="Times New Roman"/>
          <w:sz w:val="24"/>
          <w:szCs w:val="24"/>
        </w:rPr>
        <w:t xml:space="preserve">made </w:t>
      </w:r>
      <w:r w:rsidR="009E5A8B">
        <w:rPr>
          <w:rFonts w:ascii="Times New Roman" w:hAnsi="Times New Roman" w:cs="Times New Roman"/>
          <w:sz w:val="24"/>
          <w:szCs w:val="24"/>
        </w:rPr>
        <w:t>by the</w:t>
      </w:r>
      <w:r w:rsidR="00D73EC2">
        <w:rPr>
          <w:rFonts w:ascii="Times New Roman" w:hAnsi="Times New Roman" w:cs="Times New Roman"/>
          <w:sz w:val="24"/>
          <w:szCs w:val="24"/>
        </w:rPr>
        <w:t xml:space="preserve"> Special</w:t>
      </w:r>
      <w:r w:rsidR="009E5A8B">
        <w:rPr>
          <w:rFonts w:ascii="Times New Roman" w:hAnsi="Times New Roman" w:cs="Times New Roman"/>
          <w:sz w:val="24"/>
          <w:szCs w:val="24"/>
        </w:rPr>
        <w:t xml:space="preserve"> Committee (CWGC, 2021</w:t>
      </w:r>
      <w:r w:rsidR="00D73EC2">
        <w:rPr>
          <w:rFonts w:ascii="Times New Roman" w:hAnsi="Times New Roman" w:cs="Times New Roman"/>
          <w:sz w:val="24"/>
          <w:szCs w:val="24"/>
        </w:rPr>
        <w:t>). These recommendations include.</w:t>
      </w:r>
    </w:p>
    <w:p w14:paraId="7017646F" w14:textId="184407E3"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 xml:space="preserve">1. Ongoing commitment to continue the search for the unnamed war dead and those potentially not commemorated </w:t>
      </w:r>
    </w:p>
    <w:p w14:paraId="3D8451D4" w14:textId="2D2654F7"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 xml:space="preserve"> 2. A commitment to transparency </w:t>
      </w:r>
      <w:r>
        <w:rPr>
          <w:rFonts w:ascii="Times New Roman" w:hAnsi="Times New Roman" w:cs="Times New Roman"/>
          <w:sz w:val="24"/>
          <w:szCs w:val="24"/>
        </w:rPr>
        <w:t>-</w:t>
      </w:r>
      <w:r w:rsidRPr="009E5A8B">
        <w:rPr>
          <w:rFonts w:ascii="Times New Roman" w:hAnsi="Times New Roman" w:cs="Times New Roman"/>
          <w:sz w:val="24"/>
          <w:szCs w:val="24"/>
        </w:rPr>
        <w:t xml:space="preserve">The CWGC should be upfront about this difficult history across </w:t>
      </w:r>
      <w:r w:rsidR="00413758">
        <w:rPr>
          <w:rFonts w:ascii="Times New Roman" w:hAnsi="Times New Roman" w:cs="Times New Roman"/>
          <w:sz w:val="24"/>
          <w:szCs w:val="24"/>
        </w:rPr>
        <w:t>its</w:t>
      </w:r>
      <w:r w:rsidRPr="009E5A8B">
        <w:rPr>
          <w:rFonts w:ascii="Times New Roman" w:hAnsi="Times New Roman" w:cs="Times New Roman"/>
          <w:sz w:val="24"/>
          <w:szCs w:val="24"/>
        </w:rPr>
        <w:t xml:space="preserve"> website and should highlight and share its progress in putting right the wrongs of the past </w:t>
      </w:r>
    </w:p>
    <w:p w14:paraId="62395E14" w14:textId="344D0342"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3. Flexibility in evidence criteria for specific non-commemoration cases</w:t>
      </w:r>
    </w:p>
    <w:p w14:paraId="464CD190" w14:textId="4EC248DB"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 xml:space="preserve"> 4. Establish an appropriately diverse independent consultative committee with a global reach to advise the CWGC on points of history, policy and outreach</w:t>
      </w:r>
    </w:p>
    <w:p w14:paraId="02D40E0A" w14:textId="79877A7A"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 xml:space="preserve"> 5. Community engagement and education  that highlight the sacrifices made by communities currently underrepresented through commemoration </w:t>
      </w:r>
    </w:p>
    <w:p w14:paraId="3F4A7BD0" w14:textId="5D728DEF"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 xml:space="preserve"> 6. Digital rather than physical commemoration to reach new generations and connect them with this difficult history, and encourage broad, global participation </w:t>
      </w:r>
    </w:p>
    <w:p w14:paraId="39028F4B" w14:textId="77777777" w:rsidR="004B64BE"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7. Context panels for existing memorials </w:t>
      </w:r>
      <w:r>
        <w:rPr>
          <w:rFonts w:ascii="Times New Roman" w:hAnsi="Times New Roman" w:cs="Times New Roman"/>
          <w:sz w:val="24"/>
          <w:szCs w:val="24"/>
        </w:rPr>
        <w:t>to</w:t>
      </w:r>
      <w:r w:rsidRPr="009E5A8B">
        <w:rPr>
          <w:rFonts w:ascii="Times New Roman" w:hAnsi="Times New Roman" w:cs="Times New Roman"/>
          <w:sz w:val="24"/>
          <w:szCs w:val="24"/>
        </w:rPr>
        <w:t xml:space="preserve"> explain why some memorials do not carry names </w:t>
      </w:r>
    </w:p>
    <w:p w14:paraId="6F982F45" w14:textId="75CF9E8D"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lastRenderedPageBreak/>
        <w:t xml:space="preserve">8. Inscription of recovered names on existing memorials for casualties who were ‘sent missing’ and assigned to nameless memorials </w:t>
      </w:r>
    </w:p>
    <w:p w14:paraId="73BFC9FB" w14:textId="1AC6B80C"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 xml:space="preserve">9. Adoption of third-party memorials  not held by the CWGC and add the names to its casualty database </w:t>
      </w:r>
    </w:p>
    <w:p w14:paraId="6B469F2D" w14:textId="65BA018F" w:rsidR="009E5A8B" w:rsidRDefault="009E5A8B" w:rsidP="00D73EC2">
      <w:pPr>
        <w:spacing w:line="360" w:lineRule="auto"/>
        <w:ind w:left="720"/>
        <w:rPr>
          <w:rFonts w:ascii="Times New Roman" w:hAnsi="Times New Roman" w:cs="Times New Roman"/>
          <w:sz w:val="24"/>
          <w:szCs w:val="24"/>
        </w:rPr>
      </w:pPr>
      <w:r w:rsidRPr="009E5A8B">
        <w:rPr>
          <w:rFonts w:ascii="Times New Roman" w:hAnsi="Times New Roman" w:cs="Times New Roman"/>
          <w:sz w:val="24"/>
          <w:szCs w:val="24"/>
        </w:rPr>
        <w:t>10. New memorials or commemorative structures  for particular group</w:t>
      </w:r>
      <w:r>
        <w:rPr>
          <w:rFonts w:ascii="Times New Roman" w:hAnsi="Times New Roman" w:cs="Times New Roman"/>
          <w:sz w:val="24"/>
          <w:szCs w:val="24"/>
        </w:rPr>
        <w:t>s</w:t>
      </w:r>
      <w:r w:rsidRPr="009E5A8B">
        <w:rPr>
          <w:rFonts w:ascii="Times New Roman" w:hAnsi="Times New Roman" w:cs="Times New Roman"/>
          <w:sz w:val="24"/>
          <w:szCs w:val="24"/>
        </w:rPr>
        <w:t xml:space="preserve"> that cannot be served by an existing memorial</w:t>
      </w:r>
      <w:r w:rsidR="00D73EC2">
        <w:rPr>
          <w:rFonts w:ascii="Times New Roman" w:hAnsi="Times New Roman" w:cs="Times New Roman"/>
          <w:sz w:val="24"/>
          <w:szCs w:val="24"/>
        </w:rPr>
        <w:t xml:space="preserve"> (CWGC, 2021)</w:t>
      </w:r>
      <w:r>
        <w:rPr>
          <w:rFonts w:ascii="Times New Roman" w:hAnsi="Times New Roman" w:cs="Times New Roman"/>
          <w:sz w:val="24"/>
          <w:szCs w:val="24"/>
        </w:rPr>
        <w:t>.</w:t>
      </w:r>
    </w:p>
    <w:p w14:paraId="5D00C8F9" w14:textId="4A8EBCFB" w:rsidR="004B64BE" w:rsidRDefault="004B64BE" w:rsidP="00C056E4">
      <w:pPr>
        <w:spacing w:line="360" w:lineRule="auto"/>
        <w:rPr>
          <w:rFonts w:ascii="Times New Roman" w:hAnsi="Times New Roman" w:cs="Times New Roman"/>
          <w:sz w:val="24"/>
          <w:szCs w:val="24"/>
        </w:rPr>
      </w:pPr>
      <w:r>
        <w:rPr>
          <w:rFonts w:ascii="Times New Roman" w:hAnsi="Times New Roman" w:cs="Times New Roman"/>
          <w:sz w:val="24"/>
          <w:szCs w:val="24"/>
        </w:rPr>
        <w:t>These recommendations alon</w:t>
      </w:r>
      <w:r w:rsidR="00AD4759">
        <w:rPr>
          <w:rFonts w:ascii="Times New Roman" w:hAnsi="Times New Roman" w:cs="Times New Roman"/>
          <w:sz w:val="24"/>
          <w:szCs w:val="24"/>
        </w:rPr>
        <w:t>e</w:t>
      </w:r>
      <w:r>
        <w:rPr>
          <w:rFonts w:ascii="Times New Roman" w:hAnsi="Times New Roman" w:cs="Times New Roman"/>
          <w:sz w:val="24"/>
          <w:szCs w:val="24"/>
        </w:rPr>
        <w:t xml:space="preserve"> provide an uneasy </w:t>
      </w:r>
      <w:r w:rsidR="00AD4759">
        <w:rPr>
          <w:rFonts w:ascii="Times New Roman" w:hAnsi="Times New Roman" w:cs="Times New Roman"/>
          <w:sz w:val="24"/>
          <w:szCs w:val="24"/>
        </w:rPr>
        <w:t>indictment of</w:t>
      </w:r>
      <w:r>
        <w:rPr>
          <w:rFonts w:ascii="Times New Roman" w:hAnsi="Times New Roman" w:cs="Times New Roman"/>
          <w:sz w:val="24"/>
          <w:szCs w:val="24"/>
        </w:rPr>
        <w:t xml:space="preserve"> the historical </w:t>
      </w:r>
      <w:r w:rsidR="00AD4759">
        <w:rPr>
          <w:rFonts w:ascii="Times New Roman" w:hAnsi="Times New Roman" w:cs="Times New Roman"/>
          <w:sz w:val="24"/>
          <w:szCs w:val="24"/>
        </w:rPr>
        <w:t>principles</w:t>
      </w:r>
      <w:r>
        <w:rPr>
          <w:rFonts w:ascii="Times New Roman" w:hAnsi="Times New Roman" w:cs="Times New Roman"/>
          <w:sz w:val="24"/>
          <w:szCs w:val="24"/>
        </w:rPr>
        <w:t xml:space="preserve"> of the Commission and bring into question the auth</w:t>
      </w:r>
      <w:r w:rsidR="00AD4759">
        <w:rPr>
          <w:rFonts w:ascii="Times New Roman" w:hAnsi="Times New Roman" w:cs="Times New Roman"/>
          <w:sz w:val="24"/>
          <w:szCs w:val="24"/>
        </w:rPr>
        <w:t>e</w:t>
      </w:r>
      <w:r>
        <w:rPr>
          <w:rFonts w:ascii="Times New Roman" w:hAnsi="Times New Roman" w:cs="Times New Roman"/>
          <w:sz w:val="24"/>
          <w:szCs w:val="24"/>
        </w:rPr>
        <w:t>nticity of</w:t>
      </w:r>
      <w:r w:rsidR="00AD4759">
        <w:rPr>
          <w:rFonts w:ascii="Times New Roman" w:hAnsi="Times New Roman" w:cs="Times New Roman"/>
          <w:sz w:val="24"/>
          <w:szCs w:val="24"/>
        </w:rPr>
        <w:t xml:space="preserve"> their methods of commemoration</w:t>
      </w:r>
      <w:r w:rsidR="001D0A52">
        <w:rPr>
          <w:rFonts w:ascii="Times New Roman" w:hAnsi="Times New Roman" w:cs="Times New Roman"/>
          <w:sz w:val="24"/>
          <w:szCs w:val="24"/>
        </w:rPr>
        <w:t xml:space="preserve"> (</w:t>
      </w:r>
      <w:r w:rsidR="00464FA6">
        <w:rPr>
          <w:rFonts w:ascii="Times New Roman" w:hAnsi="Times New Roman" w:cs="Times New Roman"/>
          <w:sz w:val="24"/>
          <w:szCs w:val="24"/>
        </w:rPr>
        <w:t xml:space="preserve">CWGC, 2021, pp. 49-50; </w:t>
      </w:r>
      <w:proofErr w:type="spellStart"/>
      <w:r w:rsidR="001D0A52">
        <w:rPr>
          <w:rFonts w:ascii="Times New Roman" w:hAnsi="Times New Roman" w:cs="Times New Roman"/>
          <w:sz w:val="24"/>
          <w:szCs w:val="24"/>
        </w:rPr>
        <w:t>Willay</w:t>
      </w:r>
      <w:proofErr w:type="spellEnd"/>
      <w:r w:rsidR="001D0A52">
        <w:rPr>
          <w:rFonts w:ascii="Times New Roman" w:hAnsi="Times New Roman" w:cs="Times New Roman"/>
          <w:sz w:val="24"/>
          <w:szCs w:val="24"/>
        </w:rPr>
        <w:t>, 2024, p.8).</w:t>
      </w:r>
    </w:p>
    <w:p w14:paraId="0E105D21" w14:textId="5C7BF998" w:rsidR="00C056E4" w:rsidRDefault="00BD5472" w:rsidP="00C056E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CWGC </w:t>
      </w:r>
      <w:r w:rsidR="00464FA6">
        <w:rPr>
          <w:rFonts w:ascii="Times New Roman" w:hAnsi="Times New Roman" w:cs="Times New Roman"/>
          <w:sz w:val="24"/>
          <w:szCs w:val="24"/>
        </w:rPr>
        <w:t xml:space="preserve">have </w:t>
      </w:r>
      <w:r>
        <w:rPr>
          <w:rFonts w:ascii="Times New Roman" w:hAnsi="Times New Roman" w:cs="Times New Roman"/>
          <w:sz w:val="24"/>
          <w:szCs w:val="24"/>
        </w:rPr>
        <w:t>publish</w:t>
      </w:r>
      <w:r w:rsidR="00464FA6">
        <w:rPr>
          <w:rFonts w:ascii="Times New Roman" w:hAnsi="Times New Roman" w:cs="Times New Roman"/>
          <w:sz w:val="24"/>
          <w:szCs w:val="24"/>
        </w:rPr>
        <w:t>ed</w:t>
      </w:r>
      <w:r>
        <w:rPr>
          <w:rFonts w:ascii="Times New Roman" w:hAnsi="Times New Roman" w:cs="Times New Roman"/>
          <w:sz w:val="24"/>
          <w:szCs w:val="24"/>
        </w:rPr>
        <w:t xml:space="preserve"> a</w:t>
      </w:r>
      <w:r w:rsidR="00C056E4">
        <w:rPr>
          <w:rFonts w:ascii="Times New Roman" w:hAnsi="Times New Roman" w:cs="Times New Roman"/>
          <w:sz w:val="24"/>
          <w:szCs w:val="24"/>
        </w:rPr>
        <w:t>nnual reviews to outline the progress of their non-commemoration programme, with the latest review for 2024-25 claiming to</w:t>
      </w:r>
      <w:r>
        <w:rPr>
          <w:rFonts w:ascii="Times New Roman" w:hAnsi="Times New Roman" w:cs="Times New Roman"/>
          <w:sz w:val="24"/>
          <w:szCs w:val="24"/>
        </w:rPr>
        <w:t xml:space="preserve"> </w:t>
      </w:r>
      <w:r w:rsidR="00AD4759">
        <w:rPr>
          <w:rFonts w:ascii="Times New Roman" w:hAnsi="Times New Roman" w:cs="Times New Roman"/>
          <w:sz w:val="24"/>
          <w:szCs w:val="24"/>
        </w:rPr>
        <w:t xml:space="preserve">have </w:t>
      </w:r>
      <w:r>
        <w:rPr>
          <w:rFonts w:ascii="Times New Roman" w:hAnsi="Times New Roman" w:cs="Times New Roman"/>
          <w:sz w:val="24"/>
          <w:szCs w:val="24"/>
        </w:rPr>
        <w:t>identified over 11,600 servicemen who were not previously commemorated (CWGC, 2025b).</w:t>
      </w:r>
      <w:r w:rsidR="00C056E4">
        <w:rPr>
          <w:rFonts w:ascii="Times New Roman" w:hAnsi="Times New Roman" w:cs="Times New Roman"/>
          <w:sz w:val="24"/>
          <w:szCs w:val="24"/>
        </w:rPr>
        <w:t xml:space="preserve"> </w:t>
      </w:r>
    </w:p>
    <w:p w14:paraId="685F8025" w14:textId="3494ABF8" w:rsidR="00757A17" w:rsidRDefault="00AD4759" w:rsidP="00DD1373">
      <w:pPr>
        <w:spacing w:line="360" w:lineRule="auto"/>
        <w:rPr>
          <w:rFonts w:ascii="Times New Roman" w:hAnsi="Times New Roman" w:cs="Times New Roman"/>
          <w:sz w:val="24"/>
          <w:szCs w:val="24"/>
        </w:rPr>
      </w:pPr>
      <w:r>
        <w:rPr>
          <w:rFonts w:ascii="Times New Roman" w:hAnsi="Times New Roman" w:cs="Times New Roman"/>
          <w:sz w:val="24"/>
          <w:szCs w:val="24"/>
        </w:rPr>
        <w:t>In addition to th</w:t>
      </w:r>
      <w:r w:rsidR="00464FA6">
        <w:rPr>
          <w:rFonts w:ascii="Times New Roman" w:hAnsi="Times New Roman" w:cs="Times New Roman"/>
          <w:sz w:val="24"/>
          <w:szCs w:val="24"/>
        </w:rPr>
        <w:t>e non-commemoration</w:t>
      </w:r>
      <w:r>
        <w:rPr>
          <w:rFonts w:ascii="Times New Roman" w:hAnsi="Times New Roman" w:cs="Times New Roman"/>
          <w:sz w:val="24"/>
          <w:szCs w:val="24"/>
        </w:rPr>
        <w:t xml:space="preserve"> programme the Commission has made increased effort to evidence their new, more modern </w:t>
      </w:r>
      <w:r w:rsidR="00DA2B2A">
        <w:rPr>
          <w:rFonts w:ascii="Times New Roman" w:hAnsi="Times New Roman" w:cs="Times New Roman"/>
          <w:sz w:val="24"/>
          <w:szCs w:val="24"/>
        </w:rPr>
        <w:t xml:space="preserve">and diverse </w:t>
      </w:r>
      <w:r>
        <w:rPr>
          <w:rFonts w:ascii="Times New Roman" w:hAnsi="Times New Roman" w:cs="Times New Roman"/>
          <w:sz w:val="24"/>
          <w:szCs w:val="24"/>
        </w:rPr>
        <w:t>approach</w:t>
      </w:r>
      <w:r w:rsidR="00DA2B2A">
        <w:rPr>
          <w:rFonts w:ascii="Times New Roman" w:hAnsi="Times New Roman" w:cs="Times New Roman"/>
          <w:sz w:val="24"/>
          <w:szCs w:val="24"/>
        </w:rPr>
        <w:t xml:space="preserve"> to commemoration</w:t>
      </w:r>
      <w:r>
        <w:rPr>
          <w:rFonts w:ascii="Times New Roman" w:hAnsi="Times New Roman" w:cs="Times New Roman"/>
          <w:sz w:val="24"/>
          <w:szCs w:val="24"/>
        </w:rPr>
        <w:t xml:space="preserve"> by designing a new Commission logo </w:t>
      </w:r>
      <w:r w:rsidR="00DA2B2A">
        <w:rPr>
          <w:rFonts w:ascii="Times New Roman" w:hAnsi="Times New Roman" w:cs="Times New Roman"/>
          <w:sz w:val="24"/>
          <w:szCs w:val="24"/>
        </w:rPr>
        <w:t xml:space="preserve">to replace the older Imperialist themed images </w:t>
      </w:r>
      <w:r>
        <w:rPr>
          <w:rFonts w:ascii="Times New Roman" w:hAnsi="Times New Roman" w:cs="Times New Roman"/>
          <w:sz w:val="24"/>
          <w:szCs w:val="24"/>
        </w:rPr>
        <w:t xml:space="preserve">(CWGC, 2026b). The previous IWGC logo, Figure </w:t>
      </w:r>
      <w:r w:rsidR="00347F7F">
        <w:rPr>
          <w:rFonts w:ascii="Times New Roman" w:hAnsi="Times New Roman" w:cs="Times New Roman"/>
          <w:sz w:val="24"/>
          <w:szCs w:val="24"/>
        </w:rPr>
        <w:t>9</w:t>
      </w:r>
      <w:r>
        <w:rPr>
          <w:rFonts w:ascii="Times New Roman" w:hAnsi="Times New Roman" w:cs="Times New Roman"/>
          <w:sz w:val="24"/>
          <w:szCs w:val="24"/>
        </w:rPr>
        <w:t xml:space="preserve">, and the well-known CWGC logo Figure </w:t>
      </w:r>
      <w:r w:rsidR="00347F7F">
        <w:rPr>
          <w:rFonts w:ascii="Times New Roman" w:hAnsi="Times New Roman" w:cs="Times New Roman"/>
          <w:sz w:val="24"/>
          <w:szCs w:val="24"/>
        </w:rPr>
        <w:t xml:space="preserve">10, </w:t>
      </w:r>
      <w:r>
        <w:rPr>
          <w:rFonts w:ascii="Times New Roman" w:hAnsi="Times New Roman" w:cs="Times New Roman"/>
          <w:sz w:val="24"/>
          <w:szCs w:val="24"/>
        </w:rPr>
        <w:t>have been replaced in favour of a modern and more inclusive design as seen in Figure</w:t>
      </w:r>
      <w:r w:rsidR="00347F7F">
        <w:rPr>
          <w:rFonts w:ascii="Times New Roman" w:hAnsi="Times New Roman" w:cs="Times New Roman"/>
          <w:sz w:val="24"/>
          <w:szCs w:val="24"/>
        </w:rPr>
        <w:t xml:space="preserve"> 11 </w:t>
      </w:r>
      <w:r>
        <w:rPr>
          <w:rFonts w:ascii="Times New Roman" w:hAnsi="Times New Roman" w:cs="Times New Roman"/>
          <w:sz w:val="24"/>
          <w:szCs w:val="24"/>
        </w:rPr>
        <w:t xml:space="preserve">(CWGC, 2026b). </w:t>
      </w:r>
    </w:p>
    <w:p w14:paraId="4091D768" w14:textId="77777777" w:rsidR="00413758" w:rsidRDefault="00413758" w:rsidP="00DD1373">
      <w:pPr>
        <w:spacing w:line="360" w:lineRule="auto"/>
        <w:rPr>
          <w:rFonts w:ascii="Times New Roman" w:hAnsi="Times New Roman" w:cs="Times New Roman"/>
          <w:sz w:val="24"/>
          <w:szCs w:val="24"/>
        </w:rPr>
      </w:pPr>
    </w:p>
    <w:p w14:paraId="7C26679F" w14:textId="24DA132E" w:rsidR="00E80A16" w:rsidRDefault="00031587" w:rsidP="00E80A16">
      <w:pPr>
        <w:spacing w:line="360" w:lineRule="auto"/>
        <w:jc w:val="right"/>
        <w:rPr>
          <w:rFonts w:ascii="Times New Roman" w:hAnsi="Times New Roman" w:cs="Times New Roman"/>
          <w:sz w:val="20"/>
          <w:szCs w:val="20"/>
        </w:rPr>
      </w:pPr>
      <w:r>
        <w:rPr>
          <w:rFonts w:ascii="Times New Roman" w:hAnsi="Times New Roman" w:cs="Times New Roman"/>
          <w:noProof/>
          <w:sz w:val="24"/>
          <w:szCs w:val="24"/>
        </w:rPr>
        <w:drawing>
          <wp:anchor distT="0" distB="0" distL="114300" distR="114300" simplePos="0" relativeHeight="251658240" behindDoc="0" locked="0" layoutInCell="1" allowOverlap="1" wp14:anchorId="18272FC1" wp14:editId="749BF956">
            <wp:simplePos x="0" y="0"/>
            <wp:positionH relativeFrom="column">
              <wp:posOffset>323850</wp:posOffset>
            </wp:positionH>
            <wp:positionV relativeFrom="paragraph">
              <wp:posOffset>5715</wp:posOffset>
            </wp:positionV>
            <wp:extent cx="1638300" cy="1684020"/>
            <wp:effectExtent l="0" t="0" r="0" b="0"/>
            <wp:wrapSquare wrapText="bothSides"/>
            <wp:docPr id="1607524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24628" name="Picture 1607524628"/>
                    <pic:cNvPicPr/>
                  </pic:nvPicPr>
                  <pic:blipFill>
                    <a:blip r:embed="rId17">
                      <a:extLst>
                        <a:ext uri="{28A0092B-C50C-407E-A947-70E740481C1C}">
                          <a14:useLocalDpi xmlns:a14="http://schemas.microsoft.com/office/drawing/2010/main" val="0"/>
                        </a:ext>
                      </a:extLst>
                    </a:blip>
                    <a:stretch>
                      <a:fillRect/>
                    </a:stretch>
                  </pic:blipFill>
                  <pic:spPr>
                    <a:xfrm>
                      <a:off x="0" y="0"/>
                      <a:ext cx="1638300" cy="1684020"/>
                    </a:xfrm>
                    <a:prstGeom prst="rect">
                      <a:avLst/>
                    </a:prstGeom>
                  </pic:spPr>
                </pic:pic>
              </a:graphicData>
            </a:graphic>
            <wp14:sizeRelH relativeFrom="margin">
              <wp14:pctWidth>0</wp14:pctWidth>
            </wp14:sizeRelH>
            <wp14:sizeRelV relativeFrom="margin">
              <wp14:pctHeight>0</wp14:pctHeight>
            </wp14:sizeRelV>
          </wp:anchor>
        </w:drawing>
      </w:r>
      <w:r w:rsidR="00F80D47">
        <w:rPr>
          <w:rFonts w:ascii="Times New Roman" w:hAnsi="Times New Roman" w:cs="Times New Roman"/>
          <w:noProof/>
          <w:sz w:val="24"/>
          <w:szCs w:val="24"/>
        </w:rPr>
        <w:drawing>
          <wp:inline distT="0" distB="0" distL="0" distR="0" wp14:anchorId="5D1E9716" wp14:editId="6C43B88A">
            <wp:extent cx="2861310" cy="1648122"/>
            <wp:effectExtent l="0" t="0" r="0" b="9525"/>
            <wp:docPr id="1133301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01130" name="Picture 113330113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69933" cy="1653089"/>
                    </a:xfrm>
                    <a:prstGeom prst="rect">
                      <a:avLst/>
                    </a:prstGeom>
                  </pic:spPr>
                </pic:pic>
              </a:graphicData>
            </a:graphic>
          </wp:inline>
        </w:drawing>
      </w:r>
      <w:r>
        <w:rPr>
          <w:rFonts w:ascii="Times New Roman" w:hAnsi="Times New Roman" w:cs="Times New Roman"/>
          <w:sz w:val="24"/>
          <w:szCs w:val="24"/>
        </w:rPr>
        <w:br w:type="textWrapping" w:clear="all"/>
      </w:r>
    </w:p>
    <w:p w14:paraId="337FE276" w14:textId="178ACF04" w:rsidR="00143450" w:rsidRPr="00031587" w:rsidRDefault="00031587" w:rsidP="00F80D47">
      <w:pPr>
        <w:spacing w:line="360" w:lineRule="auto"/>
        <w:rPr>
          <w:rFonts w:ascii="Times New Roman" w:hAnsi="Times New Roman" w:cs="Times New Roman"/>
          <w:sz w:val="20"/>
          <w:szCs w:val="20"/>
        </w:rPr>
      </w:pPr>
      <w:r w:rsidRPr="00031587">
        <w:rPr>
          <w:rFonts w:ascii="Times New Roman" w:hAnsi="Times New Roman" w:cs="Times New Roman"/>
          <w:sz w:val="20"/>
          <w:szCs w:val="20"/>
        </w:rPr>
        <w:t xml:space="preserve">Figure </w:t>
      </w:r>
      <w:r w:rsidR="00347F7F">
        <w:rPr>
          <w:rFonts w:ascii="Times New Roman" w:hAnsi="Times New Roman" w:cs="Times New Roman"/>
          <w:sz w:val="20"/>
          <w:szCs w:val="20"/>
        </w:rPr>
        <w:t>9 on the left</w:t>
      </w:r>
      <w:r w:rsidRPr="00031587">
        <w:rPr>
          <w:rFonts w:ascii="Times New Roman" w:hAnsi="Times New Roman" w:cs="Times New Roman"/>
          <w:sz w:val="20"/>
          <w:szCs w:val="20"/>
        </w:rPr>
        <w:t xml:space="preserve"> </w:t>
      </w:r>
      <w:r w:rsidR="00DA2B2A">
        <w:rPr>
          <w:rFonts w:ascii="Times New Roman" w:hAnsi="Times New Roman" w:cs="Times New Roman"/>
          <w:sz w:val="20"/>
          <w:szCs w:val="20"/>
        </w:rPr>
        <w:t>shows</w:t>
      </w:r>
      <w:r w:rsidRPr="00031587">
        <w:rPr>
          <w:rFonts w:ascii="Times New Roman" w:hAnsi="Times New Roman" w:cs="Times New Roman"/>
          <w:sz w:val="20"/>
          <w:szCs w:val="20"/>
        </w:rPr>
        <w:t xml:space="preserve"> the Imperial War Graves Commission logo</w:t>
      </w:r>
      <w:r w:rsidR="00E80A16">
        <w:rPr>
          <w:rFonts w:ascii="Times New Roman" w:hAnsi="Times New Roman" w:cs="Times New Roman"/>
          <w:sz w:val="20"/>
          <w:szCs w:val="20"/>
        </w:rPr>
        <w:t xml:space="preserve"> (SJMC, 2024)</w:t>
      </w:r>
      <w:r w:rsidR="00DA2B2A">
        <w:rPr>
          <w:rFonts w:ascii="Times New Roman" w:hAnsi="Times New Roman" w:cs="Times New Roman"/>
          <w:sz w:val="20"/>
          <w:szCs w:val="20"/>
        </w:rPr>
        <w:t xml:space="preserve">. Figure </w:t>
      </w:r>
      <w:r w:rsidR="00347F7F">
        <w:rPr>
          <w:rFonts w:ascii="Times New Roman" w:hAnsi="Times New Roman" w:cs="Times New Roman"/>
          <w:sz w:val="20"/>
          <w:szCs w:val="20"/>
        </w:rPr>
        <w:t>10</w:t>
      </w:r>
      <w:r w:rsidR="00DA2B2A">
        <w:rPr>
          <w:rFonts w:ascii="Times New Roman" w:hAnsi="Times New Roman" w:cs="Times New Roman"/>
          <w:sz w:val="20"/>
          <w:szCs w:val="20"/>
        </w:rPr>
        <w:t xml:space="preserve"> on the right</w:t>
      </w:r>
      <w:r w:rsidRPr="00031587">
        <w:rPr>
          <w:rFonts w:ascii="Times New Roman" w:hAnsi="Times New Roman" w:cs="Times New Roman"/>
          <w:sz w:val="20"/>
          <w:szCs w:val="20"/>
        </w:rPr>
        <w:t xml:space="preserve"> </w:t>
      </w:r>
      <w:r w:rsidR="00DA2B2A">
        <w:rPr>
          <w:rFonts w:ascii="Times New Roman" w:hAnsi="Times New Roman" w:cs="Times New Roman"/>
          <w:sz w:val="20"/>
          <w:szCs w:val="20"/>
        </w:rPr>
        <w:t>the</w:t>
      </w:r>
      <w:r w:rsidR="00E80A16">
        <w:rPr>
          <w:rFonts w:ascii="Times New Roman" w:hAnsi="Times New Roman" w:cs="Times New Roman"/>
          <w:sz w:val="20"/>
          <w:szCs w:val="20"/>
        </w:rPr>
        <w:t xml:space="preserve"> logo of </w:t>
      </w:r>
      <w:r w:rsidRPr="00031587">
        <w:rPr>
          <w:rFonts w:ascii="Times New Roman" w:hAnsi="Times New Roman" w:cs="Times New Roman"/>
          <w:sz w:val="20"/>
          <w:szCs w:val="20"/>
        </w:rPr>
        <w:t>the Commonwealth War Graves Commission (</w:t>
      </w:r>
      <w:r w:rsidR="00F80D47">
        <w:rPr>
          <w:rFonts w:ascii="Times New Roman" w:hAnsi="Times New Roman" w:cs="Times New Roman"/>
          <w:sz w:val="20"/>
          <w:szCs w:val="20"/>
        </w:rPr>
        <w:t>Never Such Innocence, n.d.).</w:t>
      </w:r>
    </w:p>
    <w:p w14:paraId="0C3B151A" w14:textId="77777777" w:rsidR="00DD1373" w:rsidRPr="004A0180" w:rsidRDefault="00DD1373" w:rsidP="00DD1373">
      <w:pPr>
        <w:spacing w:line="360" w:lineRule="auto"/>
        <w:rPr>
          <w:rFonts w:ascii="Times New Roman" w:hAnsi="Times New Roman" w:cs="Times New Roman"/>
          <w:sz w:val="24"/>
          <w:szCs w:val="24"/>
        </w:rPr>
      </w:pPr>
    </w:p>
    <w:p w14:paraId="309FEC59" w14:textId="28027B29" w:rsidR="00031587" w:rsidRPr="00031587" w:rsidRDefault="00031587" w:rsidP="00E80A16">
      <w:pPr>
        <w:jc w:val="center"/>
        <w:rPr>
          <w:rFonts w:ascii="Times New Roman" w:hAnsi="Times New Roman" w:cs="Times New Roman"/>
          <w:sz w:val="24"/>
          <w:szCs w:val="24"/>
        </w:rPr>
      </w:pPr>
      <w:r w:rsidRPr="00031587">
        <w:rPr>
          <w:rFonts w:ascii="Times New Roman" w:hAnsi="Times New Roman" w:cs="Times New Roman"/>
          <w:noProof/>
          <w:sz w:val="24"/>
          <w:szCs w:val="24"/>
        </w:rPr>
        <w:lastRenderedPageBreak/>
        <w:drawing>
          <wp:inline distT="0" distB="0" distL="0" distR="0" wp14:anchorId="145233F5" wp14:editId="554DE2CB">
            <wp:extent cx="2343150" cy="1466850"/>
            <wp:effectExtent l="0" t="0" r="0" b="0"/>
            <wp:docPr id="20550189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3150" cy="1466850"/>
                    </a:xfrm>
                    <a:prstGeom prst="rect">
                      <a:avLst/>
                    </a:prstGeom>
                    <a:noFill/>
                    <a:ln>
                      <a:noFill/>
                    </a:ln>
                  </pic:spPr>
                </pic:pic>
              </a:graphicData>
            </a:graphic>
          </wp:inline>
        </w:drawing>
      </w:r>
    </w:p>
    <w:p w14:paraId="2B5AE465" w14:textId="3856ABA9" w:rsidR="00302D68" w:rsidRPr="00302D68" w:rsidRDefault="00302D68" w:rsidP="008C3D91">
      <w:pPr>
        <w:rPr>
          <w:rFonts w:ascii="Times New Roman" w:hAnsi="Times New Roman" w:cs="Times New Roman"/>
          <w:sz w:val="24"/>
          <w:szCs w:val="24"/>
        </w:rPr>
      </w:pPr>
    </w:p>
    <w:p w14:paraId="6AEC574D" w14:textId="72AE5C3F" w:rsidR="00E80A16" w:rsidRPr="00E80A16" w:rsidRDefault="00031587" w:rsidP="00E80A16">
      <w:pPr>
        <w:jc w:val="center"/>
        <w:rPr>
          <w:rFonts w:ascii="Times New Roman" w:hAnsi="Times New Roman" w:cs="Times New Roman"/>
          <w:sz w:val="20"/>
          <w:szCs w:val="20"/>
        </w:rPr>
      </w:pPr>
      <w:r w:rsidRPr="00E80A16">
        <w:rPr>
          <w:rFonts w:ascii="Times New Roman" w:hAnsi="Times New Roman" w:cs="Times New Roman"/>
          <w:sz w:val="20"/>
          <w:szCs w:val="20"/>
        </w:rPr>
        <w:t xml:space="preserve">Figure </w:t>
      </w:r>
      <w:r w:rsidR="00347F7F">
        <w:rPr>
          <w:rFonts w:ascii="Times New Roman" w:hAnsi="Times New Roman" w:cs="Times New Roman"/>
          <w:sz w:val="20"/>
          <w:szCs w:val="20"/>
        </w:rPr>
        <w:t>11</w:t>
      </w:r>
      <w:r w:rsidRPr="00E80A16">
        <w:rPr>
          <w:rFonts w:ascii="Times New Roman" w:hAnsi="Times New Roman" w:cs="Times New Roman"/>
          <w:sz w:val="20"/>
          <w:szCs w:val="20"/>
        </w:rPr>
        <w:t xml:space="preserve"> is the new logo for the CWGC</w:t>
      </w:r>
      <w:r w:rsidR="00E80A16" w:rsidRPr="00E80A16">
        <w:rPr>
          <w:rFonts w:ascii="Times New Roman" w:hAnsi="Times New Roman" w:cs="Times New Roman"/>
          <w:sz w:val="20"/>
          <w:szCs w:val="20"/>
        </w:rPr>
        <w:t xml:space="preserve"> (CWGC, 2026</w:t>
      </w:r>
      <w:r w:rsidR="00F7194C">
        <w:rPr>
          <w:rFonts w:ascii="Times New Roman" w:hAnsi="Times New Roman" w:cs="Times New Roman"/>
          <w:sz w:val="20"/>
          <w:szCs w:val="20"/>
        </w:rPr>
        <w:t>b</w:t>
      </w:r>
      <w:r w:rsidR="00E80A16" w:rsidRPr="00E80A16">
        <w:rPr>
          <w:rFonts w:ascii="Times New Roman" w:hAnsi="Times New Roman" w:cs="Times New Roman"/>
          <w:sz w:val="20"/>
          <w:szCs w:val="20"/>
        </w:rPr>
        <w:t>)</w:t>
      </w:r>
    </w:p>
    <w:p w14:paraId="1702A79C" w14:textId="77777777" w:rsidR="00DA2B2A" w:rsidRDefault="00DA2B2A" w:rsidP="00E35930">
      <w:pPr>
        <w:spacing w:line="360" w:lineRule="auto"/>
        <w:rPr>
          <w:rFonts w:ascii="Times New Roman" w:hAnsi="Times New Roman" w:cs="Times New Roman"/>
          <w:sz w:val="24"/>
          <w:szCs w:val="24"/>
        </w:rPr>
      </w:pPr>
    </w:p>
    <w:p w14:paraId="414849F5" w14:textId="045A4B2D" w:rsidR="008C2855" w:rsidRDefault="00DA2B2A" w:rsidP="00E35930">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their website when promoting this new logo the Commission declared </w:t>
      </w:r>
      <w:r w:rsidR="00E80A16">
        <w:rPr>
          <w:rFonts w:ascii="Times New Roman" w:hAnsi="Times New Roman" w:cs="Times New Roman"/>
          <w:sz w:val="24"/>
          <w:szCs w:val="24"/>
        </w:rPr>
        <w:t>“</w:t>
      </w:r>
      <w:r w:rsidR="00E80A16" w:rsidRPr="00E80A16">
        <w:rPr>
          <w:rFonts w:ascii="Times New Roman" w:hAnsi="Times New Roman" w:cs="Times New Roman"/>
          <w:i/>
          <w:iCs/>
          <w:sz w:val="24"/>
          <w:szCs w:val="24"/>
        </w:rPr>
        <w:t>The new logo draws on the symbol of the Commonwealth, a core part of our identity. The pillars represent our six member nations standing together in a common cause. The curved top is reminiscent of the headstone shape we’re known for, yet it’s interrupted in the middle, just as two generations were during the World Wars</w:t>
      </w:r>
      <w:r w:rsidR="00E80A16">
        <w:rPr>
          <w:rFonts w:ascii="Times New Roman" w:hAnsi="Times New Roman" w:cs="Times New Roman"/>
          <w:sz w:val="24"/>
          <w:szCs w:val="24"/>
        </w:rPr>
        <w:t>” ( CWGC, 2026</w:t>
      </w:r>
      <w:r w:rsidR="00F7194C">
        <w:rPr>
          <w:rFonts w:ascii="Times New Roman" w:hAnsi="Times New Roman" w:cs="Times New Roman"/>
          <w:sz w:val="24"/>
          <w:szCs w:val="24"/>
        </w:rPr>
        <w:t>b</w:t>
      </w:r>
      <w:r w:rsidR="00E80A16">
        <w:rPr>
          <w:rFonts w:ascii="Times New Roman" w:hAnsi="Times New Roman" w:cs="Times New Roman"/>
          <w:sz w:val="24"/>
          <w:szCs w:val="24"/>
        </w:rPr>
        <w:t>)</w:t>
      </w:r>
      <w:r w:rsidR="00E80A16" w:rsidRPr="00E80A16">
        <w:rPr>
          <w:rFonts w:ascii="Times New Roman" w:hAnsi="Times New Roman" w:cs="Times New Roman"/>
          <w:sz w:val="24"/>
          <w:szCs w:val="24"/>
        </w:rPr>
        <w:t>.</w:t>
      </w:r>
    </w:p>
    <w:p w14:paraId="077C6B5F" w14:textId="77777777" w:rsidR="00464FA6" w:rsidRDefault="00464FA6" w:rsidP="00E35930">
      <w:pPr>
        <w:spacing w:line="360" w:lineRule="auto"/>
        <w:rPr>
          <w:rFonts w:ascii="Times New Roman" w:hAnsi="Times New Roman" w:cs="Times New Roman"/>
          <w:sz w:val="24"/>
          <w:szCs w:val="24"/>
        </w:rPr>
      </w:pPr>
    </w:p>
    <w:p w14:paraId="58FEA9DF" w14:textId="622B3B28" w:rsidR="0053073E" w:rsidRDefault="00442EAE" w:rsidP="0053073E">
      <w:pPr>
        <w:spacing w:line="360" w:lineRule="auto"/>
        <w:rPr>
          <w:rFonts w:ascii="Times New Roman" w:hAnsi="Times New Roman" w:cs="Times New Roman"/>
          <w:sz w:val="24"/>
          <w:szCs w:val="24"/>
        </w:rPr>
      </w:pPr>
      <w:r>
        <w:rPr>
          <w:rFonts w:ascii="Times New Roman" w:hAnsi="Times New Roman" w:cs="Times New Roman"/>
          <w:sz w:val="24"/>
          <w:szCs w:val="24"/>
        </w:rPr>
        <w:t>W</w:t>
      </w:r>
      <w:r w:rsidRPr="00442EAE">
        <w:rPr>
          <w:rFonts w:ascii="Times New Roman" w:hAnsi="Times New Roman" w:cs="Times New Roman"/>
          <w:sz w:val="24"/>
          <w:szCs w:val="24"/>
        </w:rPr>
        <w:t>ar memorials have frequently generated heated discussion, especially among those who argue that they just serve to glorify conflict</w:t>
      </w:r>
      <w:r>
        <w:rPr>
          <w:rFonts w:ascii="Times New Roman" w:hAnsi="Times New Roman" w:cs="Times New Roman"/>
          <w:sz w:val="24"/>
          <w:szCs w:val="24"/>
        </w:rPr>
        <w:t xml:space="preserve"> (Borghi, 2021, p567)</w:t>
      </w:r>
      <w:r w:rsidRPr="00442EAE">
        <w:rPr>
          <w:rFonts w:ascii="Times New Roman" w:hAnsi="Times New Roman" w:cs="Times New Roman"/>
          <w:sz w:val="24"/>
          <w:szCs w:val="24"/>
        </w:rPr>
        <w:t>.</w:t>
      </w:r>
      <w:r>
        <w:rPr>
          <w:rFonts w:ascii="Times New Roman" w:hAnsi="Times New Roman" w:cs="Times New Roman"/>
          <w:sz w:val="24"/>
          <w:szCs w:val="24"/>
        </w:rPr>
        <w:t xml:space="preserve"> </w:t>
      </w:r>
      <w:r w:rsidRPr="00442EAE">
        <w:rPr>
          <w:rFonts w:ascii="Times New Roman" w:hAnsi="Times New Roman" w:cs="Times New Roman"/>
          <w:sz w:val="24"/>
          <w:szCs w:val="24"/>
        </w:rPr>
        <w:t>National war cemeteries and memorials enable the families of the deceased to express their grief for their loved ones individually as well as collectively</w:t>
      </w:r>
      <w:r>
        <w:rPr>
          <w:rFonts w:ascii="Times New Roman" w:hAnsi="Times New Roman" w:cs="Times New Roman"/>
          <w:sz w:val="24"/>
          <w:szCs w:val="24"/>
        </w:rPr>
        <w:t xml:space="preserve"> (Borghi, 2021, p. 567)</w:t>
      </w:r>
      <w:r w:rsidRPr="00442EAE">
        <w:rPr>
          <w:rFonts w:ascii="Times New Roman" w:hAnsi="Times New Roman" w:cs="Times New Roman"/>
          <w:sz w:val="24"/>
          <w:szCs w:val="24"/>
        </w:rPr>
        <w:t>.</w:t>
      </w:r>
      <w:r>
        <w:rPr>
          <w:rFonts w:ascii="Times New Roman" w:hAnsi="Times New Roman" w:cs="Times New Roman"/>
          <w:sz w:val="24"/>
          <w:szCs w:val="24"/>
        </w:rPr>
        <w:t xml:space="preserve"> </w:t>
      </w:r>
      <w:r w:rsidRPr="00442EAE">
        <w:rPr>
          <w:rFonts w:ascii="Times New Roman" w:hAnsi="Times New Roman" w:cs="Times New Roman"/>
          <w:sz w:val="24"/>
          <w:szCs w:val="24"/>
        </w:rPr>
        <w:t>They might even be needed</w:t>
      </w:r>
      <w:r>
        <w:rPr>
          <w:rFonts w:ascii="Times New Roman" w:hAnsi="Times New Roman" w:cs="Times New Roman"/>
          <w:sz w:val="24"/>
          <w:szCs w:val="24"/>
        </w:rPr>
        <w:t xml:space="preserve"> </w:t>
      </w:r>
      <w:r w:rsidRPr="00442EAE">
        <w:rPr>
          <w:rFonts w:ascii="Times New Roman" w:hAnsi="Times New Roman" w:cs="Times New Roman"/>
          <w:sz w:val="24"/>
          <w:szCs w:val="24"/>
        </w:rPr>
        <w:t>to preserve a society's spiritual foundations</w:t>
      </w:r>
      <w:r>
        <w:rPr>
          <w:rFonts w:ascii="Times New Roman" w:hAnsi="Times New Roman" w:cs="Times New Roman"/>
          <w:sz w:val="24"/>
          <w:szCs w:val="24"/>
        </w:rPr>
        <w:t>, and</w:t>
      </w:r>
      <w:r w:rsidRPr="00442EAE">
        <w:rPr>
          <w:rFonts w:ascii="Times New Roman" w:hAnsi="Times New Roman" w:cs="Times New Roman"/>
          <w:sz w:val="24"/>
          <w:szCs w:val="24"/>
        </w:rPr>
        <w:t xml:space="preserve"> the political history of a nation</w:t>
      </w:r>
      <w:r>
        <w:rPr>
          <w:rFonts w:ascii="Times New Roman" w:hAnsi="Times New Roman" w:cs="Times New Roman"/>
          <w:sz w:val="24"/>
          <w:szCs w:val="24"/>
        </w:rPr>
        <w:t xml:space="preserve"> (Mayo, 1988, p.75)</w:t>
      </w:r>
      <w:r w:rsidRPr="00442EAE">
        <w:rPr>
          <w:rFonts w:ascii="Times New Roman" w:hAnsi="Times New Roman" w:cs="Times New Roman"/>
          <w:sz w:val="24"/>
          <w:szCs w:val="24"/>
        </w:rPr>
        <w:t xml:space="preserve">. </w:t>
      </w:r>
      <w:r w:rsidR="0053073E" w:rsidRPr="0053073E">
        <w:rPr>
          <w:rFonts w:ascii="Times New Roman" w:hAnsi="Times New Roman" w:cs="Times New Roman"/>
          <w:sz w:val="24"/>
          <w:szCs w:val="24"/>
        </w:rPr>
        <w:t xml:space="preserve">Although commemorating and remembering the fallen is their main objective, war memorials are </w:t>
      </w:r>
      <w:r w:rsidR="0053073E">
        <w:rPr>
          <w:rFonts w:ascii="Times New Roman" w:hAnsi="Times New Roman" w:cs="Times New Roman"/>
          <w:sz w:val="24"/>
          <w:szCs w:val="24"/>
        </w:rPr>
        <w:t xml:space="preserve">often </w:t>
      </w:r>
      <w:r w:rsidR="0053073E" w:rsidRPr="0053073E">
        <w:rPr>
          <w:rFonts w:ascii="Times New Roman" w:hAnsi="Times New Roman" w:cs="Times New Roman"/>
          <w:sz w:val="24"/>
          <w:szCs w:val="24"/>
        </w:rPr>
        <w:t>shaped by the desires and interests of particular individuals</w:t>
      </w:r>
      <w:r w:rsidR="0053073E">
        <w:rPr>
          <w:rFonts w:ascii="Times New Roman" w:hAnsi="Times New Roman" w:cs="Times New Roman"/>
          <w:sz w:val="24"/>
          <w:szCs w:val="24"/>
        </w:rPr>
        <w:t xml:space="preserve"> and organisations</w:t>
      </w:r>
      <w:r w:rsidR="00143455">
        <w:rPr>
          <w:rFonts w:ascii="Times New Roman" w:hAnsi="Times New Roman" w:cs="Times New Roman"/>
          <w:sz w:val="24"/>
          <w:szCs w:val="24"/>
        </w:rPr>
        <w:t xml:space="preserve"> and </w:t>
      </w:r>
      <w:r w:rsidR="00A0744B">
        <w:rPr>
          <w:rFonts w:ascii="Times New Roman" w:hAnsi="Times New Roman" w:cs="Times New Roman"/>
          <w:sz w:val="24"/>
          <w:szCs w:val="24"/>
        </w:rPr>
        <w:t xml:space="preserve">thus </w:t>
      </w:r>
      <w:r w:rsidR="00143455">
        <w:rPr>
          <w:rFonts w:ascii="Times New Roman" w:hAnsi="Times New Roman" w:cs="Times New Roman"/>
          <w:sz w:val="24"/>
          <w:szCs w:val="24"/>
        </w:rPr>
        <w:t>their authenticity must then be questioned</w:t>
      </w:r>
      <w:r w:rsidR="0053073E">
        <w:rPr>
          <w:rFonts w:ascii="Times New Roman" w:hAnsi="Times New Roman" w:cs="Times New Roman"/>
          <w:sz w:val="24"/>
          <w:szCs w:val="24"/>
        </w:rPr>
        <w:t xml:space="preserve"> (Wong, 2022, p6)</w:t>
      </w:r>
      <w:r w:rsidR="0053073E" w:rsidRPr="0053073E">
        <w:rPr>
          <w:rFonts w:ascii="Times New Roman" w:hAnsi="Times New Roman" w:cs="Times New Roman"/>
          <w:sz w:val="24"/>
          <w:szCs w:val="24"/>
        </w:rPr>
        <w:t>.</w:t>
      </w:r>
    </w:p>
    <w:p w14:paraId="0907FD76" w14:textId="4BF39347" w:rsidR="0053073E" w:rsidRDefault="0053073E" w:rsidP="0053073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CWGC has its origins deeply rooted in Edwardian Imperialist </w:t>
      </w:r>
      <w:r w:rsidR="007E5599">
        <w:rPr>
          <w:rFonts w:ascii="Times New Roman" w:hAnsi="Times New Roman" w:cs="Times New Roman"/>
          <w:sz w:val="24"/>
          <w:szCs w:val="24"/>
        </w:rPr>
        <w:t>standards and</w:t>
      </w:r>
      <w:r>
        <w:rPr>
          <w:rFonts w:ascii="Times New Roman" w:hAnsi="Times New Roman" w:cs="Times New Roman"/>
          <w:sz w:val="24"/>
          <w:szCs w:val="24"/>
        </w:rPr>
        <w:t xml:space="preserve"> was therefore </w:t>
      </w:r>
      <w:r w:rsidR="00326A0E">
        <w:rPr>
          <w:rFonts w:ascii="Times New Roman" w:hAnsi="Times New Roman" w:cs="Times New Roman"/>
          <w:sz w:val="24"/>
          <w:szCs w:val="24"/>
        </w:rPr>
        <w:t>heavily</w:t>
      </w:r>
      <w:r>
        <w:rPr>
          <w:rFonts w:ascii="Times New Roman" w:hAnsi="Times New Roman" w:cs="Times New Roman"/>
          <w:sz w:val="24"/>
          <w:szCs w:val="24"/>
        </w:rPr>
        <w:t xml:space="preserve"> influenced </w:t>
      </w:r>
      <w:r w:rsidR="00326A0E">
        <w:rPr>
          <w:rFonts w:ascii="Times New Roman" w:hAnsi="Times New Roman" w:cs="Times New Roman"/>
          <w:sz w:val="24"/>
          <w:szCs w:val="24"/>
        </w:rPr>
        <w:t xml:space="preserve">by those standards irrespective of their </w:t>
      </w:r>
      <w:r w:rsidR="007E5599">
        <w:rPr>
          <w:rFonts w:ascii="Times New Roman" w:hAnsi="Times New Roman" w:cs="Times New Roman"/>
          <w:sz w:val="24"/>
          <w:szCs w:val="24"/>
        </w:rPr>
        <w:t>promise that the fallen of the Empire would be</w:t>
      </w:r>
      <w:r w:rsidR="007E5599" w:rsidRPr="007E5599">
        <w:rPr>
          <w:rFonts w:ascii="Times New Roman" w:hAnsi="Times New Roman" w:cs="Times New Roman"/>
          <w:sz w:val="24"/>
          <w:szCs w:val="24"/>
        </w:rPr>
        <w:t xml:space="preserve"> commemorated equally</w:t>
      </w:r>
      <w:r w:rsidR="007E5599">
        <w:rPr>
          <w:rFonts w:ascii="Times New Roman" w:hAnsi="Times New Roman" w:cs="Times New Roman"/>
          <w:sz w:val="24"/>
          <w:szCs w:val="24"/>
        </w:rPr>
        <w:t xml:space="preserve"> (</w:t>
      </w:r>
      <w:proofErr w:type="spellStart"/>
      <w:r w:rsidR="007E5599">
        <w:rPr>
          <w:rFonts w:ascii="Times New Roman" w:hAnsi="Times New Roman" w:cs="Times New Roman"/>
          <w:sz w:val="24"/>
          <w:szCs w:val="24"/>
        </w:rPr>
        <w:t>Braybon</w:t>
      </w:r>
      <w:proofErr w:type="spellEnd"/>
      <w:r w:rsidR="007E5599">
        <w:rPr>
          <w:rFonts w:ascii="Times New Roman" w:hAnsi="Times New Roman" w:cs="Times New Roman"/>
          <w:sz w:val="24"/>
          <w:szCs w:val="24"/>
        </w:rPr>
        <w:t>, 2008, pp. 30-39; Longworth, 2003, p.254).</w:t>
      </w:r>
      <w:r w:rsidR="007E5599" w:rsidRPr="007E5599">
        <w:rPr>
          <w:rFonts w:ascii="Times New Roman" w:hAnsi="Times New Roman" w:cs="Times New Roman"/>
          <w:sz w:val="24"/>
          <w:szCs w:val="24"/>
        </w:rPr>
        <w:t xml:space="preserve"> </w:t>
      </w:r>
      <w:r w:rsidR="009C7C42">
        <w:rPr>
          <w:rFonts w:ascii="Times New Roman" w:hAnsi="Times New Roman" w:cs="Times New Roman"/>
          <w:sz w:val="24"/>
          <w:szCs w:val="24"/>
        </w:rPr>
        <w:t>These standards have resulted in the Commission’s work being embroiled in accusations of misogyny and racism (</w:t>
      </w:r>
      <w:r w:rsidR="009C7C42" w:rsidRPr="009C7C42">
        <w:rPr>
          <w:rFonts w:ascii="Times New Roman" w:hAnsi="Times New Roman" w:cs="Times New Roman"/>
          <w:sz w:val="24"/>
          <w:szCs w:val="24"/>
        </w:rPr>
        <w:t>BBC, 2026</w:t>
      </w:r>
      <w:r w:rsidR="009C7C42">
        <w:rPr>
          <w:rFonts w:ascii="Times New Roman" w:hAnsi="Times New Roman" w:cs="Times New Roman"/>
          <w:sz w:val="24"/>
          <w:szCs w:val="24"/>
        </w:rPr>
        <w:t xml:space="preserve">; </w:t>
      </w:r>
      <w:r w:rsidR="009C7C42" w:rsidRPr="009C7C42">
        <w:rPr>
          <w:rFonts w:ascii="Times New Roman" w:hAnsi="Times New Roman" w:cs="Times New Roman"/>
          <w:sz w:val="24"/>
          <w:szCs w:val="24"/>
        </w:rPr>
        <w:t>Crane, 2014, pp.160-161; House of Commons Debate 128, 1920; Longworth, 2003, p.29</w:t>
      </w:r>
      <w:r w:rsidR="009C7C42">
        <w:rPr>
          <w:rFonts w:ascii="Times New Roman" w:hAnsi="Times New Roman" w:cs="Times New Roman"/>
          <w:sz w:val="24"/>
          <w:szCs w:val="24"/>
        </w:rPr>
        <w:t>;</w:t>
      </w:r>
      <w:r w:rsidR="009C7C42" w:rsidRPr="009C7C42">
        <w:rPr>
          <w:rFonts w:ascii="Times New Roman" w:hAnsi="Times New Roman" w:cs="Times New Roman"/>
          <w:sz w:val="24"/>
          <w:szCs w:val="24"/>
        </w:rPr>
        <w:t xml:space="preserve"> Parsons, 2025</w:t>
      </w:r>
      <w:r w:rsidR="009C7C42">
        <w:rPr>
          <w:rFonts w:ascii="Times New Roman" w:hAnsi="Times New Roman" w:cs="Times New Roman"/>
          <w:sz w:val="24"/>
          <w:szCs w:val="24"/>
        </w:rPr>
        <w:t xml:space="preserve">; </w:t>
      </w:r>
      <w:proofErr w:type="spellStart"/>
      <w:r w:rsidR="009C7C42" w:rsidRPr="009C7C42">
        <w:rPr>
          <w:rFonts w:ascii="Times New Roman" w:hAnsi="Times New Roman" w:cs="Times New Roman"/>
          <w:sz w:val="24"/>
          <w:szCs w:val="24"/>
        </w:rPr>
        <w:t>Willay</w:t>
      </w:r>
      <w:proofErr w:type="spellEnd"/>
      <w:r w:rsidR="009C7C42" w:rsidRPr="009C7C42">
        <w:rPr>
          <w:rFonts w:ascii="Times New Roman" w:hAnsi="Times New Roman" w:cs="Times New Roman"/>
          <w:sz w:val="24"/>
          <w:szCs w:val="24"/>
        </w:rPr>
        <w:t>, 2024</w:t>
      </w:r>
      <w:r w:rsidR="009C7C42">
        <w:rPr>
          <w:rFonts w:ascii="Times New Roman" w:hAnsi="Times New Roman" w:cs="Times New Roman"/>
          <w:sz w:val="24"/>
          <w:szCs w:val="24"/>
        </w:rPr>
        <w:t>).</w:t>
      </w:r>
    </w:p>
    <w:p w14:paraId="1BF7AC0D" w14:textId="0FB748CA" w:rsidR="009C7C42" w:rsidRDefault="00A0744B" w:rsidP="0053073E">
      <w:pPr>
        <w:spacing w:line="360" w:lineRule="auto"/>
        <w:rPr>
          <w:rFonts w:ascii="Times New Roman" w:hAnsi="Times New Roman" w:cs="Times New Roman"/>
          <w:sz w:val="24"/>
          <w:szCs w:val="24"/>
        </w:rPr>
      </w:pPr>
      <w:r>
        <w:rPr>
          <w:rFonts w:ascii="Times New Roman" w:hAnsi="Times New Roman" w:cs="Times New Roman"/>
          <w:sz w:val="24"/>
          <w:szCs w:val="24"/>
        </w:rPr>
        <w:t>T</w:t>
      </w:r>
      <w:r w:rsidR="009C7C42">
        <w:rPr>
          <w:rFonts w:ascii="Times New Roman" w:hAnsi="Times New Roman" w:cs="Times New Roman"/>
          <w:sz w:val="24"/>
          <w:szCs w:val="24"/>
        </w:rPr>
        <w:t>he</w:t>
      </w:r>
      <w:r>
        <w:rPr>
          <w:rFonts w:ascii="Times New Roman" w:hAnsi="Times New Roman" w:cs="Times New Roman"/>
          <w:sz w:val="24"/>
          <w:szCs w:val="24"/>
        </w:rPr>
        <w:t xml:space="preserve"> Commission</w:t>
      </w:r>
      <w:r w:rsidR="009C7C42">
        <w:rPr>
          <w:rFonts w:ascii="Times New Roman" w:hAnsi="Times New Roman" w:cs="Times New Roman"/>
          <w:sz w:val="24"/>
          <w:szCs w:val="24"/>
        </w:rPr>
        <w:t xml:space="preserve"> recognise</w:t>
      </w:r>
      <w:r>
        <w:rPr>
          <w:rFonts w:ascii="Times New Roman" w:hAnsi="Times New Roman" w:cs="Times New Roman"/>
          <w:sz w:val="24"/>
          <w:szCs w:val="24"/>
        </w:rPr>
        <w:t>s</w:t>
      </w:r>
      <w:r w:rsidR="009C7C42">
        <w:rPr>
          <w:rFonts w:ascii="Times New Roman" w:hAnsi="Times New Roman" w:cs="Times New Roman"/>
          <w:sz w:val="24"/>
          <w:szCs w:val="24"/>
        </w:rPr>
        <w:t xml:space="preserve"> their historical shortcomings and are reconciling the failings of the past with a renewed effort </w:t>
      </w:r>
      <w:r>
        <w:rPr>
          <w:rFonts w:ascii="Times New Roman" w:hAnsi="Times New Roman" w:cs="Times New Roman"/>
          <w:sz w:val="24"/>
          <w:szCs w:val="24"/>
        </w:rPr>
        <w:t>to</w:t>
      </w:r>
      <w:r w:rsidR="009C7C42">
        <w:rPr>
          <w:rFonts w:ascii="Times New Roman" w:hAnsi="Times New Roman" w:cs="Times New Roman"/>
          <w:sz w:val="24"/>
          <w:szCs w:val="24"/>
        </w:rPr>
        <w:t xml:space="preserve"> ensur</w:t>
      </w:r>
      <w:r>
        <w:rPr>
          <w:rFonts w:ascii="Times New Roman" w:hAnsi="Times New Roman" w:cs="Times New Roman"/>
          <w:sz w:val="24"/>
          <w:szCs w:val="24"/>
        </w:rPr>
        <w:t>e</w:t>
      </w:r>
      <w:r w:rsidR="009C7C42">
        <w:rPr>
          <w:rFonts w:ascii="Times New Roman" w:hAnsi="Times New Roman" w:cs="Times New Roman"/>
          <w:sz w:val="24"/>
          <w:szCs w:val="24"/>
        </w:rPr>
        <w:t xml:space="preserve"> that their </w:t>
      </w:r>
      <w:r w:rsidR="00143455">
        <w:rPr>
          <w:rFonts w:ascii="Times New Roman" w:hAnsi="Times New Roman" w:cs="Times New Roman"/>
          <w:sz w:val="24"/>
          <w:szCs w:val="24"/>
        </w:rPr>
        <w:t xml:space="preserve">core </w:t>
      </w:r>
      <w:r w:rsidR="009C7C42">
        <w:rPr>
          <w:rFonts w:ascii="Times New Roman" w:hAnsi="Times New Roman" w:cs="Times New Roman"/>
          <w:sz w:val="24"/>
          <w:szCs w:val="24"/>
        </w:rPr>
        <w:t xml:space="preserve">principles are maintained </w:t>
      </w:r>
      <w:r w:rsidR="005E5118">
        <w:rPr>
          <w:rFonts w:ascii="Times New Roman" w:hAnsi="Times New Roman" w:cs="Times New Roman"/>
          <w:sz w:val="24"/>
          <w:szCs w:val="24"/>
        </w:rPr>
        <w:t xml:space="preserve">for the future </w:t>
      </w:r>
      <w:r w:rsidR="009C7C42">
        <w:rPr>
          <w:rFonts w:ascii="Times New Roman" w:hAnsi="Times New Roman" w:cs="Times New Roman"/>
          <w:sz w:val="24"/>
          <w:szCs w:val="24"/>
        </w:rPr>
        <w:t>(</w:t>
      </w:r>
      <w:r w:rsidR="005E5118">
        <w:rPr>
          <w:rFonts w:ascii="Times New Roman" w:hAnsi="Times New Roman" w:cs="Times New Roman"/>
          <w:sz w:val="24"/>
          <w:szCs w:val="24"/>
        </w:rPr>
        <w:t>CWGC, 2021; CWGC, 2021a; CWGC, 2025b; CWGC, 2025c).</w:t>
      </w:r>
      <w:r w:rsidR="009C7C42">
        <w:rPr>
          <w:rFonts w:ascii="Times New Roman" w:hAnsi="Times New Roman" w:cs="Times New Roman"/>
          <w:sz w:val="24"/>
          <w:szCs w:val="24"/>
        </w:rPr>
        <w:t xml:space="preserve"> </w:t>
      </w:r>
      <w:r w:rsidR="005E5118">
        <w:rPr>
          <w:rFonts w:ascii="Times New Roman" w:hAnsi="Times New Roman" w:cs="Times New Roman"/>
          <w:sz w:val="24"/>
          <w:szCs w:val="24"/>
        </w:rPr>
        <w:t xml:space="preserve">Today the CWGC cares for </w:t>
      </w:r>
      <w:r w:rsidR="005E5118">
        <w:rPr>
          <w:rFonts w:ascii="Times New Roman" w:hAnsi="Times New Roman" w:cs="Times New Roman"/>
          <w:sz w:val="24"/>
          <w:szCs w:val="24"/>
        </w:rPr>
        <w:lastRenderedPageBreak/>
        <w:t>200 war memorials</w:t>
      </w:r>
      <w:r w:rsidR="00F82285">
        <w:rPr>
          <w:rFonts w:ascii="Times New Roman" w:hAnsi="Times New Roman" w:cs="Times New Roman"/>
          <w:sz w:val="24"/>
          <w:szCs w:val="24"/>
        </w:rPr>
        <w:t xml:space="preserve"> and 23,000 cemeteries</w:t>
      </w:r>
      <w:r w:rsidR="00143455">
        <w:rPr>
          <w:rFonts w:ascii="Times New Roman" w:hAnsi="Times New Roman" w:cs="Times New Roman"/>
          <w:sz w:val="24"/>
          <w:szCs w:val="24"/>
        </w:rPr>
        <w:t xml:space="preserve"> containing 1.1 million graves in 150 countries</w:t>
      </w:r>
      <w:r w:rsidR="005E5118">
        <w:rPr>
          <w:rFonts w:ascii="Times New Roman" w:hAnsi="Times New Roman" w:cs="Times New Roman"/>
          <w:sz w:val="24"/>
          <w:szCs w:val="24"/>
        </w:rPr>
        <w:t xml:space="preserve"> around the world</w:t>
      </w:r>
      <w:r w:rsidR="00143455">
        <w:rPr>
          <w:rFonts w:ascii="Times New Roman" w:hAnsi="Times New Roman" w:cs="Times New Roman"/>
          <w:sz w:val="24"/>
          <w:szCs w:val="24"/>
        </w:rPr>
        <w:t>,</w:t>
      </w:r>
      <w:r w:rsidR="005E5118">
        <w:rPr>
          <w:rFonts w:ascii="Times New Roman" w:hAnsi="Times New Roman" w:cs="Times New Roman"/>
          <w:sz w:val="24"/>
          <w:szCs w:val="24"/>
        </w:rPr>
        <w:t xml:space="preserve"> which were created to remember </w:t>
      </w:r>
      <w:r w:rsidR="00F82285">
        <w:rPr>
          <w:rFonts w:ascii="Times New Roman" w:hAnsi="Times New Roman" w:cs="Times New Roman"/>
          <w:sz w:val="24"/>
          <w:szCs w:val="24"/>
        </w:rPr>
        <w:t xml:space="preserve">the </w:t>
      </w:r>
      <w:r w:rsidR="005E5118">
        <w:rPr>
          <w:rFonts w:ascii="Times New Roman" w:hAnsi="Times New Roman" w:cs="Times New Roman"/>
          <w:sz w:val="24"/>
          <w:szCs w:val="24"/>
        </w:rPr>
        <w:t>casualties from the Commonwealth who died during the world wars</w:t>
      </w:r>
      <w:r w:rsidR="00F82285">
        <w:rPr>
          <w:rFonts w:ascii="Times New Roman" w:hAnsi="Times New Roman" w:cs="Times New Roman"/>
          <w:sz w:val="24"/>
          <w:szCs w:val="24"/>
        </w:rPr>
        <w:t xml:space="preserve"> (CWGC, 2022; Summers, 2014, p.62).</w:t>
      </w:r>
      <w:r w:rsidR="005E5118">
        <w:rPr>
          <w:rFonts w:ascii="Times New Roman" w:hAnsi="Times New Roman" w:cs="Times New Roman"/>
          <w:sz w:val="24"/>
          <w:szCs w:val="24"/>
        </w:rPr>
        <w:t xml:space="preserve"> </w:t>
      </w:r>
    </w:p>
    <w:p w14:paraId="3D306EA3" w14:textId="28415F90" w:rsidR="00143455" w:rsidRPr="0053073E" w:rsidRDefault="00A0744B" w:rsidP="0053073E">
      <w:pPr>
        <w:spacing w:line="360" w:lineRule="auto"/>
        <w:rPr>
          <w:rFonts w:ascii="Times New Roman" w:hAnsi="Times New Roman" w:cs="Times New Roman"/>
          <w:sz w:val="24"/>
          <w:szCs w:val="24"/>
        </w:rPr>
      </w:pPr>
      <w:r>
        <w:rPr>
          <w:rFonts w:ascii="Times New Roman" w:hAnsi="Times New Roman" w:cs="Times New Roman"/>
          <w:sz w:val="24"/>
          <w:szCs w:val="24"/>
        </w:rPr>
        <w:t>Although questions can be asked about their misguided beginnings, i</w:t>
      </w:r>
      <w:r w:rsidR="00413C62">
        <w:rPr>
          <w:rFonts w:ascii="Times New Roman" w:hAnsi="Times New Roman" w:cs="Times New Roman"/>
          <w:sz w:val="24"/>
          <w:szCs w:val="24"/>
        </w:rPr>
        <w:t xml:space="preserve">n his history of the CWGC Longworth, (2003, p. 254), reminds us that “…its labours demonstrate that there </w:t>
      </w:r>
      <w:r>
        <w:rPr>
          <w:rFonts w:ascii="Times New Roman" w:hAnsi="Times New Roman" w:cs="Times New Roman"/>
          <w:sz w:val="24"/>
          <w:szCs w:val="24"/>
        </w:rPr>
        <w:t xml:space="preserve">are criteria other than </w:t>
      </w:r>
      <w:r w:rsidR="00413C62">
        <w:rPr>
          <w:rFonts w:ascii="Times New Roman" w:hAnsi="Times New Roman" w:cs="Times New Roman"/>
          <w:sz w:val="24"/>
          <w:szCs w:val="24"/>
        </w:rPr>
        <w:t xml:space="preserve">measurable ‘usefulness’, that there is something left for the spirit”…… “the Commission carry out </w:t>
      </w:r>
      <w:r>
        <w:rPr>
          <w:rFonts w:ascii="Times New Roman" w:hAnsi="Times New Roman" w:cs="Times New Roman"/>
          <w:sz w:val="24"/>
          <w:szCs w:val="24"/>
        </w:rPr>
        <w:t>a</w:t>
      </w:r>
      <w:r w:rsidR="00413C62">
        <w:rPr>
          <w:rFonts w:ascii="Times New Roman" w:hAnsi="Times New Roman" w:cs="Times New Roman"/>
          <w:sz w:val="24"/>
          <w:szCs w:val="24"/>
        </w:rPr>
        <w:t xml:space="preserve"> task on behalf of all of us”.</w:t>
      </w:r>
    </w:p>
    <w:p w14:paraId="4B7F1D2A" w14:textId="3CC7AA87" w:rsidR="00442EAE" w:rsidRPr="00442EAE" w:rsidRDefault="00442EAE" w:rsidP="00442EAE">
      <w:pPr>
        <w:spacing w:line="360" w:lineRule="auto"/>
        <w:rPr>
          <w:rFonts w:ascii="Times New Roman" w:hAnsi="Times New Roman" w:cs="Times New Roman"/>
          <w:sz w:val="24"/>
          <w:szCs w:val="24"/>
        </w:rPr>
      </w:pPr>
    </w:p>
    <w:p w14:paraId="117DC212" w14:textId="668EBC55" w:rsidR="00442EAE" w:rsidRPr="00442EAE" w:rsidRDefault="00442EAE" w:rsidP="00442EAE">
      <w:pPr>
        <w:spacing w:line="360" w:lineRule="auto"/>
        <w:rPr>
          <w:rFonts w:ascii="Times New Roman" w:hAnsi="Times New Roman" w:cs="Times New Roman"/>
          <w:sz w:val="24"/>
          <w:szCs w:val="24"/>
        </w:rPr>
      </w:pPr>
    </w:p>
    <w:p w14:paraId="0284BB31" w14:textId="208AF958" w:rsidR="00442EAE" w:rsidRPr="00442EAE" w:rsidRDefault="00442EAE" w:rsidP="00442EAE">
      <w:pPr>
        <w:spacing w:line="360" w:lineRule="auto"/>
        <w:rPr>
          <w:rFonts w:ascii="Times New Roman" w:hAnsi="Times New Roman" w:cs="Times New Roman"/>
          <w:sz w:val="24"/>
          <w:szCs w:val="24"/>
        </w:rPr>
      </w:pPr>
    </w:p>
    <w:p w14:paraId="255EF30E" w14:textId="390DFFE6" w:rsidR="00442EAE" w:rsidRPr="00442EAE" w:rsidRDefault="00442EAE" w:rsidP="00442EAE">
      <w:pPr>
        <w:spacing w:line="360" w:lineRule="auto"/>
        <w:rPr>
          <w:rFonts w:ascii="Times New Roman" w:hAnsi="Times New Roman" w:cs="Times New Roman"/>
          <w:sz w:val="24"/>
          <w:szCs w:val="24"/>
        </w:rPr>
      </w:pPr>
    </w:p>
    <w:p w14:paraId="2F25F4A9" w14:textId="77777777" w:rsidR="00347F7F" w:rsidRDefault="00347F7F" w:rsidP="00E35930">
      <w:pPr>
        <w:spacing w:line="360" w:lineRule="auto"/>
        <w:rPr>
          <w:rFonts w:ascii="Times New Roman" w:hAnsi="Times New Roman" w:cs="Times New Roman"/>
          <w:sz w:val="24"/>
          <w:szCs w:val="24"/>
        </w:rPr>
      </w:pPr>
    </w:p>
    <w:p w14:paraId="4E6ABF31" w14:textId="77777777" w:rsidR="00F7194C" w:rsidRDefault="00F7194C" w:rsidP="00E35930">
      <w:pPr>
        <w:spacing w:line="360" w:lineRule="auto"/>
        <w:rPr>
          <w:rFonts w:ascii="Times New Roman" w:hAnsi="Times New Roman" w:cs="Times New Roman"/>
          <w:sz w:val="24"/>
          <w:szCs w:val="24"/>
        </w:rPr>
      </w:pPr>
    </w:p>
    <w:p w14:paraId="6C352829" w14:textId="68959F0D" w:rsidR="008C2855" w:rsidRPr="008C2855" w:rsidRDefault="008C2855" w:rsidP="00E35930">
      <w:pPr>
        <w:spacing w:line="360" w:lineRule="auto"/>
        <w:rPr>
          <w:rFonts w:ascii="Times New Roman" w:hAnsi="Times New Roman" w:cs="Times New Roman"/>
          <w:sz w:val="24"/>
          <w:szCs w:val="24"/>
        </w:rPr>
      </w:pPr>
    </w:p>
    <w:sectPr w:rsidR="008C2855" w:rsidRPr="008C2855">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ED157" w14:textId="77777777" w:rsidR="00634F6A" w:rsidRDefault="00634F6A" w:rsidP="009D160B">
      <w:pPr>
        <w:spacing w:after="0" w:line="240" w:lineRule="auto"/>
      </w:pPr>
      <w:r>
        <w:separator/>
      </w:r>
    </w:p>
  </w:endnote>
  <w:endnote w:type="continuationSeparator" w:id="0">
    <w:p w14:paraId="6FFB6553" w14:textId="77777777" w:rsidR="00634F6A" w:rsidRDefault="00634F6A" w:rsidP="009D1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325018"/>
      <w:docPartObj>
        <w:docPartGallery w:val="Page Numbers (Bottom of Page)"/>
        <w:docPartUnique/>
      </w:docPartObj>
    </w:sdtPr>
    <w:sdtEndPr>
      <w:rPr>
        <w:noProof/>
      </w:rPr>
    </w:sdtEndPr>
    <w:sdtContent>
      <w:p w14:paraId="617A8520" w14:textId="49D5E8F8" w:rsidR="009D160B" w:rsidRDefault="009D16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2885A2" w14:textId="77777777" w:rsidR="009D160B" w:rsidRDefault="009D1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02CC9" w14:textId="77777777" w:rsidR="00634F6A" w:rsidRDefault="00634F6A" w:rsidP="009D160B">
      <w:pPr>
        <w:spacing w:after="0" w:line="240" w:lineRule="auto"/>
      </w:pPr>
      <w:r>
        <w:separator/>
      </w:r>
    </w:p>
  </w:footnote>
  <w:footnote w:type="continuationSeparator" w:id="0">
    <w:p w14:paraId="415F6669" w14:textId="77777777" w:rsidR="00634F6A" w:rsidRDefault="00634F6A" w:rsidP="009D1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A34B6" w14:textId="77777777" w:rsidR="009D160B" w:rsidRDefault="009D16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855"/>
    <w:rsid w:val="000031CD"/>
    <w:rsid w:val="00004CD9"/>
    <w:rsid w:val="00031587"/>
    <w:rsid w:val="00057153"/>
    <w:rsid w:val="00076AE9"/>
    <w:rsid w:val="000D197B"/>
    <w:rsid w:val="000E0F10"/>
    <w:rsid w:val="000E42FE"/>
    <w:rsid w:val="000F1D36"/>
    <w:rsid w:val="001053E7"/>
    <w:rsid w:val="001269BF"/>
    <w:rsid w:val="00130568"/>
    <w:rsid w:val="00137B96"/>
    <w:rsid w:val="00143450"/>
    <w:rsid w:val="00143455"/>
    <w:rsid w:val="001522F0"/>
    <w:rsid w:val="00155F50"/>
    <w:rsid w:val="00156859"/>
    <w:rsid w:val="0016504F"/>
    <w:rsid w:val="00167E16"/>
    <w:rsid w:val="00187AD2"/>
    <w:rsid w:val="0019206C"/>
    <w:rsid w:val="001969F6"/>
    <w:rsid w:val="001B2E95"/>
    <w:rsid w:val="001B3021"/>
    <w:rsid w:val="001B5658"/>
    <w:rsid w:val="001D0A52"/>
    <w:rsid w:val="001D7D4E"/>
    <w:rsid w:val="001E4F12"/>
    <w:rsid w:val="00245937"/>
    <w:rsid w:val="002524CD"/>
    <w:rsid w:val="00265452"/>
    <w:rsid w:val="002B5A65"/>
    <w:rsid w:val="002C12A7"/>
    <w:rsid w:val="002C7961"/>
    <w:rsid w:val="002F12FE"/>
    <w:rsid w:val="002F216A"/>
    <w:rsid w:val="00301465"/>
    <w:rsid w:val="00302D68"/>
    <w:rsid w:val="00326A0E"/>
    <w:rsid w:val="00347F7F"/>
    <w:rsid w:val="003671B3"/>
    <w:rsid w:val="003928CB"/>
    <w:rsid w:val="003B7643"/>
    <w:rsid w:val="00413758"/>
    <w:rsid w:val="00413C62"/>
    <w:rsid w:val="00416E7F"/>
    <w:rsid w:val="00426517"/>
    <w:rsid w:val="00442EAE"/>
    <w:rsid w:val="004452E9"/>
    <w:rsid w:val="004469B3"/>
    <w:rsid w:val="0045308E"/>
    <w:rsid w:val="00464FA6"/>
    <w:rsid w:val="00471B65"/>
    <w:rsid w:val="004A0180"/>
    <w:rsid w:val="004A6424"/>
    <w:rsid w:val="004A6672"/>
    <w:rsid w:val="004B64BE"/>
    <w:rsid w:val="004D405A"/>
    <w:rsid w:val="004D59AD"/>
    <w:rsid w:val="004E26B6"/>
    <w:rsid w:val="00504060"/>
    <w:rsid w:val="005136E9"/>
    <w:rsid w:val="00525691"/>
    <w:rsid w:val="005266CC"/>
    <w:rsid w:val="0053073E"/>
    <w:rsid w:val="00567A17"/>
    <w:rsid w:val="00571C9C"/>
    <w:rsid w:val="00581DC8"/>
    <w:rsid w:val="00591AA4"/>
    <w:rsid w:val="005C34B2"/>
    <w:rsid w:val="005E5118"/>
    <w:rsid w:val="00613EAB"/>
    <w:rsid w:val="006274AB"/>
    <w:rsid w:val="00634F6A"/>
    <w:rsid w:val="00653A84"/>
    <w:rsid w:val="00676C91"/>
    <w:rsid w:val="00684961"/>
    <w:rsid w:val="006B14A2"/>
    <w:rsid w:val="006D5B90"/>
    <w:rsid w:val="006E6EE2"/>
    <w:rsid w:val="006F526E"/>
    <w:rsid w:val="00710CA5"/>
    <w:rsid w:val="007160E4"/>
    <w:rsid w:val="007264E2"/>
    <w:rsid w:val="00757A17"/>
    <w:rsid w:val="007921F4"/>
    <w:rsid w:val="007D6477"/>
    <w:rsid w:val="007E5599"/>
    <w:rsid w:val="007F3484"/>
    <w:rsid w:val="008006B8"/>
    <w:rsid w:val="00805E6E"/>
    <w:rsid w:val="008321B7"/>
    <w:rsid w:val="008759DB"/>
    <w:rsid w:val="008A6BFD"/>
    <w:rsid w:val="008C2855"/>
    <w:rsid w:val="008C3D91"/>
    <w:rsid w:val="008C4FEC"/>
    <w:rsid w:val="008D2703"/>
    <w:rsid w:val="008E68A4"/>
    <w:rsid w:val="008F33B9"/>
    <w:rsid w:val="00903C8E"/>
    <w:rsid w:val="0090503F"/>
    <w:rsid w:val="00935117"/>
    <w:rsid w:val="0096438E"/>
    <w:rsid w:val="00977151"/>
    <w:rsid w:val="009858F0"/>
    <w:rsid w:val="00993A85"/>
    <w:rsid w:val="009A2D14"/>
    <w:rsid w:val="009B3305"/>
    <w:rsid w:val="009C7C42"/>
    <w:rsid w:val="009D160B"/>
    <w:rsid w:val="009E5A8B"/>
    <w:rsid w:val="009E7510"/>
    <w:rsid w:val="009F252D"/>
    <w:rsid w:val="00A0744B"/>
    <w:rsid w:val="00A129D5"/>
    <w:rsid w:val="00A31F41"/>
    <w:rsid w:val="00A320E1"/>
    <w:rsid w:val="00A57FA1"/>
    <w:rsid w:val="00A94823"/>
    <w:rsid w:val="00A975B9"/>
    <w:rsid w:val="00AC55A6"/>
    <w:rsid w:val="00AD4759"/>
    <w:rsid w:val="00AD63CB"/>
    <w:rsid w:val="00AE567E"/>
    <w:rsid w:val="00B03500"/>
    <w:rsid w:val="00B151A5"/>
    <w:rsid w:val="00B2692D"/>
    <w:rsid w:val="00B33562"/>
    <w:rsid w:val="00B82E64"/>
    <w:rsid w:val="00BD5472"/>
    <w:rsid w:val="00BE54A0"/>
    <w:rsid w:val="00C056E4"/>
    <w:rsid w:val="00C1362D"/>
    <w:rsid w:val="00C31989"/>
    <w:rsid w:val="00C87756"/>
    <w:rsid w:val="00CA58A2"/>
    <w:rsid w:val="00D27D78"/>
    <w:rsid w:val="00D447E8"/>
    <w:rsid w:val="00D73EC2"/>
    <w:rsid w:val="00D834B9"/>
    <w:rsid w:val="00D867DA"/>
    <w:rsid w:val="00DA1600"/>
    <w:rsid w:val="00DA2B2A"/>
    <w:rsid w:val="00DD1373"/>
    <w:rsid w:val="00E0256A"/>
    <w:rsid w:val="00E35930"/>
    <w:rsid w:val="00E43674"/>
    <w:rsid w:val="00E62700"/>
    <w:rsid w:val="00E63F42"/>
    <w:rsid w:val="00E70105"/>
    <w:rsid w:val="00E73D48"/>
    <w:rsid w:val="00E80A16"/>
    <w:rsid w:val="00E83223"/>
    <w:rsid w:val="00EC35EB"/>
    <w:rsid w:val="00F33669"/>
    <w:rsid w:val="00F45646"/>
    <w:rsid w:val="00F56485"/>
    <w:rsid w:val="00F624FC"/>
    <w:rsid w:val="00F7194C"/>
    <w:rsid w:val="00F72C9A"/>
    <w:rsid w:val="00F80D47"/>
    <w:rsid w:val="00F82285"/>
    <w:rsid w:val="00FD5D91"/>
    <w:rsid w:val="00FF0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35F2"/>
  <w15:chartTrackingRefBased/>
  <w15:docId w15:val="{35AA990F-68B7-4370-8A5A-25B0FBFA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855"/>
    <w:rPr>
      <w:rFonts w:eastAsiaTheme="majorEastAsia" w:cstheme="majorBidi"/>
      <w:color w:val="272727" w:themeColor="text1" w:themeTint="D8"/>
    </w:rPr>
  </w:style>
  <w:style w:type="paragraph" w:styleId="Title">
    <w:name w:val="Title"/>
    <w:basedOn w:val="Normal"/>
    <w:next w:val="Normal"/>
    <w:link w:val="TitleChar"/>
    <w:uiPriority w:val="10"/>
    <w:qFormat/>
    <w:rsid w:val="008C2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855"/>
    <w:pPr>
      <w:spacing w:before="160"/>
      <w:jc w:val="center"/>
    </w:pPr>
    <w:rPr>
      <w:i/>
      <w:iCs/>
      <w:color w:val="404040" w:themeColor="text1" w:themeTint="BF"/>
    </w:rPr>
  </w:style>
  <w:style w:type="character" w:customStyle="1" w:styleId="QuoteChar">
    <w:name w:val="Quote Char"/>
    <w:basedOn w:val="DefaultParagraphFont"/>
    <w:link w:val="Quote"/>
    <w:uiPriority w:val="29"/>
    <w:rsid w:val="008C2855"/>
    <w:rPr>
      <w:i/>
      <w:iCs/>
      <w:color w:val="404040" w:themeColor="text1" w:themeTint="BF"/>
    </w:rPr>
  </w:style>
  <w:style w:type="paragraph" w:styleId="ListParagraph">
    <w:name w:val="List Paragraph"/>
    <w:basedOn w:val="Normal"/>
    <w:uiPriority w:val="34"/>
    <w:qFormat/>
    <w:rsid w:val="008C2855"/>
    <w:pPr>
      <w:ind w:left="720"/>
      <w:contextualSpacing/>
    </w:pPr>
  </w:style>
  <w:style w:type="character" w:styleId="IntenseEmphasis">
    <w:name w:val="Intense Emphasis"/>
    <w:basedOn w:val="DefaultParagraphFont"/>
    <w:uiPriority w:val="21"/>
    <w:qFormat/>
    <w:rsid w:val="008C2855"/>
    <w:rPr>
      <w:i/>
      <w:iCs/>
      <w:color w:val="0F4761" w:themeColor="accent1" w:themeShade="BF"/>
    </w:rPr>
  </w:style>
  <w:style w:type="paragraph" w:styleId="IntenseQuote">
    <w:name w:val="Intense Quote"/>
    <w:basedOn w:val="Normal"/>
    <w:next w:val="Normal"/>
    <w:link w:val="IntenseQuoteChar"/>
    <w:uiPriority w:val="30"/>
    <w:qFormat/>
    <w:rsid w:val="008C2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855"/>
    <w:rPr>
      <w:i/>
      <w:iCs/>
      <w:color w:val="0F4761" w:themeColor="accent1" w:themeShade="BF"/>
    </w:rPr>
  </w:style>
  <w:style w:type="character" w:styleId="IntenseReference">
    <w:name w:val="Intense Reference"/>
    <w:basedOn w:val="DefaultParagraphFont"/>
    <w:uiPriority w:val="32"/>
    <w:qFormat/>
    <w:rsid w:val="008C2855"/>
    <w:rPr>
      <w:b/>
      <w:bCs/>
      <w:smallCaps/>
      <w:color w:val="0F4761" w:themeColor="accent1" w:themeShade="BF"/>
      <w:spacing w:val="5"/>
    </w:rPr>
  </w:style>
  <w:style w:type="character" w:styleId="Hyperlink">
    <w:name w:val="Hyperlink"/>
    <w:basedOn w:val="DefaultParagraphFont"/>
    <w:uiPriority w:val="99"/>
    <w:unhideWhenUsed/>
    <w:rsid w:val="00F72C9A"/>
    <w:rPr>
      <w:color w:val="467886" w:themeColor="hyperlink"/>
      <w:u w:val="single"/>
    </w:rPr>
  </w:style>
  <w:style w:type="character" w:styleId="UnresolvedMention">
    <w:name w:val="Unresolved Mention"/>
    <w:basedOn w:val="DefaultParagraphFont"/>
    <w:uiPriority w:val="99"/>
    <w:semiHidden/>
    <w:unhideWhenUsed/>
    <w:rsid w:val="00F72C9A"/>
    <w:rPr>
      <w:color w:val="605E5C"/>
      <w:shd w:val="clear" w:color="auto" w:fill="E1DFDD"/>
    </w:rPr>
  </w:style>
  <w:style w:type="paragraph" w:styleId="Header">
    <w:name w:val="header"/>
    <w:basedOn w:val="Normal"/>
    <w:link w:val="HeaderChar"/>
    <w:uiPriority w:val="99"/>
    <w:unhideWhenUsed/>
    <w:rsid w:val="009D1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60B"/>
  </w:style>
  <w:style w:type="paragraph" w:styleId="Footer">
    <w:name w:val="footer"/>
    <w:basedOn w:val="Normal"/>
    <w:link w:val="FooterChar"/>
    <w:uiPriority w:val="99"/>
    <w:unhideWhenUsed/>
    <w:rsid w:val="009D1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60B"/>
  </w:style>
  <w:style w:type="character" w:styleId="PlaceholderText">
    <w:name w:val="Placeholder Text"/>
    <w:basedOn w:val="DefaultParagraphFont"/>
    <w:uiPriority w:val="99"/>
    <w:semiHidden/>
    <w:rsid w:val="009D160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alchetron.com/Fabian-Ware" TargetMode="External"/><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3B2A00-9B6C-4E4B-80C2-05689A7CC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2030</TotalTime>
  <Pages>1</Pages>
  <Words>3341</Words>
  <Characters>17845</Characters>
  <Application>Microsoft Office Word</Application>
  <DocSecurity>0</DocSecurity>
  <Lines>287</Lines>
  <Paragraphs>64</Paragraphs>
  <ScaleCrop>false</ScaleCrop>
  <HeadingPairs>
    <vt:vector size="2" baseType="variant">
      <vt:variant>
        <vt:lpstr>Title</vt:lpstr>
      </vt:variant>
      <vt:variant>
        <vt:i4>1</vt:i4>
      </vt:variant>
    </vt:vector>
  </HeadingPairs>
  <TitlesOfParts>
    <vt:vector size="1" baseType="lpstr">
      <vt:lpstr>HPHE6003</vt:lpstr>
    </vt:vector>
  </TitlesOfParts>
  <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HPHE6003</dc:title>
  <dc:subject/>
  <dc:creator>Gareth Jenkins</dc:creator>
  <cp:keywords/>
  <dc:description/>
  <cp:lastModifiedBy>Gareth Jenkins</cp:lastModifiedBy>
  <cp:revision>5</cp:revision>
  <cp:lastPrinted>2026-02-19T18:39:00Z</cp:lastPrinted>
  <dcterms:created xsi:type="dcterms:W3CDTF">2026-02-05T12:14:00Z</dcterms:created>
  <dcterms:modified xsi:type="dcterms:W3CDTF">2026-02-19T19:49:00Z</dcterms:modified>
</cp:coreProperties>
</file>