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25F" w:rsidRDefault="00F8725F"/>
    <w:p w:rsidR="00646D8C" w:rsidRDefault="00F8725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56F6DE" wp14:editId="51496808">
                <wp:simplePos x="0" y="0"/>
                <wp:positionH relativeFrom="column">
                  <wp:posOffset>-38100</wp:posOffset>
                </wp:positionH>
                <wp:positionV relativeFrom="paragraph">
                  <wp:posOffset>3648711</wp:posOffset>
                </wp:positionV>
                <wp:extent cx="5743575" cy="400050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400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2619" w:rsidRDefault="00142619" w:rsidP="00142619">
                            <w:pPr>
                              <w:jc w:val="center"/>
                            </w:pPr>
                          </w:p>
                          <w:p w:rsidR="00F8725F" w:rsidRDefault="00142619" w:rsidP="00142619">
                            <w:pPr>
                              <w:jc w:val="center"/>
                            </w:pPr>
                            <w:r>
                              <w:t>The Death of Marat (1793)</w:t>
                            </w: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  <w:r>
                              <w:t>Jacques-Louis David</w:t>
                            </w: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  <w:r>
                              <w:t>HPH14005</w:t>
                            </w: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  <w:r>
                              <w:t>Age of Revolution:</w:t>
                            </w: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  <w:r>
                              <w:t>Transformation and Change in Europe</w:t>
                            </w: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  <w:r>
                              <w:t xml:space="preserve"> And Beyond, c.1789-1848</w:t>
                            </w: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  <w:r>
                              <w:t>Claire Mann</w:t>
                            </w: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  <w:r>
                              <w:t>1602593</w:t>
                            </w: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</w:p>
                          <w:p w:rsidR="00142619" w:rsidRDefault="00142619" w:rsidP="0014261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pt;margin-top:287.3pt;width:452.25pt;height:3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" fillcolor="white [3201]" stroked="f" strokeweight=".5pt">
                <v:textbox>
                  <w:txbxContent>
                    <w:p w:rsidR="00142619" w:rsidRDefault="00142619" w:rsidP="00142619">
                      <w:pPr>
                        <w:jc w:val="center"/>
                      </w:pPr>
                    </w:p>
                    <w:p w:rsidR="00F8725F" w:rsidRDefault="00142619" w:rsidP="00142619">
                      <w:pPr>
                        <w:jc w:val="center"/>
                      </w:pPr>
                      <w:r>
                        <w:t>The Death of Marat (1793)</w:t>
                      </w:r>
                    </w:p>
                    <w:p w:rsidR="00142619" w:rsidRDefault="00142619" w:rsidP="00142619">
                      <w:pPr>
                        <w:jc w:val="center"/>
                      </w:pPr>
                      <w:r>
                        <w:t>Jacques-Louis David</w:t>
                      </w:r>
                    </w:p>
                    <w:p w:rsidR="00142619" w:rsidRDefault="00142619" w:rsidP="00142619">
                      <w:pPr>
                        <w:jc w:val="center"/>
                      </w:pPr>
                    </w:p>
                    <w:p w:rsidR="00142619" w:rsidRDefault="00142619" w:rsidP="00142619">
                      <w:pPr>
                        <w:jc w:val="center"/>
                      </w:pPr>
                    </w:p>
                    <w:p w:rsidR="00142619" w:rsidRDefault="00142619" w:rsidP="00142619">
                      <w:pPr>
                        <w:jc w:val="center"/>
                      </w:pPr>
                      <w:r>
                        <w:t>HPH14005</w:t>
                      </w:r>
                    </w:p>
                    <w:p w:rsidR="00142619" w:rsidRDefault="00142619" w:rsidP="00142619">
                      <w:pPr>
                        <w:jc w:val="center"/>
                      </w:pPr>
                      <w:r>
                        <w:t>Age of Revolution:</w:t>
                      </w:r>
                    </w:p>
                    <w:p w:rsidR="00142619" w:rsidRDefault="00142619" w:rsidP="00142619">
                      <w:pPr>
                        <w:jc w:val="center"/>
                      </w:pPr>
                      <w:r>
                        <w:t>Transformation and Change in Europe</w:t>
                      </w:r>
                    </w:p>
                    <w:p w:rsidR="00142619" w:rsidRDefault="00142619" w:rsidP="00142619">
                      <w:pPr>
                        <w:jc w:val="center"/>
                      </w:pPr>
                      <w:r>
                        <w:t xml:space="preserve"> And Beyond, c.1789-1848</w:t>
                      </w:r>
                    </w:p>
                    <w:p w:rsidR="00142619" w:rsidRDefault="00142619" w:rsidP="00142619">
                      <w:pPr>
                        <w:jc w:val="center"/>
                      </w:pPr>
                    </w:p>
                    <w:p w:rsidR="00142619" w:rsidRDefault="00142619" w:rsidP="00142619">
                      <w:pPr>
                        <w:jc w:val="center"/>
                      </w:pPr>
                      <w:r>
                        <w:t>Claire Mann</w:t>
                      </w:r>
                    </w:p>
                    <w:p w:rsidR="00142619" w:rsidRDefault="00142619" w:rsidP="00142619">
                      <w:pPr>
                        <w:jc w:val="center"/>
                      </w:pPr>
                      <w:r>
                        <w:t>1602593</w:t>
                      </w:r>
                    </w:p>
                    <w:p w:rsidR="00142619" w:rsidRDefault="00142619" w:rsidP="00142619">
                      <w:pPr>
                        <w:jc w:val="center"/>
                      </w:pPr>
                    </w:p>
                    <w:p w:rsidR="00142619" w:rsidRDefault="00142619" w:rsidP="00142619">
                      <w:pPr>
                        <w:jc w:val="center"/>
                      </w:pPr>
                    </w:p>
                    <w:p w:rsidR="00142619" w:rsidRDefault="00142619" w:rsidP="00142619">
                      <w:pPr>
                        <w:jc w:val="center"/>
                      </w:pPr>
                    </w:p>
                    <w:p w:rsidR="00142619" w:rsidRDefault="00142619" w:rsidP="00142619">
                      <w:pPr>
                        <w:jc w:val="center"/>
                      </w:pPr>
                    </w:p>
                    <w:p w:rsidR="00142619" w:rsidRDefault="00142619" w:rsidP="00142619">
                      <w:pPr>
                        <w:jc w:val="center"/>
                      </w:pPr>
                    </w:p>
                    <w:p w:rsidR="00142619" w:rsidRDefault="00142619" w:rsidP="00142619">
                      <w:pPr>
                        <w:jc w:val="center"/>
                      </w:pPr>
                    </w:p>
                    <w:p w:rsidR="00142619" w:rsidRDefault="00142619" w:rsidP="00142619">
                      <w:pPr>
                        <w:jc w:val="center"/>
                      </w:pPr>
                    </w:p>
                    <w:p w:rsidR="00142619" w:rsidRDefault="00142619" w:rsidP="00142619">
                      <w:pPr>
                        <w:jc w:val="center"/>
                      </w:pPr>
                    </w:p>
                    <w:p w:rsidR="00142619" w:rsidRDefault="00142619" w:rsidP="00142619">
                      <w:pPr>
                        <w:jc w:val="center"/>
                      </w:pPr>
                    </w:p>
                    <w:p w:rsidR="00142619" w:rsidRDefault="00142619" w:rsidP="00142619">
                      <w:pPr>
                        <w:jc w:val="center"/>
                      </w:pPr>
                    </w:p>
                    <w:p w:rsidR="00142619" w:rsidRDefault="00142619" w:rsidP="00142619">
                      <w:pPr>
                        <w:jc w:val="center"/>
                      </w:pPr>
                    </w:p>
                    <w:p w:rsidR="00142619" w:rsidRDefault="00142619" w:rsidP="00142619">
                      <w:pPr>
                        <w:jc w:val="center"/>
                      </w:pPr>
                    </w:p>
                    <w:p w:rsidR="00142619" w:rsidRDefault="00142619" w:rsidP="00142619">
                      <w:pPr>
                        <w:jc w:val="center"/>
                      </w:pPr>
                    </w:p>
                    <w:p w:rsidR="00142619" w:rsidRDefault="00142619" w:rsidP="0014261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8725F">
        <w:drawing>
          <wp:anchor distT="0" distB="0" distL="114300" distR="114300" simplePos="0" relativeHeight="251658240" behindDoc="0" locked="0" layoutInCell="1" allowOverlap="1" wp14:anchorId="0828DC64" wp14:editId="229BA7DF">
            <wp:simplePos x="0" y="0"/>
            <wp:positionH relativeFrom="column">
              <wp:posOffset>581025</wp:posOffset>
            </wp:positionH>
            <wp:positionV relativeFrom="paragraph">
              <wp:posOffset>0</wp:posOffset>
            </wp:positionV>
            <wp:extent cx="4572000" cy="2857500"/>
            <wp:effectExtent l="0" t="0" r="0" b="0"/>
            <wp:wrapTopAndBottom/>
            <wp:docPr id="1" name="Picture 1" descr="Image result for the death of mar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death of mara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6D8C" w:rsidRPr="00646D8C" w:rsidRDefault="00646D8C" w:rsidP="00646D8C"/>
    <w:p w:rsidR="00646D8C" w:rsidRPr="00646D8C" w:rsidRDefault="00646D8C" w:rsidP="00646D8C"/>
    <w:p w:rsidR="00646D8C" w:rsidRPr="00646D8C" w:rsidRDefault="00646D8C" w:rsidP="00646D8C"/>
    <w:p w:rsidR="00646D8C" w:rsidRPr="00646D8C" w:rsidRDefault="00646D8C" w:rsidP="00646D8C"/>
    <w:p w:rsidR="00646D8C" w:rsidRPr="00646D8C" w:rsidRDefault="00646D8C" w:rsidP="00646D8C"/>
    <w:p w:rsidR="00646D8C" w:rsidRPr="00646D8C" w:rsidRDefault="00646D8C" w:rsidP="00646D8C"/>
    <w:p w:rsidR="00646D8C" w:rsidRPr="00646D8C" w:rsidRDefault="00646D8C" w:rsidP="00646D8C"/>
    <w:p w:rsidR="00646D8C" w:rsidRPr="00646D8C" w:rsidRDefault="00646D8C" w:rsidP="00646D8C"/>
    <w:p w:rsidR="00646D8C" w:rsidRPr="00646D8C" w:rsidRDefault="00646D8C" w:rsidP="00646D8C"/>
    <w:p w:rsidR="00646D8C" w:rsidRPr="00646D8C" w:rsidRDefault="00646D8C" w:rsidP="00646D8C"/>
    <w:p w:rsidR="00646D8C" w:rsidRPr="00646D8C" w:rsidRDefault="00646D8C" w:rsidP="00646D8C"/>
    <w:p w:rsidR="00646D8C" w:rsidRPr="00646D8C" w:rsidRDefault="00646D8C" w:rsidP="00646D8C"/>
    <w:p w:rsidR="00646D8C" w:rsidRPr="00646D8C" w:rsidRDefault="00646D8C" w:rsidP="00646D8C"/>
    <w:p w:rsidR="00646D8C" w:rsidRPr="00646D8C" w:rsidRDefault="00646D8C" w:rsidP="00646D8C"/>
    <w:p w:rsidR="00646D8C" w:rsidRDefault="00646D8C" w:rsidP="00646D8C"/>
    <w:p w:rsidR="00AD30A7" w:rsidRDefault="00AD30A7" w:rsidP="00646D8C">
      <w:pPr>
        <w:jc w:val="center"/>
      </w:pPr>
    </w:p>
    <w:p w:rsidR="00646D8C" w:rsidRDefault="00646D8C" w:rsidP="00646D8C">
      <w:pPr>
        <w:jc w:val="center"/>
      </w:pPr>
    </w:p>
    <w:p w:rsidR="00646D8C" w:rsidRDefault="00646D8C" w:rsidP="00D3123E">
      <w:pPr>
        <w:spacing w:line="480" w:lineRule="auto"/>
        <w:jc w:val="both"/>
      </w:pPr>
      <w:r>
        <w:lastRenderedPageBreak/>
        <w:t>The primary source that will be analysed in this portfolio is ‘The death of Marat’ by Jacques-Louis David (1793).</w:t>
      </w:r>
    </w:p>
    <w:p w:rsidR="00646D8C" w:rsidRDefault="00646D8C" w:rsidP="00D3123E">
      <w:pPr>
        <w:spacing w:line="480" w:lineRule="auto"/>
        <w:jc w:val="both"/>
      </w:pPr>
      <w:r>
        <w:t>Jean-Paul Marat (1743-1793) was a French political theorist, physician, scientist, philosopher and radical journalist during the French Revolution.  The diseased, paranoid, inciter of mass murder</w:t>
      </w:r>
      <w:r>
        <w:rPr>
          <w:rStyle w:val="FootnoteReference"/>
        </w:rPr>
        <w:footnoteReference w:id="1"/>
      </w:r>
      <w:r w:rsidR="005528BF">
        <w:t xml:space="preserve"> was one of the most radical voices of the time.  Anyone whose revolutionary </w:t>
      </w:r>
      <w:proofErr w:type="spellStart"/>
      <w:r w:rsidR="005528BF">
        <w:t>fervor</w:t>
      </w:r>
      <w:proofErr w:type="spellEnd"/>
      <w:r w:rsidR="005528BF">
        <w:t xml:space="preserve"> did not burn as ferociously as his was a reactionary who must be eliminated.</w:t>
      </w:r>
      <w:r w:rsidR="005528BF">
        <w:rPr>
          <w:rStyle w:val="FootnoteReference"/>
        </w:rPr>
        <w:footnoteReference w:id="2"/>
      </w:r>
      <w:r w:rsidR="005528BF">
        <w:t xml:space="preserve">  While belonging to no political party himself, he was a defender of the Sans-culottes and through publishing his views in his newspaper, </w:t>
      </w:r>
      <w:proofErr w:type="spellStart"/>
      <w:r w:rsidR="005528BF">
        <w:t>L’Ami</w:t>
      </w:r>
      <w:proofErr w:type="spellEnd"/>
      <w:r w:rsidR="005528BF">
        <w:t xml:space="preserve"> du people (The friend of the people) he became a leader of the influential political club the Jacobins.  He was a vengeful extremist who in sighted mass murder on the streets of Paris.</w:t>
      </w:r>
      <w:r w:rsidR="005528BF">
        <w:rPr>
          <w:rStyle w:val="FootnoteReference"/>
        </w:rPr>
        <w:footnoteReference w:id="3"/>
      </w:r>
      <w:r w:rsidR="00DF3D73">
        <w:t xml:space="preserve">  Signing death warrants by the score, a blood thirsty unpleasant man who was also described as physically repulsive, as a result of suffering from a skin condition thought to be leprosy.   Because of this he would spend whole day’s emursed in a cold bath that provided his only </w:t>
      </w:r>
      <w:proofErr w:type="spellStart"/>
      <w:r w:rsidR="00DF3D73">
        <w:t>succor</w:t>
      </w:r>
      <w:proofErr w:type="spellEnd"/>
      <w:r w:rsidR="00DF3D73">
        <w:t xml:space="preserve"> from the painful skin lesions that covered his body.</w:t>
      </w:r>
      <w:r w:rsidR="00DF3D73">
        <w:rPr>
          <w:rStyle w:val="FootnoteReference"/>
        </w:rPr>
        <w:footnoteReference w:id="4"/>
      </w:r>
      <w:r w:rsidR="00DF3D73">
        <w:t xml:space="preserve"> </w:t>
      </w:r>
      <w:r w:rsidR="00EE4031">
        <w:t xml:space="preserve"> It was in the bath that Marat met his death at the hands of Charlotte Corday, a young woman of noble descent and </w:t>
      </w:r>
      <w:proofErr w:type="spellStart"/>
      <w:r w:rsidR="00EE4031">
        <w:t>Girondin</w:t>
      </w:r>
      <w:proofErr w:type="spellEnd"/>
      <w:r w:rsidR="00EE4031">
        <w:t xml:space="preserve"> sympathies.</w:t>
      </w:r>
      <w:r w:rsidR="00EE4031">
        <w:rPr>
          <w:rStyle w:val="FootnoteReference"/>
        </w:rPr>
        <w:footnoteReference w:id="5"/>
      </w:r>
    </w:p>
    <w:p w:rsidR="00EE4031" w:rsidRDefault="00EE4031" w:rsidP="00D3123E">
      <w:pPr>
        <w:spacing w:line="480" w:lineRule="auto"/>
        <w:jc w:val="both"/>
      </w:pPr>
      <w:r>
        <w:t xml:space="preserve">On the evening of 13 July 1793 Charlotte Corday visited Marat bearing a fabricated list of </w:t>
      </w:r>
      <w:proofErr w:type="spellStart"/>
      <w:r>
        <w:t>Girondist</w:t>
      </w:r>
      <w:proofErr w:type="spellEnd"/>
      <w:r>
        <w:t xml:space="preserve"> fugitives to whet his appetite.</w:t>
      </w:r>
      <w:r>
        <w:rPr>
          <w:rStyle w:val="FootnoteReference"/>
        </w:rPr>
        <w:footnoteReference w:id="6"/>
      </w:r>
      <w:r>
        <w:t xml:space="preserve">  Corday was presented to and interrogated by Marat as he sat in the bath.  Marat stated that all named traitors would be guillotined within a week and at that point Corday drew a knife, plunged it into Marat’s chest severing the carotid artery</w:t>
      </w:r>
      <w:r w:rsidR="009767B9">
        <w:t xml:space="preserve"> and he bled to death within minutes.  </w:t>
      </w:r>
    </w:p>
    <w:p w:rsidR="002F6F3B" w:rsidRDefault="009767B9" w:rsidP="00D3123E">
      <w:pPr>
        <w:spacing w:line="480" w:lineRule="auto"/>
        <w:jc w:val="both"/>
      </w:pPr>
      <w:r>
        <w:lastRenderedPageBreak/>
        <w:t>The remainder of the Jacobins called on the artist Jacques-Louis David to immortalise the victim of the foul deed.</w:t>
      </w:r>
      <w:r>
        <w:rPr>
          <w:rStyle w:val="FootnoteReference"/>
        </w:rPr>
        <w:footnoteReference w:id="7"/>
      </w:r>
      <w:r>
        <w:t xml:space="preserve">  David one of Frances most celebrated neo-classical painters created the supreme master piece named ‘The Death of Marat’</w:t>
      </w:r>
      <w:r>
        <w:rPr>
          <w:rStyle w:val="FootnoteReference"/>
        </w:rPr>
        <w:footnoteReference w:id="8"/>
      </w:r>
      <w:r>
        <w:t>.  He paints Marat slumped serenely in the bath, his head wrapped in a turban, his face turned making it difficult to examine though it appears healed of its festering sours. The only co</w:t>
      </w:r>
      <w:r w:rsidR="002F6F3B">
        <w:t>lour is the green of the rug,</w:t>
      </w:r>
      <w:r>
        <w:t xml:space="preserve"> crimson </w:t>
      </w:r>
      <w:r w:rsidR="002F6F3B">
        <w:t>bath water and the stark whiteness from the sheet that shrouds the martyr and illuminates the scene.  David turns Marat himself into a new Jesus Christ.</w:t>
      </w:r>
      <w:r w:rsidR="002F6F3B">
        <w:rPr>
          <w:rStyle w:val="FootnoteReference"/>
        </w:rPr>
        <w:footnoteReference w:id="9"/>
      </w:r>
      <w:r w:rsidR="002F6F3B">
        <w:t xml:space="preserve">  His right arm hanging heavily over the bath reminiscent of Jesus’ position in the ‘Descent from the cross’ by Van der Weyden.</w:t>
      </w:r>
      <w:r w:rsidR="00FD3BBB">
        <w:t xml:space="preserve">  The quill which he used to protect the </w:t>
      </w:r>
      <w:r w:rsidR="007E5B8E">
        <w:t>citizens</w:t>
      </w:r>
      <w:r w:rsidR="00FD3BBB">
        <w:t xml:space="preserve"> falls from his grasp.</w:t>
      </w:r>
    </w:p>
    <w:p w:rsidR="007E5B8E" w:rsidRDefault="007E5B8E" w:rsidP="00D3123E">
      <w:pPr>
        <w:spacing w:line="480" w:lineRule="auto"/>
        <w:jc w:val="both"/>
      </w:pPr>
    </w:p>
    <w:p w:rsidR="007E5B8E" w:rsidRDefault="007E5B8E" w:rsidP="00D3123E">
      <w:pPr>
        <w:spacing w:line="480" w:lineRule="auto"/>
        <w:jc w:val="both"/>
      </w:pPr>
      <w:r>
        <w:t xml:space="preserve">David was an active supporter of the revolution and campaigned </w:t>
      </w:r>
      <w:r w:rsidR="00D3123E">
        <w:t>strongly in support of the republican ideals.  This painting was part of his political propaganda.  His neo-classicism style and purpose turn Marat into a hero of high moral.  The masterpiece is a cult that turns reality on its head.</w:t>
      </w:r>
    </w:p>
    <w:p w:rsidR="00D3123E" w:rsidRDefault="00D3123E" w:rsidP="002F6F3B">
      <w:pPr>
        <w:spacing w:line="480" w:lineRule="auto"/>
      </w:pPr>
    </w:p>
    <w:p w:rsidR="00D3123E" w:rsidRDefault="00D3123E" w:rsidP="002F6F3B">
      <w:pPr>
        <w:spacing w:line="480" w:lineRule="auto"/>
      </w:pPr>
    </w:p>
    <w:p w:rsidR="00D3123E" w:rsidRDefault="00D3123E" w:rsidP="002F6F3B">
      <w:pPr>
        <w:spacing w:line="480" w:lineRule="auto"/>
      </w:pPr>
    </w:p>
    <w:p w:rsidR="00D3123E" w:rsidRDefault="00D3123E" w:rsidP="002F6F3B">
      <w:pPr>
        <w:spacing w:line="480" w:lineRule="auto"/>
      </w:pPr>
    </w:p>
    <w:p w:rsidR="00D3123E" w:rsidRDefault="00D3123E" w:rsidP="002F6F3B">
      <w:pPr>
        <w:spacing w:line="480" w:lineRule="auto"/>
      </w:pPr>
    </w:p>
    <w:p w:rsidR="00D3123E" w:rsidRDefault="00D3123E" w:rsidP="002F6F3B">
      <w:pPr>
        <w:spacing w:line="480" w:lineRule="auto"/>
      </w:pPr>
    </w:p>
    <w:p w:rsidR="00D3123E" w:rsidRDefault="00D3123E" w:rsidP="00F66E8A">
      <w:pPr>
        <w:spacing w:line="480" w:lineRule="auto"/>
        <w:jc w:val="center"/>
        <w:rPr>
          <w:b/>
          <w:u w:val="single"/>
        </w:rPr>
      </w:pPr>
      <w:r w:rsidRPr="00D3123E">
        <w:rPr>
          <w:b/>
          <w:u w:val="single"/>
        </w:rPr>
        <w:lastRenderedPageBreak/>
        <w:t>Bibliography</w:t>
      </w:r>
      <w:bookmarkStart w:id="0" w:name="_GoBack"/>
      <w:bookmarkEnd w:id="0"/>
    </w:p>
    <w:p w:rsidR="008B633A" w:rsidRDefault="008B633A" w:rsidP="00D3123E">
      <w:pPr>
        <w:spacing w:line="480" w:lineRule="auto"/>
      </w:pPr>
      <w:proofErr w:type="spellStart"/>
      <w:proofErr w:type="gramStart"/>
      <w:r w:rsidRPr="008B633A">
        <w:t>Andress</w:t>
      </w:r>
      <w:proofErr w:type="spellEnd"/>
      <w:r w:rsidRPr="008B633A">
        <w:t>, D. (2009).</w:t>
      </w:r>
      <w:proofErr w:type="gramEnd"/>
      <w:r w:rsidRPr="008B633A">
        <w:t xml:space="preserve"> </w:t>
      </w:r>
      <w:proofErr w:type="gramStart"/>
      <w:r w:rsidRPr="008B633A">
        <w:t>French society in revolution, 1789-1799.</w:t>
      </w:r>
      <w:proofErr w:type="gramEnd"/>
      <w:r w:rsidRPr="008B633A">
        <w:t xml:space="preserve"> Manchester: Manchester Univ. Press.</w:t>
      </w:r>
    </w:p>
    <w:p w:rsidR="008B633A" w:rsidRDefault="008B633A" w:rsidP="00D3123E">
      <w:pPr>
        <w:spacing w:line="480" w:lineRule="auto"/>
      </w:pPr>
      <w:proofErr w:type="gramStart"/>
      <w:r w:rsidRPr="008B633A">
        <w:t>Doyle, W. (2002).</w:t>
      </w:r>
      <w:proofErr w:type="gramEnd"/>
      <w:r w:rsidRPr="008B633A">
        <w:t xml:space="preserve"> </w:t>
      </w:r>
      <w:proofErr w:type="gramStart"/>
      <w:r w:rsidRPr="008B633A">
        <w:t>The Oxford history of the French Revolution.</w:t>
      </w:r>
      <w:proofErr w:type="gramEnd"/>
      <w:r w:rsidRPr="008B633A">
        <w:t xml:space="preserve"> Oxford: Oxford University Press.</w:t>
      </w:r>
    </w:p>
    <w:p w:rsidR="008B633A" w:rsidRDefault="008B633A" w:rsidP="00D3123E">
      <w:pPr>
        <w:spacing w:line="480" w:lineRule="auto"/>
      </w:pPr>
      <w:proofErr w:type="gramStart"/>
      <w:r w:rsidRPr="008B633A">
        <w:t>Doyle, W. (2016).</w:t>
      </w:r>
      <w:proofErr w:type="gramEnd"/>
      <w:r w:rsidRPr="008B633A">
        <w:t xml:space="preserve"> </w:t>
      </w:r>
      <w:proofErr w:type="gramStart"/>
      <w:r w:rsidRPr="008B633A">
        <w:t>The French Revolution A Very Short Introduction.</w:t>
      </w:r>
      <w:proofErr w:type="gramEnd"/>
      <w:r w:rsidRPr="008B633A">
        <w:t xml:space="preserve"> Oxford: Oxford University Press.</w:t>
      </w:r>
    </w:p>
    <w:p w:rsidR="00F66E8A" w:rsidRDefault="00F66E8A" w:rsidP="00D3123E">
      <w:pPr>
        <w:spacing w:line="480" w:lineRule="auto"/>
      </w:pPr>
      <w:r w:rsidRPr="00F66E8A">
        <w:t xml:space="preserve">Forrest, A. (1999). </w:t>
      </w:r>
      <w:proofErr w:type="gramStart"/>
      <w:r w:rsidRPr="00F66E8A">
        <w:t>The French revolution.</w:t>
      </w:r>
      <w:proofErr w:type="gramEnd"/>
      <w:r w:rsidRPr="00F66E8A">
        <w:t xml:space="preserve"> Oxford: Blackwell.</w:t>
      </w:r>
    </w:p>
    <w:p w:rsidR="00F66E8A" w:rsidRDefault="00F66E8A" w:rsidP="00D3123E">
      <w:pPr>
        <w:spacing w:line="480" w:lineRule="auto"/>
      </w:pPr>
      <w:proofErr w:type="spellStart"/>
      <w:r w:rsidRPr="00F66E8A">
        <w:t>Hobsbawm</w:t>
      </w:r>
      <w:proofErr w:type="spellEnd"/>
      <w:r w:rsidRPr="00F66E8A">
        <w:t xml:space="preserve">, E. (1986). </w:t>
      </w:r>
      <w:proofErr w:type="gramStart"/>
      <w:r w:rsidRPr="00F66E8A">
        <w:t>The age of revolution.</w:t>
      </w:r>
      <w:proofErr w:type="gramEnd"/>
      <w:r w:rsidRPr="00F66E8A">
        <w:t xml:space="preserve"> London: Abacus.</w:t>
      </w:r>
    </w:p>
    <w:p w:rsidR="00F66E8A" w:rsidRDefault="00F66E8A" w:rsidP="00D3123E">
      <w:pPr>
        <w:spacing w:line="480" w:lineRule="auto"/>
      </w:pPr>
      <w:r w:rsidRPr="00F66E8A">
        <w:t xml:space="preserve">Hunt, L. (2004). </w:t>
      </w:r>
      <w:proofErr w:type="gramStart"/>
      <w:r w:rsidRPr="00F66E8A">
        <w:t>Politics, culture, and class in the French Revolution.</w:t>
      </w:r>
      <w:proofErr w:type="gramEnd"/>
      <w:r w:rsidRPr="00F66E8A">
        <w:t xml:space="preserve"> Berkeley: University of California Press.</w:t>
      </w:r>
    </w:p>
    <w:p w:rsidR="00F66E8A" w:rsidRPr="00D3123E" w:rsidRDefault="00F66E8A" w:rsidP="00D3123E">
      <w:pPr>
        <w:spacing w:line="480" w:lineRule="auto"/>
      </w:pPr>
      <w:proofErr w:type="gramStart"/>
      <w:r w:rsidRPr="00F66E8A">
        <w:t>Roberts, J. and Hardman, J. (1973).</w:t>
      </w:r>
      <w:proofErr w:type="gramEnd"/>
      <w:r w:rsidRPr="00F66E8A">
        <w:t xml:space="preserve"> </w:t>
      </w:r>
      <w:proofErr w:type="gramStart"/>
      <w:r w:rsidRPr="00F66E8A">
        <w:t>French revolution documents.</w:t>
      </w:r>
      <w:proofErr w:type="gramEnd"/>
    </w:p>
    <w:sectPr w:rsidR="00F66E8A" w:rsidRPr="00D312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2F0" w:rsidRDefault="006D72F0" w:rsidP="00142619">
      <w:pPr>
        <w:spacing w:after="0" w:line="240" w:lineRule="auto"/>
      </w:pPr>
      <w:r>
        <w:separator/>
      </w:r>
    </w:p>
  </w:endnote>
  <w:endnote w:type="continuationSeparator" w:id="0">
    <w:p w:rsidR="006D72F0" w:rsidRDefault="006D72F0" w:rsidP="00142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2F0" w:rsidRDefault="006D72F0" w:rsidP="00142619">
      <w:pPr>
        <w:spacing w:after="0" w:line="240" w:lineRule="auto"/>
      </w:pPr>
      <w:r>
        <w:separator/>
      </w:r>
    </w:p>
  </w:footnote>
  <w:footnote w:type="continuationSeparator" w:id="0">
    <w:p w:rsidR="006D72F0" w:rsidRDefault="006D72F0" w:rsidP="00142619">
      <w:pPr>
        <w:spacing w:after="0" w:line="240" w:lineRule="auto"/>
      </w:pPr>
      <w:r>
        <w:continuationSeparator/>
      </w:r>
    </w:p>
  </w:footnote>
  <w:footnote w:id="1">
    <w:p w:rsidR="00646D8C" w:rsidRDefault="00646D8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46D8C">
        <w:t>H. Spencer Beaumont, 'War, Literature &amp; the Arts', An international journa</w:t>
      </w:r>
      <w:r w:rsidR="00DF3D73">
        <w:t>l of the humanities, 30, (2018)</w:t>
      </w:r>
    </w:p>
  </w:footnote>
  <w:footnote w:id="2">
    <w:p w:rsidR="005528BF" w:rsidRDefault="005528B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528BF">
        <w:t>H. Spencer Beaumont, 'War, Literature &amp; the Arts', An international journal of the hu</w:t>
      </w:r>
      <w:r w:rsidR="00DF3D73">
        <w:t>manities, 30, (2018)</w:t>
      </w:r>
    </w:p>
  </w:footnote>
  <w:footnote w:id="3">
    <w:p w:rsidR="005528BF" w:rsidRDefault="005528B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 w:rsidR="00DF3D73" w:rsidRPr="00DF3D73">
        <w:t>'Art of France, dir. by Andrew Graham Dixon (BBC, 2017).</w:t>
      </w:r>
      <w:proofErr w:type="gramEnd"/>
    </w:p>
  </w:footnote>
  <w:footnote w:id="4">
    <w:p w:rsidR="00DF3D73" w:rsidRDefault="00DF3D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F3D73">
        <w:t>H. Spencer Beaumont, 'War, Literature &amp; the Arts', An international journa</w:t>
      </w:r>
      <w:r>
        <w:t>l of the humanities, 30, (2018)</w:t>
      </w:r>
    </w:p>
  </w:footnote>
  <w:footnote w:id="5">
    <w:p w:rsidR="00EE4031" w:rsidRDefault="00EE403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E4031">
        <w:t xml:space="preserve">David </w:t>
      </w:r>
      <w:proofErr w:type="spellStart"/>
      <w:r w:rsidRPr="00EE4031">
        <w:t>Andress</w:t>
      </w:r>
      <w:proofErr w:type="spellEnd"/>
      <w:r w:rsidRPr="00EE4031">
        <w:t xml:space="preserve">, French society in revolution 1789-1799 (Manchester: Manchester University Press, 2009), p. </w:t>
      </w:r>
      <w:r>
        <w:t xml:space="preserve">  </w:t>
      </w:r>
      <w:r w:rsidRPr="00EE4031">
        <w:t>137.</w:t>
      </w:r>
    </w:p>
  </w:footnote>
  <w:footnote w:id="6">
    <w:p w:rsidR="00EE4031" w:rsidRDefault="00EE403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E4031">
        <w:t>H. Spencer Beaumont, 'War, Literature &amp; the Arts', An international journal of the humanities, 30, (2018)</w:t>
      </w:r>
    </w:p>
  </w:footnote>
  <w:footnote w:id="7">
    <w:p w:rsidR="009767B9" w:rsidRDefault="009767B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767B9">
        <w:t>H. Spencer Beaumont, 'War, Literature &amp; the Arts', An international journal of the humanities, 30, (2018)</w:t>
      </w:r>
    </w:p>
  </w:footnote>
  <w:footnote w:id="8">
    <w:p w:rsidR="009767B9" w:rsidRDefault="009767B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767B9">
        <w:t xml:space="preserve">Andrew Graham Dixon, Artists their lives and works, ed. by Angela Wilkes, 1 </w:t>
      </w:r>
      <w:proofErr w:type="spellStart"/>
      <w:r w:rsidRPr="009767B9">
        <w:t>edn</w:t>
      </w:r>
      <w:proofErr w:type="spellEnd"/>
      <w:r w:rsidRPr="009767B9">
        <w:t xml:space="preserve"> (London: Dorling Kindersley Ltd, 2017), p. 182.</w:t>
      </w:r>
    </w:p>
  </w:footnote>
  <w:footnote w:id="9">
    <w:p w:rsidR="002F6F3B" w:rsidRDefault="002F6F3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 w:rsidRPr="002F6F3B">
        <w:t>'Art of France, dir. by Andrew Graham Dixon (BBC, 2017).</w:t>
      </w:r>
      <w:proofErr w:type="gramEnd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25F"/>
    <w:rsid w:val="00142619"/>
    <w:rsid w:val="001C45EC"/>
    <w:rsid w:val="002F6F3B"/>
    <w:rsid w:val="005528BF"/>
    <w:rsid w:val="00646D8C"/>
    <w:rsid w:val="006D72F0"/>
    <w:rsid w:val="007E5B8E"/>
    <w:rsid w:val="00873631"/>
    <w:rsid w:val="008B633A"/>
    <w:rsid w:val="009767B9"/>
    <w:rsid w:val="009C15F6"/>
    <w:rsid w:val="00AD30A7"/>
    <w:rsid w:val="00D3123E"/>
    <w:rsid w:val="00DF3D73"/>
    <w:rsid w:val="00EE4031"/>
    <w:rsid w:val="00F66E8A"/>
    <w:rsid w:val="00F8725F"/>
    <w:rsid w:val="00FD3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7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25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426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619"/>
  </w:style>
  <w:style w:type="paragraph" w:styleId="Footer">
    <w:name w:val="footer"/>
    <w:basedOn w:val="Normal"/>
    <w:link w:val="FooterChar"/>
    <w:uiPriority w:val="99"/>
    <w:unhideWhenUsed/>
    <w:rsid w:val="001426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2619"/>
  </w:style>
  <w:style w:type="paragraph" w:styleId="FootnoteText">
    <w:name w:val="footnote text"/>
    <w:basedOn w:val="Normal"/>
    <w:link w:val="FootnoteTextChar"/>
    <w:uiPriority w:val="99"/>
    <w:semiHidden/>
    <w:unhideWhenUsed/>
    <w:rsid w:val="00646D8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6D8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46D8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7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25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426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619"/>
  </w:style>
  <w:style w:type="paragraph" w:styleId="Footer">
    <w:name w:val="footer"/>
    <w:basedOn w:val="Normal"/>
    <w:link w:val="FooterChar"/>
    <w:uiPriority w:val="99"/>
    <w:unhideWhenUsed/>
    <w:rsid w:val="001426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2619"/>
  </w:style>
  <w:style w:type="paragraph" w:styleId="FootnoteText">
    <w:name w:val="footnote text"/>
    <w:basedOn w:val="Normal"/>
    <w:link w:val="FootnoteTextChar"/>
    <w:uiPriority w:val="99"/>
    <w:semiHidden/>
    <w:unhideWhenUsed/>
    <w:rsid w:val="00646D8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6D8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46D8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AB687-C673-42BC-8E14-A411B281D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</cp:revision>
  <dcterms:created xsi:type="dcterms:W3CDTF">2018-10-31T20:34:00Z</dcterms:created>
  <dcterms:modified xsi:type="dcterms:W3CDTF">2018-10-31T22:50:00Z</dcterms:modified>
</cp:coreProperties>
</file>