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1795" w:rsidRPr="00DB1795" w:rsidRDefault="00DB1795">
      <w:pPr>
        <w:rPr>
          <w:sz w:val="24"/>
          <w:u w:val="single"/>
        </w:rPr>
      </w:pPr>
      <w:r>
        <w:rPr>
          <w:sz w:val="24"/>
          <w:u w:val="single"/>
        </w:rPr>
        <w:t>Explain the significance of marriage and divorce within Judaism.</w:t>
      </w:r>
    </w:p>
    <w:p w:rsidR="005B7098" w:rsidRDefault="00692AE2">
      <w:pPr>
        <w:rPr>
          <w:sz w:val="24"/>
        </w:rPr>
      </w:pPr>
      <w:r>
        <w:rPr>
          <w:sz w:val="24"/>
        </w:rPr>
        <w:t>Judaism and its laws on Marriage and Divorce remains a key issue today. The interpretations and significance of ancient laws, such as the rules set by Deuteronomy, still greatly e</w:t>
      </w:r>
      <w:r w:rsidR="00332EDB">
        <w:rPr>
          <w:sz w:val="24"/>
        </w:rPr>
        <w:t>ffect modern followers of Judaism</w:t>
      </w:r>
      <w:r>
        <w:rPr>
          <w:sz w:val="24"/>
        </w:rPr>
        <w:t>. Especially when considering the role of women and how this is significant to their everyday lives. Although modern Judaism approaches, such as Reform Judaism, allow different interpretations of the laws, the ancient laws still effect Jewish women’</w:t>
      </w:r>
      <w:r w:rsidR="00B869C9">
        <w:rPr>
          <w:sz w:val="24"/>
        </w:rPr>
        <w:t>s marital lives. It is important to consider the</w:t>
      </w:r>
      <w:r w:rsidR="00E424BA">
        <w:rPr>
          <w:sz w:val="24"/>
        </w:rPr>
        <w:t xml:space="preserve"> lack of c</w:t>
      </w:r>
      <w:r w:rsidR="005B7098">
        <w:rPr>
          <w:sz w:val="24"/>
        </w:rPr>
        <w:t>ontrol Jewish women have over their divorce as well as c</w:t>
      </w:r>
      <w:r w:rsidR="00B869C9">
        <w:rPr>
          <w:sz w:val="24"/>
        </w:rPr>
        <w:t xml:space="preserve">onsidering the ancient laws, </w:t>
      </w:r>
      <w:r w:rsidR="005B7098">
        <w:rPr>
          <w:sz w:val="24"/>
        </w:rPr>
        <w:t xml:space="preserve">their ideals about marriage that are projected onto the modern Jewish women. </w:t>
      </w:r>
    </w:p>
    <w:p w:rsidR="00011B00" w:rsidRDefault="00F52F0A">
      <w:pPr>
        <w:rPr>
          <w:sz w:val="24"/>
        </w:rPr>
      </w:pPr>
      <w:r>
        <w:rPr>
          <w:sz w:val="24"/>
        </w:rPr>
        <w:t>Ancient marriage laws are presented in the traditional texts of the Jewish faith, such as the Torah and the Mishnah. The Rape of Dinah (Ge</w:t>
      </w:r>
      <w:r w:rsidR="007A3281">
        <w:rPr>
          <w:sz w:val="24"/>
        </w:rPr>
        <w:t>n 34) suggests that a women’</w:t>
      </w:r>
      <w:r w:rsidR="00866989">
        <w:rPr>
          <w:sz w:val="24"/>
        </w:rPr>
        <w:t xml:space="preserve">s view is not needed when organizing the marriage. Shechem’s father goes to speak with Jacob about their marriage, “Hamor the father of Shechem went out to Jacob” (Gen 34:6-7). Jacob and his sons do not consult </w:t>
      </w:r>
      <w:r w:rsidR="0079452E">
        <w:rPr>
          <w:sz w:val="24"/>
        </w:rPr>
        <w:t>Dinah, nor does she speak. T</w:t>
      </w:r>
      <w:r w:rsidR="00CD4E65">
        <w:rPr>
          <w:sz w:val="24"/>
        </w:rPr>
        <w:t xml:space="preserve">his is significant as it suggests a traditional law of male control in marriage. This would remove a </w:t>
      </w:r>
      <w:r w:rsidR="00FB4644">
        <w:rPr>
          <w:sz w:val="24"/>
        </w:rPr>
        <w:t>brides’</w:t>
      </w:r>
      <w:r w:rsidR="00CD4E65">
        <w:rPr>
          <w:sz w:val="24"/>
        </w:rPr>
        <w:t xml:space="preserve"> freedom of choice over key factors if her marital life, putting her under control of her male relatives a</w:t>
      </w:r>
      <w:r w:rsidR="00855E63">
        <w:rPr>
          <w:sz w:val="24"/>
        </w:rPr>
        <w:t xml:space="preserve">nd her husband. The Mishnah also suggests this as “he who betrothes his daughter” (Ket 4:2 A) is continuously </w:t>
      </w:r>
      <w:r w:rsidR="00EE5A8F">
        <w:rPr>
          <w:sz w:val="24"/>
        </w:rPr>
        <w:t>used.</w:t>
      </w:r>
      <w:r w:rsidR="0081458F">
        <w:rPr>
          <w:sz w:val="24"/>
        </w:rPr>
        <w:t xml:space="preserve"> Similar ideas are presented through the dowry. “Put the marriage present and gift as high as you like … only give me the girl to be my wife” (Gen 34:12). </w:t>
      </w:r>
      <w:r w:rsidR="00295D33">
        <w:rPr>
          <w:sz w:val="24"/>
        </w:rPr>
        <w:t>The significance of the dowry laws</w:t>
      </w:r>
      <w:r w:rsidR="00DA40EB">
        <w:rPr>
          <w:sz w:val="24"/>
        </w:rPr>
        <w:t xml:space="preserve"> or Mohar laws</w:t>
      </w:r>
      <w:r w:rsidR="00295D33">
        <w:rPr>
          <w:sz w:val="24"/>
        </w:rPr>
        <w:t xml:space="preserve"> </w:t>
      </w:r>
      <w:r w:rsidR="00FB4644">
        <w:rPr>
          <w:sz w:val="24"/>
        </w:rPr>
        <w:t>is</w:t>
      </w:r>
      <w:r w:rsidR="00295D33">
        <w:rPr>
          <w:sz w:val="24"/>
        </w:rPr>
        <w:t xml:space="preserve"> shown as it proposes how much </w:t>
      </w:r>
      <w:r w:rsidR="00FB4644">
        <w:rPr>
          <w:sz w:val="24"/>
        </w:rPr>
        <w:t>a woman</w:t>
      </w:r>
      <w:r w:rsidR="00295D33">
        <w:rPr>
          <w:sz w:val="24"/>
        </w:rPr>
        <w:t xml:space="preserve"> is worth, </w:t>
      </w:r>
      <w:r w:rsidR="00D6739D">
        <w:rPr>
          <w:sz w:val="24"/>
        </w:rPr>
        <w:t>especially if she is a virgin,</w:t>
      </w:r>
      <w:r w:rsidR="00DA4852">
        <w:rPr>
          <w:sz w:val="24"/>
        </w:rPr>
        <w:t xml:space="preserve"> </w:t>
      </w:r>
      <w:r w:rsidR="00D6739D">
        <w:rPr>
          <w:sz w:val="24"/>
        </w:rPr>
        <w:t>“collect four hundred zuz for a virgin”</w:t>
      </w:r>
      <w:r w:rsidR="003C6448">
        <w:rPr>
          <w:sz w:val="24"/>
        </w:rPr>
        <w:t xml:space="preserve"> (Ket 1:5 G). This highlights an objectifying law, almost hinting that marriage is a trade of women from her father to her husband, which also supports the idea of a law of marriage that it is primarily controlled by the fathers and male relatives. </w:t>
      </w:r>
    </w:p>
    <w:p w:rsidR="005B7098" w:rsidRDefault="00EE5A8F">
      <w:pPr>
        <w:rPr>
          <w:sz w:val="24"/>
        </w:rPr>
      </w:pPr>
      <w:r>
        <w:rPr>
          <w:sz w:val="24"/>
        </w:rPr>
        <w:t>However, the Mishnah also states that “her marriage contract belongs to her” (Ket 4:2 F)</w:t>
      </w:r>
      <w:r w:rsidR="00BF4200">
        <w:rPr>
          <w:sz w:val="24"/>
        </w:rPr>
        <w:t xml:space="preserve">. This highlights the importance and significance of </w:t>
      </w:r>
      <w:r w:rsidR="008A4D4A">
        <w:rPr>
          <w:sz w:val="24"/>
        </w:rPr>
        <w:t>the Ketubbah to the contextual Jewish women</w:t>
      </w:r>
      <w:r w:rsidR="00533D45">
        <w:rPr>
          <w:sz w:val="24"/>
        </w:rPr>
        <w:t xml:space="preserve"> as well as men.</w:t>
      </w:r>
      <w:r w:rsidR="00C67659">
        <w:rPr>
          <w:sz w:val="24"/>
        </w:rPr>
        <w:t xml:space="preserve"> Segal explains the Ketubbah </w:t>
      </w:r>
      <w:r w:rsidR="007E0BA3">
        <w:rPr>
          <w:sz w:val="24"/>
        </w:rPr>
        <w:t>“</w:t>
      </w:r>
      <w:r w:rsidR="00332EDB">
        <w:rPr>
          <w:sz w:val="24"/>
        </w:rPr>
        <w:t>guaranteed</w:t>
      </w:r>
      <w:r w:rsidR="007E0BA3">
        <w:rPr>
          <w:sz w:val="24"/>
        </w:rPr>
        <w:t xml:space="preserve"> the rights of the parties during the marriage”</w:t>
      </w:r>
      <w:r w:rsidR="007E0BA3">
        <w:rPr>
          <w:rStyle w:val="FootnoteReference"/>
          <w:sz w:val="24"/>
        </w:rPr>
        <w:footnoteReference w:id="1"/>
      </w:r>
      <w:r w:rsidR="008A4D4A">
        <w:rPr>
          <w:sz w:val="24"/>
        </w:rPr>
        <w:t>. Although they faced a suggested loss of control over key aspects of their lives,</w:t>
      </w:r>
      <w:r w:rsidR="00F42E35">
        <w:rPr>
          <w:sz w:val="24"/>
        </w:rPr>
        <w:t xml:space="preserve"> such as marriage, the K</w:t>
      </w:r>
      <w:r w:rsidR="000C45E4">
        <w:rPr>
          <w:sz w:val="24"/>
        </w:rPr>
        <w:t>etubbah “was intended to offer a measure of protection to the women”</w:t>
      </w:r>
      <w:r w:rsidR="000C45E4">
        <w:rPr>
          <w:rStyle w:val="FootnoteReference"/>
          <w:sz w:val="24"/>
        </w:rPr>
        <w:footnoteReference w:id="2"/>
      </w:r>
      <w:r w:rsidR="00F42E35">
        <w:rPr>
          <w:sz w:val="24"/>
        </w:rPr>
        <w:t>, especially financially. “It was initially designed to protect women from … their husbands”</w:t>
      </w:r>
      <w:r w:rsidR="00F42E35">
        <w:rPr>
          <w:rStyle w:val="FootnoteReference"/>
          <w:sz w:val="24"/>
        </w:rPr>
        <w:footnoteReference w:id="3"/>
      </w:r>
      <w:r w:rsidR="00C52B81">
        <w:rPr>
          <w:sz w:val="24"/>
        </w:rPr>
        <w:t>. The marriage contract allo</w:t>
      </w:r>
      <w:r w:rsidR="00BD5A17">
        <w:rPr>
          <w:sz w:val="24"/>
        </w:rPr>
        <w:t xml:space="preserve">ws the wife </w:t>
      </w:r>
      <w:r w:rsidR="00C52B81">
        <w:rPr>
          <w:sz w:val="24"/>
        </w:rPr>
        <w:t xml:space="preserve">rights to a percentage of her </w:t>
      </w:r>
      <w:r w:rsidR="00BD5A17">
        <w:rPr>
          <w:sz w:val="24"/>
        </w:rPr>
        <w:t>husband’s money upon divorce</w:t>
      </w:r>
      <w:r w:rsidR="00292658">
        <w:rPr>
          <w:sz w:val="24"/>
        </w:rPr>
        <w:t xml:space="preserve"> as well as </w:t>
      </w:r>
      <w:r w:rsidR="00BD5A17">
        <w:rPr>
          <w:sz w:val="24"/>
        </w:rPr>
        <w:t xml:space="preserve">detailing the husband’s duties towards the wife. Thus, the Ketubbah significantly gives the women safety </w:t>
      </w:r>
      <w:r w:rsidR="00690A90">
        <w:rPr>
          <w:sz w:val="24"/>
        </w:rPr>
        <w:t>in her marriag</w:t>
      </w:r>
      <w:r w:rsidR="00A25188">
        <w:rPr>
          <w:sz w:val="24"/>
        </w:rPr>
        <w:t xml:space="preserve">e as if there were a divorce she would be financially stable, as well as her </w:t>
      </w:r>
      <w:r w:rsidR="007420E3">
        <w:rPr>
          <w:sz w:val="24"/>
        </w:rPr>
        <w:t>husband’s</w:t>
      </w:r>
      <w:r w:rsidR="00A25188">
        <w:rPr>
          <w:sz w:val="24"/>
        </w:rPr>
        <w:t xml:space="preserve"> duties to keep her clothed and fed. </w:t>
      </w:r>
    </w:p>
    <w:p w:rsidR="00F41CC1" w:rsidRDefault="00F41CC1">
      <w:pPr>
        <w:rPr>
          <w:sz w:val="24"/>
        </w:rPr>
      </w:pPr>
    </w:p>
    <w:p w:rsidR="00A25188" w:rsidRDefault="0083230E">
      <w:pPr>
        <w:rPr>
          <w:rFonts w:cstheme="minorHAnsi"/>
          <w:sz w:val="24"/>
        </w:rPr>
      </w:pPr>
      <w:r>
        <w:rPr>
          <w:sz w:val="24"/>
        </w:rPr>
        <w:lastRenderedPageBreak/>
        <w:t>The modern marriage laws, stem from interpretations of the traditional marriage laws shown in the Mishnah and Torah.</w:t>
      </w:r>
      <w:r w:rsidR="00D652E2">
        <w:rPr>
          <w:sz w:val="24"/>
        </w:rPr>
        <w:t xml:space="preserve"> </w:t>
      </w:r>
      <w:r w:rsidR="003B0921">
        <w:rPr>
          <w:sz w:val="24"/>
        </w:rPr>
        <w:t xml:space="preserve">Orthodox Judaism maintains similar laws of marriage organisation, although it is not male centred. Marriages are organised by older members of the community such as parents, aunts and uncles. </w:t>
      </w:r>
      <w:r w:rsidR="00813B35">
        <w:rPr>
          <w:sz w:val="24"/>
        </w:rPr>
        <w:t>“Families, friends and teachers are all co-opted to find a suitable bride”</w:t>
      </w:r>
      <w:r w:rsidR="00813B35">
        <w:rPr>
          <w:rStyle w:val="FootnoteReference"/>
          <w:sz w:val="24"/>
        </w:rPr>
        <w:footnoteReference w:id="4"/>
      </w:r>
      <w:r w:rsidR="005F3286">
        <w:rPr>
          <w:sz w:val="24"/>
        </w:rPr>
        <w:t xml:space="preserve"> this is </w:t>
      </w:r>
      <w:r w:rsidR="00A54E18">
        <w:rPr>
          <w:sz w:val="24"/>
        </w:rPr>
        <w:t>an</w:t>
      </w:r>
      <w:r w:rsidR="005F3286">
        <w:rPr>
          <w:sz w:val="24"/>
        </w:rPr>
        <w:t xml:space="preserve"> inclusive</w:t>
      </w:r>
      <w:r w:rsidR="005519DF">
        <w:rPr>
          <w:sz w:val="24"/>
        </w:rPr>
        <w:t xml:space="preserve"> modern development</w:t>
      </w:r>
      <w:r w:rsidR="005F3286">
        <w:rPr>
          <w:sz w:val="24"/>
        </w:rPr>
        <w:t xml:space="preserve"> of the ancient laws</w:t>
      </w:r>
      <w:r w:rsidR="001801FF">
        <w:rPr>
          <w:sz w:val="24"/>
        </w:rPr>
        <w:t xml:space="preserve">, which is significant to modern women as it allows them to have more control in their betrothal as well as another woman’s voice involved rather than simply male relatives. </w:t>
      </w:r>
      <w:r w:rsidR="00F76319">
        <w:rPr>
          <w:sz w:val="24"/>
        </w:rPr>
        <w:t>“</w:t>
      </w:r>
      <w:r w:rsidR="0054768E" w:rsidRPr="0054768E">
        <w:rPr>
          <w:rFonts w:cstheme="minorHAnsi"/>
          <w:sz w:val="24"/>
          <w:szCs w:val="20"/>
        </w:rPr>
        <w:t>The Rite of Betrothal, in which rings are exchanged</w:t>
      </w:r>
      <w:r w:rsidR="00F76319">
        <w:rPr>
          <w:rFonts w:cstheme="minorHAnsi"/>
          <w:sz w:val="24"/>
          <w:szCs w:val="20"/>
        </w:rPr>
        <w:t>”</w:t>
      </w:r>
      <w:r w:rsidR="0059158F">
        <w:rPr>
          <w:rStyle w:val="FootnoteReference"/>
          <w:rFonts w:cstheme="minorHAnsi"/>
          <w:sz w:val="24"/>
          <w:szCs w:val="20"/>
        </w:rPr>
        <w:footnoteReference w:id="5"/>
      </w:r>
      <w:r w:rsidR="00F76319">
        <w:rPr>
          <w:rFonts w:cstheme="minorHAnsi"/>
          <w:sz w:val="24"/>
          <w:szCs w:val="20"/>
        </w:rPr>
        <w:t xml:space="preserve"> is also</w:t>
      </w:r>
      <w:r w:rsidR="003042CD">
        <w:rPr>
          <w:rFonts w:cstheme="minorHAnsi"/>
          <w:sz w:val="24"/>
          <w:szCs w:val="20"/>
        </w:rPr>
        <w:t xml:space="preserve"> important to Orthodox Judaism and its marriage laws, it suggests a fair way for the bride and groom to express their </w:t>
      </w:r>
      <w:r w:rsidR="004319A2">
        <w:rPr>
          <w:rFonts w:cstheme="minorHAnsi"/>
          <w:sz w:val="24"/>
          <w:szCs w:val="20"/>
        </w:rPr>
        <w:t xml:space="preserve">willingness to marry each other. </w:t>
      </w:r>
      <w:r w:rsidR="003042CD">
        <w:rPr>
          <w:rFonts w:cstheme="minorHAnsi"/>
          <w:sz w:val="24"/>
          <w:szCs w:val="20"/>
        </w:rPr>
        <w:t>This is a significant part of the marriage as it allows both the bride and the gr</w:t>
      </w:r>
      <w:r w:rsidR="001B5FA9">
        <w:rPr>
          <w:rFonts w:cstheme="minorHAnsi"/>
          <w:sz w:val="24"/>
          <w:szCs w:val="20"/>
        </w:rPr>
        <w:t>oom to commit to each other, which is also shown in reform and conservative.</w:t>
      </w:r>
      <w:r w:rsidR="001039F1">
        <w:rPr>
          <w:rFonts w:cstheme="minorHAnsi"/>
          <w:sz w:val="24"/>
          <w:szCs w:val="20"/>
        </w:rPr>
        <w:t xml:space="preserve"> Reform is claimed to be the most </w:t>
      </w:r>
      <w:r w:rsidR="004319A2">
        <w:rPr>
          <w:rFonts w:cstheme="minorHAnsi"/>
          <w:sz w:val="24"/>
          <w:szCs w:val="20"/>
        </w:rPr>
        <w:t xml:space="preserve">liberal form of Judaism, </w:t>
      </w:r>
      <w:r w:rsidR="001039F1">
        <w:rPr>
          <w:rFonts w:cstheme="minorHAnsi"/>
          <w:sz w:val="24"/>
          <w:szCs w:val="20"/>
        </w:rPr>
        <w:t xml:space="preserve">their laws on marriage are seen to be the most inclusive as, unlike Orthodox Judaism, </w:t>
      </w:r>
      <w:r w:rsidR="004319A2">
        <w:rPr>
          <w:rFonts w:cstheme="minorHAnsi"/>
          <w:sz w:val="24"/>
          <w:szCs w:val="24"/>
        </w:rPr>
        <w:t xml:space="preserve">they allow a child to be Jewish despite if the mother is Jewish or not. </w:t>
      </w:r>
      <w:r w:rsidR="001039F1">
        <w:rPr>
          <w:sz w:val="24"/>
          <w:szCs w:val="24"/>
        </w:rPr>
        <w:t xml:space="preserve">This significantly </w:t>
      </w:r>
      <w:r w:rsidR="009F2248">
        <w:rPr>
          <w:sz w:val="24"/>
          <w:szCs w:val="24"/>
        </w:rPr>
        <w:t xml:space="preserve">allows for inter faith marriages which is a more modern approach as marriage is no longer in tight circles of the person’s church and faith. It allows for Jewish women and men to marry who they </w:t>
      </w:r>
      <w:r w:rsidR="009F2248" w:rsidRPr="009F2248">
        <w:rPr>
          <w:sz w:val="24"/>
          <w:szCs w:val="24"/>
        </w:rPr>
        <w:t>choose, while maintaining their faith and traditions. It is arguably a significant law that is</w:t>
      </w:r>
      <w:r w:rsidR="009F2248">
        <w:rPr>
          <w:sz w:val="24"/>
          <w:szCs w:val="24"/>
        </w:rPr>
        <w:t xml:space="preserve"> allowing to</w:t>
      </w:r>
      <w:r w:rsidR="009F2248" w:rsidRPr="009F2248">
        <w:rPr>
          <w:rFonts w:cstheme="minorHAnsi"/>
          <w:sz w:val="24"/>
          <w:szCs w:val="24"/>
        </w:rPr>
        <w:t xml:space="preserve"> “introduce innovation, preserve tradition, embrace diversity introduce innovation”</w:t>
      </w:r>
      <w:r w:rsidR="009F2248">
        <w:rPr>
          <w:rStyle w:val="FootnoteReference"/>
          <w:rFonts w:cstheme="minorHAnsi"/>
          <w:sz w:val="24"/>
          <w:szCs w:val="24"/>
        </w:rPr>
        <w:footnoteReference w:id="6"/>
      </w:r>
      <w:r w:rsidR="00F70580">
        <w:rPr>
          <w:rFonts w:ascii="Arial" w:hAnsi="Arial" w:cs="Arial"/>
          <w:color w:val="FFFFFF"/>
        </w:rPr>
        <w:t>,</w:t>
      </w:r>
      <w:r w:rsidR="00F70580">
        <w:rPr>
          <w:rFonts w:cstheme="minorHAnsi"/>
          <w:sz w:val="24"/>
        </w:rPr>
        <w:t>. The significance of the modern adaptions of the ancient</w:t>
      </w:r>
      <w:r w:rsidR="003A0E78">
        <w:rPr>
          <w:rFonts w:cstheme="minorHAnsi"/>
          <w:sz w:val="24"/>
        </w:rPr>
        <w:t xml:space="preserve"> marriage</w:t>
      </w:r>
      <w:r w:rsidR="00F70580">
        <w:rPr>
          <w:rFonts w:cstheme="minorHAnsi"/>
          <w:sz w:val="24"/>
        </w:rPr>
        <w:t xml:space="preserve"> laws</w:t>
      </w:r>
      <w:r w:rsidR="003A0E78">
        <w:rPr>
          <w:rFonts w:cstheme="minorHAnsi"/>
          <w:sz w:val="24"/>
        </w:rPr>
        <w:t xml:space="preserve"> is one that adapts with a modern and secular society while maintaining their basis. </w:t>
      </w:r>
    </w:p>
    <w:p w:rsidR="003A0E78" w:rsidRDefault="003A0E78">
      <w:pPr>
        <w:rPr>
          <w:rFonts w:cstheme="minorHAnsi"/>
          <w:sz w:val="24"/>
        </w:rPr>
      </w:pPr>
      <w:r>
        <w:rPr>
          <w:rFonts w:cstheme="minorHAnsi"/>
          <w:sz w:val="24"/>
        </w:rPr>
        <w:t xml:space="preserve">On the other </w:t>
      </w:r>
      <w:r w:rsidR="004867AF">
        <w:rPr>
          <w:rFonts w:cstheme="minorHAnsi"/>
          <w:sz w:val="24"/>
        </w:rPr>
        <w:t>hand,</w:t>
      </w:r>
      <w:r>
        <w:rPr>
          <w:rFonts w:cstheme="minorHAnsi"/>
          <w:sz w:val="24"/>
        </w:rPr>
        <w:t xml:space="preserve"> Divorce remains a controversial issue. </w:t>
      </w:r>
      <w:r w:rsidR="004867AF">
        <w:rPr>
          <w:rFonts w:cstheme="minorHAnsi"/>
          <w:sz w:val="24"/>
        </w:rPr>
        <w:t>The Hebrew Bible first</w:t>
      </w:r>
      <w:r w:rsidR="006D0E27">
        <w:rPr>
          <w:rFonts w:cstheme="minorHAnsi"/>
          <w:sz w:val="24"/>
        </w:rPr>
        <w:t xml:space="preserve"> talks of divorce claiming that;</w:t>
      </w:r>
    </w:p>
    <w:p w:rsidR="006D0E27" w:rsidRDefault="006D0E27">
      <w:pPr>
        <w:rPr>
          <w:rFonts w:cstheme="minorHAnsi"/>
          <w:color w:val="000000"/>
          <w:sz w:val="24"/>
        </w:rPr>
      </w:pPr>
      <w:r>
        <w:rPr>
          <w:rFonts w:cstheme="minorHAnsi"/>
          <w:color w:val="000000"/>
          <w:sz w:val="24"/>
        </w:rPr>
        <w:t>“H</w:t>
      </w:r>
      <w:r w:rsidRPr="006D0E27">
        <w:rPr>
          <w:rFonts w:cstheme="minorHAnsi"/>
          <w:color w:val="000000"/>
          <w:sz w:val="24"/>
        </w:rPr>
        <w:t>e finds something objectionable about her, and so he writes her a certificate of divorce, puts it in her hand, and sends her out of his house; she then leaves his house</w:t>
      </w:r>
      <w:r>
        <w:rPr>
          <w:rFonts w:cstheme="minorHAnsi"/>
          <w:color w:val="000000"/>
          <w:sz w:val="24"/>
        </w:rPr>
        <w:t>” (</w:t>
      </w:r>
      <w:r w:rsidR="00E65B64">
        <w:rPr>
          <w:rFonts w:cstheme="minorHAnsi"/>
          <w:color w:val="000000"/>
          <w:sz w:val="24"/>
        </w:rPr>
        <w:t>Deut 24:1)</w:t>
      </w:r>
      <w:r w:rsidR="00E13DD3">
        <w:rPr>
          <w:rFonts w:cstheme="minorHAnsi"/>
          <w:color w:val="000000"/>
          <w:sz w:val="24"/>
        </w:rPr>
        <w:t>.</w:t>
      </w:r>
    </w:p>
    <w:p w:rsidR="00E65B64" w:rsidRDefault="00E65B64">
      <w:pPr>
        <w:rPr>
          <w:rFonts w:cstheme="minorHAnsi"/>
          <w:color w:val="000000"/>
          <w:sz w:val="24"/>
        </w:rPr>
      </w:pPr>
      <w:r>
        <w:rPr>
          <w:rFonts w:cstheme="minorHAnsi"/>
          <w:color w:val="000000"/>
          <w:sz w:val="24"/>
        </w:rPr>
        <w:t xml:space="preserve">This passage creates the base of Jewish Laws on Divorce, which leads to the development of a male orientated law. </w:t>
      </w:r>
      <w:r w:rsidR="006C7744">
        <w:rPr>
          <w:rFonts w:cstheme="minorHAnsi"/>
          <w:color w:val="000000"/>
          <w:sz w:val="24"/>
        </w:rPr>
        <w:t xml:space="preserve">Due to this, ancient divorces were only allowed to be given by the husband, </w:t>
      </w:r>
      <w:r w:rsidR="004319A2">
        <w:rPr>
          <w:rFonts w:cstheme="minorHAnsi"/>
          <w:color w:val="000000"/>
          <w:sz w:val="24"/>
        </w:rPr>
        <w:t>when he produces his wife with a Get.</w:t>
      </w:r>
      <w:r w:rsidR="00674FAD">
        <w:rPr>
          <w:rFonts w:cstheme="minorHAnsi"/>
          <w:color w:val="000000"/>
          <w:sz w:val="24"/>
        </w:rPr>
        <w:t xml:space="preserve"> This significantly affects a woman’s freedom to leave a marriage when she chooses to, which coincidently also means that a woman can be divorced without her consent. </w:t>
      </w:r>
      <w:r w:rsidR="00C17DC9">
        <w:rPr>
          <w:rFonts w:cstheme="minorHAnsi"/>
          <w:color w:val="000000"/>
          <w:sz w:val="24"/>
        </w:rPr>
        <w:t xml:space="preserve">Women can be abruptly sent from their homes. The reason for divorce, shown in Deuteronomy, is arguably vague so that a woman may be sent out of her home for any reason. Lavinia and Dan Cohn-Sherbok highlight the prejudiced significance of this to women, stating that “the [ancient] women </w:t>
      </w:r>
      <w:r w:rsidR="008E6346">
        <w:rPr>
          <w:rFonts w:cstheme="minorHAnsi"/>
          <w:color w:val="000000"/>
          <w:sz w:val="24"/>
        </w:rPr>
        <w:t>were</w:t>
      </w:r>
      <w:r w:rsidR="00C17DC9">
        <w:rPr>
          <w:rFonts w:cstheme="minorHAnsi"/>
          <w:color w:val="000000"/>
          <w:sz w:val="24"/>
        </w:rPr>
        <w:t xml:space="preserve"> consecrated wholly to the man… he could always take </w:t>
      </w:r>
      <w:r w:rsidR="008E6346">
        <w:rPr>
          <w:rFonts w:cstheme="minorHAnsi"/>
          <w:color w:val="000000"/>
          <w:sz w:val="24"/>
        </w:rPr>
        <w:t>another,</w:t>
      </w:r>
      <w:r w:rsidR="00C17DC9">
        <w:rPr>
          <w:rFonts w:cstheme="minorHAnsi"/>
          <w:color w:val="000000"/>
          <w:sz w:val="24"/>
        </w:rPr>
        <w:t xml:space="preserve"> but this option was not open for women”</w:t>
      </w:r>
      <w:r w:rsidR="007E202D">
        <w:rPr>
          <w:rStyle w:val="FootnoteReference"/>
          <w:rFonts w:cstheme="minorHAnsi"/>
          <w:color w:val="000000"/>
          <w:sz w:val="24"/>
        </w:rPr>
        <w:footnoteReference w:id="7"/>
      </w:r>
      <w:r w:rsidR="00C17DC9">
        <w:rPr>
          <w:rFonts w:cstheme="minorHAnsi"/>
          <w:color w:val="000000"/>
          <w:sz w:val="24"/>
        </w:rPr>
        <w:t xml:space="preserve">. This law gives men, once again, control over women’s lives and their ability to </w:t>
      </w:r>
      <w:r w:rsidR="00C17DC9">
        <w:rPr>
          <w:rFonts w:cstheme="minorHAnsi"/>
          <w:color w:val="000000"/>
          <w:sz w:val="24"/>
        </w:rPr>
        <w:lastRenderedPageBreak/>
        <w:t xml:space="preserve">choose for themselves. </w:t>
      </w:r>
      <w:r w:rsidR="008E6346">
        <w:rPr>
          <w:rFonts w:cstheme="minorHAnsi"/>
          <w:color w:val="000000"/>
          <w:sz w:val="24"/>
        </w:rPr>
        <w:t xml:space="preserve">Although, according to Segal while the husband </w:t>
      </w:r>
      <w:r w:rsidR="00332EDB">
        <w:rPr>
          <w:rFonts w:cstheme="minorHAnsi"/>
          <w:color w:val="000000"/>
          <w:sz w:val="24"/>
        </w:rPr>
        <w:t>oversees</w:t>
      </w:r>
      <w:r w:rsidR="008E6346">
        <w:rPr>
          <w:rFonts w:cstheme="minorHAnsi"/>
          <w:color w:val="000000"/>
          <w:sz w:val="24"/>
        </w:rPr>
        <w:t xml:space="preserve"> delivering the divorce “the court has the authority to compel the husband to so following the request of the wife”</w:t>
      </w:r>
      <w:r w:rsidR="008E6346">
        <w:rPr>
          <w:rStyle w:val="FootnoteReference"/>
          <w:rFonts w:cstheme="minorHAnsi"/>
          <w:color w:val="000000"/>
          <w:sz w:val="24"/>
        </w:rPr>
        <w:footnoteReference w:id="8"/>
      </w:r>
      <w:r w:rsidR="007A50AD">
        <w:rPr>
          <w:rFonts w:cstheme="minorHAnsi"/>
          <w:color w:val="000000"/>
          <w:sz w:val="24"/>
        </w:rPr>
        <w:t>. This allows the women</w:t>
      </w:r>
      <w:r w:rsidR="00637582">
        <w:rPr>
          <w:rFonts w:cstheme="minorHAnsi"/>
          <w:color w:val="000000"/>
          <w:sz w:val="24"/>
        </w:rPr>
        <w:t xml:space="preserve"> a choice in extraordinary</w:t>
      </w:r>
      <w:r w:rsidR="00C977BB">
        <w:rPr>
          <w:rFonts w:cstheme="minorHAnsi"/>
          <w:color w:val="000000"/>
          <w:sz w:val="24"/>
        </w:rPr>
        <w:t xml:space="preserve"> circumstances although it will cost her what she is allowed from her marriage contract. “man may write his quittance”</w:t>
      </w:r>
      <w:r w:rsidR="00BF4C05">
        <w:rPr>
          <w:rFonts w:cstheme="minorHAnsi"/>
          <w:color w:val="000000"/>
          <w:sz w:val="24"/>
        </w:rPr>
        <w:t xml:space="preserve"> (Git 2:5 A) thus leaving her with little money and protection from her husband.</w:t>
      </w:r>
    </w:p>
    <w:p w:rsidR="004A54A7" w:rsidRDefault="00C977BB">
      <w:pPr>
        <w:rPr>
          <w:rFonts w:cstheme="minorHAnsi"/>
          <w:sz w:val="24"/>
          <w:szCs w:val="24"/>
        </w:rPr>
      </w:pPr>
      <w:r>
        <w:rPr>
          <w:rFonts w:cstheme="minorHAnsi"/>
          <w:color w:val="000000"/>
          <w:sz w:val="24"/>
        </w:rPr>
        <w:t xml:space="preserve">The issue of the Get is something that has continued into modern day adaptions of the divorce laws. Although Reform communities allow for a civil divorce, communities such as Orthodox do not. This leads to the issue of </w:t>
      </w:r>
      <w:r w:rsidR="0007209A">
        <w:rPr>
          <w:rFonts w:cstheme="minorHAnsi"/>
          <w:color w:val="000000"/>
          <w:sz w:val="24"/>
        </w:rPr>
        <w:t>‘</w:t>
      </w:r>
      <w:r>
        <w:rPr>
          <w:rFonts w:cstheme="minorHAnsi"/>
          <w:color w:val="000000"/>
          <w:sz w:val="24"/>
        </w:rPr>
        <w:t>chained</w:t>
      </w:r>
      <w:r w:rsidR="0007209A">
        <w:rPr>
          <w:rFonts w:cstheme="minorHAnsi"/>
          <w:color w:val="000000"/>
          <w:sz w:val="24"/>
        </w:rPr>
        <w:t>’</w:t>
      </w:r>
      <w:r>
        <w:rPr>
          <w:rFonts w:cstheme="minorHAnsi"/>
          <w:color w:val="000000"/>
          <w:sz w:val="24"/>
        </w:rPr>
        <w:t xml:space="preserve"> women.</w:t>
      </w:r>
      <w:r w:rsidR="00DA4AEA">
        <w:rPr>
          <w:rFonts w:cstheme="minorHAnsi"/>
          <w:color w:val="000000"/>
          <w:sz w:val="24"/>
        </w:rPr>
        <w:t xml:space="preserve"> Although </w:t>
      </w:r>
      <w:r w:rsidR="00330AD8">
        <w:rPr>
          <w:rFonts w:cstheme="minorHAnsi"/>
          <w:color w:val="000000"/>
          <w:sz w:val="24"/>
        </w:rPr>
        <w:t>a woman</w:t>
      </w:r>
      <w:r w:rsidR="00DA4AEA">
        <w:rPr>
          <w:rFonts w:cstheme="minorHAnsi"/>
          <w:color w:val="000000"/>
          <w:sz w:val="24"/>
        </w:rPr>
        <w:t xml:space="preserve"> can still get civilly divorced, without her husband producing a get she is unable to remarry, and </w:t>
      </w:r>
      <w:r w:rsidR="00920ABE">
        <w:rPr>
          <w:rFonts w:cstheme="minorHAnsi"/>
          <w:color w:val="000000"/>
          <w:sz w:val="24"/>
        </w:rPr>
        <w:t>is</w:t>
      </w:r>
      <w:r w:rsidR="00DA4AEA">
        <w:rPr>
          <w:rFonts w:cstheme="minorHAnsi"/>
          <w:color w:val="000000"/>
          <w:sz w:val="24"/>
        </w:rPr>
        <w:t xml:space="preserve"> still married to her community. “the dilemma of the agunah, </w:t>
      </w:r>
      <w:r w:rsidR="00330AD8">
        <w:rPr>
          <w:rFonts w:cstheme="minorHAnsi"/>
          <w:color w:val="000000"/>
          <w:sz w:val="24"/>
        </w:rPr>
        <w:t>a woman</w:t>
      </w:r>
      <w:r w:rsidR="00DA4AEA">
        <w:rPr>
          <w:rFonts w:cstheme="minorHAnsi"/>
          <w:color w:val="000000"/>
          <w:sz w:val="24"/>
        </w:rPr>
        <w:t>…whose husband refu</w:t>
      </w:r>
      <w:r w:rsidR="000B4EC5">
        <w:rPr>
          <w:rFonts w:cstheme="minorHAnsi"/>
          <w:color w:val="000000"/>
          <w:sz w:val="24"/>
        </w:rPr>
        <w:t>ses to comply with the rabbinic court order to grant her a divorce”</w:t>
      </w:r>
      <w:r w:rsidR="000B4EC5">
        <w:rPr>
          <w:rStyle w:val="FootnoteReference"/>
          <w:rFonts w:cstheme="minorHAnsi"/>
          <w:color w:val="000000"/>
          <w:sz w:val="24"/>
        </w:rPr>
        <w:footnoteReference w:id="9"/>
      </w:r>
      <w:r w:rsidR="0007209A">
        <w:rPr>
          <w:rFonts w:cstheme="minorHAnsi"/>
          <w:color w:val="000000"/>
          <w:sz w:val="24"/>
        </w:rPr>
        <w:t xml:space="preserve">. This means that a woman cannot remarry or have children, which as genealogy is important for Jewish people, would significantly affect a woman. An example of the severity of this for women is presented by </w:t>
      </w:r>
      <w:r w:rsidR="00D10298" w:rsidRPr="00D10298">
        <w:rPr>
          <w:rFonts w:cstheme="minorHAnsi"/>
          <w:color w:val="000000"/>
          <w:sz w:val="24"/>
          <w:szCs w:val="19"/>
        </w:rPr>
        <w:t>Lorelei Laird and Richard Brust</w:t>
      </w:r>
      <w:r w:rsidR="00D10298">
        <w:rPr>
          <w:rFonts w:cstheme="minorHAnsi"/>
          <w:color w:val="000000"/>
          <w:sz w:val="24"/>
          <w:szCs w:val="19"/>
        </w:rPr>
        <w:t xml:space="preserve"> as they give examples of men who have been kidnapped by members of their community as they have refused a divorce. In their report it is explained how</w:t>
      </w:r>
      <w:r w:rsidR="000C704F">
        <w:rPr>
          <w:rFonts w:cstheme="minorHAnsi"/>
          <w:color w:val="000000"/>
          <w:sz w:val="24"/>
          <w:szCs w:val="19"/>
        </w:rPr>
        <w:t xml:space="preserve"> a woman’s husband had disappeared refusing to give a get. The </w:t>
      </w:r>
      <w:r w:rsidR="00D10298">
        <w:rPr>
          <w:rFonts w:cstheme="minorHAnsi"/>
          <w:color w:val="000000"/>
          <w:sz w:val="24"/>
          <w:szCs w:val="19"/>
        </w:rPr>
        <w:t xml:space="preserve">men of the community and the woman’s brother </w:t>
      </w:r>
      <w:r w:rsidR="00D10298">
        <w:rPr>
          <w:rFonts w:ascii="Helvetica" w:hAnsi="Helvetica"/>
          <w:color w:val="000000"/>
          <w:sz w:val="21"/>
          <w:szCs w:val="21"/>
        </w:rPr>
        <w:t>explained that</w:t>
      </w:r>
      <w:r w:rsidR="00D10298" w:rsidRPr="00D10298">
        <w:rPr>
          <w:rFonts w:cstheme="minorHAnsi"/>
          <w:sz w:val="24"/>
          <w:szCs w:val="24"/>
        </w:rPr>
        <w:t>;</w:t>
      </w:r>
    </w:p>
    <w:p w:rsidR="00C977BB" w:rsidRDefault="00D10298">
      <w:pPr>
        <w:rPr>
          <w:rFonts w:cstheme="minorHAnsi"/>
          <w:sz w:val="24"/>
          <w:szCs w:val="24"/>
        </w:rPr>
      </w:pPr>
      <w:r w:rsidRPr="00D10298">
        <w:rPr>
          <w:rFonts w:cstheme="minorHAnsi"/>
          <w:sz w:val="24"/>
          <w:szCs w:val="24"/>
        </w:rPr>
        <w:t xml:space="preserve"> “Basically, what we are going to be doing is kidnapping a guy for a couple of hours and beating him up and torturing him and then getting him to give a get.”</w:t>
      </w:r>
      <w:r w:rsidR="000C704F">
        <w:rPr>
          <w:rStyle w:val="FootnoteReference"/>
          <w:rFonts w:cstheme="minorHAnsi"/>
          <w:sz w:val="24"/>
          <w:szCs w:val="24"/>
        </w:rPr>
        <w:footnoteReference w:id="10"/>
      </w:r>
    </w:p>
    <w:p w:rsidR="000C704F" w:rsidRDefault="000C704F">
      <w:pPr>
        <w:rPr>
          <w:rFonts w:cstheme="minorHAnsi"/>
          <w:color w:val="000000"/>
          <w:sz w:val="24"/>
          <w:szCs w:val="24"/>
        </w:rPr>
      </w:pPr>
      <w:r>
        <w:rPr>
          <w:rFonts w:cstheme="minorHAnsi"/>
          <w:sz w:val="24"/>
          <w:szCs w:val="24"/>
        </w:rPr>
        <w:t xml:space="preserve">The report highlights the </w:t>
      </w:r>
      <w:r w:rsidR="00431FC2">
        <w:rPr>
          <w:rFonts w:cstheme="minorHAnsi"/>
          <w:sz w:val="24"/>
          <w:szCs w:val="24"/>
        </w:rPr>
        <w:t xml:space="preserve">desperation that traditional laws of divorce create within Judaism, women become unable to continue their lives. </w:t>
      </w:r>
      <w:r w:rsidR="0023428E">
        <w:rPr>
          <w:rFonts w:cstheme="minorHAnsi"/>
          <w:sz w:val="24"/>
          <w:szCs w:val="24"/>
        </w:rPr>
        <w:t>However,</w:t>
      </w:r>
      <w:r w:rsidR="00431FC2">
        <w:rPr>
          <w:rFonts w:cstheme="minorHAnsi"/>
          <w:sz w:val="24"/>
          <w:szCs w:val="24"/>
        </w:rPr>
        <w:t xml:space="preserve"> it is important to note that some Jewish men feel that, without a get, they may not maintain what is there’s out of a divorce as the article explains, </w:t>
      </w:r>
      <w:r w:rsidR="00C77396">
        <w:rPr>
          <w:rFonts w:cstheme="minorHAnsi"/>
          <w:sz w:val="24"/>
          <w:szCs w:val="24"/>
        </w:rPr>
        <w:t>“</w:t>
      </w:r>
      <w:r w:rsidR="00431FC2" w:rsidRPr="00C77396">
        <w:rPr>
          <w:rFonts w:cstheme="minorHAnsi"/>
          <w:color w:val="000000"/>
          <w:sz w:val="24"/>
          <w:szCs w:val="24"/>
        </w:rPr>
        <w:t>get refusal is the only leverage they have against an unfair settlement</w:t>
      </w:r>
      <w:r w:rsidR="00C77396">
        <w:rPr>
          <w:rFonts w:cstheme="minorHAnsi"/>
          <w:color w:val="000000"/>
          <w:sz w:val="24"/>
          <w:szCs w:val="24"/>
        </w:rPr>
        <w:t>”</w:t>
      </w:r>
      <w:r w:rsidR="00C77396">
        <w:rPr>
          <w:rStyle w:val="FootnoteReference"/>
          <w:rFonts w:cstheme="minorHAnsi"/>
          <w:color w:val="000000"/>
          <w:sz w:val="24"/>
          <w:szCs w:val="24"/>
        </w:rPr>
        <w:footnoteReference w:id="11"/>
      </w:r>
      <w:r w:rsidR="0023428E">
        <w:rPr>
          <w:rFonts w:cstheme="minorHAnsi"/>
          <w:color w:val="000000"/>
          <w:sz w:val="24"/>
          <w:szCs w:val="24"/>
        </w:rPr>
        <w:t>. Although, it is debated if this is a justified reason.</w:t>
      </w:r>
    </w:p>
    <w:p w:rsidR="00052BB6" w:rsidRDefault="00332EDB">
      <w:pPr>
        <w:rPr>
          <w:rFonts w:cstheme="minorHAnsi"/>
          <w:color w:val="000000"/>
          <w:sz w:val="24"/>
          <w:szCs w:val="24"/>
        </w:rPr>
      </w:pPr>
      <w:r>
        <w:rPr>
          <w:rFonts w:cstheme="minorHAnsi"/>
          <w:color w:val="000000"/>
          <w:sz w:val="24"/>
          <w:szCs w:val="24"/>
        </w:rPr>
        <w:t>Overall,</w:t>
      </w:r>
      <w:r w:rsidR="00055213">
        <w:rPr>
          <w:rFonts w:cstheme="minorHAnsi"/>
          <w:color w:val="000000"/>
          <w:sz w:val="24"/>
          <w:szCs w:val="24"/>
        </w:rPr>
        <w:t xml:space="preserve"> the marriage </w:t>
      </w:r>
      <w:r w:rsidR="00CE4F05">
        <w:rPr>
          <w:rFonts w:cstheme="minorHAnsi"/>
          <w:color w:val="000000"/>
          <w:sz w:val="24"/>
          <w:szCs w:val="24"/>
        </w:rPr>
        <w:t xml:space="preserve">and divorce laws of </w:t>
      </w:r>
      <w:r w:rsidR="00065B31">
        <w:rPr>
          <w:rFonts w:cstheme="minorHAnsi"/>
          <w:color w:val="000000"/>
          <w:sz w:val="24"/>
          <w:szCs w:val="24"/>
        </w:rPr>
        <w:t xml:space="preserve">hold great significance for the people who dutifully follow </w:t>
      </w:r>
      <w:r w:rsidR="00BF4C05">
        <w:rPr>
          <w:rFonts w:cstheme="minorHAnsi"/>
          <w:color w:val="000000"/>
          <w:sz w:val="24"/>
          <w:szCs w:val="24"/>
        </w:rPr>
        <w:t xml:space="preserve">Judaism. The ancient laws were derived from the instructions set out in the Torah and, eventually, the Mishnah. However modern adaptions are needed to dramatically change women’s lives. The ancient laws present a view that leaves women with little rights compared to their male counterparts, although there is the Ketubbah, if </w:t>
      </w:r>
      <w:r w:rsidR="003773AA">
        <w:rPr>
          <w:rFonts w:cstheme="minorHAnsi"/>
          <w:color w:val="000000"/>
          <w:sz w:val="24"/>
          <w:szCs w:val="24"/>
        </w:rPr>
        <w:t>a woman</w:t>
      </w:r>
      <w:r w:rsidR="00BF4C05">
        <w:rPr>
          <w:rFonts w:cstheme="minorHAnsi"/>
          <w:color w:val="000000"/>
          <w:sz w:val="24"/>
          <w:szCs w:val="24"/>
        </w:rPr>
        <w:t xml:space="preserve"> wishes for a divorce it can cost her all she was previously allowed in the Ketubah.</w:t>
      </w:r>
      <w:r w:rsidR="003773AA">
        <w:rPr>
          <w:rFonts w:cstheme="minorHAnsi"/>
          <w:color w:val="000000"/>
          <w:sz w:val="24"/>
          <w:szCs w:val="24"/>
        </w:rPr>
        <w:t xml:space="preserve"> This leaves her with </w:t>
      </w:r>
      <w:r w:rsidR="003773AA">
        <w:rPr>
          <w:rFonts w:cstheme="minorHAnsi"/>
          <w:color w:val="000000"/>
          <w:sz w:val="24"/>
          <w:szCs w:val="24"/>
        </w:rPr>
        <w:lastRenderedPageBreak/>
        <w:t xml:space="preserve">little money or land. </w:t>
      </w:r>
      <w:r w:rsidR="00BF4C05">
        <w:rPr>
          <w:rFonts w:cstheme="minorHAnsi"/>
          <w:color w:val="000000"/>
          <w:sz w:val="24"/>
          <w:szCs w:val="24"/>
        </w:rPr>
        <w:t xml:space="preserve">The woman’s voice is not needed when organising a marriage, despite it being her marriage and life. Although modern adaptions have allowed the </w:t>
      </w:r>
      <w:r w:rsidR="003773AA">
        <w:rPr>
          <w:rFonts w:cstheme="minorHAnsi"/>
          <w:color w:val="000000"/>
          <w:sz w:val="24"/>
          <w:szCs w:val="24"/>
        </w:rPr>
        <w:t>woman to have equal control of h</w:t>
      </w:r>
      <w:r w:rsidR="00BF4C05">
        <w:rPr>
          <w:rFonts w:cstheme="minorHAnsi"/>
          <w:color w:val="000000"/>
          <w:sz w:val="24"/>
          <w:szCs w:val="24"/>
        </w:rPr>
        <w:t>er marriage as well as allowing women in the community to also express their opinions and ideas. This is significant for women as it allows them freedom that ancient women may not have had.</w:t>
      </w:r>
      <w:r w:rsidR="00B03067">
        <w:rPr>
          <w:rFonts w:cstheme="minorHAnsi"/>
          <w:color w:val="000000"/>
          <w:sz w:val="24"/>
          <w:szCs w:val="24"/>
        </w:rPr>
        <w:t xml:space="preserve"> On the other hand, in an orthodox community, the divorce laws remain a significant obstacle for certain women. The issue of chained women continues to have a biased effect on the m</w:t>
      </w:r>
      <w:r w:rsidR="00E41123">
        <w:rPr>
          <w:rFonts w:cstheme="minorHAnsi"/>
          <w:color w:val="000000"/>
          <w:sz w:val="24"/>
          <w:szCs w:val="24"/>
        </w:rPr>
        <w:t xml:space="preserve">odern Jewish women. It significantly destresses the women involved and controls many aspects of their lives, such as their ability to have children. </w:t>
      </w:r>
      <w:r w:rsidR="00052BB6">
        <w:rPr>
          <w:rFonts w:cstheme="minorHAnsi"/>
          <w:color w:val="000000"/>
          <w:sz w:val="24"/>
          <w:szCs w:val="24"/>
        </w:rPr>
        <w:t>Thus,</w:t>
      </w:r>
      <w:r w:rsidR="00E41123">
        <w:rPr>
          <w:rFonts w:cstheme="minorHAnsi"/>
          <w:color w:val="000000"/>
          <w:sz w:val="24"/>
          <w:szCs w:val="24"/>
        </w:rPr>
        <w:t xml:space="preserve"> the marriage and divorce laws continue to significantly affect Jewish women and their everyday lives.</w:t>
      </w:r>
    </w:p>
    <w:p w:rsidR="00052BB6" w:rsidRDefault="00052BB6">
      <w:pPr>
        <w:rPr>
          <w:rFonts w:cstheme="minorHAnsi"/>
          <w:color w:val="000000"/>
          <w:sz w:val="24"/>
          <w:szCs w:val="24"/>
        </w:rPr>
      </w:pPr>
    </w:p>
    <w:p w:rsidR="00052BB6" w:rsidRDefault="00052BB6">
      <w:pPr>
        <w:rPr>
          <w:rFonts w:cstheme="minorHAnsi"/>
          <w:color w:val="000000"/>
          <w:sz w:val="24"/>
          <w:szCs w:val="24"/>
        </w:rPr>
      </w:pPr>
      <w:r>
        <w:rPr>
          <w:rFonts w:cstheme="minorHAnsi"/>
          <w:color w:val="000000"/>
          <w:sz w:val="24"/>
          <w:szCs w:val="24"/>
        </w:rPr>
        <w:br w:type="page"/>
      </w:r>
    </w:p>
    <w:p w:rsidR="00052BB6" w:rsidRDefault="00B03067">
      <w:pPr>
        <w:rPr>
          <w:rFonts w:cstheme="minorHAnsi"/>
          <w:color w:val="000000"/>
          <w:sz w:val="32"/>
          <w:szCs w:val="24"/>
        </w:rPr>
      </w:pPr>
      <w:bookmarkStart w:id="1" w:name="_GoBack"/>
      <w:bookmarkEnd w:id="1"/>
      <w:r>
        <w:rPr>
          <w:rFonts w:cstheme="minorHAnsi"/>
          <w:color w:val="000000"/>
          <w:sz w:val="24"/>
          <w:szCs w:val="24"/>
        </w:rPr>
        <w:lastRenderedPageBreak/>
        <w:t xml:space="preserve"> </w:t>
      </w:r>
      <w:r w:rsidR="00052BB6">
        <w:rPr>
          <w:rFonts w:cstheme="minorHAnsi"/>
          <w:color w:val="000000"/>
          <w:sz w:val="32"/>
          <w:szCs w:val="24"/>
        </w:rPr>
        <w:t>Bibliography</w:t>
      </w:r>
    </w:p>
    <w:p w:rsidR="00052BB6" w:rsidRDefault="00052BB6" w:rsidP="00052BB6">
      <w:pPr>
        <w:pStyle w:val="ListParagraph"/>
        <w:numPr>
          <w:ilvl w:val="0"/>
          <w:numId w:val="3"/>
        </w:numPr>
        <w:rPr>
          <w:rFonts w:cstheme="minorHAnsi"/>
          <w:color w:val="000000"/>
          <w:szCs w:val="24"/>
        </w:rPr>
      </w:pPr>
      <w:r w:rsidRPr="00052BB6">
        <w:rPr>
          <w:rFonts w:cstheme="minorHAnsi"/>
          <w:color w:val="000000"/>
          <w:szCs w:val="24"/>
        </w:rPr>
        <w:t xml:space="preserve">Blu Greenberg (1998) </w:t>
      </w:r>
      <w:r w:rsidRPr="00052BB6">
        <w:rPr>
          <w:rFonts w:cstheme="minorHAnsi"/>
          <w:i/>
          <w:iCs/>
          <w:color w:val="000000"/>
          <w:szCs w:val="24"/>
        </w:rPr>
        <w:t xml:space="preserve">On Women and Judaism: </w:t>
      </w:r>
      <w:r w:rsidR="00D406CB" w:rsidRPr="00052BB6">
        <w:rPr>
          <w:rFonts w:cstheme="minorHAnsi"/>
          <w:i/>
          <w:iCs/>
          <w:color w:val="000000"/>
          <w:szCs w:val="24"/>
        </w:rPr>
        <w:t>A</w:t>
      </w:r>
      <w:r w:rsidRPr="00052BB6">
        <w:rPr>
          <w:rFonts w:cstheme="minorHAnsi"/>
          <w:i/>
          <w:iCs/>
          <w:color w:val="000000"/>
          <w:szCs w:val="24"/>
        </w:rPr>
        <w:t xml:space="preserve"> View from Tradition.</w:t>
      </w:r>
      <w:r w:rsidRPr="00052BB6">
        <w:rPr>
          <w:rFonts w:cstheme="minorHAnsi"/>
          <w:color w:val="000000"/>
          <w:szCs w:val="24"/>
        </w:rPr>
        <w:t xml:space="preserve">, </w:t>
      </w:r>
      <w:r w:rsidR="00D406CB" w:rsidRPr="00052BB6">
        <w:rPr>
          <w:rFonts w:cstheme="minorHAnsi"/>
          <w:color w:val="000000"/>
          <w:szCs w:val="24"/>
        </w:rPr>
        <w:t>Philadelphia:</w:t>
      </w:r>
      <w:r w:rsidRPr="00052BB6">
        <w:rPr>
          <w:rFonts w:cstheme="minorHAnsi"/>
          <w:color w:val="000000"/>
          <w:szCs w:val="24"/>
        </w:rPr>
        <w:t xml:space="preserve"> the Jewish Publication Society of America</w:t>
      </w:r>
    </w:p>
    <w:p w:rsidR="00052BB6" w:rsidRDefault="00052BB6" w:rsidP="00052BB6">
      <w:pPr>
        <w:pStyle w:val="ListParagraph"/>
        <w:numPr>
          <w:ilvl w:val="0"/>
          <w:numId w:val="3"/>
        </w:numPr>
        <w:rPr>
          <w:rFonts w:cstheme="minorHAnsi"/>
          <w:color w:val="000000"/>
          <w:szCs w:val="24"/>
        </w:rPr>
      </w:pPr>
      <w:r w:rsidRPr="00052BB6">
        <w:rPr>
          <w:rFonts w:cstheme="minorHAnsi"/>
          <w:color w:val="000000"/>
          <w:szCs w:val="24"/>
        </w:rPr>
        <w:t xml:space="preserve">Eliezer Segal (2009) </w:t>
      </w:r>
      <w:r w:rsidRPr="00052BB6">
        <w:rPr>
          <w:rFonts w:cstheme="minorHAnsi"/>
          <w:i/>
          <w:iCs/>
          <w:color w:val="000000"/>
          <w:szCs w:val="24"/>
        </w:rPr>
        <w:t>Introducing Judaism</w:t>
      </w:r>
      <w:r w:rsidRPr="00052BB6">
        <w:rPr>
          <w:rFonts w:cstheme="minorHAnsi"/>
          <w:color w:val="000000"/>
          <w:szCs w:val="24"/>
        </w:rPr>
        <w:t>, New York: Routledge</w:t>
      </w:r>
    </w:p>
    <w:p w:rsidR="00190F6E" w:rsidRPr="00190F6E" w:rsidRDefault="00190F6E" w:rsidP="00190F6E">
      <w:pPr>
        <w:pStyle w:val="ListParagraph"/>
        <w:numPr>
          <w:ilvl w:val="0"/>
          <w:numId w:val="3"/>
        </w:numPr>
        <w:rPr>
          <w:rFonts w:cstheme="minorHAnsi"/>
          <w:szCs w:val="24"/>
        </w:rPr>
      </w:pPr>
      <w:r w:rsidRPr="00052BB6">
        <w:rPr>
          <w:rFonts w:cstheme="minorHAnsi"/>
          <w:color w:val="000000"/>
          <w:szCs w:val="24"/>
        </w:rPr>
        <w:t xml:space="preserve">Israel Abrahams (1993) </w:t>
      </w:r>
      <w:r w:rsidRPr="00052BB6">
        <w:rPr>
          <w:rFonts w:cstheme="minorHAnsi"/>
          <w:i/>
          <w:iCs/>
          <w:color w:val="000000"/>
          <w:szCs w:val="24"/>
        </w:rPr>
        <w:t xml:space="preserve">Jewish Life in the </w:t>
      </w:r>
      <w:r w:rsidR="00D406CB" w:rsidRPr="00052BB6">
        <w:rPr>
          <w:rFonts w:cstheme="minorHAnsi"/>
          <w:i/>
          <w:iCs/>
          <w:color w:val="000000"/>
          <w:szCs w:val="24"/>
        </w:rPr>
        <w:t>Medieval</w:t>
      </w:r>
      <w:r w:rsidRPr="00052BB6">
        <w:rPr>
          <w:rFonts w:cstheme="minorHAnsi"/>
          <w:i/>
          <w:iCs/>
          <w:color w:val="000000"/>
          <w:szCs w:val="24"/>
        </w:rPr>
        <w:t xml:space="preserve"> Ages</w:t>
      </w:r>
      <w:r w:rsidRPr="00052BB6">
        <w:rPr>
          <w:rFonts w:cstheme="minorHAnsi"/>
          <w:color w:val="000000"/>
          <w:szCs w:val="24"/>
        </w:rPr>
        <w:t>, 3rd edn., Philadelphia: The Jewish Publication Society</w:t>
      </w:r>
    </w:p>
    <w:p w:rsidR="00052BB6" w:rsidRDefault="001C5C09" w:rsidP="00052BB6">
      <w:pPr>
        <w:pStyle w:val="ListParagraph"/>
        <w:numPr>
          <w:ilvl w:val="0"/>
          <w:numId w:val="3"/>
        </w:numPr>
        <w:rPr>
          <w:rFonts w:cstheme="minorHAnsi"/>
          <w:color w:val="000000"/>
          <w:szCs w:val="24"/>
        </w:rPr>
      </w:pPr>
      <w:r>
        <w:rPr>
          <w:rFonts w:cstheme="minorHAnsi"/>
          <w:color w:val="000000"/>
          <w:szCs w:val="24"/>
        </w:rPr>
        <w:t>Lavinia and Dan C</w:t>
      </w:r>
      <w:r w:rsidR="00052BB6" w:rsidRPr="00052BB6">
        <w:rPr>
          <w:rFonts w:cstheme="minorHAnsi"/>
          <w:color w:val="000000"/>
          <w:szCs w:val="24"/>
        </w:rPr>
        <w:t xml:space="preserve">ohn-Sherbok (1997) </w:t>
      </w:r>
      <w:r w:rsidR="00052BB6" w:rsidRPr="00052BB6">
        <w:rPr>
          <w:rFonts w:cstheme="minorHAnsi"/>
          <w:i/>
          <w:iCs/>
          <w:color w:val="000000"/>
          <w:szCs w:val="24"/>
        </w:rPr>
        <w:t xml:space="preserve">A Short Introduction to </w:t>
      </w:r>
      <w:r w:rsidR="00D406CB" w:rsidRPr="00052BB6">
        <w:rPr>
          <w:rFonts w:cstheme="minorHAnsi"/>
          <w:i/>
          <w:iCs/>
          <w:color w:val="000000"/>
          <w:szCs w:val="24"/>
        </w:rPr>
        <w:t>Judaism,</w:t>
      </w:r>
      <w:r w:rsidR="00052BB6" w:rsidRPr="00052BB6">
        <w:rPr>
          <w:rFonts w:cstheme="minorHAnsi"/>
          <w:color w:val="000000"/>
          <w:szCs w:val="24"/>
        </w:rPr>
        <w:t xml:space="preserve"> Broadway Rockport: Oneworld Publications</w:t>
      </w:r>
    </w:p>
    <w:p w:rsidR="00052BB6" w:rsidRPr="00190F6E" w:rsidRDefault="001C5C09" w:rsidP="00052BB6">
      <w:pPr>
        <w:pStyle w:val="ListParagraph"/>
        <w:numPr>
          <w:ilvl w:val="0"/>
          <w:numId w:val="3"/>
        </w:numPr>
        <w:rPr>
          <w:rFonts w:cstheme="minorHAnsi"/>
          <w:szCs w:val="24"/>
        </w:rPr>
      </w:pPr>
      <w:r>
        <w:rPr>
          <w:rFonts w:cstheme="minorHAnsi"/>
          <w:color w:val="000000"/>
          <w:szCs w:val="24"/>
        </w:rPr>
        <w:t>Lavinia and Dan C</w:t>
      </w:r>
      <w:r w:rsidR="00052BB6" w:rsidRPr="00052BB6">
        <w:rPr>
          <w:rFonts w:cstheme="minorHAnsi"/>
          <w:color w:val="000000"/>
          <w:szCs w:val="24"/>
        </w:rPr>
        <w:t xml:space="preserve">ohn-Sherbok (1997) </w:t>
      </w:r>
      <w:r w:rsidR="00052BB6" w:rsidRPr="00052BB6">
        <w:rPr>
          <w:rFonts w:cstheme="minorHAnsi"/>
          <w:i/>
          <w:iCs/>
          <w:color w:val="000000"/>
          <w:szCs w:val="24"/>
        </w:rPr>
        <w:t xml:space="preserve">A Short Introduction to </w:t>
      </w:r>
      <w:r w:rsidR="00D406CB" w:rsidRPr="00052BB6">
        <w:rPr>
          <w:rFonts w:cstheme="minorHAnsi"/>
          <w:i/>
          <w:iCs/>
          <w:color w:val="000000"/>
          <w:szCs w:val="24"/>
        </w:rPr>
        <w:t>Judaism,</w:t>
      </w:r>
      <w:r w:rsidR="00052BB6" w:rsidRPr="00052BB6">
        <w:rPr>
          <w:rFonts w:cstheme="minorHAnsi"/>
          <w:color w:val="000000"/>
          <w:szCs w:val="24"/>
        </w:rPr>
        <w:t xml:space="preserve"> Broadway Rockport: Oneworld Publications</w:t>
      </w:r>
    </w:p>
    <w:p w:rsidR="00190F6E" w:rsidRPr="00190F6E" w:rsidRDefault="00190F6E" w:rsidP="00190F6E">
      <w:pPr>
        <w:pStyle w:val="ListParagraph"/>
        <w:numPr>
          <w:ilvl w:val="0"/>
          <w:numId w:val="3"/>
        </w:numPr>
        <w:rPr>
          <w:sz w:val="24"/>
        </w:rPr>
      </w:pPr>
      <w:r>
        <w:rPr>
          <w:rFonts w:ascii="Arial" w:hAnsi="Arial" w:cs="Arial"/>
          <w:color w:val="000000"/>
          <w:sz w:val="19"/>
          <w:szCs w:val="19"/>
        </w:rPr>
        <w:t xml:space="preserve">Lorelei Laird and Richard Brust (2014) 'Women in Chains', </w:t>
      </w:r>
      <w:r>
        <w:rPr>
          <w:rFonts w:ascii="Arial" w:hAnsi="Arial" w:cs="Arial"/>
          <w:i/>
          <w:iCs/>
          <w:color w:val="000000"/>
          <w:sz w:val="19"/>
          <w:szCs w:val="19"/>
        </w:rPr>
        <w:t xml:space="preserve">ABA Journal, </w:t>
      </w:r>
      <w:r>
        <w:rPr>
          <w:rFonts w:ascii="Arial" w:hAnsi="Arial" w:cs="Arial"/>
          <w:color w:val="000000"/>
          <w:sz w:val="19"/>
          <w:szCs w:val="19"/>
        </w:rPr>
        <w:t xml:space="preserve">Volume 100(Issue 8), pp. 17-21 [Online]. Available at: </w:t>
      </w:r>
      <w:r>
        <w:rPr>
          <w:rFonts w:ascii="Arial" w:hAnsi="Arial" w:cs="Arial"/>
          <w:i/>
          <w:iCs/>
          <w:color w:val="000000"/>
          <w:sz w:val="19"/>
          <w:szCs w:val="19"/>
          <w:u w:val="single"/>
        </w:rPr>
        <w:t>http://www.abajournal.com/magazine/article/lawyers_look_for_secular_solutions_to_the_jewish_divorce_problem</w:t>
      </w:r>
      <w:r>
        <w:rPr>
          <w:rFonts w:ascii="Arial" w:hAnsi="Arial" w:cs="Arial"/>
          <w:color w:val="000000"/>
          <w:sz w:val="19"/>
          <w:szCs w:val="19"/>
        </w:rPr>
        <w:t xml:space="preserve"> (Accessed: 22nd October 2017).</w:t>
      </w:r>
    </w:p>
    <w:p w:rsidR="00052BB6" w:rsidRDefault="00052BB6" w:rsidP="00190F6E">
      <w:pPr>
        <w:pStyle w:val="ListParagraph"/>
        <w:numPr>
          <w:ilvl w:val="0"/>
          <w:numId w:val="3"/>
        </w:numPr>
        <w:rPr>
          <w:rFonts w:cstheme="minorHAnsi"/>
          <w:color w:val="000000"/>
          <w:szCs w:val="24"/>
        </w:rPr>
      </w:pPr>
      <w:r w:rsidRPr="00190F6E">
        <w:rPr>
          <w:rFonts w:cstheme="minorHAnsi"/>
          <w:color w:val="000000"/>
          <w:szCs w:val="24"/>
        </w:rPr>
        <w:t xml:space="preserve">Nicholas de Lange, Miri Freud-Kandel (2008) </w:t>
      </w:r>
      <w:r w:rsidRPr="00190F6E">
        <w:rPr>
          <w:rFonts w:cstheme="minorHAnsi"/>
          <w:i/>
          <w:iCs/>
          <w:color w:val="000000"/>
          <w:szCs w:val="24"/>
        </w:rPr>
        <w:t>Modern Judaism</w:t>
      </w:r>
      <w:r w:rsidRPr="00190F6E">
        <w:rPr>
          <w:rFonts w:cstheme="minorHAnsi"/>
          <w:color w:val="000000"/>
          <w:szCs w:val="24"/>
        </w:rPr>
        <w:t>, 2nd edn., New Yor</w:t>
      </w:r>
      <w:r w:rsidR="00190F6E">
        <w:rPr>
          <w:rFonts w:cstheme="minorHAnsi"/>
          <w:color w:val="000000"/>
          <w:szCs w:val="24"/>
        </w:rPr>
        <w:t>k: Oxford University Press Inc.</w:t>
      </w:r>
    </w:p>
    <w:p w:rsidR="00190F6E" w:rsidRDefault="00190F6E" w:rsidP="00190F6E">
      <w:pPr>
        <w:rPr>
          <w:rFonts w:cstheme="minorHAnsi"/>
          <w:color w:val="000000"/>
          <w:szCs w:val="24"/>
        </w:rPr>
      </w:pPr>
      <w:r>
        <w:rPr>
          <w:rFonts w:cstheme="minorHAnsi"/>
          <w:color w:val="000000"/>
          <w:szCs w:val="24"/>
        </w:rPr>
        <w:t>Online sources;</w:t>
      </w:r>
    </w:p>
    <w:p w:rsidR="005F5350" w:rsidRPr="005F5350" w:rsidRDefault="005F5350" w:rsidP="005F5350">
      <w:pPr>
        <w:pStyle w:val="ListParagraph"/>
        <w:numPr>
          <w:ilvl w:val="0"/>
          <w:numId w:val="5"/>
        </w:numPr>
        <w:rPr>
          <w:rFonts w:cstheme="minorHAnsi"/>
          <w:color w:val="000000"/>
          <w:szCs w:val="24"/>
        </w:rPr>
      </w:pPr>
      <w:r w:rsidRPr="005F5350">
        <w:rPr>
          <w:rFonts w:cstheme="minorHAnsi"/>
          <w:color w:val="000000"/>
          <w:szCs w:val="24"/>
        </w:rPr>
        <w:t xml:space="preserve">(2017) </w:t>
      </w:r>
      <w:r w:rsidRPr="005F5350">
        <w:rPr>
          <w:rFonts w:cstheme="minorHAnsi"/>
          <w:i/>
          <w:iCs/>
          <w:color w:val="000000"/>
          <w:szCs w:val="24"/>
        </w:rPr>
        <w:t xml:space="preserve">Ancient Jewish </w:t>
      </w:r>
      <w:r w:rsidR="00D406CB" w:rsidRPr="005F5350">
        <w:rPr>
          <w:rFonts w:cstheme="minorHAnsi"/>
          <w:i/>
          <w:iCs/>
          <w:color w:val="000000"/>
          <w:szCs w:val="24"/>
        </w:rPr>
        <w:t>Marriage,</w:t>
      </w:r>
      <w:r w:rsidRPr="005F5350">
        <w:rPr>
          <w:rFonts w:cstheme="minorHAnsi"/>
          <w:i/>
          <w:iCs/>
          <w:color w:val="000000"/>
          <w:szCs w:val="24"/>
        </w:rPr>
        <w:t xml:space="preserve"> </w:t>
      </w:r>
      <w:r w:rsidRPr="005F5350">
        <w:rPr>
          <w:rFonts w:cstheme="minorHAnsi"/>
          <w:color w:val="000000"/>
          <w:szCs w:val="24"/>
        </w:rPr>
        <w:t xml:space="preserve">Available at: </w:t>
      </w:r>
      <w:r w:rsidRPr="005F5350">
        <w:rPr>
          <w:rFonts w:cstheme="minorHAnsi"/>
          <w:i/>
          <w:iCs/>
          <w:color w:val="000000"/>
          <w:szCs w:val="24"/>
          <w:u w:val="single"/>
        </w:rPr>
        <w:t>https://www.myjewishlearning.com/article/ancient-jewish-marriage/</w:t>
      </w:r>
      <w:r w:rsidRPr="005F5350">
        <w:rPr>
          <w:rFonts w:cstheme="minorHAnsi"/>
          <w:color w:val="000000"/>
          <w:szCs w:val="24"/>
        </w:rPr>
        <w:t xml:space="preserve"> (Accessed: 6th November 2017).</w:t>
      </w:r>
    </w:p>
    <w:p w:rsidR="005F5350" w:rsidRPr="005F5350" w:rsidRDefault="005F5350" w:rsidP="005F5350">
      <w:pPr>
        <w:pStyle w:val="ListParagraph"/>
        <w:numPr>
          <w:ilvl w:val="0"/>
          <w:numId w:val="5"/>
        </w:numPr>
        <w:rPr>
          <w:rFonts w:cstheme="minorHAnsi"/>
          <w:color w:val="000000"/>
          <w:szCs w:val="24"/>
        </w:rPr>
      </w:pPr>
      <w:r w:rsidRPr="005F5350">
        <w:rPr>
          <w:rFonts w:cstheme="minorHAnsi"/>
          <w:i/>
          <w:iCs/>
          <w:color w:val="000000"/>
          <w:szCs w:val="24"/>
        </w:rPr>
        <w:t xml:space="preserve">Ketubbah, </w:t>
      </w:r>
      <w:r w:rsidRPr="005F5350">
        <w:rPr>
          <w:rFonts w:cstheme="minorHAnsi"/>
          <w:color w:val="000000"/>
          <w:szCs w:val="24"/>
        </w:rPr>
        <w:t xml:space="preserve">Available at: </w:t>
      </w:r>
      <w:r w:rsidRPr="005F5350">
        <w:rPr>
          <w:rFonts w:cstheme="minorHAnsi"/>
          <w:i/>
          <w:iCs/>
          <w:color w:val="000000"/>
          <w:szCs w:val="24"/>
          <w:u w:val="single"/>
        </w:rPr>
        <w:t>http://www.jewishvirtuallibrary.org/ketubbah</w:t>
      </w:r>
      <w:r w:rsidRPr="005F5350">
        <w:rPr>
          <w:rFonts w:cstheme="minorHAnsi"/>
          <w:color w:val="000000"/>
          <w:szCs w:val="24"/>
        </w:rPr>
        <w:t xml:space="preserve"> (Accessed: 8th November 2017</w:t>
      </w:r>
      <w:r w:rsidR="00D406CB" w:rsidRPr="005F5350">
        <w:rPr>
          <w:rFonts w:cstheme="minorHAnsi"/>
          <w:color w:val="000000"/>
          <w:szCs w:val="24"/>
        </w:rPr>
        <w:t>).</w:t>
      </w:r>
    </w:p>
    <w:p w:rsidR="005F5350" w:rsidRPr="005F5350" w:rsidRDefault="005F5350" w:rsidP="005F5350">
      <w:pPr>
        <w:pStyle w:val="ListParagraph"/>
        <w:numPr>
          <w:ilvl w:val="0"/>
          <w:numId w:val="5"/>
        </w:numPr>
        <w:rPr>
          <w:rFonts w:cstheme="minorHAnsi"/>
          <w:color w:val="000000"/>
          <w:szCs w:val="24"/>
        </w:rPr>
      </w:pPr>
      <w:r w:rsidRPr="005F5350">
        <w:rPr>
          <w:rFonts w:cstheme="minorHAnsi"/>
          <w:color w:val="000000"/>
          <w:szCs w:val="24"/>
        </w:rPr>
        <w:t xml:space="preserve"> (2017) </w:t>
      </w:r>
      <w:r w:rsidRPr="005F5350">
        <w:rPr>
          <w:rFonts w:cstheme="minorHAnsi"/>
          <w:i/>
          <w:iCs/>
          <w:color w:val="000000"/>
          <w:szCs w:val="24"/>
        </w:rPr>
        <w:t xml:space="preserve">Orthodox Wedding Ceremony, </w:t>
      </w:r>
      <w:r w:rsidRPr="005F5350">
        <w:rPr>
          <w:rFonts w:cstheme="minorHAnsi"/>
          <w:color w:val="000000"/>
          <w:szCs w:val="24"/>
        </w:rPr>
        <w:t xml:space="preserve">Available at: </w:t>
      </w:r>
      <w:r w:rsidRPr="005F5350">
        <w:rPr>
          <w:rFonts w:cstheme="minorHAnsi"/>
          <w:i/>
          <w:iCs/>
          <w:color w:val="000000"/>
          <w:szCs w:val="24"/>
          <w:u w:val="single"/>
        </w:rPr>
        <w:t>https://oca.org/questions/sacramentmarriage/orthodox-wedding-ceremony</w:t>
      </w:r>
      <w:r w:rsidRPr="005F5350">
        <w:rPr>
          <w:rFonts w:cstheme="minorHAnsi"/>
          <w:color w:val="000000"/>
          <w:szCs w:val="24"/>
        </w:rPr>
        <w:t xml:space="preserve"> (Accessed: 3rd </w:t>
      </w:r>
      <w:r w:rsidR="00D406CB" w:rsidRPr="005F5350">
        <w:rPr>
          <w:rFonts w:cstheme="minorHAnsi"/>
          <w:color w:val="000000"/>
          <w:szCs w:val="24"/>
        </w:rPr>
        <w:t>November</w:t>
      </w:r>
      <w:r w:rsidRPr="005F5350">
        <w:rPr>
          <w:rFonts w:cstheme="minorHAnsi"/>
          <w:color w:val="000000"/>
          <w:szCs w:val="24"/>
        </w:rPr>
        <w:t xml:space="preserve"> 2017).</w:t>
      </w:r>
    </w:p>
    <w:p w:rsidR="005F5350" w:rsidRPr="005F5350" w:rsidRDefault="005F5350" w:rsidP="005F5350">
      <w:pPr>
        <w:pStyle w:val="ListParagraph"/>
        <w:numPr>
          <w:ilvl w:val="0"/>
          <w:numId w:val="5"/>
        </w:numPr>
        <w:rPr>
          <w:rFonts w:cstheme="minorHAnsi"/>
          <w:color w:val="000000"/>
          <w:szCs w:val="24"/>
        </w:rPr>
      </w:pPr>
      <w:r w:rsidRPr="005F5350">
        <w:rPr>
          <w:rFonts w:cstheme="minorHAnsi"/>
          <w:color w:val="000000"/>
          <w:szCs w:val="24"/>
        </w:rPr>
        <w:t xml:space="preserve"> (2017) </w:t>
      </w:r>
      <w:r w:rsidRPr="005F5350">
        <w:rPr>
          <w:rFonts w:cstheme="minorHAnsi"/>
          <w:i/>
          <w:iCs/>
          <w:color w:val="000000"/>
          <w:szCs w:val="24"/>
        </w:rPr>
        <w:t xml:space="preserve">The Tenets if Reform Judaism, </w:t>
      </w:r>
      <w:r w:rsidRPr="005F5350">
        <w:rPr>
          <w:rFonts w:cstheme="minorHAnsi"/>
          <w:color w:val="000000"/>
          <w:szCs w:val="24"/>
        </w:rPr>
        <w:t xml:space="preserve">Available at: </w:t>
      </w:r>
      <w:r w:rsidRPr="005F5350">
        <w:rPr>
          <w:rFonts w:cstheme="minorHAnsi"/>
          <w:i/>
          <w:iCs/>
          <w:color w:val="000000"/>
          <w:szCs w:val="24"/>
          <w:u w:val="single"/>
        </w:rPr>
        <w:t>http://www.jewishvirtuallibrary.org/the-tenets-of-reform-judaism</w:t>
      </w:r>
      <w:r w:rsidRPr="005F5350">
        <w:rPr>
          <w:rFonts w:cstheme="minorHAnsi"/>
          <w:color w:val="000000"/>
          <w:szCs w:val="24"/>
        </w:rPr>
        <w:t xml:space="preserve"> (Accessed: 8th November 2017).</w:t>
      </w:r>
    </w:p>
    <w:p w:rsidR="005F5350" w:rsidRPr="005F5350" w:rsidRDefault="005F5350" w:rsidP="005F5350">
      <w:pPr>
        <w:pStyle w:val="ListParagraph"/>
        <w:numPr>
          <w:ilvl w:val="0"/>
          <w:numId w:val="5"/>
        </w:numPr>
        <w:rPr>
          <w:rFonts w:cstheme="minorHAnsi"/>
          <w:color w:val="000000"/>
          <w:szCs w:val="24"/>
        </w:rPr>
      </w:pPr>
      <w:r w:rsidRPr="005F5350">
        <w:rPr>
          <w:rFonts w:cstheme="minorHAnsi"/>
          <w:color w:val="000000"/>
          <w:szCs w:val="24"/>
        </w:rPr>
        <w:t xml:space="preserve">(2017) </w:t>
      </w:r>
      <w:r w:rsidRPr="005F5350">
        <w:rPr>
          <w:rFonts w:cstheme="minorHAnsi"/>
          <w:i/>
          <w:iCs/>
          <w:color w:val="000000"/>
          <w:szCs w:val="24"/>
        </w:rPr>
        <w:t xml:space="preserve">What is Reform Judaism, </w:t>
      </w:r>
      <w:r w:rsidRPr="005F5350">
        <w:rPr>
          <w:rFonts w:cstheme="minorHAnsi"/>
          <w:color w:val="000000"/>
          <w:szCs w:val="24"/>
        </w:rPr>
        <w:t xml:space="preserve">Available at: </w:t>
      </w:r>
      <w:r w:rsidRPr="005F5350">
        <w:rPr>
          <w:rFonts w:cstheme="minorHAnsi"/>
          <w:i/>
          <w:iCs/>
          <w:color w:val="000000"/>
          <w:szCs w:val="24"/>
          <w:u w:val="single"/>
        </w:rPr>
        <w:t>https://reformjudaism.org/practice</w:t>
      </w:r>
      <w:r w:rsidRPr="005F5350">
        <w:rPr>
          <w:rFonts w:cstheme="minorHAnsi"/>
          <w:color w:val="000000"/>
          <w:szCs w:val="24"/>
        </w:rPr>
        <w:t xml:space="preserve"> (Accessed: 8th November 2017)</w:t>
      </w:r>
    </w:p>
    <w:p w:rsidR="00190F6E" w:rsidRPr="005F5350" w:rsidRDefault="00190F6E" w:rsidP="005F5350">
      <w:pPr>
        <w:ind w:left="360"/>
        <w:rPr>
          <w:rFonts w:cstheme="minorHAnsi"/>
          <w:color w:val="000000"/>
          <w:szCs w:val="24"/>
        </w:rPr>
      </w:pPr>
    </w:p>
    <w:p w:rsidR="00190F6E" w:rsidRPr="00190F6E" w:rsidRDefault="00190F6E" w:rsidP="00190F6E">
      <w:pPr>
        <w:rPr>
          <w:rFonts w:cstheme="minorHAnsi"/>
          <w:color w:val="000000"/>
          <w:szCs w:val="24"/>
        </w:rPr>
      </w:pPr>
    </w:p>
    <w:sectPr w:rsidR="00190F6E" w:rsidRPr="00190F6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2E2" w:rsidRDefault="00D652E2" w:rsidP="00D74909">
      <w:pPr>
        <w:spacing w:after="0" w:line="240" w:lineRule="auto"/>
      </w:pPr>
      <w:r>
        <w:separator/>
      </w:r>
    </w:p>
  </w:endnote>
  <w:endnote w:type="continuationSeparator" w:id="0">
    <w:p w:rsidR="00D652E2" w:rsidRDefault="00D652E2" w:rsidP="00D74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2E2" w:rsidRDefault="00D652E2" w:rsidP="00D74909">
      <w:pPr>
        <w:spacing w:after="0" w:line="240" w:lineRule="auto"/>
      </w:pPr>
      <w:r>
        <w:separator/>
      </w:r>
    </w:p>
  </w:footnote>
  <w:footnote w:type="continuationSeparator" w:id="0">
    <w:p w:rsidR="00D652E2" w:rsidRDefault="00D652E2" w:rsidP="00D74909">
      <w:pPr>
        <w:spacing w:after="0" w:line="240" w:lineRule="auto"/>
      </w:pPr>
      <w:r>
        <w:continuationSeparator/>
      </w:r>
    </w:p>
  </w:footnote>
  <w:footnote w:id="1">
    <w:p w:rsidR="007E0BA3" w:rsidRDefault="007E0BA3">
      <w:pPr>
        <w:pStyle w:val="FootnoteText"/>
      </w:pPr>
      <w:r>
        <w:rPr>
          <w:rStyle w:val="FootnoteReference"/>
        </w:rPr>
        <w:footnoteRef/>
      </w:r>
      <w:r>
        <w:t xml:space="preserve"> </w:t>
      </w:r>
      <w:r w:rsidR="00F81936">
        <w:rPr>
          <w:rFonts w:ascii="Arial" w:hAnsi="Arial" w:cs="Arial"/>
          <w:color w:val="000000"/>
          <w:sz w:val="19"/>
          <w:szCs w:val="19"/>
        </w:rPr>
        <w:t xml:space="preserve">Eliezer Segal (2009) </w:t>
      </w:r>
      <w:r w:rsidR="00F81936">
        <w:rPr>
          <w:rFonts w:ascii="Arial" w:hAnsi="Arial" w:cs="Arial"/>
          <w:i/>
          <w:iCs/>
          <w:color w:val="000000"/>
          <w:sz w:val="19"/>
          <w:szCs w:val="19"/>
        </w:rPr>
        <w:t>Introducing Judaism</w:t>
      </w:r>
      <w:r w:rsidR="00F81936">
        <w:rPr>
          <w:rFonts w:ascii="Arial" w:hAnsi="Arial" w:cs="Arial"/>
          <w:color w:val="000000"/>
          <w:sz w:val="19"/>
          <w:szCs w:val="19"/>
        </w:rPr>
        <w:t>, New York: Routledge, P.P 260.</w:t>
      </w:r>
    </w:p>
  </w:footnote>
  <w:footnote w:id="2">
    <w:p w:rsidR="00D652E2" w:rsidRDefault="00D652E2">
      <w:pPr>
        <w:pStyle w:val="FootnoteText"/>
      </w:pPr>
      <w:r>
        <w:rPr>
          <w:rStyle w:val="FootnoteReference"/>
        </w:rPr>
        <w:footnoteRef/>
      </w:r>
      <w:r>
        <w:t xml:space="preserve"> </w:t>
      </w:r>
      <w:bookmarkStart w:id="0" w:name="_Hlk498189451"/>
      <w:r w:rsidR="001C5C09">
        <w:rPr>
          <w:rFonts w:ascii="Arial" w:hAnsi="Arial" w:cs="Arial"/>
          <w:color w:val="000000"/>
          <w:sz w:val="19"/>
          <w:szCs w:val="19"/>
        </w:rPr>
        <w:t>Lavinia and Dan C</w:t>
      </w:r>
      <w:r>
        <w:rPr>
          <w:rFonts w:ascii="Arial" w:hAnsi="Arial" w:cs="Arial"/>
          <w:color w:val="000000"/>
          <w:sz w:val="19"/>
          <w:szCs w:val="19"/>
        </w:rPr>
        <w:t xml:space="preserve">ohn-Sherbok (1997) </w:t>
      </w:r>
      <w:r>
        <w:rPr>
          <w:rFonts w:ascii="Arial" w:hAnsi="Arial" w:cs="Arial"/>
          <w:i/>
          <w:iCs/>
          <w:color w:val="000000"/>
          <w:sz w:val="19"/>
          <w:szCs w:val="19"/>
        </w:rPr>
        <w:t xml:space="preserve">A Short Introduction to </w:t>
      </w:r>
      <w:r w:rsidR="00332EDB">
        <w:rPr>
          <w:rFonts w:ascii="Arial" w:hAnsi="Arial" w:cs="Arial"/>
          <w:i/>
          <w:iCs/>
          <w:color w:val="000000"/>
          <w:sz w:val="19"/>
          <w:szCs w:val="19"/>
        </w:rPr>
        <w:t>Judaism,</w:t>
      </w:r>
      <w:r>
        <w:rPr>
          <w:rFonts w:ascii="Arial" w:hAnsi="Arial" w:cs="Arial"/>
          <w:color w:val="000000"/>
          <w:sz w:val="19"/>
          <w:szCs w:val="19"/>
        </w:rPr>
        <w:t xml:space="preserve"> Broadway Rockport: Oneworld Publications</w:t>
      </w:r>
      <w:r w:rsidR="00FB4644">
        <w:rPr>
          <w:rFonts w:ascii="Arial" w:hAnsi="Arial" w:cs="Arial"/>
          <w:color w:val="000000"/>
          <w:sz w:val="19"/>
          <w:szCs w:val="19"/>
        </w:rPr>
        <w:t>, P.P 107.</w:t>
      </w:r>
      <w:bookmarkEnd w:id="0"/>
    </w:p>
  </w:footnote>
  <w:footnote w:id="3">
    <w:p w:rsidR="00D652E2" w:rsidRPr="00A54E18" w:rsidRDefault="00D652E2" w:rsidP="00A54E18">
      <w:pPr>
        <w:rPr>
          <w:sz w:val="24"/>
        </w:rPr>
      </w:pPr>
      <w:r>
        <w:rPr>
          <w:rStyle w:val="FootnoteReference"/>
        </w:rPr>
        <w:footnoteRef/>
      </w:r>
      <w:r>
        <w:t xml:space="preserve"> </w:t>
      </w:r>
      <w:r w:rsidRPr="00F42E35">
        <w:rPr>
          <w:rFonts w:ascii="Arial" w:hAnsi="Arial" w:cs="Arial"/>
          <w:i/>
          <w:iCs/>
          <w:color w:val="000000"/>
          <w:sz w:val="19"/>
          <w:szCs w:val="19"/>
        </w:rPr>
        <w:t xml:space="preserve">Ketubbah, </w:t>
      </w:r>
      <w:r w:rsidRPr="00F42E35">
        <w:rPr>
          <w:rFonts w:ascii="Arial" w:hAnsi="Arial" w:cs="Arial"/>
          <w:color w:val="000000"/>
          <w:sz w:val="19"/>
          <w:szCs w:val="19"/>
        </w:rPr>
        <w:t xml:space="preserve">Available at: </w:t>
      </w:r>
      <w:r w:rsidRPr="00F42E35">
        <w:rPr>
          <w:rFonts w:ascii="Arial" w:hAnsi="Arial" w:cs="Arial"/>
          <w:i/>
          <w:iCs/>
          <w:color w:val="000000"/>
          <w:sz w:val="19"/>
          <w:szCs w:val="19"/>
          <w:u w:val="single"/>
        </w:rPr>
        <w:t>http://www.jewishvirtuallibrary.org/ketubbah</w:t>
      </w:r>
      <w:r w:rsidRPr="00F42E35">
        <w:rPr>
          <w:rFonts w:ascii="Arial" w:hAnsi="Arial" w:cs="Arial"/>
          <w:color w:val="000000"/>
          <w:sz w:val="19"/>
          <w:szCs w:val="19"/>
        </w:rPr>
        <w:t xml:space="preserve"> (Accessed: 8th November 2017).</w:t>
      </w:r>
    </w:p>
  </w:footnote>
  <w:footnote w:id="4">
    <w:p w:rsidR="00813B35" w:rsidRDefault="00813B35">
      <w:pPr>
        <w:pStyle w:val="FootnoteText"/>
      </w:pPr>
      <w:r>
        <w:rPr>
          <w:rStyle w:val="FootnoteReference"/>
        </w:rPr>
        <w:footnoteRef/>
      </w:r>
      <w:r>
        <w:t xml:space="preserve"> </w:t>
      </w:r>
      <w:r w:rsidR="001C5C09">
        <w:rPr>
          <w:rFonts w:ascii="Arial" w:hAnsi="Arial" w:cs="Arial"/>
          <w:color w:val="000000"/>
          <w:sz w:val="19"/>
          <w:szCs w:val="19"/>
        </w:rPr>
        <w:t>Lavinia and Dan C</w:t>
      </w:r>
      <w:r w:rsidR="00E46A10">
        <w:rPr>
          <w:rFonts w:ascii="Arial" w:hAnsi="Arial" w:cs="Arial"/>
          <w:color w:val="000000"/>
          <w:sz w:val="19"/>
          <w:szCs w:val="19"/>
        </w:rPr>
        <w:t xml:space="preserve">ohn-Sherbok (1997) </w:t>
      </w:r>
      <w:r w:rsidR="00E46A10">
        <w:rPr>
          <w:rFonts w:ascii="Arial" w:hAnsi="Arial" w:cs="Arial"/>
          <w:i/>
          <w:iCs/>
          <w:color w:val="000000"/>
          <w:sz w:val="19"/>
          <w:szCs w:val="19"/>
        </w:rPr>
        <w:t xml:space="preserve">A Short Introduction to </w:t>
      </w:r>
      <w:r w:rsidR="00332EDB">
        <w:rPr>
          <w:rFonts w:ascii="Arial" w:hAnsi="Arial" w:cs="Arial"/>
          <w:i/>
          <w:iCs/>
          <w:color w:val="000000"/>
          <w:sz w:val="19"/>
          <w:szCs w:val="19"/>
        </w:rPr>
        <w:t>Judaism,</w:t>
      </w:r>
      <w:r w:rsidR="00E46A10">
        <w:rPr>
          <w:rFonts w:ascii="Arial" w:hAnsi="Arial" w:cs="Arial"/>
          <w:color w:val="000000"/>
          <w:sz w:val="19"/>
          <w:szCs w:val="19"/>
        </w:rPr>
        <w:t xml:space="preserve"> Broadway Rockport: Oneworld Publications, P.P 107.</w:t>
      </w:r>
    </w:p>
  </w:footnote>
  <w:footnote w:id="5">
    <w:p w:rsidR="0059158F" w:rsidRDefault="0059158F">
      <w:pPr>
        <w:pStyle w:val="FootnoteText"/>
      </w:pPr>
      <w:r>
        <w:rPr>
          <w:rStyle w:val="FootnoteReference"/>
        </w:rPr>
        <w:footnoteRef/>
      </w:r>
      <w:r>
        <w:t xml:space="preserve"> </w:t>
      </w:r>
      <w:r>
        <w:rPr>
          <w:rFonts w:ascii="Arial" w:hAnsi="Arial" w:cs="Arial"/>
          <w:color w:val="000000"/>
          <w:sz w:val="19"/>
          <w:szCs w:val="19"/>
        </w:rPr>
        <w:t xml:space="preserve">(2017) </w:t>
      </w:r>
      <w:r>
        <w:rPr>
          <w:rFonts w:ascii="Arial" w:hAnsi="Arial" w:cs="Arial"/>
          <w:i/>
          <w:iCs/>
          <w:color w:val="000000"/>
          <w:sz w:val="19"/>
          <w:szCs w:val="19"/>
        </w:rPr>
        <w:t xml:space="preserve">Orthodox Wedding Ceremony, </w:t>
      </w:r>
      <w:r>
        <w:rPr>
          <w:rFonts w:ascii="Arial" w:hAnsi="Arial" w:cs="Arial"/>
          <w:color w:val="000000"/>
          <w:sz w:val="19"/>
          <w:szCs w:val="19"/>
        </w:rPr>
        <w:t xml:space="preserve">Available at: </w:t>
      </w:r>
      <w:r>
        <w:rPr>
          <w:rFonts w:ascii="Arial" w:hAnsi="Arial" w:cs="Arial"/>
          <w:i/>
          <w:iCs/>
          <w:color w:val="000000"/>
          <w:sz w:val="19"/>
          <w:szCs w:val="19"/>
          <w:u w:val="single"/>
        </w:rPr>
        <w:t>https://oca.org/questions/sacramentmarriage/orthodox-wedding-ceremony</w:t>
      </w:r>
      <w:r>
        <w:rPr>
          <w:rFonts w:ascii="Arial" w:hAnsi="Arial" w:cs="Arial"/>
          <w:color w:val="000000"/>
          <w:sz w:val="19"/>
          <w:szCs w:val="19"/>
        </w:rPr>
        <w:t xml:space="preserve"> (Accessed: 3rd </w:t>
      </w:r>
      <w:r w:rsidR="00332EDB">
        <w:rPr>
          <w:rFonts w:ascii="Arial" w:hAnsi="Arial" w:cs="Arial"/>
          <w:color w:val="000000"/>
          <w:sz w:val="19"/>
          <w:szCs w:val="19"/>
        </w:rPr>
        <w:t>November</w:t>
      </w:r>
      <w:r>
        <w:rPr>
          <w:rFonts w:ascii="Arial" w:hAnsi="Arial" w:cs="Arial"/>
          <w:color w:val="000000"/>
          <w:sz w:val="19"/>
          <w:szCs w:val="19"/>
        </w:rPr>
        <w:t xml:space="preserve"> 2017).</w:t>
      </w:r>
    </w:p>
  </w:footnote>
  <w:footnote w:id="6">
    <w:p w:rsidR="009F2248" w:rsidRDefault="009F2248">
      <w:pPr>
        <w:pStyle w:val="FootnoteText"/>
      </w:pPr>
      <w:r>
        <w:rPr>
          <w:rStyle w:val="FootnoteReference"/>
        </w:rPr>
        <w:footnoteRef/>
      </w:r>
      <w:r>
        <w:t xml:space="preserve"> </w:t>
      </w:r>
      <w:r>
        <w:rPr>
          <w:rFonts w:ascii="Arial" w:hAnsi="Arial" w:cs="Arial"/>
          <w:color w:val="000000"/>
          <w:sz w:val="19"/>
          <w:szCs w:val="19"/>
        </w:rPr>
        <w:t xml:space="preserve">(2017) </w:t>
      </w:r>
      <w:r>
        <w:rPr>
          <w:rFonts w:ascii="Arial" w:hAnsi="Arial" w:cs="Arial"/>
          <w:i/>
          <w:iCs/>
          <w:color w:val="000000"/>
          <w:sz w:val="19"/>
          <w:szCs w:val="19"/>
        </w:rPr>
        <w:t xml:space="preserve">What is Reform Judaism, </w:t>
      </w:r>
      <w:r>
        <w:rPr>
          <w:rFonts w:ascii="Arial" w:hAnsi="Arial" w:cs="Arial"/>
          <w:color w:val="000000"/>
          <w:sz w:val="19"/>
          <w:szCs w:val="19"/>
        </w:rPr>
        <w:t xml:space="preserve">Available at: </w:t>
      </w:r>
      <w:r>
        <w:rPr>
          <w:rFonts w:ascii="Arial" w:hAnsi="Arial" w:cs="Arial"/>
          <w:i/>
          <w:iCs/>
          <w:color w:val="000000"/>
          <w:sz w:val="19"/>
          <w:szCs w:val="19"/>
          <w:u w:val="single"/>
        </w:rPr>
        <w:t>https://reformjudaism.org/practice</w:t>
      </w:r>
      <w:r>
        <w:rPr>
          <w:rFonts w:ascii="Arial" w:hAnsi="Arial" w:cs="Arial"/>
          <w:color w:val="000000"/>
          <w:sz w:val="19"/>
          <w:szCs w:val="19"/>
        </w:rPr>
        <w:t xml:space="preserve"> (Accessed: 8th November 2017)</w:t>
      </w:r>
    </w:p>
  </w:footnote>
  <w:footnote w:id="7">
    <w:p w:rsidR="007E202D" w:rsidRDefault="007E202D">
      <w:pPr>
        <w:pStyle w:val="FootnoteText"/>
      </w:pPr>
      <w:r>
        <w:rPr>
          <w:rStyle w:val="FootnoteReference"/>
        </w:rPr>
        <w:footnoteRef/>
      </w:r>
      <w:r>
        <w:t xml:space="preserve"> </w:t>
      </w:r>
      <w:r w:rsidR="001C5C09">
        <w:rPr>
          <w:rFonts w:ascii="Arial" w:hAnsi="Arial" w:cs="Arial"/>
          <w:color w:val="000000"/>
          <w:sz w:val="19"/>
          <w:szCs w:val="19"/>
        </w:rPr>
        <w:t>Lavinia and Dan C</w:t>
      </w:r>
      <w:r>
        <w:rPr>
          <w:rFonts w:ascii="Arial" w:hAnsi="Arial" w:cs="Arial"/>
          <w:color w:val="000000"/>
          <w:sz w:val="19"/>
          <w:szCs w:val="19"/>
        </w:rPr>
        <w:t xml:space="preserve">ohn-Sherbok (1997) </w:t>
      </w:r>
      <w:r>
        <w:rPr>
          <w:rFonts w:ascii="Arial" w:hAnsi="Arial" w:cs="Arial"/>
          <w:i/>
          <w:iCs/>
          <w:color w:val="000000"/>
          <w:sz w:val="19"/>
          <w:szCs w:val="19"/>
        </w:rPr>
        <w:t xml:space="preserve">A Short Introduction to </w:t>
      </w:r>
      <w:r w:rsidR="00332EDB">
        <w:rPr>
          <w:rFonts w:ascii="Arial" w:hAnsi="Arial" w:cs="Arial"/>
          <w:i/>
          <w:iCs/>
          <w:color w:val="000000"/>
          <w:sz w:val="19"/>
          <w:szCs w:val="19"/>
        </w:rPr>
        <w:t>Judaism,</w:t>
      </w:r>
      <w:r>
        <w:rPr>
          <w:rFonts w:ascii="Arial" w:hAnsi="Arial" w:cs="Arial"/>
          <w:color w:val="000000"/>
          <w:sz w:val="19"/>
          <w:szCs w:val="19"/>
        </w:rPr>
        <w:t xml:space="preserve"> Broadway Rockport: Oneworld Publications, P.P 111.</w:t>
      </w:r>
    </w:p>
  </w:footnote>
  <w:footnote w:id="8">
    <w:p w:rsidR="008E6346" w:rsidRDefault="008E6346">
      <w:pPr>
        <w:pStyle w:val="FootnoteText"/>
      </w:pPr>
      <w:r>
        <w:rPr>
          <w:rStyle w:val="FootnoteReference"/>
        </w:rPr>
        <w:footnoteRef/>
      </w:r>
      <w:r>
        <w:t xml:space="preserve"> </w:t>
      </w:r>
      <w:r>
        <w:rPr>
          <w:rFonts w:ascii="Arial" w:hAnsi="Arial" w:cs="Arial"/>
          <w:color w:val="000000"/>
          <w:sz w:val="19"/>
          <w:szCs w:val="19"/>
        </w:rPr>
        <w:t xml:space="preserve">Eliezer Segal (2009) </w:t>
      </w:r>
      <w:r>
        <w:rPr>
          <w:rFonts w:ascii="Arial" w:hAnsi="Arial" w:cs="Arial"/>
          <w:i/>
          <w:iCs/>
          <w:color w:val="000000"/>
          <w:sz w:val="19"/>
          <w:szCs w:val="19"/>
        </w:rPr>
        <w:t>Introducing Judaism</w:t>
      </w:r>
      <w:r w:rsidR="00292658">
        <w:rPr>
          <w:rFonts w:ascii="Arial" w:hAnsi="Arial" w:cs="Arial"/>
          <w:color w:val="000000"/>
          <w:sz w:val="19"/>
          <w:szCs w:val="19"/>
        </w:rPr>
        <w:t>, New York: Routledge,</w:t>
      </w:r>
      <w:r w:rsidR="00332EDB">
        <w:rPr>
          <w:rFonts w:ascii="Arial" w:hAnsi="Arial" w:cs="Arial"/>
          <w:color w:val="000000"/>
          <w:sz w:val="19"/>
          <w:szCs w:val="19"/>
        </w:rPr>
        <w:t xml:space="preserve"> </w:t>
      </w:r>
      <w:r>
        <w:rPr>
          <w:rFonts w:ascii="Arial" w:hAnsi="Arial" w:cs="Arial"/>
          <w:color w:val="000000"/>
          <w:sz w:val="19"/>
          <w:szCs w:val="19"/>
        </w:rPr>
        <w:t>P.P 301.</w:t>
      </w:r>
    </w:p>
  </w:footnote>
  <w:footnote w:id="9">
    <w:p w:rsidR="000B4EC5" w:rsidRPr="000C704F" w:rsidRDefault="000B4EC5" w:rsidP="000C704F">
      <w:pPr>
        <w:rPr>
          <w:sz w:val="24"/>
        </w:rPr>
      </w:pPr>
      <w:r>
        <w:rPr>
          <w:rStyle w:val="FootnoteReference"/>
        </w:rPr>
        <w:footnoteRef/>
      </w:r>
      <w:r>
        <w:t xml:space="preserve"> </w:t>
      </w:r>
      <w:r w:rsidR="00292658" w:rsidRPr="00292658">
        <w:rPr>
          <w:rFonts w:ascii="Arial" w:hAnsi="Arial" w:cs="Arial"/>
          <w:color w:val="000000"/>
          <w:sz w:val="19"/>
          <w:szCs w:val="19"/>
        </w:rPr>
        <w:t xml:space="preserve">Nicholas de Lange, Miri Freud-Kandel (2008) </w:t>
      </w:r>
      <w:r w:rsidR="00292658" w:rsidRPr="00292658">
        <w:rPr>
          <w:rFonts w:ascii="Arial" w:hAnsi="Arial" w:cs="Arial"/>
          <w:i/>
          <w:iCs/>
          <w:color w:val="000000"/>
          <w:sz w:val="19"/>
          <w:szCs w:val="19"/>
        </w:rPr>
        <w:t>Modern Judaism</w:t>
      </w:r>
      <w:r w:rsidR="00292658" w:rsidRPr="00292658">
        <w:rPr>
          <w:rFonts w:ascii="Arial" w:hAnsi="Arial" w:cs="Arial"/>
          <w:color w:val="000000"/>
          <w:sz w:val="19"/>
          <w:szCs w:val="19"/>
        </w:rPr>
        <w:t>, 2nd edn., New Yor</w:t>
      </w:r>
      <w:r w:rsidR="00292658">
        <w:rPr>
          <w:rFonts w:ascii="Arial" w:hAnsi="Arial" w:cs="Arial"/>
          <w:color w:val="000000"/>
          <w:sz w:val="19"/>
          <w:szCs w:val="19"/>
        </w:rPr>
        <w:t>k: Oxford University Press Inc, P.P 371</w:t>
      </w:r>
      <w:r w:rsidR="000C704F">
        <w:rPr>
          <w:rFonts w:ascii="Arial" w:hAnsi="Arial" w:cs="Arial"/>
          <w:color w:val="000000"/>
          <w:sz w:val="19"/>
          <w:szCs w:val="19"/>
        </w:rPr>
        <w:t>.</w:t>
      </w:r>
    </w:p>
  </w:footnote>
  <w:footnote w:id="10">
    <w:p w:rsidR="000C704F" w:rsidRPr="00C77396" w:rsidRDefault="000C704F" w:rsidP="00C77396">
      <w:pPr>
        <w:rPr>
          <w:sz w:val="24"/>
        </w:rPr>
      </w:pPr>
      <w:r>
        <w:rPr>
          <w:rStyle w:val="FootnoteReference"/>
        </w:rPr>
        <w:footnoteRef/>
      </w:r>
      <w:r>
        <w:t xml:space="preserve"> </w:t>
      </w:r>
      <w:r w:rsidRPr="000C704F">
        <w:rPr>
          <w:rFonts w:ascii="Arial" w:hAnsi="Arial" w:cs="Arial"/>
          <w:color w:val="000000"/>
          <w:sz w:val="19"/>
          <w:szCs w:val="19"/>
        </w:rPr>
        <w:t xml:space="preserve">Lorelei Laird and Richard Brust (2014) 'Women in Chains', </w:t>
      </w:r>
      <w:r w:rsidRPr="000C704F">
        <w:rPr>
          <w:rFonts w:ascii="Arial" w:hAnsi="Arial" w:cs="Arial"/>
          <w:i/>
          <w:iCs/>
          <w:color w:val="000000"/>
          <w:sz w:val="19"/>
          <w:szCs w:val="19"/>
        </w:rPr>
        <w:t xml:space="preserve">ABA Journal, </w:t>
      </w:r>
      <w:r w:rsidRPr="000C704F">
        <w:rPr>
          <w:rFonts w:ascii="Arial" w:hAnsi="Arial" w:cs="Arial"/>
          <w:color w:val="000000"/>
          <w:sz w:val="19"/>
          <w:szCs w:val="19"/>
        </w:rPr>
        <w:t xml:space="preserve">Volume 100(Issue 8), pp. 17-21 [Online]. Available at: </w:t>
      </w:r>
      <w:r w:rsidRPr="000C704F">
        <w:rPr>
          <w:rFonts w:ascii="Arial" w:hAnsi="Arial" w:cs="Arial"/>
          <w:i/>
          <w:iCs/>
          <w:color w:val="000000"/>
          <w:sz w:val="19"/>
          <w:szCs w:val="19"/>
          <w:u w:val="single"/>
        </w:rPr>
        <w:t>http://www.abajournal.com/magazine/article/lawyers_look_for_secular_solutions_to_the_jewish_divorce_problem</w:t>
      </w:r>
      <w:r w:rsidRPr="000C704F">
        <w:rPr>
          <w:rFonts w:ascii="Arial" w:hAnsi="Arial" w:cs="Arial"/>
          <w:color w:val="000000"/>
          <w:sz w:val="19"/>
          <w:szCs w:val="19"/>
        </w:rPr>
        <w:t xml:space="preserve"> (Accessed: 22nd October 2017).</w:t>
      </w:r>
    </w:p>
  </w:footnote>
  <w:footnote w:id="11">
    <w:p w:rsidR="00C77396" w:rsidRDefault="00C77396">
      <w:pPr>
        <w:pStyle w:val="FootnoteText"/>
      </w:pPr>
      <w:r>
        <w:rPr>
          <w:rStyle w:val="FootnoteReference"/>
        </w:rPr>
        <w:footnoteRef/>
      </w:r>
      <w:r>
        <w:t xml:space="preserve"> </w:t>
      </w:r>
      <w:r w:rsidRPr="000C704F">
        <w:rPr>
          <w:rFonts w:ascii="Arial" w:hAnsi="Arial" w:cs="Arial"/>
          <w:color w:val="000000"/>
          <w:sz w:val="19"/>
          <w:szCs w:val="19"/>
        </w:rPr>
        <w:t xml:space="preserve">Lorelei Laird and Richard Brust (2014) 'Women in Chains', </w:t>
      </w:r>
      <w:r w:rsidRPr="000C704F">
        <w:rPr>
          <w:rFonts w:ascii="Arial" w:hAnsi="Arial" w:cs="Arial"/>
          <w:i/>
          <w:iCs/>
          <w:color w:val="000000"/>
          <w:sz w:val="19"/>
          <w:szCs w:val="19"/>
        </w:rPr>
        <w:t xml:space="preserve">ABA Journal, </w:t>
      </w:r>
      <w:r w:rsidRPr="000C704F">
        <w:rPr>
          <w:rFonts w:ascii="Arial" w:hAnsi="Arial" w:cs="Arial"/>
          <w:color w:val="000000"/>
          <w:sz w:val="19"/>
          <w:szCs w:val="19"/>
        </w:rPr>
        <w:t xml:space="preserve">Volume 100(Issue 8), pp. 17-21 [Online]. Available at: </w:t>
      </w:r>
      <w:r w:rsidRPr="000C704F">
        <w:rPr>
          <w:rFonts w:ascii="Arial" w:hAnsi="Arial" w:cs="Arial"/>
          <w:i/>
          <w:iCs/>
          <w:color w:val="000000"/>
          <w:sz w:val="19"/>
          <w:szCs w:val="19"/>
          <w:u w:val="single"/>
        </w:rPr>
        <w:t>http://www.abajournal.com/magazine/article/lawyers_look_for_secular_solutions_to_the_jewish_divorce_problem</w:t>
      </w:r>
      <w:r w:rsidRPr="000C704F">
        <w:rPr>
          <w:rFonts w:ascii="Arial" w:hAnsi="Arial" w:cs="Arial"/>
          <w:color w:val="000000"/>
          <w:sz w:val="19"/>
          <w:szCs w:val="19"/>
        </w:rPr>
        <w:t xml:space="preserve"> (Accessed: 22nd October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6142" w:rsidRPr="00666142" w:rsidRDefault="00666142">
    <w:pPr>
      <w:pStyle w:val="Header"/>
      <w:rPr>
        <w:color w:val="000000" w:themeColor="text1"/>
        <w:szCs w:val="24"/>
      </w:rPr>
    </w:pPr>
    <w:r w:rsidRPr="00666142">
      <w:rPr>
        <w:color w:val="000000" w:themeColor="text1"/>
        <w:szCs w:val="24"/>
      </w:rPr>
      <w:t xml:space="preserve">Alison Forbes </w:t>
    </w:r>
  </w:p>
  <w:p w:rsidR="00666142" w:rsidRPr="00666142" w:rsidRDefault="00666142">
    <w:pPr>
      <w:pStyle w:val="Header"/>
      <w:rPr>
        <w:rFonts w:cstheme="minorHAnsi"/>
        <w:bCs/>
        <w:color w:val="000000" w:themeColor="text1"/>
        <w:szCs w:val="24"/>
      </w:rPr>
    </w:pPr>
    <w:r w:rsidRPr="00666142">
      <w:rPr>
        <w:rFonts w:cstheme="minorHAnsi"/>
        <w:bCs/>
        <w:color w:val="000000" w:themeColor="text1"/>
        <w:szCs w:val="24"/>
      </w:rPr>
      <w:t>TRRS4010</w:t>
    </w:r>
  </w:p>
  <w:p w:rsidR="00666142" w:rsidRPr="00666142" w:rsidRDefault="00666142">
    <w:pPr>
      <w:pStyle w:val="Header"/>
      <w:rPr>
        <w:rFonts w:cstheme="minorHAnsi"/>
        <w:color w:val="000000" w:themeColor="text1"/>
        <w:szCs w:val="24"/>
      </w:rPr>
    </w:pPr>
    <w:r w:rsidRPr="00666142">
      <w:rPr>
        <w:rFonts w:cstheme="minorHAnsi"/>
        <w:bCs/>
        <w:color w:val="000000" w:themeColor="text1"/>
        <w:szCs w:val="24"/>
      </w:rPr>
      <w:t>1701733</w:t>
    </w:r>
  </w:p>
  <w:p w:rsidR="00DA7F62" w:rsidRDefault="00DA7F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6457EC"/>
    <w:multiLevelType w:val="hybridMultilevel"/>
    <w:tmpl w:val="70445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ED1D61"/>
    <w:multiLevelType w:val="hybridMultilevel"/>
    <w:tmpl w:val="858CC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875992"/>
    <w:multiLevelType w:val="hybridMultilevel"/>
    <w:tmpl w:val="FB72C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8C6287"/>
    <w:multiLevelType w:val="hybridMultilevel"/>
    <w:tmpl w:val="E256B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67535B"/>
    <w:multiLevelType w:val="hybridMultilevel"/>
    <w:tmpl w:val="FD80C058"/>
    <w:lvl w:ilvl="0" w:tplc="08090001">
      <w:start w:val="1"/>
      <w:numFmt w:val="bullet"/>
      <w:lvlText w:val=""/>
      <w:lvlJc w:val="left"/>
      <w:pPr>
        <w:ind w:left="791" w:hanging="360"/>
      </w:pPr>
      <w:rPr>
        <w:rFonts w:ascii="Symbol" w:hAnsi="Symbol" w:hint="default"/>
      </w:rPr>
    </w:lvl>
    <w:lvl w:ilvl="1" w:tplc="08090003" w:tentative="1">
      <w:start w:val="1"/>
      <w:numFmt w:val="bullet"/>
      <w:lvlText w:val="o"/>
      <w:lvlJc w:val="left"/>
      <w:pPr>
        <w:ind w:left="1511" w:hanging="360"/>
      </w:pPr>
      <w:rPr>
        <w:rFonts w:ascii="Courier New" w:hAnsi="Courier New" w:cs="Courier New" w:hint="default"/>
      </w:rPr>
    </w:lvl>
    <w:lvl w:ilvl="2" w:tplc="08090005" w:tentative="1">
      <w:start w:val="1"/>
      <w:numFmt w:val="bullet"/>
      <w:lvlText w:val=""/>
      <w:lvlJc w:val="left"/>
      <w:pPr>
        <w:ind w:left="2231" w:hanging="360"/>
      </w:pPr>
      <w:rPr>
        <w:rFonts w:ascii="Wingdings" w:hAnsi="Wingdings" w:hint="default"/>
      </w:rPr>
    </w:lvl>
    <w:lvl w:ilvl="3" w:tplc="08090001" w:tentative="1">
      <w:start w:val="1"/>
      <w:numFmt w:val="bullet"/>
      <w:lvlText w:val=""/>
      <w:lvlJc w:val="left"/>
      <w:pPr>
        <w:ind w:left="2951" w:hanging="360"/>
      </w:pPr>
      <w:rPr>
        <w:rFonts w:ascii="Symbol" w:hAnsi="Symbol" w:hint="default"/>
      </w:rPr>
    </w:lvl>
    <w:lvl w:ilvl="4" w:tplc="08090003" w:tentative="1">
      <w:start w:val="1"/>
      <w:numFmt w:val="bullet"/>
      <w:lvlText w:val="o"/>
      <w:lvlJc w:val="left"/>
      <w:pPr>
        <w:ind w:left="3671" w:hanging="360"/>
      </w:pPr>
      <w:rPr>
        <w:rFonts w:ascii="Courier New" w:hAnsi="Courier New" w:cs="Courier New" w:hint="default"/>
      </w:rPr>
    </w:lvl>
    <w:lvl w:ilvl="5" w:tplc="08090005" w:tentative="1">
      <w:start w:val="1"/>
      <w:numFmt w:val="bullet"/>
      <w:lvlText w:val=""/>
      <w:lvlJc w:val="left"/>
      <w:pPr>
        <w:ind w:left="4391" w:hanging="360"/>
      </w:pPr>
      <w:rPr>
        <w:rFonts w:ascii="Wingdings" w:hAnsi="Wingdings" w:hint="default"/>
      </w:rPr>
    </w:lvl>
    <w:lvl w:ilvl="6" w:tplc="08090001" w:tentative="1">
      <w:start w:val="1"/>
      <w:numFmt w:val="bullet"/>
      <w:lvlText w:val=""/>
      <w:lvlJc w:val="left"/>
      <w:pPr>
        <w:ind w:left="5111" w:hanging="360"/>
      </w:pPr>
      <w:rPr>
        <w:rFonts w:ascii="Symbol" w:hAnsi="Symbol" w:hint="default"/>
      </w:rPr>
    </w:lvl>
    <w:lvl w:ilvl="7" w:tplc="08090003" w:tentative="1">
      <w:start w:val="1"/>
      <w:numFmt w:val="bullet"/>
      <w:lvlText w:val="o"/>
      <w:lvlJc w:val="left"/>
      <w:pPr>
        <w:ind w:left="5831" w:hanging="360"/>
      </w:pPr>
      <w:rPr>
        <w:rFonts w:ascii="Courier New" w:hAnsi="Courier New" w:cs="Courier New" w:hint="default"/>
      </w:rPr>
    </w:lvl>
    <w:lvl w:ilvl="8" w:tplc="08090005" w:tentative="1">
      <w:start w:val="1"/>
      <w:numFmt w:val="bullet"/>
      <w:lvlText w:val=""/>
      <w:lvlJc w:val="left"/>
      <w:pPr>
        <w:ind w:left="6551"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AE2"/>
    <w:rsid w:val="00011B00"/>
    <w:rsid w:val="00052BB6"/>
    <w:rsid w:val="00055213"/>
    <w:rsid w:val="00065B31"/>
    <w:rsid w:val="0007209A"/>
    <w:rsid w:val="000A78AC"/>
    <w:rsid w:val="000B4EC5"/>
    <w:rsid w:val="000C45E4"/>
    <w:rsid w:val="000C704F"/>
    <w:rsid w:val="000F6196"/>
    <w:rsid w:val="001039F1"/>
    <w:rsid w:val="00167F84"/>
    <w:rsid w:val="001801FF"/>
    <w:rsid w:val="00190F6E"/>
    <w:rsid w:val="001B5FA9"/>
    <w:rsid w:val="001C4C57"/>
    <w:rsid w:val="001C5C09"/>
    <w:rsid w:val="0023278F"/>
    <w:rsid w:val="0023428E"/>
    <w:rsid w:val="00290199"/>
    <w:rsid w:val="00292658"/>
    <w:rsid w:val="00295D33"/>
    <w:rsid w:val="002C1586"/>
    <w:rsid w:val="002C7CD5"/>
    <w:rsid w:val="002D7B34"/>
    <w:rsid w:val="003042CD"/>
    <w:rsid w:val="00330AD8"/>
    <w:rsid w:val="00332EDB"/>
    <w:rsid w:val="003504C6"/>
    <w:rsid w:val="003773AA"/>
    <w:rsid w:val="00392227"/>
    <w:rsid w:val="003A0E78"/>
    <w:rsid w:val="003B0921"/>
    <w:rsid w:val="003C6448"/>
    <w:rsid w:val="003F0806"/>
    <w:rsid w:val="004319A2"/>
    <w:rsid w:val="00431FC2"/>
    <w:rsid w:val="00455F29"/>
    <w:rsid w:val="00462821"/>
    <w:rsid w:val="004867AF"/>
    <w:rsid w:val="004A54A7"/>
    <w:rsid w:val="004A6DA4"/>
    <w:rsid w:val="004D1E6D"/>
    <w:rsid w:val="005001D2"/>
    <w:rsid w:val="00512557"/>
    <w:rsid w:val="00533D45"/>
    <w:rsid w:val="0054768E"/>
    <w:rsid w:val="005519DF"/>
    <w:rsid w:val="0059158F"/>
    <w:rsid w:val="005B7098"/>
    <w:rsid w:val="005C6A18"/>
    <w:rsid w:val="005D5D3E"/>
    <w:rsid w:val="005F3286"/>
    <w:rsid w:val="005F5350"/>
    <w:rsid w:val="00637582"/>
    <w:rsid w:val="00666142"/>
    <w:rsid w:val="00674FAD"/>
    <w:rsid w:val="00690A90"/>
    <w:rsid w:val="00692AE2"/>
    <w:rsid w:val="006B65F1"/>
    <w:rsid w:val="006C7744"/>
    <w:rsid w:val="006D0E27"/>
    <w:rsid w:val="006E2646"/>
    <w:rsid w:val="007420E3"/>
    <w:rsid w:val="0079452E"/>
    <w:rsid w:val="007A3281"/>
    <w:rsid w:val="007A50AD"/>
    <w:rsid w:val="007D7ACF"/>
    <w:rsid w:val="007E0BA3"/>
    <w:rsid w:val="007E202D"/>
    <w:rsid w:val="007F4DE7"/>
    <w:rsid w:val="00813B35"/>
    <w:rsid w:val="0081458F"/>
    <w:rsid w:val="0083230E"/>
    <w:rsid w:val="00855E63"/>
    <w:rsid w:val="00866989"/>
    <w:rsid w:val="008A4D4A"/>
    <w:rsid w:val="008C0D3C"/>
    <w:rsid w:val="008E459B"/>
    <w:rsid w:val="008E6346"/>
    <w:rsid w:val="009051B4"/>
    <w:rsid w:val="00920ABE"/>
    <w:rsid w:val="00986DEB"/>
    <w:rsid w:val="009B026F"/>
    <w:rsid w:val="009F2248"/>
    <w:rsid w:val="00A25188"/>
    <w:rsid w:val="00A423D6"/>
    <w:rsid w:val="00A42C73"/>
    <w:rsid w:val="00A4705F"/>
    <w:rsid w:val="00A539BA"/>
    <w:rsid w:val="00A54E18"/>
    <w:rsid w:val="00AE2FD5"/>
    <w:rsid w:val="00B03067"/>
    <w:rsid w:val="00B47CB9"/>
    <w:rsid w:val="00B551E2"/>
    <w:rsid w:val="00B869C9"/>
    <w:rsid w:val="00BD5A17"/>
    <w:rsid w:val="00BF4200"/>
    <w:rsid w:val="00BF4C05"/>
    <w:rsid w:val="00C17DC9"/>
    <w:rsid w:val="00C44628"/>
    <w:rsid w:val="00C52B81"/>
    <w:rsid w:val="00C67659"/>
    <w:rsid w:val="00C77396"/>
    <w:rsid w:val="00C977BB"/>
    <w:rsid w:val="00CD4E65"/>
    <w:rsid w:val="00CE4F05"/>
    <w:rsid w:val="00D10298"/>
    <w:rsid w:val="00D406CB"/>
    <w:rsid w:val="00D652E2"/>
    <w:rsid w:val="00D6739D"/>
    <w:rsid w:val="00D74909"/>
    <w:rsid w:val="00D921E6"/>
    <w:rsid w:val="00DA40EB"/>
    <w:rsid w:val="00DA4852"/>
    <w:rsid w:val="00DA4AEA"/>
    <w:rsid w:val="00DA7F62"/>
    <w:rsid w:val="00DB1795"/>
    <w:rsid w:val="00DF6E33"/>
    <w:rsid w:val="00E13DD3"/>
    <w:rsid w:val="00E41123"/>
    <w:rsid w:val="00E424BA"/>
    <w:rsid w:val="00E46A10"/>
    <w:rsid w:val="00E65B64"/>
    <w:rsid w:val="00E950A8"/>
    <w:rsid w:val="00E97D77"/>
    <w:rsid w:val="00ED08D2"/>
    <w:rsid w:val="00EE5386"/>
    <w:rsid w:val="00EE5A8F"/>
    <w:rsid w:val="00F41CC1"/>
    <w:rsid w:val="00F42E35"/>
    <w:rsid w:val="00F52F0A"/>
    <w:rsid w:val="00F6343A"/>
    <w:rsid w:val="00F70580"/>
    <w:rsid w:val="00F70F3E"/>
    <w:rsid w:val="00F76319"/>
    <w:rsid w:val="00F81936"/>
    <w:rsid w:val="00FB4644"/>
    <w:rsid w:val="00FC1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1BB5EF9-0B1E-40AC-8FE0-8E22D3EFD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D7490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74909"/>
    <w:rPr>
      <w:sz w:val="20"/>
      <w:szCs w:val="20"/>
    </w:rPr>
  </w:style>
  <w:style w:type="character" w:styleId="EndnoteReference">
    <w:name w:val="endnote reference"/>
    <w:basedOn w:val="DefaultParagraphFont"/>
    <w:uiPriority w:val="99"/>
    <w:semiHidden/>
    <w:unhideWhenUsed/>
    <w:rsid w:val="00D74909"/>
    <w:rPr>
      <w:vertAlign w:val="superscript"/>
    </w:rPr>
  </w:style>
  <w:style w:type="paragraph" w:styleId="FootnoteText">
    <w:name w:val="footnote text"/>
    <w:basedOn w:val="Normal"/>
    <w:link w:val="FootnoteTextChar"/>
    <w:uiPriority w:val="99"/>
    <w:semiHidden/>
    <w:unhideWhenUsed/>
    <w:rsid w:val="00D7490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4909"/>
    <w:rPr>
      <w:sz w:val="20"/>
      <w:szCs w:val="20"/>
    </w:rPr>
  </w:style>
  <w:style w:type="character" w:styleId="FootnoteReference">
    <w:name w:val="footnote reference"/>
    <w:basedOn w:val="DefaultParagraphFont"/>
    <w:uiPriority w:val="99"/>
    <w:semiHidden/>
    <w:unhideWhenUsed/>
    <w:rsid w:val="00D74909"/>
    <w:rPr>
      <w:vertAlign w:val="superscript"/>
    </w:rPr>
  </w:style>
  <w:style w:type="paragraph" w:styleId="ListParagraph">
    <w:name w:val="List Paragraph"/>
    <w:basedOn w:val="Normal"/>
    <w:uiPriority w:val="34"/>
    <w:qFormat/>
    <w:rsid w:val="00D74909"/>
    <w:pPr>
      <w:ind w:left="720"/>
      <w:contextualSpacing/>
    </w:pPr>
  </w:style>
  <w:style w:type="character" w:styleId="Hyperlink">
    <w:name w:val="Hyperlink"/>
    <w:basedOn w:val="DefaultParagraphFont"/>
    <w:uiPriority w:val="99"/>
    <w:semiHidden/>
    <w:unhideWhenUsed/>
    <w:rsid w:val="00D652E2"/>
    <w:rPr>
      <w:color w:val="0000FF"/>
      <w:u w:val="single"/>
    </w:rPr>
  </w:style>
  <w:style w:type="character" w:styleId="FollowedHyperlink">
    <w:name w:val="FollowedHyperlink"/>
    <w:basedOn w:val="DefaultParagraphFont"/>
    <w:uiPriority w:val="99"/>
    <w:semiHidden/>
    <w:unhideWhenUsed/>
    <w:rsid w:val="00D652E2"/>
    <w:rPr>
      <w:color w:val="954F72" w:themeColor="followedHyperlink"/>
      <w:u w:val="single"/>
    </w:rPr>
  </w:style>
  <w:style w:type="paragraph" w:styleId="Header">
    <w:name w:val="header"/>
    <w:basedOn w:val="Normal"/>
    <w:link w:val="HeaderChar"/>
    <w:uiPriority w:val="99"/>
    <w:unhideWhenUsed/>
    <w:rsid w:val="00DA7F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7F62"/>
  </w:style>
  <w:style w:type="paragraph" w:styleId="Footer">
    <w:name w:val="footer"/>
    <w:basedOn w:val="Normal"/>
    <w:link w:val="FooterChar"/>
    <w:uiPriority w:val="99"/>
    <w:unhideWhenUsed/>
    <w:rsid w:val="00DA7F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7F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51D5DA-C0BE-4A48-8F84-458DEB5A9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5588</TotalTime>
  <Pages>5</Pages>
  <Words>1751</Words>
  <Characters>9145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Forbes</dc:creator>
  <cp:keywords/>
  <dc:description/>
  <cp:lastModifiedBy>Alison Forbes</cp:lastModifiedBy>
  <cp:revision>98</cp:revision>
  <dcterms:created xsi:type="dcterms:W3CDTF">2017-11-06T15:31:00Z</dcterms:created>
  <dcterms:modified xsi:type="dcterms:W3CDTF">2017-11-14T14:13:00Z</dcterms:modified>
</cp:coreProperties>
</file>