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9E5ECC" w:rsidRDefault="009E5ECC" w14:paraId="62EE9629" w14:textId="77777777" w:rsidP="007F7024" w:rsidRPr="009225E6">
      <w:pPr>
        <w:jc w:val="center"/>
        <w:rPr>
          <w:bCs/>
          <w:b/>
          <w:rFonts w:ascii="Times New Roman" w:cs="Times New Roman" w:eastAsia="Times New Roman" w:hAnsi="Times New Roman"/>
          <w:sz w:val="32"/>
          <w:szCs w:val="36"/>
        </w:rPr>
      </w:pPr>
      <w:r w:rsidRPr="009225E6">
        <w:rPr>
          <w:noProof/>
          <w:lang w:val="en-US"/>
          <w:rFonts w:ascii="Times New Roman" w:cs="Times New Roman" w:hAnsi="Times New Roman"/>
        </w:rPr>
        <w:t xml:space="preserve"> </w:t>
      </w:r>
      <w:r w:rsidR="007F7024" w:rsidRPr="009225E6">
        <w:rPr>
          <w:bCs/>
          <w:b/>
          <w:rFonts w:ascii="Times New Roman" w:cs="Times New Roman" w:eastAsia="Times New Roman" w:hAnsi="Times New Roman"/>
          <w:sz w:val="32"/>
          <w:szCs w:val="36"/>
        </w:rPr>
        <w:t>University of Wales Trinity Saint David</w:t>
      </w:r>
    </w:p>
    <w:p w:rsidR="007F7024" w:rsidRDefault="007F7024" w14:paraId="76039768" w14:textId="77777777" w:rsidP="000E3733" w:rsidRPr="009225E6">
      <w:pPr>
        <w:jc w:val="center"/>
        <w:spacing w:line="360" w:lineRule="auto"/>
        <w:rPr>
          <w:bCs/>
          <w:b/>
          <w:rFonts w:ascii="Times New Roman" w:cs="Times New Roman" w:eastAsia="Times New Roman" w:hAnsi="Times New Roman"/>
          <w:sz w:val="32"/>
          <w:szCs w:val="36"/>
        </w:rPr>
      </w:pPr>
      <w:r>
        <w:rPr>
          <w:noProof/>
        </w:rPr>
        <w:drawing>
          <wp:anchor distT="0" distB="0" distR="114300" distL="114300" relativeHeight="251664384" behindDoc="0" allowOverlap="1" layoutInCell="1" locked="0" simplePos="0" wp14:anchorId="519AE6F0" wp14:editId="3E9A5D3B">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1">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rsidR="007F7024" w:rsidRDefault="007F7024" w14:paraId="02D45BEF" w14:textId="77777777" w:rsidP="0065412B" w:rsidRPr="009225E6">
      <w:pPr>
        <w:jc w:val="center"/>
        <w:spacing w:line="360" w:lineRule="auto"/>
        <w:rPr>
          <w:bCs/>
          <w:b/>
          <w:rFonts w:ascii="Times New Roman" w:cs="Times New Roman" w:eastAsia="Times New Roman" w:hAnsi="Times New Roman"/>
          <w:sz w:val="28"/>
          <w:szCs w:val="24"/>
        </w:rPr>
      </w:pPr>
    </w:p>
    <w:p w:rsidR="007F7024" w:rsidRDefault="007F7024" w14:paraId="27D78990" w14:textId="77777777" w:rsidP="0065412B" w:rsidRPr="009225E6">
      <w:pPr>
        <w:jc w:val="center"/>
        <w:spacing w:line="360" w:lineRule="auto"/>
        <w:rPr>
          <w:bCs/>
          <w:b/>
          <w:rFonts w:ascii="Times New Roman" w:cs="Times New Roman" w:eastAsia="Times New Roman" w:hAnsi="Times New Roman"/>
          <w:sz w:val="28"/>
          <w:szCs w:val="24"/>
        </w:rPr>
      </w:pPr>
    </w:p>
    <w:p w:rsidR="0065407D" w:rsidRDefault="0065407D" w14:paraId="12C51376" w14:textId="77777777" w:rsidP="004E0323">
      <w:pPr>
        <w:jc w:val="both"/>
        <w:spacing w:line="360" w:lineRule="auto"/>
        <w:rPr>
          <w:bCs/>
          <w:rFonts w:ascii="Arial" w:cs="Arial" w:eastAsia="Times New Roman" w:hAnsi="Arial"/>
          <w:sz w:val="32"/>
          <w:szCs w:val="36"/>
        </w:rPr>
      </w:pPr>
      <w:r>
        <w:rPr>
          <w:bCs/>
          <w:rFonts w:ascii="Arial" w:cs="Arial" w:eastAsia="Times New Roman" w:hAnsi="Arial"/>
          <w:sz w:val="32"/>
          <w:szCs w:val="36"/>
        </w:rPr>
        <w:t>Assignment Title:</w:t>
      </w:r>
      <w:r>
        <w:rPr>
          <w:rFonts w:ascii="Arial" w:cs="Arial" w:eastAsia="Times New Roman" w:hAnsi="Arial"/>
          <w:sz w:val="32"/>
          <w:szCs w:val="36"/>
        </w:rPr>
        <w:tab/>
      </w:r>
      <w:r>
        <w:rPr>
          <w:rFonts w:ascii="Arial" w:cs="Arial" w:eastAsia="Times New Roman" w:hAnsi="Arial"/>
          <w:sz w:val="32"/>
          <w:szCs w:val="36"/>
        </w:rPr>
        <w:t>Report</w:t>
      </w:r>
    </w:p>
    <w:p w:rsidR="004E0323" w:rsidRDefault="004E0323" w14:paraId="2D885E8D" w14:textId="77777777" w:rsidP="004E0323" w:rsidRPr="00093F46">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Student Name:</w:t>
      </w:r>
      <w:r w:rsidRPr="00093F46">
        <w:rPr>
          <w:bCs/>
          <w:rFonts w:ascii="Arial" w:cs="Arial" w:eastAsia="Times New Roman" w:hAnsi="Arial"/>
          <w:sz w:val="32"/>
          <w:szCs w:val="36"/>
        </w:rPr>
        <w:tab/>
      </w:r>
      <w:r>
        <w:rPr>
          <w:bCs/>
          <w:rFonts w:ascii="Arial" w:cs="Arial" w:eastAsia="Times New Roman" w:hAnsi="Arial"/>
          <w:sz w:val="32"/>
          <w:szCs w:val="36"/>
        </w:rPr>
        <w:tab/>
      </w:r>
      <w:r w:rsidRPr="00093F46">
        <w:rPr>
          <w:bCs/>
          <w:rFonts w:ascii="Arial" w:cs="Arial" w:eastAsia="Times New Roman" w:hAnsi="Arial"/>
          <w:sz w:val="32"/>
          <w:szCs w:val="36"/>
        </w:rPr>
        <w:t>Zahraa Araf</w:t>
      </w:r>
    </w:p>
    <w:p w:rsidR="004E0323" w:rsidRDefault="004E0323" w14:paraId="63A0020A" w14:textId="77777777" w:rsidP="004E0323" w:rsidRPr="00093F46">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Student ID:</w:t>
      </w:r>
      <w:r w:rsidRPr="00093F46">
        <w:rPr>
          <w:bCs/>
          <w:rFonts w:ascii="Arial" w:cs="Arial" w:eastAsia="Times New Roman" w:hAnsi="Arial"/>
          <w:sz w:val="32"/>
          <w:szCs w:val="36"/>
        </w:rPr>
        <w:tab/>
      </w:r>
      <w:r>
        <w:rPr>
          <w:rFonts w:ascii="Arial" w:cs="Arial" w:eastAsia="Times New Roman" w:hAnsi="Arial"/>
          <w:sz w:val="32"/>
          <w:szCs w:val="36"/>
        </w:rPr>
        <w:tab/>
      </w:r>
      <w:r>
        <w:rPr>
          <w:rFonts w:ascii="Arial" w:cs="Arial" w:eastAsia="Times New Roman" w:hAnsi="Arial"/>
          <w:sz w:val="32"/>
          <w:szCs w:val="36"/>
        </w:rPr>
        <w:t>2211190</w:t>
      </w:r>
    </w:p>
    <w:p w:rsidR="004E0323" w:rsidRDefault="004E0323" w14:paraId="0C7B2A07" w14:textId="77777777" w:rsidP="004E0323" w:rsidRPr="00093F46">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Module:</w:t>
      </w:r>
      <w:r w:rsidRPr="00093F46">
        <w:rPr>
          <w:bCs/>
          <w:rFonts w:ascii="Arial" w:cs="Arial" w:eastAsia="Times New Roman" w:hAnsi="Arial"/>
          <w:sz w:val="32"/>
          <w:szCs w:val="36"/>
        </w:rPr>
        <w:tab/>
      </w:r>
      <w:r w:rsidRPr="00093F46">
        <w:rPr>
          <w:bCs/>
          <w:rFonts w:ascii="Arial" w:cs="Arial" w:eastAsia="Times New Roman" w:hAnsi="Arial"/>
          <w:sz w:val="32"/>
          <w:szCs w:val="36"/>
        </w:rPr>
        <w:tab/>
      </w:r>
      <w:r w:rsidRPr="00093F46">
        <w:rPr>
          <w:bCs/>
          <w:rFonts w:ascii="Arial" w:cs="Arial" w:eastAsia="Times New Roman" w:hAnsi="Arial"/>
          <w:sz w:val="32"/>
          <w:szCs w:val="36"/>
        </w:rPr>
        <w:tab/>
      </w:r>
      <w:r w:rsidRPr="004E0323">
        <w:rPr>
          <w:bCs/>
          <w:rFonts w:ascii="Arial" w:cs="Arial" w:eastAsia="Times New Roman" w:hAnsi="Arial"/>
          <w:sz w:val="32"/>
          <w:szCs w:val="36"/>
        </w:rPr>
        <w:t>International Business Concepts</w:t>
      </w:r>
    </w:p>
    <w:p w:rsidR="004E0323" w:rsidRDefault="004E0323" w14:paraId="6C0813B3" w14:textId="77777777" w:rsidP="004E0323" w:rsidRPr="00093F46">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Module Code:</w:t>
      </w:r>
      <w:r w:rsidRPr="00093F46">
        <w:rPr>
          <w:bCs/>
          <w:rFonts w:ascii="Arial" w:cs="Arial" w:eastAsia="Times New Roman" w:hAnsi="Arial"/>
          <w:sz w:val="32"/>
          <w:szCs w:val="36"/>
        </w:rPr>
        <w:tab/>
      </w:r>
      <w:r w:rsidRPr="00093F46">
        <w:rPr>
          <w:bCs/>
          <w:rFonts w:ascii="Arial" w:cs="Arial" w:eastAsia="Times New Roman" w:hAnsi="Arial"/>
          <w:sz w:val="32"/>
          <w:szCs w:val="36"/>
        </w:rPr>
        <w:tab/>
      </w:r>
      <w:r>
        <w:rPr>
          <w:bCs/>
          <w:rFonts w:ascii="Arial" w:cs="Arial" w:eastAsia="Times New Roman" w:hAnsi="Arial"/>
          <w:sz w:val="32"/>
          <w:szCs w:val="36"/>
        </w:rPr>
        <w:t>LCMB7034</w:t>
      </w:r>
    </w:p>
    <w:p w:rsidR="004E0323" w:rsidRDefault="004E0323" w14:paraId="0CE8ACF9" w14:textId="77777777" w:rsidP="004E0323" w:rsidRPr="00093F46">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Name of Lecturer:</w:t>
      </w:r>
      <w:r w:rsidRPr="00093F46">
        <w:rPr>
          <w:bCs/>
          <w:rFonts w:ascii="Arial" w:cs="Arial" w:eastAsia="Times New Roman" w:hAnsi="Arial"/>
          <w:sz w:val="32"/>
          <w:szCs w:val="36"/>
        </w:rPr>
        <w:tab/>
      </w:r>
      <w:r w:rsidRPr="004E0323">
        <w:rPr>
          <w:bCs/>
          <w:rFonts w:ascii="Arial" w:cs="Arial" w:eastAsia="Times New Roman" w:hAnsi="Arial"/>
          <w:sz w:val="32"/>
          <w:szCs w:val="36"/>
        </w:rPr>
        <w:t xml:space="preserve">Akshay </w:t>
      </w:r>
      <w:proofErr w:type="spellStart"/>
      <w:r w:rsidRPr="004E0323">
        <w:rPr>
          <w:bCs/>
          <w:rFonts w:ascii="Arial" w:cs="Arial" w:eastAsia="Times New Roman" w:hAnsi="Arial"/>
          <w:sz w:val="32"/>
          <w:szCs w:val="36"/>
        </w:rPr>
        <w:t>Narayanan</w:t>
      </w:r>
      <w:proofErr w:type="spellEnd"/>
    </w:p>
    <w:p w:rsidR="004E0323" w:rsidRDefault="004E0323" w14:paraId="554071FF" w14:textId="77777777" w:rsidP="004E0323" w:rsidRPr="004E0323">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Internal verifier:</w:t>
      </w:r>
      <w:r w:rsidRPr="00093F46">
        <w:rPr>
          <w:bCs/>
          <w:rFonts w:ascii="Arial" w:cs="Arial" w:eastAsia="Times New Roman" w:hAnsi="Arial"/>
          <w:sz w:val="32"/>
          <w:szCs w:val="36"/>
        </w:rPr>
        <w:tab/>
      </w:r>
      <w:proofErr w:type="spellStart"/>
      <w:r w:rsidRPr="004E0323">
        <w:rPr>
          <w:bCs/>
          <w:rFonts w:ascii="Arial" w:cs="Arial" w:eastAsia="Times New Roman" w:hAnsi="Arial"/>
          <w:sz w:val="32"/>
          <w:szCs w:val="36"/>
        </w:rPr>
        <w:t>Vasilios</w:t>
      </w:r>
      <w:proofErr w:type="spellEnd"/>
      <w:r w:rsidRPr="004E0323">
        <w:rPr>
          <w:bCs/>
          <w:rFonts w:ascii="Arial" w:cs="Arial" w:eastAsia="Times New Roman" w:hAnsi="Arial"/>
          <w:sz w:val="32"/>
          <w:szCs w:val="36"/>
        </w:rPr>
        <w:t xml:space="preserve"> </w:t>
      </w:r>
      <w:proofErr w:type="spellStart"/>
      <w:r w:rsidRPr="004E0323">
        <w:rPr>
          <w:bCs/>
          <w:rFonts w:ascii="Arial" w:cs="Arial" w:eastAsia="Times New Roman" w:hAnsi="Arial"/>
          <w:sz w:val="32"/>
          <w:szCs w:val="36"/>
        </w:rPr>
        <w:t>Tavlaridis</w:t>
      </w:r>
      <w:proofErr w:type="spellEnd"/>
    </w:p>
    <w:p w:rsidR="004E0323" w:rsidRDefault="004E0323" w14:paraId="24621D8D" w14:textId="77777777" w:rsidP="004E0323">
      <w:pPr>
        <w:jc w:val="both"/>
        <w:ind w:left="2160"/>
        <w:ind w:firstLine="720"/>
        <w:spacing w:line="360" w:lineRule="auto"/>
        <w:rPr>
          <w:bCs/>
          <w:rFonts w:ascii="Arial" w:cs="Arial" w:eastAsia="Times New Roman" w:hAnsi="Arial"/>
          <w:sz w:val="32"/>
          <w:szCs w:val="36"/>
        </w:rPr>
      </w:pPr>
      <w:r w:rsidRPr="004E0323">
        <w:rPr>
          <w:bCs/>
          <w:rFonts w:ascii="Arial" w:cs="Arial" w:eastAsia="Times New Roman" w:hAnsi="Arial"/>
          <w:sz w:val="32"/>
          <w:szCs w:val="36"/>
        </w:rPr>
        <w:t>Hoang Nguyen</w:t>
      </w:r>
      <w:r w:rsidRPr="00093F46">
        <w:rPr>
          <w:bCs/>
          <w:rFonts w:ascii="Arial" w:cs="Arial" w:eastAsia="Times New Roman" w:hAnsi="Arial"/>
          <w:sz w:val="32"/>
          <w:szCs w:val="36"/>
        </w:rPr>
        <w:t xml:space="preserve"> </w:t>
      </w:r>
    </w:p>
    <w:p w:rsidR="004E0323" w:rsidRDefault="004E0323" w14:paraId="631482DC" w14:textId="77777777" w:rsidP="004E0323">
      <w:pPr>
        <w:jc w:val="both"/>
        <w:spacing w:line="360" w:lineRule="auto"/>
        <w:rPr>
          <w:bCs/>
          <w:rFonts w:ascii="Arial" w:cs="Arial" w:eastAsia="Times New Roman" w:hAnsi="Arial"/>
          <w:sz w:val="32"/>
          <w:szCs w:val="36"/>
        </w:rPr>
      </w:pPr>
      <w:r w:rsidRPr="00093F46">
        <w:rPr>
          <w:bCs/>
          <w:rFonts w:ascii="Arial" w:cs="Arial" w:eastAsia="Times New Roman" w:hAnsi="Arial"/>
          <w:sz w:val="32"/>
          <w:szCs w:val="36"/>
        </w:rPr>
        <w:t>Date:</w:t>
      </w:r>
      <w:r w:rsidRPr="00093F46">
        <w:rPr>
          <w:bCs/>
          <w:rFonts w:ascii="Arial" w:cs="Arial" w:eastAsia="Times New Roman" w:hAnsi="Arial"/>
          <w:sz w:val="32"/>
          <w:szCs w:val="36"/>
        </w:rPr>
        <w:tab/>
      </w:r>
      <w:r w:rsidRPr="00093F46">
        <w:rPr>
          <w:bCs/>
          <w:rFonts w:ascii="Arial" w:cs="Arial" w:eastAsia="Times New Roman" w:hAnsi="Arial"/>
          <w:sz w:val="32"/>
          <w:szCs w:val="36"/>
        </w:rPr>
        <w:tab/>
      </w:r>
      <w:r w:rsidRPr="00093F46">
        <w:rPr>
          <w:bCs/>
          <w:rFonts w:ascii="Arial" w:cs="Arial" w:eastAsia="Times New Roman" w:hAnsi="Arial"/>
          <w:sz w:val="32"/>
          <w:szCs w:val="36"/>
        </w:rPr>
        <w:tab/>
      </w:r>
      <w:r>
        <w:rPr>
          <w:bCs/>
          <w:rFonts w:ascii="Arial" w:cs="Arial" w:eastAsia="Times New Roman" w:hAnsi="Arial"/>
          <w:sz w:val="32"/>
          <w:szCs w:val="36"/>
        </w:rPr>
        <w:t>17</w:t>
      </w:r>
      <w:r w:rsidRPr="00093F46">
        <w:rPr>
          <w:bCs/>
          <w:rFonts w:ascii="Arial" w:cs="Arial" w:eastAsia="Times New Roman" w:hAnsi="Arial"/>
          <w:sz w:val="32"/>
          <w:szCs w:val="36"/>
        </w:rPr>
        <w:t xml:space="preserve"> </w:t>
      </w:r>
      <w:r>
        <w:rPr>
          <w:bCs/>
          <w:rFonts w:ascii="Arial" w:cs="Arial" w:eastAsia="Times New Roman" w:hAnsi="Arial"/>
          <w:sz w:val="32"/>
          <w:szCs w:val="36"/>
        </w:rPr>
        <w:t>March 2026</w:t>
      </w:r>
    </w:p>
    <w:p w:rsidR="00732907" w:rsidRDefault="00732907" w14:paraId="24ED2D8E" w14:textId="77777777" w:rsidP="004E0323" w:rsidRPr="00093F46">
      <w:pPr>
        <w:jc w:val="both"/>
        <w:spacing w:line="360" w:lineRule="auto"/>
        <w:rPr>
          <w:bCs/>
          <w:rFonts w:ascii="Arial" w:cs="Arial" w:eastAsia="Times New Roman" w:hAnsi="Arial"/>
          <w:sz w:val="32"/>
          <w:szCs w:val="36"/>
        </w:rPr>
      </w:pPr>
    </w:p>
    <w:p w:rsidR="00216B03" w:rsidRDefault="00FD0388" w14:paraId="39F96F30" w14:textId="77777777" w:rsidRPr="009225E6">
      <w:pPr>
        <w:rPr>
          <w:b/>
          <w:rFonts w:ascii="Times New Roman" w:cs="Times New Roman" w:hAnsi="Times New Roman"/>
          <w:sz w:val="24"/>
        </w:rPr>
      </w:pPr>
      <w:r>
        <w:rPr>
          <w:b/>
          <w:rFonts w:ascii="Times New Roman" w:cs="Times New Roman" w:hAnsi="Times New Roman"/>
          <w:sz w:val="24"/>
        </w:rPr>
        <w:br w:type="page"/>
      </w:r>
    </w:p>
    <w:sdt>
      <w:sdtPr>
        <w:rPr>
          <w:rFonts w:ascii="Times New Roman" w:eastAsiaTheme="minorHAnsi" w:hAnsi="Times New Roman" w:cs="Times New Roman"/>
          <w:b w:val="0"/>
          <w:bCs w:val="0"/>
          <w:color w:val="auto"/>
          <w:sz w:val="22"/>
          <w:szCs w:val="22"/>
          <w:lang w:val="en-GB" w:eastAsia="en-US"/>
        </w:rPr>
        <w:id w:val="1720093859"/>
        <w:docPartObj>
          <w:docPartGallery w:val="Table of Contents"/>
          <w:docPartUnique/>
        </w:docPartObj>
      </w:sdtPr>
      <w:sdtEndPr>
        <w:rPr>
          <w:noProof/>
        </w:rPr>
      </w:sdtEndPr>
      <w:sdtContent>
        <w:p w:rsidR="00FD0388" w:rsidRDefault="00FD0388" w14:paraId="312B4CAB" w14:textId="77777777" w:rsidP="005F69B8" w:rsidRPr="009225E6">
          <w:pPr>
            <w:pStyle w:val="TOCHeading"/>
            <w:jc w:val="both"/>
            <w:tabs>
              <w:tab w:val="left" w:pos="1575"/>
            </w:tabs>
            <w:rPr>
              <w:rFonts w:ascii="Times New Roman" w:cs="Times New Roman" w:hAnsi="Times New Roman"/>
            </w:rPr>
          </w:pPr>
          <w:r w:rsidRPr="009225E6">
            <w:rPr>
              <w:rFonts w:ascii="Times New Roman" w:cs="Times New Roman" w:hAnsi="Times New Roman"/>
            </w:rPr>
            <w:t>Contents</w:t>
          </w:r>
          <w:r w:rsidR="005F69B8">
            <w:rPr>
              <w:rFonts w:ascii="Times New Roman" w:cs="Times New Roman" w:hAnsi="Times New Roman"/>
            </w:rPr>
            <w:tab/>
          </w:r>
        </w:p>
        <w:p w:rsidR="00732907" w:rsidRDefault="00FD0388" w14:paraId="652919DB" w14:textId="77777777">
          <w:pPr>
            <w:pStyle w:val="TOC1"/>
            <w:tabs>
              <w:tab w:val="left" w:pos="440"/>
              <w:tab w:val="right" w:leader="dot" w:pos="9016"/>
            </w:tabs>
            <w:rPr>
              <w:noProof/>
              <w:lang w:val="en-US"/>
              <w:rFonts w:eastAsiaTheme="minorEastAsia"/>
            </w:rPr>
          </w:pPr>
          <w:r w:rsidRPr="009225E6">
            <w:rPr>
              <w:rFonts w:ascii="Times New Roman" w:cs="Times New Roman" w:hAnsi="Times New Roman"/>
            </w:rPr>
            <w:fldChar w:fldCharType="begin"/>
          </w:r>
          <w:r w:rsidRPr="009225E6">
            <w:rPr>
              <w:rFonts w:ascii="Times New Roman" w:cs="Times New Roman" w:hAnsi="Times New Roman"/>
            </w:rPr>
            <w:instrText xml:space="preserve"> TOC \o "1-3" \h \z \u </w:instrText>
          </w:r>
          <w:r w:rsidRPr="009225E6">
            <w:rPr>
              <w:rFonts w:ascii="Times New Roman" w:cs="Times New Roman" w:hAnsi="Times New Roman"/>
            </w:rPr>
            <w:fldChar w:fldCharType="separate"/>
          </w:r>
          <w:hyperlink w:anchor="_Toc224662495" w:history="1">
            <w:r w:rsidR="00732907" w:rsidRPr="00B25F07">
              <w:rPr>
                <w:noProof/>
                <w:rStyle w:val="Hyperlink"/>
              </w:rPr>
              <w:t>1.</w:t>
            </w:r>
            <w:r w:rsidR="00732907">
              <w:rPr>
                <w:noProof/>
                <w:lang w:val="en-US"/>
                <w:rFonts w:eastAsiaTheme="minorEastAsia"/>
              </w:rPr>
              <w:tab/>
            </w:r>
            <w:r w:rsidR="00732907" w:rsidRPr="00B25F07">
              <w:rPr>
                <w:noProof/>
                <w:rStyle w:val="Hyperlink"/>
              </w:rPr>
              <w:t>Introduction</w:t>
            </w:r>
            <w:r w:rsidR="00732907">
              <w:rPr>
                <w:noProof/>
                <w:webHidden/>
              </w:rPr>
              <w:tab/>
            </w:r>
            <w:r w:rsidR="00732907">
              <w:rPr>
                <w:noProof/>
                <w:webHidden/>
              </w:rPr>
              <w:fldChar w:fldCharType="begin"/>
            </w:r>
            <w:r w:rsidR="00732907">
              <w:rPr>
                <w:noProof/>
                <w:webHidden/>
              </w:rPr>
              <w:instrText xml:space="preserve"> PAGEREF _Toc224662495 \h </w:instrText>
            </w:r>
            <w:r w:rsidR="00732907">
              <w:rPr>
                <w:noProof/>
                <w:webHidden/>
              </w:rPr>
            </w:r>
            <w:r w:rsidR="00732907">
              <w:rPr>
                <w:noProof/>
                <w:webHidden/>
              </w:rPr>
              <w:fldChar w:fldCharType="separate"/>
            </w:r>
            <w:r w:rsidR="00732907">
              <w:rPr>
                <w:noProof/>
                <w:webHidden/>
              </w:rPr>
              <w:t>1</w:t>
            </w:r>
            <w:r w:rsidR="00732907">
              <w:rPr>
                <w:noProof/>
                <w:webHidden/>
              </w:rPr>
              <w:fldChar w:fldCharType="end"/>
            </w:r>
          </w:hyperlink>
        </w:p>
        <w:p w:rsidR="00732907" w:rsidRDefault="00732907" w14:paraId="74D1C950" w14:textId="77777777">
          <w:pPr>
            <w:pStyle w:val="TOC1"/>
            <w:tabs>
              <w:tab w:val="left" w:pos="440"/>
              <w:tab w:val="right" w:leader="dot" w:pos="9016"/>
            </w:tabs>
            <w:rPr>
              <w:noProof/>
              <w:lang w:val="en-US"/>
              <w:rFonts w:eastAsiaTheme="minorEastAsia"/>
            </w:rPr>
          </w:pPr>
          <w:hyperlink w:anchor="_Toc224662496" w:history="1">
            <w:r w:rsidRPr="00B25F07">
              <w:rPr>
                <w:noProof/>
                <w:rStyle w:val="Hyperlink"/>
                <w:i/>
              </w:rPr>
              <w:t>2.</w:t>
            </w:r>
            <w:r>
              <w:rPr>
                <w:noProof/>
                <w:lang w:val="en-US"/>
                <w:rFonts w:eastAsiaTheme="minorEastAsia"/>
              </w:rPr>
              <w:tab/>
            </w:r>
            <w:r w:rsidRPr="00B25F07">
              <w:rPr>
                <w:noProof/>
                <w:lang w:val="en-US"/>
                <w:rStyle w:val="Hyperlink"/>
              </w:rPr>
              <w:t xml:space="preserve">Industry and Country Overview-see </w:t>
            </w:r>
            <w:r w:rsidRPr="00B25F07">
              <w:rPr>
                <w:noProof/>
                <w:lang w:val="en-US"/>
                <w:rStyle w:val="Hyperlink"/>
                <w:i/>
              </w:rPr>
              <w:t>Appendix-I-</w:t>
            </w:r>
            <w:r w:rsidRPr="00B25F07">
              <w:rPr>
                <w:noProof/>
                <w:rStyle w:val="Hyperlink"/>
                <w:rFonts w:ascii="Segoe UI" w:cs="Segoe UI" w:hAnsi="Segoe UI"/>
                <w:shd w:fill="FFFFFF" w:color="auto" w:val="clear"/>
              </w:rPr>
              <w:t xml:space="preserve"> </w:t>
            </w:r>
            <w:r w:rsidRPr="00B25F07">
              <w:rPr>
                <w:noProof/>
                <w:rStyle w:val="Hyperlink"/>
                <w:i/>
              </w:rPr>
              <w:t>Mexico Automotive Industry overview</w:t>
            </w:r>
            <w:r>
              <w:rPr>
                <w:noProof/>
                <w:webHidden/>
              </w:rPr>
              <w:tab/>
            </w:r>
            <w:r>
              <w:rPr>
                <w:noProof/>
                <w:webHidden/>
              </w:rPr>
              <w:fldChar w:fldCharType="begin"/>
            </w:r>
            <w:r>
              <w:rPr>
                <w:noProof/>
                <w:webHidden/>
              </w:rPr>
              <w:instrText xml:space="preserve"> PAGEREF _Toc224662496 \h </w:instrText>
            </w:r>
            <w:r>
              <w:rPr>
                <w:noProof/>
                <w:webHidden/>
              </w:rPr>
            </w:r>
            <w:r>
              <w:rPr>
                <w:noProof/>
                <w:webHidden/>
              </w:rPr>
              <w:fldChar w:fldCharType="separate"/>
            </w:r>
            <w:r>
              <w:rPr>
                <w:noProof/>
                <w:webHidden/>
              </w:rPr>
              <w:t>1</w:t>
            </w:r>
            <w:r>
              <w:rPr>
                <w:noProof/>
                <w:webHidden/>
              </w:rPr>
              <w:fldChar w:fldCharType="end"/>
            </w:r>
          </w:hyperlink>
        </w:p>
        <w:p w:rsidR="00732907" w:rsidRDefault="00732907" w14:paraId="2F24EB57" w14:textId="77777777">
          <w:pPr>
            <w:pStyle w:val="TOC2"/>
            <w:tabs>
              <w:tab w:val="right" w:leader="dot" w:pos="9016"/>
            </w:tabs>
            <w:rPr>
              <w:noProof/>
              <w:lang w:val="en-US"/>
              <w:rFonts w:eastAsiaTheme="minorEastAsia"/>
            </w:rPr>
          </w:pPr>
          <w:hyperlink w:anchor="_Toc224662497" w:history="1">
            <w:r w:rsidRPr="00B25F07">
              <w:rPr>
                <w:noProof/>
                <w:lang w:val="en-US"/>
                <w:rStyle w:val="Hyperlink"/>
              </w:rPr>
              <w:t>a. Industry Context</w:t>
            </w:r>
            <w:r>
              <w:rPr>
                <w:noProof/>
                <w:webHidden/>
              </w:rPr>
              <w:tab/>
            </w:r>
            <w:r>
              <w:rPr>
                <w:noProof/>
                <w:webHidden/>
              </w:rPr>
              <w:fldChar w:fldCharType="begin"/>
            </w:r>
            <w:r>
              <w:rPr>
                <w:noProof/>
                <w:webHidden/>
              </w:rPr>
              <w:instrText xml:space="preserve"> PAGEREF _Toc224662497 \h </w:instrText>
            </w:r>
            <w:r>
              <w:rPr>
                <w:noProof/>
                <w:webHidden/>
              </w:rPr>
            </w:r>
            <w:r>
              <w:rPr>
                <w:noProof/>
                <w:webHidden/>
              </w:rPr>
              <w:fldChar w:fldCharType="separate"/>
            </w:r>
            <w:r>
              <w:rPr>
                <w:noProof/>
                <w:webHidden/>
              </w:rPr>
              <w:t>1</w:t>
            </w:r>
            <w:r>
              <w:rPr>
                <w:noProof/>
                <w:webHidden/>
              </w:rPr>
              <w:fldChar w:fldCharType="end"/>
            </w:r>
          </w:hyperlink>
        </w:p>
        <w:p w:rsidR="00732907" w:rsidRDefault="00732907" w14:paraId="36652406" w14:textId="77777777">
          <w:pPr>
            <w:pStyle w:val="TOC2"/>
            <w:tabs>
              <w:tab w:val="right" w:leader="dot" w:pos="9016"/>
            </w:tabs>
            <w:rPr>
              <w:noProof/>
              <w:lang w:val="en-US"/>
              <w:rFonts w:eastAsiaTheme="minorEastAsia"/>
            </w:rPr>
          </w:pPr>
          <w:hyperlink w:anchor="_Toc224662498" w:history="1">
            <w:r w:rsidRPr="00B25F07">
              <w:rPr>
                <w:noProof/>
                <w:rStyle w:val="Hyperlink"/>
              </w:rPr>
              <w:t>b. Size, scope, and economic importance –See Appendix-II</w:t>
            </w:r>
            <w:r>
              <w:rPr>
                <w:noProof/>
                <w:webHidden/>
              </w:rPr>
              <w:tab/>
            </w:r>
            <w:r>
              <w:rPr>
                <w:noProof/>
                <w:webHidden/>
              </w:rPr>
              <w:fldChar w:fldCharType="begin"/>
            </w:r>
            <w:r>
              <w:rPr>
                <w:noProof/>
                <w:webHidden/>
              </w:rPr>
              <w:instrText xml:space="preserve"> PAGEREF _Toc224662498 \h </w:instrText>
            </w:r>
            <w:r>
              <w:rPr>
                <w:noProof/>
                <w:webHidden/>
              </w:rPr>
            </w:r>
            <w:r>
              <w:rPr>
                <w:noProof/>
                <w:webHidden/>
              </w:rPr>
              <w:fldChar w:fldCharType="separate"/>
            </w:r>
            <w:r>
              <w:rPr>
                <w:noProof/>
                <w:webHidden/>
              </w:rPr>
              <w:t>2</w:t>
            </w:r>
            <w:r>
              <w:rPr>
                <w:noProof/>
                <w:webHidden/>
              </w:rPr>
              <w:fldChar w:fldCharType="end"/>
            </w:r>
          </w:hyperlink>
        </w:p>
        <w:p w:rsidR="00732907" w:rsidRDefault="00732907" w14:paraId="6123D597" w14:textId="77777777">
          <w:pPr>
            <w:pStyle w:val="TOC2"/>
            <w:tabs>
              <w:tab w:val="right" w:leader="dot" w:pos="9016"/>
            </w:tabs>
            <w:rPr>
              <w:noProof/>
              <w:lang w:val="en-US"/>
              <w:rFonts w:eastAsiaTheme="minorEastAsia"/>
            </w:rPr>
          </w:pPr>
          <w:hyperlink w:anchor="_Toc224662499" w:history="1">
            <w:r w:rsidRPr="00B25F07">
              <w:rPr>
                <w:noProof/>
                <w:rStyle w:val="Hyperlink"/>
              </w:rPr>
              <w:t>c. Major Companies-See Appendix-III</w:t>
            </w:r>
            <w:r>
              <w:rPr>
                <w:noProof/>
                <w:webHidden/>
              </w:rPr>
              <w:tab/>
            </w:r>
            <w:r>
              <w:rPr>
                <w:noProof/>
                <w:webHidden/>
              </w:rPr>
              <w:fldChar w:fldCharType="begin"/>
            </w:r>
            <w:r>
              <w:rPr>
                <w:noProof/>
                <w:webHidden/>
              </w:rPr>
              <w:instrText xml:space="preserve"> PAGEREF _Toc224662499 \h </w:instrText>
            </w:r>
            <w:r>
              <w:rPr>
                <w:noProof/>
                <w:webHidden/>
              </w:rPr>
            </w:r>
            <w:r>
              <w:rPr>
                <w:noProof/>
                <w:webHidden/>
              </w:rPr>
              <w:fldChar w:fldCharType="separate"/>
            </w:r>
            <w:r>
              <w:rPr>
                <w:noProof/>
                <w:webHidden/>
              </w:rPr>
              <w:t>2</w:t>
            </w:r>
            <w:r>
              <w:rPr>
                <w:noProof/>
                <w:webHidden/>
              </w:rPr>
              <w:fldChar w:fldCharType="end"/>
            </w:r>
          </w:hyperlink>
        </w:p>
        <w:p w:rsidR="00732907" w:rsidRDefault="00732907" w14:paraId="36C5F2C6" w14:textId="77777777">
          <w:pPr>
            <w:pStyle w:val="TOC3"/>
            <w:tabs>
              <w:tab w:val="right" w:leader="dot" w:pos="9016"/>
            </w:tabs>
            <w:rPr>
              <w:noProof/>
              <w:lang w:val="en-US"/>
              <w:rFonts w:eastAsiaTheme="minorEastAsia"/>
            </w:rPr>
          </w:pPr>
          <w:hyperlink w:anchor="_Toc224662500" w:history="1">
            <w:r w:rsidRPr="00B25F07">
              <w:rPr>
                <w:noProof/>
                <w:lang w:val="en-US"/>
                <w:rStyle w:val="Hyperlink"/>
                <w:rFonts w:ascii="Times New Roman" w:cs="Times New Roman" w:hAnsi="Times New Roman"/>
              </w:rPr>
              <w:t>Established Leaders</w:t>
            </w:r>
            <w:r>
              <w:rPr>
                <w:noProof/>
                <w:webHidden/>
              </w:rPr>
              <w:tab/>
            </w:r>
            <w:r>
              <w:rPr>
                <w:noProof/>
                <w:webHidden/>
              </w:rPr>
              <w:fldChar w:fldCharType="begin"/>
            </w:r>
            <w:r>
              <w:rPr>
                <w:noProof/>
                <w:webHidden/>
              </w:rPr>
              <w:instrText xml:space="preserve"> PAGEREF _Toc224662500 \h </w:instrText>
            </w:r>
            <w:r>
              <w:rPr>
                <w:noProof/>
                <w:webHidden/>
              </w:rPr>
            </w:r>
            <w:r>
              <w:rPr>
                <w:noProof/>
                <w:webHidden/>
              </w:rPr>
              <w:fldChar w:fldCharType="separate"/>
            </w:r>
            <w:r>
              <w:rPr>
                <w:noProof/>
                <w:webHidden/>
              </w:rPr>
              <w:t>2</w:t>
            </w:r>
            <w:r>
              <w:rPr>
                <w:noProof/>
                <w:webHidden/>
              </w:rPr>
              <w:fldChar w:fldCharType="end"/>
            </w:r>
          </w:hyperlink>
        </w:p>
        <w:p w:rsidR="00732907" w:rsidRDefault="00732907" w14:paraId="62FF6580" w14:textId="77777777">
          <w:pPr>
            <w:pStyle w:val="TOC1"/>
            <w:tabs>
              <w:tab w:val="right" w:leader="dot" w:pos="9016"/>
            </w:tabs>
            <w:rPr>
              <w:noProof/>
              <w:lang w:val="en-US"/>
              <w:rFonts w:eastAsiaTheme="minorEastAsia"/>
            </w:rPr>
          </w:pPr>
          <w:hyperlink w:anchor="_Toc224662501" w:history="1">
            <w:r w:rsidRPr="00B25F07">
              <w:rPr>
                <w:noProof/>
                <w:lang w:val="en-US"/>
                <w:rStyle w:val="Hyperlink"/>
              </w:rPr>
              <w:t xml:space="preserve">3. Applying Porter’s Diamond Model to </w:t>
            </w:r>
            <w:r w:rsidRPr="00B25F07">
              <w:rPr>
                <w:noProof/>
                <w:rStyle w:val="Hyperlink"/>
              </w:rPr>
              <w:t>Mexico Automotive Industry Report</w:t>
            </w:r>
            <w:r w:rsidRPr="00B25F07">
              <w:rPr>
                <w:noProof/>
                <w:lang w:val="en-US"/>
                <w:rStyle w:val="Hyperlink"/>
              </w:rPr>
              <w:t xml:space="preserve">- See </w:t>
            </w:r>
            <w:r w:rsidRPr="00B25F07">
              <w:rPr>
                <w:noProof/>
                <w:lang w:val="en-US"/>
                <w:rStyle w:val="Hyperlink"/>
                <w:i/>
              </w:rPr>
              <w:t>Appendix-IV</w:t>
            </w:r>
            <w:r>
              <w:rPr>
                <w:noProof/>
                <w:webHidden/>
              </w:rPr>
              <w:tab/>
            </w:r>
            <w:r>
              <w:rPr>
                <w:noProof/>
                <w:webHidden/>
              </w:rPr>
              <w:fldChar w:fldCharType="begin"/>
            </w:r>
            <w:r>
              <w:rPr>
                <w:noProof/>
                <w:webHidden/>
              </w:rPr>
              <w:instrText xml:space="preserve"> PAGEREF _Toc224662501 \h </w:instrText>
            </w:r>
            <w:r>
              <w:rPr>
                <w:noProof/>
                <w:webHidden/>
              </w:rPr>
            </w:r>
            <w:r>
              <w:rPr>
                <w:noProof/>
                <w:webHidden/>
              </w:rPr>
              <w:fldChar w:fldCharType="separate"/>
            </w:r>
            <w:r>
              <w:rPr>
                <w:noProof/>
                <w:webHidden/>
              </w:rPr>
              <w:t>3</w:t>
            </w:r>
            <w:r>
              <w:rPr>
                <w:noProof/>
                <w:webHidden/>
              </w:rPr>
              <w:fldChar w:fldCharType="end"/>
            </w:r>
          </w:hyperlink>
        </w:p>
        <w:p w:rsidR="00732907" w:rsidRDefault="00732907" w14:paraId="7AE5DBF4" w14:textId="77777777">
          <w:pPr>
            <w:pStyle w:val="TOC1"/>
            <w:tabs>
              <w:tab w:val="right" w:leader="dot" w:pos="9016"/>
            </w:tabs>
            <w:rPr>
              <w:noProof/>
              <w:lang w:val="en-US"/>
              <w:rFonts w:eastAsiaTheme="minorEastAsia"/>
            </w:rPr>
          </w:pPr>
          <w:hyperlink w:anchor="_Toc224662502" w:history="1">
            <w:r w:rsidRPr="00B25F07">
              <w:rPr>
                <w:noProof/>
                <w:lang w:val="en-US"/>
                <w:rStyle w:val="Hyperlink"/>
              </w:rPr>
              <w:t>4. Critical Evaluation of Ford Motor Company‘s Operations in Mexico</w:t>
            </w:r>
            <w:r>
              <w:rPr>
                <w:noProof/>
                <w:webHidden/>
              </w:rPr>
              <w:tab/>
            </w:r>
            <w:r>
              <w:rPr>
                <w:noProof/>
                <w:webHidden/>
              </w:rPr>
              <w:fldChar w:fldCharType="begin"/>
            </w:r>
            <w:r>
              <w:rPr>
                <w:noProof/>
                <w:webHidden/>
              </w:rPr>
              <w:instrText xml:space="preserve"> PAGEREF _Toc224662502 \h </w:instrText>
            </w:r>
            <w:r>
              <w:rPr>
                <w:noProof/>
                <w:webHidden/>
              </w:rPr>
            </w:r>
            <w:r>
              <w:rPr>
                <w:noProof/>
                <w:webHidden/>
              </w:rPr>
              <w:fldChar w:fldCharType="separate"/>
            </w:r>
            <w:r>
              <w:rPr>
                <w:noProof/>
                <w:webHidden/>
              </w:rPr>
              <w:t>6</w:t>
            </w:r>
            <w:r>
              <w:rPr>
                <w:noProof/>
                <w:webHidden/>
              </w:rPr>
              <w:fldChar w:fldCharType="end"/>
            </w:r>
          </w:hyperlink>
        </w:p>
        <w:p w:rsidR="00732907" w:rsidRDefault="00732907" w14:paraId="5F341487" w14:textId="77777777">
          <w:pPr>
            <w:pStyle w:val="TOC2"/>
            <w:tabs>
              <w:tab w:val="right" w:leader="dot" w:pos="9016"/>
            </w:tabs>
            <w:rPr>
              <w:noProof/>
              <w:lang w:val="en-US"/>
              <w:rFonts w:eastAsiaTheme="minorEastAsia"/>
            </w:rPr>
          </w:pPr>
          <w:hyperlink w:anchor="_Toc224662503" w:history="1">
            <w:r w:rsidRPr="00B25F07">
              <w:rPr>
                <w:noProof/>
                <w:lang w:val="en-US"/>
                <w:rStyle w:val="Hyperlink"/>
              </w:rPr>
              <w:t>4.1 Introduction to the Chosen MNC and Industry Context</w:t>
            </w:r>
            <w:r>
              <w:rPr>
                <w:noProof/>
                <w:webHidden/>
              </w:rPr>
              <w:tab/>
            </w:r>
            <w:r>
              <w:rPr>
                <w:noProof/>
                <w:webHidden/>
              </w:rPr>
              <w:fldChar w:fldCharType="begin"/>
            </w:r>
            <w:r>
              <w:rPr>
                <w:noProof/>
                <w:webHidden/>
              </w:rPr>
              <w:instrText xml:space="preserve"> PAGEREF _Toc224662503 \h </w:instrText>
            </w:r>
            <w:r>
              <w:rPr>
                <w:noProof/>
                <w:webHidden/>
              </w:rPr>
            </w:r>
            <w:r>
              <w:rPr>
                <w:noProof/>
                <w:webHidden/>
              </w:rPr>
              <w:fldChar w:fldCharType="separate"/>
            </w:r>
            <w:r>
              <w:rPr>
                <w:noProof/>
                <w:webHidden/>
              </w:rPr>
              <w:t>6</w:t>
            </w:r>
            <w:r>
              <w:rPr>
                <w:noProof/>
                <w:webHidden/>
              </w:rPr>
              <w:fldChar w:fldCharType="end"/>
            </w:r>
          </w:hyperlink>
        </w:p>
        <w:p w:rsidR="00732907" w:rsidRDefault="00732907" w14:paraId="6C0466AB" w14:textId="77777777">
          <w:pPr>
            <w:pStyle w:val="TOC1"/>
            <w:tabs>
              <w:tab w:val="right" w:leader="dot" w:pos="9016"/>
            </w:tabs>
            <w:rPr>
              <w:noProof/>
              <w:lang w:val="en-US"/>
              <w:rFonts w:eastAsiaTheme="minorEastAsia"/>
            </w:rPr>
          </w:pPr>
          <w:hyperlink w:anchor="_Toc224662504" w:history="1">
            <w:r w:rsidRPr="00B25F07">
              <w:rPr>
                <w:noProof/>
                <w:rStyle w:val="Hyperlink"/>
              </w:rPr>
              <w:t>5. Conclusion</w:t>
            </w:r>
            <w:r>
              <w:rPr>
                <w:noProof/>
                <w:webHidden/>
              </w:rPr>
              <w:tab/>
            </w:r>
            <w:r>
              <w:rPr>
                <w:noProof/>
                <w:webHidden/>
              </w:rPr>
              <w:fldChar w:fldCharType="begin"/>
            </w:r>
            <w:r>
              <w:rPr>
                <w:noProof/>
                <w:webHidden/>
              </w:rPr>
              <w:instrText xml:space="preserve"> PAGEREF _Toc224662504 \h </w:instrText>
            </w:r>
            <w:r>
              <w:rPr>
                <w:noProof/>
                <w:webHidden/>
              </w:rPr>
            </w:r>
            <w:r>
              <w:rPr>
                <w:noProof/>
                <w:webHidden/>
              </w:rPr>
              <w:fldChar w:fldCharType="separate"/>
            </w:r>
            <w:r>
              <w:rPr>
                <w:noProof/>
                <w:webHidden/>
              </w:rPr>
              <w:t>11</w:t>
            </w:r>
            <w:r>
              <w:rPr>
                <w:noProof/>
                <w:webHidden/>
              </w:rPr>
              <w:fldChar w:fldCharType="end"/>
            </w:r>
          </w:hyperlink>
        </w:p>
        <w:p w:rsidR="00732907" w:rsidRDefault="00732907" w14:paraId="7FE38FF9" w14:textId="77777777">
          <w:pPr>
            <w:pStyle w:val="TOC1"/>
            <w:tabs>
              <w:tab w:val="right" w:leader="dot" w:pos="9016"/>
            </w:tabs>
            <w:rPr>
              <w:noProof/>
              <w:lang w:val="en-US"/>
              <w:rFonts w:eastAsiaTheme="minorEastAsia"/>
            </w:rPr>
          </w:pPr>
          <w:hyperlink w:anchor="_Toc224662505" w:history="1">
            <w:r w:rsidRPr="00B25F07">
              <w:rPr>
                <w:noProof/>
                <w:lang w:val="en-US"/>
                <w:rStyle w:val="Hyperlink"/>
              </w:rPr>
              <w:t>Section 2: Reflective Account of the Research and Analysis Process</w:t>
            </w:r>
            <w:r>
              <w:rPr>
                <w:noProof/>
                <w:webHidden/>
              </w:rPr>
              <w:tab/>
            </w:r>
            <w:r>
              <w:rPr>
                <w:noProof/>
                <w:webHidden/>
              </w:rPr>
              <w:fldChar w:fldCharType="begin"/>
            </w:r>
            <w:r>
              <w:rPr>
                <w:noProof/>
                <w:webHidden/>
              </w:rPr>
              <w:instrText xml:space="preserve"> PAGEREF _Toc224662505 \h </w:instrText>
            </w:r>
            <w:r>
              <w:rPr>
                <w:noProof/>
                <w:webHidden/>
              </w:rPr>
            </w:r>
            <w:r>
              <w:rPr>
                <w:noProof/>
                <w:webHidden/>
              </w:rPr>
              <w:fldChar w:fldCharType="separate"/>
            </w:r>
            <w:r>
              <w:rPr>
                <w:noProof/>
                <w:webHidden/>
              </w:rPr>
              <w:t>12</w:t>
            </w:r>
            <w:r>
              <w:rPr>
                <w:noProof/>
                <w:webHidden/>
              </w:rPr>
              <w:fldChar w:fldCharType="end"/>
            </w:r>
          </w:hyperlink>
        </w:p>
        <w:p w:rsidR="00732907" w:rsidRDefault="00732907" w14:paraId="58174C33" w14:textId="77777777">
          <w:pPr>
            <w:pStyle w:val="TOC1"/>
            <w:tabs>
              <w:tab w:val="right" w:leader="dot" w:pos="9016"/>
            </w:tabs>
            <w:rPr>
              <w:noProof/>
              <w:lang w:val="en-US"/>
              <w:rFonts w:eastAsiaTheme="minorEastAsia"/>
            </w:rPr>
          </w:pPr>
          <w:hyperlink w:anchor="_Toc224662506" w:history="1">
            <w:r w:rsidRPr="00B25F07">
              <w:rPr>
                <w:noProof/>
                <w:rStyle w:val="Hyperlink"/>
                <w:rFonts w:ascii="Times New Roman" w:cs="Times New Roman" w:hAnsi="Times New Roman"/>
              </w:rPr>
              <w:t>References</w:t>
            </w:r>
            <w:r>
              <w:rPr>
                <w:noProof/>
                <w:webHidden/>
              </w:rPr>
              <w:tab/>
            </w:r>
            <w:r>
              <w:rPr>
                <w:noProof/>
                <w:webHidden/>
              </w:rPr>
              <w:fldChar w:fldCharType="begin"/>
            </w:r>
            <w:r>
              <w:rPr>
                <w:noProof/>
                <w:webHidden/>
              </w:rPr>
              <w:instrText xml:space="preserve"> PAGEREF _Toc224662506 \h </w:instrText>
            </w:r>
            <w:r>
              <w:rPr>
                <w:noProof/>
                <w:webHidden/>
              </w:rPr>
            </w:r>
            <w:r>
              <w:rPr>
                <w:noProof/>
                <w:webHidden/>
              </w:rPr>
              <w:fldChar w:fldCharType="separate"/>
            </w:r>
            <w:r>
              <w:rPr>
                <w:noProof/>
                <w:webHidden/>
              </w:rPr>
              <w:t>15</w:t>
            </w:r>
            <w:r>
              <w:rPr>
                <w:noProof/>
                <w:webHidden/>
              </w:rPr>
              <w:fldChar w:fldCharType="end"/>
            </w:r>
          </w:hyperlink>
        </w:p>
        <w:p w:rsidR="00732907" w:rsidRDefault="00732907" w14:paraId="10D32D67" w14:textId="77777777">
          <w:pPr>
            <w:pStyle w:val="TOC1"/>
            <w:tabs>
              <w:tab w:val="right" w:leader="dot" w:pos="9016"/>
            </w:tabs>
            <w:rPr>
              <w:noProof/>
              <w:lang w:val="en-US"/>
              <w:rFonts w:eastAsiaTheme="minorEastAsia"/>
            </w:rPr>
          </w:pPr>
          <w:hyperlink w:anchor="_Toc224662507" w:history="1">
            <w:r w:rsidRPr="00B25F07">
              <w:rPr>
                <w:noProof/>
                <w:rStyle w:val="Hyperlink"/>
              </w:rPr>
              <w:t>Appendixes</w:t>
            </w:r>
            <w:r>
              <w:rPr>
                <w:noProof/>
                <w:webHidden/>
              </w:rPr>
              <w:tab/>
            </w:r>
            <w:r>
              <w:rPr>
                <w:noProof/>
                <w:webHidden/>
              </w:rPr>
              <w:fldChar w:fldCharType="begin"/>
            </w:r>
            <w:r>
              <w:rPr>
                <w:noProof/>
                <w:webHidden/>
              </w:rPr>
              <w:instrText xml:space="preserve"> PAGEREF _Toc224662507 \h </w:instrText>
            </w:r>
            <w:r>
              <w:rPr>
                <w:noProof/>
                <w:webHidden/>
              </w:rPr>
            </w:r>
            <w:r>
              <w:rPr>
                <w:noProof/>
                <w:webHidden/>
              </w:rPr>
              <w:fldChar w:fldCharType="separate"/>
            </w:r>
            <w:r>
              <w:rPr>
                <w:noProof/>
                <w:webHidden/>
              </w:rPr>
              <w:t>18</w:t>
            </w:r>
            <w:r>
              <w:rPr>
                <w:noProof/>
                <w:webHidden/>
              </w:rPr>
              <w:fldChar w:fldCharType="end"/>
            </w:r>
          </w:hyperlink>
        </w:p>
        <w:p w:rsidR="00732907" w:rsidRDefault="00732907" w14:paraId="108178FA" w14:textId="77777777">
          <w:pPr>
            <w:pStyle w:val="TOC2"/>
            <w:tabs>
              <w:tab w:val="right" w:leader="dot" w:pos="9016"/>
            </w:tabs>
            <w:rPr>
              <w:noProof/>
              <w:lang w:val="en-US"/>
              <w:rFonts w:eastAsiaTheme="minorEastAsia"/>
            </w:rPr>
          </w:pPr>
          <w:hyperlink w:anchor="_Toc224662508" w:history="1">
            <w:r w:rsidRPr="00B25F07">
              <w:rPr>
                <w:noProof/>
                <w:lang w:val="en-US"/>
                <w:rStyle w:val="Hyperlink"/>
                <w:i/>
              </w:rPr>
              <w:t xml:space="preserve">Appendix-I- </w:t>
            </w:r>
            <w:r w:rsidRPr="00B25F07">
              <w:rPr>
                <w:noProof/>
                <w:rStyle w:val="Hyperlink"/>
                <w:i/>
              </w:rPr>
              <w:t>Mexico Automotive Industry Overview</w:t>
            </w:r>
            <w:r>
              <w:rPr>
                <w:noProof/>
                <w:webHidden/>
              </w:rPr>
              <w:tab/>
            </w:r>
            <w:r>
              <w:rPr>
                <w:noProof/>
                <w:webHidden/>
              </w:rPr>
              <w:fldChar w:fldCharType="begin"/>
            </w:r>
            <w:r>
              <w:rPr>
                <w:noProof/>
                <w:webHidden/>
              </w:rPr>
              <w:instrText xml:space="preserve"> PAGEREF _Toc224662508 \h </w:instrText>
            </w:r>
            <w:r>
              <w:rPr>
                <w:noProof/>
                <w:webHidden/>
              </w:rPr>
            </w:r>
            <w:r>
              <w:rPr>
                <w:noProof/>
                <w:webHidden/>
              </w:rPr>
              <w:fldChar w:fldCharType="separate"/>
            </w:r>
            <w:r>
              <w:rPr>
                <w:noProof/>
                <w:webHidden/>
              </w:rPr>
              <w:t>18</w:t>
            </w:r>
            <w:r>
              <w:rPr>
                <w:noProof/>
                <w:webHidden/>
              </w:rPr>
              <w:fldChar w:fldCharType="end"/>
            </w:r>
          </w:hyperlink>
        </w:p>
        <w:p w:rsidR="00732907" w:rsidRDefault="00732907" w14:paraId="520AB6E8" w14:textId="77777777">
          <w:pPr>
            <w:pStyle w:val="TOC2"/>
            <w:tabs>
              <w:tab w:val="right" w:leader="dot" w:pos="9016"/>
            </w:tabs>
            <w:rPr>
              <w:noProof/>
              <w:lang w:val="en-US"/>
              <w:rFonts w:eastAsiaTheme="minorEastAsia"/>
            </w:rPr>
          </w:pPr>
          <w:hyperlink w:anchor="_Toc224662509" w:history="1">
            <w:r w:rsidRPr="00B25F07">
              <w:rPr>
                <w:noProof/>
                <w:rStyle w:val="Hyperlink"/>
              </w:rPr>
              <w:t>Appendix-II</w:t>
            </w:r>
            <w:r>
              <w:rPr>
                <w:noProof/>
                <w:webHidden/>
              </w:rPr>
              <w:tab/>
            </w:r>
            <w:r>
              <w:rPr>
                <w:noProof/>
                <w:webHidden/>
              </w:rPr>
              <w:fldChar w:fldCharType="begin"/>
            </w:r>
            <w:r>
              <w:rPr>
                <w:noProof/>
                <w:webHidden/>
              </w:rPr>
              <w:instrText xml:space="preserve"> PAGEREF _Toc224662509 \h </w:instrText>
            </w:r>
            <w:r>
              <w:rPr>
                <w:noProof/>
                <w:webHidden/>
              </w:rPr>
            </w:r>
            <w:r>
              <w:rPr>
                <w:noProof/>
                <w:webHidden/>
              </w:rPr>
              <w:fldChar w:fldCharType="separate"/>
            </w:r>
            <w:r>
              <w:rPr>
                <w:noProof/>
                <w:webHidden/>
              </w:rPr>
              <w:t>23</w:t>
            </w:r>
            <w:r>
              <w:rPr>
                <w:noProof/>
                <w:webHidden/>
              </w:rPr>
              <w:fldChar w:fldCharType="end"/>
            </w:r>
          </w:hyperlink>
        </w:p>
        <w:p w:rsidR="00732907" w:rsidRDefault="00732907" w14:paraId="0017C2F1" w14:textId="77777777">
          <w:pPr>
            <w:pStyle w:val="TOC2"/>
            <w:tabs>
              <w:tab w:val="right" w:leader="dot" w:pos="9016"/>
            </w:tabs>
            <w:rPr>
              <w:noProof/>
              <w:lang w:val="en-US"/>
              <w:rFonts w:eastAsiaTheme="minorEastAsia"/>
            </w:rPr>
          </w:pPr>
          <w:hyperlink w:anchor="_Toc224662510" w:history="1">
            <w:r w:rsidRPr="00B25F07">
              <w:rPr>
                <w:noProof/>
                <w:lang w:val="en-US"/>
                <w:rStyle w:val="Hyperlink"/>
                <w:i/>
              </w:rPr>
              <w:t xml:space="preserve">Appendix-III </w:t>
            </w:r>
            <w:r w:rsidRPr="00B25F07">
              <w:rPr>
                <w:noProof/>
                <w:lang w:val="en-US"/>
                <w:rStyle w:val="Hyperlink"/>
              </w:rPr>
              <w:t>Popular firms in the Industry</w:t>
            </w:r>
            <w:r>
              <w:rPr>
                <w:noProof/>
                <w:webHidden/>
              </w:rPr>
              <w:tab/>
            </w:r>
            <w:r>
              <w:rPr>
                <w:noProof/>
                <w:webHidden/>
              </w:rPr>
              <w:fldChar w:fldCharType="begin"/>
            </w:r>
            <w:r>
              <w:rPr>
                <w:noProof/>
                <w:webHidden/>
              </w:rPr>
              <w:instrText xml:space="preserve"> PAGEREF _Toc224662510 \h </w:instrText>
            </w:r>
            <w:r>
              <w:rPr>
                <w:noProof/>
                <w:webHidden/>
              </w:rPr>
            </w:r>
            <w:r>
              <w:rPr>
                <w:noProof/>
                <w:webHidden/>
              </w:rPr>
              <w:fldChar w:fldCharType="separate"/>
            </w:r>
            <w:r>
              <w:rPr>
                <w:noProof/>
                <w:webHidden/>
              </w:rPr>
              <w:t>25</w:t>
            </w:r>
            <w:r>
              <w:rPr>
                <w:noProof/>
                <w:webHidden/>
              </w:rPr>
              <w:fldChar w:fldCharType="end"/>
            </w:r>
          </w:hyperlink>
        </w:p>
        <w:p w:rsidR="00732907" w:rsidRDefault="00732907" w14:paraId="2A9E572B" w14:textId="77777777">
          <w:pPr>
            <w:pStyle w:val="TOC2"/>
            <w:tabs>
              <w:tab w:val="right" w:leader="dot" w:pos="9016"/>
            </w:tabs>
            <w:rPr>
              <w:noProof/>
              <w:lang w:val="en-US"/>
              <w:rFonts w:eastAsiaTheme="minorEastAsia"/>
            </w:rPr>
          </w:pPr>
          <w:hyperlink w:anchor="_Toc224662511" w:history="1">
            <w:r w:rsidRPr="00B25F07">
              <w:rPr>
                <w:noProof/>
                <w:rStyle w:val="Hyperlink"/>
              </w:rPr>
              <w:t>Appendix-IV</w:t>
            </w:r>
            <w:r>
              <w:rPr>
                <w:noProof/>
                <w:webHidden/>
              </w:rPr>
              <w:tab/>
            </w:r>
            <w:r>
              <w:rPr>
                <w:noProof/>
                <w:webHidden/>
              </w:rPr>
              <w:fldChar w:fldCharType="begin"/>
            </w:r>
            <w:r>
              <w:rPr>
                <w:noProof/>
                <w:webHidden/>
              </w:rPr>
              <w:instrText xml:space="preserve"> PAGEREF _Toc224662511 \h </w:instrText>
            </w:r>
            <w:r>
              <w:rPr>
                <w:noProof/>
                <w:webHidden/>
              </w:rPr>
            </w:r>
            <w:r>
              <w:rPr>
                <w:noProof/>
                <w:webHidden/>
              </w:rPr>
              <w:fldChar w:fldCharType="separate"/>
            </w:r>
            <w:r>
              <w:rPr>
                <w:noProof/>
                <w:webHidden/>
              </w:rPr>
              <w:t>31</w:t>
            </w:r>
            <w:r>
              <w:rPr>
                <w:noProof/>
                <w:webHidden/>
              </w:rPr>
              <w:fldChar w:fldCharType="end"/>
            </w:r>
          </w:hyperlink>
        </w:p>
        <w:p w:rsidR="00FD0388" w:rsidRDefault="00FD0388" w14:paraId="1782C845" w14:textId="77777777" w:rsidP="00135C1B" w:rsidRPr="009225E6">
          <w:pPr>
            <w:jc w:val="both"/>
            <w:rPr>
              <w:rFonts w:ascii="Times New Roman" w:cs="Times New Roman" w:hAnsi="Times New Roman"/>
            </w:rPr>
          </w:pPr>
          <w:r w:rsidRPr="009225E6">
            <w:rPr>
              <w:bCs/>
              <w:noProof/>
              <w:b/>
              <w:rFonts w:ascii="Times New Roman" w:cs="Times New Roman" w:hAnsi="Times New Roman"/>
            </w:rPr>
            <w:fldChar w:fldCharType="end"/>
          </w:r>
        </w:p>
      </w:sdtContent>
    </w:sdt>
    <w:p w:rsidR="005E4072" w:rsidRDefault="006E0F18" w14:paraId="0F49B04C" w14:textId="77777777" w:rsidP="001D4258" w:rsidRPr="001D4258">
      <w:pPr>
        <w:jc w:val="center"/>
        <w:rPr>
          <w:bCs/>
          <w:b/>
          <w:rFonts w:ascii="Times New Roman" w:cs="Times New Roman" w:hAnsi="Times New Roman"/>
          <w:sz w:val="24"/>
        </w:rPr>
      </w:pPr>
      <w:r>
        <w:rPr>
          <w:b/>
          <w:rFonts w:ascii="Times New Roman" w:cs="Times New Roman" w:hAnsi="Times New Roman"/>
          <w:sz w:val="24"/>
        </w:rPr>
        <w:br w:type="page"/>
      </w:r>
      <w:r>
        <w:rPr>
          <w:noProof/>
        </w:rPr>
        <w:drawing>
          <wp:anchor distT="0" distB="0" distR="114300" distL="114300" relativeHeight="251665408" behindDoc="0" allowOverlap="1" layoutInCell="1" locked="0" simplePos="0" wp14:anchorId="4F7A13ED" wp14:editId="195B47A3">
            <wp:simplePos x="0" y="0"/>
            <wp:positionH relativeFrom="column">
              <wp:posOffset>-933450</wp:posOffset>
            </wp:positionH>
            <wp:positionV relativeFrom="paragraph">
              <wp:posOffset>285750</wp:posOffset>
            </wp:positionV>
            <wp:extent cx="7458075" cy="6372225"/>
            <wp:effectExtent l="171450" t="171450" r="390525" b="3524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5">
                      <a:extLst>
                        <a:ext uri="{28A0092B-C50C-407E-A947-70E740481C1C}">
                          <a14:useLocalDpi xmlns:a14="http://schemas.microsoft.com/office/drawing/2010/main" val="0"/>
                        </a:ext>
                      </a:extLst>
                    </a:blip>
                    <a:stretch>
                      <a:fillRect/>
                    </a:stretch>
                  </pic:blipFill>
                  <pic:spPr>
                    <a:xfrm>
                      <a:off x="0" y="0"/>
                      <a:ext cx="7462549" cy="6376047"/>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BE56C9" w:rsidRPr="00BE56C9">
        <w:rPr>
          <w:b/>
          <w:color w:val="0F1115"/>
          <w:rFonts w:ascii="Segoe UI" w:cs="Segoe UI" w:hAnsi="Segoe UI"/>
          <w:sz w:val="33"/>
          <w:szCs w:val="21"/>
          <w:shd w:fill="FFFFFF" w:color="auto" w:val="clear"/>
        </w:rPr>
        <w:t>Mexic</w:t>
      </w:r>
      <w:r w:rsidR="00BE56C9">
        <w:rPr>
          <w:b/>
          <w:color w:val="0F1115"/>
          <w:rFonts w:ascii="Segoe UI" w:cs="Segoe UI" w:hAnsi="Segoe UI"/>
          <w:sz w:val="33"/>
          <w:szCs w:val="21"/>
          <w:shd w:fill="FFFFFF" w:color="auto" w:val="clear"/>
        </w:rPr>
        <w:t>o Automotive Industry Report</w:t>
      </w:r>
    </w:p>
    <w:p w:rsidR="008767EC" w:rsidRDefault="008767EC" w14:paraId="18FD140D" w14:textId="77777777" w:rsidP="005F69B8">
      <w:pPr>
        <w:rPr>
          <w:rStyle w:val="Strong"/>
        </w:rPr>
        <w:jc w:val="center"/>
        <w:rPr>
          <w:bCs w:val="0"/>
          <w:rStyle w:val="Strong"/>
          <w:b w:val="0"/>
          <w:color w:val="C00000"/>
          <w:rFonts w:ascii="Segoe UI" w:cs="Segoe UI" w:hAnsi="Segoe UI"/>
          <w:sz w:val="42"/>
          <w:szCs w:val="30"/>
        </w:rPr>
      </w:pPr>
    </w:p>
    <w:p w:rsidR="00545406" w:rsidRDefault="00545406" w14:paraId="3FF6F24A" w14:textId="77777777" w:rsidP="005F69B8" w:rsidRPr="00BE56C9">
      <w:pPr>
        <w:rPr>
          <w:rStyle w:val="Strong"/>
        </w:rPr>
        <w:jc w:val="center"/>
        <w:rPr>
          <w:bCs w:val="0"/>
          <w:rStyle w:val="Strong"/>
          <w:b w:val="0"/>
          <w:color w:val="C00000"/>
          <w:rFonts w:ascii="Segoe UI" w:cs="Segoe UI" w:hAnsi="Segoe UI"/>
          <w:sz w:val="42"/>
          <w:szCs w:val="30"/>
        </w:rPr>
      </w:pPr>
    </w:p>
    <w:p w:rsidR="005E4072" w:rsidRDefault="005E4072" w14:paraId="7FB9EA3A" w14:textId="77777777" w:rsidP="005E4072" w:rsidRPr="005E4072"/>
    <w:p w:rsidR="006E0F18" w:rsidRDefault="006E0F18" w14:paraId="1A5BC21C" w14:textId="77777777" w:rsidP="00EC03CF">
      <w:pPr>
        <w:rPr>
          <w:bCs/>
          <w:b/>
          <w:rFonts w:ascii="Times New Roman" w:cs="Times New Roman" w:hAnsi="Times New Roman"/>
          <w:sz w:val="24"/>
        </w:rPr>
      </w:pPr>
    </w:p>
    <w:p w:rsidR="00545406" w:rsidRDefault="00545406" w14:paraId="4D327C92" w14:textId="77777777" w:rsidP="00EC03CF">
      <w:pPr>
        <w:rPr>
          <w:bCs/>
          <w:b/>
          <w:rFonts w:ascii="Times New Roman" w:cs="Times New Roman" w:hAnsi="Times New Roman"/>
          <w:sz w:val="24"/>
        </w:rPr>
      </w:pPr>
    </w:p>
    <w:p w:rsidR="00545406" w:rsidRDefault="00545406" w14:paraId="24E1C30F" w14:textId="77777777" w:rsidP="00545406" w:rsidRPr="00545406">
      <w:pPr>
        <w:rPr>
          <w:rFonts w:ascii="Times New Roman" w:cs="Times New Roman" w:hAnsi="Times New Roman"/>
          <w:sz w:val="24"/>
        </w:rPr>
      </w:pPr>
    </w:p>
    <w:p w:rsidR="00545406" w:rsidRDefault="00545406" w14:paraId="0404DE02" w14:textId="77777777" w:rsidP="00545406" w:rsidRPr="00545406">
      <w:pPr>
        <w:rPr>
          <w:rFonts w:ascii="Times New Roman" w:cs="Times New Roman" w:hAnsi="Times New Roman"/>
          <w:sz w:val="24"/>
        </w:rPr>
      </w:pPr>
    </w:p>
    <w:p w:rsidR="00545406" w:rsidRDefault="00545406" w14:paraId="49C5B81C" w14:textId="77777777" w:rsidP="00545406" w:rsidRPr="00545406">
      <w:pPr>
        <w:rPr>
          <w:rFonts w:ascii="Times New Roman" w:cs="Times New Roman" w:hAnsi="Times New Roman"/>
          <w:sz w:val="24"/>
        </w:rPr>
      </w:pPr>
    </w:p>
    <w:p w:rsidR="00545406" w:rsidRDefault="00545406" w14:paraId="4134EBA7" w14:textId="77777777" w:rsidP="00545406" w:rsidRPr="00545406">
      <w:pPr>
        <w:rPr>
          <w:rFonts w:ascii="Times New Roman" w:cs="Times New Roman" w:hAnsi="Times New Roman"/>
          <w:sz w:val="24"/>
        </w:rPr>
      </w:pPr>
    </w:p>
    <w:p w:rsidR="00545406" w:rsidRDefault="00545406" w14:paraId="26414B93" w14:textId="77777777" w:rsidP="00545406" w:rsidRPr="00545406">
      <w:pPr>
        <w:rPr>
          <w:rFonts w:ascii="Times New Roman" w:cs="Times New Roman" w:hAnsi="Times New Roman"/>
          <w:sz w:val="24"/>
        </w:rPr>
      </w:pPr>
    </w:p>
    <w:p w:rsidR="00545406" w:rsidRDefault="00545406" w14:paraId="31FCFB14" w14:textId="77777777" w:rsidP="00545406" w:rsidRPr="00545406">
      <w:pPr>
        <w:rPr>
          <w:rFonts w:ascii="Times New Roman" w:cs="Times New Roman" w:hAnsi="Times New Roman"/>
          <w:sz w:val="24"/>
        </w:rPr>
      </w:pPr>
    </w:p>
    <w:p w:rsidR="00545406" w:rsidRDefault="00545406" w14:paraId="5138FC57" w14:textId="77777777" w:rsidP="00545406" w:rsidRPr="00545406">
      <w:pPr>
        <w:rPr>
          <w:rFonts w:ascii="Times New Roman" w:cs="Times New Roman" w:hAnsi="Times New Roman"/>
          <w:sz w:val="24"/>
        </w:rPr>
      </w:pPr>
    </w:p>
    <w:p w:rsidR="00545406" w:rsidRDefault="00545406" w14:paraId="123579CA" w14:textId="77777777" w:rsidP="00545406" w:rsidRPr="00545406">
      <w:pPr>
        <w:rPr>
          <w:rFonts w:ascii="Times New Roman" w:cs="Times New Roman" w:hAnsi="Times New Roman"/>
          <w:sz w:val="24"/>
        </w:rPr>
      </w:pPr>
    </w:p>
    <w:p w:rsidR="00545406" w:rsidRDefault="00545406" w14:paraId="288DE83E" w14:textId="77777777" w:rsidP="00545406" w:rsidRPr="00545406">
      <w:pPr>
        <w:rPr>
          <w:rFonts w:ascii="Times New Roman" w:cs="Times New Roman" w:hAnsi="Times New Roman"/>
          <w:sz w:val="24"/>
        </w:rPr>
      </w:pPr>
    </w:p>
    <w:p w:rsidR="00545406" w:rsidRDefault="00545406" w14:paraId="67134C4B" w14:textId="77777777" w:rsidP="00545406" w:rsidRPr="00545406">
      <w:pPr>
        <w:rPr>
          <w:rFonts w:ascii="Times New Roman" w:cs="Times New Roman" w:hAnsi="Times New Roman"/>
          <w:sz w:val="24"/>
        </w:rPr>
      </w:pPr>
    </w:p>
    <w:p w:rsidR="00545406" w:rsidRDefault="00545406" w14:paraId="6A62B4CE" w14:textId="77777777" w:rsidP="00545406" w:rsidRPr="00545406">
      <w:pPr>
        <w:rPr>
          <w:rFonts w:ascii="Times New Roman" w:cs="Times New Roman" w:hAnsi="Times New Roman"/>
          <w:sz w:val="24"/>
        </w:rPr>
      </w:pPr>
    </w:p>
    <w:p w:rsidR="00545406" w:rsidRDefault="00545406" w14:paraId="67BF41B0" w14:textId="77777777" w:rsidP="00545406" w:rsidRPr="00545406">
      <w:pPr>
        <w:rPr>
          <w:rFonts w:ascii="Times New Roman" w:cs="Times New Roman" w:hAnsi="Times New Roman"/>
          <w:sz w:val="24"/>
        </w:rPr>
      </w:pPr>
    </w:p>
    <w:p w:rsidR="00545406" w:rsidRDefault="00545406" w14:paraId="2F47EAA2" w14:textId="77777777" w:rsidP="00545406" w:rsidRPr="00545406">
      <w:pPr>
        <w:rPr>
          <w:rFonts w:ascii="Times New Roman" w:cs="Times New Roman" w:hAnsi="Times New Roman"/>
          <w:sz w:val="24"/>
        </w:rPr>
      </w:pPr>
    </w:p>
    <w:p w:rsidR="00545406" w:rsidRDefault="00545406" w14:paraId="75011FB1" w14:textId="77777777" w:rsidP="00545406" w:rsidRPr="00545406">
      <w:pPr>
        <w:rPr>
          <w:rFonts w:ascii="Times New Roman" w:cs="Times New Roman" w:hAnsi="Times New Roman"/>
          <w:sz w:val="24"/>
        </w:rPr>
      </w:pPr>
    </w:p>
    <w:p w:rsidR="00545406" w:rsidRDefault="00545406" w14:paraId="4729B725" w14:textId="77777777" w:rsidP="00545406" w:rsidRPr="00545406">
      <w:pPr>
        <w:rPr>
          <w:rFonts w:ascii="Times New Roman" w:cs="Times New Roman" w:hAnsi="Times New Roman"/>
          <w:sz w:val="24"/>
        </w:rPr>
      </w:pPr>
    </w:p>
    <w:p w:rsidR="00545406" w:rsidRDefault="00545406" w14:paraId="2663EB39" w14:textId="77777777" w:rsidP="00545406" w:rsidRPr="00545406">
      <w:pPr>
        <w:rPr>
          <w:rFonts w:ascii="Times New Roman" w:cs="Times New Roman" w:hAnsi="Times New Roman"/>
          <w:sz w:val="24"/>
        </w:rPr>
      </w:pPr>
      <w:r>
        <w:rPr>
          <w:noProof/>
        </w:rPr>
        <w:drawing>
          <wp:anchor distT="0" distB="0" distR="114300" distL="114300" relativeHeight="251666432" behindDoc="0" allowOverlap="1" layoutInCell="1" locked="0" simplePos="0" wp14:anchorId="58B53F8A" wp14:editId="3C5379BC">
            <wp:simplePos x="0" y="0"/>
            <wp:positionH relativeFrom="column">
              <wp:posOffset>-933450</wp:posOffset>
            </wp:positionH>
            <wp:positionV relativeFrom="paragraph">
              <wp:posOffset>59055</wp:posOffset>
            </wp:positionV>
            <wp:extent cx="7458075" cy="3067050"/>
            <wp:effectExtent l="171450" t="171450" r="390525" b="3619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extLst>
                        <a:ext uri="{28A0092B-C50C-407E-A947-70E740481C1C}">
                          <a14:useLocalDpi xmlns:a14="http://schemas.microsoft.com/office/drawing/2010/main" val="0"/>
                        </a:ext>
                      </a:extLst>
                    </a:blip>
                    <a:stretch>
                      <a:fillRect/>
                    </a:stretch>
                  </pic:blipFill>
                  <pic:spPr>
                    <a:xfrm>
                      <a:off x="0" y="0"/>
                      <a:ext cx="7458075" cy="306705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rsidR="00545406" w:rsidRDefault="00545406" w14:paraId="6243A8F2" w14:textId="77777777" w:rsidP="00545406" w:rsidRPr="00545406">
      <w:pPr>
        <w:rPr>
          <w:rFonts w:ascii="Times New Roman" w:cs="Times New Roman" w:hAnsi="Times New Roman"/>
          <w:sz w:val="24"/>
        </w:rPr>
      </w:pPr>
    </w:p>
    <w:p w:rsidR="00545406" w:rsidRDefault="00545406" w14:paraId="58B53171" w14:textId="77777777" w:rsidP="00EC03CF">
      <w:pPr>
        <w:rPr>
          <w:rFonts w:ascii="Times New Roman" w:cs="Times New Roman" w:hAnsi="Times New Roman"/>
          <w:sz w:val="24"/>
        </w:rPr>
      </w:pPr>
    </w:p>
    <w:p w:rsidR="00545406" w:rsidRDefault="00545406" w14:paraId="3A369A9C" w14:textId="77777777" w:rsidP="00EC03CF">
      <w:pPr>
        <w:rPr>
          <w:rFonts w:ascii="Times New Roman" w:cs="Times New Roman" w:hAnsi="Times New Roman"/>
          <w:sz w:val="24"/>
        </w:rPr>
      </w:pPr>
    </w:p>
    <w:p w:rsidR="00545406" w:rsidRDefault="00545406" w14:paraId="5BD6355A" w14:textId="77777777" w:rsidP="00545406">
      <w:pPr>
        <w:tabs>
          <w:tab w:val="left" w:pos="1665"/>
        </w:tabs>
        <w:rPr>
          <w:rFonts w:ascii="Times New Roman" w:cs="Times New Roman" w:hAnsi="Times New Roman"/>
          <w:sz w:val="24"/>
        </w:rPr>
      </w:pPr>
      <w:r>
        <w:rPr>
          <w:rFonts w:ascii="Times New Roman" w:cs="Times New Roman" w:hAnsi="Times New Roman"/>
          <w:sz w:val="24"/>
        </w:rPr>
        <w:tab/>
      </w:r>
    </w:p>
    <w:p w:rsidR="00EC03CF" w:rsidRDefault="009922AE" w14:paraId="43C9A000" w14:textId="77777777" w:rsidP="00EC03CF">
      <w:pPr>
        <w:rPr>
          <w:bCs/>
          <w:b/>
          <w:rFonts w:ascii="Times New Roman" w:cs="Times New Roman" w:hAnsi="Times New Roman"/>
          <w:sz w:val="24"/>
        </w:rPr>
      </w:pPr>
      <w:r>
        <w:rPr>
          <w:rFonts w:ascii="Times New Roman" w:cs="Times New Roman" w:hAnsi="Times New Roman"/>
          <w:sz w:val="24"/>
        </w:rPr>
        <w:br w:type="page"/>
      </w:r>
      <w:r w:rsidRPr="009225E6">
        <w:rPr>
          <w:bCs/>
          <w:b/>
          <w:rFonts w:ascii="Times New Roman" w:cs="Times New Roman" w:hAnsi="Times New Roman"/>
          <w:sz w:val="24"/>
        </w:rPr>
        <w:t>L</w:t>
      </w:r>
      <w:r w:rsidR="009D7A3D" w:rsidRPr="009225E6">
        <w:rPr>
          <w:bCs/>
          <w:b/>
          <w:rFonts w:ascii="Times New Roman" w:cs="Times New Roman" w:hAnsi="Times New Roman"/>
          <w:sz w:val="24"/>
        </w:rPr>
        <w:t xml:space="preserve">ist </w:t>
      </w:r>
      <w:r w:rsidR="002D1264">
        <w:rPr>
          <w:bCs/>
          <w:b/>
          <w:rFonts w:ascii="Times New Roman" w:cs="Times New Roman" w:hAnsi="Times New Roman"/>
          <w:sz w:val="24"/>
        </w:rPr>
        <w:t>of Figures</w:t>
      </w:r>
    </w:p>
    <w:p w:rsidR="00732907" w:rsidRDefault="002D1264" w14:paraId="290C05D4" w14:textId="77777777">
      <w:pPr>
        <w:pStyle w:val="TableofFigures"/>
        <w:tabs>
          <w:tab w:val="right" w:leader="dot" w:pos="9016"/>
        </w:tabs>
        <w:rPr>
          <w:noProof/>
          <w:lang w:val="en-US"/>
          <w:rFonts w:eastAsiaTheme="minorEastAsia"/>
        </w:rPr>
      </w:pPr>
      <w:r>
        <w:rPr>
          <w:bCs/>
          <w:b/>
          <w:rFonts w:ascii="Times New Roman" w:cs="Times New Roman" w:hAnsi="Times New Roman"/>
          <w:sz w:val="24"/>
        </w:rPr>
        <w:fldChar w:fldCharType="begin"/>
      </w:r>
      <w:r>
        <w:rPr>
          <w:bCs/>
          <w:b/>
          <w:rFonts w:ascii="Times New Roman" w:cs="Times New Roman" w:hAnsi="Times New Roman"/>
          <w:sz w:val="24"/>
        </w:rPr>
        <w:instrText xml:space="preserve"> TOC \h \z \c "Figure" </w:instrText>
      </w:r>
      <w:r>
        <w:rPr>
          <w:bCs/>
          <w:b/>
          <w:rFonts w:ascii="Times New Roman" w:cs="Times New Roman" w:hAnsi="Times New Roman"/>
          <w:sz w:val="24"/>
        </w:rPr>
        <w:fldChar w:fldCharType="separate"/>
      </w:r>
      <w:hyperlink w:anchor="_Toc224662512" w:history="1">
        <w:r w:rsidR="00732907" w:rsidRPr="0037545E">
          <w:rPr>
            <w:noProof/>
            <w:rStyle w:val="Hyperlink"/>
          </w:rPr>
          <w:t>Figure 1 Mexico Automotive Industry</w:t>
        </w:r>
        <w:r w:rsidR="00732907">
          <w:rPr>
            <w:noProof/>
            <w:webHidden/>
          </w:rPr>
          <w:tab/>
        </w:r>
        <w:r w:rsidR="00732907">
          <w:rPr>
            <w:noProof/>
            <w:webHidden/>
          </w:rPr>
          <w:fldChar w:fldCharType="begin"/>
        </w:r>
        <w:r w:rsidR="00732907">
          <w:rPr>
            <w:noProof/>
            <w:webHidden/>
          </w:rPr>
          <w:instrText xml:space="preserve"> PAGEREF _Toc224662512 \h </w:instrText>
        </w:r>
        <w:r w:rsidR="00732907">
          <w:rPr>
            <w:noProof/>
            <w:webHidden/>
          </w:rPr>
        </w:r>
        <w:r w:rsidR="00732907">
          <w:rPr>
            <w:noProof/>
            <w:webHidden/>
          </w:rPr>
          <w:fldChar w:fldCharType="separate"/>
        </w:r>
        <w:r w:rsidR="00732907">
          <w:rPr>
            <w:noProof/>
            <w:webHidden/>
          </w:rPr>
          <w:t>31</w:t>
        </w:r>
        <w:r w:rsidR="00732907">
          <w:rPr>
            <w:noProof/>
            <w:webHidden/>
          </w:rPr>
          <w:fldChar w:fldCharType="end"/>
        </w:r>
      </w:hyperlink>
    </w:p>
    <w:p w:rsidR="002D1264" w:rsidRDefault="002D1264" w14:paraId="4D486A16" w14:textId="77777777" w:rsidP="00EC03CF" w:rsidRPr="009225E6">
      <w:pPr>
        <w:rPr>
          <w:bCs/>
          <w:b/>
          <w:rFonts w:ascii="Times New Roman" w:cs="Times New Roman" w:hAnsi="Times New Roman"/>
          <w:sz w:val="24"/>
        </w:rPr>
      </w:pPr>
      <w:r>
        <w:rPr>
          <w:bCs/>
          <w:b/>
          <w:rFonts w:ascii="Times New Roman" w:cs="Times New Roman" w:hAnsi="Times New Roman"/>
          <w:sz w:val="24"/>
        </w:rPr>
        <w:fldChar w:fldCharType="end"/>
      </w:r>
    </w:p>
    <w:p w:rsidR="008C45E0" w:rsidRDefault="008C45E0" w14:paraId="6E1AA030" w14:textId="77777777" w:rsidP="009922AE" w:rsidRPr="009225E6">
      <w:pPr>
        <w:pStyle w:val="Caption"/>
        <w:sectPr w:rsidR="008C45E0" w:rsidRPr="009225E6" w:rsidSect="008C45E0">
          <w:docGrid w:linePitch="360"/>
          <w:headerReference r:id="rId11" w:type="even"/>
          <w:headerReference r:id="rId12" w:type="default"/>
          <w:headerReference r:id="rId15" w:type="first"/>
          <w:footerReference r:id="rId16" w:type="first"/>
          <w:footerReference r:id="rId14" w:type="default"/>
          <w:footerReference r:id="rId13" w:type="even"/>
          <w:pgNumType w:fmt="upperRoman"/>
          <w:pgSz w:w="11906" w:h="16838"/>
          <w:pgMar w:left="1440" w:right="1440" w:top="1440" w:bottom="1440" w:header="708" w:footer="708" w:gutter="0"/>
          <w:cols w:space="708"/>
        </w:sectPr>
        <w:rPr>
          <w:bCs w:val="0"/>
          <w:b w:val="0"/>
          <w:rFonts w:ascii="Times New Roman" w:cs="Times New Roman" w:hAnsi="Times New Roman"/>
          <w:sz w:val="24"/>
        </w:rPr>
      </w:pPr>
    </w:p>
    <w:p w:rsidR="00FD0388" w:rsidRDefault="006D72D4" w14:paraId="0E80353F" w14:textId="77777777" w:rsidP="006D72D4" w:rsidRPr="009225E6">
      <w:pPr>
        <w:pStyle w:val="Heading1"/>
      </w:pPr>
      <w:r>
        <w:t>1.</w:t>
      </w:r>
      <w:r w:rsidRPr="009225E6">
        <w:t xml:space="preserve"> Introduction</w:t>
      </w:r>
    </w:p>
    <w:p w:rsidR="00657C64" w:rsidRDefault="00AE7B82" w14:paraId="67876343" w14:textId="77777777" w:rsidP="00657C64">
      <w:pPr>
        <w:jc w:val="both"/>
        <w:spacing w:line="360" w:lineRule="auto"/>
        <w:tabs>
          <w:tab w:val="left" w:pos="1605"/>
        </w:tabs>
        <w:rPr>
          <w:lang w:val="en-US"/>
          <w:rFonts w:ascii="Times New Roman" w:cs="Times New Roman" w:hAnsi="Times New Roman"/>
          <w:sz w:val="24"/>
        </w:rPr>
      </w:pPr>
      <w:r w:rsidRPr="00AE7B82">
        <w:rPr>
          <w:rFonts w:ascii="Times New Roman" w:cs="Times New Roman" w:hAnsi="Times New Roman"/>
          <w:sz w:val="24"/>
        </w:rPr>
        <w:t>The report provides an in-depth study of the Mexican automotive sector in 2026, which is going through an even more significant structural change. Traditionally the location of an assembly of internal combustion engines (ICE) vehicles, Mexico is now establishing itself as the key to the manufacturing of electric vehicles (EVs) in North America. It is driven by the United States Mexico Canada Agreement (USMCA) trade provisions and the trend of Nearshoring (International Trade Administration, 2026). The analysis begins by giving a background of the industry in terms of current size, scope, and economic importance, following the history of the industry since it was a player only within the region, but currently, it is among the five leading manufacturers globally (</w:t>
      </w:r>
      <w:proofErr w:type="spellStart"/>
      <w:r w:rsidRPr="00AE7B82">
        <w:rPr>
          <w:rFonts w:ascii="Times New Roman" w:cs="Times New Roman" w:hAnsi="Times New Roman"/>
          <w:sz w:val="24"/>
        </w:rPr>
        <w:t>Prodensa</w:t>
      </w:r>
      <w:proofErr w:type="spellEnd"/>
      <w:r w:rsidRPr="00AE7B82">
        <w:rPr>
          <w:rFonts w:ascii="Times New Roman" w:cs="Times New Roman" w:hAnsi="Times New Roman"/>
          <w:sz w:val="24"/>
        </w:rPr>
        <w:t xml:space="preserve">, 2024). The report then </w:t>
      </w:r>
      <w:r w:rsidR="0044569F" w:rsidRPr="00AE7B82">
        <w:rPr>
          <w:rFonts w:ascii="Times New Roman" w:cs="Times New Roman" w:hAnsi="Times New Roman"/>
          <w:sz w:val="24"/>
        </w:rPr>
        <w:t>analyses</w:t>
      </w:r>
      <w:r w:rsidRPr="00AE7B82">
        <w:rPr>
          <w:rFonts w:ascii="Times New Roman" w:cs="Times New Roman" w:hAnsi="Times New Roman"/>
          <w:sz w:val="24"/>
        </w:rPr>
        <w:t xml:space="preserve"> the competition environment through the profiling of the key domestic and multinational companies. The report also attempts to critically examine the major forces that underlie international business strategy by comparing their strategic responses to the processes of electrification, market positioning and performance in this critical and fast-changing global environment of the North American industrial ecosystem.</w:t>
      </w:r>
    </w:p>
    <w:p w:rsidR="007140BB" w:rsidRDefault="001D4258" w14:paraId="4FF7F614" w14:textId="77777777" w:rsidP="001D4258" w:rsidRPr="007140BB">
      <w:pPr>
        <w:pStyle w:val="Heading1"/>
        <w:rPr>
          <w:i/>
          <w:color w:val="FF0000"/>
        </w:rPr>
      </w:pPr>
      <w:bookmarkStart w:id="0" w:name="_Toc224662496"/>
      <w:r>
        <w:rPr>
          <w:lang w:val="en-US"/>
          <w:color w:val="5B9BD5"/>
        </w:rPr>
        <w:t>2.</w:t>
      </w:r>
      <w:r w:rsidRPr="00B701B4">
        <w:rPr>
          <w:lang w:val="en-US"/>
          <w:color w:val="5B9BD5"/>
        </w:rPr>
        <w:t xml:space="preserve"> Industry</w:t>
      </w:r>
      <w:r w:rsidR="003F1C2D" w:rsidRPr="00B701B4">
        <w:rPr>
          <w:lang w:val="en-US"/>
          <w:color w:val="5B9BD5"/>
        </w:rPr>
        <w:t xml:space="preserve"> and Country Overview</w:t>
      </w:r>
      <w:r w:rsidR="00E068F4">
        <w:rPr>
          <w:lang w:val="en-US"/>
        </w:rPr>
        <w:t>-</w:t>
      </w:r>
      <w:r w:rsidR="00E068F4" w:rsidRPr="00491E88">
        <w:rPr>
          <w:lang w:val="en-US"/>
          <w:b w:val="0"/>
          <w:color w:val="FF0000"/>
        </w:rPr>
        <w:t xml:space="preserve">see </w:t>
      </w:r>
      <w:r w:rsidR="00E068F4" w:rsidRPr="00491E88">
        <w:rPr>
          <w:lang w:val="en-US"/>
          <w:b w:val="0"/>
          <w:i/>
          <w:color w:val="FF0000"/>
        </w:rPr>
        <w:t>Appendix-I</w:t>
      </w:r>
      <w:r w:rsidR="007140BB" w:rsidRPr="00491E88">
        <w:rPr>
          <w:lang w:val="en-US"/>
          <w:b w:val="0"/>
          <w:i/>
          <w:color w:val="FF0000"/>
        </w:rPr>
        <w:t>-</w:t>
      </w:r>
      <w:r w:rsidR="007140BB" w:rsidRPr="00491E88">
        <w:rPr>
          <w:b w:val="0"/>
          <w:color w:val="FF0000"/>
          <w:rFonts w:ascii="Segoe UI" w:cs="Segoe UI" w:hAnsi="Segoe UI"/>
          <w:sz w:val="33"/>
          <w:szCs w:val="21"/>
          <w:shd w:fill="FFFFFF" w:color="auto" w:val="clear"/>
        </w:rPr>
        <w:t xml:space="preserve"> </w:t>
      </w:r>
      <w:r w:rsidR="007140BB" w:rsidRPr="00491E88">
        <w:rPr>
          <w:b w:val="0"/>
          <w:i/>
          <w:color w:val="FF0000"/>
        </w:rPr>
        <w:t xml:space="preserve">Mexico Automotive Industry </w:t>
      </w:r>
      <w:r w:rsidR="00963F72">
        <w:rPr>
          <w:b w:val="0"/>
          <w:i/>
          <w:color w:val="FF0000"/>
        </w:rPr>
        <w:t>overview</w:t>
      </w:r>
      <w:bookmarkEnd w:id="0"/>
      <w:r w:rsidR="00963F72">
        <w:rPr>
          <w:b w:val="0"/>
          <w:i/>
          <w:color w:val="FF0000"/>
        </w:rPr>
        <w:t xml:space="preserve"> </w:t>
      </w:r>
    </w:p>
    <w:p w:rsidR="003F1C2D" w:rsidRDefault="00F10445" w14:paraId="76A836F4" w14:textId="77777777" w:rsidP="00A91D23" w:rsidRPr="003F1C2D">
      <w:pPr>
        <w:pStyle w:val="Heading2"/>
        <w:rPr>
          <w:lang w:val="en-US"/>
        </w:rPr>
      </w:pPr>
      <w:bookmarkStart w:id="1" w:name="_Toc224662497"/>
      <w:r>
        <w:rPr>
          <w:lang w:val="en-US"/>
        </w:rPr>
        <w:t xml:space="preserve">a. </w:t>
      </w:r>
      <w:r w:rsidR="00AD3F6E">
        <w:rPr>
          <w:lang w:val="en-US"/>
        </w:rPr>
        <w:t>Industry Context</w:t>
      </w:r>
      <w:bookmarkEnd w:id="1"/>
    </w:p>
    <w:p w:rsidR="003F1C2D" w:rsidRDefault="00AE7B82" w14:paraId="2E5118BE" w14:textId="77777777" w:rsidP="003F1C2D">
      <w:pPr>
        <w:jc w:val="both"/>
        <w:spacing w:line="360" w:lineRule="auto"/>
        <w:rPr>
          <w:lang w:val="en-US"/>
          <w:rFonts w:ascii="Times New Roman" w:cs="Times New Roman" w:hAnsi="Times New Roman"/>
          <w:sz w:val="24"/>
        </w:rPr>
      </w:pPr>
      <w:r w:rsidRPr="00AE7B82">
        <w:rPr>
          <w:rFonts w:ascii="Times New Roman" w:cs="Times New Roman" w:hAnsi="Times New Roman"/>
          <w:sz w:val="24"/>
        </w:rPr>
        <w:t>The automotive industry in Mexico in 2026 will be characterized by the high level of integration with the United States and Canada within the framework of the USMCA and the transition to electro</w:t>
      </w:r>
      <w:r w:rsidR="0044569F">
        <w:rPr>
          <w:rFonts w:ascii="Times New Roman" w:cs="Times New Roman" w:hAnsi="Times New Roman"/>
          <w:sz w:val="24"/>
        </w:rPr>
        <w:t>-</w:t>
      </w:r>
      <w:r w:rsidRPr="00AE7B82">
        <w:rPr>
          <w:rFonts w:ascii="Times New Roman" w:cs="Times New Roman" w:hAnsi="Times New Roman"/>
          <w:sz w:val="24"/>
        </w:rPr>
        <w:t>mobility (International Trade Administration, 2026). This connectivity is so great that parts may cross North American borders as many as a dozen times before they are assembled to form a very interdependent production network (International Trade Administration, 2026). The present period can be described as an influx of investment to change production lines and adapt them to hybrid and electric cars, which are independent of the historical advantage of the country in the sphere of ICE vehicles and parts production that need a lot of labo</w:t>
      </w:r>
      <w:r w:rsidR="0044569F">
        <w:rPr>
          <w:rFonts w:ascii="Times New Roman" w:cs="Times New Roman" w:hAnsi="Times New Roman"/>
          <w:sz w:val="24"/>
        </w:rPr>
        <w:t>u</w:t>
      </w:r>
      <w:r w:rsidRPr="00AE7B82">
        <w:rPr>
          <w:rFonts w:ascii="Times New Roman" w:cs="Times New Roman" w:hAnsi="Times New Roman"/>
          <w:sz w:val="24"/>
        </w:rPr>
        <w:t xml:space="preserve">r (International Trade Administration, 2026). The open economy and strategic location of Mexico has made it an irreplaceable partner of the U.S. in reorganization of high-technology supply chains, in the case of semiconductors and </w:t>
      </w:r>
      <w:proofErr w:type="spellStart"/>
      <w:r w:rsidRPr="00AE7B82">
        <w:rPr>
          <w:rFonts w:ascii="Times New Roman" w:cs="Times New Roman" w:hAnsi="Times New Roman"/>
          <w:sz w:val="24"/>
        </w:rPr>
        <w:t>EVs</w:t>
      </w:r>
      <w:proofErr w:type="spellEnd"/>
      <w:r w:rsidRPr="00AE7B82">
        <w:rPr>
          <w:rFonts w:ascii="Times New Roman" w:cs="Times New Roman" w:hAnsi="Times New Roman"/>
          <w:sz w:val="24"/>
        </w:rPr>
        <w:t xml:space="preserve"> (</w:t>
      </w:r>
      <w:proofErr w:type="spellStart"/>
      <w:r w:rsidRPr="00AE7B82">
        <w:rPr>
          <w:rFonts w:ascii="Times New Roman" w:cs="Times New Roman" w:hAnsi="Times New Roman"/>
          <w:sz w:val="24"/>
        </w:rPr>
        <w:t>Prodensa</w:t>
      </w:r>
      <w:proofErr w:type="spellEnd"/>
      <w:r w:rsidRPr="00AE7B82">
        <w:rPr>
          <w:rFonts w:ascii="Times New Roman" w:cs="Times New Roman" w:hAnsi="Times New Roman"/>
          <w:sz w:val="24"/>
        </w:rPr>
        <w:t>, 2024). Mexican Automotive Industry Association (AMIA) estimates that this trend will make Mexico the fifth-largest vehicle manufacturer in the world by the year 2025 (</w:t>
      </w:r>
      <w:proofErr w:type="spellStart"/>
      <w:r w:rsidRPr="00AE7B82">
        <w:rPr>
          <w:rFonts w:ascii="Times New Roman" w:cs="Times New Roman" w:hAnsi="Times New Roman"/>
          <w:sz w:val="24"/>
        </w:rPr>
        <w:t>Prodensa</w:t>
      </w:r>
      <w:proofErr w:type="spellEnd"/>
      <w:r w:rsidRPr="00AE7B82">
        <w:rPr>
          <w:rFonts w:ascii="Times New Roman" w:cs="Times New Roman" w:hAnsi="Times New Roman"/>
          <w:sz w:val="24"/>
        </w:rPr>
        <w:t>, 2024).</w:t>
      </w:r>
    </w:p>
    <w:p w:rsidR="003F1C2D" w:rsidRDefault="00F10445" w14:paraId="782EEC4A" w14:textId="77777777" w:rsidP="00A91D23">
      <w:pPr>
        <w:pStyle w:val="Heading2"/>
      </w:pPr>
      <w:bookmarkStart w:id="2" w:name="_Toc224662498"/>
      <w:r>
        <w:t xml:space="preserve">b. </w:t>
      </w:r>
      <w:r w:rsidRPr="000E0E22">
        <w:t>S</w:t>
      </w:r>
      <w:r w:rsidR="003F1C2D" w:rsidRPr="000E0E22">
        <w:t xml:space="preserve">ize, scope, and economic importance </w:t>
      </w:r>
      <w:r w:rsidR="00056E0F">
        <w:t>–</w:t>
      </w:r>
      <w:r w:rsidR="00056E0F" w:rsidRPr="00056E0F">
        <w:rPr>
          <w:color w:val="FF0000"/>
        </w:rPr>
        <w:t>See Appendix-II</w:t>
      </w:r>
      <w:bookmarkEnd w:id="2"/>
    </w:p>
    <w:p w:rsidR="003F1C2D" w:rsidRDefault="00AE7B82" w14:paraId="3B2BC6B9" w14:textId="77777777" w:rsidP="003F1C2D" w:rsidRPr="003F1C2D">
      <w:pPr>
        <w:jc w:val="both"/>
        <w:spacing w:line="360" w:lineRule="auto"/>
        <w:rPr>
          <w:lang w:val="en-US"/>
          <w:rFonts w:ascii="Times New Roman" w:cs="Times New Roman" w:hAnsi="Times New Roman"/>
          <w:sz w:val="24"/>
        </w:rPr>
      </w:pPr>
      <w:r w:rsidRPr="00AE7B82">
        <w:rPr>
          <w:rFonts w:ascii="Times New Roman" w:cs="Times New Roman" w:hAnsi="Times New Roman"/>
          <w:sz w:val="24"/>
        </w:rPr>
        <w:t>The motor industry is also a foundation of the Mexican economy that has a considerable size and international character. In 2024, it consumed around 4.5 percent of the national GDP of Mexico or even more significant 21.7 percent of the manufacturing GDP (International Trade Administration, 2026; INA, 2024). It is the major source of foreign exchange in the country, and the amounts of vehicle and auto-parts exported exceed both remittances and tourism by 22% (International Trade Administration, 2026). Mexico made number five in light vehicle production, and number four in heavy-duty vehicle production and auto-parts production in the world in 2024 (International Trade Administration, 2026; INA, 2024). In 2024, the total light-vehicle manufacturing stood at almost 4 million vehicles, an increment of 5.56 percent compared to the previous year, and almost all the vehicles manufactured were passenger vehicles (</w:t>
      </w:r>
      <w:proofErr w:type="spellStart"/>
      <w:r w:rsidRPr="00AE7B82">
        <w:rPr>
          <w:rFonts w:ascii="Times New Roman" w:cs="Times New Roman" w:hAnsi="Times New Roman"/>
          <w:sz w:val="24"/>
        </w:rPr>
        <w:t>Prodensa</w:t>
      </w:r>
      <w:proofErr w:type="spellEnd"/>
      <w:r w:rsidRPr="00AE7B82">
        <w:rPr>
          <w:rFonts w:ascii="Times New Roman" w:cs="Times New Roman" w:hAnsi="Times New Roman"/>
          <w:sz w:val="24"/>
        </w:rPr>
        <w:t>, 2024). The value of these light vehicles that were exported was around 104.8 bil</w:t>
      </w:r>
      <w:r w:rsidR="00E35C94">
        <w:rPr>
          <w:rFonts w:ascii="Times New Roman" w:cs="Times New Roman" w:hAnsi="Times New Roman"/>
          <w:sz w:val="24"/>
        </w:rPr>
        <w:t xml:space="preserve">lion dollars, out of which 79.7% </w:t>
      </w:r>
      <w:r w:rsidRPr="00AE7B82">
        <w:rPr>
          <w:rFonts w:ascii="Times New Roman" w:cs="Times New Roman" w:hAnsi="Times New Roman"/>
          <w:sz w:val="24"/>
        </w:rPr>
        <w:t>were sold to the US (International Trade Administration, 2026). The auto-parts industry, which was the fourth-largest global producer and the largest provider to the U.S. market, had the heavy-duty vehicle industry as its contributor, which contributed to about 52billion overseas shipments, plus the export of 106</w:t>
      </w:r>
      <w:r w:rsidR="0044569F">
        <w:rPr>
          <w:rFonts w:ascii="Times New Roman" w:cs="Times New Roman" w:hAnsi="Times New Roman"/>
          <w:sz w:val="24"/>
        </w:rPr>
        <w:t xml:space="preserve"> </w:t>
      </w:r>
      <w:r w:rsidRPr="00AE7B82">
        <w:rPr>
          <w:rFonts w:ascii="Times New Roman" w:cs="Times New Roman" w:hAnsi="Times New Roman"/>
          <w:sz w:val="24"/>
        </w:rPr>
        <w:t xml:space="preserve">billion, which was the most important export contributor to the American market (International Trade Administration, 2026; INA, 2024). This massive operation is geographically concentrated, where the </w:t>
      </w:r>
      <w:proofErr w:type="spellStart"/>
      <w:r w:rsidRPr="00AE7B82">
        <w:rPr>
          <w:rFonts w:ascii="Times New Roman" w:cs="Times New Roman" w:hAnsi="Times New Roman"/>
          <w:sz w:val="24"/>
        </w:rPr>
        <w:t>Bajío</w:t>
      </w:r>
      <w:proofErr w:type="spellEnd"/>
      <w:r w:rsidRPr="00AE7B82">
        <w:rPr>
          <w:rFonts w:ascii="Times New Roman" w:cs="Times New Roman" w:hAnsi="Times New Roman"/>
          <w:sz w:val="24"/>
        </w:rPr>
        <w:t xml:space="preserve"> region produces almost 50 percent of vehicles and the states on the northern border are concentrating on vehicle-parts maquiladoras and the central Mexico is the location of major assembly facilities of Volkswagen, Audi, and </w:t>
      </w:r>
      <w:proofErr w:type="spellStart"/>
      <w:r w:rsidRPr="00AE7B82">
        <w:rPr>
          <w:rFonts w:ascii="Times New Roman" w:cs="Times New Roman" w:hAnsi="Times New Roman"/>
          <w:sz w:val="24"/>
        </w:rPr>
        <w:t>Stellantis</w:t>
      </w:r>
      <w:proofErr w:type="spellEnd"/>
      <w:r w:rsidRPr="00AE7B82">
        <w:rPr>
          <w:rFonts w:ascii="Times New Roman" w:cs="Times New Roman" w:hAnsi="Times New Roman"/>
          <w:sz w:val="24"/>
        </w:rPr>
        <w:t xml:space="preserve"> (</w:t>
      </w:r>
      <w:proofErr w:type="spellStart"/>
      <w:r w:rsidRPr="00AE7B82">
        <w:rPr>
          <w:rFonts w:ascii="Times New Roman" w:cs="Times New Roman" w:hAnsi="Times New Roman"/>
          <w:sz w:val="24"/>
        </w:rPr>
        <w:t>Prodensa</w:t>
      </w:r>
      <w:proofErr w:type="spellEnd"/>
      <w:r w:rsidRPr="00AE7B82">
        <w:rPr>
          <w:rFonts w:ascii="Times New Roman" w:cs="Times New Roman" w:hAnsi="Times New Roman"/>
          <w:sz w:val="24"/>
        </w:rPr>
        <w:t>, 2024). The industry employs more than 2.1 billion people, and creates close to 883,000 jobs directly in the auto-parts industry (INA, 2024).</w:t>
      </w:r>
    </w:p>
    <w:p w:rsidR="003F1C2D" w:rsidRDefault="00B701B4" w14:paraId="19737A01" w14:textId="77777777" w:rsidP="00B701B4" w:rsidRPr="00B701B4">
      <w:pPr>
        <w:pStyle w:val="Heading2"/>
        <w:rPr>
          <w:color w:val="FF0000"/>
        </w:rPr>
      </w:pPr>
      <w:bookmarkStart w:id="3" w:name="_Toc224662499"/>
      <w:r w:rsidRPr="00B701B4">
        <w:t xml:space="preserve">c. </w:t>
      </w:r>
      <w:r w:rsidR="00E07823" w:rsidRPr="00B701B4">
        <w:t>Major Companies</w:t>
      </w:r>
      <w:r w:rsidR="003F6A32" w:rsidRPr="00B701B4">
        <w:t>-</w:t>
      </w:r>
      <w:r w:rsidR="003F6A32" w:rsidRPr="00B701B4">
        <w:rPr>
          <w:color w:val="FF0000"/>
        </w:rPr>
        <w:t>See Appendix-III</w:t>
      </w:r>
      <w:bookmarkEnd w:id="3"/>
    </w:p>
    <w:p w:rsidR="00AD3F6E" w:rsidRDefault="00AE7B82" w14:paraId="7E1C472F" w14:textId="77777777" w:rsidP="00AD3F6E" w:rsidRPr="00AD3F6E">
      <w:pPr>
        <w:jc w:val="both"/>
        <w:spacing w:line="360" w:lineRule="auto"/>
        <w:rPr>
          <w:lang w:val="en-US"/>
          <w:rFonts w:ascii="Times New Roman" w:cs="Times New Roman" w:hAnsi="Times New Roman"/>
          <w:sz w:val="24"/>
        </w:rPr>
      </w:pPr>
      <w:r w:rsidRPr="00AE7B82">
        <w:rPr>
          <w:rFonts w:ascii="Times New Roman" w:cs="Times New Roman" w:hAnsi="Times New Roman"/>
          <w:sz w:val="24"/>
        </w:rPr>
        <w:t>The Mexican automotive industry is characterized by a combination of familiar multinational OEMs, as well as newcomers who are highly active and pursue various approaches to the shift to electric vehicles. The United States is the largest FDI in the automo</w:t>
      </w:r>
      <w:r w:rsidR="00E35C94">
        <w:rPr>
          <w:rFonts w:ascii="Times New Roman" w:cs="Times New Roman" w:hAnsi="Times New Roman"/>
          <w:sz w:val="24"/>
        </w:rPr>
        <w:t>tive sector, with 45</w:t>
      </w:r>
      <w:r w:rsidR="005662C9">
        <w:rPr>
          <w:rFonts w:ascii="Times New Roman" w:cs="Times New Roman" w:hAnsi="Times New Roman"/>
          <w:sz w:val="24"/>
        </w:rPr>
        <w:t>%</w:t>
      </w:r>
      <w:r w:rsidR="00E35C94">
        <w:rPr>
          <w:rFonts w:ascii="Times New Roman" w:cs="Times New Roman" w:hAnsi="Times New Roman"/>
          <w:sz w:val="24"/>
        </w:rPr>
        <w:t xml:space="preserve"> </w:t>
      </w:r>
      <w:r w:rsidRPr="00AE7B82">
        <w:rPr>
          <w:rFonts w:ascii="Times New Roman" w:cs="Times New Roman" w:hAnsi="Times New Roman"/>
          <w:sz w:val="24"/>
        </w:rPr>
        <w:t>of all automotive FDI, then Jap</w:t>
      </w:r>
      <w:r w:rsidR="00E35C94">
        <w:rPr>
          <w:rFonts w:ascii="Times New Roman" w:cs="Times New Roman" w:hAnsi="Times New Roman"/>
          <w:sz w:val="24"/>
        </w:rPr>
        <w:t>an (12%) and Germany (10%</w:t>
      </w:r>
      <w:r w:rsidRPr="00AE7B82">
        <w:rPr>
          <w:rFonts w:ascii="Times New Roman" w:cs="Times New Roman" w:hAnsi="Times New Roman"/>
          <w:sz w:val="24"/>
        </w:rPr>
        <w:t>), where the North American block has strong ties with the Asian and European partners (International Trade Administration, 2026).</w:t>
      </w:r>
    </w:p>
    <w:p w:rsidR="00AD3F6E" w:rsidRDefault="00AB1784" w14:paraId="1DE3D993" w14:textId="77777777" w:rsidP="00B701B4" w:rsidRPr="00B701B4">
      <w:pPr>
        <w:pStyle w:val="Heading3"/>
        <w:rPr>
          <w:lang w:val="en-US"/>
          <w:color w:val="auto"/>
          <w:rFonts w:ascii="Times New Roman" w:cs="Times New Roman" w:hAnsi="Times New Roman"/>
          <w:sz w:val="24"/>
        </w:rPr>
      </w:pPr>
      <w:bookmarkStart w:id="4" w:name="_Toc224662500"/>
      <w:r w:rsidRPr="00B701B4">
        <w:rPr>
          <w:lang w:val="en-US"/>
          <w:color w:val="auto"/>
          <w:rFonts w:ascii="Times New Roman" w:cs="Times New Roman" w:hAnsi="Times New Roman"/>
          <w:sz w:val="24"/>
        </w:rPr>
        <w:t>Established Leaders</w:t>
      </w:r>
      <w:bookmarkEnd w:id="4"/>
    </w:p>
    <w:p w:rsidR="00AD3F6E" w:rsidRDefault="00AD3F6E" w14:paraId="491EADD9" w14:textId="77777777" w:rsidP="00AE7B82" w:rsidRPr="00AD3F6E">
      <w:pPr>
        <w:jc w:val="both"/>
        <w:spacing w:line="360" w:lineRule="auto"/>
        <w:rPr>
          <w:lang w:val="en-US"/>
          <w:rFonts w:ascii="Times New Roman" w:cs="Times New Roman" w:hAnsi="Times New Roman"/>
          <w:sz w:val="24"/>
        </w:rPr>
      </w:pPr>
      <w:r w:rsidRPr="00AD3F6E">
        <w:rPr>
          <w:bCs/>
          <w:lang w:val="en-US"/>
          <w:b/>
          <w:rFonts w:ascii="Times New Roman" w:cs="Times New Roman" w:hAnsi="Times New Roman"/>
          <w:sz w:val="24"/>
        </w:rPr>
        <w:t>Nissan</w:t>
      </w:r>
      <w:r w:rsidR="00AE7B82">
        <w:rPr>
          <w:lang w:val="en-US"/>
          <w:rFonts w:ascii="Times New Roman" w:cs="Times New Roman" w:hAnsi="Times New Roman"/>
          <w:sz w:val="24"/>
        </w:rPr>
        <w:t>-</w:t>
      </w:r>
      <w:r w:rsidR="00AE7B82" w:rsidRPr="00AE7B82">
        <w:rPr>
          <w:bCs/>
          <w:lang w:val="en-US"/>
          <w:b/>
          <w:rFonts w:ascii="Times New Roman" w:cs="Times New Roman" w:hAnsi="Times New Roman"/>
          <w:sz w:val="24"/>
        </w:rPr>
        <w:t xml:space="preserve"> </w:t>
      </w:r>
      <w:r w:rsidR="00AE7B82" w:rsidRPr="00AE7B82">
        <w:rPr>
          <w:bCs/>
          <w:lang w:val="en-US"/>
          <w:rFonts w:ascii="Times New Roman" w:cs="Times New Roman" w:hAnsi="Times New Roman"/>
          <w:sz w:val="24"/>
        </w:rPr>
        <w:t>Nissan</w:t>
      </w:r>
      <w:r w:rsidR="00E35C94">
        <w:rPr>
          <w:lang w:val="en-US"/>
          <w:rFonts w:ascii="Times New Roman" w:cs="Times New Roman" w:hAnsi="Times New Roman"/>
          <w:sz w:val="24"/>
        </w:rPr>
        <w:t> </w:t>
      </w:r>
      <w:r w:rsidRPr="00AD3F6E">
        <w:rPr>
          <w:lang w:val="en-US"/>
          <w:rFonts w:ascii="Times New Roman" w:cs="Times New Roman" w:hAnsi="Times New Roman"/>
          <w:sz w:val="24"/>
        </w:rPr>
        <w:t>maintains</w:t>
      </w:r>
      <w:r w:rsidR="00AE7B82">
        <w:rPr>
          <w:lang w:val="en-US"/>
          <w:rFonts w:ascii="Times New Roman" w:cs="Times New Roman" w:hAnsi="Times New Roman"/>
          <w:sz w:val="24"/>
        </w:rPr>
        <w:t xml:space="preserve"> a powerful position</w:t>
      </w:r>
      <w:r w:rsidR="00AE7B82" w:rsidRPr="00AE7B82">
        <w:rPr>
          <w:rFonts w:ascii="Times New Roman" w:cs="Times New Roman" w:hAnsi="Times New Roman"/>
          <w:sz w:val="24"/>
        </w:rPr>
        <w:t xml:space="preserve">, especially with its complex in </w:t>
      </w:r>
      <w:proofErr w:type="spellStart"/>
      <w:r w:rsidR="00AE7B82" w:rsidRPr="00AE7B82">
        <w:rPr>
          <w:rFonts w:ascii="Times New Roman" w:cs="Times New Roman" w:hAnsi="Times New Roman"/>
          <w:sz w:val="24"/>
        </w:rPr>
        <w:t>Aguascalientos</w:t>
      </w:r>
      <w:proofErr w:type="spellEnd"/>
      <w:r w:rsidR="00AE7B82" w:rsidRPr="00AE7B82">
        <w:rPr>
          <w:rFonts w:ascii="Times New Roman" w:cs="Times New Roman" w:hAnsi="Times New Roman"/>
          <w:sz w:val="24"/>
        </w:rPr>
        <w:t xml:space="preserve"> with being supported by 35 Tier 1 suppliers that in turn makes the state the third-largest vehicle exporter in the state (</w:t>
      </w:r>
      <w:proofErr w:type="spellStart"/>
      <w:r w:rsidR="00AE7B82" w:rsidRPr="00AE7B82">
        <w:rPr>
          <w:rFonts w:ascii="Times New Roman" w:cs="Times New Roman" w:hAnsi="Times New Roman"/>
          <w:sz w:val="24"/>
        </w:rPr>
        <w:t>Prodensa</w:t>
      </w:r>
      <w:proofErr w:type="spellEnd"/>
      <w:r w:rsidR="00AE7B82" w:rsidRPr="00AE7B82">
        <w:rPr>
          <w:rFonts w:ascii="Times New Roman" w:cs="Times New Roman" w:hAnsi="Times New Roman"/>
          <w:sz w:val="24"/>
        </w:rPr>
        <w:t>, 2024). Although its operational focus in the past has been on high-volume ICE vehicles, Nissan is currently adjusting its local operations to the production of hybrids and Electrical Vehicles, which are shown in its electro</w:t>
      </w:r>
      <w:r w:rsidR="00E35C94">
        <w:rPr>
          <w:rFonts w:ascii="Times New Roman" w:cs="Times New Roman" w:hAnsi="Times New Roman"/>
          <w:sz w:val="24"/>
        </w:rPr>
        <w:t>-</w:t>
      </w:r>
      <w:r w:rsidR="00AE7B82" w:rsidRPr="00AE7B82">
        <w:rPr>
          <w:rFonts w:ascii="Times New Roman" w:cs="Times New Roman" w:hAnsi="Times New Roman"/>
          <w:sz w:val="24"/>
        </w:rPr>
        <w:t>mobility plans in Morelos (</w:t>
      </w:r>
      <w:proofErr w:type="spellStart"/>
      <w:r w:rsidR="00AE7B82" w:rsidRPr="00AE7B82">
        <w:rPr>
          <w:rFonts w:ascii="Times New Roman" w:cs="Times New Roman" w:hAnsi="Times New Roman"/>
          <w:sz w:val="24"/>
        </w:rPr>
        <w:t>Prodensa</w:t>
      </w:r>
      <w:proofErr w:type="spellEnd"/>
      <w:r w:rsidR="00AE7B82" w:rsidRPr="00AE7B82">
        <w:rPr>
          <w:rFonts w:ascii="Times New Roman" w:cs="Times New Roman" w:hAnsi="Times New Roman"/>
          <w:sz w:val="24"/>
        </w:rPr>
        <w:t>, 2024; INA, 2024).</w:t>
      </w:r>
    </w:p>
    <w:p w:rsidR="00AD3F6E" w:rsidRDefault="00AD3F6E" w14:paraId="390048AE" w14:textId="77777777" w:rsidP="00AE7B82" w:rsidRPr="00AD3F6E">
      <w:pPr>
        <w:jc w:val="both"/>
        <w:spacing w:line="360" w:lineRule="auto"/>
        <w:rPr>
          <w:lang w:val="en-US"/>
          <w:rFonts w:ascii="Times New Roman" w:cs="Times New Roman" w:hAnsi="Times New Roman"/>
          <w:sz w:val="24"/>
        </w:rPr>
      </w:pPr>
      <w:r w:rsidRPr="00AD3F6E">
        <w:rPr>
          <w:bCs/>
          <w:lang w:val="en-US"/>
          <w:b/>
          <w:rFonts w:ascii="Times New Roman" w:cs="Times New Roman" w:hAnsi="Times New Roman"/>
          <w:sz w:val="24"/>
        </w:rPr>
        <w:t>General Motors</w:t>
      </w:r>
      <w:r w:rsidR="00AE7B82">
        <w:rPr>
          <w:bCs/>
          <w:lang w:val="en-US"/>
          <w:b/>
          <w:rFonts w:ascii="Times New Roman" w:cs="Times New Roman" w:hAnsi="Times New Roman"/>
          <w:sz w:val="24"/>
        </w:rPr>
        <w:t>-</w:t>
      </w:r>
      <w:r w:rsidRPr="00AD3F6E">
        <w:rPr>
          <w:bCs/>
          <w:lang w:val="en-US"/>
          <w:b/>
          <w:rFonts w:ascii="Times New Roman" w:cs="Times New Roman" w:hAnsi="Times New Roman"/>
          <w:sz w:val="24"/>
        </w:rPr>
        <w:t xml:space="preserve"> (GM)</w:t>
      </w:r>
      <w:r w:rsidR="00AE7B82" w:rsidRPr="00AE7B82">
        <w:rPr>
          <w:rFonts w:ascii="Times New Roman" w:cs="Times New Roman" w:hAnsi="Times New Roman"/>
          <w:sz w:val="24"/>
        </w:rPr>
        <w:t xml:space="preserve"> has proactively followed an electrification approach. GM plans in Coahuila, San Luis Potosi and Guanajuato, GM declared a 1 billion e-mobility investment in Coahuila, and it is already making EV models in the country, with the Chevrolet Blazer and Equinox EVs, which puts it on the frontline of the domestic EV push (</w:t>
      </w:r>
      <w:proofErr w:type="spellStart"/>
      <w:r w:rsidR="00AE7B82" w:rsidRPr="00AE7B82">
        <w:rPr>
          <w:rFonts w:ascii="Times New Roman" w:cs="Times New Roman" w:hAnsi="Times New Roman"/>
          <w:sz w:val="24"/>
        </w:rPr>
        <w:t>Prodensa</w:t>
      </w:r>
      <w:proofErr w:type="spellEnd"/>
      <w:r w:rsidR="00AE7B82" w:rsidRPr="00AE7B82">
        <w:rPr>
          <w:rFonts w:ascii="Times New Roman" w:cs="Times New Roman" w:hAnsi="Times New Roman"/>
          <w:sz w:val="24"/>
        </w:rPr>
        <w:t>, 2024).</w:t>
      </w:r>
    </w:p>
    <w:p w:rsidR="00AD3F6E" w:rsidRDefault="00AD3F6E" w14:paraId="5AF115CC" w14:textId="77777777" w:rsidP="00AE7B82" w:rsidRPr="00AD3F6E">
      <w:pPr>
        <w:jc w:val="both"/>
        <w:spacing w:line="360" w:lineRule="auto"/>
        <w:rPr>
          <w:lang w:val="en-US"/>
          <w:rFonts w:ascii="Times New Roman" w:cs="Times New Roman" w:hAnsi="Times New Roman"/>
          <w:sz w:val="24"/>
        </w:rPr>
      </w:pPr>
      <w:r w:rsidRPr="00AD3F6E">
        <w:rPr>
          <w:bCs/>
          <w:lang w:val="en-US"/>
          <w:b/>
          <w:rFonts w:ascii="Times New Roman" w:cs="Times New Roman" w:hAnsi="Times New Roman"/>
          <w:sz w:val="24"/>
        </w:rPr>
        <w:t>Volkswagen Group (VW and Audi)</w:t>
      </w:r>
      <w:r w:rsidR="00AE7B82">
        <w:rPr>
          <w:lang w:val="en-US"/>
          <w:rFonts w:ascii="Times New Roman" w:cs="Times New Roman" w:hAnsi="Times New Roman"/>
          <w:sz w:val="24"/>
        </w:rPr>
        <w:t>-</w:t>
      </w:r>
      <w:r w:rsidR="00AE7B82" w:rsidRPr="00AE7B82">
        <w:rPr>
          <w:rFonts w:ascii="Times New Roman" w:cs="Times New Roman" w:hAnsi="Times New Roman"/>
          <w:sz w:val="24"/>
        </w:rPr>
        <w:t>In the case of Volkswagen Group (VW and Audi), the company has used its historical monopoly in Puebla,</w:t>
      </w:r>
      <w:r w:rsidR="005662C9">
        <w:rPr>
          <w:rFonts w:ascii="Times New Roman" w:cs="Times New Roman" w:hAnsi="Times New Roman"/>
          <w:sz w:val="24"/>
        </w:rPr>
        <w:t xml:space="preserve"> which contributes more than 40% </w:t>
      </w:r>
      <w:r w:rsidR="00AE7B82" w:rsidRPr="00AE7B82">
        <w:rPr>
          <w:rFonts w:ascii="Times New Roman" w:cs="Times New Roman" w:hAnsi="Times New Roman"/>
          <w:sz w:val="24"/>
        </w:rPr>
        <w:t>of the GDP in the state, to dominate the premium and volume segments (</w:t>
      </w:r>
      <w:proofErr w:type="spellStart"/>
      <w:r w:rsidR="00AE7B82" w:rsidRPr="00AE7B82">
        <w:rPr>
          <w:rFonts w:ascii="Times New Roman" w:cs="Times New Roman" w:hAnsi="Times New Roman"/>
          <w:sz w:val="24"/>
        </w:rPr>
        <w:t>Prodensa</w:t>
      </w:r>
      <w:proofErr w:type="spellEnd"/>
      <w:r w:rsidR="00AE7B82" w:rsidRPr="00AE7B82">
        <w:rPr>
          <w:rFonts w:ascii="Times New Roman" w:cs="Times New Roman" w:hAnsi="Times New Roman"/>
          <w:sz w:val="24"/>
        </w:rPr>
        <w:t xml:space="preserve">, 2024). The Puebla plant of Audi becomes the part of the EV strategy of the group, whereas VW is modifying its plants to accommodate both ICE and EV production, which demonstrates the dual focus approach to the transition management (INA, 2024; </w:t>
      </w:r>
      <w:proofErr w:type="spellStart"/>
      <w:r w:rsidR="00AE7B82" w:rsidRPr="00AE7B82">
        <w:rPr>
          <w:rFonts w:ascii="Times New Roman" w:cs="Times New Roman" w:hAnsi="Times New Roman"/>
          <w:sz w:val="24"/>
        </w:rPr>
        <w:t>Prodensa</w:t>
      </w:r>
      <w:proofErr w:type="spellEnd"/>
      <w:r w:rsidR="00AE7B82" w:rsidRPr="00AE7B82">
        <w:rPr>
          <w:rFonts w:ascii="Times New Roman" w:cs="Times New Roman" w:hAnsi="Times New Roman"/>
          <w:sz w:val="24"/>
        </w:rPr>
        <w:t>, 2024).</w:t>
      </w:r>
    </w:p>
    <w:p w:rsidR="00E07823" w:rsidRDefault="00AD3F6E" w14:paraId="6DDE2419" w14:textId="77777777" w:rsidP="00E07823" w:rsidRPr="00AB1784">
      <w:pPr>
        <w:jc w:val="both"/>
        <w:spacing w:line="360" w:lineRule="auto"/>
        <w:rPr>
          <w:lang w:val="en-US"/>
          <w:rFonts w:ascii="Times New Roman" w:cs="Times New Roman" w:hAnsi="Times New Roman"/>
          <w:sz w:val="24"/>
        </w:rPr>
      </w:pPr>
      <w:r w:rsidRPr="00AD3F6E">
        <w:rPr>
          <w:bCs/>
          <w:lang w:val="en-US"/>
          <w:b/>
          <w:rFonts w:ascii="Times New Roman" w:cs="Times New Roman" w:hAnsi="Times New Roman"/>
          <w:sz w:val="24"/>
        </w:rPr>
        <w:t>Ford Motor Company</w:t>
      </w:r>
      <w:r w:rsidR="00AD2848">
        <w:rPr>
          <w:lang w:val="en-US"/>
          <w:rFonts w:ascii="Times New Roman" w:cs="Times New Roman" w:hAnsi="Times New Roman"/>
          <w:sz w:val="24"/>
        </w:rPr>
        <w:t>-</w:t>
      </w:r>
      <w:r w:rsidR="00AD2848" w:rsidRPr="00AD2848">
        <w:rPr>
          <w:rFonts w:ascii="Times New Roman" w:cs="Times New Roman" w:hAnsi="Times New Roman"/>
          <w:sz w:val="24"/>
        </w:rPr>
        <w:t>Ford Motor Company provides a good example of the transition to the North American integration. It has a manufacturing facility in Hermosillo, Sonora backed up by a local engineering campus comprising of more than 1,000 students that manufactures high demand vehicles like the Maverick and Bronco Sport (</w:t>
      </w:r>
      <w:proofErr w:type="spellStart"/>
      <w:r w:rsidR="00AD2848" w:rsidRPr="00AD2848">
        <w:rPr>
          <w:rFonts w:ascii="Times New Roman" w:cs="Times New Roman" w:hAnsi="Times New Roman"/>
          <w:sz w:val="24"/>
        </w:rPr>
        <w:t>Prodensa</w:t>
      </w:r>
      <w:proofErr w:type="spellEnd"/>
      <w:r w:rsidR="00AD2848" w:rsidRPr="00AD2848">
        <w:rPr>
          <w:rFonts w:ascii="Times New Roman" w:cs="Times New Roman" w:hAnsi="Times New Roman"/>
          <w:sz w:val="24"/>
        </w:rPr>
        <w:t>, 2024). More importantly, Ford has also been producing the Mustang Mach-E EV in Mexico, which directly competes with other EV-oriented manufacturers and uses the costs advantages of Mexico to export to other countries (</w:t>
      </w:r>
      <w:proofErr w:type="spellStart"/>
      <w:r w:rsidR="00AD2848" w:rsidRPr="00AD2848">
        <w:rPr>
          <w:rFonts w:ascii="Times New Roman" w:cs="Times New Roman" w:hAnsi="Times New Roman"/>
          <w:sz w:val="24"/>
        </w:rPr>
        <w:t>Prodensa</w:t>
      </w:r>
      <w:proofErr w:type="spellEnd"/>
      <w:r w:rsidR="00AD2848" w:rsidRPr="00AD2848">
        <w:rPr>
          <w:rFonts w:ascii="Times New Roman" w:cs="Times New Roman" w:hAnsi="Times New Roman"/>
          <w:sz w:val="24"/>
        </w:rPr>
        <w:t>, 2024).</w:t>
      </w:r>
    </w:p>
    <w:p w:rsidR="008A5558" w:rsidRDefault="008A5558" w14:paraId="7E1BCFFC" w14:textId="77777777" w:rsidP="008A5558" w:rsidRPr="00483400">
      <w:pPr>
        <w:pStyle w:val="Heading1"/>
        <w:rPr>
          <w:lang w:val="en-US"/>
          <w:color w:val="FF0000"/>
        </w:rPr>
      </w:pPr>
      <w:bookmarkStart w:id="5" w:name="_Toc224662501"/>
      <w:r w:rsidRPr="008A5558">
        <w:rPr>
          <w:lang w:val="en-US"/>
        </w:rPr>
        <w:t xml:space="preserve">3. Applying Porter’s Diamond Model to </w:t>
      </w:r>
      <w:r w:rsidR="00AB1784" w:rsidRPr="00AB1784">
        <w:t>Mexic</w:t>
      </w:r>
      <w:r w:rsidR="00AB1784">
        <w:t>o Automotive Industry Report</w:t>
      </w:r>
      <w:r w:rsidR="00483400">
        <w:rPr>
          <w:lang w:val="en-US"/>
        </w:rPr>
        <w:t>-</w:t>
      </w:r>
      <w:r w:rsidR="00483400">
        <w:rPr>
          <w:lang w:val="en-US"/>
          <w:color w:val="FF0000"/>
        </w:rPr>
        <w:t xml:space="preserve"> See </w:t>
      </w:r>
      <w:r w:rsidR="00483400" w:rsidRPr="00AA01FB">
        <w:rPr>
          <w:lang w:val="en-US"/>
          <w:i/>
          <w:color w:val="FF0000"/>
        </w:rPr>
        <w:t>Appendix-I</w:t>
      </w:r>
      <w:r w:rsidR="00215BF3">
        <w:rPr>
          <w:lang w:val="en-US"/>
          <w:i/>
          <w:color w:val="FF0000"/>
        </w:rPr>
        <w:t>V</w:t>
      </w:r>
      <w:bookmarkEnd w:id="5"/>
    </w:p>
    <w:p w:rsidR="005672CD" w:rsidRDefault="002D3BB7" w14:paraId="0C06EEF6" w14:textId="77777777" w:rsidP="008A5558">
      <w:pPr>
        <w:jc w:val="both"/>
        <w:spacing w:line="360" w:lineRule="auto"/>
        <w:rPr>
          <w:rFonts w:ascii="Times New Roman" w:cs="Times New Roman" w:hAnsi="Times New Roman"/>
          <w:sz w:val="24"/>
        </w:rPr>
      </w:pPr>
      <w:r w:rsidRPr="002D3BB7">
        <w:rPr>
          <w:rFonts w:ascii="Times New Roman" w:cs="Times New Roman" w:hAnsi="Times New Roman"/>
          <w:sz w:val="24"/>
        </w:rPr>
        <w:t xml:space="preserve">Mexico is an automotive giant in the world that can be critically </w:t>
      </w:r>
      <w:proofErr w:type="spellStart"/>
      <w:r w:rsidRPr="002D3BB7">
        <w:rPr>
          <w:rFonts w:ascii="Times New Roman" w:cs="Times New Roman" w:hAnsi="Times New Roman"/>
          <w:sz w:val="24"/>
        </w:rPr>
        <w:t>analyzed</w:t>
      </w:r>
      <w:proofErr w:type="spellEnd"/>
      <w:r w:rsidRPr="002D3BB7">
        <w:rPr>
          <w:rFonts w:ascii="Times New Roman" w:cs="Times New Roman" w:hAnsi="Times New Roman"/>
          <w:sz w:val="24"/>
        </w:rPr>
        <w:t xml:space="preserve"> using the Diamond Model of Michael Porter which is a study of factor conditions, demand conditions, related and supporting industries, firm strategy, structure and rivalry (Porter, 1990). The phenomenon of stag</w:t>
      </w:r>
      <w:r w:rsidR="005662C9">
        <w:rPr>
          <w:rFonts w:ascii="Times New Roman" w:cs="Times New Roman" w:hAnsi="Times New Roman"/>
          <w:sz w:val="24"/>
        </w:rPr>
        <w:t>e-</w:t>
      </w:r>
      <w:r w:rsidRPr="002D3BB7">
        <w:rPr>
          <w:rFonts w:ascii="Times New Roman" w:cs="Times New Roman" w:hAnsi="Times New Roman"/>
          <w:sz w:val="24"/>
        </w:rPr>
        <w:t>formation in the industry, which includes stagnation of global growth and the pressing need to change, defines this landscape in 2026 (Lazard and Roland Berger, 2025).</w:t>
      </w:r>
    </w:p>
    <w:p w:rsidR="006D72D4" w:rsidRDefault="006D72D4" w14:paraId="010A02F3" w14:textId="77777777">
      <w:pPr>
        <w:rPr>
          <w:bCs/>
          <w:lang w:val="en-US"/>
          <w:b/>
          <w:rFonts w:ascii="Times New Roman" w:cs="Times New Roman" w:hAnsi="Times New Roman"/>
          <w:sz w:val="24"/>
        </w:rPr>
      </w:pPr>
      <w:r>
        <w:rPr>
          <w:b/>
          <w:rFonts w:ascii="Times New Roman" w:cs="Times New Roman" w:hAnsi="Times New Roman"/>
          <w:sz w:val="24"/>
        </w:rPr>
        <w:br w:type="page"/>
      </w:r>
    </w:p>
    <w:p w:rsidR="008A5558" w:rsidRDefault="008A5558" w14:paraId="781FE4DD" w14:textId="77777777" w:rsidP="008A5558" w:rsidRPr="008A5558">
      <w:pPr>
        <w:jc w:val="both"/>
        <w:spacing w:line="360" w:lineRule="auto"/>
        <w:rPr>
          <w:bCs/>
          <w:lang w:val="en-US"/>
          <w:b/>
          <w:rFonts w:ascii="Times New Roman" w:cs="Times New Roman" w:hAnsi="Times New Roman"/>
          <w:sz w:val="24"/>
        </w:rPr>
      </w:pPr>
      <w:r w:rsidRPr="008A5558">
        <w:rPr>
          <w:bCs/>
          <w:lang w:val="en-US"/>
          <w:b/>
          <w:rFonts w:ascii="Times New Roman" w:cs="Times New Roman" w:hAnsi="Times New Roman"/>
          <w:sz w:val="24"/>
        </w:rPr>
        <w:t>Factor Conditions</w:t>
      </w:r>
    </w:p>
    <w:p w:rsidR="008A5558" w:rsidRDefault="002D3BB7" w14:paraId="7A9BE227" w14:textId="77777777" w:rsidP="008A5558" w:rsidRPr="008A5558">
      <w:pPr>
        <w:jc w:val="both"/>
        <w:spacing w:line="360" w:lineRule="auto"/>
        <w:rPr>
          <w:lang w:val="en-US"/>
          <w:rFonts w:ascii="Times New Roman" w:cs="Times New Roman" w:hAnsi="Times New Roman"/>
          <w:sz w:val="24"/>
        </w:rPr>
      </w:pPr>
      <w:r w:rsidRPr="002D3BB7">
        <w:rPr>
          <w:rFonts w:ascii="Times New Roman" w:cs="Times New Roman" w:hAnsi="Times New Roman"/>
          <w:sz w:val="24"/>
        </w:rPr>
        <w:t>The traditional strengths of Mexico are in the basic factor conditions. It has a sizeable, talented and affordable labour force, with more than 2.1million persons in total, 883 000 in auto components being employed in the automotive industry (INA, 2024). The S&amp;P Global Mobility (2022) catalogue describes the fact that there are advanced centres of R&amp;D and engineering talent, and points out that more than 15,000 engineers are employed in 26 centres in Mexico. Nevertheless, as proposed by the Lazard and Roland Berger (2025) research, although these advanced factors are present, the industry is pressing the need to be more productive; the number of top global suppliers increased without the relevant rise in revenue, undermining productivity. The country now has to compete not only in terms of cost but also in regard to high-quality, sophisticated, higher-value capabilities demanded by software-defined vehicles (SDVs) and advanced driver assistance systems (ADAS), which are becoming features of the industry (S&amp;P Global Mobility, 2022; Lazard and Roland Berger, 2025).</w:t>
      </w:r>
    </w:p>
    <w:p w:rsidR="00302FC3" w:rsidRDefault="00302FC3" w14:paraId="493FDEBD" w14:textId="77777777">
      <w:pPr>
        <w:rPr>
          <w:bCs/>
          <w:lang w:val="en-US"/>
          <w:b/>
          <w:rFonts w:ascii="Times New Roman" w:cs="Times New Roman" w:hAnsi="Times New Roman"/>
          <w:sz w:val="24"/>
        </w:rPr>
      </w:pPr>
      <w:r>
        <w:rPr>
          <w:b/>
          <w:rFonts w:ascii="Times New Roman" w:cs="Times New Roman" w:hAnsi="Times New Roman"/>
          <w:sz w:val="24"/>
        </w:rPr>
        <w:br w:type="page"/>
      </w:r>
    </w:p>
    <w:p w:rsidR="008A5558" w:rsidRDefault="008A5558" w14:paraId="3250DA25" w14:textId="77777777" w:rsidP="008A5558" w:rsidRPr="008A5558">
      <w:pPr>
        <w:jc w:val="both"/>
        <w:spacing w:line="360" w:lineRule="auto"/>
        <w:rPr>
          <w:bCs/>
          <w:lang w:val="en-US"/>
          <w:b/>
          <w:rFonts w:ascii="Times New Roman" w:cs="Times New Roman" w:hAnsi="Times New Roman"/>
          <w:sz w:val="24"/>
        </w:rPr>
      </w:pPr>
      <w:r w:rsidRPr="008A5558">
        <w:rPr>
          <w:bCs/>
          <w:lang w:val="en-US"/>
          <w:b/>
          <w:rFonts w:ascii="Times New Roman" w:cs="Times New Roman" w:hAnsi="Times New Roman"/>
          <w:sz w:val="24"/>
        </w:rPr>
        <w:t>Demand Conditions</w:t>
      </w:r>
    </w:p>
    <w:p w:rsidR="002D3BB7" w:rsidRDefault="002D3BB7" w14:paraId="62CD7CFB" w14:textId="77777777" w:rsidP="008A5558">
      <w:pPr>
        <w:jc w:val="both"/>
        <w:spacing w:line="360" w:lineRule="auto"/>
        <w:rPr>
          <w:rFonts w:ascii="Times New Roman" w:cs="Times New Roman" w:hAnsi="Times New Roman"/>
          <w:sz w:val="24"/>
        </w:rPr>
      </w:pPr>
      <w:r w:rsidRPr="002D3BB7">
        <w:rPr>
          <w:rFonts w:ascii="Times New Roman" w:cs="Times New Roman" w:hAnsi="Times New Roman"/>
          <w:sz w:val="24"/>
        </w:rPr>
        <w:t xml:space="preserve">Although the electric vehicles (EVs) market share is increasing in Mexico (reaching 5.4 </w:t>
      </w:r>
      <w:r w:rsidR="005662C9">
        <w:rPr>
          <w:rFonts w:ascii="Times New Roman" w:cs="Times New Roman" w:hAnsi="Times New Roman"/>
          <w:sz w:val="24"/>
        </w:rPr>
        <w:t>%</w:t>
      </w:r>
      <w:r w:rsidRPr="002D3BB7">
        <w:rPr>
          <w:rFonts w:ascii="Times New Roman" w:cs="Times New Roman" w:hAnsi="Times New Roman"/>
          <w:sz w:val="24"/>
        </w:rPr>
        <w:t xml:space="preserve">in 2023), the country is not dominating the competitiveness through its domestic demand (INA, 2024). The advanced and high mass consumption in the United States, in its turn, serves as a potent proxy. As the proportion of light vehicle exports to the U.S. comprises 79.7 </w:t>
      </w:r>
      <w:r w:rsidR="005662C9">
        <w:rPr>
          <w:rFonts w:ascii="Times New Roman" w:cs="Times New Roman" w:hAnsi="Times New Roman"/>
          <w:sz w:val="24"/>
        </w:rPr>
        <w:t>%</w:t>
      </w:r>
      <w:r w:rsidRPr="002D3BB7">
        <w:rPr>
          <w:rFonts w:ascii="Times New Roman" w:cs="Times New Roman" w:hAnsi="Times New Roman"/>
          <w:sz w:val="24"/>
        </w:rPr>
        <w:t>of all exports in Mexico, it is mandatory that the manufacturers in Mexico respond to the high safety, quality and technology requirements of the most demanding automotive industry in the globe (International Trade Administration, 2026). The demand of the North American market as a pull force forces the Mexican-based manufacturers to invest in the state of the art technologies and processes. The declining battery electric vehicle (BEV) penetration in the U.S. and Europe that is now estimated at 41 percent of the world (a 12 percentage point drop in the previous prediction) is a tricky demand signal: that EV capacity needs to be further invested in, and that profitable internal combustion engine (ICE) and hybrid models must be manufactured further (Lazard and Roland Berger, 2025).</w:t>
      </w:r>
    </w:p>
    <w:p w:rsidR="008A5558" w:rsidRDefault="008A5558" w14:paraId="0040843A" w14:textId="77777777" w:rsidP="008A5558" w:rsidRPr="008A5558">
      <w:pPr>
        <w:jc w:val="both"/>
        <w:spacing w:line="360" w:lineRule="auto"/>
        <w:rPr>
          <w:bCs/>
          <w:lang w:val="en-US"/>
          <w:b/>
          <w:rFonts w:ascii="Times New Roman" w:cs="Times New Roman" w:hAnsi="Times New Roman"/>
          <w:sz w:val="24"/>
        </w:rPr>
      </w:pPr>
      <w:r w:rsidRPr="008A5558">
        <w:rPr>
          <w:bCs/>
          <w:lang w:val="en-US"/>
          <w:b/>
          <w:rFonts w:ascii="Times New Roman" w:cs="Times New Roman" w:hAnsi="Times New Roman"/>
          <w:sz w:val="24"/>
        </w:rPr>
        <w:t>Rel</w:t>
      </w:r>
      <w:r w:rsidR="002D3BB7">
        <w:rPr>
          <w:bCs/>
          <w:lang w:val="en-US"/>
          <w:b/>
          <w:rFonts w:ascii="Times New Roman" w:cs="Times New Roman" w:hAnsi="Times New Roman"/>
          <w:sz w:val="24"/>
        </w:rPr>
        <w:t>ated and Supporting Industries</w:t>
      </w:r>
    </w:p>
    <w:p w:rsidR="008A5558" w:rsidRDefault="002D3BB7" w14:paraId="461D4CC8" w14:textId="77777777" w:rsidP="008A5558" w:rsidRPr="008A5558">
      <w:pPr>
        <w:jc w:val="both"/>
        <w:spacing w:line="360" w:lineRule="auto"/>
        <w:rPr>
          <w:lang w:val="en-US"/>
          <w:rFonts w:ascii="Times New Roman" w:cs="Times New Roman" w:hAnsi="Times New Roman"/>
          <w:sz w:val="24"/>
        </w:rPr>
      </w:pPr>
      <w:r w:rsidRPr="002D3BB7">
        <w:rPr>
          <w:rFonts w:ascii="Times New Roman" w:cs="Times New Roman" w:hAnsi="Times New Roman"/>
          <w:sz w:val="24"/>
        </w:rPr>
        <w:t xml:space="preserve">This is the biggest strength of Mexico. It has a sophisticated and extensive supplier base, as the fourth-largest auto parts manufacturer in the world with a US -106billion export business (International Trade Administration, 2026). The INA (2024) observes that 87-percent of auto parts production is export based which produces a strong cluster of Tier-1, Tier-2 and Tier-3 suppliers. The overview of the S&amp;P Global Mobility (2022) emphasizes the intricacy of such an ecosystem, including materials and </w:t>
      </w:r>
      <w:proofErr w:type="spellStart"/>
      <w:r w:rsidRPr="002D3BB7">
        <w:rPr>
          <w:rFonts w:ascii="Times New Roman" w:cs="Times New Roman" w:hAnsi="Times New Roman"/>
          <w:sz w:val="24"/>
        </w:rPr>
        <w:t>lightweighting</w:t>
      </w:r>
      <w:proofErr w:type="spellEnd"/>
      <w:r w:rsidRPr="002D3BB7">
        <w:rPr>
          <w:rFonts w:ascii="Times New Roman" w:cs="Times New Roman" w:hAnsi="Times New Roman"/>
          <w:sz w:val="24"/>
        </w:rPr>
        <w:t xml:space="preserve">, electronics, and semiconductors. The Lazard and Roland Berger (2025) study however cautions that the profitability of suppliers is structurally declining and world EBIT margins would drop to 4.7 </w:t>
      </w:r>
      <w:r w:rsidR="005662C9">
        <w:rPr>
          <w:rFonts w:ascii="Times New Roman" w:cs="Times New Roman" w:hAnsi="Times New Roman"/>
          <w:sz w:val="24"/>
        </w:rPr>
        <w:t>%</w:t>
      </w:r>
      <w:r w:rsidRPr="002D3BB7">
        <w:rPr>
          <w:rFonts w:ascii="Times New Roman" w:cs="Times New Roman" w:hAnsi="Times New Roman"/>
          <w:sz w:val="24"/>
        </w:rPr>
        <w:t>in 2024. This pressure of the margin, which is caused by the high costs of R&amp;D of SDVs and ADAS and inflations in the services of raw materials, endangers the well-being of this important system support network. The high rivalry among supplier of content-per-vehicle is further intensified, particularly due to the reducing lifecycle of BEV models, which further strains the whole Mexican value chain (Lazard and Roland Berger, 2025).</w:t>
      </w:r>
      <w:r w:rsidR="009C7B70" w:rsidRPr="009C7B70">
        <w:rPr>
          <w:rFonts w:ascii="Times New Roman" w:cs="Times New Roman" w:hAnsi="Times New Roman"/>
          <w:sz w:val="24"/>
        </w:rPr>
        <w:t xml:space="preserve"> </w:t>
      </w:r>
    </w:p>
    <w:p w:rsidR="00302FC3" w:rsidRDefault="00302FC3" w14:paraId="6D1778D6" w14:textId="77777777">
      <w:pPr>
        <w:rPr>
          <w:bCs/>
          <w:lang w:val="en-US"/>
          <w:b/>
          <w:rFonts w:ascii="Times New Roman" w:cs="Times New Roman" w:hAnsi="Times New Roman"/>
          <w:sz w:val="24"/>
        </w:rPr>
      </w:pPr>
      <w:r>
        <w:rPr>
          <w:b/>
          <w:rFonts w:ascii="Times New Roman" w:cs="Times New Roman" w:hAnsi="Times New Roman"/>
          <w:sz w:val="24"/>
        </w:rPr>
        <w:br w:type="page"/>
      </w:r>
    </w:p>
    <w:p w:rsidR="008A5558" w:rsidRDefault="008A5558" w14:paraId="38838C59" w14:textId="77777777" w:rsidP="008A5558" w:rsidRPr="008A5558">
      <w:pPr>
        <w:jc w:val="both"/>
        <w:spacing w:line="360" w:lineRule="auto"/>
        <w:rPr>
          <w:bCs/>
          <w:lang w:val="en-US"/>
          <w:b/>
          <w:rFonts w:ascii="Times New Roman" w:cs="Times New Roman" w:hAnsi="Times New Roman"/>
          <w:sz w:val="24"/>
        </w:rPr>
      </w:pPr>
      <w:r w:rsidRPr="008A5558">
        <w:rPr>
          <w:bCs/>
          <w:lang w:val="en-US"/>
          <w:b/>
          <w:rFonts w:ascii="Times New Roman" w:cs="Times New Roman" w:hAnsi="Times New Roman"/>
          <w:sz w:val="24"/>
        </w:rPr>
        <w:t>Firm St</w:t>
      </w:r>
      <w:r w:rsidR="002D3BB7">
        <w:rPr>
          <w:bCs/>
          <w:lang w:val="en-US"/>
          <w:b/>
          <w:rFonts w:ascii="Times New Roman" w:cs="Times New Roman" w:hAnsi="Times New Roman"/>
          <w:sz w:val="24"/>
        </w:rPr>
        <w:t>rategy, Structure, and Rivalry</w:t>
      </w:r>
    </w:p>
    <w:p w:rsidR="008A5558" w:rsidRDefault="002D3BB7" w14:paraId="29AC0DAC" w14:textId="77777777" w:rsidP="008A5558" w:rsidRPr="008A5558">
      <w:pPr>
        <w:jc w:val="both"/>
        <w:spacing w:line="360" w:lineRule="auto"/>
        <w:rPr>
          <w:lang w:val="en-US"/>
          <w:rFonts w:ascii="Times New Roman" w:cs="Times New Roman" w:hAnsi="Times New Roman"/>
          <w:sz w:val="24"/>
        </w:rPr>
      </w:pPr>
      <w:r w:rsidRPr="002D3BB7">
        <w:rPr>
          <w:rFonts w:ascii="Times New Roman" w:cs="Times New Roman" w:hAnsi="Times New Roman"/>
          <w:sz w:val="24"/>
        </w:rPr>
        <w:t>Mexican market is a miniature of the world industry competition. Ensuring a large volume production (</w:t>
      </w:r>
      <w:proofErr w:type="spellStart"/>
      <w:r w:rsidRPr="002D3BB7">
        <w:rPr>
          <w:rFonts w:ascii="Times New Roman" w:cs="Times New Roman" w:hAnsi="Times New Roman"/>
          <w:sz w:val="24"/>
        </w:rPr>
        <w:t>Prodensa</w:t>
      </w:r>
      <w:proofErr w:type="spellEnd"/>
      <w:r w:rsidRPr="002D3BB7">
        <w:rPr>
          <w:rFonts w:ascii="Times New Roman" w:cs="Times New Roman" w:hAnsi="Times New Roman"/>
          <w:sz w:val="24"/>
        </w:rPr>
        <w:t>, 2024), established giants, including Ford, GM, and VW, are pursuing dual-focus strategies, investing in EVs (e.g., Mustang Mach-E by Ford or US1 billion investment by GM in Coahuila). This position is logical since ICE vehicles have received a temporary reprieve because of the slowdown in BEVs (Lazard and Roland Berger, 2025). At the same time, newcomers, especially Chinese OEMs like BYD and JAC, are setting a presence, using the lower-cost infrastructure and shorter time to development cycles (2430 months vs 4263 months in the case of incumbents) to agitate the status quo (Lazard and Roland Berger, 2025). This increases competition and compels all the participants to maximise portfolios and economise costs by developing efficiency and improving regional strategy (Lazard and Roland Berger, 2025). Two exogenous variables in the model are the role of government and chance, which are now in the limelight. The most prominent wildcards that would potentially transform the competitive landscape overnight are geopolitical tensions and possible U.S.MCA renegotiations coupled with a change in U.S. trade policy towards tariffs and EV subsidies (Lazard and Roland Berger, 2025).</w:t>
      </w:r>
    </w:p>
    <w:p w:rsidR="00101F5D" w:rsidRDefault="00101F5D" w14:paraId="48954312" w14:textId="77777777" w:rsidP="00302FC3" w:rsidRPr="00135BAA">
      <w:pPr>
        <w:pStyle w:val="Heading1"/>
        <w:rPr>
          <w:lang w:val="en-US"/>
        </w:rPr>
      </w:pPr>
      <w:bookmarkStart w:id="6" w:name="_Toc224662502"/>
      <w:r w:rsidRPr="00135BAA">
        <w:rPr>
          <w:lang w:val="en-US"/>
        </w:rPr>
        <w:t xml:space="preserve">4. </w:t>
      </w:r>
      <w:r w:rsidR="00760A3B" w:rsidRPr="00135BAA">
        <w:rPr>
          <w:lang w:val="en-US"/>
        </w:rPr>
        <w:t>Critical Evaluation of Ford Motor Company‘s Operations in Mexico</w:t>
      </w:r>
      <w:bookmarkEnd w:id="6"/>
    </w:p>
    <w:p w:rsidR="00101F5D" w:rsidRDefault="00101F5D" w14:paraId="213ADD3C" w14:textId="77777777" w:rsidP="00B701B4" w:rsidRPr="00135BAA">
      <w:pPr>
        <w:pStyle w:val="Heading2"/>
        <w:rPr>
          <w:lang w:val="en-US"/>
        </w:rPr>
      </w:pPr>
      <w:bookmarkStart w:id="7" w:name="_Toc224662503"/>
      <w:r w:rsidRPr="00135BAA">
        <w:rPr>
          <w:lang w:val="en-US"/>
        </w:rPr>
        <w:t>4.1 Introduction to the Chosen MNC and Industry Context</w:t>
      </w:r>
      <w:bookmarkEnd w:id="7"/>
    </w:p>
    <w:p w:rsidR="0093355E" w:rsidRDefault="0093355E" w14:paraId="6A461C83"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Introduction</w:t>
      </w:r>
    </w:p>
    <w:p w:rsidR="0093355E" w:rsidRDefault="002D3BB7" w14:paraId="1EC0C601" w14:textId="77777777" w:rsidP="0093355E"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Ford Motor Company has one of the most extensive and long history in the Mexican automotive industry with manufacturing complexes dating back close to the 100 years. Ford operations are in a critical juncture in 2026 and this is reflective of the challenges and opportunities that this sector is undergoing. It operates a large engine facility in Chihuahua and a high profile stamping and assembly facility in Hermosillo, Sonora that manufactures globally strategic vehicles, including the Ford Maverick and Bronco Sport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2024). Moreover, Ford has made Mexico one of its central points in its electrification plan by producing the Mustang Mach-E in Mexico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The success of the business in Mexico however now depends on its ability to </w:t>
      </w:r>
      <w:proofErr w:type="spellStart"/>
      <w:r w:rsidRPr="00135BAA">
        <w:rPr>
          <w:rFonts w:ascii="Times New Roman" w:cs="Times New Roman" w:hAnsi="Times New Roman"/>
          <w:sz w:val="24"/>
        </w:rPr>
        <w:t>maneuver</w:t>
      </w:r>
      <w:proofErr w:type="spellEnd"/>
      <w:r w:rsidRPr="00135BAA">
        <w:rPr>
          <w:rFonts w:ascii="Times New Roman" w:cs="Times New Roman" w:hAnsi="Times New Roman"/>
          <w:sz w:val="24"/>
        </w:rPr>
        <w:t xml:space="preserve"> through a maze of political economic legal and cultural forces that have grown more complex in the mid-2020s, a phase which Lazard and Roland Berger (2025) describe as stag</w:t>
      </w:r>
      <w:r w:rsidR="00750E15">
        <w:rPr>
          <w:rFonts w:ascii="Times New Roman" w:cs="Times New Roman" w:hAnsi="Times New Roman"/>
          <w:sz w:val="24"/>
        </w:rPr>
        <w:t>e-</w:t>
      </w:r>
      <w:r w:rsidRPr="00135BAA">
        <w:rPr>
          <w:rFonts w:ascii="Times New Roman" w:cs="Times New Roman" w:hAnsi="Times New Roman"/>
          <w:sz w:val="24"/>
        </w:rPr>
        <w:t>formation, a state between stagnating growth of markets on the one hand and a desperate and expensed transition to new technology on the other. This analysis is based on the PESTLE analysis as a critical evaluation of the factors affecting the Mexican operations of Ford.</w:t>
      </w:r>
    </w:p>
    <w:p w:rsidR="0093355E" w:rsidRDefault="0093355E" w14:paraId="6478C3DE"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Political Factors</w:t>
      </w:r>
    </w:p>
    <w:p w:rsidR="0093355E" w:rsidRDefault="002D3BB7" w14:paraId="07FEFBA3" w14:textId="77777777" w:rsidP="0093355E"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 xml:space="preserve">According to 2026 political environment, this poses the biggest threat to the success of Ford in Mexico since it is the most immediate and unstable. The future United States-, Mexico-, Canada- Agreement (USMCA) examination in 2026 puts a long shadow on all automotive preparation of North America (Mexico Business News, 2026). The administration in the U.S has given indications of being tough, employing national security to make cases in support of tariffs, and the review will be a keen examination of the working of the agreement (Acclaim Energy, 2026). </w:t>
      </w:r>
      <w:r w:rsidRPr="00135BAA">
        <w:rPr>
          <w:lang w:val="en-US"/>
          <w:rFonts w:ascii="Times New Roman" w:cs="Times New Roman" w:hAnsi="Times New Roman"/>
          <w:sz w:val="24"/>
        </w:rPr>
        <w:t>Crucially</w:t>
      </w:r>
      <w:r w:rsidRPr="00135BAA">
        <w:rPr>
          <w:rFonts w:ascii="Times New Roman" w:cs="Times New Roman" w:hAnsi="Times New Roman"/>
          <w:sz w:val="24"/>
        </w:rPr>
        <w:t>, the U.S has retained Section 232 tariffs on steel, aluminium, and autos, which has resulted in the uncertainty</w:t>
      </w:r>
      <w:r w:rsidR="0093355E" w:rsidRPr="00135BAA">
        <w:rPr>
          <w:lang w:val="en-US"/>
          <w:rFonts w:ascii="Times New Roman" w:cs="Times New Roman" w:hAnsi="Times New Roman"/>
          <w:sz w:val="24"/>
        </w:rPr>
        <w:t xml:space="preserve">. </w:t>
      </w:r>
      <w:r w:rsidR="00E07725" w:rsidRPr="00135BAA">
        <w:rPr>
          <w:rFonts w:ascii="Times New Roman" w:cs="Times New Roman" w:hAnsi="Times New Roman"/>
          <w:sz w:val="24"/>
        </w:rPr>
        <w:t>According to official data of the Central Bank of Mexico (</w:t>
      </w:r>
      <w:proofErr w:type="spellStart"/>
      <w:r w:rsidR="00E07725" w:rsidRPr="00135BAA">
        <w:rPr>
          <w:rFonts w:ascii="Times New Roman" w:cs="Times New Roman" w:hAnsi="Times New Roman"/>
          <w:sz w:val="24"/>
        </w:rPr>
        <w:t>Banxico</w:t>
      </w:r>
      <w:proofErr w:type="spellEnd"/>
      <w:r w:rsidR="00E07725" w:rsidRPr="00135BAA">
        <w:rPr>
          <w:rFonts w:ascii="Times New Roman" w:cs="Times New Roman" w:hAnsi="Times New Roman"/>
          <w:sz w:val="24"/>
        </w:rPr>
        <w:t xml:space="preserve">), exports of transportation equipment to the United States fell by 7 </w:t>
      </w:r>
      <w:r w:rsidR="005662C9">
        <w:rPr>
          <w:rFonts w:ascii="Times New Roman" w:cs="Times New Roman" w:hAnsi="Times New Roman"/>
          <w:sz w:val="24"/>
        </w:rPr>
        <w:t>%</w:t>
      </w:r>
      <w:r w:rsidR="00E07725" w:rsidRPr="00135BAA">
        <w:rPr>
          <w:rFonts w:ascii="Times New Roman" w:cs="Times New Roman" w:hAnsi="Times New Roman"/>
          <w:sz w:val="24"/>
        </w:rPr>
        <w:t>annually in the first 3 quarters of 2025 which was a decline that can be directly attributed to the increased pressure on tariffs (Mexico Business News, 20</w:t>
      </w:r>
      <w:r w:rsidR="00750E15">
        <w:rPr>
          <w:rFonts w:ascii="Times New Roman" w:cs="Times New Roman" w:hAnsi="Times New Roman"/>
          <w:sz w:val="24"/>
        </w:rPr>
        <w:t>26</w:t>
      </w:r>
      <w:r w:rsidR="00E07725" w:rsidRPr="00135BAA">
        <w:rPr>
          <w:rFonts w:ascii="Times New Roman" w:cs="Times New Roman" w:hAnsi="Times New Roman"/>
          <w:sz w:val="24"/>
        </w:rPr>
        <w:t>). In the case of Ford, which relies on a highly integrated supply chain in North America, these trade hassles increase its cost and make it more difficult to plan production in Hermosillo and Chihuahua plants.</w:t>
      </w:r>
    </w:p>
    <w:p w:rsidR="00FC0E5F" w:rsidRDefault="00E07725" w14:paraId="5C08437A" w14:textId="77777777" w:rsidP="0093355E">
      <w:pPr>
        <w:jc w:val="both"/>
        <w:spacing w:line="360" w:lineRule="auto"/>
        <w:rPr>
          <w:rFonts w:ascii="Times New Roman" w:cs="Times New Roman" w:hAnsi="Times New Roman"/>
          <w:sz w:val="24"/>
        </w:rPr>
      </w:pPr>
      <w:r w:rsidRPr="00135BAA">
        <w:rPr>
          <w:rFonts w:ascii="Times New Roman" w:cs="Times New Roman" w:hAnsi="Times New Roman"/>
          <w:sz w:val="24"/>
        </w:rPr>
        <w:t xml:space="preserve">The political pressure is further aggravated by the defensive measures of Mexico itself. Mexico raised the rate of tariff on passenger vehicles that are imported by a country that is not a free trade partner to 50 per cent, as compared to 20 per cent, effective 1 January 2026; the policy focuses primarily on Chinese and Indian imports to protect the domestic sector in the expectation of the USMCA review (Mexico Business News, 2026). This is saving Ford its domestic market share but also indicates a reactive and protectionist position that may provoke retaliation. Besides, privately, the Mexican federal government has urged states to postpone the authorization of investment by the Chinese automakers until the USMCA review is complete, fearing that the intensification of the relationship between Mexico and China will result in the aggravation of Washington (Sina News, 2026). </w:t>
      </w:r>
    </w:p>
    <w:p w:rsidR="0093355E" w:rsidRDefault="0093355E" w14:paraId="4411800E"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Economic Factors</w:t>
      </w:r>
    </w:p>
    <w:p w:rsidR="0093355E" w:rsidRDefault="00E07725" w14:paraId="6E6A5FAA" w14:textId="77777777" w:rsidP="0093355E"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Ford is an organization that operates in the world of opposites. On the one hand, the macroeconomic argument of manufacturing in Mexico is still strong: the trend of nearshoring has not stopped attracting investments, and the country has already obtained almost 41 billion dollars of foreign direct investments in the first nine months of 2025, which is an increase by 15 percent (Acclaim Energy, 2026). The position of Mexico as a low-cost production hub and critical to North American market is highlighted by the fact that U.S. 16.1 2025.04 million units of production were being produced in the U.S. in union with Mexico, and that Mexico was producing more than 20.04 per cent. (Nasdaq, 2025). This gives a consistent and mass-scale of the industrial platform of Ford. On the other hand, the economic head winds are high. The domestic Mexican market is also showing some signs of tension, however: 2025 sales of light-vehicles of 1.52 million units were the highest since 2017 but the increase was only 1.3 perc</w:t>
      </w:r>
      <w:r w:rsidR="00750E15">
        <w:rPr>
          <w:rFonts w:ascii="Times New Roman" w:cs="Times New Roman" w:hAnsi="Times New Roman"/>
          <w:sz w:val="24"/>
        </w:rPr>
        <w:t>ent (Mexico Business News, 2026</w:t>
      </w:r>
      <w:r w:rsidRPr="00135BAA">
        <w:rPr>
          <w:rFonts w:ascii="Times New Roman" w:cs="Times New Roman" w:hAnsi="Times New Roman"/>
          <w:sz w:val="24"/>
        </w:rPr>
        <w:t xml:space="preserve">). Worse still to Ford, the company continued to register a negative growth in sales annually in 2025, whereas its rivals like Nissan and Volkswagen continued to record stable operations (Mexico Business News, 2026). This denotes growing competitive pressures. In the production aspect, light-vehicles production in Mexico decreased by 0.9 </w:t>
      </w:r>
      <w:r w:rsidR="005662C9">
        <w:rPr>
          <w:rFonts w:ascii="Times New Roman" w:cs="Times New Roman" w:hAnsi="Times New Roman"/>
          <w:sz w:val="24"/>
        </w:rPr>
        <w:t>%</w:t>
      </w:r>
      <w:r w:rsidRPr="00135BAA">
        <w:rPr>
          <w:rFonts w:ascii="Times New Roman" w:cs="Times New Roman" w:hAnsi="Times New Roman"/>
          <w:sz w:val="24"/>
        </w:rPr>
        <w:t>in 2025, and also exports fell by 2.7 per cent, which was a direct impact of uncertainty over tariffs and weakened U.S. demand (Mexico Business News, 2026). In 2026, February data show that there is still a contraction of an average of 1.8 % in production and an average of 4.4 percent in exports when compared to the previous y</w:t>
      </w:r>
      <w:r w:rsidR="00750E15">
        <w:rPr>
          <w:rFonts w:ascii="Times New Roman" w:cs="Times New Roman" w:hAnsi="Times New Roman"/>
          <w:sz w:val="24"/>
        </w:rPr>
        <w:t>ear (Mexico Business News, 2026</w:t>
      </w:r>
      <w:r w:rsidRPr="00135BAA">
        <w:rPr>
          <w:rFonts w:ascii="Times New Roman" w:cs="Times New Roman" w:hAnsi="Times New Roman"/>
          <w:sz w:val="24"/>
        </w:rPr>
        <w:t>). These numbers translate to the underutilization of its capacity and pressure its profitability of the Mexican plants of Ford</w:t>
      </w:r>
      <w:r w:rsidR="0093355E" w:rsidRPr="00135BAA">
        <w:rPr>
          <w:lang w:val="en-US"/>
          <w:rFonts w:ascii="Times New Roman" w:cs="Times New Roman" w:hAnsi="Times New Roman"/>
          <w:sz w:val="24"/>
        </w:rPr>
        <w:t>.</w:t>
      </w:r>
    </w:p>
    <w:p w:rsidR="0093355E" w:rsidRDefault="0093355E" w14:paraId="01E50103"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Social Factors</w:t>
      </w:r>
    </w:p>
    <w:p w:rsidR="00FC0E5F" w:rsidRDefault="00E07725" w14:paraId="49647421" w14:textId="77777777" w:rsidP="0093355E">
      <w:pPr>
        <w:jc w:val="both"/>
        <w:spacing w:line="360" w:lineRule="auto"/>
        <w:rPr>
          <w:rFonts w:ascii="Times New Roman" w:cs="Times New Roman" w:hAnsi="Times New Roman"/>
          <w:sz w:val="24"/>
        </w:rPr>
      </w:pPr>
      <w:r w:rsidRPr="00135BAA">
        <w:rPr>
          <w:rFonts w:ascii="Times New Roman" w:cs="Times New Roman" w:hAnsi="Times New Roman"/>
          <w:sz w:val="24"/>
        </w:rPr>
        <w:t xml:space="preserve">The processes of social and labour relations are a crucial but often under-rated element of success of Ford in the long run. The automotive industry is facing a serious talent deficit: according to a recent survey conducted by ManpowerGroup, 81 </w:t>
      </w:r>
      <w:r w:rsidR="005662C9">
        <w:rPr>
          <w:rFonts w:ascii="Times New Roman" w:cs="Times New Roman" w:hAnsi="Times New Roman"/>
          <w:sz w:val="24"/>
        </w:rPr>
        <w:t>%</w:t>
      </w:r>
      <w:r w:rsidRPr="00135BAA">
        <w:rPr>
          <w:rFonts w:ascii="Times New Roman" w:cs="Times New Roman" w:hAnsi="Times New Roman"/>
          <w:sz w:val="24"/>
        </w:rPr>
        <w:t>of employers within the Mexican automotive industry claim they will struggle to find the demanded talent by 2026, which is the highest rate of such employers per industry (</w:t>
      </w:r>
      <w:proofErr w:type="spellStart"/>
      <w:r w:rsidRPr="00135BAA">
        <w:rPr>
          <w:rFonts w:ascii="Times New Roman" w:cs="Times New Roman" w:hAnsi="Times New Roman"/>
          <w:sz w:val="24"/>
        </w:rPr>
        <w:t>Milenio</w:t>
      </w:r>
      <w:proofErr w:type="spellEnd"/>
      <w:r w:rsidRPr="00135BAA">
        <w:rPr>
          <w:rFonts w:ascii="Times New Roman" w:cs="Times New Roman" w:hAnsi="Times New Roman"/>
          <w:sz w:val="24"/>
        </w:rPr>
        <w:t>, 2026). This shortage is especially acute in location of key areas important to the future of Ford like AI model development, data analytics and high-tech manufacturing operations (</w:t>
      </w:r>
      <w:proofErr w:type="spellStart"/>
      <w:r w:rsidRPr="00135BAA">
        <w:rPr>
          <w:rFonts w:ascii="Times New Roman" w:cs="Times New Roman" w:hAnsi="Times New Roman"/>
          <w:sz w:val="24"/>
        </w:rPr>
        <w:t>Milenio</w:t>
      </w:r>
      <w:proofErr w:type="spellEnd"/>
      <w:r w:rsidRPr="00135BAA">
        <w:rPr>
          <w:rFonts w:ascii="Times New Roman" w:cs="Times New Roman" w:hAnsi="Times New Roman"/>
          <w:sz w:val="24"/>
        </w:rPr>
        <w:t>, 2026). This skills gap is a threat to the ability of Ford to man the production lines of the advanced manufacturing capabilities and move towards more software-defined and electric-based vehicles. Even the composition of the workforce is changing. According to anthropological studies, there exist</w:t>
      </w:r>
      <w:r w:rsidR="00750E15">
        <w:rPr>
          <w:rFonts w:ascii="Times New Roman" w:cs="Times New Roman" w:hAnsi="Times New Roman"/>
          <w:sz w:val="24"/>
        </w:rPr>
        <w:t>s</w:t>
      </w:r>
      <w:r w:rsidRPr="00135BAA">
        <w:rPr>
          <w:rFonts w:ascii="Times New Roman" w:cs="Times New Roman" w:hAnsi="Times New Roman"/>
          <w:sz w:val="24"/>
        </w:rPr>
        <w:t xml:space="preserve"> what can be called tiered labo</w:t>
      </w:r>
      <w:r w:rsidR="00750E15">
        <w:rPr>
          <w:rFonts w:ascii="Times New Roman" w:cs="Times New Roman" w:hAnsi="Times New Roman"/>
          <w:sz w:val="24"/>
        </w:rPr>
        <w:t>u</w:t>
      </w:r>
      <w:r w:rsidRPr="00135BAA">
        <w:rPr>
          <w:rFonts w:ascii="Times New Roman" w:cs="Times New Roman" w:hAnsi="Times New Roman"/>
          <w:sz w:val="24"/>
        </w:rPr>
        <w:t xml:space="preserve">r system on Mexican assembly lines, where highly unionized, permanent autoworkers with longstanding protections are coexistent with more precarious, outsourced logistics workers (Gonzalez, 2024). This leads to a multi-layered social relationship at the factory floor where there is an imbalance of returns with </w:t>
      </w:r>
      <w:proofErr w:type="spellStart"/>
      <w:r w:rsidRPr="00135BAA">
        <w:rPr>
          <w:rFonts w:ascii="Times New Roman" w:cs="Times New Roman" w:hAnsi="Times New Roman"/>
          <w:sz w:val="24"/>
        </w:rPr>
        <w:t>favors</w:t>
      </w:r>
      <w:proofErr w:type="spellEnd"/>
      <w:r w:rsidRPr="00135BAA">
        <w:rPr>
          <w:rFonts w:ascii="Times New Roman" w:cs="Times New Roman" w:hAnsi="Times New Roman"/>
          <w:sz w:val="24"/>
        </w:rPr>
        <w:t xml:space="preserve"> that might impact the morale and labor relations (Gonzalez, 2024). In the case of Ford, the internal social structure is critical to the company to deal with external negotiations with unions, including the latest wage deal in Waldorf (Mexico Business News, 2026), as it helps the company remain stable in its operations and prevent disruptions. </w:t>
      </w:r>
    </w:p>
    <w:p w:rsidR="0093355E" w:rsidRDefault="0093355E" w14:paraId="2DC7FDFE"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Technological Factors</w:t>
      </w:r>
    </w:p>
    <w:p w:rsidR="0093355E" w:rsidRDefault="00A96F8A" w14:paraId="6C67C83F" w14:textId="77777777" w:rsidP="0093355E"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Mexico has its opportunities and challenges to Ford technologically. The central point of the electric vehicle (EV) and advanced vehicle strategy of Ford is the country, as it manufactures the Mustang Mach-E and later models, including the Maverick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The overall Mexican industry is shifting towards </w:t>
      </w:r>
      <w:proofErr w:type="spellStart"/>
      <w:r w:rsidRPr="00135BAA">
        <w:rPr>
          <w:rFonts w:ascii="Times New Roman" w:cs="Times New Roman" w:hAnsi="Times New Roman"/>
          <w:sz w:val="24"/>
        </w:rPr>
        <w:t>electromobility</w:t>
      </w:r>
      <w:proofErr w:type="spellEnd"/>
      <w:r w:rsidRPr="00135BAA">
        <w:rPr>
          <w:rFonts w:ascii="Times New Roman" w:cs="Times New Roman" w:hAnsi="Times New Roman"/>
          <w:sz w:val="24"/>
        </w:rPr>
        <w:t xml:space="preserve">, and the sales of EVs and hybrids are projected to be 9.5 per cent. of the market in 2025, the highest share in history, and over 200,000 of the electric vehicles will be produced in 2024 (Mexico Business News, 2026a;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This provides a developing, but still small, local market and a developing ecosystem of more than 170 providers of </w:t>
      </w:r>
      <w:proofErr w:type="spellStart"/>
      <w:r w:rsidRPr="00135BAA">
        <w:rPr>
          <w:rFonts w:ascii="Times New Roman" w:cs="Times New Roman" w:hAnsi="Times New Roman"/>
          <w:sz w:val="24"/>
        </w:rPr>
        <w:t>electromobility</w:t>
      </w:r>
      <w:proofErr w:type="spellEnd"/>
      <w:r w:rsidRPr="00135BAA">
        <w:rPr>
          <w:rFonts w:ascii="Times New Roman" w:cs="Times New Roman" w:hAnsi="Times New Roman"/>
          <w:sz w:val="24"/>
        </w:rPr>
        <w:t xml:space="preserve"> components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However, Ford is facing technological shocks. The worldwide market is evolving to software-defined vehicles (SDVs), which require significant investments into the research and development of the connectivity, autonomous driving, and over-the-air upgrades (S&amp;P Global Mobility, 2022). Lately, the developments by Ford in accordance with this world need are reflected in their announcement of a 48 volt electrical architecture and a new Universal Electric Vehicle (UEV) (Ford, 2026). It is a daunting task to incorporate these new technologies in its Mexico facilities and to have its local employees have the necessary skills. Besides, the sluggish growth in the adoption of BEVs worldwide, where the market share forecasts have been lowered by 12 points, creates strategic uncertainty (Lazard and Roland Berger, 2025). Ford has to juggle its EV investments in Mexico and remain profitable in the manufacture of internal combustion engine cars and hybrid vehicles which is a complex and costly </w:t>
      </w:r>
      <w:r w:rsidR="0093355E" w:rsidRPr="00135BAA">
        <w:rPr>
          <w:lang w:val="en-US"/>
          <w:rFonts w:ascii="Times New Roman" w:cs="Times New Roman" w:hAnsi="Times New Roman"/>
          <w:sz w:val="24"/>
        </w:rPr>
        <w:t>dual strategy.</w:t>
      </w:r>
    </w:p>
    <w:p w:rsidR="0093355E" w:rsidRDefault="0093355E" w14:paraId="647A03F5"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Legal Factors</w:t>
      </w:r>
    </w:p>
    <w:p w:rsidR="00FC0E5F" w:rsidRDefault="00E177F8" w14:paraId="37F6BD93" w14:textId="77777777" w:rsidP="0093355E">
      <w:pPr>
        <w:jc w:val="both"/>
        <w:spacing w:line="360" w:lineRule="auto"/>
        <w:rPr>
          <w:rFonts w:ascii="Times New Roman" w:cs="Times New Roman" w:hAnsi="Times New Roman"/>
          <w:sz w:val="24"/>
        </w:rPr>
      </w:pPr>
      <w:r w:rsidRPr="00135BAA">
        <w:rPr>
          <w:rFonts w:ascii="Times New Roman" w:cs="Times New Roman" w:hAnsi="Times New Roman"/>
          <w:sz w:val="24"/>
        </w:rPr>
        <w:t xml:space="preserve">The legal and regulatory environment is taken over by the United StatesMexicoCanada Agreement (USMCA) and enforcement regimes. In the case of Ford Motor Company, it is an essential reality of operations to comply with the strict rules of origin set out in the agreement. The agreement binds a high regional value content, and there are special conditions of core parts and a Labor Value Content (LVC) requirement, according to which a predestined part of the value of a vehicle should be manufactured in the facilities with payment of at least 16 dollars per hour (U.S. Customs and Border Protection, 2025). Mexican business operations of Ford should be thus carefully documented and certified as being compliant with a certification format including at least nine minimum data elements, in which case, any certification form is considered acceptable by regulators (U.S. Customs and Border Protection, 2025). Failure to comply will mean paying tariffs on vehicles exported in the United States, thus bending the cost benefit of producing in Mexico. The USMCA review in the near future in 2026 has the greatest legal uncertainty to the industry. Experts in the industry expect possible changes in the 75 </w:t>
      </w:r>
      <w:r w:rsidR="005662C9">
        <w:rPr>
          <w:rFonts w:ascii="Times New Roman" w:cs="Times New Roman" w:hAnsi="Times New Roman"/>
          <w:sz w:val="24"/>
        </w:rPr>
        <w:t>%</w:t>
      </w:r>
      <w:r w:rsidRPr="00135BAA">
        <w:rPr>
          <w:rFonts w:ascii="Times New Roman" w:cs="Times New Roman" w:hAnsi="Times New Roman"/>
          <w:sz w:val="24"/>
        </w:rPr>
        <w:t xml:space="preserve">rules of origin, whereby the requirements might be stricter or the amount of traceable parts may also be expanded (Mexico Business News, 2026). This recalibration may force Ford to reorganize its sourcing policies in North America and possibly move its supply chains off the cheap Asian inputs towards the expensive North American ones with the resulting effects on its profitability. </w:t>
      </w:r>
    </w:p>
    <w:p w:rsidR="0093355E" w:rsidRDefault="0093355E" w14:paraId="0FD375A4" w14:textId="77777777" w:rsidP="0093355E"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Environmental Factors</w:t>
      </w:r>
    </w:p>
    <w:p w:rsidR="0093355E" w:rsidRDefault="009F6B74" w14:paraId="3E54C1C3" w14:textId="77777777" w:rsidP="0093355E"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 xml:space="preserve">Ford is also undergoing a radical change in its investment calculus due to environmental pressures. The </w:t>
      </w:r>
      <w:proofErr w:type="spellStart"/>
      <w:r w:rsidRPr="00135BAA">
        <w:rPr>
          <w:rFonts w:ascii="Times New Roman" w:cs="Times New Roman" w:hAnsi="Times New Roman"/>
          <w:sz w:val="24"/>
        </w:rPr>
        <w:t>Olinia</w:t>
      </w:r>
      <w:proofErr w:type="spellEnd"/>
      <w:r w:rsidRPr="00135BAA">
        <w:rPr>
          <w:rFonts w:ascii="Times New Roman" w:cs="Times New Roman" w:hAnsi="Times New Roman"/>
          <w:sz w:val="24"/>
        </w:rPr>
        <w:t xml:space="preserve"> electric vehicle project of Mexican federal government, which is designed to support the creation of domestic EVs as the urban mobility tool, indicates a national strategic interest in electrifying, which might create new possibilities in partnership or competition (Mexico Business News, 2026). What is more important though is the regulatory difference between the major markets of Ford. In the United States, EV demand has slowed as the federal EV support provided under the previous administration, such as the expiration of the $7,500 federal tax credit, has been withdrawn, and Ford has reported a 19.5 billion accounting charge based on model cancelations and new EV pl</w:t>
      </w:r>
      <w:r w:rsidR="00750E15">
        <w:rPr>
          <w:rFonts w:ascii="Times New Roman" w:cs="Times New Roman" w:hAnsi="Times New Roman"/>
          <w:sz w:val="24"/>
        </w:rPr>
        <w:t>ans (Mexico Business News, 2026</w:t>
      </w:r>
      <w:r w:rsidRPr="00135BAA">
        <w:rPr>
          <w:rFonts w:ascii="Times New Roman" w:cs="Times New Roman" w:hAnsi="Times New Roman"/>
          <w:sz w:val="24"/>
        </w:rPr>
        <w:t xml:space="preserve">). This nullifies the reason behind the production of EVs, including the Mustang Mach-E, in Mexico and exporting them directly to the U.S. market. Other markets, on the other hand, are changing with regards to environmental regulations. The recommendation of the European commission to relax its 2035 ICE ban to accept hybrids is a new direction that may justify the Ford approach of making hybrids in Mexico at the same time as it makes </w:t>
      </w:r>
      <w:r w:rsidR="00750E15">
        <w:rPr>
          <w:rFonts w:ascii="Times New Roman" w:cs="Times New Roman" w:hAnsi="Times New Roman"/>
          <w:sz w:val="24"/>
        </w:rPr>
        <w:t>EVs (Mexico Business News, 2026</w:t>
      </w:r>
      <w:r w:rsidRPr="00135BAA">
        <w:rPr>
          <w:rFonts w:ascii="Times New Roman" w:cs="Times New Roman" w:hAnsi="Times New Roman"/>
          <w:sz w:val="24"/>
        </w:rPr>
        <w:t xml:space="preserve">). In Mexico, there is an increasing trend of environmental laws and consumer demands in terms of sustainability. The increased attention to the carbon intensity of the energy grid and the trend toward less polluting manufacturing processes will require the Ford company to invest in on-site generation of renewable energy, especially with new so-called </w:t>
      </w:r>
      <w:proofErr w:type="spellStart"/>
      <w:r w:rsidRPr="00135BAA">
        <w:rPr>
          <w:rFonts w:ascii="Times New Roman" w:cs="Times New Roman" w:hAnsi="Times New Roman"/>
          <w:sz w:val="24"/>
        </w:rPr>
        <w:t>Generador</w:t>
      </w:r>
      <w:proofErr w:type="spellEnd"/>
      <w:r w:rsidRPr="00135BAA">
        <w:rPr>
          <w:rFonts w:ascii="Times New Roman" w:cs="Times New Roman" w:hAnsi="Times New Roman"/>
          <w:sz w:val="24"/>
        </w:rPr>
        <w:t xml:space="preserve"> </w:t>
      </w:r>
      <w:proofErr w:type="spellStart"/>
      <w:r w:rsidRPr="00135BAA">
        <w:rPr>
          <w:rFonts w:ascii="Times New Roman" w:cs="Times New Roman" w:hAnsi="Times New Roman"/>
          <w:sz w:val="24"/>
        </w:rPr>
        <w:t>Exento</w:t>
      </w:r>
      <w:proofErr w:type="spellEnd"/>
      <w:r w:rsidRPr="00135BAA">
        <w:rPr>
          <w:rFonts w:ascii="Times New Roman" w:cs="Times New Roman" w:hAnsi="Times New Roman"/>
          <w:sz w:val="24"/>
        </w:rPr>
        <w:t xml:space="preserve"> category which will allow much larger solar farms (Acclaim Energy, 2026). Balancing these contrasting and changing environmental needs on the platform of the North American environment of Ford is a big strategic challenge</w:t>
      </w:r>
      <w:r w:rsidR="0093355E" w:rsidRPr="00135BAA">
        <w:rPr>
          <w:lang w:val="en-US"/>
          <w:rFonts w:ascii="Times New Roman" w:cs="Times New Roman" w:hAnsi="Times New Roman"/>
          <w:sz w:val="24"/>
        </w:rPr>
        <w:t>.</w:t>
      </w:r>
    </w:p>
    <w:p w:rsidR="0093355E" w:rsidRDefault="009F6B74" w14:paraId="549A1D9F" w14:textId="77777777" w:rsidP="0093355E"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 xml:space="preserve">The key to Ford winning in Mexico is to overcome the so-called </w:t>
      </w:r>
      <w:proofErr w:type="spellStart"/>
      <w:r w:rsidRPr="00135BAA">
        <w:rPr>
          <w:rFonts w:ascii="Times New Roman" w:cs="Times New Roman" w:hAnsi="Times New Roman"/>
          <w:sz w:val="24"/>
        </w:rPr>
        <w:t>stagformation</w:t>
      </w:r>
      <w:proofErr w:type="spellEnd"/>
      <w:r w:rsidRPr="00135BAA">
        <w:rPr>
          <w:rFonts w:ascii="Times New Roman" w:cs="Times New Roman" w:hAnsi="Times New Roman"/>
          <w:sz w:val="24"/>
        </w:rPr>
        <w:t>, which is a combination of high strengths along with a threat of uncertainty of the USMCA, economic pressures, lack of talent, and technological change (Lazard and Roland Berger, 2025). To survive in this unstable web of political, operational, and environmental influences, it is necessary to be able to respond strategically</w:t>
      </w:r>
      <w:r w:rsidR="0093355E" w:rsidRPr="00135BAA">
        <w:rPr>
          <w:rFonts w:ascii="Times New Roman" w:cs="Times New Roman" w:hAnsi="Times New Roman"/>
          <w:sz w:val="24"/>
        </w:rPr>
        <w:t>.</w:t>
      </w:r>
    </w:p>
    <w:p w:rsidR="005468AC" w:rsidRDefault="00B701B4" w14:paraId="376F370D" w14:textId="77777777" w:rsidP="00302FC3" w:rsidRPr="00135BAA">
      <w:pPr>
        <w:pStyle w:val="Heading1"/>
      </w:pPr>
      <w:bookmarkStart w:id="8" w:name="_Toc224662504"/>
      <w:r>
        <w:t xml:space="preserve">5. </w:t>
      </w:r>
      <w:r w:rsidR="005468AC" w:rsidRPr="00135BAA">
        <w:t>Conclusion</w:t>
      </w:r>
      <w:bookmarkEnd w:id="8"/>
      <w:r w:rsidR="005468AC" w:rsidRPr="00135BAA">
        <w:t xml:space="preserve"> </w:t>
      </w:r>
    </w:p>
    <w:p w:rsidR="00F65051" w:rsidRDefault="009F6B74" w14:paraId="409FC2D7" w14:textId="77777777" w:rsidP="00F65051" w:rsidRPr="00135BAA">
      <w:pPr>
        <w:jc w:val="both"/>
        <w:spacing w:line="360" w:lineRule="auto"/>
        <w:tabs>
          <w:tab w:val="left" w:pos="5640"/>
        </w:tabs>
        <w:rPr>
          <w:lang w:val="en-US"/>
          <w:rFonts w:ascii="Times New Roman" w:cs="Times New Roman" w:hAnsi="Times New Roman"/>
          <w:sz w:val="24"/>
        </w:rPr>
      </w:pPr>
      <w:r w:rsidRPr="00135BAA">
        <w:rPr>
          <w:rFonts w:ascii="Times New Roman" w:cs="Times New Roman" w:hAnsi="Times New Roman"/>
          <w:sz w:val="24"/>
        </w:rPr>
        <w:t xml:space="preserve">The Mexican automotive sector in 2026 is at a crossroad, being both full of opportunities and full of challenges, which define the global </w:t>
      </w:r>
      <w:proofErr w:type="spellStart"/>
      <w:r w:rsidRPr="00135BAA">
        <w:rPr>
          <w:rFonts w:ascii="Times New Roman" w:cs="Times New Roman" w:hAnsi="Times New Roman"/>
          <w:sz w:val="24"/>
        </w:rPr>
        <w:t>stagformation</w:t>
      </w:r>
      <w:proofErr w:type="spellEnd"/>
      <w:r w:rsidRPr="00135BAA">
        <w:rPr>
          <w:rFonts w:ascii="Times New Roman" w:cs="Times New Roman" w:hAnsi="Times New Roman"/>
          <w:sz w:val="24"/>
        </w:rPr>
        <w:t xml:space="preserve"> (Lazard and Roland Berger, 2025). The high level of USMCA integration, proximity to the US market, and advanced industrial complexes is the foundation of Mexico being the seventh-largest manufacturer of light vehicles and the fourth-largest manufacturer of automotive parts globally (Instituto Nacional de </w:t>
      </w:r>
      <w:proofErr w:type="spellStart"/>
      <w:r w:rsidRPr="00135BAA">
        <w:rPr>
          <w:rFonts w:ascii="Times New Roman" w:cs="Times New Roman" w:hAnsi="Times New Roman"/>
          <w:sz w:val="24"/>
        </w:rPr>
        <w:t>Aeronáutica</w:t>
      </w:r>
      <w:proofErr w:type="spellEnd"/>
      <w:r w:rsidRPr="00135BAA">
        <w:rPr>
          <w:rFonts w:ascii="Times New Roman" w:cs="Times New Roman" w:hAnsi="Times New Roman"/>
          <w:sz w:val="24"/>
        </w:rPr>
        <w:t xml:space="preserve">, 2024; International Trade Administration, 2026). The industry is also generating more than 2.1million employment, contributing 4.7% of the national GDP, and realized record light vehicle export revenues of $104.8billion (Instituto Nacional de </w:t>
      </w:r>
      <w:proofErr w:type="spellStart"/>
      <w:r w:rsidRPr="00135BAA">
        <w:rPr>
          <w:rFonts w:ascii="Times New Roman" w:cs="Times New Roman" w:hAnsi="Times New Roman"/>
          <w:sz w:val="24"/>
        </w:rPr>
        <w:t>Aeronáutica</w:t>
      </w:r>
      <w:proofErr w:type="spellEnd"/>
      <w:r w:rsidRPr="00135BAA">
        <w:rPr>
          <w:rFonts w:ascii="Times New Roman" w:cs="Times New Roman" w:hAnsi="Times New Roman"/>
          <w:sz w:val="24"/>
        </w:rPr>
        <w:t xml:space="preserve">, 2024; International Trade Administration, 2026). Nevertheless, based on the Diamond analysis by Porter, conventional cost advantages are no longer sufficient in light of rising pressure in the need of sophisticated software functionality, electrification skills, and resilience in the supply-chain (S&amp;P Global Mobility, 2022; Lazard and Roland Berger, 2025). The operations of Ford show how long-standing participants have to manoeuvre in a political environment of uncertainty about the 2026 USMCA review, economic strains due to energy shortages, and talent shortage that affects 81 </w:t>
      </w:r>
      <w:r w:rsidR="005662C9">
        <w:rPr>
          <w:rFonts w:ascii="Times New Roman" w:cs="Times New Roman" w:hAnsi="Times New Roman"/>
          <w:sz w:val="24"/>
        </w:rPr>
        <w:t>%</w:t>
      </w:r>
      <w:r w:rsidRPr="00135BAA">
        <w:rPr>
          <w:rFonts w:ascii="Times New Roman" w:cs="Times New Roman" w:hAnsi="Times New Roman"/>
          <w:sz w:val="24"/>
        </w:rPr>
        <w:t xml:space="preserve">of employers (Mexico Business News, 2026a; </w:t>
      </w:r>
      <w:proofErr w:type="spellStart"/>
      <w:r w:rsidRPr="00135BAA">
        <w:rPr>
          <w:rFonts w:ascii="Times New Roman" w:cs="Times New Roman" w:hAnsi="Times New Roman"/>
          <w:sz w:val="24"/>
        </w:rPr>
        <w:t>Milenio</w:t>
      </w:r>
      <w:proofErr w:type="spellEnd"/>
      <w:r w:rsidRPr="00135BAA">
        <w:rPr>
          <w:rFonts w:ascii="Times New Roman" w:cs="Times New Roman" w:hAnsi="Times New Roman"/>
          <w:sz w:val="24"/>
        </w:rPr>
        <w:t xml:space="preserve">, 2026; Acclaim Energy, 2026). The </w:t>
      </w:r>
      <w:proofErr w:type="spellStart"/>
      <w:r w:rsidRPr="00135BAA">
        <w:rPr>
          <w:rFonts w:ascii="Times New Roman" w:cs="Times New Roman" w:hAnsi="Times New Roman"/>
          <w:sz w:val="24"/>
        </w:rPr>
        <w:t>electromobility</w:t>
      </w:r>
      <w:proofErr w:type="spellEnd"/>
      <w:r w:rsidRPr="00135BAA">
        <w:rPr>
          <w:rFonts w:ascii="Times New Roman" w:cs="Times New Roman" w:hAnsi="Times New Roman"/>
          <w:sz w:val="24"/>
        </w:rPr>
        <w:t xml:space="preserve"> transformation in the industry shows adaptability as the sales of EVs and hybrids already hit 9.5 percent of the domestic market and more than 200,000 EVs were manufactured in 2024 (Mexico Business News, 2026a;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However, actual or perceived global capacity of 111 million units by the year 2030 coupled with the growing Chinese competitive pressure requires all stakeholders to be strategic (Lazard and Roland Berger, 2025). </w:t>
      </w:r>
    </w:p>
    <w:p w:rsidR="002E55AA" w:rsidRDefault="002E55AA" w14:paraId="4C029922" w14:textId="77777777" w:rsidP="002A0AF7" w:rsidRPr="00135BAA">
      <w:pPr>
        <w:tabs>
          <w:tab w:val="left" w:pos="5640"/>
        </w:tabs>
        <w:rPr>
          <w:rFonts w:ascii="Times New Roman" w:cs="Times New Roman" w:hAnsi="Times New Roman"/>
          <w:sz w:val="24"/>
        </w:rPr>
      </w:pPr>
      <w:r>
        <w:rPr>
          <w:rFonts w:ascii="Times New Roman" w:cs="Times New Roman" w:hAnsi="Times New Roman"/>
          <w:sz w:val="24"/>
        </w:rPr>
        <w:br w:type="page"/>
      </w:r>
    </w:p>
    <w:p w:rsidR="002E55AA" w:rsidRDefault="002E55AA" w14:paraId="1AB97DD4" w14:textId="77777777" w:rsidP="00DB3380" w:rsidRPr="00135BAA">
      <w:pPr>
        <w:pStyle w:val="Heading1"/>
        <w:rPr>
          <w:lang w:val="en-US"/>
        </w:rPr>
      </w:pPr>
      <w:bookmarkStart w:id="9" w:name="_Toc224662505"/>
      <w:r w:rsidRPr="00135BAA">
        <w:rPr>
          <w:lang w:val="en-US"/>
        </w:rPr>
        <w:t>Section 2: Reflective Account of the Research and Analysis Process</w:t>
      </w:r>
      <w:bookmarkEnd w:id="9"/>
    </w:p>
    <w:p w:rsidR="00F65051" w:rsidRDefault="009F6B74" w14:paraId="591CE4A3" w14:textId="77777777" w:rsidP="00F65051"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 xml:space="preserve">In this reflective account, the </w:t>
      </w:r>
      <w:r w:rsidRPr="00B701B4">
        <w:rPr>
          <w:b/>
          <w:i/>
          <w:rFonts w:ascii="Times New Roman" w:cs="Times New Roman" w:hAnsi="Times New Roman"/>
          <w:sz w:val="24"/>
        </w:rPr>
        <w:t>Gibbs Reflective Cycle (1988)</w:t>
      </w:r>
      <w:r w:rsidRPr="00135BAA">
        <w:rPr>
          <w:rFonts w:ascii="Times New Roman" w:cs="Times New Roman" w:hAnsi="Times New Roman"/>
          <w:sz w:val="24"/>
        </w:rPr>
        <w:t xml:space="preserve"> has been critically used to reflect on the research and analysis process of the Mexican automotive industry done to write thi</w:t>
      </w:r>
      <w:r w:rsidR="00A60F97" w:rsidRPr="00135BAA">
        <w:rPr>
          <w:rFonts w:ascii="Times New Roman" w:cs="Times New Roman" w:hAnsi="Times New Roman"/>
          <w:sz w:val="24"/>
        </w:rPr>
        <w:t>s international business report</w:t>
      </w:r>
      <w:r w:rsidR="00F65051" w:rsidRPr="00135BAA">
        <w:rPr>
          <w:lang w:val="en-US"/>
          <w:rFonts w:ascii="Times New Roman" w:cs="Times New Roman" w:hAnsi="Times New Roman"/>
          <w:sz w:val="24"/>
        </w:rPr>
        <w:t>.</w:t>
      </w:r>
    </w:p>
    <w:p w:rsidR="00F65051" w:rsidRDefault="00F65051" w14:paraId="447C2B03" w14:textId="77777777" w:rsidP="00F65051"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Description</w:t>
      </w:r>
    </w:p>
    <w:p w:rsidR="00F65051" w:rsidRDefault="009F6B74" w14:paraId="6A8AFE36" w14:textId="77777777" w:rsidP="00F65051" w:rsidRPr="00135BAA">
      <w:pPr>
        <w:jc w:val="both"/>
        <w:spacing w:line="360" w:lineRule="auto"/>
        <w:rPr>
          <w:lang w:val="en-US"/>
          <w:rFonts w:ascii="Times New Roman" w:cs="Times New Roman" w:hAnsi="Times New Roman"/>
          <w:sz w:val="24"/>
        </w:rPr>
      </w:pPr>
      <w:r w:rsidRPr="00135BAA">
        <w:rPr>
          <w:rFonts w:ascii="Times New Roman" w:cs="Times New Roman" w:hAnsi="Times New Roman"/>
          <w:sz w:val="24"/>
        </w:rPr>
        <w:t xml:space="preserve">It was then noted that the research process started with the collection and analysis of 28 different sources, namely official governmental publications of the International Trade Administration (2026), association reports of the industry of the Instituto Nacional de </w:t>
      </w:r>
      <w:proofErr w:type="spellStart"/>
      <w:r w:rsidRPr="00135BAA">
        <w:rPr>
          <w:rFonts w:ascii="Times New Roman" w:cs="Times New Roman" w:hAnsi="Times New Roman"/>
          <w:sz w:val="24"/>
        </w:rPr>
        <w:t>Aeronautica</w:t>
      </w:r>
      <w:proofErr w:type="spellEnd"/>
      <w:r w:rsidRPr="00135BAA">
        <w:rPr>
          <w:rFonts w:ascii="Times New Roman" w:cs="Times New Roman" w:hAnsi="Times New Roman"/>
          <w:sz w:val="24"/>
        </w:rPr>
        <w:t xml:space="preserve"> (2024), analyses of consulting firms of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and Lazard &amp; Roland Berger (2025), and market intelligence of the S&amp;P Global Mobility (2022). It aimed to create a formal international business report that will assess the competitiveness of the automotive market of Mexico, and a special purpose of applying the Diamond Model of Porter and critically evaluating the operations of the Ford Motor Company in the context of the PESTLE model. The study entailed the synthesis of quantitative information, such as production statistics, export data, and employment data with qualitative data analysis of the industry trends, competition analysis, and geopolitical analysis. One of the challenges was the access to two sources of UNIDO and ResearchGate that gave 403 error and, therefore, had to be modified and use materials that have been found successfully</w:t>
      </w:r>
      <w:r w:rsidR="00F65051" w:rsidRPr="00135BAA">
        <w:rPr>
          <w:lang w:val="en-US"/>
          <w:rFonts w:ascii="Times New Roman" w:cs="Times New Roman" w:hAnsi="Times New Roman"/>
          <w:sz w:val="24"/>
        </w:rPr>
        <w:t>.</w:t>
      </w:r>
    </w:p>
    <w:p w:rsidR="00F65051" w:rsidRDefault="00F65051" w14:paraId="71473B93" w14:textId="77777777" w:rsidP="00F65051"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Feelings</w:t>
      </w:r>
    </w:p>
    <w:p w:rsidR="00135BAA" w:rsidRDefault="00082DC0" w14:paraId="54C56E10" w14:textId="77777777" w:rsidP="00F65051" w:rsidRPr="00135BAA">
      <w:pPr>
        <w:jc w:val="both"/>
        <w:spacing w:line="360" w:lineRule="auto"/>
        <w:rPr>
          <w:rFonts w:ascii="Times New Roman" w:cs="Times New Roman" w:hAnsi="Times New Roman"/>
          <w:sz w:val="24"/>
        </w:rPr>
      </w:pPr>
      <w:r w:rsidRPr="00135BAA">
        <w:rPr>
          <w:rFonts w:ascii="Times New Roman" w:cs="Times New Roman" w:hAnsi="Times New Roman"/>
          <w:sz w:val="24"/>
        </w:rPr>
        <w:t>First, the huge amount of information that was available and the complexity of the global supply chains of the automotive industry overwhelmed the researcher. The 28 sources yielded a lot of data albeit contradicting in some cases, causing anxiety over how to synthesise information well and at the same time, be scholarly</w:t>
      </w:r>
      <w:r w:rsidR="00F65051" w:rsidRPr="00135BAA">
        <w:rPr>
          <w:lang w:val="en-US"/>
          <w:rFonts w:ascii="Times New Roman" w:cs="Times New Roman" w:hAnsi="Times New Roman"/>
          <w:sz w:val="24"/>
        </w:rPr>
        <w:t xml:space="preserve">. </w:t>
      </w:r>
      <w:r w:rsidR="0020045B" w:rsidRPr="00135BAA">
        <w:rPr>
          <w:rFonts w:ascii="Times New Roman" w:cs="Times New Roman" w:hAnsi="Times New Roman"/>
          <w:sz w:val="24"/>
        </w:rPr>
        <w:t xml:space="preserve">And when facing the 403 errors which obstructed the access to the UNIDO and ResearchGate documents, I felt frustrated and worried about possible gaps in my theoretical background. On the other hand, the ability to find the relevant insights in the S&amp;P Global Mobility (2022) and Lazard and Roland Berger (2025) documents, which included complex industry forecasts and financial analyses, boosted the belief in my ability to derive relevant insights. </w:t>
      </w:r>
    </w:p>
    <w:p w:rsidR="00F65051" w:rsidRDefault="00F65051" w14:paraId="351C38CD" w14:textId="77777777" w:rsidP="00F65051"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Evaluation</w:t>
      </w:r>
    </w:p>
    <w:p w:rsidR="00A60F97" w:rsidRDefault="0020045B" w14:paraId="16BBD3E9" w14:textId="77777777" w:rsidP="00F65051" w:rsidRPr="00135BAA">
      <w:pPr>
        <w:jc w:val="both"/>
        <w:spacing w:line="360" w:lineRule="auto"/>
        <w:rPr>
          <w:rFonts w:ascii="Times New Roman" w:cs="Times New Roman" w:hAnsi="Times New Roman"/>
          <w:sz w:val="24"/>
        </w:rPr>
      </w:pPr>
      <w:r w:rsidRPr="00135BAA">
        <w:rPr>
          <w:rFonts w:ascii="Times New Roman" w:cs="Times New Roman" w:hAnsi="Times New Roman"/>
          <w:sz w:val="24"/>
        </w:rPr>
        <w:t>There are a number of positive results that the research process brought about. Triangulation was achieved by the diverse base of sources, including U.S. government data on trade (International Trade Administration, 2026), Mexican statistical institute publications (INA, 2024) and global consulting analyses (Lazard and Roland Berger, 2025), which made it more credible. The Lazard and Roland Berger (2025) work was particularly useful; it has introduced the concept of stag</w:t>
      </w:r>
      <w:r w:rsidR="00A232B4">
        <w:rPr>
          <w:rFonts w:ascii="Times New Roman" w:cs="Times New Roman" w:hAnsi="Times New Roman"/>
          <w:sz w:val="24"/>
        </w:rPr>
        <w:t>e-</w:t>
      </w:r>
      <w:r w:rsidRPr="00135BAA">
        <w:rPr>
          <w:rFonts w:ascii="Times New Roman" w:cs="Times New Roman" w:hAnsi="Times New Roman"/>
          <w:sz w:val="24"/>
        </w:rPr>
        <w:t xml:space="preserve">formation, which appropriately explained the industry in the dynamic of paradoxical stagnation-transformation. Using the Porters Diamond on Mexico, it could be seen that the old factor advantage is being redefined by the technological discontinuity, which the S&amp;P Global Mobility (2022) covered with its focus on software-defined vehicles and high-tech manufacturing needs. Nevertheless, some negative sides appeared. The 403 false alarms accessing academic sources restricted access to the potentially valuable theoretical point of view on global value chain. </w:t>
      </w:r>
    </w:p>
    <w:p w:rsidR="00F65051" w:rsidRDefault="00F65051" w14:paraId="3EBD5767" w14:textId="77777777" w:rsidP="00F65051"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Analysis</w:t>
      </w:r>
    </w:p>
    <w:p w:rsidR="00A60F97" w:rsidRDefault="0020045B" w14:paraId="00CEE862" w14:textId="77777777" w:rsidP="00F65051" w:rsidRPr="00135BAA">
      <w:pPr>
        <w:jc w:val="both"/>
        <w:spacing w:line="360" w:lineRule="auto"/>
        <w:rPr>
          <w:rFonts w:ascii="Times New Roman" w:cs="Times New Roman" w:hAnsi="Times New Roman"/>
          <w:sz w:val="24"/>
        </w:rPr>
      </w:pPr>
      <w:r w:rsidRPr="00135BAA">
        <w:rPr>
          <w:rFonts w:ascii="Times New Roman" w:cs="Times New Roman" w:hAnsi="Times New Roman"/>
          <w:sz w:val="24"/>
        </w:rPr>
        <w:t>A more in-depth examination of the research process shows that it was as complicated as the object of the study. The supply chains of the automotive industry are characterized by the supply chains in North America; and the interconnectedness of the supply chains which the International Trade Administration (2026) talks about as components crossing the borders up to a dozen times, is also the interconnectedness of the information sources necessary to know it. Similarly to how the Hermosillo plant of Ford relies on suppliers in different states (</w:t>
      </w:r>
      <w:proofErr w:type="spellStart"/>
      <w:r w:rsidRPr="00135BAA">
        <w:rPr>
          <w:rFonts w:ascii="Times New Roman" w:cs="Times New Roman" w:hAnsi="Times New Roman"/>
          <w:sz w:val="24"/>
        </w:rPr>
        <w:t>Prodensa</w:t>
      </w:r>
      <w:proofErr w:type="spellEnd"/>
      <w:r w:rsidRPr="00135BAA">
        <w:rPr>
          <w:rFonts w:ascii="Times New Roman" w:cs="Times New Roman" w:hAnsi="Times New Roman"/>
          <w:sz w:val="24"/>
        </w:rPr>
        <w:t xml:space="preserve">, 2024), my analysis relied on the synthesis of government, industry, and consulting views to create a comprehensive image. The challenge of accessing academic sources indicates a larger dilemma in international business research the conflict between practitioner-oriented, immediate, intelligence and theoretically-oriented scholarly research. Although commercially written, the Lazard and Roland Berger (2025) study had finished financial analysis of supplier profitability that could fall behind in the academic publications. </w:t>
      </w:r>
    </w:p>
    <w:p w:rsidR="00F65051" w:rsidRDefault="00F65051" w14:paraId="1CB5A28A" w14:textId="77777777" w:rsidP="00F65051"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Conclusion</w:t>
      </w:r>
    </w:p>
    <w:p w:rsidR="00135BAA" w:rsidRDefault="0020045B" w14:paraId="7F293EAE" w14:textId="77777777" w:rsidP="00F65051" w:rsidRPr="00135BAA">
      <w:pPr>
        <w:jc w:val="both"/>
        <w:spacing w:line="360" w:lineRule="auto"/>
        <w:rPr>
          <w:rFonts w:ascii="Times New Roman" w:cs="Times New Roman" w:hAnsi="Times New Roman"/>
          <w:sz w:val="24"/>
        </w:rPr>
      </w:pPr>
      <w:r w:rsidRPr="00135BAA">
        <w:rPr>
          <w:rFonts w:ascii="Times New Roman" w:cs="Times New Roman" w:hAnsi="Times New Roman"/>
          <w:sz w:val="24"/>
        </w:rPr>
        <w:t>A number of points were brought out in the research process. To start with, the adequate international business analysis should be methodologically triangulated, i.e., quantitative data supplied by such sources as INA (2024) must be supplemented with qualitative strategic analysis provided by consulting specialists (Lazard and Roland Berger, 2025) and the official guidance on trade (International Trade Administration, 2026). Second, the awareness of geopolitics cannot be analysed outside of industry analysis: the analysis of the activities of Ford in Mexico could not have been done without the analysis of USMCA negotiations, tariff policies, and labour relations and production statistics. Third, Porters Diamond and PESTLE as theoretical frameworks give the structure that is necessary but must be adapted to industry-specific situations, the concept of stag</w:t>
      </w:r>
      <w:r w:rsidR="00A232B4">
        <w:rPr>
          <w:rFonts w:ascii="Times New Roman" w:cs="Times New Roman" w:hAnsi="Times New Roman"/>
          <w:sz w:val="24"/>
        </w:rPr>
        <w:t>e-</w:t>
      </w:r>
      <w:r w:rsidRPr="00135BAA">
        <w:rPr>
          <w:rFonts w:ascii="Times New Roman" w:cs="Times New Roman" w:hAnsi="Times New Roman"/>
          <w:sz w:val="24"/>
        </w:rPr>
        <w:t xml:space="preserve">formation was a refinement that had to be made to generic competitive analysis (Lazard and Roland Berger, 2025). </w:t>
      </w:r>
    </w:p>
    <w:p w:rsidR="00F65051" w:rsidRDefault="00F65051" w14:paraId="6C56878A" w14:textId="77777777" w:rsidP="00F65051" w:rsidRPr="00135BAA">
      <w:pPr>
        <w:jc w:val="both"/>
        <w:spacing w:line="360" w:lineRule="auto"/>
        <w:rPr>
          <w:bCs/>
          <w:lang w:val="en-US"/>
          <w:b/>
          <w:rFonts w:ascii="Times New Roman" w:cs="Times New Roman" w:hAnsi="Times New Roman"/>
          <w:sz w:val="24"/>
        </w:rPr>
      </w:pPr>
      <w:r w:rsidRPr="00135BAA">
        <w:rPr>
          <w:bCs/>
          <w:lang w:val="en-US"/>
          <w:b/>
          <w:rFonts w:ascii="Times New Roman" w:cs="Times New Roman" w:hAnsi="Times New Roman"/>
          <w:sz w:val="24"/>
        </w:rPr>
        <w:t>Action Plan</w:t>
      </w:r>
    </w:p>
    <w:p w:rsidR="0020045B" w:rsidRDefault="0020045B" w14:paraId="4E9AB7FC" w14:textId="77777777" w:rsidP="00F65051" w:rsidRPr="00135BAA">
      <w:pPr>
        <w:jc w:val="both"/>
        <w:spacing w:line="360" w:lineRule="auto"/>
        <w:rPr>
          <w:rFonts w:ascii="Times New Roman" w:cs="Times New Roman" w:hAnsi="Times New Roman"/>
          <w:sz w:val="24"/>
        </w:rPr>
      </w:pPr>
      <w:r w:rsidRPr="00135BAA">
        <w:rPr>
          <w:rFonts w:ascii="Times New Roman" w:cs="Times New Roman" w:hAnsi="Times New Roman"/>
          <w:sz w:val="24"/>
        </w:rPr>
        <w:t xml:space="preserve">Using the experiential learning theory by Kolb (1984), which focuses on the concrete experience, reflecting observation, abstract conceptualisation and active experimentation cycle, I have come up with the following plan in my future international business research. I will start by creating a source evaluation matrix at the beginning of the project by classifying the material sources according to authority (government, industry, academic), currency and geographic perspective to have a balanced representation. Second, I will also reserve certain time to use the academic databases through institutional subscription, thus, minimizing the use of commercially available ones, which are often publicly available. Third, I will create a systematic strategy of tracking the geopolitical changes, and I will rely on Google Alerts to monitor the key words, like the USMCA review, Mexican investment in the automotive industry, etc. to complement the stagnant published materials. Lastly, I will train myself to apply various theoretical frameworks, including the Diamond of Porter, PESTLE and the Institutional Theory, to the same data related to the industry and thus, build flexibility of analytical perspective according to Gibbs (1988), which he believes is the key to deep learning. </w:t>
      </w:r>
    </w:p>
    <w:p w:rsidR="00F65051" w:rsidRDefault="0020045B" w14:paraId="20912C52" w14:textId="77777777" w:rsidP="00F65051" w:rsidRPr="00F65051">
      <w:pPr>
        <w:jc w:val="both"/>
        <w:spacing w:line="360" w:lineRule="auto"/>
        <w:rPr>
          <w:lang w:val="en-US"/>
          <w:rFonts w:ascii="Times New Roman" w:cs="Times New Roman" w:hAnsi="Times New Roman"/>
          <w:sz w:val="24"/>
        </w:rPr>
      </w:pPr>
      <w:r w:rsidRPr="00135BAA">
        <w:rPr>
          <w:rFonts w:ascii="Times New Roman" w:cs="Times New Roman" w:hAnsi="Times New Roman"/>
          <w:sz w:val="24"/>
        </w:rPr>
        <w:t>This reflection exercise has shown that the process of effective international business analysis cannot be conducted by only information collection, but by repeatedly subjecting the sources, frameworks and assumptions in the analysis procedure to critical analysis, and skills in critical analysis has been particularly honed during this assignment.</w:t>
      </w:r>
    </w:p>
    <w:p w:rsidR="00513965" w:rsidRDefault="00513965" w14:paraId="7C5DFD3C" w14:textId="77777777" w:rsidRPr="009225E6">
      <w:pPr>
        <w:rPr>
          <w:bCs/>
          <w:b/>
          <w:color w:val="2E74B5"/>
          <w:rFonts w:ascii="Times New Roman" w:cs="Times New Roman" w:hAnsi="Times New Roman" w:eastAsiaTheme="majorEastAsia"/>
          <w:sz w:val="28"/>
          <w:szCs w:val="28"/>
        </w:rPr>
      </w:pPr>
      <w:r>
        <w:rPr>
          <w:rFonts w:ascii="Times New Roman" w:cs="Times New Roman" w:hAnsi="Times New Roman"/>
        </w:rPr>
        <w:br w:type="page"/>
      </w:r>
    </w:p>
    <w:p w:rsidR="008E3138" w:rsidRDefault="004561EB" w14:paraId="3CC8D085" w14:textId="77777777" w:rsidP="000B5FFF" w:rsidRPr="009225E6">
      <w:pPr>
        <w:pStyle w:val="Heading1"/>
        <w:jc w:val="both"/>
        <w:rPr>
          <w:rFonts w:ascii="Times New Roman" w:cs="Times New Roman" w:hAnsi="Times New Roman"/>
        </w:rPr>
      </w:pPr>
      <w:bookmarkStart w:id="10" w:name="_Toc224662506"/>
      <w:r w:rsidRPr="009225E6">
        <w:rPr>
          <w:rFonts w:ascii="Times New Roman" w:cs="Times New Roman" w:hAnsi="Times New Roman"/>
        </w:rPr>
        <w:t>References</w:t>
      </w:r>
      <w:bookmarkEnd w:id="10"/>
    </w:p>
    <w:p w:rsidR="00EE2B00" w:rsidRDefault="00EE2B00" w14:paraId="7EF4638A" w14:textId="77777777" w:rsidP="00EE2B00" w:rsidRPr="004C2839">
      <w:pPr>
        <w:pStyle w:val="NormalWeb"/>
        <w:numPr>
          <w:ilvl w:val="0"/>
          <w:numId w:val="12"/>
        </w:numPr>
        <w:spacing w:before="0" w:beforeAutospacing="0" w:line="360" w:lineRule="auto"/>
        <w:tabs>
          <w:tab w:val="left" w:pos="1155"/>
        </w:tabs>
      </w:pPr>
      <w:r w:rsidRPr="004C2839">
        <w:t xml:space="preserve">Advantage Austria (n.d.) </w:t>
      </w:r>
      <w:r w:rsidRPr="004C2839">
        <w:rPr>
          <w:iCs/>
          <w:i/>
        </w:rPr>
        <w:t>Mexico’s automotive industry: Challenges going forward</w:t>
      </w:r>
      <w:r w:rsidRPr="004C2839">
        <w:t xml:space="preserve">. Available at: </w:t>
      </w:r>
      <w:hyperlink w:history="1" w:tgtFrame="_new" r:id="rId17">
        <w:r w:rsidRPr="00EE2B00">
          <w:rPr>
            <w:rStyle w:val="Hyperlink"/>
          </w:rPr>
          <w:t>https://www.advantageaustria.org/mx/events/Mexico_s_Automotive_Industry_Challenges_Going_Forward_2.pdf</w:t>
        </w:r>
      </w:hyperlink>
      <w:r w:rsidRPr="00EE2B00">
        <w:rPr>
          <w:color w:val="404040"/>
        </w:rPr>
        <w:t xml:space="preserve"> </w:t>
      </w:r>
      <w:r w:rsidRPr="004C2839">
        <w:t>(Accessed: 17 March 2026).</w:t>
      </w:r>
    </w:p>
    <w:p w:rsidR="00EE2B00" w:rsidRDefault="00EE2B00" w14:paraId="009BB48D" w14:textId="77777777" w:rsidP="00EE2B00" w:rsidRPr="004C2839">
      <w:pPr>
        <w:pStyle w:val="NormalWeb"/>
        <w:numPr>
          <w:ilvl w:val="0"/>
          <w:numId w:val="12"/>
        </w:numPr>
        <w:spacing w:before="0" w:beforeAutospacing="0" w:line="360" w:lineRule="auto"/>
        <w:tabs>
          <w:tab w:val="left" w:pos="1155"/>
        </w:tabs>
      </w:pPr>
      <w:r w:rsidRPr="004C2839">
        <w:t xml:space="preserve">Automotive Logistics (n.d.) </w:t>
      </w:r>
      <w:r w:rsidRPr="004C2839">
        <w:rPr>
          <w:iCs/>
          <w:i/>
        </w:rPr>
        <w:t>Nearshoring and negotiations trends in Mexico’s automotive supply chains</w:t>
      </w:r>
      <w:r w:rsidRPr="004C2839">
        <w:t xml:space="preserve">. Available at: </w:t>
      </w:r>
      <w:hyperlink w:history="1" w:tgtFrame="_new" r:id="rId18">
        <w:r w:rsidRPr="00EE2B00">
          <w:rPr>
            <w:rStyle w:val="Hyperlink"/>
          </w:rPr>
          <w:t>https://www.automotivelogistics.media/nearshoring/nearshoring-and-negotiations-trends-in-mexicos-automotive-supply-chains/1604471</w:t>
        </w:r>
      </w:hyperlink>
      <w:r w:rsidRPr="00EE2B00">
        <w:rPr>
          <w:color w:val="404040"/>
        </w:rPr>
        <w:t xml:space="preserve"> </w:t>
      </w:r>
      <w:r w:rsidRPr="004C2839">
        <w:t>(Accessed: 17 March 2026).</w:t>
      </w:r>
    </w:p>
    <w:p w:rsidR="00EE2B00" w:rsidRDefault="00EE2B00" w14:paraId="706A2BA9" w14:textId="77777777" w:rsidP="00EE2B00" w:rsidRPr="004C2839">
      <w:pPr>
        <w:pStyle w:val="NormalWeb"/>
        <w:numPr>
          <w:ilvl w:val="0"/>
          <w:numId w:val="12"/>
        </w:numPr>
        <w:spacing w:before="0" w:beforeAutospacing="0" w:line="360" w:lineRule="auto"/>
        <w:tabs>
          <w:tab w:val="left" w:pos="1155"/>
        </w:tabs>
      </w:pPr>
      <w:r w:rsidRPr="004C2839">
        <w:t xml:space="preserve">BBVA Research (2025) </w:t>
      </w:r>
      <w:r w:rsidRPr="004C2839">
        <w:rPr>
          <w:iCs/>
          <w:i/>
        </w:rPr>
        <w:t>Mexico trade tariffs 1H25</w:t>
      </w:r>
      <w:r w:rsidRPr="004C2839">
        <w:t xml:space="preserve">. Available at: </w:t>
      </w:r>
      <w:hyperlink w:history="1" w:tgtFrame="_new" r:id="rId19">
        <w:r w:rsidRPr="00EE2B00">
          <w:rPr>
            <w:rStyle w:val="Hyperlink"/>
          </w:rPr>
          <w:t>https://www.bbvaresearch.com/wp-content/uploads/2025/09/mexico_trade_tariffs_1H25_fix.pdf</w:t>
        </w:r>
      </w:hyperlink>
      <w:r w:rsidR="00056A68">
        <w:rPr>
          <w:color w:val="404040"/>
        </w:rPr>
        <w:t xml:space="preserve"> </w:t>
      </w:r>
      <w:r w:rsidR="00056A68" w:rsidRPr="004C2839">
        <w:t>(Accessed: 11</w:t>
      </w:r>
      <w:r w:rsidRPr="004C2839">
        <w:t xml:space="preserve"> March 2026).</w:t>
      </w:r>
    </w:p>
    <w:p w:rsidR="00EE2B00" w:rsidRDefault="00EE2B00" w14:paraId="3419D334" w14:textId="77777777" w:rsidP="00EE2B00" w:rsidRPr="004C2839">
      <w:pPr>
        <w:pStyle w:val="NormalWeb"/>
        <w:numPr>
          <w:ilvl w:val="0"/>
          <w:numId w:val="12"/>
        </w:numPr>
        <w:spacing w:before="0" w:beforeAutospacing="0" w:line="360" w:lineRule="auto"/>
        <w:tabs>
          <w:tab w:val="left" w:pos="1155"/>
        </w:tabs>
      </w:pPr>
      <w:proofErr w:type="spellStart"/>
      <w:r w:rsidRPr="004C2839">
        <w:t>CECHIMEX</w:t>
      </w:r>
      <w:proofErr w:type="spellEnd"/>
      <w:r w:rsidRPr="004C2839">
        <w:t xml:space="preserve"> (2025) </w:t>
      </w:r>
      <w:proofErr w:type="spellStart"/>
      <w:r w:rsidRPr="004C2839">
        <w:rPr>
          <w:iCs/>
          <w:i/>
        </w:rPr>
        <w:t>Seminario</w:t>
      </w:r>
      <w:proofErr w:type="spellEnd"/>
      <w:r w:rsidRPr="004C2839">
        <w:rPr>
          <w:iCs/>
          <w:i/>
        </w:rPr>
        <w:t xml:space="preserve"> Carrillo</w:t>
      </w:r>
      <w:r w:rsidRPr="004C2839">
        <w:t xml:space="preserve">. Available at: </w:t>
      </w:r>
      <w:hyperlink w:history="1" w:tgtFrame="_new" r:id="rId20">
        <w:r w:rsidRPr="00EE2B00">
          <w:rPr>
            <w:rStyle w:val="Hyperlink"/>
          </w:rPr>
          <w:t>https://docs.cechimex.org/Seminarios/20251203_CECHIMEX_INTER_SEM_Carrillo.pdf</w:t>
        </w:r>
      </w:hyperlink>
      <w:r w:rsidR="00056A68">
        <w:rPr>
          <w:color w:val="404040"/>
        </w:rPr>
        <w:t xml:space="preserve"> (</w:t>
      </w:r>
      <w:r w:rsidR="00056A68" w:rsidRPr="004C2839">
        <w:t>Accessed: 13</w:t>
      </w:r>
      <w:r w:rsidRPr="004C2839">
        <w:t xml:space="preserve"> March 2026).</w:t>
      </w:r>
    </w:p>
    <w:p w:rsidR="00EE2B00" w:rsidRDefault="00EE2B00" w14:paraId="5DC84AFB" w14:textId="77777777" w:rsidP="00EE2B00" w:rsidRPr="004C2839">
      <w:pPr>
        <w:pStyle w:val="NormalWeb"/>
        <w:numPr>
          <w:ilvl w:val="0"/>
          <w:numId w:val="12"/>
        </w:numPr>
        <w:spacing w:before="0" w:beforeAutospacing="0" w:line="360" w:lineRule="auto"/>
        <w:tabs>
          <w:tab w:val="left" w:pos="1155"/>
        </w:tabs>
      </w:pPr>
      <w:r w:rsidRPr="004C2839">
        <w:t xml:space="preserve">Center for Automotive Research (2017) </w:t>
      </w:r>
      <w:r w:rsidRPr="004C2839">
        <w:rPr>
          <w:iCs/>
          <w:i/>
        </w:rPr>
        <w:t>Automotive industry analysis</w:t>
      </w:r>
      <w:r w:rsidRPr="004C2839">
        <w:t xml:space="preserve">. Available at: </w:t>
      </w:r>
      <w:hyperlink w:history="1" w:tgtFrame="_new" r:id="rId21">
        <w:r w:rsidRPr="00EE2B00">
          <w:rPr>
            <w:rStyle w:val="Hyperlink"/>
          </w:rPr>
          <w:t>https://www.cargroup.org/wp-content/uploads/2017/08/Sandoval.pdf</w:t>
        </w:r>
      </w:hyperlink>
      <w:r w:rsidR="00056A68">
        <w:rPr>
          <w:color w:val="404040"/>
        </w:rPr>
        <w:t xml:space="preserve"> </w:t>
      </w:r>
      <w:r w:rsidR="00056A68" w:rsidRPr="004C2839">
        <w:t>(Accessed: 9</w:t>
      </w:r>
      <w:r w:rsidRPr="004C2839">
        <w:t xml:space="preserve"> March 2026).</w:t>
      </w:r>
    </w:p>
    <w:p w:rsidR="00EE2B00" w:rsidRDefault="00EE2B00" w14:paraId="67F157E6" w14:textId="77777777" w:rsidP="00EE2B00" w:rsidRPr="004C2839">
      <w:pPr>
        <w:pStyle w:val="NormalWeb"/>
        <w:numPr>
          <w:ilvl w:val="0"/>
          <w:numId w:val="12"/>
        </w:numPr>
        <w:spacing w:before="0" w:beforeAutospacing="0" w:line="360" w:lineRule="auto"/>
        <w:tabs>
          <w:tab w:val="left" w:pos="1155"/>
        </w:tabs>
      </w:pPr>
      <w:r w:rsidRPr="004C2839">
        <w:t xml:space="preserve">David Publishing (n.d.) </w:t>
      </w:r>
      <w:r w:rsidRPr="004C2839">
        <w:rPr>
          <w:iCs/>
          <w:i/>
        </w:rPr>
        <w:t>Automotive industry study</w:t>
      </w:r>
      <w:r w:rsidRPr="004C2839">
        <w:t xml:space="preserve">. Available at: </w:t>
      </w:r>
      <w:hyperlink w:history="1" w:tgtFrame="_new" r:id="rId22">
        <w:r w:rsidRPr="00EE2B00">
          <w:rPr>
            <w:rStyle w:val="Hyperlink"/>
          </w:rPr>
          <w:t>https://www.davidpublisher.com/Public/uploads/Contribute/6221d837d912c.pdf</w:t>
        </w:r>
      </w:hyperlink>
      <w:r w:rsidR="00056A68">
        <w:rPr>
          <w:color w:val="404040"/>
        </w:rPr>
        <w:t xml:space="preserve"> </w:t>
      </w:r>
      <w:r w:rsidR="00056A68" w:rsidRPr="004C2839">
        <w:t>(Accessed: 2</w:t>
      </w:r>
      <w:r w:rsidRPr="004C2839">
        <w:t xml:space="preserve"> March 2026).</w:t>
      </w:r>
    </w:p>
    <w:p w:rsidR="00EE2B00" w:rsidRDefault="00EE2B00" w14:paraId="30C5EECB" w14:textId="77777777" w:rsidP="00EE2B00" w:rsidRPr="004C2839">
      <w:pPr>
        <w:pStyle w:val="NormalWeb"/>
        <w:numPr>
          <w:ilvl w:val="0"/>
          <w:numId w:val="12"/>
        </w:numPr>
        <w:spacing w:before="0" w:beforeAutospacing="0" w:line="360" w:lineRule="auto"/>
        <w:tabs>
          <w:tab w:val="left" w:pos="1155"/>
        </w:tabs>
      </w:pPr>
      <w:r w:rsidRPr="004C2839">
        <w:t xml:space="preserve">E-Mobility Mexico (2024) </w:t>
      </w:r>
      <w:proofErr w:type="spellStart"/>
      <w:r w:rsidRPr="004C2839">
        <w:rPr>
          <w:iCs/>
          <w:i/>
        </w:rPr>
        <w:t>Dialogo</w:t>
      </w:r>
      <w:proofErr w:type="spellEnd"/>
      <w:r w:rsidRPr="004C2839">
        <w:rPr>
          <w:iCs/>
          <w:i/>
        </w:rPr>
        <w:t xml:space="preserve"> Version Final Ingles</w:t>
      </w:r>
      <w:r w:rsidRPr="004C2839">
        <w:t xml:space="preserve">. Available at: </w:t>
      </w:r>
      <w:hyperlink w:history="1" w:tgtFrame="_new" r:id="rId23">
        <w:r w:rsidRPr="00EE2B00">
          <w:rPr>
            <w:rStyle w:val="Hyperlink"/>
          </w:rPr>
          <w:t>https://e-mobility.mx/wp-content/uploads/2024/06/Dialogo-Version-Final_Ingles.pdf</w:t>
        </w:r>
      </w:hyperlink>
      <w:r w:rsidRPr="00EE2B00">
        <w:rPr>
          <w:color w:val="404040"/>
        </w:rPr>
        <w:t xml:space="preserve"> </w:t>
      </w:r>
      <w:r w:rsidRPr="004C2839">
        <w:t>(Accessed: 1 March 2026).</w:t>
      </w:r>
    </w:p>
    <w:p w:rsidR="00EE2B00" w:rsidRDefault="00EE2B00" w14:paraId="3466AC3A" w14:textId="77777777" w:rsidP="00EE2B00" w:rsidRPr="004C2839">
      <w:pPr>
        <w:pStyle w:val="NormalWeb"/>
        <w:numPr>
          <w:ilvl w:val="0"/>
          <w:numId w:val="12"/>
        </w:numPr>
        <w:spacing w:before="0" w:beforeAutospacing="0" w:line="360" w:lineRule="auto"/>
        <w:tabs>
          <w:tab w:val="left" w:pos="1155"/>
        </w:tabs>
      </w:pPr>
      <w:proofErr w:type="spellStart"/>
      <w:r w:rsidRPr="004C2839">
        <w:t>GERPISA</w:t>
      </w:r>
      <w:proofErr w:type="spellEnd"/>
      <w:r w:rsidRPr="004C2839">
        <w:t xml:space="preserve"> (n.d.) </w:t>
      </w:r>
      <w:r w:rsidRPr="004C2839">
        <w:rPr>
          <w:iCs/>
          <w:i/>
        </w:rPr>
        <w:t>Automotive industry proceedings</w:t>
      </w:r>
      <w:r w:rsidRPr="004C2839">
        <w:t xml:space="preserve">. Available at: </w:t>
      </w:r>
      <w:hyperlink w:history="1" w:tgtFrame="_new" r:id="rId24">
        <w:r w:rsidRPr="00EE2B00">
          <w:rPr>
            <w:rStyle w:val="Hyperlink"/>
          </w:rPr>
          <w:t>https://gerpisa.org/ancien-gerpisa/actes/28/28-5.pdf</w:t>
        </w:r>
      </w:hyperlink>
      <w:r w:rsidRPr="00EE2B00">
        <w:rPr>
          <w:color w:val="404040"/>
        </w:rPr>
        <w:t xml:space="preserve"> </w:t>
      </w:r>
      <w:r w:rsidRPr="004C2839">
        <w:t>(Accessed: 17 March 2026).</w:t>
      </w:r>
    </w:p>
    <w:p w:rsidR="00EE2B00" w:rsidRDefault="00EE2B00" w14:paraId="61E9F5AD" w14:textId="77777777" w:rsidP="00EE2B00" w:rsidRPr="004C2839">
      <w:pPr>
        <w:pStyle w:val="NormalWeb"/>
        <w:numPr>
          <w:ilvl w:val="0"/>
          <w:numId w:val="12"/>
        </w:numPr>
        <w:spacing w:before="0" w:beforeAutospacing="0" w:line="360" w:lineRule="auto"/>
        <w:tabs>
          <w:tab w:val="left" w:pos="1155"/>
        </w:tabs>
      </w:pPr>
      <w:r w:rsidRPr="004C2839">
        <w:t xml:space="preserve">IHS </w:t>
      </w:r>
      <w:proofErr w:type="spellStart"/>
      <w:r w:rsidRPr="004C2839">
        <w:t>Markit</w:t>
      </w:r>
      <w:proofErr w:type="spellEnd"/>
      <w:r w:rsidRPr="004C2839">
        <w:t xml:space="preserve"> (2022) </w:t>
      </w:r>
      <w:r w:rsidRPr="004C2839">
        <w:rPr>
          <w:iCs/>
          <w:i/>
        </w:rPr>
        <w:t>Automotive catalog report</w:t>
      </w:r>
      <w:r w:rsidRPr="004C2839">
        <w:t>. Available at</w:t>
      </w:r>
      <w:r w:rsidRPr="00EE2B00">
        <w:rPr>
          <w:color w:val="404040"/>
        </w:rPr>
        <w:t xml:space="preserve">: </w:t>
      </w:r>
      <w:hyperlink w:history="1" w:tgtFrame="_new" r:id="rId25">
        <w:r w:rsidRPr="00EE2B00">
          <w:rPr>
            <w:rStyle w:val="Hyperlink"/>
          </w:rPr>
          <w:t>https://cdn.ihsmarkit.com/www/pdf/1022/711620721_0322_SY_AUT_AutoCatalog_US_SPGI_U1-HiRes.pdf</w:t>
        </w:r>
      </w:hyperlink>
      <w:r w:rsidRPr="00EE2B00">
        <w:rPr>
          <w:color w:val="404040"/>
        </w:rPr>
        <w:t xml:space="preserve"> </w:t>
      </w:r>
      <w:r w:rsidRPr="004C2839">
        <w:t>(Accessed: 17 March 2026).</w:t>
      </w:r>
    </w:p>
    <w:p w:rsidR="00EE2B00" w:rsidRDefault="00EE2B00" w14:paraId="6782C80F" w14:textId="77777777" w:rsidP="00EE2B00" w:rsidRPr="004C2839">
      <w:pPr>
        <w:pStyle w:val="NormalWeb"/>
        <w:numPr>
          <w:ilvl w:val="0"/>
          <w:numId w:val="12"/>
        </w:numPr>
        <w:spacing w:before="0" w:beforeAutospacing="0" w:line="360" w:lineRule="auto"/>
        <w:tabs>
          <w:tab w:val="left" w:pos="1155"/>
        </w:tabs>
      </w:pPr>
      <w:r w:rsidRPr="004C2839">
        <w:t xml:space="preserve">International Finance Corporation (2025) </w:t>
      </w:r>
      <w:r w:rsidRPr="004C2839">
        <w:rPr>
          <w:iCs/>
          <w:i/>
        </w:rPr>
        <w:t>Mexico SSS auto industry in Chiapas</w:t>
      </w:r>
      <w:r w:rsidRPr="004C2839">
        <w:t>. Available at</w:t>
      </w:r>
      <w:r w:rsidRPr="00EE2B00">
        <w:rPr>
          <w:color w:val="404040"/>
        </w:rPr>
        <w:t xml:space="preserve">: </w:t>
      </w:r>
      <w:hyperlink w:history="1" w:tgtFrame="_new" r:id="rId26">
        <w:r w:rsidRPr="00EE2B00">
          <w:rPr>
            <w:rStyle w:val="Hyperlink"/>
          </w:rPr>
          <w:t>https://www.ifc.org/content/dam/ifc/doc/2025/mexico-sss-auto-industry-in-chiapas.pdf</w:t>
        </w:r>
      </w:hyperlink>
      <w:r w:rsidR="00056A68">
        <w:rPr>
          <w:color w:val="404040"/>
        </w:rPr>
        <w:t xml:space="preserve"> </w:t>
      </w:r>
      <w:r w:rsidR="00056A68" w:rsidRPr="004C2839">
        <w:t>(Accessed: 16</w:t>
      </w:r>
      <w:r w:rsidRPr="004C2839">
        <w:t xml:space="preserve"> March 2026).</w:t>
      </w:r>
    </w:p>
    <w:p w:rsidR="00EE2B00" w:rsidRDefault="00EE2B00" w14:paraId="1F41DBF7" w14:textId="77777777" w:rsidP="00EE2B00" w:rsidRPr="004C2839">
      <w:pPr>
        <w:pStyle w:val="NormalWeb"/>
        <w:numPr>
          <w:ilvl w:val="0"/>
          <w:numId w:val="12"/>
        </w:numPr>
        <w:spacing w:before="0" w:beforeAutospacing="0" w:line="360" w:lineRule="auto"/>
        <w:tabs>
          <w:tab w:val="left" w:pos="1155"/>
        </w:tabs>
      </w:pPr>
      <w:r w:rsidRPr="004C2839">
        <w:t xml:space="preserve">International Labour Organization (2021) </w:t>
      </w:r>
      <w:r w:rsidRPr="004C2839">
        <w:rPr>
          <w:iCs/>
          <w:i/>
        </w:rPr>
        <w:t>Global automotive industry report</w:t>
      </w:r>
      <w:r w:rsidRPr="004C2839">
        <w:t xml:space="preserve">. Available at: </w:t>
      </w:r>
      <w:hyperlink w:history="1" w:tgtFrame="_new" r:id="rId27">
        <w:r w:rsidRPr="00EE2B00">
          <w:rPr>
            <w:rStyle w:val="Hyperlink"/>
          </w:rPr>
          <w:t>https://www.ilo.org/sites/default/files/wcmsp5/groups/public/@dgreports/@inst/documents/publication/wcms_808957.pdf</w:t>
        </w:r>
      </w:hyperlink>
      <w:r w:rsidR="00056A68">
        <w:rPr>
          <w:color w:val="404040"/>
        </w:rPr>
        <w:t xml:space="preserve"> </w:t>
      </w:r>
      <w:r w:rsidR="00056A68" w:rsidRPr="004C2839">
        <w:t>(Accessed: 13</w:t>
      </w:r>
      <w:r w:rsidRPr="004C2839">
        <w:t xml:space="preserve"> March 2026).</w:t>
      </w:r>
    </w:p>
    <w:p w:rsidR="00EE2B00" w:rsidRDefault="00EE2B00" w14:paraId="3CA05784" w14:textId="77777777" w:rsidP="00EE2B00" w:rsidRPr="004C2839">
      <w:pPr>
        <w:pStyle w:val="NormalWeb"/>
        <w:numPr>
          <w:ilvl w:val="0"/>
          <w:numId w:val="12"/>
        </w:numPr>
        <w:spacing w:before="0" w:beforeAutospacing="0" w:line="360" w:lineRule="auto"/>
        <w:tabs>
          <w:tab w:val="left" w:pos="1155"/>
        </w:tabs>
      </w:pPr>
      <w:r w:rsidRPr="004C2839">
        <w:t xml:space="preserve">Institute for New Economic Thinking (2021) </w:t>
      </w:r>
      <w:r w:rsidRPr="004C2839">
        <w:rPr>
          <w:iCs/>
          <w:i/>
        </w:rPr>
        <w:t>Global automotive industry working paper</w:t>
      </w:r>
      <w:r w:rsidRPr="004C2839">
        <w:t xml:space="preserve">. Available at: </w:t>
      </w:r>
      <w:hyperlink w:history="1" w:tgtFrame="_new" r:id="rId28">
        <w:r w:rsidRPr="00EE2B00">
          <w:rPr>
            <w:rStyle w:val="Hyperlink"/>
          </w:rPr>
          <w:t>https://www.ineteconomics.org/uploads/papers/WP_166-Simonazzi-et-al.pdf</w:t>
        </w:r>
      </w:hyperlink>
      <w:r w:rsidRPr="00EE2B00">
        <w:rPr>
          <w:color w:val="404040"/>
        </w:rPr>
        <w:t xml:space="preserve"> </w:t>
      </w:r>
      <w:r w:rsidRPr="004C2839">
        <w:t xml:space="preserve">(Accessed: </w:t>
      </w:r>
      <w:r w:rsidR="00056A68" w:rsidRPr="004C2839">
        <w:t>6</w:t>
      </w:r>
      <w:r w:rsidRPr="004C2839">
        <w:t xml:space="preserve"> March 2026).</w:t>
      </w:r>
    </w:p>
    <w:p w:rsidR="00EE2B00" w:rsidRDefault="00EE2B00" w14:paraId="6E4A330D" w14:textId="77777777" w:rsidP="00EE2B00" w:rsidRPr="004C2839">
      <w:pPr>
        <w:pStyle w:val="NormalWeb"/>
        <w:numPr>
          <w:ilvl w:val="0"/>
          <w:numId w:val="12"/>
        </w:numPr>
        <w:spacing w:before="0" w:beforeAutospacing="0" w:line="360" w:lineRule="auto"/>
        <w:tabs>
          <w:tab w:val="left" w:pos="1155"/>
        </w:tabs>
      </w:pPr>
      <w:r w:rsidRPr="004C2839">
        <w:t xml:space="preserve">Kellogg Institute (n.d.) </w:t>
      </w:r>
      <w:r w:rsidRPr="004C2839">
        <w:rPr>
          <w:iCs/>
          <w:i/>
        </w:rPr>
        <w:t>Automotive sector report</w:t>
      </w:r>
      <w:r w:rsidRPr="004C2839">
        <w:t xml:space="preserve">. Available at: </w:t>
      </w:r>
      <w:hyperlink w:history="1" w:tgtFrame="_new" r:id="rId29">
        <w:r w:rsidRPr="00EE2B00">
          <w:rPr>
            <w:rStyle w:val="Hyperlink"/>
          </w:rPr>
          <w:t>https://kellogg.nd.edu/documents/1527</w:t>
        </w:r>
      </w:hyperlink>
      <w:r w:rsidRPr="00EE2B00">
        <w:rPr>
          <w:color w:val="404040"/>
        </w:rPr>
        <w:t xml:space="preserve"> </w:t>
      </w:r>
      <w:r w:rsidRPr="004C2839">
        <w:t>(Accessed: 17 March 2026).</w:t>
      </w:r>
    </w:p>
    <w:p w:rsidR="00EE2B00" w:rsidRDefault="00EE2B00" w14:paraId="2F955A3B" w14:textId="77777777" w:rsidP="00EE2B00" w:rsidRPr="004C2839">
      <w:pPr>
        <w:pStyle w:val="NormalWeb"/>
        <w:numPr>
          <w:ilvl w:val="0"/>
          <w:numId w:val="12"/>
        </w:numPr>
        <w:spacing w:before="0" w:beforeAutospacing="0" w:line="360" w:lineRule="auto"/>
        <w:tabs>
          <w:tab w:val="left" w:pos="1155"/>
        </w:tabs>
      </w:pPr>
      <w:r w:rsidRPr="004C2839">
        <w:t xml:space="preserve">KPMG (2025) </w:t>
      </w:r>
      <w:r w:rsidRPr="004C2839">
        <w:rPr>
          <w:iCs/>
          <w:i/>
        </w:rPr>
        <w:t>Annual global automotive executive survey report</w:t>
      </w:r>
      <w:r w:rsidRPr="004C2839">
        <w:t xml:space="preserve">. Available at: </w:t>
      </w:r>
      <w:hyperlink w:history="1" w:tgtFrame="_new" r:id="rId30">
        <w:r w:rsidRPr="00EE2B00">
          <w:rPr>
            <w:rStyle w:val="Hyperlink"/>
          </w:rPr>
          <w:t>https://assets.kpmg.com/content/dam/kpmgsites/xx/pdf/2025/08/annual-global-automotive-executive-survey-report.pdf</w:t>
        </w:r>
      </w:hyperlink>
      <w:r w:rsidRPr="00EE2B00">
        <w:rPr>
          <w:color w:val="404040"/>
        </w:rPr>
        <w:t xml:space="preserve"> (</w:t>
      </w:r>
      <w:r w:rsidRPr="004C2839">
        <w:t xml:space="preserve">Accessed: </w:t>
      </w:r>
      <w:r w:rsidR="00056A68" w:rsidRPr="004C2839">
        <w:t>2</w:t>
      </w:r>
      <w:r w:rsidRPr="004C2839">
        <w:t xml:space="preserve"> March 2026).</w:t>
      </w:r>
    </w:p>
    <w:p w:rsidR="00EE2B00" w:rsidRDefault="00EE2B00" w14:paraId="0FB3617A" w14:textId="77777777" w:rsidP="00EE2B00" w:rsidRPr="004C2839">
      <w:pPr>
        <w:pStyle w:val="NormalWeb"/>
        <w:numPr>
          <w:ilvl w:val="0"/>
          <w:numId w:val="12"/>
        </w:numPr>
        <w:spacing w:before="0" w:beforeAutospacing="0" w:line="360" w:lineRule="auto"/>
        <w:tabs>
          <w:tab w:val="left" w:pos="1155"/>
        </w:tabs>
      </w:pPr>
      <w:r w:rsidRPr="004C2839">
        <w:t xml:space="preserve">Lazard (2025) </w:t>
      </w:r>
      <w:r w:rsidRPr="004C2839">
        <w:rPr>
          <w:iCs/>
          <w:i/>
        </w:rPr>
        <w:t>Global automotive supplier study: Summary</w:t>
      </w:r>
      <w:r w:rsidRPr="004C2839">
        <w:t xml:space="preserve">. Available at: </w:t>
      </w:r>
      <w:hyperlink w:history="1" w:tgtFrame="_new" r:id="rId31">
        <w:r w:rsidRPr="00EE2B00">
          <w:rPr>
            <w:rStyle w:val="Hyperlink"/>
          </w:rPr>
          <w:t>https://www.lazard.com/media/4k4gnvco/global-automotive-supplier-study-2025-summary.pdf</w:t>
        </w:r>
      </w:hyperlink>
      <w:r w:rsidRPr="00EE2B00">
        <w:rPr>
          <w:color w:val="404040"/>
        </w:rPr>
        <w:t xml:space="preserve"> </w:t>
      </w:r>
      <w:r w:rsidRPr="004C2839">
        <w:t xml:space="preserve">(Accessed: </w:t>
      </w:r>
      <w:r w:rsidR="00056A68" w:rsidRPr="004C2839">
        <w:t>4</w:t>
      </w:r>
      <w:r w:rsidRPr="004C2839">
        <w:t xml:space="preserve"> March 2026).</w:t>
      </w:r>
    </w:p>
    <w:p w:rsidR="00EE2B00" w:rsidRDefault="00EE2B00" w14:paraId="6FAF4934" w14:textId="77777777" w:rsidP="00EE2B00" w:rsidRPr="004C2839">
      <w:pPr>
        <w:pStyle w:val="NormalWeb"/>
        <w:numPr>
          <w:ilvl w:val="0"/>
          <w:numId w:val="12"/>
        </w:numPr>
        <w:spacing w:before="0" w:beforeAutospacing="0" w:line="360" w:lineRule="auto"/>
        <w:tabs>
          <w:tab w:val="left" w:pos="1155"/>
        </w:tabs>
      </w:pPr>
      <w:proofErr w:type="spellStart"/>
      <w:r w:rsidRPr="004C2839">
        <w:t>Lusha</w:t>
      </w:r>
      <w:proofErr w:type="spellEnd"/>
      <w:r w:rsidRPr="004C2839">
        <w:t xml:space="preserve"> (n.d.) </w:t>
      </w:r>
      <w:r w:rsidRPr="004C2839">
        <w:rPr>
          <w:iCs/>
          <w:i/>
        </w:rPr>
        <w:t>Motor vehicle manufacturing companies in Mexico</w:t>
      </w:r>
      <w:r w:rsidRPr="004C2839">
        <w:t xml:space="preserve">. Available at: </w:t>
      </w:r>
      <w:hyperlink w:history="1" w:tgtFrame="_new" r:id="rId32">
        <w:r w:rsidRPr="00EE2B00">
          <w:rPr>
            <w:rStyle w:val="Hyperlink"/>
          </w:rPr>
          <w:t>https://www.lusha.com/company-search/motor-vehicle-manufacturing/0039947ba2/mexico/97/page/4/</w:t>
        </w:r>
      </w:hyperlink>
      <w:r w:rsidRPr="00EE2B00">
        <w:rPr>
          <w:color w:val="404040"/>
        </w:rPr>
        <w:t xml:space="preserve"> </w:t>
      </w:r>
      <w:r w:rsidRPr="004C2839">
        <w:t>(Accessed: 17 March 2026).</w:t>
      </w:r>
    </w:p>
    <w:p w:rsidR="00EE2B00" w:rsidRDefault="00EE2B00" w14:paraId="32983F76" w14:textId="77777777" w:rsidP="00EE2B00" w:rsidRPr="004C2839">
      <w:pPr>
        <w:pStyle w:val="NormalWeb"/>
        <w:numPr>
          <w:ilvl w:val="0"/>
          <w:numId w:val="12"/>
        </w:numPr>
        <w:spacing w:before="0" w:beforeAutospacing="0" w:line="360" w:lineRule="auto"/>
        <w:tabs>
          <w:tab w:val="left" w:pos="1155"/>
        </w:tabs>
      </w:pPr>
      <w:r w:rsidRPr="004C2839">
        <w:t xml:space="preserve">Mordor Intelligence (n.d.) </w:t>
      </w:r>
      <w:r w:rsidRPr="004C2839">
        <w:rPr>
          <w:iCs/>
          <w:i/>
        </w:rPr>
        <w:t>Mexico automotive EPS market companies</w:t>
      </w:r>
      <w:r w:rsidRPr="004C2839">
        <w:t xml:space="preserve">. Available at: </w:t>
      </w:r>
      <w:hyperlink w:history="1" w:tgtFrame="_new" r:id="rId33">
        <w:r w:rsidRPr="00EE2B00">
          <w:rPr>
            <w:rStyle w:val="Hyperlink"/>
          </w:rPr>
          <w:t>http://mordorintelligence.com/industry-reports/mexico-automotive-eps-market/companies</w:t>
        </w:r>
      </w:hyperlink>
      <w:r w:rsidR="00056A68">
        <w:rPr>
          <w:color w:val="404040"/>
        </w:rPr>
        <w:t xml:space="preserve"> </w:t>
      </w:r>
      <w:r w:rsidR="00056A68" w:rsidRPr="004C2839">
        <w:t>(Accessed: 12</w:t>
      </w:r>
      <w:r w:rsidRPr="004C2839">
        <w:t xml:space="preserve"> March 2026).</w:t>
      </w:r>
    </w:p>
    <w:p w:rsidR="00EE2B00" w:rsidRDefault="00EE2B00" w14:paraId="15C7572E" w14:textId="77777777" w:rsidP="00EE2B00" w:rsidRPr="004C2839">
      <w:pPr>
        <w:pStyle w:val="NormalWeb"/>
        <w:numPr>
          <w:ilvl w:val="0"/>
          <w:numId w:val="12"/>
        </w:numPr>
        <w:spacing w:before="0" w:beforeAutospacing="0" w:line="360" w:lineRule="auto"/>
        <w:tabs>
          <w:tab w:val="left" w:pos="1155"/>
        </w:tabs>
      </w:pPr>
      <w:r w:rsidRPr="004C2839">
        <w:t xml:space="preserve">PAIH (n.d.) </w:t>
      </w:r>
      <w:r w:rsidRPr="004C2839">
        <w:rPr>
          <w:iCs/>
          <w:i/>
        </w:rPr>
        <w:t>Automotive industry report</w:t>
      </w:r>
      <w:r w:rsidRPr="004C2839">
        <w:t xml:space="preserve">. Available at: </w:t>
      </w:r>
      <w:hyperlink w:history="1" w:tgtFrame="_new" r:id="rId34">
        <w:r w:rsidRPr="00EE2B00">
          <w:rPr>
            <w:rStyle w:val="Hyperlink"/>
          </w:rPr>
          <w:t>https://www.paih.gov.pl/files/?id_plik=37227</w:t>
        </w:r>
      </w:hyperlink>
      <w:r w:rsidR="00056A68">
        <w:rPr>
          <w:color w:val="404040"/>
        </w:rPr>
        <w:t xml:space="preserve"> (</w:t>
      </w:r>
      <w:r w:rsidR="00056A68" w:rsidRPr="004C2839">
        <w:t>Accessed: 11</w:t>
      </w:r>
      <w:r w:rsidRPr="004C2839">
        <w:t xml:space="preserve"> March 2026).</w:t>
      </w:r>
    </w:p>
    <w:p w:rsidR="00EE2B00" w:rsidRDefault="00EE2B00" w14:paraId="1B6833DD" w14:textId="77777777" w:rsidP="00EE2B00" w:rsidRPr="004C2839">
      <w:pPr>
        <w:pStyle w:val="NormalWeb"/>
        <w:numPr>
          <w:ilvl w:val="0"/>
          <w:numId w:val="12"/>
        </w:numPr>
        <w:spacing w:before="0" w:beforeAutospacing="0" w:line="360" w:lineRule="auto"/>
        <w:tabs>
          <w:tab w:val="left" w:pos="1155"/>
        </w:tabs>
      </w:pPr>
      <w:proofErr w:type="spellStart"/>
      <w:r w:rsidRPr="004C2839">
        <w:t>Prodensa</w:t>
      </w:r>
      <w:proofErr w:type="spellEnd"/>
      <w:r w:rsidRPr="004C2839">
        <w:t xml:space="preserve"> (2024) </w:t>
      </w:r>
      <w:r w:rsidRPr="004C2839">
        <w:rPr>
          <w:iCs/>
          <w:i/>
        </w:rPr>
        <w:t>Mexican automotive industry report 2024</w:t>
      </w:r>
      <w:r w:rsidRPr="004C2839">
        <w:t xml:space="preserve">. Available at: </w:t>
      </w:r>
      <w:hyperlink w:history="1" w:tgtFrame="_new" r:id="rId35">
        <w:r w:rsidRPr="00EE2B00">
          <w:rPr>
            <w:rStyle w:val="Hyperlink"/>
          </w:rPr>
          <w:t>https://www.prodensa.com/insights/blog/mexican-automotive-industry-report-2024</w:t>
        </w:r>
      </w:hyperlink>
      <w:r w:rsidRPr="00EE2B00">
        <w:rPr>
          <w:color w:val="404040"/>
        </w:rPr>
        <w:t xml:space="preserve"> </w:t>
      </w:r>
      <w:r w:rsidRPr="004C2839">
        <w:t>(Accessed: 17 March 2026).</w:t>
      </w:r>
    </w:p>
    <w:p w:rsidR="00EE2B00" w:rsidRDefault="00EE2B00" w14:paraId="079A68F3" w14:textId="77777777" w:rsidP="00EE2B00" w:rsidRPr="004C2839">
      <w:pPr>
        <w:pStyle w:val="NormalWeb"/>
        <w:numPr>
          <w:ilvl w:val="0"/>
          <w:numId w:val="12"/>
        </w:numPr>
        <w:spacing w:before="0" w:beforeAutospacing="0" w:line="360" w:lineRule="auto"/>
        <w:tabs>
          <w:tab w:val="left" w:pos="1155"/>
        </w:tabs>
      </w:pPr>
      <w:proofErr w:type="spellStart"/>
      <w:r w:rsidRPr="004C2839">
        <w:t>Prodensa</w:t>
      </w:r>
      <w:proofErr w:type="spellEnd"/>
      <w:r w:rsidRPr="004C2839">
        <w:t xml:space="preserve"> (2024) </w:t>
      </w:r>
      <w:r w:rsidRPr="004C2839">
        <w:rPr>
          <w:iCs/>
          <w:i/>
        </w:rPr>
        <w:t>Automotive industry Mexico e-book</w:t>
      </w:r>
      <w:r w:rsidRPr="004C2839">
        <w:t xml:space="preserve">. Available at: </w:t>
      </w:r>
      <w:hyperlink w:history="1" w:tgtFrame="_new" r:id="rId36">
        <w:r w:rsidRPr="00EE2B00">
          <w:rPr>
            <w:rStyle w:val="Hyperlink"/>
          </w:rPr>
          <w:t>https://prodensa.eu/wp-content/uploads/2024/04/AUTOMOTIVE-INDUSTRY_Mexico_PRODENSA-E-book.pdf.pdf</w:t>
        </w:r>
      </w:hyperlink>
      <w:r w:rsidRPr="00EE2B00">
        <w:rPr>
          <w:color w:val="404040"/>
        </w:rPr>
        <w:t xml:space="preserve"> </w:t>
      </w:r>
      <w:r w:rsidRPr="004C2839">
        <w:t>(Accessed: 17 March 2026).</w:t>
      </w:r>
    </w:p>
    <w:p w:rsidR="00EE2B00" w:rsidRDefault="00EE2B00" w14:paraId="49B8E694" w14:textId="77777777" w:rsidP="00EE2B00" w:rsidRPr="004C2839">
      <w:pPr>
        <w:pStyle w:val="NormalWeb"/>
        <w:numPr>
          <w:ilvl w:val="0"/>
          <w:numId w:val="12"/>
        </w:numPr>
        <w:spacing w:before="0" w:beforeAutospacing="0" w:line="360" w:lineRule="auto"/>
        <w:tabs>
          <w:tab w:val="left" w:pos="1155"/>
        </w:tabs>
      </w:pPr>
      <w:proofErr w:type="spellStart"/>
      <w:r w:rsidRPr="004C2839">
        <w:t>Prodensa</w:t>
      </w:r>
      <w:proofErr w:type="spellEnd"/>
      <w:r w:rsidRPr="004C2839">
        <w:t xml:space="preserve"> (2025) </w:t>
      </w:r>
      <w:r w:rsidRPr="004C2839">
        <w:rPr>
          <w:iCs/>
          <w:i/>
        </w:rPr>
        <w:t>Automotive industry report 2025</w:t>
      </w:r>
      <w:r w:rsidRPr="004C2839">
        <w:t xml:space="preserve">. Available at: </w:t>
      </w:r>
      <w:hyperlink w:history="1" w:tgtFrame="_new" r:id="rId37">
        <w:r w:rsidRPr="00EE2B00">
          <w:rPr>
            <w:rStyle w:val="Hyperlink"/>
          </w:rPr>
          <w:t>https://45088167.fs1.hubspotusercontent-na1.net/hubfs/45088167/E-Books/PRO_AutomotiveIndustry_2025.pdf</w:t>
        </w:r>
      </w:hyperlink>
      <w:r w:rsidRPr="00EE2B00">
        <w:rPr>
          <w:color w:val="404040"/>
        </w:rPr>
        <w:t xml:space="preserve"> (</w:t>
      </w:r>
      <w:r w:rsidRPr="004C2839">
        <w:t xml:space="preserve">Accessed: </w:t>
      </w:r>
      <w:r w:rsidR="00056A68" w:rsidRPr="004C2839">
        <w:t>4</w:t>
      </w:r>
      <w:r w:rsidRPr="004C2839">
        <w:t xml:space="preserve"> March 2026).</w:t>
      </w:r>
    </w:p>
    <w:p w:rsidR="00EE2B00" w:rsidRDefault="00EE2B00" w14:paraId="55728D5D" w14:textId="77777777" w:rsidP="00EE2B00" w:rsidRPr="004C2839">
      <w:pPr>
        <w:pStyle w:val="NormalWeb"/>
        <w:numPr>
          <w:ilvl w:val="0"/>
          <w:numId w:val="12"/>
        </w:numPr>
        <w:spacing w:before="0" w:beforeAutospacing="0" w:line="360" w:lineRule="auto"/>
        <w:tabs>
          <w:tab w:val="left" w:pos="1155"/>
        </w:tabs>
      </w:pPr>
      <w:r w:rsidRPr="004C2839">
        <w:t xml:space="preserve">PwC (2012) </w:t>
      </w:r>
      <w:r w:rsidRPr="004C2839">
        <w:rPr>
          <w:iCs/>
          <w:i/>
        </w:rPr>
        <w:t>Automotive industry report</w:t>
      </w:r>
      <w:r w:rsidRPr="004C2839">
        <w:t xml:space="preserve">. Available at: </w:t>
      </w:r>
      <w:hyperlink w:history="1" w:tgtFrame="_new" r:id="rId38">
        <w:r w:rsidRPr="00EE2B00">
          <w:rPr>
            <w:rStyle w:val="Hyperlink"/>
          </w:rPr>
          <w:t>https://www.amda.mx/wp-content/uploads/2018/02/pwc-automotive-industry_2012.pdf</w:t>
        </w:r>
      </w:hyperlink>
      <w:r w:rsidRPr="00EE2B00">
        <w:rPr>
          <w:color w:val="404040"/>
        </w:rPr>
        <w:t xml:space="preserve"> </w:t>
      </w:r>
      <w:r w:rsidRPr="004C2839">
        <w:t xml:space="preserve">(Accessed: </w:t>
      </w:r>
      <w:r w:rsidR="00056A68" w:rsidRPr="004C2839">
        <w:t>4</w:t>
      </w:r>
      <w:r w:rsidRPr="004C2839">
        <w:t xml:space="preserve"> March 2026).</w:t>
      </w:r>
    </w:p>
    <w:p w:rsidR="00EE2B00" w:rsidRDefault="00EE2B00" w14:paraId="26A5FB35" w14:textId="77777777" w:rsidP="00EE2B00" w:rsidRPr="004C2839">
      <w:pPr>
        <w:pStyle w:val="NormalWeb"/>
        <w:numPr>
          <w:ilvl w:val="0"/>
          <w:numId w:val="12"/>
        </w:numPr>
        <w:spacing w:before="0" w:beforeAutospacing="0" w:line="360" w:lineRule="auto"/>
        <w:tabs>
          <w:tab w:val="left" w:pos="1155"/>
        </w:tabs>
      </w:pPr>
      <w:r w:rsidRPr="004C2839">
        <w:t xml:space="preserve">ScienceDirect (2026) </w:t>
      </w:r>
      <w:r w:rsidRPr="004C2839">
        <w:rPr>
          <w:iCs/>
          <w:i/>
        </w:rPr>
        <w:t>Automotive industry research article</w:t>
      </w:r>
      <w:r w:rsidRPr="004C2839">
        <w:t xml:space="preserve">. Available at: </w:t>
      </w:r>
      <w:hyperlink w:history="1" w:tgtFrame="_new" r:id="rId39">
        <w:r w:rsidRPr="00EE2B00">
          <w:rPr>
            <w:rStyle w:val="Hyperlink"/>
          </w:rPr>
          <w:t>https://www.sciencedirect.com/science/article/abs/pii/S0160791X26000710</w:t>
        </w:r>
      </w:hyperlink>
      <w:r w:rsidRPr="00EE2B00">
        <w:rPr>
          <w:color w:val="404040"/>
        </w:rPr>
        <w:t xml:space="preserve"> </w:t>
      </w:r>
      <w:r w:rsidRPr="004C2839">
        <w:t>(Accessed: 17 March 2026).</w:t>
      </w:r>
    </w:p>
    <w:p w:rsidR="00EE2B00" w:rsidRDefault="00EE2B00" w14:paraId="48A2F29A" w14:textId="77777777" w:rsidP="00EE2B00" w:rsidRPr="004C2839">
      <w:pPr>
        <w:pStyle w:val="NormalWeb"/>
        <w:numPr>
          <w:ilvl w:val="0"/>
          <w:numId w:val="12"/>
        </w:numPr>
        <w:spacing w:before="0" w:beforeAutospacing="0" w:line="360" w:lineRule="auto"/>
        <w:tabs>
          <w:tab w:val="left" w:pos="1155"/>
        </w:tabs>
      </w:pPr>
      <w:r w:rsidRPr="004C2839">
        <w:t xml:space="preserve">SSRN (2021) </w:t>
      </w:r>
      <w:r w:rsidRPr="004C2839">
        <w:rPr>
          <w:iCs/>
          <w:i/>
        </w:rPr>
        <w:t>Automotive industry research paper</w:t>
      </w:r>
      <w:r w:rsidRPr="004C2839">
        <w:t xml:space="preserve">. Available at: </w:t>
      </w:r>
      <w:hyperlink w:history="1" w:tgtFrame="_new" r:id="rId40">
        <w:r w:rsidRPr="00EE2B00">
          <w:rPr>
            <w:rStyle w:val="Hyperlink"/>
          </w:rPr>
          <w:t>https://papers.ssrn.com/sol3/papers.cfm?abstract_id=3952148</w:t>
        </w:r>
      </w:hyperlink>
      <w:r w:rsidRPr="00EE2B00">
        <w:rPr>
          <w:color w:val="404040"/>
        </w:rPr>
        <w:t xml:space="preserve"> </w:t>
      </w:r>
      <w:r w:rsidRPr="004C2839">
        <w:t xml:space="preserve">(Accessed: </w:t>
      </w:r>
      <w:r w:rsidR="00056A68" w:rsidRPr="004C2839">
        <w:t>2</w:t>
      </w:r>
      <w:r w:rsidRPr="004C2839">
        <w:t xml:space="preserve"> March 2026).</w:t>
      </w:r>
    </w:p>
    <w:p w:rsidR="00EE2B00" w:rsidRDefault="00EE2B00" w14:paraId="2E41C953" w14:textId="77777777" w:rsidP="00EE2B00" w:rsidRPr="004C2839">
      <w:pPr>
        <w:pStyle w:val="NormalWeb"/>
        <w:numPr>
          <w:ilvl w:val="0"/>
          <w:numId w:val="12"/>
        </w:numPr>
        <w:spacing w:before="0" w:beforeAutospacing="0" w:line="360" w:lineRule="auto"/>
        <w:tabs>
          <w:tab w:val="left" w:pos="1155"/>
        </w:tabs>
      </w:pPr>
      <w:proofErr w:type="spellStart"/>
      <w:r w:rsidRPr="004C2839">
        <w:t>Statista</w:t>
      </w:r>
      <w:proofErr w:type="spellEnd"/>
      <w:r w:rsidRPr="004C2839">
        <w:t xml:space="preserve"> (n.d.) </w:t>
      </w:r>
      <w:r w:rsidRPr="004C2839">
        <w:rPr>
          <w:iCs/>
          <w:i/>
        </w:rPr>
        <w:t>Automotive industry in Mexico</w:t>
      </w:r>
      <w:r w:rsidRPr="004C2839">
        <w:t xml:space="preserve">. Available at: </w:t>
      </w:r>
      <w:hyperlink w:history="1" w:tgtFrame="_new" r:id="rId41">
        <w:r w:rsidRPr="00EE2B00">
          <w:rPr>
            <w:rStyle w:val="Hyperlink"/>
          </w:rPr>
          <w:t>https://www.statista.com/topics/7249/automotive-industry-in-mexico/</w:t>
        </w:r>
      </w:hyperlink>
      <w:r w:rsidRPr="00EE2B00">
        <w:rPr>
          <w:color w:val="404040"/>
        </w:rPr>
        <w:t xml:space="preserve"> </w:t>
      </w:r>
      <w:r w:rsidRPr="004C2839">
        <w:t>(Accessed: 17 March 2026).</w:t>
      </w:r>
    </w:p>
    <w:p w:rsidR="00EE2B00" w:rsidRDefault="00EE2B00" w14:paraId="2CD544A7" w14:textId="77777777" w:rsidP="00EE2B00" w:rsidRPr="004C2839">
      <w:pPr>
        <w:pStyle w:val="NormalWeb"/>
        <w:numPr>
          <w:ilvl w:val="0"/>
          <w:numId w:val="12"/>
        </w:numPr>
        <w:spacing w:before="0" w:beforeAutospacing="0" w:line="360" w:lineRule="auto"/>
        <w:tabs>
          <w:tab w:val="left" w:pos="1155"/>
        </w:tabs>
      </w:pPr>
      <w:r w:rsidRPr="004C2839">
        <w:t xml:space="preserve">Trade.gov (n.d.) </w:t>
      </w:r>
      <w:r w:rsidRPr="004C2839">
        <w:rPr>
          <w:iCs/>
          <w:i/>
        </w:rPr>
        <w:t>Mexico automotive industry country commercial guide</w:t>
      </w:r>
      <w:r w:rsidRPr="004C2839">
        <w:t xml:space="preserve">. Available at: </w:t>
      </w:r>
      <w:hyperlink w:history="1" w:tgtFrame="_new" r:id="rId42">
        <w:r w:rsidRPr="00EE2B00">
          <w:rPr>
            <w:rStyle w:val="Hyperlink"/>
          </w:rPr>
          <w:t>https://www.trade.gov/country-commercial-guides/mexico-automotive-industry</w:t>
        </w:r>
      </w:hyperlink>
      <w:r w:rsidR="00056A68">
        <w:rPr>
          <w:color w:val="404040"/>
        </w:rPr>
        <w:t xml:space="preserve"> </w:t>
      </w:r>
      <w:r w:rsidR="00056A68" w:rsidRPr="004C2839">
        <w:t>(Accessed: 13</w:t>
      </w:r>
      <w:r w:rsidRPr="004C2839">
        <w:t xml:space="preserve"> March 2026).</w:t>
      </w:r>
    </w:p>
    <w:p w:rsidR="00EE2B00" w:rsidRDefault="00EE2B00" w14:paraId="0CB789CC" w14:textId="77777777" w:rsidP="00EE2B00" w:rsidRPr="004C2839">
      <w:pPr>
        <w:pStyle w:val="NormalWeb"/>
        <w:numPr>
          <w:ilvl w:val="0"/>
          <w:numId w:val="12"/>
        </w:numPr>
        <w:spacing w:before="0" w:beforeAutospacing="0" w:line="360" w:lineRule="auto"/>
        <w:tabs>
          <w:tab w:val="left" w:pos="1155"/>
        </w:tabs>
      </w:pPr>
      <w:r w:rsidRPr="004C2839">
        <w:t xml:space="preserve">Trade.gov (n.d.) </w:t>
      </w:r>
      <w:r w:rsidRPr="004C2839">
        <w:rPr>
          <w:iCs/>
          <w:i/>
        </w:rPr>
        <w:t>New vehicle trade data visualization</w:t>
      </w:r>
      <w:r w:rsidRPr="004C2839">
        <w:t xml:space="preserve">. Available at: </w:t>
      </w:r>
      <w:hyperlink w:history="1" w:tgtFrame="_new" r:id="rId43">
        <w:r w:rsidRPr="00EE2B00">
          <w:rPr>
            <w:rStyle w:val="Hyperlink"/>
          </w:rPr>
          <w:t>https://www.trade.gov/data-visualization/new-vehicle-trade-data-visualization</w:t>
        </w:r>
      </w:hyperlink>
      <w:r w:rsidR="00056A68">
        <w:rPr>
          <w:color w:val="404040"/>
        </w:rPr>
        <w:t xml:space="preserve"> </w:t>
      </w:r>
      <w:r w:rsidR="00056A68" w:rsidRPr="004C2839">
        <w:t>(Accessed: 13</w:t>
      </w:r>
      <w:r w:rsidRPr="004C2839">
        <w:t xml:space="preserve"> March 2026).</w:t>
      </w:r>
    </w:p>
    <w:p w:rsidR="00EE2B00" w:rsidRDefault="00EE2B00" w14:paraId="782E0364" w14:textId="77777777" w:rsidP="00EE2B00" w:rsidRPr="004C2839">
      <w:pPr>
        <w:pStyle w:val="NormalWeb"/>
        <w:numPr>
          <w:ilvl w:val="0"/>
          <w:numId w:val="12"/>
        </w:numPr>
        <w:spacing w:before="0" w:beforeAutospacing="0" w:line="360" w:lineRule="auto"/>
        <w:tabs>
          <w:tab w:val="left" w:pos="1155"/>
        </w:tabs>
      </w:pPr>
      <w:r w:rsidRPr="004C2839">
        <w:t xml:space="preserve">UNIDO (2009) </w:t>
      </w:r>
      <w:r w:rsidRPr="004C2839">
        <w:rPr>
          <w:iCs/>
          <w:i/>
        </w:rPr>
        <w:t>Global automotive industry value chain</w:t>
      </w:r>
      <w:r w:rsidRPr="004C2839">
        <w:t xml:space="preserve">. Available at: </w:t>
      </w:r>
      <w:hyperlink w:history="1" w:tgtFrame="_new" r:id="rId44">
        <w:r w:rsidRPr="00EE2B00">
          <w:rPr>
            <w:rStyle w:val="Hyperlink"/>
          </w:rPr>
          <w:t>https://www.unido.org/sites/default/files/2009-12/Global_automotive_industry_value_chain_0.pdf</w:t>
        </w:r>
      </w:hyperlink>
      <w:r w:rsidRPr="00EE2B00">
        <w:rPr>
          <w:color w:val="404040"/>
        </w:rPr>
        <w:t xml:space="preserve"> </w:t>
      </w:r>
      <w:r w:rsidRPr="004C2839">
        <w:t>(Accessed: 17 March 2026).</w:t>
      </w:r>
    </w:p>
    <w:p w:rsidR="00EE2B00" w:rsidRDefault="00EE2B00" w14:paraId="1844FA95" w14:textId="77777777" w:rsidP="00EE2B00" w:rsidRPr="004C2839">
      <w:pPr>
        <w:pStyle w:val="NormalWeb"/>
        <w:numPr>
          <w:ilvl w:val="0"/>
          <w:numId w:val="12"/>
        </w:numPr>
        <w:spacing w:before="0" w:beforeAutospacing="0" w:line="360" w:lineRule="auto"/>
        <w:tabs>
          <w:tab w:val="left" w:pos="1155"/>
        </w:tabs>
      </w:pPr>
      <w:r w:rsidRPr="004C2839">
        <w:t xml:space="preserve">INEGI (n.d.) </w:t>
      </w:r>
      <w:r w:rsidRPr="004C2839">
        <w:rPr>
          <w:iCs/>
          <w:i/>
        </w:rPr>
        <w:t xml:space="preserve">Instituto Nacional de </w:t>
      </w:r>
      <w:proofErr w:type="spellStart"/>
      <w:r w:rsidRPr="004C2839">
        <w:rPr>
          <w:iCs/>
          <w:i/>
        </w:rPr>
        <w:t>Estadística</w:t>
      </w:r>
      <w:proofErr w:type="spellEnd"/>
      <w:r w:rsidRPr="004C2839">
        <w:rPr>
          <w:iCs/>
          <w:i/>
        </w:rPr>
        <w:t xml:space="preserve"> y </w:t>
      </w:r>
      <w:proofErr w:type="spellStart"/>
      <w:r w:rsidRPr="004C2839">
        <w:rPr>
          <w:iCs/>
          <w:i/>
        </w:rPr>
        <w:t>Geografía</w:t>
      </w:r>
      <w:proofErr w:type="spellEnd"/>
      <w:r w:rsidRPr="004C2839">
        <w:t xml:space="preserve">. Available at: </w:t>
      </w:r>
      <w:hyperlink w:history="1" w:tgtFrame="_new" r:id="rId45">
        <w:r w:rsidRPr="00EE2B00">
          <w:rPr>
            <w:rStyle w:val="Hyperlink"/>
          </w:rPr>
          <w:t>https://en.www.inegi.org.mx/</w:t>
        </w:r>
      </w:hyperlink>
      <w:r w:rsidR="00056A68">
        <w:rPr>
          <w:color w:val="404040"/>
        </w:rPr>
        <w:t xml:space="preserve"> </w:t>
      </w:r>
      <w:r w:rsidR="00056A68" w:rsidRPr="004C2839">
        <w:t>(Accessed: 13</w:t>
      </w:r>
      <w:r w:rsidRPr="004C2839">
        <w:t xml:space="preserve"> March 2026).</w:t>
      </w:r>
    </w:p>
    <w:p w:rsidR="00EE2B00" w:rsidRDefault="00EE2B00" w14:paraId="294DE525" w14:textId="77777777" w:rsidP="00EE2B00" w:rsidRPr="004C2839">
      <w:pPr>
        <w:pStyle w:val="NormalWeb"/>
        <w:numPr>
          <w:ilvl w:val="0"/>
          <w:numId w:val="12"/>
        </w:numPr>
        <w:spacing w:before="0" w:beforeAutospacing="0" w:line="360" w:lineRule="auto"/>
        <w:tabs>
          <w:tab w:val="left" w:pos="1155"/>
        </w:tabs>
      </w:pPr>
      <w:r w:rsidRPr="004C2839">
        <w:t xml:space="preserve">INA (2024) </w:t>
      </w:r>
      <w:r w:rsidRPr="004C2839">
        <w:rPr>
          <w:iCs/>
          <w:i/>
        </w:rPr>
        <w:t>Automotive industry in Mexico overview</w:t>
      </w:r>
      <w:r w:rsidRPr="004C2839">
        <w:t xml:space="preserve">. Available at: </w:t>
      </w:r>
      <w:hyperlink w:history="1" w:tgtFrame="_new" r:id="rId46">
        <w:r w:rsidRPr="00EE2B00">
          <w:rPr>
            <w:rStyle w:val="Hyperlink"/>
          </w:rPr>
          <w:t>https://ina.com.mx/wp-content/uploads/2024/09/AUTOMOTIVE-INDUSTRY-IN-MEXICO-Overview.pdf</w:t>
        </w:r>
      </w:hyperlink>
      <w:r w:rsidR="00056A68">
        <w:rPr>
          <w:color w:val="404040"/>
        </w:rPr>
        <w:t xml:space="preserve"> </w:t>
      </w:r>
      <w:r w:rsidR="00056A68" w:rsidRPr="004C2839">
        <w:t>(Accessed: 12</w:t>
      </w:r>
      <w:r w:rsidRPr="004C2839">
        <w:t xml:space="preserve"> March 2026).</w:t>
      </w:r>
    </w:p>
    <w:p w:rsidR="00BA0FA5" w:rsidRDefault="00A80DAA" w14:paraId="2C5C8D11" w14:textId="77777777" w:rsidP="00A80DAA" w:rsidRPr="009225E6">
      <w:pPr>
        <w:pStyle w:val="NormalWeb"/>
        <w:spacing w:before="0" w:beforeAutospacing="0" w:line="360" w:lineRule="auto"/>
        <w:tabs>
          <w:tab w:val="left" w:pos="1155"/>
        </w:tabs>
        <w:rPr>
          <w:color w:val="404040"/>
        </w:rPr>
      </w:pPr>
      <w:r w:rsidRPr="009225E6">
        <w:rPr>
          <w:color w:val="404040"/>
        </w:rPr>
        <w:tab/>
      </w:r>
    </w:p>
    <w:p w:rsidR="00EE2B00" w:rsidRDefault="00EE2B00" w14:paraId="759C89BB" w14:textId="77777777" w:rsidP="00EE2B00" w:rsidRPr="00EE2B00">
      <w:pPr>
        <w:pStyle w:val="NormalWeb"/>
        <w:spacing w:before="0" w:line="360" w:lineRule="auto"/>
        <w:rPr>
          <w:sz w:val="22"/>
          <w:szCs w:val="22"/>
        </w:rPr>
      </w:pPr>
    </w:p>
    <w:p w:rsidR="00864CE3" w:rsidRDefault="00864CE3" w14:paraId="115CD2DB" w14:textId="77777777" w:rsidP="00DA6403">
      <w:pPr>
        <w:shd w:fill="FFFFFF" w:color="auto" w:val="clear"/>
        <w:pStyle w:val="ds-markdown-paragraph"/>
        <w:ind w:left="720"/>
        <w:spacing w:before="240" w:beforeAutospacing="0" w:after="240" w:afterAutospacing="0"/>
        <w:rPr>
          <w:color w:val="0F1115"/>
          <w:rFonts w:ascii="Segoe UI" w:cs="Segoe UI" w:hAnsi="Segoe UI"/>
        </w:rPr>
      </w:pPr>
    </w:p>
    <w:p w:rsidR="00334782" w:rsidRDefault="00334782" w14:paraId="3111E211" w14:textId="77777777">
      <w:pPr>
        <w:rPr>
          <w:lang w:val="en-US"/>
          <w:rFonts w:ascii="Times New Roman" w:cs="Times New Roman" w:eastAsia="Times New Roman" w:hAnsi="Times New Roman"/>
        </w:rPr>
      </w:pPr>
      <w:r>
        <w:br w:type="page"/>
      </w:r>
    </w:p>
    <w:p w:rsidR="00174256" w:rsidRDefault="00334782" w14:paraId="161A7D18" w14:textId="77777777" w:rsidP="00334782">
      <w:pPr>
        <w:pStyle w:val="Heading1"/>
      </w:pPr>
      <w:bookmarkStart w:id="11" w:name="_Toc224662507"/>
      <w:r>
        <w:t>Appendixes</w:t>
      </w:r>
      <w:bookmarkEnd w:id="11"/>
    </w:p>
    <w:p w:rsidR="00E068F4" w:rsidRDefault="00E068F4" w14:paraId="113DD02C" w14:textId="77777777" w:rsidP="00334782" w:rsidRPr="00E068F4">
      <w:pPr>
        <w:pStyle w:val="Heading2"/>
        <w:rPr>
          <w:lang w:val="en-US"/>
          <w:b w:val="0"/>
          <w:i/>
          <w:color w:val="FF0000"/>
        </w:rPr>
      </w:pPr>
      <w:bookmarkStart w:id="12" w:name="_Toc224662508"/>
      <w:r w:rsidRPr="00E068F4">
        <w:rPr>
          <w:lang w:val="en-US"/>
          <w:b w:val="0"/>
          <w:i/>
          <w:color w:val="FF0000"/>
        </w:rPr>
        <w:t>Appendix-I-</w:t>
      </w:r>
      <w:r w:rsidRPr="00E068F4">
        <w:rPr>
          <w:lang w:val="en-US"/>
          <w:i/>
          <w:color w:val="FF0000"/>
        </w:rPr>
        <w:t xml:space="preserve"> </w:t>
      </w:r>
      <w:r w:rsidR="00491E88" w:rsidRPr="00491E88">
        <w:rPr>
          <w:b w:val="0"/>
          <w:i/>
          <w:color w:val="FF0000"/>
          <w:sz w:val="28"/>
          <w:szCs w:val="28"/>
        </w:rPr>
        <w:t>Mexic</w:t>
      </w:r>
      <w:r w:rsidR="00491E88" w:rsidRPr="00491E88">
        <w:rPr>
          <w:b w:val="0"/>
          <w:i/>
          <w:color w:val="FF0000"/>
        </w:rPr>
        <w:t xml:space="preserve">o Automotive Industry </w:t>
      </w:r>
      <w:r w:rsidR="00491E88">
        <w:rPr>
          <w:b w:val="0"/>
          <w:i/>
          <w:color w:val="FF0000"/>
        </w:rPr>
        <w:t>Overview</w:t>
      </w:r>
      <w:bookmarkEnd w:id="12"/>
      <w:r w:rsidR="00491E88">
        <w:rPr>
          <w:b w:val="0"/>
          <w:i/>
          <w:color w:val="FF0000"/>
        </w:rPr>
        <w:t xml:space="preserve"> </w:t>
      </w:r>
    </w:p>
    <w:p w:rsidR="00BE4DD3" w:rsidRDefault="00BE56C9" w14:paraId="0B67E248" w14:textId="77777777" w:rsidP="00365C88">
      <w:pPr>
        <w:jc w:val="center"/>
      </w:pPr>
      <w:r>
        <w:rPr>
          <w:noProof/>
        </w:rPr>
        <w:drawing>
          <wp:inline distB="0" distL="0" distR="0" distT="0" wp14:anchorId="3234BF94" wp14:editId="7BBA369F">
            <wp:extent cx="5731510" cy="4274185"/>
            <wp:effectExtent l="171450" t="171450" r="383540" b="3549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1"/>
                    <a:stretch>
                      <a:fillRect/>
                    </a:stretch>
                  </pic:blipFill>
                  <pic:spPr>
                    <a:xfrm>
                      <a:off x="0" y="0"/>
                      <a:ext cx="5731510" cy="4274751"/>
                    </a:xfrm>
                    <a:prstGeom prst="rect">
                      <a:avLst/>
                    </a:prstGeom>
                    <a:ln>
                      <a:noFill/>
                    </a:ln>
                    <a:effectLst>
                      <a:outerShdw blurRad="292100" dist="139700" dir="2700000" algn="tl" rotWithShape="0">
                        <a:srgbClr val="333333">
                          <a:alpha val="65000"/>
                        </a:srgbClr>
                      </a:outerShdw>
                    </a:effectLst>
                  </pic:spPr>
                </pic:pic>
              </a:graphicData>
            </a:graphic>
          </wp:inline>
        </w:drawing>
      </w:r>
    </w:p>
    <w:p w:rsidR="00D579B8" w:rsidRDefault="00D579B8" w14:paraId="2B60A3C6" w14:textId="77777777" w:rsidP="00BE4DD3">
      <w:r>
        <w:rPr>
          <w:noProof/>
        </w:rPr>
        <w:drawing>
          <wp:inline distB="0" distL="0" distR="0" distT="0" wp14:anchorId="3F4B9848" wp14:editId="521DD181">
            <wp:extent cx="4419600" cy="876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7"/>
                    <a:stretch>
                      <a:fillRect/>
                    </a:stretch>
                  </pic:blipFill>
                  <pic:spPr>
                    <a:xfrm>
                      <a:off x="0" y="0"/>
                      <a:ext cx="4419600" cy="876300"/>
                    </a:xfrm>
                    <a:prstGeom prst="rect">
                      <a:avLst/>
                    </a:prstGeom>
                  </pic:spPr>
                </pic:pic>
              </a:graphicData>
            </a:graphic>
          </wp:inline>
        </w:drawing>
      </w:r>
    </w:p>
    <w:p w:rsidR="00F4239E" w:rsidRDefault="00F4239E" w14:paraId="35779E93" w14:textId="77777777" w:rsidP="000B0CEC">
      <w:pPr>
        <w:jc w:val="center"/>
      </w:pPr>
      <w:r w:rsidRPr="00F4239E">
        <w:rPr>
          <w:b/>
          <w:i/>
        </w:rPr>
        <w:t>Source</w:t>
      </w:r>
      <w:r>
        <w:t xml:space="preserve">: </w:t>
      </w:r>
      <w:hyperlink w:history="1" r:id="rId49">
        <w:r w:rsidRPr="00D36067">
          <w:rPr>
            <w:rStyle w:val="Hyperlink"/>
          </w:rPr>
          <w:t>https://45088167.fs1.hubspotusercontent-na1.net/hubfs/45088167/Website/Insights/E-books/PRO_AutomotiveIndustry-1.pdf</w:t>
        </w:r>
      </w:hyperlink>
    </w:p>
    <w:p w:rsidR="00056E0F" w:rsidRDefault="00056E0F" w14:paraId="490B375B" w14:textId="77777777" w:rsidP="00365C88">
      <w:pPr>
        <w:jc w:val="center"/>
      </w:pPr>
      <w:r>
        <w:br w:type="page"/>
      </w:r>
      <w:r>
        <w:rPr>
          <w:noProof/>
        </w:rPr>
        <w:drawing>
          <wp:inline distB="0" distL="0" distR="0" distT="0" wp14:anchorId="0BC35AD4" wp14:editId="608030B5">
            <wp:extent cx="5731510" cy="4083050"/>
            <wp:effectExtent l="171450" t="171450" r="383540" b="3556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6"/>
                    <a:stretch>
                      <a:fillRect/>
                    </a:stretch>
                  </pic:blipFill>
                  <pic:spPr>
                    <a:xfrm>
                      <a:off x="0" y="0"/>
                      <a:ext cx="5731510" cy="4083233"/>
                    </a:xfrm>
                    <a:prstGeom prst="rect">
                      <a:avLst/>
                    </a:prstGeom>
                    <a:ln>
                      <a:noFill/>
                    </a:ln>
                    <a:effectLst>
                      <a:outerShdw blurRad="292100" dist="139700" dir="2700000" algn="tl" rotWithShape="0">
                        <a:srgbClr val="333333">
                          <a:alpha val="65000"/>
                        </a:srgbClr>
                      </a:outerShdw>
                    </a:effectLst>
                  </pic:spPr>
                </pic:pic>
              </a:graphicData>
            </a:graphic>
          </wp:inline>
        </w:drawing>
      </w:r>
    </w:p>
    <w:p w:rsidR="00077EB7" w:rsidRDefault="00077EB7" w14:paraId="4E57829D" w14:textId="77777777" w:rsidP="00365C88">
      <w:pPr>
        <w:jc w:val="center"/>
        <w:rPr>
          <w:noProof/>
          <w:lang w:val="en-US"/>
        </w:rPr>
      </w:pPr>
      <w:r>
        <w:rPr>
          <w:noProof/>
        </w:rPr>
        <w:drawing>
          <wp:inline distB="0" distL="0" distR="0" distT="0" wp14:anchorId="7EFB32A7" wp14:editId="05D32E40">
            <wp:extent cx="5600700" cy="4229100"/>
            <wp:effectExtent l="171450" t="171450" r="381000" b="3619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stretch>
                      <a:fillRect/>
                    </a:stretch>
                  </pic:blipFill>
                  <pic:spPr>
                    <a:xfrm>
                      <a:off x="0" y="0"/>
                      <a:ext cx="5600700" cy="4229100"/>
                    </a:xfrm>
                    <a:prstGeom prst="rect">
                      <a:avLst/>
                    </a:prstGeom>
                    <a:ln>
                      <a:noFill/>
                    </a:ln>
                    <a:effectLst>
                      <a:outerShdw blurRad="292100" dist="139700" dir="2700000" algn="tl" rotWithShape="0">
                        <a:srgbClr val="333333">
                          <a:alpha val="65000"/>
                        </a:srgbClr>
                      </a:outerShdw>
                    </a:effectLst>
                  </pic:spPr>
                </pic:pic>
              </a:graphicData>
            </a:graphic>
          </wp:inline>
        </w:drawing>
      </w:r>
      <w:r>
        <w:rPr>
          <w:noProof/>
        </w:rPr>
        <w:drawing>
          <wp:inline distB="0" distL="0" distR="0" distT="0" wp14:anchorId="20C10FD3" wp14:editId="2988CB46">
            <wp:extent cx="5410200" cy="3562350"/>
            <wp:effectExtent l="171450" t="171450" r="381000" b="3619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1"/>
                    <a:stretch>
                      <a:fillRect/>
                    </a:stretch>
                  </pic:blipFill>
                  <pic:spPr>
                    <a:xfrm>
                      <a:off x="0" y="0"/>
                      <a:ext cx="5410200" cy="3562350"/>
                    </a:xfrm>
                    <a:prstGeom prst="rect">
                      <a:avLst/>
                    </a:prstGeom>
                    <a:ln>
                      <a:noFill/>
                    </a:ln>
                    <a:effectLst>
                      <a:outerShdw blurRad="292100" dist="139700" dir="2700000" algn="tl" rotWithShape="0">
                        <a:srgbClr val="333333">
                          <a:alpha val="65000"/>
                        </a:srgbClr>
                      </a:outerShdw>
                    </a:effectLst>
                  </pic:spPr>
                </pic:pic>
              </a:graphicData>
            </a:graphic>
          </wp:inline>
        </w:drawing>
      </w:r>
      <w:r>
        <w:rPr>
          <w:noProof/>
        </w:rPr>
        <w:drawing>
          <wp:inline distB="0" distL="0" distR="0" distT="0" wp14:anchorId="76ED9BD1" wp14:editId="147F8DF3">
            <wp:extent cx="5731510" cy="3614420"/>
            <wp:effectExtent l="171450" t="171450" r="383540" b="36703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3"/>
                    <a:stretch>
                      <a:fillRect/>
                    </a:stretch>
                  </pic:blipFill>
                  <pic:spPr>
                    <a:xfrm>
                      <a:off x="0" y="0"/>
                      <a:ext cx="5731510" cy="3614648"/>
                    </a:xfrm>
                    <a:prstGeom prst="rect">
                      <a:avLst/>
                    </a:prstGeom>
                    <a:ln>
                      <a:noFill/>
                    </a:ln>
                    <a:effectLst>
                      <a:outerShdw blurRad="292100" dist="139700" dir="2700000" algn="tl" rotWithShape="0">
                        <a:srgbClr val="333333">
                          <a:alpha val="65000"/>
                        </a:srgbClr>
                      </a:outerShdw>
                    </a:effectLst>
                  </pic:spPr>
                </pic:pic>
              </a:graphicData>
            </a:graphic>
          </wp:inline>
        </w:drawing>
      </w:r>
    </w:p>
    <w:p w:rsidR="0017322C" w:rsidRDefault="0017322C" w14:paraId="0E3A91BC" w14:textId="77777777" w:rsidP="00365C88">
      <w:pPr>
        <w:jc w:val="center"/>
      </w:pPr>
      <w:r>
        <w:rPr>
          <w:noProof/>
        </w:rPr>
        <w:drawing>
          <wp:inline distB="0" distL="0" distR="0" distT="0" wp14:anchorId="310B3EB7" wp14:editId="17CB8E35">
            <wp:extent cx="5731510" cy="3173730"/>
            <wp:effectExtent l="171450" t="171450" r="383540" b="3695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stretch>
                      <a:fillRect/>
                    </a:stretch>
                  </pic:blipFill>
                  <pic:spPr>
                    <a:xfrm>
                      <a:off x="0" y="0"/>
                      <a:ext cx="5731510" cy="3173762"/>
                    </a:xfrm>
                    <a:prstGeom prst="rect">
                      <a:avLst/>
                    </a:prstGeom>
                    <a:ln>
                      <a:noFill/>
                    </a:ln>
                    <a:effectLst>
                      <a:outerShdw blurRad="292100" dist="139700" dir="2700000" algn="tl" rotWithShape="0">
                        <a:srgbClr val="333333">
                          <a:alpha val="65000"/>
                        </a:srgbClr>
                      </a:outerShdw>
                    </a:effectLst>
                  </pic:spPr>
                </pic:pic>
              </a:graphicData>
            </a:graphic>
          </wp:inline>
        </w:drawing>
      </w:r>
    </w:p>
    <w:p w:rsidR="00CD4F23" w:rsidRDefault="00CD4F23" w14:paraId="77F5A4D2" w14:textId="77777777" w:rsidP="00365C88">
      <w:pPr>
        <w:jc w:val="center"/>
      </w:pPr>
      <w:r>
        <w:rPr>
          <w:noProof/>
        </w:rPr>
        <w:drawing>
          <wp:inline distB="0" distL="0" distR="0" distT="0" wp14:anchorId="27B7AE80" wp14:editId="2827BEEC">
            <wp:extent cx="5731510" cy="3157220"/>
            <wp:effectExtent l="171450" t="171450" r="383540" b="3670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stretch>
                      <a:fillRect/>
                    </a:stretch>
                  </pic:blipFill>
                  <pic:spPr>
                    <a:xfrm>
                      <a:off x="0" y="0"/>
                      <a:ext cx="5731510" cy="3157842"/>
                    </a:xfrm>
                    <a:prstGeom prst="rect">
                      <a:avLst/>
                    </a:prstGeom>
                    <a:ln>
                      <a:noFill/>
                    </a:ln>
                    <a:effectLst>
                      <a:outerShdw blurRad="292100" dist="139700" dir="2700000" algn="tl" rotWithShape="0">
                        <a:srgbClr val="333333">
                          <a:alpha val="65000"/>
                        </a:srgbClr>
                      </a:outerShdw>
                    </a:effectLst>
                  </pic:spPr>
                </pic:pic>
              </a:graphicData>
            </a:graphic>
          </wp:inline>
        </w:drawing>
      </w:r>
    </w:p>
    <w:p w:rsidR="00646789" w:rsidRDefault="00646789" w14:paraId="25C11017" w14:textId="77777777" w:rsidP="00365C88">
      <w:pPr>
        <w:jc w:val="center"/>
      </w:pPr>
      <w:r>
        <w:rPr>
          <w:noProof/>
        </w:rPr>
        <w:drawing>
          <wp:inline distB="0" distL="0" distR="0" distT="0" wp14:anchorId="7B15D788" wp14:editId="1415E641">
            <wp:extent cx="5731510" cy="3147695"/>
            <wp:effectExtent l="171450" t="171450" r="383540" b="3575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8"/>
                    <a:stretch>
                      <a:fillRect/>
                    </a:stretch>
                  </pic:blipFill>
                  <pic:spPr>
                    <a:xfrm>
                      <a:off x="0" y="0"/>
                      <a:ext cx="5731510" cy="3148044"/>
                    </a:xfrm>
                    <a:prstGeom prst="rect">
                      <a:avLst/>
                    </a:prstGeom>
                    <a:ln>
                      <a:noFill/>
                    </a:ln>
                    <a:effectLst>
                      <a:outerShdw blurRad="292100" dist="139700" dir="2700000" algn="tl" rotWithShape="0">
                        <a:srgbClr val="333333">
                          <a:alpha val="65000"/>
                        </a:srgbClr>
                      </a:outerShdw>
                    </a:effectLst>
                  </pic:spPr>
                </pic:pic>
              </a:graphicData>
            </a:graphic>
          </wp:inline>
        </w:drawing>
      </w:r>
    </w:p>
    <w:p w:rsidR="00031E0D" w:rsidRDefault="00031E0D" w14:paraId="7A93094F" w14:textId="77777777" w:rsidP="000B0CEC">
      <w:pPr>
        <w:rPr>
          <w:rStyle w:val="Hyperlink"/>
        </w:rPr>
        <w:jc w:val="center"/>
        <w:rPr>
          <w:rStyle w:val="Hyperlink"/>
        </w:rPr>
      </w:pPr>
      <w:r w:rsidRPr="00031E0D">
        <w:rPr>
          <w:b/>
          <w:i/>
        </w:rPr>
        <w:t>Source:</w:t>
      </w:r>
      <w:r>
        <w:t xml:space="preserve"> </w:t>
      </w:r>
      <w:hyperlink w:history="1" r:id="rId57">
        <w:r w:rsidRPr="00D36067">
          <w:rPr>
            <w:rStyle w:val="Hyperlink"/>
          </w:rPr>
          <w:t>https://e-mobility.mx/wp-content/uploads/2024/06/Dialogo-Version-Final_Ingles.pdf</w:t>
        </w:r>
      </w:hyperlink>
    </w:p>
    <w:p w:rsidR="00B701B4" w:rsidRDefault="0075041E" w14:paraId="75D91C6C" w14:textId="77777777" w:rsidP="0075041E">
      <w:pPr>
        <w:rPr>
          <w:rStyle w:val="Hyperlink"/>
        </w:rPr>
        <w:pStyle w:val="Caption"/>
        <w:jc w:val="center"/>
        <w:rPr>
          <w:rStyle w:val="Hyperlink"/>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B551F3">
        <w:t>Mexico Automotive Industry Overview</w:t>
      </w:r>
      <w:r>
        <w:rPr>
          <w:rStyle w:val="Hyperlink"/>
        </w:rPr>
        <w:br w:type="page"/>
      </w:r>
    </w:p>
    <w:p w:rsidR="00B701B4" w:rsidRDefault="00B701B4" w14:paraId="25245DB0" w14:textId="77777777" w:rsidP="00B701B4" w:rsidRPr="00B701B4">
      <w:pPr>
        <w:rPr>
          <w:rStyle w:val="Hyperlink"/>
        </w:rPr>
        <w:pStyle w:val="Heading2"/>
        <w:rPr>
          <w:rStyle w:val="Hyperlink"/>
          <w:u w:val="none"/>
        </w:rPr>
      </w:pPr>
      <w:bookmarkStart w:id="13" w:name="_Toc224662509"/>
      <w:r w:rsidRPr="00B701B4">
        <w:rPr>
          <w:rStyle w:val="Hyperlink"/>
          <w:u w:val="none"/>
        </w:rPr>
        <w:t>Appendix-II</w:t>
      </w:r>
      <w:bookmarkEnd w:id="13"/>
    </w:p>
    <w:p w:rsidR="00B701B4" w:rsidRDefault="00914698" w14:paraId="7F2AE58D" w14:textId="77777777" w:rsidP="00365C88">
      <w:pPr>
        <w:jc w:val="center"/>
      </w:pPr>
      <w:r>
        <w:rPr>
          <w:noProof/>
        </w:rPr>
        <w:drawing>
          <wp:inline distB="0" distL="0" distR="0" distT="0" wp14:anchorId="7CAADE68" wp14:editId="5A42E101">
            <wp:extent cx="5648325" cy="2371725"/>
            <wp:effectExtent l="171450" t="171450" r="390525" b="3714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4"/>
                    <a:stretch>
                      <a:fillRect/>
                    </a:stretch>
                  </pic:blipFill>
                  <pic:spPr>
                    <a:xfrm>
                      <a:off x="0" y="0"/>
                      <a:ext cx="5648325" cy="2371725"/>
                    </a:xfrm>
                    <a:prstGeom prst="rect">
                      <a:avLst/>
                    </a:prstGeom>
                    <a:ln>
                      <a:noFill/>
                    </a:ln>
                    <a:effectLst>
                      <a:outerShdw blurRad="292100" dist="139700" dir="2700000" algn="tl" rotWithShape="0">
                        <a:srgbClr val="333333">
                          <a:alpha val="65000"/>
                        </a:srgbClr>
                      </a:outerShdw>
                    </a:effectLst>
                  </pic:spPr>
                </pic:pic>
              </a:graphicData>
            </a:graphic>
          </wp:inline>
        </w:drawing>
      </w:r>
    </w:p>
    <w:p w:rsidR="0059405F" w:rsidRDefault="0059405F" w14:paraId="2BB55067" w14:textId="77777777" w:rsidP="00365C88">
      <w:pPr>
        <w:jc w:val="center"/>
      </w:pPr>
      <w:r>
        <w:rPr>
          <w:noProof/>
        </w:rPr>
        <w:drawing>
          <wp:inline distB="0" distL="0" distR="0" distT="0" wp14:anchorId="5444BC11" wp14:editId="6BEFAF51">
            <wp:extent cx="5731510" cy="2589530"/>
            <wp:effectExtent l="171450" t="171450" r="383540" b="3632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stretch>
                      <a:fillRect/>
                    </a:stretch>
                  </pic:blipFill>
                  <pic:spPr>
                    <a:xfrm>
                      <a:off x="0" y="0"/>
                      <a:ext cx="5731510" cy="2589652"/>
                    </a:xfrm>
                    <a:prstGeom prst="rect">
                      <a:avLst/>
                    </a:prstGeom>
                    <a:ln>
                      <a:noFill/>
                    </a:ln>
                    <a:effectLst>
                      <a:outerShdw blurRad="292100" dist="139700" dir="2700000" algn="tl" rotWithShape="0">
                        <a:srgbClr val="333333">
                          <a:alpha val="65000"/>
                        </a:srgbClr>
                      </a:outerShdw>
                    </a:effectLst>
                  </pic:spPr>
                </pic:pic>
              </a:graphicData>
            </a:graphic>
          </wp:inline>
        </w:drawing>
      </w:r>
    </w:p>
    <w:p w:rsidR="00036C2B" w:rsidRDefault="00036C2B" w14:paraId="65DA54C2" w14:textId="77777777" w:rsidP="00365C88">
      <w:pPr>
        <w:jc w:val="center"/>
      </w:pPr>
      <w:r>
        <w:rPr>
          <w:noProof/>
        </w:rPr>
        <w:drawing>
          <wp:inline distB="0" distL="0" distR="0" distT="0" wp14:anchorId="698B058C" wp14:editId="047BDED2">
            <wp:extent cx="5731510" cy="3410585"/>
            <wp:effectExtent l="171450" t="171450" r="383540" b="3613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2"/>
                    <a:stretch>
                      <a:fillRect/>
                    </a:stretch>
                  </pic:blipFill>
                  <pic:spPr>
                    <a:xfrm>
                      <a:off x="0" y="0"/>
                      <a:ext cx="5731510" cy="3410738"/>
                    </a:xfrm>
                    <a:prstGeom prst="rect">
                      <a:avLst/>
                    </a:prstGeom>
                    <a:ln>
                      <a:noFill/>
                    </a:ln>
                    <a:effectLst>
                      <a:outerShdw blurRad="292100" dist="139700" dir="2700000" algn="tl" rotWithShape="0">
                        <a:srgbClr val="333333">
                          <a:alpha val="65000"/>
                        </a:srgbClr>
                      </a:outerShdw>
                    </a:effectLst>
                  </pic:spPr>
                </pic:pic>
              </a:graphicData>
            </a:graphic>
          </wp:inline>
        </w:drawing>
      </w:r>
    </w:p>
    <w:p w:rsidR="00036C2B" w:rsidRDefault="00036C2B" w14:paraId="03F29269" w14:textId="77777777" w:rsidP="00365C88">
      <w:pPr>
        <w:jc w:val="center"/>
      </w:pPr>
      <w:r>
        <w:rPr>
          <w:noProof/>
        </w:rPr>
        <w:drawing>
          <wp:inline distB="0" distL="0" distR="0" distT="0" wp14:anchorId="3020897B" wp14:editId="1D82FA83">
            <wp:extent cx="5731510" cy="2778125"/>
            <wp:effectExtent l="171450" t="171450" r="383540" b="3651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6"/>
                    <a:stretch>
                      <a:fillRect/>
                    </a:stretch>
                  </pic:blipFill>
                  <pic:spPr>
                    <a:xfrm>
                      <a:off x="0" y="0"/>
                      <a:ext cx="5731510" cy="2778190"/>
                    </a:xfrm>
                    <a:prstGeom prst="rect">
                      <a:avLst/>
                    </a:prstGeom>
                    <a:ln>
                      <a:noFill/>
                    </a:ln>
                    <a:effectLst>
                      <a:outerShdw blurRad="292100" dist="139700" dir="2700000" algn="tl" rotWithShape="0">
                        <a:srgbClr val="333333">
                          <a:alpha val="65000"/>
                        </a:srgbClr>
                      </a:outerShdw>
                    </a:effectLst>
                  </pic:spPr>
                </pic:pic>
              </a:graphicData>
            </a:graphic>
          </wp:inline>
        </w:drawing>
      </w:r>
    </w:p>
    <w:p w:rsidR="00036C2B" w:rsidRDefault="00036C2B" w14:paraId="0BE78A42" w14:textId="77777777" w:rsidP="00365C88">
      <w:pPr>
        <w:jc w:val="center"/>
      </w:pPr>
      <w:r>
        <w:rPr>
          <w:noProof/>
        </w:rPr>
        <w:drawing>
          <wp:inline distB="0" distL="0" distR="0" distT="0" wp14:anchorId="2F42FFB5" wp14:editId="4A84D427">
            <wp:extent cx="5731510" cy="2011680"/>
            <wp:effectExtent l="171450" t="171450" r="383540" b="3695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stretch>
                      <a:fillRect/>
                    </a:stretch>
                  </pic:blipFill>
                  <pic:spPr>
                    <a:xfrm>
                      <a:off x="0" y="0"/>
                      <a:ext cx="5731510" cy="2012152"/>
                    </a:xfrm>
                    <a:prstGeom prst="rect">
                      <a:avLst/>
                    </a:prstGeom>
                    <a:ln>
                      <a:noFill/>
                    </a:ln>
                    <a:effectLst>
                      <a:outerShdw blurRad="292100" dist="139700" dir="2700000" algn="tl" rotWithShape="0">
                        <a:srgbClr val="333333">
                          <a:alpha val="65000"/>
                        </a:srgbClr>
                      </a:outerShdw>
                    </a:effectLst>
                  </pic:spPr>
                </pic:pic>
              </a:graphicData>
            </a:graphic>
          </wp:inline>
        </w:drawing>
      </w:r>
    </w:p>
    <w:p w:rsidR="00036C2B" w:rsidRDefault="00036C2B" w14:paraId="4CAFBDB9" w14:textId="77777777" w:rsidP="00365C88">
      <w:pPr>
        <w:jc w:val="center"/>
      </w:pPr>
      <w:r>
        <w:rPr>
          <w:noProof/>
        </w:rPr>
        <w:drawing>
          <wp:inline distB="0" distL="0" distR="0" distT="0" wp14:anchorId="57C2CDAD" wp14:editId="6A3CE2F2">
            <wp:extent cx="5731510" cy="2259330"/>
            <wp:effectExtent l="171450" t="171450" r="383540" b="3695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2"/>
                    <a:stretch>
                      <a:fillRect/>
                    </a:stretch>
                  </pic:blipFill>
                  <pic:spPr>
                    <a:xfrm>
                      <a:off x="0" y="0"/>
                      <a:ext cx="5731510" cy="2259538"/>
                    </a:xfrm>
                    <a:prstGeom prst="rect">
                      <a:avLst/>
                    </a:prstGeom>
                    <a:ln>
                      <a:noFill/>
                    </a:ln>
                    <a:effectLst>
                      <a:outerShdw blurRad="292100" dist="139700" dir="2700000" algn="tl" rotWithShape="0">
                        <a:srgbClr val="333333">
                          <a:alpha val="65000"/>
                        </a:srgbClr>
                      </a:outerShdw>
                    </a:effectLst>
                  </pic:spPr>
                </pic:pic>
              </a:graphicData>
            </a:graphic>
          </wp:inline>
        </w:drawing>
      </w:r>
    </w:p>
    <w:p w:rsidR="00031E0D" w:rsidRDefault="006C3A70" w14:paraId="0D0E4172" w14:textId="77777777" w:rsidP="00365C88">
      <w:pPr>
        <w:jc w:val="center"/>
      </w:pPr>
      <w:r>
        <w:rPr>
          <w:noProof/>
        </w:rPr>
        <w:drawing>
          <wp:inline distB="0" distL="0" distR="0" distT="0" wp14:anchorId="5F2F1885" wp14:editId="17AA1F4A">
            <wp:extent cx="5731510" cy="2985770"/>
            <wp:effectExtent l="171450" t="171450" r="383540" b="3670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9"/>
                    <a:stretch>
                      <a:fillRect/>
                    </a:stretch>
                  </pic:blipFill>
                  <pic:spPr>
                    <a:xfrm>
                      <a:off x="0" y="0"/>
                      <a:ext cx="5731510" cy="2986386"/>
                    </a:xfrm>
                    <a:prstGeom prst="rect">
                      <a:avLst/>
                    </a:prstGeom>
                    <a:ln>
                      <a:noFill/>
                    </a:ln>
                    <a:effectLst>
                      <a:outerShdw blurRad="292100" dist="139700" dir="2700000" algn="tl" rotWithShape="0">
                        <a:srgbClr val="333333">
                          <a:alpha val="65000"/>
                        </a:srgbClr>
                      </a:outerShdw>
                    </a:effectLst>
                  </pic:spPr>
                </pic:pic>
              </a:graphicData>
            </a:graphic>
          </wp:inline>
        </w:drawing>
      </w:r>
    </w:p>
    <w:p w:rsidR="00F4239E" w:rsidRDefault="007769DA" w14:paraId="76F160B7" w14:textId="77777777" w:rsidP="00365C88">
      <w:pPr>
        <w:jc w:val="center"/>
      </w:pPr>
      <w:r>
        <w:rPr>
          <w:noProof/>
        </w:rPr>
        <w:drawing>
          <wp:inline distB="0" distL="0" distR="0" distT="0" wp14:anchorId="24734163" wp14:editId="43143F00">
            <wp:extent cx="5648325" cy="4667250"/>
            <wp:effectExtent l="171450" t="171450" r="390525" b="3619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stretch>
                      <a:fillRect/>
                    </a:stretch>
                  </pic:blipFill>
                  <pic:spPr>
                    <a:xfrm>
                      <a:off x="0" y="0"/>
                      <a:ext cx="5648325" cy="4667250"/>
                    </a:xfrm>
                    <a:prstGeom prst="rect">
                      <a:avLst/>
                    </a:prstGeom>
                    <a:ln>
                      <a:noFill/>
                    </a:ln>
                    <a:effectLst>
                      <a:outerShdw blurRad="292100" dist="139700" dir="2700000" algn="tl" rotWithShape="0">
                        <a:srgbClr val="333333">
                          <a:alpha val="65000"/>
                        </a:srgbClr>
                      </a:outerShdw>
                    </a:effectLst>
                  </pic:spPr>
                </pic:pic>
              </a:graphicData>
            </a:graphic>
          </wp:inline>
        </w:drawing>
      </w:r>
    </w:p>
    <w:p w:rsidR="007769DA" w:rsidRDefault="007B16F7" w14:paraId="2518566D" w14:textId="77777777" w:rsidP="00D54122">
      <w:r>
        <w:t xml:space="preserve">Source: </w:t>
      </w:r>
      <w:hyperlink w:history="1" r:id="rId66">
        <w:r w:rsidRPr="00753F63">
          <w:rPr>
            <w:rStyle w:val="Hyperlink"/>
          </w:rPr>
          <w:t>https://www.ifc.org/content/dam/ifc/doc/2025/mexico-sss-auto-industry-in-chiapas.pdf</w:t>
        </w:r>
      </w:hyperlink>
    </w:p>
    <w:p w:rsidR="0075041E" w:rsidRDefault="0075041E" w14:paraId="31B85683" w14:textId="77777777" w:rsidP="0075041E">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Economic Impact of </w:t>
      </w:r>
      <w:r w:rsidRPr="00DA4257">
        <w:t>Mexi</w:t>
      </w:r>
      <w:r>
        <w:t>co Automotive Industry</w:t>
      </w:r>
    </w:p>
    <w:p w:rsidR="009C1AAD" w:rsidRDefault="00AA01FB" w14:paraId="07DB9AF0" w14:textId="77777777" w:rsidP="00AA01FB">
      <w:pPr>
        <w:pStyle w:val="Heading2"/>
        <w:rPr>
          <w:lang w:val="en-US"/>
          <w:color w:val="FF0000"/>
        </w:rPr>
      </w:pPr>
      <w:bookmarkStart w:id="14" w:name="_Toc224662510"/>
      <w:r w:rsidRPr="006174DF">
        <w:rPr>
          <w:lang w:val="en-US"/>
          <w:i/>
          <w:color w:val="FF0000"/>
        </w:rPr>
        <w:t>Appendix-I</w:t>
      </w:r>
      <w:r w:rsidR="00802F53">
        <w:rPr>
          <w:lang w:val="en-US"/>
          <w:i/>
          <w:color w:val="FF0000"/>
        </w:rPr>
        <w:t>I</w:t>
      </w:r>
      <w:r w:rsidRPr="006174DF">
        <w:rPr>
          <w:lang w:val="en-US"/>
          <w:i/>
          <w:color w:val="FF0000"/>
        </w:rPr>
        <w:t>I</w:t>
      </w:r>
      <w:r w:rsidR="006174DF" w:rsidRPr="006174DF">
        <w:rPr>
          <w:lang w:val="en-US"/>
          <w:i/>
          <w:color w:val="FF0000"/>
        </w:rPr>
        <w:t xml:space="preserve"> </w:t>
      </w:r>
      <w:r w:rsidR="00512095">
        <w:rPr>
          <w:lang w:val="en-US"/>
          <w:color w:val="FF0000"/>
        </w:rPr>
        <w:t>Popular firms in the Industry</w:t>
      </w:r>
      <w:bookmarkEnd w:id="14"/>
    </w:p>
    <w:p w:rsidR="00512095" w:rsidRDefault="00512095" w14:paraId="0ED39746" w14:textId="77777777" w:rsidP="00365C88" w:rsidRPr="00512095">
      <w:pPr>
        <w:jc w:val="center"/>
        <w:rPr>
          <w:lang w:val="en-US"/>
        </w:rPr>
      </w:pPr>
      <w:r>
        <w:rPr>
          <w:noProof/>
        </w:rPr>
        <w:drawing>
          <wp:inline distB="0" distL="0" distR="0" distT="0" wp14:anchorId="7D349972" wp14:editId="459CA014">
            <wp:extent cx="5731510" cy="2952750"/>
            <wp:effectExtent l="171450" t="171450" r="383540" b="3619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tretch>
                      <a:fillRect/>
                    </a:stretch>
                  </pic:blipFill>
                  <pic:spPr>
                    <a:xfrm>
                      <a:off x="0" y="0"/>
                      <a:ext cx="5731510" cy="2953320"/>
                    </a:xfrm>
                    <a:prstGeom prst="rect">
                      <a:avLst/>
                    </a:prstGeom>
                    <a:ln>
                      <a:noFill/>
                    </a:ln>
                    <a:effectLst>
                      <a:outerShdw blurRad="292100" dist="139700" dir="2700000" algn="tl" rotWithShape="0">
                        <a:srgbClr val="333333">
                          <a:alpha val="65000"/>
                        </a:srgbClr>
                      </a:outerShdw>
                    </a:effectLst>
                  </pic:spPr>
                </pic:pic>
              </a:graphicData>
            </a:graphic>
          </wp:inline>
        </w:drawing>
      </w:r>
    </w:p>
    <w:p w:rsidR="00ED1D1E" w:rsidRDefault="00ED1D1E" w14:paraId="665F00BD" w14:textId="77777777" w:rsidP="00E068F4">
      <w:pPr>
        <w:rPr>
          <w:lang w:val="en-US"/>
        </w:rPr>
      </w:pPr>
    </w:p>
    <w:p w:rsidR="00C851FC" w:rsidRDefault="00C851FC" w14:paraId="65AC4838" w14:textId="77777777" w:rsidP="00C851FC">
      <w:pPr>
        <w:jc w:val="center"/>
        <w:rPr>
          <w:lang w:val="en-US"/>
        </w:rPr>
      </w:pPr>
      <w:r>
        <w:rPr>
          <w:lang w:val="en-US"/>
        </w:rPr>
        <w:t xml:space="preserve">Source; </w:t>
      </w:r>
      <w:hyperlink w:history="1" r:id="rId68">
        <w:r w:rsidRPr="004955A3">
          <w:rPr>
            <w:lang w:val="en-US"/>
            <w:rStyle w:val="Hyperlink"/>
          </w:rPr>
          <w:t>https://www.pvknowhow.com/solar-report/vietnam/</w:t>
        </w:r>
      </w:hyperlink>
    </w:p>
    <w:p w:rsidR="00334782" w:rsidRDefault="0080131B" w14:paraId="1D5B8C53" w14:textId="77777777" w:rsidP="00365C88">
      <w:pPr>
        <w:pStyle w:val="NormalWeb"/>
        <w:jc w:val="center"/>
        <w:spacing w:before="0" w:line="360" w:lineRule="auto"/>
        <w:rPr>
          <w:sz w:val="22"/>
          <w:szCs w:val="22"/>
        </w:rPr>
      </w:pPr>
      <w:r>
        <w:rPr>
          <w:noProof/>
        </w:rPr>
        <w:drawing>
          <wp:inline distB="0" distL="0" distR="0" distT="0" wp14:anchorId="7B2C778D" wp14:editId="59110012">
            <wp:extent cx="5731510" cy="3328670"/>
            <wp:effectExtent l="171450" t="171450" r="383540" b="36703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stretch>
                      <a:fillRect/>
                    </a:stretch>
                  </pic:blipFill>
                  <pic:spPr>
                    <a:xfrm>
                      <a:off x="0" y="0"/>
                      <a:ext cx="5731510" cy="3329297"/>
                    </a:xfrm>
                    <a:prstGeom prst="rect">
                      <a:avLst/>
                    </a:prstGeom>
                    <a:ln>
                      <a:noFill/>
                    </a:ln>
                    <a:effectLst>
                      <a:outerShdw blurRad="292100" dist="139700" dir="2700000" algn="tl" rotWithShape="0">
                        <a:srgbClr val="333333">
                          <a:alpha val="65000"/>
                        </a:srgbClr>
                      </a:outerShdw>
                    </a:effectLst>
                  </pic:spPr>
                </pic:pic>
              </a:graphicData>
            </a:graphic>
          </wp:inline>
        </w:drawing>
      </w:r>
    </w:p>
    <w:p w:rsidR="00334782" w:rsidRDefault="00334782" w14:paraId="5C2308EB" w14:textId="77777777" w:rsidP="00697DA1">
      <w:pPr>
        <w:pStyle w:val="NormalWeb"/>
        <w:spacing w:before="0" w:line="360" w:lineRule="auto"/>
        <w:rPr>
          <w:sz w:val="22"/>
          <w:szCs w:val="22"/>
        </w:rPr>
      </w:pPr>
    </w:p>
    <w:p w:rsidR="00334782" w:rsidRDefault="00334782" w14:paraId="471A0520" w14:textId="77777777" w:rsidP="00697DA1">
      <w:pPr>
        <w:pStyle w:val="NormalWeb"/>
        <w:spacing w:before="0" w:line="360" w:lineRule="auto"/>
        <w:rPr>
          <w:sz w:val="22"/>
          <w:szCs w:val="22"/>
        </w:rPr>
      </w:pPr>
    </w:p>
    <w:p w:rsidR="00215BF3" w:rsidRDefault="00B27B59" w14:paraId="4C4369BA" w14:textId="77777777" w:rsidP="00365C88">
      <w:pPr>
        <w:pStyle w:val="NormalWeb"/>
        <w:jc w:val="center"/>
        <w:spacing w:before="0" w:line="360" w:lineRule="auto"/>
        <w:rPr>
          <w:sz w:val="22"/>
          <w:szCs w:val="22"/>
        </w:rPr>
      </w:pPr>
      <w:r>
        <w:rPr>
          <w:noProof/>
        </w:rPr>
        <w:drawing>
          <wp:inline distB="0" distL="0" distR="0" distT="0" wp14:anchorId="738920D5" wp14:editId="71AB70EC">
            <wp:extent cx="5731510" cy="967740"/>
            <wp:effectExtent l="171450" t="171450" r="383540" b="36576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8"/>
                    <a:stretch>
                      <a:fillRect/>
                    </a:stretch>
                  </pic:blipFill>
                  <pic:spPr>
                    <a:xfrm>
                      <a:off x="0" y="0"/>
                      <a:ext cx="5731510" cy="968111"/>
                    </a:xfrm>
                    <a:prstGeom prst="rect">
                      <a:avLst/>
                    </a:prstGeom>
                    <a:ln>
                      <a:noFill/>
                    </a:ln>
                    <a:effectLst>
                      <a:outerShdw blurRad="292100" dist="139700" dir="2700000" algn="tl" rotWithShape="0">
                        <a:srgbClr val="333333">
                          <a:alpha val="65000"/>
                        </a:srgbClr>
                      </a:outerShdw>
                    </a:effectLst>
                  </pic:spPr>
                </pic:pic>
              </a:graphicData>
            </a:graphic>
          </wp:inline>
        </w:drawing>
      </w:r>
    </w:p>
    <w:p w:rsidR="00D54122" w:rsidRDefault="00D54122" w14:paraId="513BDAE3" w14:textId="77777777" w:rsidP="000B0CEC">
      <w:pPr>
        <w:pStyle w:val="NormalWeb"/>
        <w:jc w:val="center"/>
        <w:spacing w:before="0" w:line="360" w:lineRule="auto"/>
        <w:rPr>
          <w:sz w:val="22"/>
          <w:szCs w:val="22"/>
        </w:rPr>
      </w:pPr>
      <w:r>
        <w:rPr>
          <w:sz w:val="22"/>
          <w:szCs w:val="22"/>
        </w:rPr>
        <w:t xml:space="preserve">Source: </w:t>
      </w:r>
      <w:hyperlink w:history="1" r:id="rId71">
        <w:r w:rsidRPr="00753F63">
          <w:rPr>
            <w:rStyle w:val="Hyperlink"/>
            <w:sz w:val="22"/>
            <w:szCs w:val="22"/>
          </w:rPr>
          <w:t>https://www.ifc.org/content/dam/ifc/doc/2025/mexico-sss-auto-industry-in-chiapas.pdf</w:t>
        </w:r>
      </w:hyperlink>
    </w:p>
    <w:p w:rsidR="00D54122" w:rsidRDefault="00D54122" w14:paraId="004919E6" w14:textId="77777777" w:rsidP="00697DA1">
      <w:pPr>
        <w:pStyle w:val="NormalWeb"/>
        <w:spacing w:before="0" w:line="360" w:lineRule="auto"/>
        <w:rPr>
          <w:sz w:val="22"/>
          <w:szCs w:val="22"/>
        </w:rPr>
      </w:pPr>
    </w:p>
    <w:p w:rsidR="00802F53" w:rsidRDefault="00802F53" w14:paraId="0F734175" w14:textId="77777777" w:rsidP="00365C88">
      <w:pPr>
        <w:pStyle w:val="NormalWeb"/>
        <w:jc w:val="center"/>
        <w:spacing w:before="0" w:line="360" w:lineRule="auto"/>
        <w:rPr>
          <w:sz w:val="22"/>
          <w:szCs w:val="22"/>
        </w:rPr>
      </w:pPr>
      <w:r>
        <w:rPr>
          <w:noProof/>
        </w:rPr>
        <w:drawing>
          <wp:inline distB="0" distL="0" distR="0" distT="0" wp14:anchorId="02AD6E43" wp14:editId="084E7112">
            <wp:extent cx="3619500" cy="3609975"/>
            <wp:effectExtent l="171450" t="171450" r="381000" b="3714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stretch>
                      <a:fillRect/>
                    </a:stretch>
                  </pic:blipFill>
                  <pic:spPr>
                    <a:xfrm>
                      <a:off x="0" y="0"/>
                      <a:ext cx="3619500" cy="3609975"/>
                    </a:xfrm>
                    <a:prstGeom prst="rect">
                      <a:avLst/>
                    </a:prstGeom>
                    <a:ln>
                      <a:noFill/>
                    </a:ln>
                    <a:effectLst>
                      <a:outerShdw blurRad="292100" dist="139700" dir="2700000" algn="tl" rotWithShape="0">
                        <a:srgbClr val="333333">
                          <a:alpha val="65000"/>
                        </a:srgbClr>
                      </a:outerShdw>
                    </a:effectLst>
                  </pic:spPr>
                </pic:pic>
              </a:graphicData>
            </a:graphic>
          </wp:inline>
        </w:drawing>
      </w:r>
    </w:p>
    <w:p w:rsidR="00195BE8" w:rsidRDefault="00195BE8" w14:paraId="53A2E21F" w14:textId="77777777" w:rsidP="00697DA1">
      <w:pPr>
        <w:pStyle w:val="NormalWeb"/>
        <w:spacing w:before="0" w:line="360" w:lineRule="auto"/>
        <w:rPr>
          <w:sz w:val="22"/>
          <w:szCs w:val="22"/>
        </w:rPr>
      </w:pPr>
      <w:r>
        <w:rPr>
          <w:sz w:val="22"/>
          <w:szCs w:val="22"/>
        </w:rPr>
        <w:t>Source:</w:t>
      </w:r>
      <w:r w:rsidRPr="00195BE8">
        <w:t xml:space="preserve"> </w:t>
      </w:r>
      <w:hyperlink w:history="1" r:id="rId73">
        <w:r w:rsidRPr="00753F63">
          <w:rPr>
            <w:rStyle w:val="Hyperlink"/>
            <w:sz w:val="22"/>
            <w:szCs w:val="22"/>
          </w:rPr>
          <w:t>http://mordorintelligence.com/industry-reports/mexico-automotive-eps-market/companies</w:t>
        </w:r>
      </w:hyperlink>
    </w:p>
    <w:p w:rsidR="00195BE8" w:rsidRDefault="00195BE8" w14:paraId="2AC9A572" w14:textId="77777777" w:rsidP="00697DA1">
      <w:pPr>
        <w:pStyle w:val="NormalWeb"/>
        <w:spacing w:before="0" w:line="360" w:lineRule="auto"/>
        <w:rPr>
          <w:sz w:val="22"/>
          <w:szCs w:val="22"/>
        </w:rPr>
      </w:pPr>
    </w:p>
    <w:p w:rsidR="00802F53" w:rsidRDefault="00802F53" w14:paraId="14DCDED5" w14:textId="77777777" w:rsidP="00365C88">
      <w:pPr>
        <w:pStyle w:val="NormalWeb"/>
        <w:jc w:val="center"/>
        <w:spacing w:before="0" w:line="360" w:lineRule="auto"/>
        <w:rPr>
          <w:sz w:val="22"/>
          <w:szCs w:val="22"/>
        </w:rPr>
      </w:pPr>
      <w:r>
        <w:rPr>
          <w:noProof/>
        </w:rPr>
        <w:drawing>
          <wp:inline distB="0" distL="0" distR="0" distT="0" wp14:anchorId="5CB8066B" wp14:editId="6455E2AC">
            <wp:extent cx="3629025" cy="5543550"/>
            <wp:effectExtent l="171450" t="171450" r="390525" b="3619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5"/>
                    <a:stretch>
                      <a:fillRect/>
                    </a:stretch>
                  </pic:blipFill>
                  <pic:spPr>
                    <a:xfrm>
                      <a:off x="0" y="0"/>
                      <a:ext cx="3629025" cy="5543550"/>
                    </a:xfrm>
                    <a:prstGeom prst="rect">
                      <a:avLst/>
                    </a:prstGeom>
                    <a:ln>
                      <a:noFill/>
                    </a:ln>
                    <a:effectLst>
                      <a:outerShdw blurRad="292100" dist="139700" dir="2700000" algn="tl" rotWithShape="0">
                        <a:srgbClr val="333333">
                          <a:alpha val="65000"/>
                        </a:srgbClr>
                      </a:outerShdw>
                    </a:effectLst>
                  </pic:spPr>
                </pic:pic>
              </a:graphicData>
            </a:graphic>
          </wp:inline>
        </w:drawing>
      </w:r>
    </w:p>
    <w:p w:rsidR="00802F53" w:rsidRDefault="00802F53" w14:paraId="785D51BD" w14:textId="77777777" w:rsidP="00365C88">
      <w:pPr>
        <w:pStyle w:val="NormalWeb"/>
        <w:jc w:val="center"/>
        <w:spacing w:before="0" w:line="360" w:lineRule="auto"/>
        <w:rPr>
          <w:sz w:val="22"/>
          <w:szCs w:val="22"/>
        </w:rPr>
      </w:pPr>
      <w:r>
        <w:rPr>
          <w:noProof/>
        </w:rPr>
        <w:drawing>
          <wp:inline distB="0" distL="0" distR="0" distT="0" wp14:anchorId="56C917A6" wp14:editId="53160B90">
            <wp:extent cx="3562350" cy="5629275"/>
            <wp:effectExtent l="171450" t="171450" r="381000" b="3714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9"/>
                    <a:stretch>
                      <a:fillRect/>
                    </a:stretch>
                  </pic:blipFill>
                  <pic:spPr>
                    <a:xfrm>
                      <a:off x="0" y="0"/>
                      <a:ext cx="3562350" cy="5629275"/>
                    </a:xfrm>
                    <a:prstGeom prst="rect">
                      <a:avLst/>
                    </a:prstGeom>
                    <a:ln>
                      <a:noFill/>
                    </a:ln>
                    <a:effectLst>
                      <a:outerShdw blurRad="292100" dist="139700" dir="2700000" algn="tl" rotWithShape="0">
                        <a:srgbClr val="333333">
                          <a:alpha val="65000"/>
                        </a:srgbClr>
                      </a:outerShdw>
                    </a:effectLst>
                  </pic:spPr>
                </pic:pic>
              </a:graphicData>
            </a:graphic>
          </wp:inline>
        </w:drawing>
      </w:r>
    </w:p>
    <w:p w:rsidR="00802F53" w:rsidRDefault="00802F53" w14:paraId="2F15C0FD" w14:textId="77777777" w:rsidP="00365C88">
      <w:pPr>
        <w:pStyle w:val="NormalWeb"/>
        <w:jc w:val="center"/>
        <w:spacing w:before="0" w:line="360" w:lineRule="auto"/>
        <w:rPr>
          <w:sz w:val="22"/>
          <w:szCs w:val="22"/>
        </w:rPr>
      </w:pPr>
      <w:r>
        <w:rPr>
          <w:noProof/>
        </w:rPr>
        <w:drawing>
          <wp:inline distB="0" distL="0" distR="0" distT="0" wp14:anchorId="0A832666" wp14:editId="09479A41">
            <wp:extent cx="3686175" cy="5505450"/>
            <wp:effectExtent l="171450" t="171450" r="390525" b="3619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a:stretch>
                      <a:fillRect/>
                    </a:stretch>
                  </pic:blipFill>
                  <pic:spPr>
                    <a:xfrm>
                      <a:off x="0" y="0"/>
                      <a:ext cx="3686175" cy="5505450"/>
                    </a:xfrm>
                    <a:prstGeom prst="rect">
                      <a:avLst/>
                    </a:prstGeom>
                    <a:ln>
                      <a:noFill/>
                    </a:ln>
                    <a:effectLst>
                      <a:outerShdw blurRad="292100" dist="139700" dir="2700000" algn="tl" rotWithShape="0">
                        <a:srgbClr val="333333">
                          <a:alpha val="65000"/>
                        </a:srgbClr>
                      </a:outerShdw>
                    </a:effectLst>
                  </pic:spPr>
                </pic:pic>
              </a:graphicData>
            </a:graphic>
          </wp:inline>
        </w:drawing>
      </w:r>
    </w:p>
    <w:p w:rsidR="00802F53" w:rsidRDefault="00802F53" w14:paraId="70997104" w14:textId="77777777" w:rsidP="00365C88">
      <w:pPr>
        <w:pStyle w:val="NormalWeb"/>
        <w:jc w:val="center"/>
        <w:spacing w:line="360" w:lineRule="auto"/>
        <w:rPr>
          <w:sz w:val="22"/>
          <w:szCs w:val="22"/>
        </w:rPr>
      </w:pPr>
      <w:r>
        <w:rPr>
          <w:sz w:val="22"/>
          <w:szCs w:val="22"/>
        </w:rPr>
        <w:t>Source;</w:t>
      </w:r>
      <w:r w:rsidRPr="00802F53">
        <w:t xml:space="preserve"> </w:t>
      </w:r>
      <w:hyperlink w:history="1" r:id="rId77">
        <w:r w:rsidRPr="00753F63">
          <w:rPr>
            <w:rStyle w:val="Hyperlink"/>
            <w:sz w:val="22"/>
            <w:szCs w:val="22"/>
          </w:rPr>
          <w:t>https://www.lusha.com/company-search/motor-vehicle-manufacturing/0039947ba2/mexico/97/page/4/</w:t>
        </w:r>
      </w:hyperlink>
    </w:p>
    <w:p w:rsidR="00802F53" w:rsidRDefault="00802F53" w14:paraId="49918EC1" w14:textId="77777777" w:rsidP="00697DA1">
      <w:pPr>
        <w:pStyle w:val="NormalWeb"/>
        <w:spacing w:before="0" w:line="360" w:lineRule="auto"/>
        <w:rPr>
          <w:sz w:val="22"/>
          <w:szCs w:val="22"/>
        </w:rPr>
      </w:pPr>
    </w:p>
    <w:p w:rsidR="00215BF3" w:rsidRDefault="00215BF3" w14:paraId="701E55F5" w14:textId="77777777">
      <w:pPr>
        <w:rPr>
          <w:lang w:val="en-US"/>
          <w:rFonts w:ascii="Times New Roman" w:cs="Times New Roman" w:eastAsia="Times New Roman" w:hAnsi="Times New Roman"/>
        </w:rPr>
      </w:pPr>
      <w:r>
        <w:br w:type="page"/>
      </w:r>
    </w:p>
    <w:p w:rsidR="00C35C95" w:rsidRDefault="00215BF3" w14:paraId="56D47BA8" w14:textId="77777777" w:rsidP="00215BF3">
      <w:pPr>
        <w:pStyle w:val="Heading2"/>
      </w:pPr>
      <w:bookmarkStart w:id="15" w:name="_Toc224662511"/>
      <w:r>
        <w:t>Appendix-IV</w:t>
      </w:r>
      <w:bookmarkEnd w:id="15"/>
    </w:p>
    <w:p w:rsidR="00215BF3" w:rsidRDefault="00215BF3" w14:paraId="3098CC33" w14:textId="77777777" w:rsidP="00365C88">
      <w:pPr>
        <w:pStyle w:val="NormalWeb"/>
        <w:jc w:val="center"/>
        <w:spacing w:before="0" w:line="360" w:lineRule="auto"/>
        <w:rPr>
          <w:sz w:val="22"/>
          <w:szCs w:val="22"/>
        </w:rPr>
      </w:pPr>
      <w:r>
        <w:rPr>
          <w:noProof/>
        </w:rPr>
        <w:drawing>
          <wp:inline distB="0" distL="0" distR="0" distT="0" wp14:anchorId="3304333B" wp14:editId="57D0C371">
            <wp:extent cx="5731510" cy="3554095"/>
            <wp:effectExtent l="171450" t="171450" r="383540" b="3702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4"/>
                    <a:stretch>
                      <a:fillRect/>
                    </a:stretch>
                  </pic:blipFill>
                  <pic:spPr>
                    <a:xfrm>
                      <a:off x="0" y="0"/>
                      <a:ext cx="5731510" cy="3554638"/>
                    </a:xfrm>
                    <a:prstGeom prst="rect">
                      <a:avLst/>
                    </a:prstGeom>
                    <a:ln>
                      <a:noFill/>
                    </a:ln>
                    <a:effectLst>
                      <a:outerShdw blurRad="292100" dist="139700" dir="2700000" algn="tl" rotWithShape="0">
                        <a:srgbClr val="333333">
                          <a:alpha val="65000"/>
                        </a:srgbClr>
                      </a:outerShdw>
                    </a:effectLst>
                  </pic:spPr>
                </pic:pic>
              </a:graphicData>
            </a:graphic>
          </wp:inline>
        </w:drawing>
      </w:r>
    </w:p>
    <w:p w:rsidR="00D923EE" w:rsidRDefault="00D923EE" w14:paraId="70DE9724" w14:textId="77777777" w:rsidP="00D923EE">
      <w:pPr>
        <w:pStyle w:val="Caption"/>
        <w:jc w:val="center"/>
      </w:pPr>
      <w:bookmarkStart w:id="16" w:name="_Toc224662512"/>
      <w:r>
        <w:t xml:space="preserve">Figure </w:t>
      </w:r>
      <w:r w:rsidR="0075041E">
        <w:fldChar w:fldCharType="begin"/>
      </w:r>
      <w:r w:rsidR="0075041E">
        <w:instrText xml:space="preserve"> SEQ Figure \* ARABIC </w:instrText>
      </w:r>
      <w:r w:rsidR="0075041E">
        <w:fldChar w:fldCharType="separate"/>
      </w:r>
      <w:r w:rsidR="0075041E">
        <w:rPr>
          <w:noProof/>
        </w:rPr>
        <w:t>3</w:t>
      </w:r>
      <w:r w:rsidR="0075041E">
        <w:rPr>
          <w:noProof/>
        </w:rPr>
        <w:fldChar w:fldCharType="end"/>
      </w:r>
      <w:r>
        <w:t xml:space="preserve"> </w:t>
      </w:r>
      <w:r w:rsidRPr="00B423CF">
        <w:t>Mexico Automotive Industry</w:t>
      </w:r>
      <w:bookmarkEnd w:id="16"/>
    </w:p>
    <w:p w:rsidR="0075041E" w:rsidRDefault="0075041E" w14:paraId="26593F62" w14:textId="77777777" w:rsidP="0075041E" w:rsidRPr="0075041E">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576A92">
        <w:t>Popular firms in the</w:t>
      </w:r>
      <w:r>
        <w:t xml:space="preserve"> Automotive</w:t>
      </w:r>
      <w:r w:rsidRPr="00576A92">
        <w:t xml:space="preserve"> Industry</w:t>
      </w:r>
      <w:r>
        <w:t xml:space="preserve"> of Maxico</w:t>
      </w:r>
    </w:p>
    <w:sectPr w:rsidR="0075041E" w:rsidRPr="0075041E" w:rsidSect="00987360">
      <w:docGrid w:linePitch="360"/>
      <w:pgNumType w:start="1"/>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A1068" w14:textId="77777777" w:rsidR="00CC3B15" w:rsidRDefault="00CC3B15" w:rsidP="008C45E0">
      <w:pPr>
        <w:spacing w:after="0" w:line="240" w:lineRule="auto"/>
      </w:pPr>
      <w:r>
        <w:separator/>
      </w:r>
    </w:p>
  </w:endnote>
  <w:endnote w:type="continuationSeparator" w:id="0">
    <w:p w14:paraId="006C42F3" w14:textId="77777777" w:rsidR="00CC3B15" w:rsidRDefault="00CC3B15" w:rsidP="008C45E0">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9EC3D" w14:textId="77777777" w:rsidR="006D72D4" w:rsidRDefault="006D72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50D80C8A" w14:textId="77777777" w:rsidR="006D72D4" w:rsidRDefault="006D72D4">
        <w:pPr>
          <w:pStyle w:val="Footer"/>
          <w:jc w:val="center"/>
        </w:pPr>
        <w:r>
          <w:fldChar w:fldCharType="begin"/>
        </w:r>
        <w:r>
          <w:instrText xml:space="preserve"> PAGE   \* MERGEFORMAT </w:instrText>
        </w:r>
        <w:r>
          <w:fldChar w:fldCharType="separate"/>
        </w:r>
        <w:r w:rsidR="000B0CEC">
          <w:rPr>
            <w:noProof/>
          </w:rPr>
          <w:t>17</w:t>
        </w:r>
        <w:r>
          <w:rPr>
            <w:noProof/>
          </w:rPr>
          <w:fldChar w:fldCharType="end"/>
        </w:r>
      </w:p>
    </w:sdtContent>
  </w:sdt>
  <w:p w14:paraId="0B65F86E" w14:textId="77777777" w:rsidR="006D72D4" w:rsidRDefault="006D72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247B8" w14:textId="77777777" w:rsidR="006D72D4" w:rsidRDefault="006D7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B1697" w14:textId="77777777" w:rsidR="00CC3B15" w:rsidRDefault="00CC3B15" w:rsidP="008C45E0">
      <w:pPr>
        <w:spacing w:after="0" w:line="240" w:lineRule="auto"/>
      </w:pPr>
      <w:r>
        <w:separator/>
      </w:r>
    </w:p>
  </w:footnote>
  <w:footnote w:type="continuationSeparator" w:id="0">
    <w:p w14:paraId="78D0F940" w14:textId="77777777" w:rsidR="00CC3B15" w:rsidRDefault="00CC3B15"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77824" w14:textId="77777777" w:rsidR="006D72D4" w:rsidRDefault="006D72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9D79A" w14:textId="77777777" w:rsidR="006D72D4" w:rsidRDefault="006D72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14C88" w14:textId="77777777" w:rsidR="006D72D4" w:rsidRDefault="006D72D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IdMacAtCleanup w:val="1"/>
  <w:abstractNum w:abstractNumId="0">
    <w:multiLevelType w:val="hybridMultilevel"/>
    <w:nsid w:val="1C3C61D7"/>
    <w:tmpl w:val="D86C2BC4"/>
    <w:lvl w:ilvl="0" w:tplc="86F007BA">
      <w:numFmt w:val="decimal"/>
      <w:lvlText w:val="%1."/>
      <w:start w:val="5"/>
      <w:rPr>
        <w:b w:val="0"/>
        <w:color w:val="auto"/>
        <w:rFonts w:eastAsiaTheme="minorHAnsi" w:hint="default"/>
        <w:sz w:val="24"/>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
    <w:multiLevelType w:val="hybridMultilevel"/>
    <w:nsid w:val="27702564"/>
    <w:tmpl w:val="54A0D400"/>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2">
    <w:multiLevelType w:val="hybridMultilevel"/>
    <w:nsid w:val="29AE4409"/>
    <w:tmpl w:val="10B45060"/>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
    <w:multiLevelType w:val="hybridMultilevel"/>
    <w:nsid w:val="302A04BA"/>
    <w:tmpl w:val="1C6CE2F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4">
    <w:multiLevelType w:val="hybridMultilevel"/>
    <w:nsid w:val="3E701726"/>
    <w:tmpl w:val="7AD6D8E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5">
    <w:multiLevelType w:val="hybridMultilevel"/>
    <w:nsid w:val="42544D72"/>
    <w:tmpl w:val="BE0A007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6">
    <w:multiLevelType w:val="hybridMultilevel"/>
    <w:nsid w:val="450B7C17"/>
    <w:tmpl w:val="224C2BF6"/>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7">
    <w:multiLevelType w:val="hybridMultilevel"/>
    <w:nsid w:val="5D2C33FC"/>
    <w:tmpl w:val="5204DBBE"/>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8">
    <w:multiLevelType w:val="hybridMultilevel"/>
    <w:nsid w:val="5D5D02AF"/>
    <w:tmpl w:val="6786FF0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9">
    <w:multiLevelType w:val="hybridMultilevel"/>
    <w:nsid w:val="69786AE9"/>
    <w:tmpl w:val="568A5964"/>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0">
    <w:multiLevelType w:val="hybridMultilevel"/>
    <w:nsid w:val="768652C7"/>
    <w:tmpl w:val="B40CBB94"/>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1">
    <w:multiLevelType w:val="hybridMultilevel"/>
    <w:nsid w:val="7C790111"/>
    <w:tmpl w:val="1EEEF47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2">
    <w:multiLevelType w:val="hybridMultilevel"/>
    <w:nsid w:val="7E3E6D4F"/>
    <w:tmpl w:val="15EA326A"/>
    <w:lvl w:ilvl="0">
      <w:numFmt w:val="decimal"/>
      <w:lvlText w:val="%1."/>
      <w:start w:val="1"/>
      <w:rPr>
        <w:rFonts w:hint="default"/>
      </w:rPr>
      <w:pPr>
        <w:ind w:left="720"/>
        <w:ind w:hanging="360"/>
      </w:pPr>
      <w:lvlJc w:val="left"/>
    </w:lvl>
    <w:lvl w:ilvl="1">
      <w:numFmt w:val="decimal"/>
      <w:lvlText w:val="%1.%2"/>
      <w:start w:val="1"/>
      <w:rPr>
        <w:rFonts w:hint="default"/>
      </w:rPr>
      <w:pPr>
        <w:ind w:left="1080"/>
        <w:ind w:hanging="720"/>
      </w:pPr>
      <w:isLgl/>
      <w:lvlJc w:val="left"/>
    </w:lvl>
    <w:lvl w:ilvl="2">
      <w:numFmt w:val="decimal"/>
      <w:lvlText w:val="%1.%2.%3"/>
      <w:start w:val="6"/>
      <w:rPr>
        <w:rFonts w:hint="default"/>
      </w:rPr>
      <w:pPr>
        <w:ind w:left="1080"/>
        <w:ind w:hanging="720"/>
      </w:pPr>
      <w:isLgl/>
      <w:lvlJc w:val="left"/>
    </w:lvl>
    <w:lvl w:ilvl="3">
      <w:numFmt w:val="decimal"/>
      <w:lvlText w:val="%1.%2.%3.%4"/>
      <w:start w:val="1"/>
      <w:rPr>
        <w:rFonts w:hint="default"/>
      </w:rPr>
      <w:pPr>
        <w:ind w:left="1440"/>
        <w:ind w:hanging="108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800"/>
        <w:ind w:hanging="1440"/>
      </w:pPr>
      <w:isLgl/>
      <w:lvlJc w:val="left"/>
    </w:lvl>
    <w:lvl w:ilvl="6">
      <w:numFmt w:val="decimal"/>
      <w:lvlText w:val="%1.%2.%3.%4.%5.%6.%7"/>
      <w:start w:val="1"/>
      <w:rPr>
        <w:rFonts w:hint="default"/>
      </w:rPr>
      <w:pPr>
        <w:ind w:left="2160"/>
        <w:ind w:hanging="1800"/>
      </w:pPr>
      <w:isLgl/>
      <w:lvlJc w:val="left"/>
    </w:lvl>
    <w:lvl w:ilvl="7">
      <w:numFmt w:val="decimal"/>
      <w:lvlText w:val="%1.%2.%3.%4.%5.%6.%7.%8"/>
      <w:start w:val="1"/>
      <w:rPr>
        <w:rFonts w:hint="default"/>
      </w:rPr>
      <w:pPr>
        <w:ind w:left="2160"/>
        <w:ind w:hanging="1800"/>
      </w:pPr>
      <w:isLgl/>
      <w:lvlJc w:val="left"/>
    </w:lvl>
    <w:lvl w:ilvl="8">
      <w:numFmt w:val="decimal"/>
      <w:lvlText w:val="%1.%2.%3.%4.%5.%6.%7.%8.%9"/>
      <w:start w:val="1"/>
      <w:rPr>
        <w:rFonts w:hint="default"/>
      </w:rPr>
      <w:pPr>
        <w:ind w:left="2520"/>
        <w:ind w:hanging="2160"/>
      </w:pPr>
      <w:isLgl/>
      <w:lvlJc w:val="left"/>
    </w:lvl>
  </w:abstractNum>
  <w:num w:numId="1">
    <w:abstractNumId w:val="5"/>
  </w:num>
  <w:num w:numId="2">
    <w:abstractNumId w:val="3"/>
  </w:num>
  <w:num w:numId="3">
    <w:abstractNumId w:val="11"/>
  </w:num>
  <w:num w:numId="4">
    <w:abstractNumId w:val="10"/>
  </w:num>
  <w:num w:numId="5">
    <w:abstractNumId w:val="1"/>
  </w:num>
  <w:num w:numId="6">
    <w:abstractNumId w:val="8"/>
  </w:num>
  <w:num w:numId="7">
    <w:abstractNumId w:val="12"/>
  </w:num>
  <w:num w:numId="8">
    <w:abstractNumId w:val="7"/>
  </w:num>
  <w:num w:numId="9">
    <w:abstractNumId w:val="6"/>
  </w:num>
  <w:num w:numId="10">
    <w:abstractNumId w:val="0"/>
  </w:num>
  <w:num w:numId="11">
    <w:abstractNumId w:val="9"/>
  </w:num>
  <w:num w:numId="12">
    <w:abstractNumId w:val="4"/>
  </w:num>
  <w:num w:numId="13">
    <w:abstractNumId w:val="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view w:val="web"/>
  <w:zoom w:percent="10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1B4AD4"/>
  <w:rsids>
    <w:rsidRoot val="004561EB"/>
    <w:rsid val="000067B3"/>
    <w:rsid val="000115F5"/>
    <w:rsid val="00013BC8"/>
    <w:rsid val="00015806"/>
    <w:rsid val="00015AA7"/>
    <w:rsid val="00023282"/>
    <w:rsid val="00023AE7"/>
    <w:rsid val="00024BBE"/>
    <w:rsid val="0002538B"/>
    <w:rsid val="00031E0D"/>
    <w:rsid val="00036C2B"/>
    <w:rsid val="00042399"/>
    <w:rsid val="000446D0"/>
    <w:rsid val="00044D56"/>
    <w:rsid val="00047F90"/>
    <w:rsid val="00050C1A"/>
    <w:rsid val="00051666"/>
    <w:rsid val="00056A68"/>
    <w:rsid val="00056E0F"/>
    <w:rsid val="00061153"/>
    <w:rsid val="00065F4C"/>
    <w:rsid val="00065F6B"/>
    <w:rsid val="000707C9"/>
    <w:rsid val="00070DC8"/>
    <w:rsid val="000738BD"/>
    <w:rsid val="00077EB7"/>
    <w:rsid val="00082DC0"/>
    <w:rsid val="000836EA"/>
    <w:rsid val="000837F8"/>
    <w:rsid val="00087358"/>
    <w:rsid val="00090580"/>
    <w:rsid val="000A0A3E"/>
    <w:rsid val="000B0CEC"/>
    <w:rsid val="000B16C8"/>
    <w:rsid val="000B27C3"/>
    <w:rsid val="000B5FFF"/>
    <w:rsid val="000C03CF"/>
    <w:rsid val="000C1E6B"/>
    <w:rsid val="000C3CE7"/>
    <w:rsid val="000D18AA"/>
    <w:rsid val="000D50D9"/>
    <w:rsid val="000E3733"/>
    <w:rsid val="000F0181"/>
    <w:rsid val="000F4B59"/>
    <w:rsid val="000F5921"/>
    <w:rsid val="00101F5D"/>
    <w:rsid val="001026D9"/>
    <w:rsid val="00111B4C"/>
    <w:rsid val="001137B7"/>
    <w:rsid val="00113DE1"/>
    <w:rsid val="00113FB0"/>
    <w:rsid val="0011570E"/>
    <w:rsid val="001172BC"/>
    <w:rsid val="001231DE"/>
    <w:rsid val="00134DCD"/>
    <w:rsid val="00135BAA"/>
    <w:rsid val="00135C1B"/>
    <w:rsid val="001438E9"/>
    <w:rsid val="00145784"/>
    <w:rsid val="00146B8F"/>
    <w:rsid val="00152BB6"/>
    <w:rsid val="00162D7C"/>
    <w:rsid val="001668A8"/>
    <w:rsid val="0016791D"/>
    <w:rsid val="0017159B"/>
    <w:rsid val="0017322C"/>
    <w:rsid val="00174256"/>
    <w:rsid val="0017554C"/>
    <w:rsid val="0018283B"/>
    <w:rsid val="00183449"/>
    <w:rsid val="00185692"/>
    <w:rsid val="001875CD"/>
    <w:rsid val="00195BE8"/>
    <w:rsid val="001A0399"/>
    <w:rsid val="001A0528"/>
    <w:rsid val="001A1120"/>
    <w:rsid val="001A1789"/>
    <w:rsid val="001A6536"/>
    <w:rsid val="001B071D"/>
    <w:rsid val="001B6D55"/>
    <w:rsid val="001B761E"/>
    <w:rsid val="001B7879"/>
    <w:rsid val="001C0F9F"/>
    <w:rsid val="001C76E3"/>
    <w:rsid val="001D4258"/>
    <w:rsid val="001E0D5D"/>
    <w:rsid val="001E0DB9"/>
    <w:rsid val="001E10B2"/>
    <w:rsid val="001E370F"/>
    <w:rsid val="001E658B"/>
    <w:rsid val="001E70BD"/>
    <w:rsid val="001F0F74"/>
    <w:rsid val="001F0FB5"/>
    <w:rsid val="001F2D01"/>
    <w:rsid val="001F57A7"/>
    <w:rsid val="001F675A"/>
    <w:rsid val="001F7B4F"/>
    <w:rsid val="0020045B"/>
    <w:rsid val="00200562"/>
    <w:rsid val="00200A86"/>
    <w:rsid val="00201345"/>
    <w:rsid val="002064F3"/>
    <w:rsid val="00206E11"/>
    <w:rsid val="002075BB"/>
    <w:rsid val="00215BF3"/>
    <w:rsid val="00216AC4"/>
    <w:rsid val="00216B03"/>
    <w:rsid val="002200B0"/>
    <w:rsid val="002225A3"/>
    <w:rsid val="00222FEF"/>
    <w:rsid val="00226CC9"/>
    <w:rsid val="0023111D"/>
    <w:rsid val="00235D59"/>
    <w:rsid val="00240227"/>
    <w:rsid val="002423B1"/>
    <w:rsid val="00244898"/>
    <w:rsid val="002452FE"/>
    <w:rsid val="00245313"/>
    <w:rsid val="00250EE7"/>
    <w:rsid val="00251ED2"/>
    <w:rsid val="00252494"/>
    <w:rsid val="0025338C"/>
    <w:rsid val="0025743A"/>
    <w:rsid val="00270BEB"/>
    <w:rsid val="002713B0"/>
    <w:rsid val="00271961"/>
    <w:rsid val="00272F0A"/>
    <w:rsid val="00275324"/>
    <w:rsid val="002771FC"/>
    <w:rsid val="002811FC"/>
    <w:rsid val="002828A3"/>
    <w:rsid val="00286811"/>
    <w:rsid val="00286EBD"/>
    <w:rsid val="0029431B"/>
    <w:rsid val="002A079B"/>
    <w:rsid val="002A0AF7"/>
    <w:rsid val="002A589B"/>
    <w:rsid val="002A6CE8"/>
    <w:rsid val="002A78FB"/>
    <w:rsid val="002B184C"/>
    <w:rsid val="002C0340"/>
    <w:rsid val="002C15B8"/>
    <w:rsid val="002C2DF7"/>
    <w:rsid val="002C7E95"/>
    <w:rsid val="002D1264"/>
    <w:rsid val="002D3BB7"/>
    <w:rsid val="002E55AA"/>
    <w:rsid val="002E7359"/>
    <w:rsid val="002E7D36"/>
    <w:rsid val="002E7D83"/>
    <w:rsid val="002F114C"/>
    <w:rsid val="002F3B04"/>
    <w:rsid val="002F71C6"/>
    <w:rsid val="00302FC3"/>
    <w:rsid val="00311EA2"/>
    <w:rsid val="00311F23"/>
    <w:rsid val="0031560D"/>
    <w:rsid val="00315BE1"/>
    <w:rsid val="003170A4"/>
    <w:rsid val="0032516B"/>
    <w:rsid val="003304E1"/>
    <w:rsid val="003335F7"/>
    <w:rsid val="00334782"/>
    <w:rsid val="0034272E"/>
    <w:rsid val="00344644"/>
    <w:rsid val="00344D8F"/>
    <w:rsid val="0035184B"/>
    <w:rsid val="003558CF"/>
    <w:rsid val="00362EE2"/>
    <w:rsid val="00364B06"/>
    <w:rsid val="00364EB6"/>
    <w:rsid val="00365C88"/>
    <w:rsid val="00372870"/>
    <w:rsid val="00373773"/>
    <w:rsid val="00377078"/>
    <w:rsid val="00385E67"/>
    <w:rsid val="003900AC"/>
    <w:rsid val="003B2E2E"/>
    <w:rsid val="003B5634"/>
    <w:rsid val="003C0F29"/>
    <w:rsid val="003D5C94"/>
    <w:rsid val="003E0AFE"/>
    <w:rsid val="003E10FB"/>
    <w:rsid val="003F0C8D"/>
    <w:rsid val="003F170D"/>
    <w:rsid val="003F1C2D"/>
    <w:rsid val="003F333C"/>
    <w:rsid val="003F6A32"/>
    <w:rsid val="003F75D3"/>
    <w:rsid val="0040503C"/>
    <w:rsid val="00406ADA"/>
    <w:rsid val="00413BB3"/>
    <w:rsid val="00417405"/>
    <w:rsid val="0042328F"/>
    <w:rsid val="004257CB"/>
    <w:rsid val="00430DB7"/>
    <w:rsid val="00431551"/>
    <w:rsid val="004428B6"/>
    <w:rsid val="00443979"/>
    <w:rsid val="0044569F"/>
    <w:rsid val="00445781"/>
    <w:rsid val="00450A5D"/>
    <w:rsid val="0045483F"/>
    <w:rsid val="004561EB"/>
    <w:rsid val="00462414"/>
    <w:rsid val="00462770"/>
    <w:rsid val="00462ED2"/>
    <w:rsid val="00463EB2"/>
    <w:rsid val="00464CDB"/>
    <w:rsid val="00466373"/>
    <w:rsid val="0047085A"/>
    <w:rsid val="00470DFF"/>
    <w:rsid val="00472AB5"/>
    <w:rsid val="0047499A"/>
    <w:rsid val="0047767D"/>
    <w:rsid val="004808A5"/>
    <w:rsid val="00482006"/>
    <w:rsid val="00483400"/>
    <w:rsid val="00483A69"/>
    <w:rsid val="0048417B"/>
    <w:rsid val="0048503A"/>
    <w:rsid val="00491E88"/>
    <w:rsid val="004959ED"/>
    <w:rsid val="004978C1"/>
    <w:rsid val="004A4694"/>
    <w:rsid val="004B1B7A"/>
    <w:rsid val="004B1F81"/>
    <w:rsid val="004B23DF"/>
    <w:rsid val="004B60DD"/>
    <w:rsid val="004C0549"/>
    <w:rsid val="004C2839"/>
    <w:rsid val="004C2C49"/>
    <w:rsid val="004C7CE4"/>
    <w:rsid val="004D1F88"/>
    <w:rsid val="004D2A05"/>
    <w:rsid val="004E0323"/>
    <w:rsid val="004E0449"/>
    <w:rsid val="004E1F5C"/>
    <w:rsid val="004F015E"/>
    <w:rsid val="004F1C2C"/>
    <w:rsid val="004F23E3"/>
    <w:rsid val="004F405B"/>
    <w:rsid val="00510BE5"/>
    <w:rsid val="00510EC0"/>
    <w:rsid val="0051180C"/>
    <w:rsid val="00512095"/>
    <w:rsid val="00513965"/>
    <w:rsid val="00516A6C"/>
    <w:rsid val="005229A8"/>
    <w:rsid val="00524469"/>
    <w:rsid val="00525B46"/>
    <w:rsid val="005347DF"/>
    <w:rsid val="00537A91"/>
    <w:rsid val="005407E1"/>
    <w:rsid val="00545406"/>
    <w:rsid val="005468AC"/>
    <w:rsid val="00546C8D"/>
    <w:rsid val="00556320"/>
    <w:rsid val="0055746C"/>
    <w:rsid val="00562BE4"/>
    <w:rsid val="005662C9"/>
    <w:rsid val="005672CD"/>
    <w:rsid val="00567BA3"/>
    <w:rsid val="005701B2"/>
    <w:rsid val="005730E8"/>
    <w:rsid val="00573B66"/>
    <w:rsid val="005915CF"/>
    <w:rsid val="00592522"/>
    <w:rsid val="00593E97"/>
    <w:rsid val="0059405F"/>
    <w:rsid val="005945D9"/>
    <w:rsid val="005A055E"/>
    <w:rsid val="005A1A0E"/>
    <w:rsid val="005A1F09"/>
    <w:rsid val="005A3B2A"/>
    <w:rsid val="005A4A93"/>
    <w:rsid val="005C0DB9"/>
    <w:rsid val="005C462C"/>
    <w:rsid val="005C59BC"/>
    <w:rsid val="005C7088"/>
    <w:rsid val="005D06FA"/>
    <w:rsid val="005D139E"/>
    <w:rsid val="005D5232"/>
    <w:rsid val="005E3769"/>
    <w:rsid val="005E4072"/>
    <w:rsid val="005E69E8"/>
    <w:rsid val="005E7B3B"/>
    <w:rsid val="005F4213"/>
    <w:rsid val="005F6357"/>
    <w:rsid val="005F639F"/>
    <w:rsid val="005F69B8"/>
    <w:rsid val="005F7C87"/>
    <w:rsid val="006016A5"/>
    <w:rsid val="00602A5A"/>
    <w:rsid val="0061143F"/>
    <w:rsid val="00616EBD"/>
    <w:rsid val="006174DF"/>
    <w:rsid val="00622C32"/>
    <w:rsid val="00626C3F"/>
    <w:rsid val="00630929"/>
    <w:rsid val="00632B42"/>
    <w:rsid val="00635148"/>
    <w:rsid val="00635A42"/>
    <w:rsid val="0064559B"/>
    <w:rsid val="00646789"/>
    <w:rsid val="0065001D"/>
    <w:rsid val="0065407D"/>
    <w:rsid val="0065412B"/>
    <w:rsid val="00657C64"/>
    <w:rsid val="00662AC8"/>
    <w:rsid val="0067005C"/>
    <w:rsid val="006738CC"/>
    <w:rsid val="0068086E"/>
    <w:rsid val="0068320C"/>
    <w:rsid val="00685A46"/>
    <w:rsid val="00687C1E"/>
    <w:rsid val="00693C55"/>
    <w:rsid val="00697ACF"/>
    <w:rsid val="00697DA1"/>
    <w:rsid val="006A25D7"/>
    <w:rsid val="006B0ADC"/>
    <w:rsid val="006B5938"/>
    <w:rsid val="006B5BB7"/>
    <w:rsid val="006C1901"/>
    <w:rsid val="006C3A70"/>
    <w:rsid val="006C4AF8"/>
    <w:rsid val="006D24E1"/>
    <w:rsid val="006D5224"/>
    <w:rsid val="006D72D4"/>
    <w:rsid val="006D7E5C"/>
    <w:rsid val="006D7F47"/>
    <w:rsid val="006E0F18"/>
    <w:rsid val="006E1C0E"/>
    <w:rsid val="006E6670"/>
    <w:rsid val="006F5EBA"/>
    <w:rsid val="00703CAB"/>
    <w:rsid val="00703FBE"/>
    <w:rsid val="00706432"/>
    <w:rsid val="00712F8D"/>
    <w:rsid val="007140BB"/>
    <w:rsid val="0072476B"/>
    <w:rsid val="007259D9"/>
    <w:rsid val="00726C31"/>
    <w:rsid val="0073108C"/>
    <w:rsid val="007321E8"/>
    <w:rsid val="00732907"/>
    <w:rsid val="00733ADB"/>
    <w:rsid val="00743D10"/>
    <w:rsid val="0075041E"/>
    <w:rsid val="00750E15"/>
    <w:rsid val="00752F27"/>
    <w:rsid val="00760A3B"/>
    <w:rsid val="00760D82"/>
    <w:rsid val="00766E15"/>
    <w:rsid val="0076741B"/>
    <w:rsid val="00767458"/>
    <w:rsid val="00774F26"/>
    <w:rsid val="007769DA"/>
    <w:rsid val="0079103C"/>
    <w:rsid val="0079412F"/>
    <w:rsid val="007A0E92"/>
    <w:rsid val="007A2B94"/>
    <w:rsid val="007A3152"/>
    <w:rsid val="007B16F7"/>
    <w:rsid val="007C36EF"/>
    <w:rsid val="007C7AFC"/>
    <w:rsid val="007E4C79"/>
    <w:rsid val="007E5784"/>
    <w:rsid val="007F7024"/>
    <w:rsid val="007F77C7"/>
    <w:rsid val="008011B1"/>
    <w:rsid val="008011DB"/>
    <w:rsid val="0080131B"/>
    <w:rsid val="00802F53"/>
    <w:rsid val="00807818"/>
    <w:rsid val="00807E6F"/>
    <w:rsid val="0081282D"/>
    <w:rsid val="00813C4B"/>
    <w:rsid val="00816D70"/>
    <w:rsid val="008221D7"/>
    <w:rsid val="008222E5"/>
    <w:rsid val="00827A8B"/>
    <w:rsid val="0083029A"/>
    <w:rsid val="00840C3C"/>
    <w:rsid val="00841E46"/>
    <w:rsid val="0084437D"/>
    <w:rsid val="0084609C"/>
    <w:rsid val="00846808"/>
    <w:rsid val="008474D3"/>
    <w:rsid val="0085082C"/>
    <w:rsid val="00850BF3"/>
    <w:rsid val="008572FA"/>
    <w:rsid val="00864CE3"/>
    <w:rsid val="00866CEF"/>
    <w:rsid val="00867BE0"/>
    <w:rsid val="00871EA0"/>
    <w:rsid val="00874A0E"/>
    <w:rsid val="00874BF6"/>
    <w:rsid val="00875A3E"/>
    <w:rsid val="00875DD6"/>
    <w:rsid val="008767EC"/>
    <w:rsid val="0087707D"/>
    <w:rsid val="00886D5D"/>
    <w:rsid val="00890837"/>
    <w:rsid val="00890DBF"/>
    <w:rsid val="00896E68"/>
    <w:rsid val="008A5558"/>
    <w:rsid val="008A768E"/>
    <w:rsid val="008B3A44"/>
    <w:rsid val="008B5C1D"/>
    <w:rsid val="008B7A4C"/>
    <w:rsid val="008C30E9"/>
    <w:rsid val="008C3ABE"/>
    <w:rsid val="008C45E0"/>
    <w:rsid val="008C57F7"/>
    <w:rsid val="008D51E5"/>
    <w:rsid val="008D65B9"/>
    <w:rsid val="008E3138"/>
    <w:rsid val="008E37D8"/>
    <w:rsid val="008F4830"/>
    <w:rsid val="008F4B10"/>
    <w:rsid val="008F5347"/>
    <w:rsid val="008F5FEF"/>
    <w:rsid val="00901B64"/>
    <w:rsid val="00905574"/>
    <w:rsid val="00907A70"/>
    <w:rsid val="00914698"/>
    <w:rsid val="0091655C"/>
    <w:rsid val="009225E6"/>
    <w:rsid val="00923033"/>
    <w:rsid val="00925978"/>
    <w:rsid val="00926EEA"/>
    <w:rsid val="00927831"/>
    <w:rsid val="00931C38"/>
    <w:rsid val="00932A91"/>
    <w:rsid val="0093355E"/>
    <w:rsid val="0093634F"/>
    <w:rsid val="00943C93"/>
    <w:rsid val="009448CE"/>
    <w:rsid val="0094554C"/>
    <w:rsid val="0095002B"/>
    <w:rsid val="00954D4E"/>
    <w:rsid val="00960CDF"/>
    <w:rsid val="00962CC2"/>
    <w:rsid val="00962D25"/>
    <w:rsid val="00963F72"/>
    <w:rsid val="0096725B"/>
    <w:rsid val="009675B1"/>
    <w:rsid val="009726AD"/>
    <w:rsid val="009804BC"/>
    <w:rsid val="00987360"/>
    <w:rsid val="00990467"/>
    <w:rsid val="009922AE"/>
    <w:rsid val="00994108"/>
    <w:rsid val="009944F3"/>
    <w:rsid val="009A15B9"/>
    <w:rsid val="009A2C32"/>
    <w:rsid val="009A30E5"/>
    <w:rsid val="009A50B4"/>
    <w:rsid val="009B52CA"/>
    <w:rsid val="009C1AAD"/>
    <w:rsid val="009C7B70"/>
    <w:rsid val="009D1380"/>
    <w:rsid val="009D1E5B"/>
    <w:rsid val="009D2BB4"/>
    <w:rsid val="009D39A1"/>
    <w:rsid val="009D534D"/>
    <w:rsid val="009D5E52"/>
    <w:rsid val="009D7A3D"/>
    <w:rsid val="009E2F95"/>
    <w:rsid val="009E3B34"/>
    <w:rsid val="009E5ECC"/>
    <w:rsid val="009E7D78"/>
    <w:rsid val="009E7F8E"/>
    <w:rsid val="009F186C"/>
    <w:rsid val="009F6B74"/>
    <w:rsid val="009F73C2"/>
    <w:rsid val="00A00654"/>
    <w:rsid val="00A078B7"/>
    <w:rsid val="00A10060"/>
    <w:rsid val="00A11BC3"/>
    <w:rsid val="00A14057"/>
    <w:rsid val="00A15BCD"/>
    <w:rsid val="00A232B4"/>
    <w:rsid val="00A2454B"/>
    <w:rsid val="00A3264A"/>
    <w:rsid val="00A32FC9"/>
    <w:rsid val="00A348DA"/>
    <w:rsid val="00A414D3"/>
    <w:rsid val="00A4304F"/>
    <w:rsid val="00A44ADE"/>
    <w:rsid val="00A46928"/>
    <w:rsid val="00A5151D"/>
    <w:rsid val="00A537DC"/>
    <w:rsid val="00A54462"/>
    <w:rsid val="00A5671F"/>
    <w:rsid val="00A600E1"/>
    <w:rsid val="00A60F97"/>
    <w:rsid val="00A62234"/>
    <w:rsid val="00A65E7B"/>
    <w:rsid val="00A733CD"/>
    <w:rsid val="00A80DAA"/>
    <w:rsid val="00A87AB7"/>
    <w:rsid val="00A90321"/>
    <w:rsid val="00A91D23"/>
    <w:rsid val="00A96F8A"/>
    <w:rsid val="00AA0038"/>
    <w:rsid val="00AA01FB"/>
    <w:rsid val="00AA2744"/>
    <w:rsid val="00AB050A"/>
    <w:rsid val="00AB1784"/>
    <w:rsid val="00AB3FE6"/>
    <w:rsid val="00AC03B2"/>
    <w:rsid val="00AC3EC9"/>
    <w:rsid val="00AD2848"/>
    <w:rsid val="00AD35FD"/>
    <w:rsid val="00AD3F6E"/>
    <w:rsid val="00AD7B87"/>
    <w:rsid val="00AE27D8"/>
    <w:rsid val="00AE4FC9"/>
    <w:rsid val="00AE5C3B"/>
    <w:rsid val="00AE7B82"/>
    <w:rsid val="00AF5D0F"/>
    <w:rsid val="00AF5E2E"/>
    <w:rsid val="00AF6EB0"/>
    <w:rsid val="00B014F4"/>
    <w:rsid val="00B048C8"/>
    <w:rsid val="00B11005"/>
    <w:rsid val="00B140EC"/>
    <w:rsid val="00B15CC0"/>
    <w:rsid val="00B20268"/>
    <w:rsid val="00B27B59"/>
    <w:rsid val="00B41DCC"/>
    <w:rsid val="00B42DF3"/>
    <w:rsid val="00B474EC"/>
    <w:rsid val="00B47F79"/>
    <w:rsid val="00B51529"/>
    <w:rsid val="00B51C81"/>
    <w:rsid val="00B5394E"/>
    <w:rsid val="00B54A9D"/>
    <w:rsid val="00B54E04"/>
    <w:rsid val="00B56ACE"/>
    <w:rsid val="00B61DCF"/>
    <w:rsid val="00B623EB"/>
    <w:rsid val="00B6514D"/>
    <w:rsid val="00B6718A"/>
    <w:rsid val="00B701B4"/>
    <w:rsid val="00B73858"/>
    <w:rsid val="00B74D7F"/>
    <w:rsid val="00B8090E"/>
    <w:rsid val="00B818F5"/>
    <w:rsid val="00B81AEB"/>
    <w:rsid val="00B81C7C"/>
    <w:rsid val="00B8447E"/>
    <w:rsid val="00B866ED"/>
    <w:rsid val="00B87CB1"/>
    <w:rsid val="00B93327"/>
    <w:rsid val="00B9458B"/>
    <w:rsid val="00B94B29"/>
    <w:rsid val="00B9612E"/>
    <w:rsid val="00BA0FA5"/>
    <w:rsid val="00BA14A9"/>
    <w:rsid val="00BA6DE9"/>
    <w:rsid val="00BB1814"/>
    <w:rsid val="00BB2A47"/>
    <w:rsid val="00BB53F2"/>
    <w:rsid val="00BC64C0"/>
    <w:rsid val="00BC7482"/>
    <w:rsid val="00BD023E"/>
    <w:rsid val="00BE126F"/>
    <w:rsid val="00BE4437"/>
    <w:rsid val="00BE4DD3"/>
    <w:rsid val="00BE56C9"/>
    <w:rsid val="00BE618B"/>
    <w:rsid val="00BF3EED"/>
    <w:rsid val="00BF4D56"/>
    <w:rsid val="00C00A42"/>
    <w:rsid val="00C0332A"/>
    <w:rsid val="00C0462C"/>
    <w:rsid val="00C07B7D"/>
    <w:rsid val="00C07F3E"/>
    <w:rsid val="00C12A38"/>
    <w:rsid val="00C20598"/>
    <w:rsid val="00C256A7"/>
    <w:rsid val="00C26DD5"/>
    <w:rsid val="00C3038A"/>
    <w:rsid val="00C30CFA"/>
    <w:rsid val="00C32E0A"/>
    <w:rsid val="00C35C95"/>
    <w:rsid val="00C37550"/>
    <w:rsid val="00C45884"/>
    <w:rsid val="00C47568"/>
    <w:rsid val="00C51641"/>
    <w:rsid val="00C53BAC"/>
    <w:rsid val="00C61C08"/>
    <w:rsid val="00C636E0"/>
    <w:rsid val="00C70FE2"/>
    <w:rsid val="00C7208C"/>
    <w:rsid val="00C818C1"/>
    <w:rsid val="00C851FC"/>
    <w:rsid val="00C87706"/>
    <w:rsid val="00C91CA4"/>
    <w:rsid val="00C921A5"/>
    <w:rsid val="00CA6A3A"/>
    <w:rsid val="00CA7B8E"/>
    <w:rsid val="00CB4A9B"/>
    <w:rsid val="00CB7A8A"/>
    <w:rsid val="00CB7D55"/>
    <w:rsid val="00CC313A"/>
    <w:rsid val="00CC3B15"/>
    <w:rsid val="00CC66D8"/>
    <w:rsid val="00CC6BA8"/>
    <w:rsid val="00CC793E"/>
    <w:rsid val="00CD4F23"/>
    <w:rsid val="00CE1036"/>
    <w:rsid val="00CE2CA0"/>
    <w:rsid val="00CE7101"/>
    <w:rsid val="00CF16CD"/>
    <w:rsid val="00CF7650"/>
    <w:rsid val="00D0049E"/>
    <w:rsid val="00D00A93"/>
    <w:rsid val="00D023F9"/>
    <w:rsid val="00D03692"/>
    <w:rsid val="00D036DD"/>
    <w:rsid val="00D07C8E"/>
    <w:rsid val="00D1417F"/>
    <w:rsid val="00D14D96"/>
    <w:rsid val="00D16AB1"/>
    <w:rsid val="00D20FA4"/>
    <w:rsid val="00D27F7C"/>
    <w:rsid val="00D31978"/>
    <w:rsid val="00D337FB"/>
    <w:rsid val="00D376CA"/>
    <w:rsid val="00D42D18"/>
    <w:rsid val="00D43FFB"/>
    <w:rsid val="00D44D99"/>
    <w:rsid val="00D53A70"/>
    <w:rsid val="00D54122"/>
    <w:rsid val="00D54BED"/>
    <w:rsid val="00D55FDC"/>
    <w:rsid val="00D579B8"/>
    <w:rsid val="00D6620F"/>
    <w:rsid val="00D73387"/>
    <w:rsid val="00D745FF"/>
    <w:rsid val="00D80516"/>
    <w:rsid val="00D82788"/>
    <w:rsid val="00D923B3"/>
    <w:rsid val="00D923EE"/>
    <w:rsid val="00D933D3"/>
    <w:rsid val="00D95ABF"/>
    <w:rsid val="00D97D17"/>
    <w:rsid val="00DA16F8"/>
    <w:rsid val="00DA2872"/>
    <w:rsid val="00DA34DB"/>
    <w:rsid val="00DA4536"/>
    <w:rsid val="00DA6156"/>
    <w:rsid val="00DA6403"/>
    <w:rsid val="00DA78EE"/>
    <w:rsid val="00DB1DA5"/>
    <w:rsid val="00DB3380"/>
    <w:rsid val="00DB48B0"/>
    <w:rsid val="00DB5711"/>
    <w:rsid val="00DC1A5B"/>
    <w:rsid val="00DC39DB"/>
    <w:rsid val="00DC5367"/>
    <w:rsid val="00DC78A3"/>
    <w:rsid val="00DD115C"/>
    <w:rsid val="00DD1FEE"/>
    <w:rsid val="00DD391E"/>
    <w:rsid val="00DD4BA8"/>
    <w:rsid val="00DD6FD0"/>
    <w:rsid val="00DD7700"/>
    <w:rsid val="00DD7F6B"/>
    <w:rsid val="00DF01CA"/>
    <w:rsid val="00DF02AB"/>
    <w:rsid val="00DF2902"/>
    <w:rsid val="00DF2E8C"/>
    <w:rsid val="00DF2F72"/>
    <w:rsid val="00E0039F"/>
    <w:rsid val="00E068F4"/>
    <w:rsid val="00E07725"/>
    <w:rsid val="00E07823"/>
    <w:rsid val="00E1241F"/>
    <w:rsid val="00E140ED"/>
    <w:rsid val="00E148B4"/>
    <w:rsid val="00E1602C"/>
    <w:rsid val="00E177F8"/>
    <w:rsid val="00E3000E"/>
    <w:rsid val="00E30F9C"/>
    <w:rsid val="00E31D5C"/>
    <w:rsid val="00E34CF4"/>
    <w:rsid val="00E35C94"/>
    <w:rsid val="00E439FF"/>
    <w:rsid val="00E44D02"/>
    <w:rsid val="00E46A8F"/>
    <w:rsid val="00E46E14"/>
    <w:rsid val="00E54A66"/>
    <w:rsid val="00E54A6B"/>
    <w:rsid val="00E570DE"/>
    <w:rsid val="00E6269B"/>
    <w:rsid val="00E914E4"/>
    <w:rsid val="00E95538"/>
    <w:rsid val="00EA2BCD"/>
    <w:rsid val="00EA723B"/>
    <w:rsid val="00EB121A"/>
    <w:rsid val="00EB1D0C"/>
    <w:rsid val="00EB53DD"/>
    <w:rsid val="00EB76DB"/>
    <w:rsid val="00EC03CF"/>
    <w:rsid val="00EC59AB"/>
    <w:rsid val="00ED04CC"/>
    <w:rsid val="00ED1D1E"/>
    <w:rsid val="00ED6502"/>
    <w:rsid val="00EE0D2D"/>
    <w:rsid val="00EE160F"/>
    <w:rsid val="00EE2B00"/>
    <w:rsid val="00EE784F"/>
    <w:rsid val="00EF0E2B"/>
    <w:rsid val="00EF6A41"/>
    <w:rsid val="00F015A9"/>
    <w:rsid val="00F03544"/>
    <w:rsid val="00F045BC"/>
    <w:rsid val="00F047AD"/>
    <w:rsid val="00F060A9"/>
    <w:rsid val="00F10445"/>
    <w:rsid val="00F21D4F"/>
    <w:rsid val="00F23201"/>
    <w:rsid val="00F30E26"/>
    <w:rsid val="00F31753"/>
    <w:rsid val="00F349CF"/>
    <w:rsid val="00F34EBC"/>
    <w:rsid val="00F35E07"/>
    <w:rsid val="00F4239E"/>
    <w:rsid val="00F446A4"/>
    <w:rsid val="00F47019"/>
    <w:rsid val="00F47AE4"/>
    <w:rsid val="00F51CB6"/>
    <w:rsid val="00F54653"/>
    <w:rsid val="00F54B6C"/>
    <w:rsid val="00F55F08"/>
    <w:rsid val="00F648F9"/>
    <w:rsid val="00F65051"/>
    <w:rsid val="00F716F0"/>
    <w:rsid val="00F75D10"/>
    <w:rsid val="00F770B5"/>
    <w:rsid val="00F87DB6"/>
    <w:rsid val="00F94D07"/>
    <w:rsid val="00FA2217"/>
    <w:rsid val="00FA2FDD"/>
    <w:rsid val="00FA372B"/>
    <w:rsid val="00FB327D"/>
    <w:rsid val="00FB49F4"/>
    <w:rsid val="00FB57F0"/>
    <w:rsid val="00FB771B"/>
    <w:rsid val="00FB798F"/>
    <w:rsid val="00FC0E5F"/>
    <w:rsid val="00FC223F"/>
    <w:rsid val="00FC34E6"/>
    <w:rsid val="00FD0388"/>
    <w:rsid val="00FD0FF6"/>
    <w:rsid val="00FD7843"/>
    <w:rsid val="00FE005A"/>
    <w:rsid val="00FE5D9D"/>
    <w:rsid val="00FF1045"/>
    <w:rsid val="00FF396C"/>
    <w:rsid val="00FF4535"/>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FD0388"/>
    <w:pPr>
      <w:keepNext/>
      <w:keepLines/>
      <w:outlineLvl w:val="0"/>
      <w:spacing w:before="480" w:after="0"/>
    </w:pPr>
    <w:rPr>
      <w:bCs/>
      <w:b/>
      <w:color w:val="2E74B5"/>
      <w:rFonts w:ascii="Calibri Light" w:eastAsiaTheme="majorEastAsia" w:hAnsiTheme="majorHAnsi" w:cstheme="majorBidi"/>
      <w:sz w:val="28"/>
      <w:szCs w:val="28"/>
    </w:rPr>
  </w:style>
  <w:style w:type="paragraph" w:styleId="Heading2">
    <w:name w:val="Heading 2"/>
    <w:qFormat/>
    <w:basedOn w:val="Normal"/>
    <w:next w:val="Normal"/>
    <w:link w:val="Heading2Char"/>
    <w:uiPriority w:val="9"/>
    <w:unhideWhenUsed/>
    <w:rsid w:val="00D54BED"/>
    <w:pPr>
      <w:keepNext/>
      <w:keepLines/>
      <w:outlineLvl w:val="1"/>
      <w:spacing w:before="200" w:after="0"/>
    </w:pPr>
    <w:rPr>
      <w:bCs/>
      <w:b/>
      <w:color w:val="5B9BD5"/>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2075BB"/>
    <w:pPr>
      <w:keepNext/>
      <w:keepLines/>
      <w:outlineLvl w:val="2"/>
      <w:spacing w:before="200" w:after="0"/>
    </w:pPr>
    <w:rPr>
      <w:bCs/>
      <w:b/>
      <w:color w:val="5B9BD5"/>
      <w:rFonts w:ascii="Calibri Light" w:eastAsiaTheme="majorEastAsia" w:hAnsiTheme="majorHAnsi" w:cstheme="majorBidi"/>
    </w:rPr>
  </w:style>
  <w:style w:type="paragraph" w:styleId="Heading4">
    <w:name w:val="Heading 4"/>
    <w:qFormat/>
    <w:basedOn w:val="Normal"/>
    <w:next w:val="Normal"/>
    <w:link w:val="Heading4Char"/>
    <w:uiPriority w:val="9"/>
    <w:unhideWhenUsed/>
    <w:rsid w:val="00EF0E2B"/>
    <w:pPr>
      <w:keepNext/>
      <w:keepLines/>
      <w:outlineLvl w:val="3"/>
      <w:spacing w:before="200" w:after="0"/>
    </w:pPr>
    <w:rPr>
      <w:bCs/>
      <w:iCs/>
      <w:b/>
      <w:i/>
      <w:color w:val="5B9BD5"/>
      <w:rFonts w:ascii="Calibri Light"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u w:val="single"/>
      <w:color w:val="0563C1"/>
    </w:rPr>
  </w:style>
  <w:style w:type="table" w:styleId="TableGrid">
    <w:name w:val="Table Grid"/>
    <w:basedOn w:val="TableNormal"/>
    <w:pPr>
      <w:spacing w:after="0" w:line="240" w:lineRule="auto"/>
    </w:pPr>
    <w:rPr>
      <w:lang w:val="en-US"/>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59"/>
    <w:rsid w:val="00FD0388"/>
  </w:style>
  <w:style w:type="character" w:styleId="Heading1Char">
    <w:name w:val="Heading 1 Char"/>
    <w:basedOn w:val="DefaultParagraphFont"/>
    <w:link w:val="Heading1"/>
    <w:uiPriority w:val="9"/>
    <w:rsid w:val="00FD0388"/>
    <w:rPr>
      <w:bCs/>
      <w:b/>
      <w:color w:val="2E74B5"/>
      <w:rFonts w:ascii="Calibri Light" w:eastAsiaTheme="majorEastAsia" w:hAnsiTheme="majorHAnsi" w:cstheme="majorBidi"/>
      <w:sz w:val="28"/>
      <w:szCs w:val="28"/>
    </w:rPr>
  </w:style>
  <w:style w:type="paragraph" w:styleId="TOCHeading">
    <w:name w:val="TOC Heading"/>
    <w:qFormat/>
    <w:basedOn w:val="Heading1"/>
    <w:next w:val="Normal"/>
    <w:uiPriority w:val="39"/>
    <w:semiHidden/>
    <w:unhideWhenUsed/>
    <w:rsid w:val="00FD0388"/>
    <w:pPr>
      <w:outlineLvl w:val="9"/>
      <w:spacing w:line="276" w:lineRule="auto"/>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FD0388"/>
    <w:rPr>
      <w:rFonts w:ascii="Tahoma" w:cs="Tahoma" w:hAnsi="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spacing w:after="0" w:line="240" w:lineRule="auto"/>
      <w:tabs>
        <w:tab w:val="center" w:pos="4680"/>
        <w:tab w:val="right" w:pos="9360"/>
      </w:tabs>
    </w:pPr>
  </w:style>
  <w:style w:type="character"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spacing w:after="0" w:line="240" w:lineRule="auto"/>
      <w:tabs>
        <w:tab w:val="center" w:pos="4680"/>
        <w:tab w:val="right" w:pos="9360"/>
      </w:tabs>
    </w:pPr>
  </w:style>
  <w:style w:type="character" w:styleId="FooterChar">
    <w:name w:val="Footer Char"/>
    <w:basedOn w:val="DefaultParagraphFont"/>
    <w:link w:val="Footer"/>
    <w:uiPriority w:val="99"/>
    <w:rsid w:val="008C45E0"/>
  </w:style>
  <w:style w:type="paragraph" w:styleId="ListParagraph">
    <w:name w:val="List Paragraph"/>
    <w:qFormat/>
    <w:basedOn w:val="Normal"/>
    <w:uiPriority w:val="34"/>
    <w:rsid w:val="00622C32"/>
    <w:pPr>
      <w:ind w:left="720"/>
      <w:contextualSpacing/>
    </w:pPr>
  </w:style>
  <w:style w:type="character" w:styleId="Heading3Char">
    <w:name w:val="Heading 3 Char"/>
    <w:basedOn w:val="DefaultParagraphFont"/>
    <w:link w:val="Heading3"/>
    <w:uiPriority w:val="9"/>
    <w:rsid w:val="002075BB"/>
    <w:rPr>
      <w:bCs/>
      <w:b/>
      <w:color w:val="5B9BD5"/>
      <w:rFonts w:ascii="Calibri Light" w:eastAsiaTheme="majorEastAsia" w:hAnsiTheme="majorHAnsi" w:cstheme="majorBidi"/>
    </w:rPr>
  </w:style>
  <w:style w:type="character" w:styleId="Heading4Char">
    <w:name w:val="Heading 4 Char"/>
    <w:basedOn w:val="DefaultParagraphFont"/>
    <w:link w:val="Heading4"/>
    <w:uiPriority w:val="9"/>
    <w:rsid w:val="00EF0E2B"/>
    <w:rPr>
      <w:bCs/>
      <w:iCs/>
      <w:b/>
      <w:i/>
      <w:color w:val="5B9BD5"/>
      <w:rFonts w:ascii="Calibri Light" w:eastAsiaTheme="majorEastAsia" w:hAnsiTheme="majorHAnsi" w:cstheme="majorBidi"/>
    </w:rPr>
  </w:style>
  <w:style w:type="table" w:styleId="MediumShading2-Accent3">
    <w:name w:val="Medium Shading 2 Accent 3"/>
    <w:basedOn w:val="TableNormal"/>
    <w:pPr>
      <w:spacing w:after="0" w:line="240" w:lineRule="auto"/>
    </w:pPr>
    <w:tblPr>
      <w:tblStyleRowBandSize w:val="1"/>
      <w:tblStyleColBandSize w:val="1"/>
      <w:tblBorders>
        <w:top w:val="single" w:sz="18" w:color="auto" w:space="0"/>
        <w:bottom w:val="single" w:sz="18" w:color="auto" w:space="0"/>
      </w:tblBorders>
    </w:tblPr>
    <w:tblStylePr w:type="band1Vert">
      <w:tcPr>
        <w:tcBorders>
          <w:left w:val="nil" w:sz="0" w:color="auto" w:space="0"/>
          <w:right w:val="nil" w:sz="0" w:color="auto" w:space="0"/>
          <w:insideH w:val="nil" w:sz="0" w:color="auto" w:space="0"/>
          <w:insideV w:val="nil" w:sz="0" w:color="auto" w:space="0"/>
        </w:tcBorders>
        <w:shd w:fill="D8D8D8" w:color="auto" w:themeFill="background1" w:themeFillShade="D8" w:val="clear"/>
      </w:tcPr>
    </w:tblStylePr>
    <w:tblStylePr w:type="band1Horz">
      <w:tcPr>
        <w:shd w:fill="D8D8D8" w:color="auto" w:themeFill="background1" w:themeFillShade="D8" w:val="clear"/>
      </w:tcPr>
    </w:tblStylePr>
    <w:tblStylePr w:type="firstRow">
      <w:rPr>
        <w:bCs/>
        <w:b/>
        <w:color w:val="FFFFFF"/>
      </w:rPr>
      <w:pPr>
        <w:spacing w:before="0" w:after="0" w:line="240" w:lineRule="auto"/>
      </w:pPr>
      <w:tcPr>
        <w:tcBorders>
          <w:top w:val="single" w:sz="18" w:color="auto" w:space="0"/>
          <w:bottom w:val="single" w:sz="18" w:color="auto" w:space="0"/>
          <w:left w:val="nil" w:sz="0" w:color="auto" w:space="0"/>
          <w:right w:val="nil" w:sz="0" w:color="auto" w:space="0"/>
          <w:insideH w:val="nil" w:sz="0" w:color="auto" w:space="0"/>
          <w:insideV w:val="nil" w:sz="0" w:color="auto" w:space="0"/>
        </w:tcBorders>
        <w:shd w:fill="A5A5A5" w:color="auto" w:themeFill="accent3" w:val="clear"/>
      </w:tcPr>
    </w:tblStylePr>
    <w:tblStylePr w:type="lastRow">
      <w:rPr>
        <w:color w:val="auto"/>
      </w:rPr>
      <w:pPr>
        <w:spacing w:before="0" w:after="0" w:line="240" w:lineRule="auto"/>
      </w:pPr>
      <w:tcPr>
        <w:tcBorders>
          <w:top w:val="double" w:sz="6" w:color="auto" w:space="0"/>
          <w:bottom w:val="single" w:sz="18"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firstCol">
      <w:rPr>
        <w:bCs/>
        <w:b/>
        <w:color w:val="FFFFFF"/>
      </w:rPr>
      <w:tcPr>
        <w:tcBorders>
          <w:top w:val="nil" w:sz="0" w:color="auto" w:space="0"/>
          <w:bottom w:val="single" w:sz="18" w:color="auto" w:space="0"/>
          <w:left w:val="nil" w:sz="0" w:color="auto" w:space="0"/>
          <w:right w:val="nil" w:sz="0" w:color="auto" w:space="0"/>
          <w:insideH w:val="nil" w:sz="0" w:color="auto" w:space="0"/>
          <w:insideV w:val="nil" w:sz="0" w:color="auto" w:space="0"/>
        </w:tcBorders>
        <w:shd w:fill="A5A5A5" w:color="auto" w:themeFill="accent3" w:val="clear"/>
      </w:tcPr>
    </w:tblStylePr>
    <w:tblStylePr w:type="lastCol">
      <w:rPr>
        <w:bCs/>
        <w:b/>
        <w:color w:val="FFFFFF"/>
      </w:rPr>
      <w:tcPr>
        <w:tcBorders>
          <w:left w:val="nil" w:sz="0" w:color="auto" w:space="0"/>
          <w:right w:val="nil" w:sz="0" w:color="auto" w:space="0"/>
          <w:insideH w:val="nil" w:sz="0" w:color="auto" w:space="0"/>
          <w:insideV w:val="nil" w:sz="0" w:color="auto" w:space="0"/>
        </w:tcBorders>
        <w:shd w:fill="A5A5A5" w:color="auto" w:themeFill="accent3" w:val="clear"/>
      </w:tcPr>
    </w:tblStylePr>
    <w:tblStylePr w:type="nwCell">
      <w:rPr>
        <w:color w:val="FFFFFF"/>
      </w:rPr>
      <w:tcPr>
        <w:tcBorders>
          <w:top w:val="single" w:sz="18" w:color="auto" w:space="0"/>
          <w:bottom w:val="single" w:sz="18" w:color="auto" w:space="0"/>
          <w:left w:val="nil" w:sz="0" w:color="auto" w:space="0"/>
          <w:right w:val="nil" w:sz="0" w:color="auto" w:space="0"/>
          <w:insideH w:val="nil" w:sz="0" w:color="auto" w:space="0"/>
          <w:insideV w:val="nil" w:sz="0" w:color="auto" w:space="0"/>
        </w:tcBorders>
      </w:tcPr>
    </w:tblStylePr>
    <w:tblStylePr w:type="neCell">
      <w:tcPr>
        <w:tcBorders>
          <w:top w:val="single" w:sz="18" w:color="auto" w:space="0"/>
          <w:bottom w:val="single" w:sz="18" w:color="auto" w:space="0"/>
          <w:left w:val="nil" w:sz="0" w:color="auto" w:space="0"/>
          <w:right w:val="nil" w:sz="0" w:color="auto" w:space="0"/>
          <w:insideH w:val="nil" w:sz="0" w:color="auto" w:space="0"/>
          <w:insideV w:val="nil" w:sz="0" w:color="auto" w:space="0"/>
        </w:tcBorders>
      </w:tcPr>
    </w:tblStylePr>
    <w:uiPriority w:val="64"/>
    <w:rsid w:val="00417405"/>
  </w:style>
  <w:style w:type="table" w:styleId="MediumShading2-Accent4">
    <w:name w:val="Medium Shading 2 Accent 4"/>
    <w:basedOn w:val="TableNormal"/>
    <w:pPr>
      <w:spacing w:after="0" w:line="240" w:lineRule="auto"/>
    </w:pPr>
    <w:tblPr>
      <w:tblStyleRowBandSize w:val="1"/>
      <w:tblStyleColBandSize w:val="1"/>
      <w:tblBorders>
        <w:top w:val="single" w:sz="18" w:color="auto" w:space="0"/>
        <w:bottom w:val="single" w:sz="18" w:color="auto" w:space="0"/>
      </w:tblBorders>
    </w:tblPr>
    <w:tblStylePr w:type="band1Vert">
      <w:tcPr>
        <w:tcBorders>
          <w:left w:val="nil" w:sz="0" w:color="auto" w:space="0"/>
          <w:right w:val="nil" w:sz="0" w:color="auto" w:space="0"/>
          <w:insideH w:val="nil" w:sz="0" w:color="auto" w:space="0"/>
          <w:insideV w:val="nil" w:sz="0" w:color="auto" w:space="0"/>
        </w:tcBorders>
        <w:shd w:fill="D8D8D8" w:color="auto" w:themeFill="background1" w:themeFillShade="D8" w:val="clear"/>
      </w:tcPr>
    </w:tblStylePr>
    <w:tblStylePr w:type="band1Horz">
      <w:tcPr>
        <w:shd w:fill="D8D8D8" w:color="auto" w:themeFill="background1" w:themeFillShade="D8" w:val="clear"/>
      </w:tcPr>
    </w:tblStylePr>
    <w:tblStylePr w:type="firstRow">
      <w:rPr>
        <w:bCs/>
        <w:b/>
        <w:color w:val="FFFFFF"/>
      </w:rPr>
      <w:pPr>
        <w:spacing w:before="0" w:after="0" w:line="240" w:lineRule="auto"/>
      </w:pPr>
      <w:tcPr>
        <w:tcBorders>
          <w:top w:val="single" w:sz="18" w:color="auto" w:space="0"/>
          <w:bottom w:val="single" w:sz="18" w:color="auto" w:space="0"/>
          <w:left w:val="nil" w:sz="0" w:color="auto" w:space="0"/>
          <w:right w:val="nil" w:sz="0" w:color="auto" w:space="0"/>
          <w:insideH w:val="nil" w:sz="0" w:color="auto" w:space="0"/>
          <w:insideV w:val="nil" w:sz="0" w:color="auto" w:space="0"/>
        </w:tcBorders>
        <w:shd w:fill="FFC000" w:color="auto" w:themeFill="accent4" w:val="clear"/>
      </w:tcPr>
    </w:tblStylePr>
    <w:tblStylePr w:type="lastRow">
      <w:rPr>
        <w:color w:val="auto"/>
      </w:rPr>
      <w:pPr>
        <w:spacing w:before="0" w:after="0" w:line="240" w:lineRule="auto"/>
      </w:pPr>
      <w:tcPr>
        <w:tcBorders>
          <w:top w:val="double" w:sz="6" w:color="auto" w:space="0"/>
          <w:bottom w:val="single" w:sz="18"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firstCol">
      <w:rPr>
        <w:bCs/>
        <w:b/>
        <w:color w:val="FFFFFF"/>
      </w:rPr>
      <w:tcPr>
        <w:tcBorders>
          <w:top w:val="nil" w:sz="0" w:color="auto" w:space="0"/>
          <w:bottom w:val="single" w:sz="18" w:color="auto" w:space="0"/>
          <w:left w:val="nil" w:sz="0" w:color="auto" w:space="0"/>
          <w:right w:val="nil" w:sz="0" w:color="auto" w:space="0"/>
          <w:insideH w:val="nil" w:sz="0" w:color="auto" w:space="0"/>
          <w:insideV w:val="nil" w:sz="0" w:color="auto" w:space="0"/>
        </w:tcBorders>
        <w:shd w:fill="FFC000" w:color="auto" w:themeFill="accent4" w:val="clear"/>
      </w:tcPr>
    </w:tblStylePr>
    <w:tblStylePr w:type="lastCol">
      <w:rPr>
        <w:bCs/>
        <w:b/>
        <w:color w:val="FFFFFF"/>
      </w:rPr>
      <w:tcPr>
        <w:tcBorders>
          <w:left w:val="nil" w:sz="0" w:color="auto" w:space="0"/>
          <w:right w:val="nil" w:sz="0" w:color="auto" w:space="0"/>
          <w:insideH w:val="nil" w:sz="0" w:color="auto" w:space="0"/>
          <w:insideV w:val="nil" w:sz="0" w:color="auto" w:space="0"/>
        </w:tcBorders>
        <w:shd w:fill="FFC000" w:color="auto" w:themeFill="accent4" w:val="clear"/>
      </w:tcPr>
    </w:tblStylePr>
    <w:tblStylePr w:type="nwCell">
      <w:rPr>
        <w:color w:val="FFFFFF"/>
      </w:rPr>
      <w:tcPr>
        <w:tcBorders>
          <w:top w:val="single" w:sz="18" w:color="auto" w:space="0"/>
          <w:bottom w:val="single" w:sz="18" w:color="auto" w:space="0"/>
          <w:left w:val="nil" w:sz="0" w:color="auto" w:space="0"/>
          <w:right w:val="nil" w:sz="0" w:color="auto" w:space="0"/>
          <w:insideH w:val="nil" w:sz="0" w:color="auto" w:space="0"/>
          <w:insideV w:val="nil" w:sz="0" w:color="auto" w:space="0"/>
        </w:tcBorders>
      </w:tcPr>
    </w:tblStylePr>
    <w:tblStylePr w:type="neCell">
      <w:tcPr>
        <w:tcBorders>
          <w:top w:val="single" w:sz="18" w:color="auto" w:space="0"/>
          <w:bottom w:val="single" w:sz="18" w:color="auto" w:space="0"/>
          <w:left w:val="nil" w:sz="0" w:color="auto" w:space="0"/>
          <w:right w:val="nil" w:sz="0" w:color="auto" w:space="0"/>
          <w:insideH w:val="nil" w:sz="0" w:color="auto" w:space="0"/>
          <w:insideV w:val="nil" w:sz="0" w:color="auto" w:space="0"/>
        </w:tcBorders>
      </w:tcPr>
    </w:tblStylePr>
    <w:uiPriority w:val="64"/>
    <w:rsid w:val="00B818F5"/>
  </w:style>
  <w:style w:type="character" w:styleId="Strong">
    <w:name w:val="Strong"/>
    <w:qFormat/>
    <w:basedOn w:val="DefaultParagraphFont"/>
    <w:uiPriority w:val="22"/>
    <w:rsid w:val="00B818F5"/>
    <w:rPr>
      <w:bCs/>
      <w:b/>
    </w:rPr>
  </w:style>
  <w:style w:type="character" w:styleId="Emphasis">
    <w:name w:val="Emphasis"/>
    <w:qFormat/>
    <w:basedOn w:val="DefaultParagraphFont"/>
    <w:uiPriority w:val="20"/>
    <w:rsid w:val="00A4304F"/>
    <w:rPr>
      <w:iCs/>
      <w:i/>
    </w:rPr>
  </w:style>
  <w:style w:type="table" w:styleId="LightShading-Accent3">
    <w:name w:val="Light Shading Accent 3"/>
    <w:basedOn w:val="TableNormal"/>
    <w:pPr>
      <w:spacing w:after="0" w:line="240" w:lineRule="auto"/>
    </w:pPr>
    <w:rPr>
      <w:color w:val="7B7B7B"/>
    </w:rPr>
    <w:tblPr>
      <w:tblStyleRowBandSize w:val="1"/>
      <w:tblStyleColBandSize w:val="1"/>
      <w:tblBorders>
        <w:top w:val="single" w:sz="8" w:color="A5A5A5" w:space="0" w:themeColor="accent3"/>
        <w:bottom w:val="single" w:sz="8" w:color="A5A5A5" w:space="0" w:themeColor="accent3"/>
      </w:tblBorders>
    </w:tblPr>
    <w:tblStylePr w:type="band1Vert">
      <w:tcPr>
        <w:tcBorders>
          <w:left w:val="nil" w:sz="0" w:color="auto" w:space="0"/>
          <w:right w:val="nil" w:sz="0" w:color="auto" w:space="0"/>
          <w:insideH w:val="nil" w:sz="0" w:color="auto" w:space="0"/>
          <w:insideV w:val="nil" w:sz="0" w:color="auto" w:space="0"/>
        </w:tcBorders>
        <w:shd w:fill="E8E8E8" w:color="auto" w:themeFill="accent3" w:themeFillTint="3F" w:val="clear"/>
      </w:tcPr>
    </w:tblStylePr>
    <w:tblStylePr w:type="band1Horz">
      <w:tcPr>
        <w:tcBorders>
          <w:left w:val="nil" w:sz="0" w:color="auto" w:space="0"/>
          <w:right w:val="nil" w:sz="0" w:color="auto" w:space="0"/>
          <w:insideH w:val="nil" w:sz="0" w:color="auto" w:space="0"/>
          <w:insideV w:val="nil" w:sz="0" w:color="auto" w:space="0"/>
        </w:tcBorders>
        <w:shd w:fill="E8E8E8" w:color="auto" w:themeFill="accent3" w:themeFillTint="3F" w:val="clear"/>
      </w:tcPr>
    </w:tblStylePr>
    <w:tblStylePr w:type="firstRow">
      <w:rPr>
        <w:bCs/>
        <w:b/>
      </w:rPr>
      <w:pPr>
        <w:spacing w:before="0" w:after="0" w:line="240" w:lineRule="auto"/>
      </w:pPr>
      <w:tcPr>
        <w:tcBorders>
          <w:top w:val="single" w:sz="8" w:color="A5A5A5" w:space="0" w:themeColor="accent3"/>
          <w:bottom w:val="single" w:sz="8" w:color="A5A5A5" w:space="0" w:themeColor="accent3"/>
          <w:left w:val="nil" w:sz="0" w:color="auto" w:space="0"/>
          <w:right w:val="nil" w:sz="0" w:color="auto" w:space="0"/>
          <w:insideH w:val="nil" w:sz="0" w:color="auto" w:space="0"/>
          <w:insideV w:val="nil" w:sz="0" w:color="auto" w:space="0"/>
        </w:tcBorders>
      </w:tcPr>
    </w:tblStylePr>
    <w:tblStylePr w:type="lastRow">
      <w:rPr>
        <w:bCs/>
        <w:b/>
      </w:rPr>
      <w:pPr>
        <w:spacing w:before="0" w:after="0" w:line="240" w:lineRule="auto"/>
      </w:pPr>
      <w:tcPr>
        <w:tcBorders>
          <w:top w:val="single" w:sz="8" w:color="A5A5A5" w:space="0" w:themeColor="accent3"/>
          <w:bottom w:val="single" w:sz="8" w:color="A5A5A5" w:space="0" w:themeColor="accent3"/>
          <w:left w:val="nil" w:sz="0" w:color="auto" w:space="0"/>
          <w:right w:val="nil" w:sz="0" w:color="auto" w:space="0"/>
          <w:insideH w:val="nil" w:sz="0" w:color="auto" w:space="0"/>
          <w:insideV w:val="nil" w:sz="0" w:color="auto" w:space="0"/>
        </w:tcBorders>
      </w:tcPr>
    </w:tblStylePr>
    <w:tblStylePr w:type="firstCol">
      <w:rPr>
        <w:bCs/>
        <w:b/>
      </w:rPr>
    </w:tblStylePr>
    <w:tblStylePr w:type="lastCol">
      <w:rPr>
        <w:bCs/>
        <w:b/>
      </w:rPr>
    </w:tblStylePr>
    <w:uiPriority w:val="60"/>
    <w:rsid w:val="00A4304F"/>
  </w:style>
  <w:style w:type="paragraph" w:styleId="NormalWeb">
    <w:name w:val="Normal (Web)"/>
    <w:basedOn w:val="Normal"/>
    <w:uiPriority w:val="99"/>
    <w:unhideWhenUsed/>
    <w:rsid w:val="00E54A66"/>
    <w:pPr>
      <w:spacing w:before="100" w:beforeAutospacing="1" w:after="100" w:afterAutospacing="1" w:line="240" w:lineRule="auto"/>
    </w:pPr>
    <w:rPr>
      <w:lang w:val="en-US"/>
      <w:rFonts w:ascii="Times New Roman" w:cs="Times New Roman" w:eastAsia="Times New Roman" w:hAnsi="Times New Roman"/>
      <w:sz w:val="24"/>
      <w:szCs w:val="24"/>
    </w:rPr>
  </w:style>
  <w:style w:type="paragraph" w:styleId="NoSpacing">
    <w:name w:val="No Spacing"/>
    <w:qFormat/>
    <w:uiPriority w:val="1"/>
    <w:rsid w:val="00385E67"/>
    <w:pPr>
      <w:spacing w:after="0" w:line="240" w:lineRule="auto"/>
    </w:pPr>
  </w:style>
  <w:style w:type="character" w:styleId="FollowedHyperlink">
    <w:name w:val="FollowedHyperlink"/>
    <w:basedOn w:val="DefaultParagraphFont"/>
    <w:uiPriority w:val="99"/>
    <w:semiHidden/>
    <w:unhideWhenUsed/>
    <w:rsid w:val="0034272E"/>
    <w:rPr>
      <w:u w:val="single"/>
      <w:color w:val="954F72"/>
    </w:rPr>
  </w:style>
  <w:style w:type="character" w:styleId="Heading2Char">
    <w:name w:val="Heading 2 Char"/>
    <w:basedOn w:val="DefaultParagraphFont"/>
    <w:link w:val="Heading2"/>
    <w:uiPriority w:val="9"/>
    <w:rsid w:val="00D54BED"/>
    <w:rPr>
      <w:bCs/>
      <w:b/>
      <w:color w:val="5B9BD5"/>
      <w:rFonts w:ascii="Calibri Light" w:eastAsiaTheme="majorEastAsia" w:hAnsiTheme="majorHAnsi" w:cstheme="majorBidi"/>
      <w:sz w:val="26"/>
      <w:szCs w:val="26"/>
    </w:rPr>
  </w:style>
  <w:style w:type="paragraph" w:styleId="TOC2">
    <w:name w:val="toc 2"/>
    <w:basedOn w:val="Normal"/>
    <w:next w:val="Normal"/>
    <w:autoRedefine/>
    <w:uiPriority w:val="39"/>
    <w:unhideWhenUsed/>
    <w:rsid w:val="00712F8D"/>
    <w:pPr>
      <w:ind w:left="220"/>
      <w:spacing w:after="100"/>
    </w:pPr>
  </w:style>
  <w:style w:type="paragraph" w:styleId="TOC3">
    <w:name w:val="toc 3"/>
    <w:basedOn w:val="Normal"/>
    <w:next w:val="Normal"/>
    <w:autoRedefine/>
    <w:uiPriority w:val="39"/>
    <w:unhideWhenUsed/>
    <w:rsid w:val="001875CD"/>
    <w:pPr>
      <w:ind w:left="440"/>
      <w:spacing w:after="100"/>
    </w:pPr>
  </w:style>
  <w:style w:type="paragraph" w:styleId="Caption">
    <w:name w:val="caption"/>
    <w:qFormat/>
    <w:basedOn w:val="Normal"/>
    <w:next w:val="Normal"/>
    <w:uiPriority w:val="35"/>
    <w:unhideWhenUsed/>
    <w:rsid w:val="005229A8"/>
    <w:pPr>
      <w:spacing w:after="200" w:line="240" w:lineRule="auto"/>
    </w:pPr>
    <w:rPr>
      <w:bCs/>
      <w:b/>
      <w:color w:val="5B9BD5"/>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pPr>
      <w:spacing w:after="0" w:line="240" w:lineRule="auto"/>
    </w:pPr>
    <w:tblPr>
      <w:tblStyleRowBandSize w:val="1"/>
      <w:tblStyleColBandSize w:val="1"/>
      <w:tblBorders>
        <w:top w:val="single" w:sz="8" w:color="93C571" w:space="0" w:themeColor="accent6" w:themeTint="BF"/>
        <w:bottom w:val="single" w:sz="8" w:color="93C571" w:space="0" w:themeColor="accent6" w:themeTint="BF"/>
        <w:left w:val="single" w:sz="8" w:color="93C571" w:space="0" w:themeColor="accent6" w:themeTint="BF"/>
        <w:right w:val="single" w:sz="8" w:color="93C571" w:space="0" w:themeColor="accent6" w:themeTint="BF"/>
        <w:insideH w:val="single" w:sz="8" w:color="93C571" w:space="0" w:themeColor="accent6" w:themeTint="BF"/>
      </w:tblBorders>
    </w:tblPr>
    <w:tblStylePr w:type="band1Vert">
      <w:tcPr>
        <w:shd w:fill="DBEBD0" w:color="auto" w:themeFill="accent6" w:themeFillTint="3F" w:val="clear"/>
      </w:tcPr>
    </w:tblStylePr>
    <w:tblStylePr w:type="band1Horz">
      <w:tcPr>
        <w:tcBorders>
          <w:insideH w:val="nil" w:sz="0" w:color="auto" w:space="0"/>
          <w:insideV w:val="nil" w:sz="0" w:color="auto" w:space="0"/>
        </w:tcBorders>
        <w:shd w:fill="DBEBD0" w:color="auto" w:themeFill="accent6" w:themeFillTint="3F" w:val="clear"/>
      </w:tcPr>
    </w:tblStylePr>
    <w:tblStylePr w:type="band2Horz">
      <w:tcPr>
        <w:tcBorders>
          <w:insideH w:val="nil" w:sz="0" w:color="auto" w:space="0"/>
          <w:insideV w:val="nil" w:sz="0" w:color="auto" w:space="0"/>
        </w:tcBorders>
      </w:tcPr>
    </w:tblStylePr>
    <w:tblStylePr w:type="firstRow">
      <w:rPr>
        <w:bCs/>
        <w:b/>
        <w:color w:val="FFFFFF"/>
      </w:rPr>
      <w:pPr>
        <w:spacing w:before="0" w:after="0" w:line="240" w:lineRule="auto"/>
      </w:pPr>
      <w:tcPr>
        <w:tcBorders>
          <w:top w:val="single" w:sz="8" w:color="93C571" w:space="0" w:themeColor="accent6" w:themeTint="BF"/>
          <w:bottom w:val="single" w:sz="8" w:color="93C571" w:space="0" w:themeColor="accent6" w:themeTint="BF"/>
          <w:left w:val="single" w:sz="8" w:color="93C571" w:space="0" w:themeColor="accent6" w:themeTint="BF"/>
          <w:right w:val="single" w:sz="8" w:color="93C571" w:space="0" w:themeColor="accent6" w:themeTint="BF"/>
          <w:insideH w:val="nil" w:sz="0" w:color="auto" w:space="0"/>
          <w:insideV w:val="nil" w:sz="0" w:color="auto" w:space="0"/>
        </w:tcBorders>
        <w:shd w:fill="70AD47" w:color="auto" w:themeFill="accent6" w:val="clear"/>
      </w:tcPr>
    </w:tblStylePr>
    <w:tblStylePr w:type="lastRow">
      <w:rPr>
        <w:bCs/>
        <w:b/>
      </w:rPr>
      <w:pPr>
        <w:spacing w:before="0" w:after="0" w:line="240" w:lineRule="auto"/>
      </w:pPr>
      <w:tcPr>
        <w:tcBorders>
          <w:top w:val="double" w:sz="6" w:color="93C571" w:space="0" w:themeColor="accent6" w:themeTint="BF"/>
          <w:bottom w:val="single" w:sz="8" w:color="93C571" w:space="0" w:themeColor="accent6" w:themeTint="BF"/>
          <w:left w:val="single" w:sz="8" w:color="93C571" w:space="0" w:themeColor="accent6" w:themeTint="BF"/>
          <w:right w:val="single" w:sz="8" w:color="93C571" w:space="0" w:themeColor="accent6" w:themeTint="BF"/>
          <w:insideH w:val="nil" w:sz="0" w:color="auto" w:space="0"/>
          <w:insideV w:val="nil" w:sz="0" w:color="auto" w:space="0"/>
        </w:tcBorders>
      </w:tcPr>
    </w:tblStylePr>
    <w:tblStylePr w:type="firstCol">
      <w:rPr>
        <w:bCs/>
        <w:b/>
      </w:rPr>
    </w:tblStylePr>
    <w:tblStylePr w:type="lastCol">
      <w:rPr>
        <w:bCs/>
        <w:b/>
      </w:rPr>
    </w:tblStylePr>
    <w:uiPriority w:val="63"/>
    <w:rsid w:val="000D50D9"/>
  </w:style>
  <w:style w:type="character" w:styleId="PlaceholderText">
    <w:name w:val="Placeholder Text"/>
    <w:basedOn w:val="DefaultParagraphFont"/>
    <w:uiPriority w:val="99"/>
    <w:semiHidden/>
    <w:rsid w:val="0096725B"/>
    <w:rPr>
      <w:color w:val="808080"/>
    </w:rPr>
  </w:style>
  <w:style w:type="paragraph" w:styleId="ds-markdown-paragraph">
    <w:name w:val="ds-markdown-paragraph"/>
    <w:basedOn w:val="Normal"/>
    <w:rsid w:val="00697DA1"/>
    <w:pPr>
      <w:spacing w:before="100" w:beforeAutospacing="1" w:after="100" w:afterAutospacing="1" w:line="240" w:lineRule="auto"/>
    </w:pPr>
    <w:rPr>
      <w:lang w:val="en-US"/>
      <w:rFonts w:ascii="Times New Roman" w:cs="Times New Roman" w:eastAsia="Times New Roman" w:hAnsi="Times New Roman"/>
      <w:sz w:val="24"/>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5952365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214515268">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58451906">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1217612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972715605">
      <w:bodyDiv w:val="1"/>
      <w:marLeft w:val="0"/>
      <w:marRight w:val="0"/>
      <w:marTop w:val="0"/>
      <w:marBottom w:val="0"/>
      <w:divBdr>
        <w:top w:val="none" w:sz="0" w:space="0" w:color="auto"/>
        <w:left w:val="none" w:sz="0" w:space="0" w:color="auto"/>
        <w:bottom w:val="none" w:sz="0" w:space="0" w:color="auto"/>
        <w:right w:val="none" w:sz="0" w:space="0" w:color="auto"/>
      </w:divBdr>
    </w:div>
    <w:div w:id="983003844">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1146426">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223562761">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27134212">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67993799">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00801017">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61236120">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29403524">
      <w:bodyDiv w:val="1"/>
      <w:marLeft w:val="0"/>
      <w:marRight w:val="0"/>
      <w:marTop w:val="0"/>
      <w:marBottom w:val="0"/>
      <w:divBdr>
        <w:top w:val="none" w:sz="0" w:space="0" w:color="auto"/>
        <w:left w:val="none" w:sz="0" w:space="0" w:color="auto"/>
        <w:bottom w:val="none" w:sz="0" w:space="0" w:color="auto"/>
        <w:right w:val="none" w:sz="0" w:space="0" w:color="auto"/>
      </w:divBdr>
      <w:divsChild>
        <w:div w:id="394284135">
          <w:marLeft w:val="0"/>
          <w:marRight w:val="0"/>
          <w:marTop w:val="0"/>
          <w:marBottom w:val="0"/>
          <w:divBdr>
            <w:top w:val="none" w:sz="0" w:space="0" w:color="auto"/>
            <w:left w:val="none" w:sz="0" w:space="0" w:color="auto"/>
            <w:bottom w:val="none" w:sz="0" w:space="0" w:color="auto"/>
            <w:right w:val="none" w:sz="0" w:space="0" w:color="auto"/>
          </w:divBdr>
          <w:divsChild>
            <w:div w:id="33765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067490537">
      <w:bodyDiv w:val="1"/>
      <w:marLeft w:val="0"/>
      <w:marRight w:val="0"/>
      <w:marTop w:val="0"/>
      <w:marBottom w:val="0"/>
      <w:divBdr>
        <w:top w:val="none" w:sz="0" w:space="0" w:color="auto"/>
        <w:left w:val="none" w:sz="0" w:space="0" w:color="auto"/>
        <w:bottom w:val="none" w:sz="0" w:space="0" w:color="auto"/>
        <w:right w:val="none" w:sz="0" w:space="0" w:color="auto"/>
      </w:divBdr>
    </w:div>
    <w:div w:id="2067755461">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fc.org/content/dam/ifc/doc/2025/mexico-sss-auto-industry-in-chiapas.pdf" TargetMode="External"/><Relationship Id="rId21" Type="http://schemas.openxmlformats.org/officeDocument/2006/relationships/hyperlink" Target="https://www.cargroup.org/wp-content/uploads/2017/08/Sandoval.pdf" TargetMode="External"/><Relationship Id="rId42" Type="http://schemas.openxmlformats.org/officeDocument/2006/relationships/hyperlink" Target="https://www.trade.gov/country-commercial-guides/mexico-automotive-industry" TargetMode="External"/><Relationship Id="rId47" Type="http://schemas.openxmlformats.org/officeDocument/2006/relationships/image" Target="media/image4.png"/><Relationship Id="rId63" Type="http://schemas.openxmlformats.org/officeDocument/2006/relationships/image" Target="media/image18.png"/><Relationship Id="rId68" Type="http://schemas.openxmlformats.org/officeDocument/2006/relationships/hyperlink" Target="https://www.pvknowhow.com/solar-report/vietnam/" TargetMode="External"/><Relationship Id="rId16" Type="http://schemas.openxmlformats.org/officeDocument/2006/relationships/footer" Target="footer3.xml"/><Relationship Id="rId11" Type="http://schemas.openxmlformats.org/officeDocument/2006/relationships/header" Target="header1.xml"/><Relationship Id="rId24" Type="http://schemas.openxmlformats.org/officeDocument/2006/relationships/hyperlink" Target="https://gerpisa.org/ancien-gerpisa/actes/28/28-5.pdf" TargetMode="External"/><Relationship Id="rId32" Type="http://schemas.openxmlformats.org/officeDocument/2006/relationships/hyperlink" Target="https://www.lusha.com/company-search/motor-vehicle-manufacturing/0039947ba2/mexico/97/page/4/" TargetMode="External"/><Relationship Id="rId37" Type="http://schemas.openxmlformats.org/officeDocument/2006/relationships/hyperlink" Target="https://45088167.fs1.hubspotusercontent-na1.net/hubfs/45088167/E-Books/PRO_AutomotiveIndustry_2025.pdf" TargetMode="External"/><Relationship Id="rId40" Type="http://schemas.openxmlformats.org/officeDocument/2006/relationships/hyperlink" Target="https://papers.ssrn.com/sol3/papers.cfm?abstract_id=3952148" TargetMode="External"/><Relationship Id="rId45" Type="http://schemas.openxmlformats.org/officeDocument/2006/relationships/hyperlink" Target="https://en.www.inegi.org.mx/" TargetMode="External"/><Relationship Id="rId53" Type="http://schemas.openxmlformats.org/officeDocument/2006/relationships/image" Target="media/image9.png"/><Relationship Id="rId58" Type="http://schemas.openxmlformats.org/officeDocument/2006/relationships/image" Target="media/image13.png"/><Relationship Id="rId66" Type="http://schemas.openxmlformats.org/officeDocument/2006/relationships/hyperlink" Target="https://www.ifc.org/content/dam/ifc/doc/2025/mexico-sss-auto-industry-in-chiapas.pdf" TargetMode="External"/><Relationship Id="rId74" Type="http://schemas.openxmlformats.org/officeDocument/2006/relationships/image" Target="media/image25.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6.png"/><Relationship Id="rId19" Type="http://schemas.openxmlformats.org/officeDocument/2006/relationships/hyperlink" Target="https://www.bbvaresearch.com/wp-content/uploads/2025/09/mexico_trade_tariffs_1H25_fix.pdf" TargetMode="External"/><Relationship Id="rId14" Type="http://schemas.openxmlformats.org/officeDocument/2006/relationships/footer" Target="footer2.xml"/><Relationship Id="rId22" Type="http://schemas.openxmlformats.org/officeDocument/2006/relationships/hyperlink" Target="https://www.davidpublisher.com/Public/uploads/Contribute/6221d837d912c.pdf" TargetMode="External"/><Relationship Id="rId27" Type="http://schemas.openxmlformats.org/officeDocument/2006/relationships/hyperlink" Target="https://www.ilo.org/sites/default/files/wcmsp5/groups/public/@dgreports/@inst/documents/publication/wcms_808957.pdf" TargetMode="External"/><Relationship Id="rId30" Type="http://schemas.openxmlformats.org/officeDocument/2006/relationships/hyperlink" Target="https://assets.kpmg.com/content/dam/kpmgsites/xx/pdf/2025/08/annual-global-automotive-executive-survey-report.pdf" TargetMode="External"/><Relationship Id="rId35" Type="http://schemas.openxmlformats.org/officeDocument/2006/relationships/hyperlink" Target="https://www.prodensa.com/insights/blog/mexican-automotive-industry-report-2024" TargetMode="External"/><Relationship Id="rId43" Type="http://schemas.openxmlformats.org/officeDocument/2006/relationships/hyperlink" Target="https://www.trade.gov/data-visualization/new-vehicle-trade-data-visualization" TargetMode="External"/><Relationship Id="rId48" Type="http://schemas.openxmlformats.org/officeDocument/2006/relationships/image" Target="media/image5.png"/><Relationship Id="rId56" Type="http://schemas.openxmlformats.org/officeDocument/2006/relationships/image" Target="media/image12.png"/><Relationship Id="rId64" Type="http://schemas.openxmlformats.org/officeDocument/2006/relationships/image" Target="media/image19.png"/><Relationship Id="rId69" Type="http://schemas.openxmlformats.org/officeDocument/2006/relationships/image" Target="media/image22.png"/><Relationship Id="rId77" Type="http://schemas.openxmlformats.org/officeDocument/2006/relationships/hyperlink" Target="https://www.lusha.com/company-search/motor-vehicle-manufacturing/0039947ba2/mexico/97/page/4/" TargetMode="External"/><Relationship Id="rId8" Type="http://schemas.openxmlformats.org/officeDocument/2006/relationships/image" Target="media/image1.png"/><Relationship Id="rId51" Type="http://schemas.openxmlformats.org/officeDocument/2006/relationships/image" Target="media/image7.png"/><Relationship Id="rId72" Type="http://schemas.openxmlformats.org/officeDocument/2006/relationships/image" Target="media/image24.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s://www.advantageaustria.org/mx/events/Mexico_s_Automotive_Industry_Challenges_Going_Forward_2.pdf" TargetMode="External"/><Relationship Id="rId25" Type="http://schemas.openxmlformats.org/officeDocument/2006/relationships/hyperlink" Target="https://cdn.ihsmarkit.com/www/pdf/1022/711620721_0322_SY_AUT_AutoCatalog_US_SPGI_U1-HiRes.pdf" TargetMode="External"/><Relationship Id="rId33" Type="http://schemas.openxmlformats.org/officeDocument/2006/relationships/hyperlink" Target="http://mordorintelligence.com/industry-reports/mexico-automotive-eps-market/companies" TargetMode="External"/><Relationship Id="rId38" Type="http://schemas.openxmlformats.org/officeDocument/2006/relationships/hyperlink" Target="https://www.amda.mx/wp-content/uploads/2018/02/pwc-automotive-industry_2012.pdf" TargetMode="External"/><Relationship Id="rId46" Type="http://schemas.openxmlformats.org/officeDocument/2006/relationships/hyperlink" Target="https://ina.com.mx/wp-content/uploads/2024/09/AUTOMOTIVE-INDUSTRY-IN-MEXICO-Overview.pdf" TargetMode="External"/><Relationship Id="rId59" Type="http://schemas.openxmlformats.org/officeDocument/2006/relationships/image" Target="media/image14.png"/><Relationship Id="rId67" Type="http://schemas.openxmlformats.org/officeDocument/2006/relationships/image" Target="media/image21.png"/><Relationship Id="rId20" Type="http://schemas.openxmlformats.org/officeDocument/2006/relationships/hyperlink" Target="https://docs.cechimex.org/Seminarios/20251203_CECHIMEX_INTER_SEM_Carrillo.pdf" TargetMode="External"/><Relationship Id="rId41" Type="http://schemas.openxmlformats.org/officeDocument/2006/relationships/hyperlink" Target="https://www.statista.com/topics/7249/automotive-industry-in-mexico/" TargetMode="External"/><Relationship Id="rId54" Type="http://schemas.openxmlformats.org/officeDocument/2006/relationships/image" Target="media/image10.png"/><Relationship Id="rId62" Type="http://schemas.openxmlformats.org/officeDocument/2006/relationships/image" Target="media/image17.png"/><Relationship Id="rId70" Type="http://schemas.openxmlformats.org/officeDocument/2006/relationships/image" Target="media/image23.png"/><Relationship Id="rId75"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s://e-mobility.mx/wp-content/uploads/2024/06/Dialogo-Version-Final_Ingles.pdf" TargetMode="External"/><Relationship Id="rId28" Type="http://schemas.openxmlformats.org/officeDocument/2006/relationships/hyperlink" Target="https://www.ineteconomics.org/uploads/papers/WP_166-Simonazzi-et-al.pdf" TargetMode="External"/><Relationship Id="rId36" Type="http://schemas.openxmlformats.org/officeDocument/2006/relationships/hyperlink" Target="https://prodensa.eu/wp-content/uploads/2024/04/AUTOMOTIVE-INDUSTRY_Mexico_PRODENSA-E-book.pdf.pdf" TargetMode="External"/><Relationship Id="rId49" Type="http://schemas.openxmlformats.org/officeDocument/2006/relationships/hyperlink" Target="https://45088167.fs1.hubspotusercontent-na1.net/hubfs/45088167/Website/Insights/E-books/PRO_AutomotiveIndustry-1.pdf" TargetMode="External"/><Relationship Id="rId57" Type="http://schemas.openxmlformats.org/officeDocument/2006/relationships/hyperlink" Target="https://e-mobility.mx/wp-content/uploads/2024/06/Dialogo-Version-Final_Ingles.pdf" TargetMode="External"/><Relationship Id="rId10" Type="http://schemas.openxmlformats.org/officeDocument/2006/relationships/image" Target="media/image3.png"/><Relationship Id="rId31" Type="http://schemas.openxmlformats.org/officeDocument/2006/relationships/hyperlink" Target="https://www.lazard.com/media/4k4gnvco/global-automotive-supplier-study-2025-summary.pdf" TargetMode="External"/><Relationship Id="rId44" Type="http://schemas.openxmlformats.org/officeDocument/2006/relationships/hyperlink" Target="https://www.unido.org/sites/default/files/2009-12/Global_automotive_industry_value_chain_0.pdf" TargetMode="External"/><Relationship Id="rId52" Type="http://schemas.openxmlformats.org/officeDocument/2006/relationships/image" Target="media/image8.png"/><Relationship Id="rId60" Type="http://schemas.openxmlformats.org/officeDocument/2006/relationships/image" Target="media/image15.png"/><Relationship Id="rId65" Type="http://schemas.openxmlformats.org/officeDocument/2006/relationships/image" Target="media/image20.png"/><Relationship Id="rId73" Type="http://schemas.openxmlformats.org/officeDocument/2006/relationships/hyperlink" Target="http://mordorintelligence.com/industry-reports/mexico-automotive-eps-market/companies" TargetMode="External"/><Relationship Id="rId78"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hyperlink" Target="https://www.automotivelogistics.media/nearshoring/nearshoring-and-negotiations-trends-in-mexicos-automotive-supply-chains/1604471" TargetMode="External"/><Relationship Id="rId39" Type="http://schemas.openxmlformats.org/officeDocument/2006/relationships/hyperlink" Target="https://www.sciencedirect.com/science/article/abs/pii/S0160791X26000710" TargetMode="External"/><Relationship Id="rId34" Type="http://schemas.openxmlformats.org/officeDocument/2006/relationships/hyperlink" Target="https://www.paih.gov.pl/files/?id_plik=37227" TargetMode="External"/><Relationship Id="rId50" Type="http://schemas.openxmlformats.org/officeDocument/2006/relationships/image" Target="media/image6.png"/><Relationship Id="rId55" Type="http://schemas.openxmlformats.org/officeDocument/2006/relationships/image" Target="media/image11.png"/><Relationship Id="rId76"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hyperlink" Target="https://www.ifc.org/content/dam/ifc/doc/2025/mexico-sss-auto-industry-in-chiapas.pdf" TargetMode="External"/><Relationship Id="rId2" Type="http://schemas.openxmlformats.org/officeDocument/2006/relationships/numbering" Target="numbering.xml"/><Relationship Id="rId29" Type="http://schemas.openxmlformats.org/officeDocument/2006/relationships/hyperlink" Target="https://kellogg.nd.edu/documents/1527" TargetMode="External"/><Relationship Id="rId81" Type="http://schemas.openxmlformats.org/officeDocument/2006/relationships/image" Target="media/image4.png"/><Relationship Id="rId82" Type="http://schemas.openxmlformats.org/officeDocument/2006/relationships/image" Target="media/image18.png"/><Relationship Id="rId83" Type="http://schemas.openxmlformats.org/officeDocument/2006/relationships/image" Target="media/image9.png"/><Relationship Id="rId84" Type="http://schemas.openxmlformats.org/officeDocument/2006/relationships/image" Target="media/image13.png"/><Relationship Id="rId85" Type="http://schemas.openxmlformats.org/officeDocument/2006/relationships/image" Target="media/image25.png"/><Relationship Id="rId86" Type="http://schemas.openxmlformats.org/officeDocument/2006/relationships/image" Target="media/image16.png"/><Relationship Id="rId87" Type="http://schemas.openxmlformats.org/officeDocument/2006/relationships/image" Target="media/image5.png"/><Relationship Id="rId88" Type="http://schemas.openxmlformats.org/officeDocument/2006/relationships/image" Target="media/image12.png"/><Relationship Id="rId89" Type="http://schemas.openxmlformats.org/officeDocument/2006/relationships/image" Target="media/image19.png"/><Relationship Id="rId90" Type="http://schemas.openxmlformats.org/officeDocument/2006/relationships/image" Target="media/image22.png"/><Relationship Id="rId91" Type="http://schemas.openxmlformats.org/officeDocument/2006/relationships/image" Target="media/image1.png"/><Relationship Id="rId92" Type="http://schemas.openxmlformats.org/officeDocument/2006/relationships/image" Target="media/image7.png"/><Relationship Id="rId93" Type="http://schemas.openxmlformats.org/officeDocument/2006/relationships/image" Target="media/image24.png"/><Relationship Id="rId94" Type="http://schemas.openxmlformats.org/officeDocument/2006/relationships/image" Target="media/image14.png"/><Relationship Id="rId95" Type="http://schemas.openxmlformats.org/officeDocument/2006/relationships/image" Target="media/image21.png"/><Relationship Id="rId96" Type="http://schemas.openxmlformats.org/officeDocument/2006/relationships/image" Target="media/image10.png"/><Relationship Id="rId97" Type="http://schemas.openxmlformats.org/officeDocument/2006/relationships/image" Target="media/image17.png"/><Relationship Id="rId98" Type="http://schemas.openxmlformats.org/officeDocument/2006/relationships/image" Target="media/image23.png"/><Relationship Id="rId99" Type="http://schemas.openxmlformats.org/officeDocument/2006/relationships/image" Target="media/image26.png"/><Relationship Id="rId100" Type="http://schemas.openxmlformats.org/officeDocument/2006/relationships/image" Target="media/image3.png"/><Relationship Id="rId101" Type="http://schemas.openxmlformats.org/officeDocument/2006/relationships/image" Target="media/image8.png"/><Relationship Id="rId102" Type="http://schemas.openxmlformats.org/officeDocument/2006/relationships/image" Target="media/image15.png"/><Relationship Id="rId103" Type="http://schemas.openxmlformats.org/officeDocument/2006/relationships/image" Target="media/image20.png"/><Relationship Id="rId104" Type="http://schemas.openxmlformats.org/officeDocument/2006/relationships/image" Target="media/image28.png"/><Relationship Id="rId105" Type="http://schemas.openxmlformats.org/officeDocument/2006/relationships/image" Target="media/image2.png"/><Relationship Id="rId106" Type="http://schemas.openxmlformats.org/officeDocument/2006/relationships/image" Target="media/image6.png"/><Relationship Id="rId107" Type="http://schemas.openxmlformats.org/officeDocument/2006/relationships/image" Target="media/image11.png"/><Relationship Id="rId10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F299A9-8578-4623-BE0C-EC834EB405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6956</Words>
  <Characters>39653</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2026-03-19T10:10:00Z</dcterms:created>
  <dcterms:modified xsi:type="dcterms:W3CDTF">2026-03-19T10:10:00Z</dcterms:modified>
</cp:coreProperties>
</file>