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B7D3F" w14:textId="03BF8460" w:rsidR="00C862EE" w:rsidRDefault="00C862EE" w:rsidP="00C862EE">
      <w:pPr>
        <w:pStyle w:val="TOCHeading"/>
        <w:jc w:val="center"/>
        <w:rPr>
          <w:rFonts w:asciiTheme="minorHAnsi" w:eastAsiaTheme="minorHAnsi" w:hAnsiTheme="minorHAnsi" w:cstheme="minorBidi"/>
          <w:b/>
          <w:bCs/>
          <w:color w:val="auto"/>
          <w:sz w:val="40"/>
          <w:szCs w:val="40"/>
        </w:rPr>
      </w:pPr>
    </w:p>
    <w:p w14:paraId="6545F871" w14:textId="4858EF47" w:rsidR="00C862EE" w:rsidRDefault="00C862EE" w:rsidP="00C862EE"/>
    <w:p w14:paraId="16E043AC" w14:textId="3490DEE6" w:rsidR="00C862EE" w:rsidRDefault="00C862EE" w:rsidP="00C862EE"/>
    <w:p w14:paraId="34C3E6FC" w14:textId="5A812BAF" w:rsidR="00C862EE" w:rsidRDefault="00C862EE" w:rsidP="00C862EE"/>
    <w:p w14:paraId="2875C61F" w14:textId="7CA0ECFF" w:rsidR="00C862EE" w:rsidRDefault="00C862EE" w:rsidP="00C862EE"/>
    <w:p w14:paraId="44B0DF5C" w14:textId="5075957A" w:rsidR="00C862EE" w:rsidRDefault="00C862EE" w:rsidP="00C862EE"/>
    <w:p w14:paraId="49F446FB" w14:textId="77777777" w:rsidR="00C862EE" w:rsidRDefault="00C862EE" w:rsidP="00C862EE"/>
    <w:p w14:paraId="7862AD57" w14:textId="77777777" w:rsidR="00C862EE" w:rsidRPr="00C862EE" w:rsidRDefault="00C862EE" w:rsidP="00C862EE"/>
    <w:p w14:paraId="7C0D60F5" w14:textId="0E7042CE" w:rsidR="00C862EE" w:rsidRPr="00C862EE" w:rsidRDefault="00C862EE" w:rsidP="00C862EE">
      <w:pPr>
        <w:ind w:left="720"/>
        <w:jc w:val="center"/>
        <w:rPr>
          <w:b/>
          <w:bCs/>
          <w:sz w:val="40"/>
          <w:szCs w:val="40"/>
        </w:rPr>
      </w:pPr>
      <w:r w:rsidRPr="00C862EE">
        <w:rPr>
          <w:b/>
          <w:bCs/>
          <w:sz w:val="40"/>
          <w:szCs w:val="40"/>
        </w:rPr>
        <w:t>21</w:t>
      </w:r>
      <w:r w:rsidRPr="00C862EE">
        <w:rPr>
          <w:b/>
          <w:bCs/>
          <w:sz w:val="40"/>
          <w:szCs w:val="40"/>
          <w:vertAlign w:val="superscript"/>
        </w:rPr>
        <w:t>st</w:t>
      </w:r>
      <w:r w:rsidRPr="00C862EE">
        <w:rPr>
          <w:b/>
          <w:bCs/>
          <w:sz w:val="40"/>
          <w:szCs w:val="40"/>
        </w:rPr>
        <w:t xml:space="preserve"> Century Business and Societal Ethics</w:t>
      </w:r>
    </w:p>
    <w:p w14:paraId="34DE9E44" w14:textId="76B4BAD4" w:rsidR="00C862EE" w:rsidRPr="00C862EE" w:rsidRDefault="00C862EE" w:rsidP="00C862EE">
      <w:pPr>
        <w:ind w:left="720"/>
        <w:jc w:val="center"/>
        <w:rPr>
          <w:bCs/>
          <w:sz w:val="28"/>
          <w:szCs w:val="28"/>
        </w:rPr>
      </w:pPr>
      <w:r w:rsidRPr="00C862EE">
        <w:rPr>
          <w:bCs/>
          <w:sz w:val="28"/>
          <w:szCs w:val="28"/>
        </w:rPr>
        <w:t>Assignment by Tra My Tran</w:t>
      </w:r>
      <w:r w:rsidRPr="00C862EE">
        <w:rPr>
          <w:bCs/>
          <w:sz w:val="28"/>
          <w:szCs w:val="28"/>
        </w:rPr>
        <w:br w:type="page"/>
      </w:r>
    </w:p>
    <w:sdt>
      <w:sdtPr>
        <w:rPr>
          <w:rFonts w:asciiTheme="minorHAnsi" w:eastAsiaTheme="minorHAnsi" w:hAnsiTheme="minorHAnsi" w:cstheme="minorBidi"/>
          <w:color w:val="auto"/>
          <w:sz w:val="22"/>
          <w:szCs w:val="22"/>
        </w:rPr>
        <w:id w:val="1447428160"/>
        <w:docPartObj>
          <w:docPartGallery w:val="Table of Contents"/>
          <w:docPartUnique/>
        </w:docPartObj>
      </w:sdtPr>
      <w:sdtEndPr>
        <w:rPr>
          <w:b/>
          <w:bCs/>
          <w:noProof/>
        </w:rPr>
      </w:sdtEndPr>
      <w:sdtContent>
        <w:p w14:paraId="1A6B765C" w14:textId="07F09DB3" w:rsidR="001B1673" w:rsidRDefault="001B1673" w:rsidP="00C862EE">
          <w:pPr>
            <w:pStyle w:val="TOCHeading"/>
            <w:jc w:val="both"/>
          </w:pPr>
          <w:r>
            <w:t>Table of Contents</w:t>
          </w:r>
        </w:p>
        <w:p w14:paraId="16EE1E00" w14:textId="46856569" w:rsidR="001B1673" w:rsidRDefault="001B1673" w:rsidP="00C862EE">
          <w:pPr>
            <w:pStyle w:val="TOC1"/>
            <w:tabs>
              <w:tab w:val="left" w:pos="440"/>
              <w:tab w:val="right" w:leader="dot" w:pos="9350"/>
            </w:tabs>
            <w:jc w:val="both"/>
            <w:rPr>
              <w:rFonts w:eastAsiaTheme="minorEastAsia"/>
              <w:noProof/>
            </w:rPr>
          </w:pPr>
          <w:r>
            <w:fldChar w:fldCharType="begin"/>
          </w:r>
          <w:r>
            <w:instrText xml:space="preserve"> TOC \o "1-3" \h \z \u </w:instrText>
          </w:r>
          <w:r>
            <w:fldChar w:fldCharType="separate"/>
          </w:r>
          <w:hyperlink w:anchor="_Toc94317852" w:history="1">
            <w:r w:rsidRPr="00AD2CBD">
              <w:rPr>
                <w:rStyle w:val="Hyperlink"/>
                <w:noProof/>
              </w:rPr>
              <w:t>I.</w:t>
            </w:r>
            <w:r>
              <w:rPr>
                <w:rFonts w:eastAsiaTheme="minorEastAsia"/>
                <w:noProof/>
              </w:rPr>
              <w:tab/>
            </w:r>
            <w:r w:rsidRPr="00AD2CBD">
              <w:rPr>
                <w:rStyle w:val="Hyperlink"/>
                <w:noProof/>
              </w:rPr>
              <w:t>Evaluate various social actors/drivers of CSR adoption</w:t>
            </w:r>
            <w:r>
              <w:rPr>
                <w:noProof/>
                <w:webHidden/>
              </w:rPr>
              <w:tab/>
            </w:r>
            <w:r>
              <w:rPr>
                <w:noProof/>
                <w:webHidden/>
              </w:rPr>
              <w:fldChar w:fldCharType="begin"/>
            </w:r>
            <w:r>
              <w:rPr>
                <w:noProof/>
                <w:webHidden/>
              </w:rPr>
              <w:instrText xml:space="preserve"> PAGEREF _Toc94317852 \h </w:instrText>
            </w:r>
            <w:r>
              <w:rPr>
                <w:noProof/>
                <w:webHidden/>
              </w:rPr>
            </w:r>
            <w:r>
              <w:rPr>
                <w:noProof/>
                <w:webHidden/>
              </w:rPr>
              <w:fldChar w:fldCharType="separate"/>
            </w:r>
            <w:r>
              <w:rPr>
                <w:noProof/>
                <w:webHidden/>
              </w:rPr>
              <w:t>2</w:t>
            </w:r>
            <w:r>
              <w:rPr>
                <w:noProof/>
                <w:webHidden/>
              </w:rPr>
              <w:fldChar w:fldCharType="end"/>
            </w:r>
          </w:hyperlink>
        </w:p>
        <w:p w14:paraId="480195CE" w14:textId="237EA9AF" w:rsidR="001B1673" w:rsidRDefault="000E51D7" w:rsidP="00C862EE">
          <w:pPr>
            <w:pStyle w:val="TOC2"/>
            <w:tabs>
              <w:tab w:val="left" w:pos="660"/>
              <w:tab w:val="right" w:leader="dot" w:pos="9350"/>
            </w:tabs>
            <w:jc w:val="both"/>
            <w:rPr>
              <w:rFonts w:eastAsiaTheme="minorEastAsia"/>
              <w:noProof/>
            </w:rPr>
          </w:pPr>
          <w:hyperlink w:anchor="_Toc94317853" w:history="1">
            <w:r w:rsidR="001B1673" w:rsidRPr="00AD2CBD">
              <w:rPr>
                <w:rStyle w:val="Hyperlink"/>
                <w:noProof/>
              </w:rPr>
              <w:t>1.</w:t>
            </w:r>
            <w:r w:rsidR="001B1673">
              <w:rPr>
                <w:rFonts w:eastAsiaTheme="minorEastAsia"/>
                <w:noProof/>
              </w:rPr>
              <w:tab/>
            </w:r>
            <w:r w:rsidR="001B1673" w:rsidRPr="00AD2CBD">
              <w:rPr>
                <w:rStyle w:val="Hyperlink"/>
                <w:noProof/>
              </w:rPr>
              <w:t>CSR definitions</w:t>
            </w:r>
            <w:r w:rsidR="001B1673">
              <w:rPr>
                <w:noProof/>
                <w:webHidden/>
              </w:rPr>
              <w:tab/>
            </w:r>
            <w:r w:rsidR="001B1673">
              <w:rPr>
                <w:noProof/>
                <w:webHidden/>
              </w:rPr>
              <w:fldChar w:fldCharType="begin"/>
            </w:r>
            <w:r w:rsidR="001B1673">
              <w:rPr>
                <w:noProof/>
                <w:webHidden/>
              </w:rPr>
              <w:instrText xml:space="preserve"> PAGEREF _Toc94317853 \h </w:instrText>
            </w:r>
            <w:r w:rsidR="001B1673">
              <w:rPr>
                <w:noProof/>
                <w:webHidden/>
              </w:rPr>
            </w:r>
            <w:r w:rsidR="001B1673">
              <w:rPr>
                <w:noProof/>
                <w:webHidden/>
              </w:rPr>
              <w:fldChar w:fldCharType="separate"/>
            </w:r>
            <w:r w:rsidR="001B1673">
              <w:rPr>
                <w:noProof/>
                <w:webHidden/>
              </w:rPr>
              <w:t>2</w:t>
            </w:r>
            <w:r w:rsidR="001B1673">
              <w:rPr>
                <w:noProof/>
                <w:webHidden/>
              </w:rPr>
              <w:fldChar w:fldCharType="end"/>
            </w:r>
          </w:hyperlink>
        </w:p>
        <w:p w14:paraId="7FDCD553" w14:textId="4FF47AD6" w:rsidR="001B1673" w:rsidRDefault="000E51D7" w:rsidP="00C862EE">
          <w:pPr>
            <w:pStyle w:val="TOC2"/>
            <w:tabs>
              <w:tab w:val="left" w:pos="660"/>
              <w:tab w:val="right" w:leader="dot" w:pos="9350"/>
            </w:tabs>
            <w:jc w:val="both"/>
            <w:rPr>
              <w:rFonts w:eastAsiaTheme="minorEastAsia"/>
              <w:noProof/>
            </w:rPr>
          </w:pPr>
          <w:hyperlink w:anchor="_Toc94317854" w:history="1">
            <w:r w:rsidR="001B1673" w:rsidRPr="00AD2CBD">
              <w:rPr>
                <w:rStyle w:val="Hyperlink"/>
                <w:noProof/>
              </w:rPr>
              <w:t>2.</w:t>
            </w:r>
            <w:r w:rsidR="001B1673">
              <w:rPr>
                <w:rFonts w:eastAsiaTheme="minorEastAsia"/>
                <w:noProof/>
              </w:rPr>
              <w:tab/>
            </w:r>
            <w:r w:rsidR="001B1673" w:rsidRPr="00AD2CBD">
              <w:rPr>
                <w:rStyle w:val="Hyperlink"/>
                <w:noProof/>
              </w:rPr>
              <w:t>CSR models and theories</w:t>
            </w:r>
            <w:r w:rsidR="001B1673">
              <w:rPr>
                <w:noProof/>
                <w:webHidden/>
              </w:rPr>
              <w:tab/>
            </w:r>
            <w:r w:rsidR="001B1673">
              <w:rPr>
                <w:noProof/>
                <w:webHidden/>
              </w:rPr>
              <w:fldChar w:fldCharType="begin"/>
            </w:r>
            <w:r w:rsidR="001B1673">
              <w:rPr>
                <w:noProof/>
                <w:webHidden/>
              </w:rPr>
              <w:instrText xml:space="preserve"> PAGEREF _Toc94317854 \h </w:instrText>
            </w:r>
            <w:r w:rsidR="001B1673">
              <w:rPr>
                <w:noProof/>
                <w:webHidden/>
              </w:rPr>
            </w:r>
            <w:r w:rsidR="001B1673">
              <w:rPr>
                <w:noProof/>
                <w:webHidden/>
              </w:rPr>
              <w:fldChar w:fldCharType="separate"/>
            </w:r>
            <w:r w:rsidR="001B1673">
              <w:rPr>
                <w:noProof/>
                <w:webHidden/>
              </w:rPr>
              <w:t>2</w:t>
            </w:r>
            <w:r w:rsidR="001B1673">
              <w:rPr>
                <w:noProof/>
                <w:webHidden/>
              </w:rPr>
              <w:fldChar w:fldCharType="end"/>
            </w:r>
          </w:hyperlink>
        </w:p>
        <w:p w14:paraId="55F0DB05" w14:textId="2EAF27E5" w:rsidR="001B1673" w:rsidRDefault="000E51D7" w:rsidP="00C862EE">
          <w:pPr>
            <w:pStyle w:val="TOC2"/>
            <w:tabs>
              <w:tab w:val="left" w:pos="660"/>
              <w:tab w:val="right" w:leader="dot" w:pos="9350"/>
            </w:tabs>
            <w:jc w:val="both"/>
            <w:rPr>
              <w:rFonts w:eastAsiaTheme="minorEastAsia"/>
              <w:noProof/>
            </w:rPr>
          </w:pPr>
          <w:hyperlink w:anchor="_Toc94317855" w:history="1">
            <w:r w:rsidR="001B1673" w:rsidRPr="00AD2CBD">
              <w:rPr>
                <w:rStyle w:val="Hyperlink"/>
                <w:noProof/>
              </w:rPr>
              <w:t>3.</w:t>
            </w:r>
            <w:r w:rsidR="001B1673">
              <w:rPr>
                <w:rFonts w:eastAsiaTheme="minorEastAsia"/>
                <w:noProof/>
              </w:rPr>
              <w:tab/>
            </w:r>
            <w:r w:rsidR="001B1673" w:rsidRPr="00AD2CBD">
              <w:rPr>
                <w:rStyle w:val="Hyperlink"/>
                <w:noProof/>
              </w:rPr>
              <w:t>CSR roles</w:t>
            </w:r>
            <w:r w:rsidR="001B1673">
              <w:rPr>
                <w:noProof/>
                <w:webHidden/>
              </w:rPr>
              <w:tab/>
            </w:r>
            <w:r w:rsidR="001B1673">
              <w:rPr>
                <w:noProof/>
                <w:webHidden/>
              </w:rPr>
              <w:fldChar w:fldCharType="begin"/>
            </w:r>
            <w:r w:rsidR="001B1673">
              <w:rPr>
                <w:noProof/>
                <w:webHidden/>
              </w:rPr>
              <w:instrText xml:space="preserve"> PAGEREF _Toc94317855 \h </w:instrText>
            </w:r>
            <w:r w:rsidR="001B1673">
              <w:rPr>
                <w:noProof/>
                <w:webHidden/>
              </w:rPr>
            </w:r>
            <w:r w:rsidR="001B1673">
              <w:rPr>
                <w:noProof/>
                <w:webHidden/>
              </w:rPr>
              <w:fldChar w:fldCharType="separate"/>
            </w:r>
            <w:r w:rsidR="001B1673">
              <w:rPr>
                <w:noProof/>
                <w:webHidden/>
              </w:rPr>
              <w:t>5</w:t>
            </w:r>
            <w:r w:rsidR="001B1673">
              <w:rPr>
                <w:noProof/>
                <w:webHidden/>
              </w:rPr>
              <w:fldChar w:fldCharType="end"/>
            </w:r>
          </w:hyperlink>
        </w:p>
        <w:p w14:paraId="140F310D" w14:textId="5011CB35" w:rsidR="001B1673" w:rsidRDefault="000E51D7" w:rsidP="00C862EE">
          <w:pPr>
            <w:pStyle w:val="TOC2"/>
            <w:tabs>
              <w:tab w:val="left" w:pos="660"/>
              <w:tab w:val="right" w:leader="dot" w:pos="9350"/>
            </w:tabs>
            <w:jc w:val="both"/>
            <w:rPr>
              <w:rFonts w:eastAsiaTheme="minorEastAsia"/>
              <w:noProof/>
            </w:rPr>
          </w:pPr>
          <w:hyperlink w:anchor="_Toc94317856" w:history="1">
            <w:r w:rsidR="001B1673" w:rsidRPr="00AD2CBD">
              <w:rPr>
                <w:rStyle w:val="Hyperlink"/>
                <w:noProof/>
              </w:rPr>
              <w:t>4.</w:t>
            </w:r>
            <w:r w:rsidR="001B1673">
              <w:rPr>
                <w:rFonts w:eastAsiaTheme="minorEastAsia"/>
                <w:noProof/>
              </w:rPr>
              <w:tab/>
            </w:r>
            <w:r w:rsidR="001B1673" w:rsidRPr="00AD2CBD">
              <w:rPr>
                <w:rStyle w:val="Hyperlink"/>
                <w:noProof/>
              </w:rPr>
              <w:t>Drivers of CSR</w:t>
            </w:r>
            <w:r w:rsidR="001B1673">
              <w:rPr>
                <w:noProof/>
                <w:webHidden/>
              </w:rPr>
              <w:tab/>
            </w:r>
            <w:r w:rsidR="001B1673">
              <w:rPr>
                <w:noProof/>
                <w:webHidden/>
              </w:rPr>
              <w:fldChar w:fldCharType="begin"/>
            </w:r>
            <w:r w:rsidR="001B1673">
              <w:rPr>
                <w:noProof/>
                <w:webHidden/>
              </w:rPr>
              <w:instrText xml:space="preserve"> PAGEREF _Toc94317856 \h </w:instrText>
            </w:r>
            <w:r w:rsidR="001B1673">
              <w:rPr>
                <w:noProof/>
                <w:webHidden/>
              </w:rPr>
            </w:r>
            <w:r w:rsidR="001B1673">
              <w:rPr>
                <w:noProof/>
                <w:webHidden/>
              </w:rPr>
              <w:fldChar w:fldCharType="separate"/>
            </w:r>
            <w:r w:rsidR="001B1673">
              <w:rPr>
                <w:noProof/>
                <w:webHidden/>
              </w:rPr>
              <w:t>6</w:t>
            </w:r>
            <w:r w:rsidR="001B1673">
              <w:rPr>
                <w:noProof/>
                <w:webHidden/>
              </w:rPr>
              <w:fldChar w:fldCharType="end"/>
            </w:r>
          </w:hyperlink>
        </w:p>
        <w:p w14:paraId="25D97838" w14:textId="1A4C7C56" w:rsidR="001B1673" w:rsidRDefault="000E51D7" w:rsidP="00C862EE">
          <w:pPr>
            <w:pStyle w:val="TOC2"/>
            <w:tabs>
              <w:tab w:val="left" w:pos="660"/>
              <w:tab w:val="right" w:leader="dot" w:pos="9350"/>
            </w:tabs>
            <w:jc w:val="both"/>
            <w:rPr>
              <w:rFonts w:eastAsiaTheme="minorEastAsia"/>
              <w:noProof/>
            </w:rPr>
          </w:pPr>
          <w:hyperlink w:anchor="_Toc94317857" w:history="1">
            <w:r w:rsidR="001B1673" w:rsidRPr="00AD2CBD">
              <w:rPr>
                <w:rStyle w:val="Hyperlink"/>
                <w:noProof/>
              </w:rPr>
              <w:t>5.</w:t>
            </w:r>
            <w:r w:rsidR="001B1673">
              <w:rPr>
                <w:rFonts w:eastAsiaTheme="minorEastAsia"/>
                <w:noProof/>
              </w:rPr>
              <w:tab/>
            </w:r>
            <w:r w:rsidR="001B1673" w:rsidRPr="00AD2CBD">
              <w:rPr>
                <w:rStyle w:val="Hyperlink"/>
                <w:noProof/>
              </w:rPr>
              <w:t>CSR in different sectors</w:t>
            </w:r>
            <w:r w:rsidR="001B1673">
              <w:rPr>
                <w:noProof/>
                <w:webHidden/>
              </w:rPr>
              <w:tab/>
            </w:r>
            <w:r w:rsidR="001B1673">
              <w:rPr>
                <w:noProof/>
                <w:webHidden/>
              </w:rPr>
              <w:fldChar w:fldCharType="begin"/>
            </w:r>
            <w:r w:rsidR="001B1673">
              <w:rPr>
                <w:noProof/>
                <w:webHidden/>
              </w:rPr>
              <w:instrText xml:space="preserve"> PAGEREF _Toc94317857 \h </w:instrText>
            </w:r>
            <w:r w:rsidR="001B1673">
              <w:rPr>
                <w:noProof/>
                <w:webHidden/>
              </w:rPr>
            </w:r>
            <w:r w:rsidR="001B1673">
              <w:rPr>
                <w:noProof/>
                <w:webHidden/>
              </w:rPr>
              <w:fldChar w:fldCharType="separate"/>
            </w:r>
            <w:r w:rsidR="001B1673">
              <w:rPr>
                <w:noProof/>
                <w:webHidden/>
              </w:rPr>
              <w:t>7</w:t>
            </w:r>
            <w:r w:rsidR="001B1673">
              <w:rPr>
                <w:noProof/>
                <w:webHidden/>
              </w:rPr>
              <w:fldChar w:fldCharType="end"/>
            </w:r>
          </w:hyperlink>
        </w:p>
        <w:p w14:paraId="22E5D489" w14:textId="295A35CB" w:rsidR="001B1673" w:rsidRDefault="000E51D7" w:rsidP="00C862EE">
          <w:pPr>
            <w:pStyle w:val="TOC2"/>
            <w:tabs>
              <w:tab w:val="left" w:pos="660"/>
              <w:tab w:val="right" w:leader="dot" w:pos="9350"/>
            </w:tabs>
            <w:jc w:val="both"/>
            <w:rPr>
              <w:rFonts w:eastAsiaTheme="minorEastAsia"/>
              <w:noProof/>
            </w:rPr>
          </w:pPr>
          <w:hyperlink w:anchor="_Toc94317858" w:history="1">
            <w:r w:rsidR="001B1673" w:rsidRPr="00AD2CBD">
              <w:rPr>
                <w:rStyle w:val="Hyperlink"/>
                <w:noProof/>
              </w:rPr>
              <w:t xml:space="preserve">6. </w:t>
            </w:r>
            <w:r w:rsidR="001B1673">
              <w:rPr>
                <w:rFonts w:eastAsiaTheme="minorEastAsia"/>
                <w:noProof/>
              </w:rPr>
              <w:tab/>
            </w:r>
            <w:r w:rsidR="001B1673" w:rsidRPr="00AD2CBD">
              <w:rPr>
                <w:rStyle w:val="Hyperlink"/>
                <w:noProof/>
              </w:rPr>
              <w:t>Integrated roles of different sectors and CSR</w:t>
            </w:r>
            <w:r w:rsidR="001B1673">
              <w:rPr>
                <w:noProof/>
                <w:webHidden/>
              </w:rPr>
              <w:tab/>
            </w:r>
            <w:r w:rsidR="001B1673">
              <w:rPr>
                <w:noProof/>
                <w:webHidden/>
              </w:rPr>
              <w:fldChar w:fldCharType="begin"/>
            </w:r>
            <w:r w:rsidR="001B1673">
              <w:rPr>
                <w:noProof/>
                <w:webHidden/>
              </w:rPr>
              <w:instrText xml:space="preserve"> PAGEREF _Toc94317858 \h </w:instrText>
            </w:r>
            <w:r w:rsidR="001B1673">
              <w:rPr>
                <w:noProof/>
                <w:webHidden/>
              </w:rPr>
            </w:r>
            <w:r w:rsidR="001B1673">
              <w:rPr>
                <w:noProof/>
                <w:webHidden/>
              </w:rPr>
              <w:fldChar w:fldCharType="separate"/>
            </w:r>
            <w:r w:rsidR="001B1673">
              <w:rPr>
                <w:noProof/>
                <w:webHidden/>
              </w:rPr>
              <w:t>9</w:t>
            </w:r>
            <w:r w:rsidR="001B1673">
              <w:rPr>
                <w:noProof/>
                <w:webHidden/>
              </w:rPr>
              <w:fldChar w:fldCharType="end"/>
            </w:r>
          </w:hyperlink>
        </w:p>
        <w:p w14:paraId="66175D97" w14:textId="731932B3" w:rsidR="001B1673" w:rsidRDefault="000E51D7" w:rsidP="00C862EE">
          <w:pPr>
            <w:pStyle w:val="TOC2"/>
            <w:tabs>
              <w:tab w:val="left" w:pos="660"/>
              <w:tab w:val="right" w:leader="dot" w:pos="9350"/>
            </w:tabs>
            <w:jc w:val="both"/>
            <w:rPr>
              <w:rFonts w:eastAsiaTheme="minorEastAsia"/>
              <w:noProof/>
            </w:rPr>
          </w:pPr>
          <w:hyperlink w:anchor="_Toc94317859" w:history="1">
            <w:r w:rsidR="001B1673" w:rsidRPr="00AD2CBD">
              <w:rPr>
                <w:rStyle w:val="Hyperlink"/>
                <w:noProof/>
              </w:rPr>
              <w:t xml:space="preserve">7. </w:t>
            </w:r>
            <w:r w:rsidR="001B1673">
              <w:rPr>
                <w:rFonts w:eastAsiaTheme="minorEastAsia"/>
                <w:noProof/>
              </w:rPr>
              <w:tab/>
            </w:r>
            <w:r w:rsidR="001B1673" w:rsidRPr="00AD2CBD">
              <w:rPr>
                <w:rStyle w:val="Hyperlink"/>
                <w:noProof/>
              </w:rPr>
              <w:t>Different aspects of CSR and sustainability</w:t>
            </w:r>
            <w:r w:rsidR="001B1673">
              <w:rPr>
                <w:noProof/>
                <w:webHidden/>
              </w:rPr>
              <w:tab/>
            </w:r>
            <w:r w:rsidR="001B1673">
              <w:rPr>
                <w:noProof/>
                <w:webHidden/>
              </w:rPr>
              <w:fldChar w:fldCharType="begin"/>
            </w:r>
            <w:r w:rsidR="001B1673">
              <w:rPr>
                <w:noProof/>
                <w:webHidden/>
              </w:rPr>
              <w:instrText xml:space="preserve"> PAGEREF _Toc94317859 \h </w:instrText>
            </w:r>
            <w:r w:rsidR="001B1673">
              <w:rPr>
                <w:noProof/>
                <w:webHidden/>
              </w:rPr>
            </w:r>
            <w:r w:rsidR="001B1673">
              <w:rPr>
                <w:noProof/>
                <w:webHidden/>
              </w:rPr>
              <w:fldChar w:fldCharType="separate"/>
            </w:r>
            <w:r w:rsidR="001B1673">
              <w:rPr>
                <w:noProof/>
                <w:webHidden/>
              </w:rPr>
              <w:t>10</w:t>
            </w:r>
            <w:r w:rsidR="001B1673">
              <w:rPr>
                <w:noProof/>
                <w:webHidden/>
              </w:rPr>
              <w:fldChar w:fldCharType="end"/>
            </w:r>
          </w:hyperlink>
        </w:p>
        <w:p w14:paraId="296E512F" w14:textId="261CC602" w:rsidR="001B1673" w:rsidRDefault="000E51D7" w:rsidP="00C862EE">
          <w:pPr>
            <w:pStyle w:val="TOC1"/>
            <w:tabs>
              <w:tab w:val="left" w:pos="440"/>
              <w:tab w:val="right" w:leader="dot" w:pos="9350"/>
            </w:tabs>
            <w:jc w:val="both"/>
            <w:rPr>
              <w:rFonts w:eastAsiaTheme="minorEastAsia"/>
              <w:noProof/>
            </w:rPr>
          </w:pPr>
          <w:hyperlink w:anchor="_Toc94317860" w:history="1">
            <w:r w:rsidR="001B1673" w:rsidRPr="00AD2CBD">
              <w:rPr>
                <w:rStyle w:val="Hyperlink"/>
                <w:noProof/>
              </w:rPr>
              <w:t>II.</w:t>
            </w:r>
            <w:r w:rsidR="001B1673">
              <w:rPr>
                <w:rFonts w:eastAsiaTheme="minorEastAsia"/>
                <w:noProof/>
              </w:rPr>
              <w:tab/>
            </w:r>
            <w:r w:rsidR="001B1673" w:rsidRPr="00AD2CBD">
              <w:rPr>
                <w:rStyle w:val="Hyperlink"/>
                <w:noProof/>
              </w:rPr>
              <w:t>CSR adoption and implementation within the organization cases</w:t>
            </w:r>
            <w:r w:rsidR="001B1673">
              <w:rPr>
                <w:noProof/>
                <w:webHidden/>
              </w:rPr>
              <w:tab/>
            </w:r>
            <w:r w:rsidR="001B1673">
              <w:rPr>
                <w:noProof/>
                <w:webHidden/>
              </w:rPr>
              <w:fldChar w:fldCharType="begin"/>
            </w:r>
            <w:r w:rsidR="001B1673">
              <w:rPr>
                <w:noProof/>
                <w:webHidden/>
              </w:rPr>
              <w:instrText xml:space="preserve"> PAGEREF _Toc94317860 \h </w:instrText>
            </w:r>
            <w:r w:rsidR="001B1673">
              <w:rPr>
                <w:noProof/>
                <w:webHidden/>
              </w:rPr>
            </w:r>
            <w:r w:rsidR="001B1673">
              <w:rPr>
                <w:noProof/>
                <w:webHidden/>
              </w:rPr>
              <w:fldChar w:fldCharType="separate"/>
            </w:r>
            <w:r w:rsidR="001B1673">
              <w:rPr>
                <w:noProof/>
                <w:webHidden/>
              </w:rPr>
              <w:t>11</w:t>
            </w:r>
            <w:r w:rsidR="001B1673">
              <w:rPr>
                <w:noProof/>
                <w:webHidden/>
              </w:rPr>
              <w:fldChar w:fldCharType="end"/>
            </w:r>
          </w:hyperlink>
        </w:p>
        <w:p w14:paraId="082D3E10" w14:textId="4F730A21" w:rsidR="001B1673" w:rsidRDefault="000E51D7" w:rsidP="00C862EE">
          <w:pPr>
            <w:pStyle w:val="TOC2"/>
            <w:tabs>
              <w:tab w:val="left" w:pos="660"/>
              <w:tab w:val="right" w:leader="dot" w:pos="9350"/>
            </w:tabs>
            <w:jc w:val="both"/>
            <w:rPr>
              <w:rFonts w:eastAsiaTheme="minorEastAsia"/>
              <w:noProof/>
            </w:rPr>
          </w:pPr>
          <w:hyperlink w:anchor="_Toc94317861" w:history="1">
            <w:r w:rsidR="001B1673" w:rsidRPr="00AD2CBD">
              <w:rPr>
                <w:rStyle w:val="Hyperlink"/>
                <w:noProof/>
                <w:lang w:val="en"/>
              </w:rPr>
              <w:t>1.</w:t>
            </w:r>
            <w:r w:rsidR="001B1673">
              <w:rPr>
                <w:rFonts w:eastAsiaTheme="minorEastAsia"/>
                <w:noProof/>
              </w:rPr>
              <w:tab/>
            </w:r>
            <w:r w:rsidR="001B1673" w:rsidRPr="00AD2CBD">
              <w:rPr>
                <w:rStyle w:val="Hyperlink"/>
                <w:noProof/>
              </w:rPr>
              <w:t xml:space="preserve">Public sector - </w:t>
            </w:r>
            <w:r w:rsidR="001B1673" w:rsidRPr="00AD2CBD">
              <w:rPr>
                <w:rStyle w:val="Hyperlink"/>
                <w:noProof/>
                <w:lang w:val="en"/>
              </w:rPr>
              <w:t>CSR adoptation and implementation in UCLH</w:t>
            </w:r>
            <w:r w:rsidR="001B1673">
              <w:rPr>
                <w:noProof/>
                <w:webHidden/>
              </w:rPr>
              <w:tab/>
            </w:r>
            <w:r w:rsidR="001B1673">
              <w:rPr>
                <w:noProof/>
                <w:webHidden/>
              </w:rPr>
              <w:fldChar w:fldCharType="begin"/>
            </w:r>
            <w:r w:rsidR="001B1673">
              <w:rPr>
                <w:noProof/>
                <w:webHidden/>
              </w:rPr>
              <w:instrText xml:space="preserve"> PAGEREF _Toc94317861 \h </w:instrText>
            </w:r>
            <w:r w:rsidR="001B1673">
              <w:rPr>
                <w:noProof/>
                <w:webHidden/>
              </w:rPr>
            </w:r>
            <w:r w:rsidR="001B1673">
              <w:rPr>
                <w:noProof/>
                <w:webHidden/>
              </w:rPr>
              <w:fldChar w:fldCharType="separate"/>
            </w:r>
            <w:r w:rsidR="001B1673">
              <w:rPr>
                <w:noProof/>
                <w:webHidden/>
              </w:rPr>
              <w:t>11</w:t>
            </w:r>
            <w:r w:rsidR="001B1673">
              <w:rPr>
                <w:noProof/>
                <w:webHidden/>
              </w:rPr>
              <w:fldChar w:fldCharType="end"/>
            </w:r>
          </w:hyperlink>
        </w:p>
        <w:p w14:paraId="4AB291F3" w14:textId="35CDD31C" w:rsidR="001B1673" w:rsidRDefault="000E51D7" w:rsidP="00C862EE">
          <w:pPr>
            <w:pStyle w:val="TOC2"/>
            <w:tabs>
              <w:tab w:val="left" w:pos="660"/>
              <w:tab w:val="right" w:leader="dot" w:pos="9350"/>
            </w:tabs>
            <w:jc w:val="both"/>
            <w:rPr>
              <w:rFonts w:eastAsiaTheme="minorEastAsia"/>
              <w:noProof/>
            </w:rPr>
          </w:pPr>
          <w:hyperlink w:anchor="_Toc94317862" w:history="1">
            <w:r w:rsidR="001B1673" w:rsidRPr="00AD2CBD">
              <w:rPr>
                <w:rStyle w:val="Hyperlink"/>
                <w:noProof/>
              </w:rPr>
              <w:t>2.</w:t>
            </w:r>
            <w:r w:rsidR="001B1673">
              <w:rPr>
                <w:rFonts w:eastAsiaTheme="minorEastAsia"/>
                <w:noProof/>
              </w:rPr>
              <w:tab/>
            </w:r>
            <w:r w:rsidR="001B1673" w:rsidRPr="00AD2CBD">
              <w:rPr>
                <w:rStyle w:val="Hyperlink"/>
                <w:noProof/>
                <w:shd w:val="clear" w:color="auto" w:fill="FFFFFF"/>
                <w:lang w:val="en"/>
              </w:rPr>
              <w:t>Private sector - John Lewis Partnership</w:t>
            </w:r>
            <w:r w:rsidR="001B1673">
              <w:rPr>
                <w:noProof/>
                <w:webHidden/>
              </w:rPr>
              <w:tab/>
            </w:r>
            <w:r w:rsidR="001B1673">
              <w:rPr>
                <w:noProof/>
                <w:webHidden/>
              </w:rPr>
              <w:fldChar w:fldCharType="begin"/>
            </w:r>
            <w:r w:rsidR="001B1673">
              <w:rPr>
                <w:noProof/>
                <w:webHidden/>
              </w:rPr>
              <w:instrText xml:space="preserve"> PAGEREF _Toc94317862 \h </w:instrText>
            </w:r>
            <w:r w:rsidR="001B1673">
              <w:rPr>
                <w:noProof/>
                <w:webHidden/>
              </w:rPr>
            </w:r>
            <w:r w:rsidR="001B1673">
              <w:rPr>
                <w:noProof/>
                <w:webHidden/>
              </w:rPr>
              <w:fldChar w:fldCharType="separate"/>
            </w:r>
            <w:r w:rsidR="001B1673">
              <w:rPr>
                <w:noProof/>
                <w:webHidden/>
              </w:rPr>
              <w:t>14</w:t>
            </w:r>
            <w:r w:rsidR="001B1673">
              <w:rPr>
                <w:noProof/>
                <w:webHidden/>
              </w:rPr>
              <w:fldChar w:fldCharType="end"/>
            </w:r>
          </w:hyperlink>
        </w:p>
        <w:p w14:paraId="3F960293" w14:textId="774909DE" w:rsidR="001B1673" w:rsidRDefault="000E51D7" w:rsidP="00C862EE">
          <w:pPr>
            <w:pStyle w:val="TOC2"/>
            <w:tabs>
              <w:tab w:val="left" w:pos="660"/>
              <w:tab w:val="right" w:leader="dot" w:pos="9350"/>
            </w:tabs>
            <w:jc w:val="both"/>
            <w:rPr>
              <w:rFonts w:eastAsiaTheme="minorEastAsia"/>
              <w:noProof/>
            </w:rPr>
          </w:pPr>
          <w:hyperlink w:anchor="_Toc94317863" w:history="1">
            <w:r w:rsidR="001B1673" w:rsidRPr="00AD2CBD">
              <w:rPr>
                <w:rStyle w:val="Hyperlink"/>
                <w:noProof/>
              </w:rPr>
              <w:t>3.</w:t>
            </w:r>
            <w:r w:rsidR="001B1673">
              <w:rPr>
                <w:rFonts w:eastAsiaTheme="minorEastAsia"/>
                <w:noProof/>
              </w:rPr>
              <w:tab/>
            </w:r>
            <w:r w:rsidR="001B1673" w:rsidRPr="00AD2CBD">
              <w:rPr>
                <w:rStyle w:val="Hyperlink"/>
                <w:noProof/>
                <w:shd w:val="clear" w:color="auto" w:fill="FFFFFF"/>
              </w:rPr>
              <w:t>Non-profit organization – Oxfam</w:t>
            </w:r>
            <w:r w:rsidR="001B1673">
              <w:rPr>
                <w:noProof/>
                <w:webHidden/>
              </w:rPr>
              <w:tab/>
            </w:r>
            <w:r w:rsidR="001B1673">
              <w:rPr>
                <w:noProof/>
                <w:webHidden/>
              </w:rPr>
              <w:fldChar w:fldCharType="begin"/>
            </w:r>
            <w:r w:rsidR="001B1673">
              <w:rPr>
                <w:noProof/>
                <w:webHidden/>
              </w:rPr>
              <w:instrText xml:space="preserve"> PAGEREF _Toc94317863 \h </w:instrText>
            </w:r>
            <w:r w:rsidR="001B1673">
              <w:rPr>
                <w:noProof/>
                <w:webHidden/>
              </w:rPr>
            </w:r>
            <w:r w:rsidR="001B1673">
              <w:rPr>
                <w:noProof/>
                <w:webHidden/>
              </w:rPr>
              <w:fldChar w:fldCharType="separate"/>
            </w:r>
            <w:r w:rsidR="001B1673">
              <w:rPr>
                <w:noProof/>
                <w:webHidden/>
              </w:rPr>
              <w:t>16</w:t>
            </w:r>
            <w:r w:rsidR="001B1673">
              <w:rPr>
                <w:noProof/>
                <w:webHidden/>
              </w:rPr>
              <w:fldChar w:fldCharType="end"/>
            </w:r>
          </w:hyperlink>
        </w:p>
        <w:p w14:paraId="78ED9F6F" w14:textId="621A3490" w:rsidR="001B1673" w:rsidRDefault="000E51D7" w:rsidP="00C862EE">
          <w:pPr>
            <w:pStyle w:val="TOC1"/>
            <w:tabs>
              <w:tab w:val="left" w:pos="660"/>
              <w:tab w:val="right" w:leader="dot" w:pos="9350"/>
            </w:tabs>
            <w:jc w:val="both"/>
            <w:rPr>
              <w:rFonts w:eastAsiaTheme="minorEastAsia"/>
              <w:noProof/>
            </w:rPr>
          </w:pPr>
          <w:hyperlink w:anchor="_Toc94317864" w:history="1">
            <w:r w:rsidR="001B1673" w:rsidRPr="00AD2CBD">
              <w:rPr>
                <w:rStyle w:val="Hyperlink"/>
                <w:noProof/>
              </w:rPr>
              <w:t>III.</w:t>
            </w:r>
            <w:r w:rsidR="001B1673">
              <w:rPr>
                <w:rFonts w:eastAsiaTheme="minorEastAsia"/>
                <w:noProof/>
              </w:rPr>
              <w:tab/>
            </w:r>
            <w:r w:rsidR="001B1673" w:rsidRPr="00AD2CBD">
              <w:rPr>
                <w:rStyle w:val="Hyperlink"/>
                <w:noProof/>
                <w:shd w:val="clear" w:color="auto" w:fill="FFFFFF"/>
              </w:rPr>
              <w:t>Implication of the further development of CSR</w:t>
            </w:r>
            <w:r w:rsidR="001B1673">
              <w:rPr>
                <w:noProof/>
                <w:webHidden/>
              </w:rPr>
              <w:tab/>
            </w:r>
            <w:r w:rsidR="001B1673">
              <w:rPr>
                <w:noProof/>
                <w:webHidden/>
              </w:rPr>
              <w:fldChar w:fldCharType="begin"/>
            </w:r>
            <w:r w:rsidR="001B1673">
              <w:rPr>
                <w:noProof/>
                <w:webHidden/>
              </w:rPr>
              <w:instrText xml:space="preserve"> PAGEREF _Toc94317864 \h </w:instrText>
            </w:r>
            <w:r w:rsidR="001B1673">
              <w:rPr>
                <w:noProof/>
                <w:webHidden/>
              </w:rPr>
            </w:r>
            <w:r w:rsidR="001B1673">
              <w:rPr>
                <w:noProof/>
                <w:webHidden/>
              </w:rPr>
              <w:fldChar w:fldCharType="separate"/>
            </w:r>
            <w:r w:rsidR="001B1673">
              <w:rPr>
                <w:noProof/>
                <w:webHidden/>
              </w:rPr>
              <w:t>20</w:t>
            </w:r>
            <w:r w:rsidR="001B1673">
              <w:rPr>
                <w:noProof/>
                <w:webHidden/>
              </w:rPr>
              <w:fldChar w:fldCharType="end"/>
            </w:r>
          </w:hyperlink>
        </w:p>
        <w:p w14:paraId="4F0A63F4" w14:textId="558D5696" w:rsidR="001B1673" w:rsidRDefault="000E51D7" w:rsidP="00C862EE">
          <w:pPr>
            <w:pStyle w:val="TOC2"/>
            <w:tabs>
              <w:tab w:val="left" w:pos="660"/>
              <w:tab w:val="right" w:leader="dot" w:pos="9350"/>
            </w:tabs>
            <w:jc w:val="both"/>
            <w:rPr>
              <w:rFonts w:eastAsiaTheme="minorEastAsia"/>
              <w:noProof/>
            </w:rPr>
          </w:pPr>
          <w:hyperlink w:anchor="_Toc94317865" w:history="1">
            <w:r w:rsidR="001B1673" w:rsidRPr="00AD2CBD">
              <w:rPr>
                <w:rStyle w:val="Hyperlink"/>
                <w:noProof/>
              </w:rPr>
              <w:t>1.</w:t>
            </w:r>
            <w:r w:rsidR="001B1673">
              <w:rPr>
                <w:rFonts w:eastAsiaTheme="minorEastAsia"/>
                <w:noProof/>
              </w:rPr>
              <w:tab/>
            </w:r>
            <w:r w:rsidR="001B1673" w:rsidRPr="00AD2CBD">
              <w:rPr>
                <w:rStyle w:val="Hyperlink"/>
                <w:noProof/>
              </w:rPr>
              <w:t>Public sector</w:t>
            </w:r>
            <w:r w:rsidR="001B1673">
              <w:rPr>
                <w:noProof/>
                <w:webHidden/>
              </w:rPr>
              <w:tab/>
            </w:r>
            <w:r w:rsidR="001B1673">
              <w:rPr>
                <w:noProof/>
                <w:webHidden/>
              </w:rPr>
              <w:fldChar w:fldCharType="begin"/>
            </w:r>
            <w:r w:rsidR="001B1673">
              <w:rPr>
                <w:noProof/>
                <w:webHidden/>
              </w:rPr>
              <w:instrText xml:space="preserve"> PAGEREF _Toc94317865 \h </w:instrText>
            </w:r>
            <w:r w:rsidR="001B1673">
              <w:rPr>
                <w:noProof/>
                <w:webHidden/>
              </w:rPr>
            </w:r>
            <w:r w:rsidR="001B1673">
              <w:rPr>
                <w:noProof/>
                <w:webHidden/>
              </w:rPr>
              <w:fldChar w:fldCharType="separate"/>
            </w:r>
            <w:r w:rsidR="001B1673">
              <w:rPr>
                <w:noProof/>
                <w:webHidden/>
              </w:rPr>
              <w:t>20</w:t>
            </w:r>
            <w:r w:rsidR="001B1673">
              <w:rPr>
                <w:noProof/>
                <w:webHidden/>
              </w:rPr>
              <w:fldChar w:fldCharType="end"/>
            </w:r>
          </w:hyperlink>
        </w:p>
        <w:p w14:paraId="5CA96094" w14:textId="447F35EA" w:rsidR="001B1673" w:rsidRDefault="000E51D7" w:rsidP="00C862EE">
          <w:pPr>
            <w:pStyle w:val="TOC2"/>
            <w:tabs>
              <w:tab w:val="left" w:pos="660"/>
              <w:tab w:val="right" w:leader="dot" w:pos="9350"/>
            </w:tabs>
            <w:jc w:val="both"/>
            <w:rPr>
              <w:rFonts w:eastAsiaTheme="minorEastAsia"/>
              <w:noProof/>
            </w:rPr>
          </w:pPr>
          <w:hyperlink w:anchor="_Toc94317866" w:history="1">
            <w:r w:rsidR="001B1673" w:rsidRPr="00AD2CBD">
              <w:rPr>
                <w:rStyle w:val="Hyperlink"/>
                <w:noProof/>
              </w:rPr>
              <w:t>2.</w:t>
            </w:r>
            <w:r w:rsidR="001B1673">
              <w:rPr>
                <w:rFonts w:eastAsiaTheme="minorEastAsia"/>
                <w:noProof/>
              </w:rPr>
              <w:tab/>
            </w:r>
            <w:r w:rsidR="001B1673" w:rsidRPr="00AD2CBD">
              <w:rPr>
                <w:rStyle w:val="Hyperlink"/>
                <w:noProof/>
              </w:rPr>
              <w:t>Private sector</w:t>
            </w:r>
            <w:r w:rsidR="001B1673">
              <w:rPr>
                <w:noProof/>
                <w:webHidden/>
              </w:rPr>
              <w:tab/>
            </w:r>
            <w:r w:rsidR="001B1673">
              <w:rPr>
                <w:noProof/>
                <w:webHidden/>
              </w:rPr>
              <w:fldChar w:fldCharType="begin"/>
            </w:r>
            <w:r w:rsidR="001B1673">
              <w:rPr>
                <w:noProof/>
                <w:webHidden/>
              </w:rPr>
              <w:instrText xml:space="preserve"> PAGEREF _Toc94317866 \h </w:instrText>
            </w:r>
            <w:r w:rsidR="001B1673">
              <w:rPr>
                <w:noProof/>
                <w:webHidden/>
              </w:rPr>
            </w:r>
            <w:r w:rsidR="001B1673">
              <w:rPr>
                <w:noProof/>
                <w:webHidden/>
              </w:rPr>
              <w:fldChar w:fldCharType="separate"/>
            </w:r>
            <w:r w:rsidR="001B1673">
              <w:rPr>
                <w:noProof/>
                <w:webHidden/>
              </w:rPr>
              <w:t>21</w:t>
            </w:r>
            <w:r w:rsidR="001B1673">
              <w:rPr>
                <w:noProof/>
                <w:webHidden/>
              </w:rPr>
              <w:fldChar w:fldCharType="end"/>
            </w:r>
          </w:hyperlink>
        </w:p>
        <w:p w14:paraId="68EAFEE8" w14:textId="725E933A" w:rsidR="001B1673" w:rsidRDefault="000E51D7" w:rsidP="00C862EE">
          <w:pPr>
            <w:pStyle w:val="TOC2"/>
            <w:tabs>
              <w:tab w:val="left" w:pos="660"/>
              <w:tab w:val="right" w:leader="dot" w:pos="9350"/>
            </w:tabs>
            <w:jc w:val="both"/>
            <w:rPr>
              <w:rFonts w:eastAsiaTheme="minorEastAsia"/>
              <w:noProof/>
            </w:rPr>
          </w:pPr>
          <w:hyperlink w:anchor="_Toc94317867" w:history="1">
            <w:r w:rsidR="001B1673" w:rsidRPr="00AD2CBD">
              <w:rPr>
                <w:rStyle w:val="Hyperlink"/>
                <w:noProof/>
              </w:rPr>
              <w:t>3.</w:t>
            </w:r>
            <w:r w:rsidR="001B1673">
              <w:rPr>
                <w:rFonts w:eastAsiaTheme="minorEastAsia"/>
                <w:noProof/>
              </w:rPr>
              <w:tab/>
            </w:r>
            <w:r w:rsidR="001B1673" w:rsidRPr="00AD2CBD">
              <w:rPr>
                <w:rStyle w:val="Hyperlink"/>
                <w:noProof/>
                <w:shd w:val="clear" w:color="auto" w:fill="FFFFFF"/>
              </w:rPr>
              <w:t>Non-profit organizations</w:t>
            </w:r>
            <w:r w:rsidR="001B1673">
              <w:rPr>
                <w:noProof/>
                <w:webHidden/>
              </w:rPr>
              <w:tab/>
            </w:r>
            <w:r w:rsidR="001B1673">
              <w:rPr>
                <w:noProof/>
                <w:webHidden/>
              </w:rPr>
              <w:fldChar w:fldCharType="begin"/>
            </w:r>
            <w:r w:rsidR="001B1673">
              <w:rPr>
                <w:noProof/>
                <w:webHidden/>
              </w:rPr>
              <w:instrText xml:space="preserve"> PAGEREF _Toc94317867 \h </w:instrText>
            </w:r>
            <w:r w:rsidR="001B1673">
              <w:rPr>
                <w:noProof/>
                <w:webHidden/>
              </w:rPr>
            </w:r>
            <w:r w:rsidR="001B1673">
              <w:rPr>
                <w:noProof/>
                <w:webHidden/>
              </w:rPr>
              <w:fldChar w:fldCharType="separate"/>
            </w:r>
            <w:r w:rsidR="001B1673">
              <w:rPr>
                <w:noProof/>
                <w:webHidden/>
              </w:rPr>
              <w:t>22</w:t>
            </w:r>
            <w:r w:rsidR="001B1673">
              <w:rPr>
                <w:noProof/>
                <w:webHidden/>
              </w:rPr>
              <w:fldChar w:fldCharType="end"/>
            </w:r>
          </w:hyperlink>
        </w:p>
        <w:p w14:paraId="1A41EEC3" w14:textId="1E8C1F29" w:rsidR="001B1673" w:rsidRDefault="000E51D7" w:rsidP="00C862EE">
          <w:pPr>
            <w:pStyle w:val="TOC1"/>
            <w:tabs>
              <w:tab w:val="left" w:pos="660"/>
              <w:tab w:val="right" w:leader="dot" w:pos="9350"/>
            </w:tabs>
            <w:jc w:val="both"/>
            <w:rPr>
              <w:rFonts w:eastAsiaTheme="minorEastAsia"/>
              <w:noProof/>
            </w:rPr>
          </w:pPr>
          <w:hyperlink w:anchor="_Toc94317868" w:history="1">
            <w:r w:rsidR="001B1673" w:rsidRPr="00AD2CBD">
              <w:rPr>
                <w:rStyle w:val="Hyperlink"/>
                <w:noProof/>
              </w:rPr>
              <w:t>IV.</w:t>
            </w:r>
            <w:r w:rsidR="001B1673">
              <w:rPr>
                <w:rFonts w:eastAsiaTheme="minorEastAsia"/>
                <w:noProof/>
              </w:rPr>
              <w:tab/>
            </w:r>
            <w:r w:rsidR="001B1673" w:rsidRPr="00AD2CBD">
              <w:rPr>
                <w:rStyle w:val="Hyperlink"/>
                <w:noProof/>
                <w:shd w:val="clear" w:color="auto" w:fill="FFFFFF"/>
              </w:rPr>
              <w:t>References</w:t>
            </w:r>
            <w:r w:rsidR="001B1673">
              <w:rPr>
                <w:noProof/>
                <w:webHidden/>
              </w:rPr>
              <w:tab/>
            </w:r>
            <w:r w:rsidR="001B1673">
              <w:rPr>
                <w:noProof/>
                <w:webHidden/>
              </w:rPr>
              <w:fldChar w:fldCharType="begin"/>
            </w:r>
            <w:r w:rsidR="001B1673">
              <w:rPr>
                <w:noProof/>
                <w:webHidden/>
              </w:rPr>
              <w:instrText xml:space="preserve"> PAGEREF _Toc94317868 \h </w:instrText>
            </w:r>
            <w:r w:rsidR="001B1673">
              <w:rPr>
                <w:noProof/>
                <w:webHidden/>
              </w:rPr>
            </w:r>
            <w:r w:rsidR="001B1673">
              <w:rPr>
                <w:noProof/>
                <w:webHidden/>
              </w:rPr>
              <w:fldChar w:fldCharType="separate"/>
            </w:r>
            <w:r w:rsidR="001B1673">
              <w:rPr>
                <w:noProof/>
                <w:webHidden/>
              </w:rPr>
              <w:t>23</w:t>
            </w:r>
            <w:r w:rsidR="001B1673">
              <w:rPr>
                <w:noProof/>
                <w:webHidden/>
              </w:rPr>
              <w:fldChar w:fldCharType="end"/>
            </w:r>
          </w:hyperlink>
        </w:p>
        <w:p w14:paraId="27A862B1" w14:textId="6E717891" w:rsidR="001B1673" w:rsidRDefault="001B1673" w:rsidP="00C862EE">
          <w:pPr>
            <w:jc w:val="both"/>
          </w:pPr>
          <w:r>
            <w:rPr>
              <w:b/>
              <w:bCs/>
              <w:noProof/>
            </w:rPr>
            <w:fldChar w:fldCharType="end"/>
          </w:r>
        </w:p>
      </w:sdtContent>
    </w:sdt>
    <w:p w14:paraId="6BF932D9" w14:textId="2D776C74" w:rsidR="001B1673" w:rsidRDefault="001B1673" w:rsidP="00C862EE">
      <w:pPr>
        <w:ind w:left="1080" w:hanging="720"/>
        <w:jc w:val="both"/>
      </w:pPr>
    </w:p>
    <w:p w14:paraId="598865D9" w14:textId="3D50DA6F" w:rsidR="00C862EE" w:rsidRDefault="00C862EE" w:rsidP="00C862EE">
      <w:pPr>
        <w:ind w:left="1080" w:hanging="720"/>
        <w:jc w:val="both"/>
      </w:pPr>
    </w:p>
    <w:p w14:paraId="61D8A851" w14:textId="77777777" w:rsidR="00C862EE" w:rsidRDefault="00C862EE" w:rsidP="00C862EE">
      <w:pPr>
        <w:ind w:left="1080" w:hanging="720"/>
        <w:jc w:val="both"/>
      </w:pPr>
    </w:p>
    <w:p w14:paraId="3774CED5" w14:textId="239FDC44" w:rsidR="00447BB4" w:rsidRPr="00C862EE" w:rsidRDefault="00447BB4" w:rsidP="00C862EE">
      <w:pPr>
        <w:pStyle w:val="Heading1"/>
        <w:numPr>
          <w:ilvl w:val="0"/>
          <w:numId w:val="2"/>
        </w:numPr>
        <w:jc w:val="both"/>
        <w:rPr>
          <w:sz w:val="32"/>
        </w:rPr>
      </w:pPr>
      <w:bookmarkStart w:id="0" w:name="_Toc94317852"/>
      <w:r w:rsidRPr="00C862EE">
        <w:rPr>
          <w:sz w:val="32"/>
        </w:rPr>
        <w:lastRenderedPageBreak/>
        <w:t>Evaluate various social actors/drivers of CSR adoption</w:t>
      </w:r>
      <w:bookmarkEnd w:id="0"/>
    </w:p>
    <w:p w14:paraId="06ED880F" w14:textId="27C28178" w:rsidR="005C06E6" w:rsidRDefault="00447BB4" w:rsidP="00C862EE">
      <w:pPr>
        <w:pStyle w:val="Heading2"/>
        <w:numPr>
          <w:ilvl w:val="0"/>
          <w:numId w:val="3"/>
        </w:numPr>
        <w:jc w:val="both"/>
      </w:pPr>
      <w:bookmarkStart w:id="1" w:name="_Toc94317853"/>
      <w:r>
        <w:t>CSR definitions</w:t>
      </w:r>
      <w:bookmarkEnd w:id="1"/>
    </w:p>
    <w:p w14:paraId="6BEDAE3C" w14:textId="2EAEBCDA" w:rsidR="00447BB4" w:rsidRDefault="00447BB4" w:rsidP="00C862EE">
      <w:pPr>
        <w:jc w:val="both"/>
      </w:pPr>
      <w:r w:rsidRPr="00447BB4">
        <w:t xml:space="preserve">Having been one of the issues receiving much social concern recently, corporate social responsibilities, hereinafter referred to as CSR, can be defined in many different ways. These various definitions resulted from the fact that CSR is closely related to the evolvement of the society, and </w:t>
      </w:r>
      <w:proofErr w:type="spellStart"/>
      <w:r w:rsidRPr="00447BB4">
        <w:t>ít</w:t>
      </w:r>
      <w:proofErr w:type="spellEnd"/>
      <w:r w:rsidRPr="00447BB4">
        <w:t xml:space="preserve"> reflects numerous approaches and perceptions about how the corporations should act in a broader view (Fordham and Robinson, 2018), meaning how they manage different aspects in the relationships within the company itself, with the public and with its stakeholders (Fernando, 2021). The aim of CSR is to encourage the organizations’ good practice in doing business (Thacker, 2020). Doing the CSR, the company is holding its accountability to the matters associated with the current business it is doing (Fernando, 2021) and acknowledges the influences that it has one various </w:t>
      </w:r>
      <w:r w:rsidR="00C862EE">
        <w:t>aspect</w:t>
      </w:r>
      <w:r w:rsidRPr="00447BB4">
        <w:t xml:space="preserve"> such as the environment, the society, the economy (Fernando, 2021) and even human rights, innovation, education and training (European Commission, 2021). For this reason, CSR is one crucial part of corporate governance, as it reveals the matters to call for better governance and control over various issues that the corporate is doing for enhanced effort of better performance and conduct (Canada BDC, 2021). As a result, the adoption of CSR will have impacts on all parts of the company, including management, production, internal control, health and safety, to name a few (European Commission, 2021). Thus, CSR </w:t>
      </w:r>
      <w:r w:rsidR="00C862EE">
        <w:t>is</w:t>
      </w:r>
      <w:r w:rsidRPr="00447BB4">
        <w:t xml:space="preserve"> expected to be a commitment, a company-led activity, for they are duties of corporations to reveal to its stakeholders about the issues and evaluate its results (European Commission, 2021). On the other hand, it is also argued that some CSR activities should be government-led, for official laws and regulations are representative of public expectations (European Commission, 2021).</w:t>
      </w:r>
    </w:p>
    <w:p w14:paraId="302D4139" w14:textId="714BECAF" w:rsidR="00447BB4" w:rsidRDefault="00447BB4" w:rsidP="00C862EE">
      <w:pPr>
        <w:pStyle w:val="Heading2"/>
        <w:numPr>
          <w:ilvl w:val="0"/>
          <w:numId w:val="3"/>
        </w:numPr>
        <w:jc w:val="both"/>
      </w:pPr>
      <w:bookmarkStart w:id="2" w:name="_Toc94317854"/>
      <w:r w:rsidRPr="002A045B">
        <w:t>CSR models and theories</w:t>
      </w:r>
      <w:bookmarkEnd w:id="2"/>
    </w:p>
    <w:p w14:paraId="40C0DCE1" w14:textId="77777777" w:rsidR="00447BB4" w:rsidRPr="00447BB4" w:rsidRDefault="00447BB4" w:rsidP="00C862EE">
      <w:pPr>
        <w:jc w:val="both"/>
      </w:pPr>
      <w:r w:rsidRPr="00447BB4">
        <w:t>As one of the most studied aspects of contemporary social-economic, CSR receives great concern and attracts a range of research, leading to several related models and theories (Brin and Nehme, 2019).</w:t>
      </w:r>
    </w:p>
    <w:p w14:paraId="41E66C1F" w14:textId="24AA021B" w:rsidR="00447BB4" w:rsidRPr="00447BB4" w:rsidRDefault="00447BB4" w:rsidP="00C862EE">
      <w:pPr>
        <w:jc w:val="both"/>
      </w:pPr>
      <w:r w:rsidRPr="00447BB4">
        <w:t xml:space="preserve">The first theory is CSR theory, which stands for corporate social responsibility theory. The theory presents four obligations that an entity has to </w:t>
      </w:r>
      <w:r w:rsidR="00C862EE">
        <w:t>fulfil</w:t>
      </w:r>
      <w:r w:rsidRPr="00447BB4">
        <w:t xml:space="preserve">. At the lowest level is economic responsibility where the organization ensures generating income for its survival (Brin and Nehme, 2019). Secondly, an entity is expected to comply with the laws, or guarantee legal responsibility. The next level is ethical responsibility where an organization respects norms and values and takes care of the society and working environment. </w:t>
      </w:r>
      <w:r w:rsidRPr="00447BB4">
        <w:lastRenderedPageBreak/>
        <w:t>The final goal under CSR theory is philanthropic responsibility, which presents the company’s role as a good corporate citizen.</w:t>
      </w:r>
    </w:p>
    <w:p w14:paraId="3FCEA692" w14:textId="77777777" w:rsidR="00447BB4" w:rsidRPr="00447BB4" w:rsidRDefault="00447BB4" w:rsidP="00C862EE">
      <w:pPr>
        <w:ind w:left="360"/>
        <w:jc w:val="both"/>
        <w:rPr>
          <w:rFonts w:ascii="Times New Roman" w:hAnsi="Times New Roman" w:cs="Times New Roman"/>
          <w:sz w:val="24"/>
          <w:szCs w:val="24"/>
        </w:rPr>
      </w:pPr>
      <w:r w:rsidRPr="002A045B">
        <w:rPr>
          <w:noProof/>
        </w:rPr>
        <w:drawing>
          <wp:inline distT="114300" distB="114300" distL="114300" distR="114300" wp14:anchorId="6A8D0E39" wp14:editId="406788C8">
            <wp:extent cx="5731200" cy="3378200"/>
            <wp:effectExtent l="0" t="0" r="0" b="0"/>
            <wp:docPr id="3"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Diagram&#10;&#10;Description automatically generated"/>
                    <pic:cNvPicPr preferRelativeResize="0"/>
                  </pic:nvPicPr>
                  <pic:blipFill>
                    <a:blip r:embed="rId8"/>
                    <a:srcRect/>
                    <a:stretch>
                      <a:fillRect/>
                    </a:stretch>
                  </pic:blipFill>
                  <pic:spPr>
                    <a:xfrm>
                      <a:off x="0" y="0"/>
                      <a:ext cx="5731200" cy="3378200"/>
                    </a:xfrm>
                    <a:prstGeom prst="rect">
                      <a:avLst/>
                    </a:prstGeom>
                    <a:ln/>
                  </pic:spPr>
                </pic:pic>
              </a:graphicData>
            </a:graphic>
          </wp:inline>
        </w:drawing>
      </w:r>
    </w:p>
    <w:p w14:paraId="75D9098D" w14:textId="77777777" w:rsidR="00447BB4" w:rsidRPr="00447BB4" w:rsidRDefault="00447BB4" w:rsidP="00C862EE">
      <w:pPr>
        <w:ind w:left="720" w:firstLine="720"/>
        <w:jc w:val="both"/>
      </w:pPr>
      <w:r w:rsidRPr="00447BB4">
        <w:t>Figure 1: CSR theory (Brin and Nehme, 2019)</w:t>
      </w:r>
    </w:p>
    <w:p w14:paraId="22505040" w14:textId="291F7996" w:rsidR="00447BB4" w:rsidRPr="00447BB4" w:rsidRDefault="00447BB4" w:rsidP="00C862EE">
      <w:pPr>
        <w:jc w:val="both"/>
      </w:pPr>
      <w:r w:rsidRPr="00447BB4">
        <w:t>The triple line bottom is another popular theory of CSR stating that corporate leaders are required to complete the three pillars: economic sustainability, social sustainability and environmental sustainability (Pan, Sinha and Chen, 2020). The economic pillar implies that an organization would follow and value long term financial solidity instead of short volatile returns regardless of how high it is. The social sustainability values balance in people’s lives as well as the way people live (Pan, Sinha and Chen, 2020). The final pillar is the environmental aspect, which affirms natural resources, particularly oil fueling, clean air and fresh water, are limited (Pan, Sinha and Chen, 2020).</w:t>
      </w:r>
    </w:p>
    <w:p w14:paraId="7E235B9F" w14:textId="77777777" w:rsidR="00447BB4" w:rsidRPr="00447BB4" w:rsidRDefault="00447BB4" w:rsidP="00C862EE">
      <w:pPr>
        <w:ind w:left="360"/>
        <w:jc w:val="both"/>
        <w:rPr>
          <w:rFonts w:ascii="Times New Roman" w:hAnsi="Times New Roman" w:cs="Times New Roman"/>
          <w:sz w:val="24"/>
          <w:szCs w:val="24"/>
        </w:rPr>
      </w:pPr>
      <w:r w:rsidRPr="002A045B">
        <w:rPr>
          <w:noProof/>
        </w:rPr>
        <w:lastRenderedPageBreak/>
        <w:drawing>
          <wp:inline distT="114300" distB="114300" distL="114300" distR="114300" wp14:anchorId="5EF745F5" wp14:editId="4F43B805">
            <wp:extent cx="4719638" cy="4432147"/>
            <wp:effectExtent l="0" t="0" r="0" b="0"/>
            <wp:docPr id="2"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png" descr="Diagram&#10;&#10;Description automatically generated"/>
                    <pic:cNvPicPr preferRelativeResize="0"/>
                  </pic:nvPicPr>
                  <pic:blipFill>
                    <a:blip r:embed="rId9"/>
                    <a:srcRect/>
                    <a:stretch>
                      <a:fillRect/>
                    </a:stretch>
                  </pic:blipFill>
                  <pic:spPr>
                    <a:xfrm>
                      <a:off x="0" y="0"/>
                      <a:ext cx="4719638" cy="4432147"/>
                    </a:xfrm>
                    <a:prstGeom prst="rect">
                      <a:avLst/>
                    </a:prstGeom>
                    <a:ln/>
                  </pic:spPr>
                </pic:pic>
              </a:graphicData>
            </a:graphic>
          </wp:inline>
        </w:drawing>
      </w:r>
    </w:p>
    <w:p w14:paraId="2D7EE1B1" w14:textId="77777777" w:rsidR="00447BB4" w:rsidRPr="00447BB4" w:rsidRDefault="00447BB4" w:rsidP="00C862EE">
      <w:pPr>
        <w:ind w:left="2160" w:firstLine="720"/>
        <w:jc w:val="both"/>
      </w:pPr>
      <w:r w:rsidRPr="00447BB4">
        <w:t>Figure 2: Triple Bottom Line Theory</w:t>
      </w:r>
    </w:p>
    <w:p w14:paraId="77A511BF" w14:textId="573996D5" w:rsidR="00447BB4" w:rsidRPr="00447BB4" w:rsidRDefault="00447BB4" w:rsidP="00C862EE">
      <w:pPr>
        <w:jc w:val="both"/>
      </w:pPr>
      <w:r w:rsidRPr="00447BB4">
        <w:t>The third theory is Stakeholder theory, presenting all related parties of an organization (</w:t>
      </w:r>
      <w:proofErr w:type="spellStart"/>
      <w:r w:rsidRPr="00447BB4">
        <w:t>O’Riordan</w:t>
      </w:r>
      <w:proofErr w:type="spellEnd"/>
      <w:r w:rsidRPr="00447BB4">
        <w:t xml:space="preserve"> and Fairbrass, 2008). The list of stakeholders can be extensive, yet it can be grouped into categories: internal and external stakeholders. The internal stakeholders are the individuals and parties who are parts of the organization and exert </w:t>
      </w:r>
      <w:r w:rsidR="00C862EE">
        <w:t xml:space="preserve">a </w:t>
      </w:r>
      <w:r w:rsidRPr="00447BB4">
        <w:t xml:space="preserve">direct impact on and serve it (Freeman, Wicks and Parmar, 2004). The example of internal stakeholders employees, board of directors, owners and managers. The external shareholders, on the contrary, are parties who are not a part of the organization, yet being affected by its activities and imposing indirect impacts on the organization (Freeman, Wicks and Parmar, 2004). Examples of external </w:t>
      </w:r>
      <w:r w:rsidR="00C862EE">
        <w:t>stakeholders</w:t>
      </w:r>
      <w:r w:rsidRPr="00447BB4">
        <w:t xml:space="preserve"> are customers, suppliers, creditors, intermediaries, rivalries, the community, and the Government. </w:t>
      </w:r>
    </w:p>
    <w:p w14:paraId="12A6D369" w14:textId="77777777" w:rsidR="00447BB4" w:rsidRPr="00447BB4" w:rsidRDefault="00447BB4" w:rsidP="00C862EE">
      <w:pPr>
        <w:pStyle w:val="ListParagraph"/>
        <w:jc w:val="both"/>
        <w:rPr>
          <w:rFonts w:ascii="Times New Roman" w:hAnsi="Times New Roman" w:cs="Times New Roman"/>
          <w:sz w:val="24"/>
          <w:szCs w:val="24"/>
        </w:rPr>
      </w:pPr>
      <w:r w:rsidRPr="002A045B">
        <w:rPr>
          <w:noProof/>
        </w:rPr>
        <w:lastRenderedPageBreak/>
        <w:drawing>
          <wp:inline distT="114300" distB="114300" distL="114300" distR="114300" wp14:anchorId="73F786DB" wp14:editId="79FD871A">
            <wp:extent cx="5548313" cy="3613076"/>
            <wp:effectExtent l="0" t="0" r="0" b="0"/>
            <wp:docPr id="1" name="image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5.png" descr="Diagram&#10;&#10;Description automatically generated"/>
                    <pic:cNvPicPr preferRelativeResize="0"/>
                  </pic:nvPicPr>
                  <pic:blipFill>
                    <a:blip r:embed="rId10"/>
                    <a:srcRect/>
                    <a:stretch>
                      <a:fillRect/>
                    </a:stretch>
                  </pic:blipFill>
                  <pic:spPr>
                    <a:xfrm>
                      <a:off x="0" y="0"/>
                      <a:ext cx="5548313" cy="3613076"/>
                    </a:xfrm>
                    <a:prstGeom prst="rect">
                      <a:avLst/>
                    </a:prstGeom>
                    <a:ln/>
                  </pic:spPr>
                </pic:pic>
              </a:graphicData>
            </a:graphic>
          </wp:inline>
        </w:drawing>
      </w:r>
    </w:p>
    <w:p w14:paraId="250922E9" w14:textId="77777777" w:rsidR="00447BB4" w:rsidRPr="00447BB4" w:rsidRDefault="00447BB4" w:rsidP="00C862EE">
      <w:pPr>
        <w:ind w:left="1440" w:firstLine="720"/>
        <w:jc w:val="both"/>
      </w:pPr>
      <w:r w:rsidRPr="00447BB4">
        <w:t>Figure 3: Stakeholder theory (Freeman, Wicks and Parmar, 2004)</w:t>
      </w:r>
    </w:p>
    <w:p w14:paraId="08C3E6CB" w14:textId="77777777" w:rsidR="00447BB4" w:rsidRPr="00447BB4" w:rsidRDefault="00447BB4" w:rsidP="00C862EE">
      <w:pPr>
        <w:jc w:val="both"/>
      </w:pPr>
    </w:p>
    <w:p w14:paraId="04E47092" w14:textId="404252DC" w:rsidR="00447BB4" w:rsidRDefault="00447BB4" w:rsidP="00C862EE">
      <w:pPr>
        <w:pStyle w:val="Heading2"/>
        <w:numPr>
          <w:ilvl w:val="0"/>
          <w:numId w:val="3"/>
        </w:numPr>
        <w:jc w:val="both"/>
      </w:pPr>
      <w:bookmarkStart w:id="3" w:name="_Toc94317855"/>
      <w:r>
        <w:t>CSR roles</w:t>
      </w:r>
      <w:bookmarkEnd w:id="3"/>
    </w:p>
    <w:p w14:paraId="4B719312" w14:textId="54C2A6ED" w:rsidR="00447BB4" w:rsidRDefault="00447BB4" w:rsidP="00C862EE">
      <w:pPr>
        <w:jc w:val="both"/>
      </w:pPr>
      <w:r w:rsidRPr="00447BB4">
        <w:t xml:space="preserve">CSR plays a crucial role in the overall success of any entity (Chen et al., 2021). Firstly, CSR has enormous impacts on the corporations that implement the programs. One of the most important benefits of good CSR is the high brand image among the public, which indeed creates trust among customers and serves as the strategic competitive advantage of the company against competitions (Fordham and Robinson, 2018). Another outcome is risk management and mitigation, which means the company may better control its resources and can come up with solutions to many problems, including changing legal requirements that may cause </w:t>
      </w:r>
      <w:r w:rsidR="00C862EE">
        <w:t xml:space="preserve">a </w:t>
      </w:r>
      <w:r w:rsidRPr="00447BB4">
        <w:t xml:space="preserve">sudden surge in costs (European Commission, 2021). Having good governance and reputation, firms can also improve their ability to access capital and attract better human resources (European Commission, 2021). Taking into consideration the need for making positive effects on the public, the environment and the society as a whole, the organizations are more likely to adopt advanced technology and innovate itself in various processes and management, which effectively cut costs and enhance internal control (European Commission, 2021). Moreover, considering the social effects of good CSR adoption, corporate governance is sure to influence many individuals along the </w:t>
      </w:r>
      <w:r w:rsidRPr="00447BB4">
        <w:lastRenderedPageBreak/>
        <w:t xml:space="preserve">process, namely employees, suppliers, consumers and the authorities. With CSR adoption, the awareness about </w:t>
      </w:r>
      <w:r w:rsidR="00C862EE">
        <w:t xml:space="preserve">the </w:t>
      </w:r>
      <w:r w:rsidRPr="00447BB4">
        <w:t>social responsibilities of each individual would be improved, leading to more beneficial mutual behaviors (</w:t>
      </w:r>
      <w:proofErr w:type="spellStart"/>
      <w:r w:rsidRPr="00447BB4">
        <w:t>Ging</w:t>
      </w:r>
      <w:proofErr w:type="spellEnd"/>
      <w:r w:rsidRPr="00447BB4">
        <w:t>, 2012). It is claimed that stakeholders’ attitudes have changed in a more favorable way when the CSR core values are communicated effectively by the companies to these stakeholders (Du, Bhattacharya and Sen, 2010). In terms of the society, it is clear that the community takes advantage of good practice and the sustainability of development both in economic and other sectors (</w:t>
      </w:r>
      <w:proofErr w:type="spellStart"/>
      <w:r w:rsidRPr="00447BB4">
        <w:t>Gössling</w:t>
      </w:r>
      <w:proofErr w:type="spellEnd"/>
      <w:r w:rsidRPr="00447BB4">
        <w:t xml:space="preserve"> and Vocht, 2007). In conclusion, CSR does wonders to the corporations that implement them, the stakeholders involved in the CSR programs and the society as a whole.</w:t>
      </w:r>
    </w:p>
    <w:p w14:paraId="276F2BBA" w14:textId="3611CC8F" w:rsidR="006D32D5" w:rsidRDefault="006D32D5" w:rsidP="00C862EE">
      <w:pPr>
        <w:pStyle w:val="Heading2"/>
        <w:numPr>
          <w:ilvl w:val="0"/>
          <w:numId w:val="3"/>
        </w:numPr>
        <w:jc w:val="both"/>
      </w:pPr>
      <w:bookmarkStart w:id="4" w:name="_Toc94317856"/>
      <w:r>
        <w:t>Drivers of CSR</w:t>
      </w:r>
      <w:bookmarkEnd w:id="4"/>
    </w:p>
    <w:p w14:paraId="15BA7128" w14:textId="77777777" w:rsidR="00C862EE" w:rsidRDefault="00F87B95" w:rsidP="00C862EE">
      <w:pPr>
        <w:jc w:val="both"/>
      </w:pPr>
      <w:r w:rsidRPr="00F87B95">
        <w:t>There are various social drivers that can affect CSR adoption of organizations. The first social driver that can be taken into account in adopting CSR is globalization. Defined as the state at which the world becomes interdependent and closely connected thanks to technology and international trade (Society, 2019), globalization has imposed recognizable impacts on the adoption of CSR all over the world (</w:t>
      </w:r>
      <w:proofErr w:type="spellStart"/>
      <w:r w:rsidRPr="00F87B95">
        <w:t>Rius</w:t>
      </w:r>
      <w:proofErr w:type="spellEnd"/>
      <w:r w:rsidRPr="00F87B95">
        <w:t xml:space="preserve">, 2016). As global trade encourages good practices and fierce competitions come with higher standards for both quality and </w:t>
      </w:r>
      <w:r w:rsidR="00C862EE">
        <w:t xml:space="preserve">the </w:t>
      </w:r>
      <w:r w:rsidRPr="00F87B95">
        <w:t xml:space="preserve">company’s reputation, CSR is being stressed for adoption by every entity (Jamali and Safadi, 2019). The process of modernization and internationalization has urged companies to perceive CSR and practice, as well as reporting about such conducts (Jamali and Safadi, 2019). For these reasons, globalization can be considered as one of the most positively influential to firms’ adoption of CSR. Secondly, the impacts of technology on the implementation of CSR cannot be neglected. Needless to say, the application of scientific knowledge to the CSR </w:t>
      </w:r>
      <w:r w:rsidR="00C862EE">
        <w:t>policy-making</w:t>
      </w:r>
      <w:r w:rsidRPr="00F87B95">
        <w:t xml:space="preserve"> is inevitable and holds a crucial role (</w:t>
      </w:r>
      <w:proofErr w:type="spellStart"/>
      <w:r w:rsidRPr="00F87B95">
        <w:t>StudyMoose</w:t>
      </w:r>
      <w:proofErr w:type="spellEnd"/>
      <w:r w:rsidRPr="00F87B95">
        <w:t xml:space="preserve">, 2016). Technology plays a crucial role in creating the platform for information exchanging, supporting data collection and storage used in </w:t>
      </w:r>
      <w:r w:rsidR="00C862EE">
        <w:t xml:space="preserve">the </w:t>
      </w:r>
      <w:r w:rsidRPr="00F87B95">
        <w:t>assessment of public’s reaction and efficiency of CSR programs (</w:t>
      </w:r>
      <w:proofErr w:type="spellStart"/>
      <w:r w:rsidRPr="00F87B95">
        <w:t>StudyMoose</w:t>
      </w:r>
      <w:proofErr w:type="spellEnd"/>
      <w:r w:rsidRPr="00F87B95">
        <w:t>, 2016). Such background and infrastructure helps organizations develop better programs and evaluate the current CSR for any adjustment (</w:t>
      </w:r>
      <w:proofErr w:type="spellStart"/>
      <w:r w:rsidRPr="00F87B95">
        <w:t>StudyMoose</w:t>
      </w:r>
      <w:proofErr w:type="spellEnd"/>
      <w:r w:rsidRPr="00F87B95">
        <w:t xml:space="preserve">, 2016). Many applications of technology can be listed as attributors to CSR. AI perfectly exemplifies the situation as it helps organizations in developing integrated ecosystems to run CSR smoothly from planning the strategic orientation to implementing and evaluating projects (Naqvi, 2018). Furthermore, the rapid adoption of the Internet and how it is used also boosts the popularity of CSR among firms and organizations. Blogging, endorsement and digital media has promoted the adoption of CSR and also makes it a requirement for organizations to be considered “good practice” and transparent (Miles, 2019). Another factor that encourages the adoption of CSR is the legal requirements, especially the accounting standards. With the </w:t>
      </w:r>
      <w:r w:rsidRPr="00F87B95">
        <w:lastRenderedPageBreak/>
        <w:t xml:space="preserve">rapid changing of the accounting standards to reveal transparency such as environmental and social accounting standards, organizations are required to show its impacts on the mentioned matters (Gray, Bebbington and Gray, 2010). These standards are being transformed from global scales like IFRS or GAAP (ACCA, 2012; ICAEW, 2022), to the national standards asked to comply by many developed and developing countries (Nguyen et al., 2021). Furthermore, the application of government’s policies like the carbon dioxide cap rate and social acts like child </w:t>
      </w:r>
      <w:proofErr w:type="spellStart"/>
      <w:r w:rsidRPr="00F87B95">
        <w:t>labour</w:t>
      </w:r>
      <w:proofErr w:type="spellEnd"/>
      <w:r w:rsidRPr="00F87B95">
        <w:t xml:space="preserve"> </w:t>
      </w:r>
      <w:r w:rsidR="00C862EE">
        <w:t>fines</w:t>
      </w:r>
      <w:r w:rsidR="00C862EE" w:rsidRPr="00F87B95">
        <w:t xml:space="preserve"> are also regarded as critical tools and guidelines for organizations to follow (Kolk and </w:t>
      </w:r>
      <w:proofErr w:type="spellStart"/>
      <w:r w:rsidR="00C862EE" w:rsidRPr="00F87B95">
        <w:t>Perego</w:t>
      </w:r>
      <w:proofErr w:type="spellEnd"/>
      <w:r w:rsidR="00C862EE" w:rsidRPr="00F87B95">
        <w:t xml:space="preserve">, 2015). Undeniably, when such standards are set and requirements are communicated to businesses and entities of other forms, the combined effects are likely to be reached, encouraging organizations to adopt various CSR programs (Kolk and </w:t>
      </w:r>
      <w:proofErr w:type="spellStart"/>
      <w:r w:rsidR="00C862EE" w:rsidRPr="00F87B95">
        <w:t>Perego</w:t>
      </w:r>
      <w:proofErr w:type="spellEnd"/>
      <w:r w:rsidR="00C862EE" w:rsidRPr="00F87B95">
        <w:t>, 2015).</w:t>
      </w:r>
    </w:p>
    <w:p w14:paraId="2C93C899" w14:textId="77777777" w:rsidR="00C862EE" w:rsidRDefault="00C862EE" w:rsidP="00C862EE">
      <w:pPr>
        <w:pStyle w:val="Heading2"/>
        <w:numPr>
          <w:ilvl w:val="0"/>
          <w:numId w:val="3"/>
        </w:numPr>
        <w:jc w:val="both"/>
      </w:pPr>
      <w:bookmarkStart w:id="5" w:name="_Toc94317857"/>
      <w:r w:rsidRPr="002A045B">
        <w:t>CSR in different sectors</w:t>
      </w:r>
      <w:bookmarkEnd w:id="5"/>
    </w:p>
    <w:p w14:paraId="1FE83005" w14:textId="672D162C" w:rsidR="00F87B95" w:rsidRDefault="00C862EE" w:rsidP="00C862EE">
      <w:pPr>
        <w:jc w:val="both"/>
      </w:pPr>
      <w:r w:rsidRPr="00F87B95">
        <w:t xml:space="preserve">As previously mentioned, there can be many factors influencing CSR adoption. It should be acknowledged that besides the factors, CSR is different among sectors: private sector, public sector and non-profit sector. Considering the first mentioned sector, the private sector is defined as companies operated by individuals and is not subject to the control of the state (Staff, 2021). As the priority of such a sector is to maximize shareholders’ wealth, these companies run with the goal of </w:t>
      </w:r>
      <w:r>
        <w:t>profit-making</w:t>
      </w:r>
      <w:r w:rsidRPr="00F87B95">
        <w:t xml:space="preserve"> (Rifai, 2011). However, still subjected to the regulations of the governments, companies of the private sector are one of the most expected to adopt CSR, as not complying </w:t>
      </w:r>
      <w:r>
        <w:t>with</w:t>
      </w:r>
      <w:r w:rsidRPr="00F87B95">
        <w:t xml:space="preserve"> regulations, such as failing to perform these activities and filing reports, may lead to fining and eventually reduce the profits generated by the firm (</w:t>
      </w:r>
      <w:proofErr w:type="spellStart"/>
      <w:r w:rsidRPr="00F87B95">
        <w:t>Yamanoğlu</w:t>
      </w:r>
      <w:proofErr w:type="spellEnd"/>
      <w:r w:rsidRPr="00F87B95">
        <w:t xml:space="preserve">, 2010). Another noteworthy point of the private sector is the high competition which encourages firms to adopt updated technology and join globalization to seek for more profits, making CSR programs inevitable and increasing in popularity (Guarini and </w:t>
      </w:r>
      <w:proofErr w:type="spellStart"/>
      <w:r w:rsidRPr="00F87B95">
        <w:t>Nidasio</w:t>
      </w:r>
      <w:proofErr w:type="spellEnd"/>
      <w:r w:rsidRPr="00F87B95">
        <w:t xml:space="preserve">, 2002). Moreover, this sector is considered the most regulated sector among the three, for firms can </w:t>
      </w:r>
      <w:r>
        <w:t>trade-off</w:t>
      </w:r>
      <w:r w:rsidRPr="00F87B95">
        <w:t xml:space="preserve"> between doing good practice and making high profits (</w:t>
      </w:r>
      <w:proofErr w:type="spellStart"/>
      <w:r w:rsidRPr="00F87B95">
        <w:t>Kumi</w:t>
      </w:r>
      <w:proofErr w:type="spellEnd"/>
      <w:r w:rsidRPr="00F87B95">
        <w:t xml:space="preserve">, Yeboah and </w:t>
      </w:r>
      <w:proofErr w:type="spellStart"/>
      <w:r w:rsidRPr="00F87B95">
        <w:t>Kumi</w:t>
      </w:r>
      <w:proofErr w:type="spellEnd"/>
      <w:r w:rsidRPr="00F87B95">
        <w:t xml:space="preserve">, 2020). Thus, CSR </w:t>
      </w:r>
      <w:r>
        <w:t>is</w:t>
      </w:r>
      <w:r w:rsidR="00F87B95" w:rsidRPr="00F87B95">
        <w:t xml:space="preserve"> to be adopted in</w:t>
      </w:r>
      <w:r>
        <w:t xml:space="preserve"> </w:t>
      </w:r>
      <w:r w:rsidR="00F87B95" w:rsidRPr="00F87B95">
        <w:t>private sectors. Regarding the second sector, the public sector is known as those companies whose owner is the state (Rifai, 2011). These companies are operated to support the managerial functions of the states, therefore, may consist of the exercise of public authority and the public policy implementation units (</w:t>
      </w:r>
      <w:proofErr w:type="spellStart"/>
      <w:r w:rsidR="00F87B95" w:rsidRPr="00F87B95">
        <w:t>Wegrich</w:t>
      </w:r>
      <w:proofErr w:type="spellEnd"/>
      <w:r w:rsidR="00F87B95" w:rsidRPr="00F87B95">
        <w:t xml:space="preserve">, 2019). Due to the functioning of each government, the number of functions of public sector companies </w:t>
      </w:r>
      <w:r>
        <w:t>differ</w:t>
      </w:r>
      <w:r w:rsidR="00F87B95" w:rsidRPr="00F87B95">
        <w:t xml:space="preserve"> from country to country (PwC, 2015). For these characteristics, CSR of the public sector is believed to be the leader in all three sectors, for its role as the example for others to follow in adopting the good practice (CSR Hub Ireland, 2021). This part of the economy is also associated with the special function of passing laws and regulations, thus the CSR of such a sector is to be complied with its policies (CSR Hub Ireland, 2021). Lastly, </w:t>
      </w:r>
      <w:r w:rsidR="00F87B95" w:rsidRPr="00F87B95">
        <w:lastRenderedPageBreak/>
        <w:t xml:space="preserve">considering the non-profit sector, this sector’s main aims are to aid the public and provide the society with benefits (Kenton, 2019). Companies and organizations in this sector usually receive tax reduction because of its special features in helping the society (Kenton, 2019). The non-profit companies regard CSR as their frequent activities which are good opportunities to build relationships with partners whose target and visions are similar to create </w:t>
      </w:r>
      <w:r>
        <w:t xml:space="preserve">a </w:t>
      </w:r>
      <w:r w:rsidR="00F87B95" w:rsidRPr="00F87B95">
        <w:t>mutual effort that serves the public even better (</w:t>
      </w:r>
      <w:proofErr w:type="spellStart"/>
      <w:r w:rsidR="00F87B95" w:rsidRPr="00F87B95">
        <w:t>Aquire</w:t>
      </w:r>
      <w:proofErr w:type="spellEnd"/>
      <w:r w:rsidR="00F87B95" w:rsidRPr="00F87B95">
        <w:t xml:space="preserve">, 2020). Thus, these organizations usually utilize technology, especially in digital marketing, to promote its reputation worldwide, as well as helping the community by promoting and emphasizing the importance of ethical code of conduct and CSR practice (Eid and Sabella, 2014). Overall, for all three sectors, CSR </w:t>
      </w:r>
      <w:r>
        <w:t>is</w:t>
      </w:r>
      <w:r w:rsidR="00F87B95" w:rsidRPr="00F87B95">
        <w:t xml:space="preserve"> </w:t>
      </w:r>
      <w:r>
        <w:t xml:space="preserve">an </w:t>
      </w:r>
      <w:r w:rsidR="00F87B95" w:rsidRPr="00F87B95">
        <w:t xml:space="preserve">inseparable </w:t>
      </w:r>
      <w:r>
        <w:t>part</w:t>
      </w:r>
      <w:r w:rsidR="00F87B95" w:rsidRPr="00F87B95">
        <w:t xml:space="preserve"> </w:t>
      </w:r>
      <w:r>
        <w:t>of</w:t>
      </w:r>
      <w:r w:rsidR="00F87B95" w:rsidRPr="00F87B95">
        <w:t xml:space="preserve"> doing business and is itself a motivation for better practices. </w:t>
      </w:r>
      <w:r w:rsidR="00F87B95">
        <w:t xml:space="preserve">Even though </w:t>
      </w:r>
      <w:r w:rsidR="00F87B95" w:rsidRPr="00F87B95">
        <w:t xml:space="preserve">the aims of each sector are different, their role in promoting CSR activities are all dependent on each other, </w:t>
      </w:r>
      <w:proofErr w:type="spellStart"/>
      <w:r w:rsidR="00F87B95" w:rsidRPr="00F87B95">
        <w:t>compliment</w:t>
      </w:r>
      <w:proofErr w:type="spellEnd"/>
      <w:r w:rsidR="00F87B95" w:rsidRPr="00F87B95">
        <w:t xml:space="preserve"> each other and create mutual social outcomes.</w:t>
      </w:r>
    </w:p>
    <w:p w14:paraId="406904CA" w14:textId="77777777" w:rsidR="000D0C84" w:rsidRPr="002A045B" w:rsidRDefault="000D0C84" w:rsidP="00C862EE">
      <w:pPr>
        <w:jc w:val="both"/>
        <w:rPr>
          <w:rFonts w:ascii="Times New Roman" w:hAnsi="Times New Roman" w:cs="Times New Roman"/>
          <w:sz w:val="24"/>
          <w:szCs w:val="24"/>
        </w:rPr>
      </w:pPr>
      <w:r w:rsidRPr="002A045B">
        <w:rPr>
          <w:rFonts w:ascii="Times New Roman" w:hAnsi="Times New Roman" w:cs="Times New Roman"/>
          <w:noProof/>
          <w:sz w:val="24"/>
          <w:szCs w:val="24"/>
        </w:rPr>
        <w:drawing>
          <wp:inline distT="114300" distB="114300" distL="114300" distR="114300" wp14:anchorId="7593F0F5" wp14:editId="478FCB1C">
            <wp:extent cx="4341975" cy="4072287"/>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Diagram&#10;&#10;Description automatically generated"/>
                    <pic:cNvPicPr preferRelativeResize="0"/>
                  </pic:nvPicPr>
                  <pic:blipFill>
                    <a:blip r:embed="rId11"/>
                    <a:srcRect/>
                    <a:stretch>
                      <a:fillRect/>
                    </a:stretch>
                  </pic:blipFill>
                  <pic:spPr>
                    <a:xfrm>
                      <a:off x="0" y="0"/>
                      <a:ext cx="4341975" cy="4072287"/>
                    </a:xfrm>
                    <a:prstGeom prst="rect">
                      <a:avLst/>
                    </a:prstGeom>
                    <a:ln/>
                  </pic:spPr>
                </pic:pic>
              </a:graphicData>
            </a:graphic>
          </wp:inline>
        </w:drawing>
      </w:r>
    </w:p>
    <w:p w14:paraId="17E98B5B" w14:textId="6083ABBF" w:rsidR="000D0C84" w:rsidRDefault="000D0C84" w:rsidP="00C862EE">
      <w:pPr>
        <w:ind w:left="2160" w:firstLine="720"/>
        <w:jc w:val="both"/>
      </w:pPr>
      <w:r w:rsidRPr="002A045B">
        <w:t>Figure 5: CSR and the three sectors</w:t>
      </w:r>
    </w:p>
    <w:p w14:paraId="3660A856" w14:textId="51E2E054" w:rsidR="000D0C84" w:rsidRDefault="000D0C84" w:rsidP="00C862EE">
      <w:pPr>
        <w:jc w:val="both"/>
      </w:pPr>
    </w:p>
    <w:p w14:paraId="30D5862F" w14:textId="5B431810" w:rsidR="000D0C84" w:rsidRDefault="000D0C84" w:rsidP="00C862EE">
      <w:pPr>
        <w:pStyle w:val="Heading2"/>
        <w:jc w:val="both"/>
      </w:pPr>
      <w:bookmarkStart w:id="6" w:name="_Toc94317858"/>
      <w:r>
        <w:lastRenderedPageBreak/>
        <w:t xml:space="preserve">6. </w:t>
      </w:r>
      <w:r w:rsidR="001B1673">
        <w:tab/>
      </w:r>
      <w:r w:rsidRPr="000D0C84">
        <w:t>Integrated roles of different sectors and CSR</w:t>
      </w:r>
      <w:bookmarkEnd w:id="6"/>
    </w:p>
    <w:p w14:paraId="09700012" w14:textId="6B2D51ED" w:rsidR="000D0C84" w:rsidRDefault="000D0C84" w:rsidP="00C862EE">
      <w:pPr>
        <w:jc w:val="both"/>
      </w:pPr>
      <w:r w:rsidRPr="000D0C84">
        <w:t>In the world of rapid change and globalization, the fact that organizations in all sectors are getting more similar should also be taken into consideration in adoption of CSR, as all organizations can become the leading ones in promoting appreciated acts to the community’s sustainability, thus creating new expectations and set new standards to other entities, as well as yielding for itself high recognition and profit when contributing to the society (</w:t>
      </w:r>
      <w:proofErr w:type="spellStart"/>
      <w:r w:rsidRPr="000D0C84">
        <w:t>Dabic</w:t>
      </w:r>
      <w:proofErr w:type="spellEnd"/>
      <w:r w:rsidRPr="000D0C84">
        <w:t xml:space="preserve"> et al., 2016). Considering the private sector, companies within this field are shifting to more ethical and sustainable practices so as to minimize the risk of being fined and the cost of complying </w:t>
      </w:r>
      <w:r w:rsidR="00C862EE">
        <w:t>with</w:t>
      </w:r>
      <w:r w:rsidR="00C862EE" w:rsidRPr="000D0C84">
        <w:t xml:space="preserve"> legal standards and laws if stricter measures are to be imposed by the authorities. Usually, this process would involve enterprises </w:t>
      </w:r>
      <w:r w:rsidR="00C862EE">
        <w:t>investing</w:t>
      </w:r>
      <w:r w:rsidR="00C862EE" w:rsidRPr="000D0C84">
        <w:t xml:space="preserve"> heavily </w:t>
      </w:r>
      <w:r w:rsidR="00C862EE">
        <w:t>in</w:t>
      </w:r>
      <w:r w:rsidRPr="000D0C84">
        <w:t xml:space="preserve"> </w:t>
      </w:r>
      <w:r w:rsidR="00C862EE">
        <w:t xml:space="preserve">the </w:t>
      </w:r>
      <w:r w:rsidRPr="000D0C84">
        <w:t xml:space="preserve">infrastructure of manufacturing and managing, as well as in human capital through in-depth training of higher awareness and benefit of CSR. More than that, companies are truly in favor of changing into more friendly and appreciated </w:t>
      </w:r>
      <w:r w:rsidR="00C862EE">
        <w:t>businesses</w:t>
      </w:r>
      <w:r w:rsidR="00C862EE" w:rsidRPr="000D0C84">
        <w:t xml:space="preserve">, such as animal </w:t>
      </w:r>
      <w:r w:rsidR="00C862EE">
        <w:t>cruelty-free</w:t>
      </w:r>
      <w:r w:rsidR="00C862EE" w:rsidRPr="000D0C84">
        <w:t xml:space="preserve"> and lower wastage so that it gains more public support and market share. Because of such an act, for-profit organizations are promoting the practice of CSR as a competitive tool for its long-term business goal, which may become the standard for every similar enterprise to follow (Guarini and </w:t>
      </w:r>
      <w:proofErr w:type="spellStart"/>
      <w:r w:rsidR="00C862EE" w:rsidRPr="000D0C84">
        <w:t>Nidasio</w:t>
      </w:r>
      <w:proofErr w:type="spellEnd"/>
      <w:r w:rsidR="00C862EE" w:rsidRPr="000D0C84">
        <w:t xml:space="preserve">, 2002). This means the private sector is playing the role of </w:t>
      </w:r>
      <w:r w:rsidR="00C862EE">
        <w:t>standard-setting</w:t>
      </w:r>
      <w:r w:rsidRPr="000D0C84">
        <w:t xml:space="preserve"> as of the public sector, and </w:t>
      </w:r>
      <w:r w:rsidR="00C862EE">
        <w:t>in</w:t>
      </w:r>
      <w:r w:rsidRPr="000D0C84">
        <w:t xml:space="preserve"> promoting social benefits as non-profit ones. Another example of integrated and infusion of goals and practice among the three sectors is witnessed among the non-profit sector. The organizations of the non-profit sector are partnering with those in the for-profit and promoting trading of certain products such as handicrafts or handmade souvenirs so as to raise funds for its operation and campaigns (</w:t>
      </w:r>
      <w:proofErr w:type="spellStart"/>
      <w:r w:rsidRPr="000D0C84">
        <w:t>Yamanoğlu</w:t>
      </w:r>
      <w:proofErr w:type="spellEnd"/>
      <w:r w:rsidRPr="000D0C84">
        <w:t>, 2010). Needless to say, although this conduct has been a part of nonprofit companies’ activities for a long time, the action of improving profits is more similar to the private sector (Fox, Ward and Howard, 2002). In other words, although the aims for the two sectors may not be the same, how they try to raise resources for themselves are more alike than that in the past, when nonprofit companies concentrated on raising funds mostly just by donating and partnering with other organizations (Waters and Ott, 2014). Looking deeper into the situation, it can be seen that trading goods that are made for fundraising purposes of non-profit organizations aims at promoting good practice of CSR is similar to for-profit enterprises generating higher profits so that they increase their retained earnings for further operation in the future, however, the difference still exist in the purpose of fundraising. Regarding the public sector, besides passing laws and conducting monitoring activities, they are now offering the guidelines and handbooks for other sectors to follow. Moreover, companies of this sector are doing business in the way they comply most strictly for the regulations passed by the authorities as an example for other businesses to follow (</w:t>
      </w:r>
      <w:proofErr w:type="spellStart"/>
      <w:r w:rsidRPr="000D0C84">
        <w:t>Valentinov</w:t>
      </w:r>
      <w:proofErr w:type="spellEnd"/>
      <w:r w:rsidRPr="000D0C84">
        <w:t xml:space="preserve">, 2021). This sector is promoting CSR and CSR </w:t>
      </w:r>
      <w:r w:rsidRPr="000D0C84">
        <w:lastRenderedPageBreak/>
        <w:t>adoption in the way that nonprofit ones are running. It can be seen that although different characteristics are witnessed, many similarities can be observed in the way the three business sectors are operating in terms of CSR adopting and promoting</w:t>
      </w:r>
      <w:r>
        <w:t>.</w:t>
      </w:r>
    </w:p>
    <w:p w14:paraId="7641DED3" w14:textId="37FF0B5C" w:rsidR="000D0C84" w:rsidRDefault="000D0C84" w:rsidP="00C862EE">
      <w:pPr>
        <w:pStyle w:val="Heading2"/>
        <w:jc w:val="both"/>
      </w:pPr>
      <w:bookmarkStart w:id="7" w:name="_Toc94317859"/>
      <w:r>
        <w:t xml:space="preserve">7. </w:t>
      </w:r>
      <w:r w:rsidR="001B1673">
        <w:tab/>
      </w:r>
      <w:r w:rsidRPr="000D0C84">
        <w:t>Different aspects of CSR and sustainability</w:t>
      </w:r>
      <w:bookmarkEnd w:id="7"/>
      <w:r w:rsidRPr="000D0C84">
        <w:t xml:space="preserve"> </w:t>
      </w:r>
    </w:p>
    <w:p w14:paraId="6114D68C" w14:textId="11C3F51D" w:rsidR="005F3437" w:rsidRDefault="005F3437" w:rsidP="00C862EE">
      <w:pPr>
        <w:jc w:val="both"/>
      </w:pPr>
      <w:r w:rsidRPr="005F3437">
        <w:t>For its nature of reflecting many different approaches about the evolving society, CSR involves many various fields such as climate change, sustainability, equality, education and health care (</w:t>
      </w:r>
      <w:proofErr w:type="spellStart"/>
      <w:r w:rsidRPr="005F3437">
        <w:t>Ging</w:t>
      </w:r>
      <w:proofErr w:type="spellEnd"/>
      <w:r w:rsidRPr="005F3437">
        <w:t>, 2012). Of all the aspects of CSR, sustainability stands as one crucial factor as it is defined as the organizations that do not perform their tasks to serve their own purposes but also contribute good things to the environment, community, or society (</w:t>
      </w:r>
      <w:proofErr w:type="spellStart"/>
      <w:r w:rsidRPr="005F3437">
        <w:t>Spiliakos</w:t>
      </w:r>
      <w:proofErr w:type="spellEnd"/>
      <w:r w:rsidRPr="005F3437">
        <w:t xml:space="preserve">, 2018). These aspects are often revealed in the organizations’ </w:t>
      </w:r>
      <w:r w:rsidR="00C862EE">
        <w:t>reports</w:t>
      </w:r>
      <w:r w:rsidRPr="005F3437">
        <w:t xml:space="preserve">, showing how the operation of the entity affects the environment and the community (Germany Federal Ministry of </w:t>
      </w:r>
      <w:proofErr w:type="spellStart"/>
      <w:r w:rsidRPr="005F3437">
        <w:t>Labour</w:t>
      </w:r>
      <w:proofErr w:type="spellEnd"/>
      <w:r w:rsidRPr="005F3437">
        <w:t xml:space="preserve"> and Social Affairs, 2021). For different sectors and fields, the way sustainability is emphasized are also distinct. However, it can be seen that this goal contributes greatly to the firm’s overall success, whether they are working in the private sector, public sector or non-profit sector (</w:t>
      </w:r>
      <w:proofErr w:type="spellStart"/>
      <w:r w:rsidRPr="005F3437">
        <w:t>Chladek</w:t>
      </w:r>
      <w:proofErr w:type="spellEnd"/>
      <w:r w:rsidRPr="005F3437">
        <w:t xml:space="preserve">, 2019). There can be various CSR </w:t>
      </w:r>
      <w:proofErr w:type="spellStart"/>
      <w:r w:rsidRPr="005F3437">
        <w:t>programmes</w:t>
      </w:r>
      <w:proofErr w:type="spellEnd"/>
      <w:r w:rsidRPr="005F3437">
        <w:t xml:space="preserve"> conducted on this theme, which emphasizes how the company’s operation may affect the community as well as the environment. For community aspects, typical themes can be recognized as income equality, fair working </w:t>
      </w:r>
      <w:r w:rsidR="00C862EE">
        <w:t>conditions</w:t>
      </w:r>
      <w:r w:rsidRPr="005F3437">
        <w:t>, gender pay gap, racial and gender discrimination eliminations (</w:t>
      </w:r>
      <w:proofErr w:type="spellStart"/>
      <w:r w:rsidRPr="005F3437">
        <w:t>Chladek</w:t>
      </w:r>
      <w:proofErr w:type="spellEnd"/>
      <w:r w:rsidRPr="005F3437">
        <w:t>, 2019). On the other hand, the environmental aspects may include other various programs like carbon dioxide cut down, climate change prevention, natural resources usage, pollution and waste controlling and treating (</w:t>
      </w:r>
      <w:proofErr w:type="spellStart"/>
      <w:r w:rsidRPr="005F3437">
        <w:t>Chladek</w:t>
      </w:r>
      <w:proofErr w:type="spellEnd"/>
      <w:r w:rsidRPr="005F3437">
        <w:t>, 2019). These goals and the associated benefits of sustainability can be different in sectors depending on the aims and objectives of the firms, but they are all seen to contribute to the society as a whole. For the private sector, the effects of sustainability can be seen most clearly as one strategic, competitive advantage to maintain high-positioned brand name and high market shares (</w:t>
      </w:r>
      <w:proofErr w:type="spellStart"/>
      <w:r w:rsidRPr="005F3437">
        <w:t>Chladek</w:t>
      </w:r>
      <w:proofErr w:type="spellEnd"/>
      <w:r w:rsidRPr="005F3437">
        <w:t xml:space="preserve">, 2019). Regarding the non-profit sector, it is the main objective of such a sector to promote and act accordingly to these policies so as to add value to the society, which in turn improves its reputation among the public and partners. Considering the public sector, companies in this field have the responsibility to set the rules and to monitor sustainability among other entities. Thus, good practice and compliance to sustainability acts as the most important thing in building its reputation as the supervisor in the economy, and this act also contributes to the good outcomes of the whole economy in following ethical code of conducts, showing effective guidance passing and monitoring of the public sector. Overall, sustainability is crucial for all the three mentioned sectors, </w:t>
      </w:r>
      <w:r w:rsidRPr="005F3437">
        <w:lastRenderedPageBreak/>
        <w:t xml:space="preserve">the economy and the society. The following section is dedicated to studying the implementation of CSR over </w:t>
      </w:r>
      <w:r w:rsidR="00C862EE">
        <w:t xml:space="preserve">the </w:t>
      </w:r>
      <w:r w:rsidRPr="005F3437">
        <w:t xml:space="preserve">sustainability of organizations in different sectors. </w:t>
      </w:r>
    </w:p>
    <w:p w14:paraId="4D622E67" w14:textId="15C8D743" w:rsidR="005F3437" w:rsidRPr="00C862EE" w:rsidRDefault="00FD1B6F" w:rsidP="00C862EE">
      <w:pPr>
        <w:pStyle w:val="Heading1"/>
        <w:numPr>
          <w:ilvl w:val="0"/>
          <w:numId w:val="2"/>
        </w:numPr>
        <w:jc w:val="both"/>
        <w:rPr>
          <w:sz w:val="32"/>
        </w:rPr>
      </w:pPr>
      <w:bookmarkStart w:id="8" w:name="_Toc94317860"/>
      <w:r w:rsidRPr="00C862EE">
        <w:rPr>
          <w:sz w:val="32"/>
        </w:rPr>
        <w:t>CSR adoption and implementation within the organization cases</w:t>
      </w:r>
      <w:bookmarkEnd w:id="8"/>
    </w:p>
    <w:p w14:paraId="735BA973" w14:textId="29924B63" w:rsidR="000730CD" w:rsidRPr="000730CD" w:rsidRDefault="000730CD" w:rsidP="00C862EE">
      <w:pPr>
        <w:pStyle w:val="Heading2"/>
        <w:numPr>
          <w:ilvl w:val="0"/>
          <w:numId w:val="4"/>
        </w:numPr>
        <w:jc w:val="both"/>
        <w:rPr>
          <w:lang w:val="en"/>
        </w:rPr>
      </w:pPr>
      <w:bookmarkStart w:id="9" w:name="_Toc94317861"/>
      <w:r>
        <w:t xml:space="preserve">Public sector - </w:t>
      </w:r>
      <w:r w:rsidRPr="000730CD">
        <w:rPr>
          <w:lang w:val="en"/>
        </w:rPr>
        <w:t xml:space="preserve">CSR </w:t>
      </w:r>
      <w:proofErr w:type="spellStart"/>
      <w:r w:rsidRPr="000730CD">
        <w:rPr>
          <w:lang w:val="en"/>
        </w:rPr>
        <w:t>adoptation</w:t>
      </w:r>
      <w:proofErr w:type="spellEnd"/>
      <w:r w:rsidRPr="000730CD">
        <w:rPr>
          <w:lang w:val="en"/>
        </w:rPr>
        <w:t xml:space="preserve"> and implementation in UCLH</w:t>
      </w:r>
      <w:bookmarkEnd w:id="9"/>
    </w:p>
    <w:p w14:paraId="3EC5E86B" w14:textId="0B98820B" w:rsidR="000730CD" w:rsidRDefault="000730CD" w:rsidP="00C862EE">
      <w:pPr>
        <w:jc w:val="both"/>
      </w:pPr>
      <w:r>
        <w:t xml:space="preserve">As mentioned, the drivers to adopt and implement CSR within the organizational framework vary greatly amongst organizations and sectors. Responsible business practice is prompted both internally (from internal stakeholders such as staff members) and externally (from external stakeholders such as customers or the local community). In organizations from the public sector, demands for efficiency and </w:t>
      </w:r>
      <w:r w:rsidRPr="00D57C21">
        <w:t>increasing credibility, image and reputation are important drivers</w:t>
      </w:r>
      <w:r>
        <w:t xml:space="preserve"> for businesses to conduct themselves in a responsible manner </w:t>
      </w:r>
      <w:sdt>
        <w:sdtPr>
          <w:id w:val="-921941169"/>
          <w:citation/>
        </w:sdtPr>
        <w:sdtEndPr/>
        <w:sdtContent>
          <w:r>
            <w:fldChar w:fldCharType="begin"/>
          </w:r>
          <w:r>
            <w:instrText xml:space="preserve"> CITATION Zel11 \l 1033 </w:instrText>
          </w:r>
          <w:r>
            <w:fldChar w:fldCharType="separate"/>
          </w:r>
          <w:r w:rsidRPr="00D57C21">
            <w:rPr>
              <w:noProof/>
            </w:rPr>
            <w:t>(Ates &amp; Büttgen, 2011)</w:t>
          </w:r>
          <w:r>
            <w:fldChar w:fldCharType="end"/>
          </w:r>
        </w:sdtContent>
      </w:sdt>
      <w:r>
        <w:t xml:space="preserve">. The following section investigates UCLH’s </w:t>
      </w:r>
      <w:proofErr w:type="spellStart"/>
      <w:r>
        <w:t>adoptation</w:t>
      </w:r>
      <w:proofErr w:type="spellEnd"/>
      <w:r>
        <w:t xml:space="preserve"> of CSR in order to test </w:t>
      </w:r>
      <w:r w:rsidRPr="00A21164">
        <w:rPr>
          <w:noProof/>
        </w:rPr>
        <w:t>Wol</w:t>
      </w:r>
      <w:r>
        <w:rPr>
          <w:noProof/>
        </w:rPr>
        <w:t>k (</w:t>
      </w:r>
      <w:r w:rsidRPr="00A21164">
        <w:rPr>
          <w:noProof/>
        </w:rPr>
        <w:t>2008)</w:t>
      </w:r>
      <w:r>
        <w:rPr>
          <w:noProof/>
        </w:rPr>
        <w:t xml:space="preserve"> and CSR theories in public sector. UCLH is a teaching hospital and a part of </w:t>
      </w:r>
      <w:r w:rsidRPr="00A21164">
        <w:rPr>
          <w:noProof/>
        </w:rPr>
        <w:t>University College London Hospitals NHS Foundation Trust</w:t>
      </w:r>
      <w:r>
        <w:rPr>
          <w:noProof/>
        </w:rPr>
        <w:t>. The hospital specializes in providing first-class and specialist services in six hospitals in central London, with its statement to “</w:t>
      </w:r>
      <w:r w:rsidRPr="00A21164">
        <w:rPr>
          <w:noProof/>
        </w:rPr>
        <w:t>deliver top-quality patient care, excellent education and world-class research</w:t>
      </w:r>
      <w:r>
        <w:rPr>
          <w:noProof/>
        </w:rPr>
        <w:t xml:space="preserve">” </w:t>
      </w:r>
      <w:sdt>
        <w:sdtPr>
          <w:rPr>
            <w:noProof/>
          </w:rPr>
          <w:id w:val="676694865"/>
          <w:citation/>
        </w:sdtPr>
        <w:sdtEndPr/>
        <w:sdtContent>
          <w:r>
            <w:rPr>
              <w:noProof/>
            </w:rPr>
            <w:fldChar w:fldCharType="begin"/>
          </w:r>
          <w:r>
            <w:rPr>
              <w:noProof/>
            </w:rPr>
            <w:instrText xml:space="preserve"> CITATION Uni22 \l 1033 </w:instrText>
          </w:r>
          <w:r>
            <w:rPr>
              <w:noProof/>
            </w:rPr>
            <w:fldChar w:fldCharType="separate"/>
          </w:r>
          <w:r w:rsidRPr="0027509D">
            <w:rPr>
              <w:noProof/>
            </w:rPr>
            <w:t>(University College London Hospital Foundation Trust, 2022)</w:t>
          </w:r>
          <w:r>
            <w:rPr>
              <w:noProof/>
            </w:rPr>
            <w:fldChar w:fldCharType="end"/>
          </w:r>
        </w:sdtContent>
      </w:sdt>
      <w:r>
        <w:rPr>
          <w:noProof/>
        </w:rPr>
        <w:t>.</w:t>
      </w:r>
      <w:r>
        <w:t xml:space="preserve"> The CSR implementation in UCLH stems from two main elements namely digitally </w:t>
      </w:r>
      <w:r w:rsidR="00C862EE">
        <w:t>transforming</w:t>
      </w:r>
      <w:r>
        <w:t xml:space="preserve"> patient data to support organizational goals and achieve sustainability through green initiatives.</w:t>
      </w:r>
    </w:p>
    <w:p w14:paraId="3B4AC063" w14:textId="3AAD7139" w:rsidR="000730CD" w:rsidRDefault="000730CD" w:rsidP="00C862EE">
      <w:pPr>
        <w:pStyle w:val="ListParagraph"/>
        <w:numPr>
          <w:ilvl w:val="0"/>
          <w:numId w:val="6"/>
        </w:numPr>
        <w:jc w:val="both"/>
      </w:pPr>
      <w:r w:rsidRPr="000730CD">
        <w:t>Digitally transform patient data to support organizational goals</w:t>
      </w:r>
    </w:p>
    <w:p w14:paraId="24FE9A6B" w14:textId="1D936D89" w:rsidR="000730CD" w:rsidRDefault="000730CD" w:rsidP="00C862EE">
      <w:pPr>
        <w:jc w:val="both"/>
        <w:rPr>
          <w:shd w:val="clear" w:color="auto" w:fill="FFFFFF"/>
        </w:rPr>
      </w:pPr>
      <w:r>
        <w:rPr>
          <w:shd w:val="clear" w:color="auto" w:fill="FFFFFF"/>
        </w:rPr>
        <w:t xml:space="preserve">The Covid-19 pandemic has fundamentally changed even the most basic human interaction, healthcare included </w:t>
      </w:r>
      <w:sdt>
        <w:sdtPr>
          <w:rPr>
            <w:shd w:val="clear" w:color="auto" w:fill="FFFFFF"/>
          </w:rPr>
          <w:id w:val="-111670204"/>
          <w:citation/>
        </w:sdtPr>
        <w:sdtEndPr/>
        <w:sdtContent>
          <w:r>
            <w:rPr>
              <w:shd w:val="clear" w:color="auto" w:fill="FFFFFF"/>
            </w:rPr>
            <w:fldChar w:fldCharType="begin"/>
          </w:r>
          <w:r>
            <w:rPr>
              <w:shd w:val="clear" w:color="auto" w:fill="FFFFFF"/>
            </w:rPr>
            <w:instrText xml:space="preserve"> CITATION UKG21 \l 1033 </w:instrText>
          </w:r>
          <w:r>
            <w:rPr>
              <w:shd w:val="clear" w:color="auto" w:fill="FFFFFF"/>
            </w:rPr>
            <w:fldChar w:fldCharType="separate"/>
          </w:r>
          <w:r w:rsidRPr="0086698B">
            <w:rPr>
              <w:noProof/>
              <w:shd w:val="clear" w:color="auto" w:fill="FFFFFF"/>
            </w:rPr>
            <w:t>(UK Government, 2021)</w:t>
          </w:r>
          <w:r>
            <w:rPr>
              <w:shd w:val="clear" w:color="auto" w:fill="FFFFFF"/>
            </w:rPr>
            <w:fldChar w:fldCharType="end"/>
          </w:r>
        </w:sdtContent>
      </w:sdt>
      <w:r>
        <w:rPr>
          <w:shd w:val="clear" w:color="auto" w:fill="FFFFFF"/>
        </w:rPr>
        <w:t xml:space="preserve">. UCLH has long </w:t>
      </w:r>
      <w:proofErr w:type="spellStart"/>
      <w:r>
        <w:rPr>
          <w:shd w:val="clear" w:color="auto" w:fill="FFFFFF"/>
        </w:rPr>
        <w:t>realised</w:t>
      </w:r>
      <w:proofErr w:type="spellEnd"/>
      <w:r>
        <w:rPr>
          <w:shd w:val="clear" w:color="auto" w:fill="FFFFFF"/>
        </w:rPr>
        <w:t xml:space="preserve"> the importance of untapped </w:t>
      </w:r>
      <w:r w:rsidRPr="00C65A33">
        <w:rPr>
          <w:shd w:val="clear" w:color="auto" w:fill="FFFFFF"/>
        </w:rPr>
        <w:t>technologies and integrations</w:t>
      </w:r>
      <w:r>
        <w:rPr>
          <w:shd w:val="clear" w:color="auto" w:fill="FFFFFF"/>
        </w:rPr>
        <w:t xml:space="preserve"> which can transform healthcare – from enabling advanced medical research to increasing staff productivity and patient outcomes. Hence, the UCLH wanted to make sure the full potential of digitalization can be maximized as soon as possible. As the UCLH is also a business, its medical practice is restricted not only legally but also by ethical considerations </w:t>
      </w:r>
      <w:sdt>
        <w:sdtPr>
          <w:rPr>
            <w:shd w:val="clear" w:color="auto" w:fill="FFFFFF"/>
          </w:rPr>
          <w:id w:val="-423492510"/>
          <w:citation/>
        </w:sdtPr>
        <w:sdtEndPr/>
        <w:sdtContent>
          <w:r>
            <w:rPr>
              <w:shd w:val="clear" w:color="auto" w:fill="FFFFFF"/>
            </w:rPr>
            <w:fldChar w:fldCharType="begin"/>
          </w:r>
          <w:r>
            <w:rPr>
              <w:shd w:val="clear" w:color="auto" w:fill="FFFFFF"/>
            </w:rPr>
            <w:instrText xml:space="preserve"> CITATION ZOr16 \l 1033 </w:instrText>
          </w:r>
          <w:r>
            <w:rPr>
              <w:shd w:val="clear" w:color="auto" w:fill="FFFFFF"/>
            </w:rPr>
            <w:fldChar w:fldCharType="separate"/>
          </w:r>
          <w:r w:rsidRPr="002731A8">
            <w:rPr>
              <w:noProof/>
              <w:shd w:val="clear" w:color="auto" w:fill="FFFFFF"/>
            </w:rPr>
            <w:t>(Orbik, 2016)</w:t>
          </w:r>
          <w:r>
            <w:rPr>
              <w:shd w:val="clear" w:color="auto" w:fill="FFFFFF"/>
            </w:rPr>
            <w:fldChar w:fldCharType="end"/>
          </w:r>
        </w:sdtContent>
      </w:sdt>
      <w:r>
        <w:rPr>
          <w:shd w:val="clear" w:color="auto" w:fill="FFFFFF"/>
        </w:rPr>
        <w:t xml:space="preserve">. Data transformation in the sense of an integrated </w:t>
      </w:r>
      <w:r w:rsidRPr="002731A8">
        <w:rPr>
          <w:shd w:val="clear" w:color="auto" w:fill="FFFFFF"/>
        </w:rPr>
        <w:t>electronic health record system</w:t>
      </w:r>
      <w:r>
        <w:rPr>
          <w:shd w:val="clear" w:color="auto" w:fill="FFFFFF"/>
        </w:rPr>
        <w:t xml:space="preserve"> can become a powerful tool </w:t>
      </w:r>
      <w:r w:rsidRPr="002731A8">
        <w:rPr>
          <w:shd w:val="clear" w:color="auto" w:fill="FFFFFF"/>
        </w:rPr>
        <w:t>of CSR communication for</w:t>
      </w:r>
      <w:r>
        <w:rPr>
          <w:shd w:val="clear" w:color="auto" w:fill="FFFFFF"/>
        </w:rPr>
        <w:t xml:space="preserve"> UCLH</w:t>
      </w:r>
      <w:r w:rsidRPr="002731A8">
        <w:rPr>
          <w:shd w:val="clear" w:color="auto" w:fill="FFFFFF"/>
        </w:rPr>
        <w:t xml:space="preserve"> in digital age</w:t>
      </w:r>
      <w:r>
        <w:rPr>
          <w:shd w:val="clear" w:color="auto" w:fill="FFFFFF"/>
        </w:rPr>
        <w:t xml:space="preserve">, where doctors can assess all the necessary information regarding a patient in a single record. Furthermore, in the case of UCLH, digital transformation plays a substantial role in reducing pollutant emission and increasing environmental protection, pointed out on their website </w:t>
      </w:r>
      <w:sdt>
        <w:sdtPr>
          <w:rPr>
            <w:shd w:val="clear" w:color="auto" w:fill="FFFFFF"/>
          </w:rPr>
          <w:id w:val="-1514522097"/>
          <w:citation/>
        </w:sdtPr>
        <w:sdtEndPr/>
        <w:sdtContent>
          <w:r>
            <w:rPr>
              <w:shd w:val="clear" w:color="auto" w:fill="FFFFFF"/>
            </w:rPr>
            <w:fldChar w:fldCharType="begin"/>
          </w:r>
          <w:r>
            <w:rPr>
              <w:shd w:val="clear" w:color="auto" w:fill="FFFFFF"/>
            </w:rPr>
            <w:instrText xml:space="preserve"> CITATION UCL21 \l 1033 </w:instrText>
          </w:r>
          <w:r>
            <w:rPr>
              <w:shd w:val="clear" w:color="auto" w:fill="FFFFFF"/>
            </w:rPr>
            <w:fldChar w:fldCharType="separate"/>
          </w:r>
          <w:r w:rsidRPr="00AA7010">
            <w:rPr>
              <w:noProof/>
              <w:shd w:val="clear" w:color="auto" w:fill="FFFFFF"/>
            </w:rPr>
            <w:t>(UCLH Foundation Trust, 2021)</w:t>
          </w:r>
          <w:r>
            <w:rPr>
              <w:shd w:val="clear" w:color="auto" w:fill="FFFFFF"/>
            </w:rPr>
            <w:fldChar w:fldCharType="end"/>
          </w:r>
        </w:sdtContent>
      </w:sdt>
      <w:r>
        <w:rPr>
          <w:shd w:val="clear" w:color="auto" w:fill="FFFFFF"/>
        </w:rPr>
        <w:t xml:space="preserve">. UCLH also realizes the economic importance of being digitally responsible, where </w:t>
      </w:r>
      <w:r>
        <w:rPr>
          <w:shd w:val="clear" w:color="auto" w:fill="FFFFFF"/>
        </w:rPr>
        <w:lastRenderedPageBreak/>
        <w:t xml:space="preserve">the hospital wants to ensure that the outsourcing of work to the gig economy is done in a responsible way </w:t>
      </w:r>
      <w:sdt>
        <w:sdtPr>
          <w:rPr>
            <w:shd w:val="clear" w:color="auto" w:fill="FFFFFF"/>
          </w:rPr>
          <w:id w:val="596140129"/>
          <w:citation/>
        </w:sdtPr>
        <w:sdtEndPr/>
        <w:sdtContent>
          <w:r>
            <w:rPr>
              <w:shd w:val="clear" w:color="auto" w:fill="FFFFFF"/>
            </w:rPr>
            <w:fldChar w:fldCharType="begin"/>
          </w:r>
          <w:r>
            <w:rPr>
              <w:shd w:val="clear" w:color="auto" w:fill="FFFFFF"/>
            </w:rPr>
            <w:instrText xml:space="preserve"> CITATION Lar21 \l 1033 </w:instrText>
          </w:r>
          <w:r>
            <w:rPr>
              <w:shd w:val="clear" w:color="auto" w:fill="FFFFFF"/>
            </w:rPr>
            <w:fldChar w:fldCharType="separate"/>
          </w:r>
          <w:r w:rsidRPr="00921A30">
            <w:rPr>
              <w:noProof/>
              <w:shd w:val="clear" w:color="auto" w:fill="FFFFFF"/>
            </w:rPr>
            <w:t>(Lobschat, et al., 2021)</w:t>
          </w:r>
          <w:r>
            <w:rPr>
              <w:shd w:val="clear" w:color="auto" w:fill="FFFFFF"/>
            </w:rPr>
            <w:fldChar w:fldCharType="end"/>
          </w:r>
        </w:sdtContent>
      </w:sdt>
      <w:r>
        <w:rPr>
          <w:shd w:val="clear" w:color="auto" w:fill="FFFFFF"/>
        </w:rPr>
        <w:t>. Through digital transformation, UCLH wanted to create new digital-era jobs which are</w:t>
      </w:r>
      <w:r w:rsidRPr="002B5716">
        <w:rPr>
          <w:shd w:val="clear" w:color="auto" w:fill="FFFFFF"/>
        </w:rPr>
        <w:t xml:space="preserve"> enriching</w:t>
      </w:r>
      <w:r>
        <w:rPr>
          <w:shd w:val="clear" w:color="auto" w:fill="FFFFFF"/>
        </w:rPr>
        <w:t xml:space="preserve"> and</w:t>
      </w:r>
      <w:r w:rsidRPr="002B5716">
        <w:rPr>
          <w:shd w:val="clear" w:color="auto" w:fill="FFFFFF"/>
        </w:rPr>
        <w:t xml:space="preserve"> purposeful</w:t>
      </w:r>
      <w:r>
        <w:rPr>
          <w:shd w:val="clear" w:color="auto" w:fill="FFFFFF"/>
        </w:rPr>
        <w:t xml:space="preserve">, hence creating values for external stakeholders. For example, in 2017, the UCLH trust outsourced the IT and ICT service model to a leading digital services company, Atos </w:t>
      </w:r>
      <w:sdt>
        <w:sdtPr>
          <w:rPr>
            <w:shd w:val="clear" w:color="auto" w:fill="FFFFFF"/>
          </w:rPr>
          <w:id w:val="1894778531"/>
          <w:citation/>
        </w:sdtPr>
        <w:sdtEndPr/>
        <w:sdtContent>
          <w:r>
            <w:rPr>
              <w:shd w:val="clear" w:color="auto" w:fill="FFFFFF"/>
            </w:rPr>
            <w:fldChar w:fldCharType="begin"/>
          </w:r>
          <w:r>
            <w:rPr>
              <w:shd w:val="clear" w:color="auto" w:fill="FFFFFF"/>
            </w:rPr>
            <w:instrText xml:space="preserve"> CITATION Ato17 \l 1033 </w:instrText>
          </w:r>
          <w:r>
            <w:rPr>
              <w:shd w:val="clear" w:color="auto" w:fill="FFFFFF"/>
            </w:rPr>
            <w:fldChar w:fldCharType="separate"/>
          </w:r>
          <w:r w:rsidRPr="00D356D2">
            <w:rPr>
              <w:noProof/>
              <w:shd w:val="clear" w:color="auto" w:fill="FFFFFF"/>
            </w:rPr>
            <w:t>(Atos, 2017)</w:t>
          </w:r>
          <w:r>
            <w:rPr>
              <w:shd w:val="clear" w:color="auto" w:fill="FFFFFF"/>
            </w:rPr>
            <w:fldChar w:fldCharType="end"/>
          </w:r>
        </w:sdtContent>
      </w:sdt>
      <w:r>
        <w:rPr>
          <w:shd w:val="clear" w:color="auto" w:fill="FFFFFF"/>
        </w:rPr>
        <w:t xml:space="preserve">. As per </w:t>
      </w:r>
      <w:r w:rsidRPr="00D356D2">
        <w:rPr>
          <w:shd w:val="clear" w:color="auto" w:fill="FFFFFF"/>
        </w:rPr>
        <w:t xml:space="preserve">Neil Griffiths, deputy </w:t>
      </w:r>
      <w:r>
        <w:rPr>
          <w:shd w:val="clear" w:color="auto" w:fill="FFFFFF"/>
        </w:rPr>
        <w:t>CEO</w:t>
      </w:r>
      <w:r w:rsidRPr="00D356D2">
        <w:rPr>
          <w:shd w:val="clear" w:color="auto" w:fill="FFFFFF"/>
        </w:rPr>
        <w:t xml:space="preserve"> at UCLH</w:t>
      </w:r>
      <w:r>
        <w:rPr>
          <w:shd w:val="clear" w:color="auto" w:fill="FFFFFF"/>
        </w:rPr>
        <w:t>, this partnership would allow UCLH to “</w:t>
      </w:r>
      <w:r w:rsidRPr="00D356D2">
        <w:rPr>
          <w:shd w:val="clear" w:color="auto" w:fill="FFFFFF"/>
        </w:rPr>
        <w:t>provides staff and patients with access to the right systems, in the right place, at the right time to enable the delivery of high-quality, efficient and effective patient care</w:t>
      </w:r>
      <w:r>
        <w:rPr>
          <w:shd w:val="clear" w:color="auto" w:fill="FFFFFF"/>
        </w:rPr>
        <w:t xml:space="preserve">”. Efficiency is also a key driver in UCLH’ quest to implement digital transformation and hence </w:t>
      </w:r>
      <w:r w:rsidR="00C862EE">
        <w:rPr>
          <w:shd w:val="clear" w:color="auto" w:fill="FFFFFF"/>
        </w:rPr>
        <w:t>improve external stakeholders (</w:t>
      </w:r>
      <w:proofErr w:type="spellStart"/>
      <w:r w:rsidR="00C862EE">
        <w:rPr>
          <w:shd w:val="clear" w:color="auto" w:fill="FFFFFF"/>
        </w:rPr>
        <w:t>e.g</w:t>
      </w:r>
      <w:proofErr w:type="spellEnd"/>
      <w:r w:rsidR="00C862EE">
        <w:rPr>
          <w:shd w:val="clear" w:color="auto" w:fill="FFFFFF"/>
        </w:rPr>
        <w:t xml:space="preserve"> patients) lives. For instance, UCLH is making a significant effort to bridge the gap between </w:t>
      </w:r>
      <w:r w:rsidR="00C862EE" w:rsidRPr="001D5B89">
        <w:rPr>
          <w:shd w:val="clear" w:color="auto" w:fill="FFFFFF"/>
        </w:rPr>
        <w:t>algorithms</w:t>
      </w:r>
      <w:r w:rsidR="00C862EE">
        <w:rPr>
          <w:shd w:val="clear" w:color="auto" w:fill="FFFFFF"/>
        </w:rPr>
        <w:t>, real-time</w:t>
      </w:r>
      <w:r>
        <w:rPr>
          <w:shd w:val="clear" w:color="auto" w:fill="FFFFFF"/>
        </w:rPr>
        <w:t xml:space="preserve"> artificial intelligence and </w:t>
      </w:r>
      <w:r w:rsidRPr="001D5B89">
        <w:rPr>
          <w:shd w:val="clear" w:color="auto" w:fill="FFFFFF"/>
        </w:rPr>
        <w:t>healthcare application</w:t>
      </w:r>
      <w:r>
        <w:rPr>
          <w:shd w:val="clear" w:color="auto" w:fill="FFFFFF"/>
        </w:rPr>
        <w:t xml:space="preserve">. The </w:t>
      </w:r>
      <w:r w:rsidRPr="001D5B89">
        <w:rPr>
          <w:shd w:val="clear" w:color="auto" w:fill="FFFFFF"/>
        </w:rPr>
        <w:t>Experimental Medicine Application Platform</w:t>
      </w:r>
      <w:r>
        <w:rPr>
          <w:shd w:val="clear" w:color="auto" w:fill="FFFFFF"/>
        </w:rPr>
        <w:t xml:space="preserve">, a digital collaboration between clinicians and data scientists of UCLH, is feeding algorithms to help fasten A&amp;E admissions and allocate ICU beds to patients in need more efficiently </w:t>
      </w:r>
      <w:sdt>
        <w:sdtPr>
          <w:rPr>
            <w:shd w:val="clear" w:color="auto" w:fill="FFFFFF"/>
          </w:rPr>
          <w:id w:val="1953352457"/>
          <w:citation/>
        </w:sdtPr>
        <w:sdtEndPr/>
        <w:sdtContent>
          <w:r>
            <w:rPr>
              <w:shd w:val="clear" w:color="auto" w:fill="FFFFFF"/>
            </w:rPr>
            <w:fldChar w:fldCharType="begin"/>
          </w:r>
          <w:r>
            <w:rPr>
              <w:shd w:val="clear" w:color="auto" w:fill="FFFFFF"/>
            </w:rPr>
            <w:instrText xml:space="preserve"> CITATION UCL22 \l 1033 </w:instrText>
          </w:r>
          <w:r>
            <w:rPr>
              <w:shd w:val="clear" w:color="auto" w:fill="FFFFFF"/>
            </w:rPr>
            <w:fldChar w:fldCharType="separate"/>
          </w:r>
          <w:r w:rsidRPr="001D5B89">
            <w:rPr>
              <w:noProof/>
              <w:shd w:val="clear" w:color="auto" w:fill="FFFFFF"/>
            </w:rPr>
            <w:t>(UCLH Biomedical Research Centre, n.d.)</w:t>
          </w:r>
          <w:r>
            <w:rPr>
              <w:shd w:val="clear" w:color="auto" w:fill="FFFFFF"/>
            </w:rPr>
            <w:fldChar w:fldCharType="end"/>
          </w:r>
        </w:sdtContent>
      </w:sdt>
      <w:r>
        <w:rPr>
          <w:shd w:val="clear" w:color="auto" w:fill="FFFFFF"/>
        </w:rPr>
        <w:t xml:space="preserve">. According to various people of different occupations on the UCLH website, the digital transformation has really benefited UCLH in terms of allowing employees to solve traditional problems in a modern, digital way. The electronic transformation of patient records really improved the hospital’ activities </w:t>
      </w:r>
      <w:r w:rsidRPr="008B6A3F">
        <w:rPr>
          <w:shd w:val="clear" w:color="auto" w:fill="FFFFFF"/>
        </w:rPr>
        <w:t>based on CSR principles</w:t>
      </w:r>
      <w:r>
        <w:rPr>
          <w:shd w:val="clear" w:color="auto" w:fill="FFFFFF"/>
        </w:rPr>
        <w:t xml:space="preserve">, where patients, the most important external stakeholder of UCLH, really benefited. </w:t>
      </w:r>
    </w:p>
    <w:p w14:paraId="2ADD5B5E" w14:textId="4DE301B7" w:rsidR="000730CD" w:rsidRDefault="000730CD" w:rsidP="00C862EE">
      <w:pPr>
        <w:jc w:val="both"/>
        <w:rPr>
          <w:shd w:val="clear" w:color="auto" w:fill="FFFFFF"/>
        </w:rPr>
      </w:pPr>
      <w:r>
        <w:rPr>
          <w:shd w:val="clear" w:color="auto" w:fill="FFFFFF"/>
        </w:rPr>
        <w:t xml:space="preserve">However, the extent to </w:t>
      </w:r>
      <w:r w:rsidR="00C862EE">
        <w:rPr>
          <w:shd w:val="clear" w:color="auto" w:fill="FFFFFF"/>
        </w:rPr>
        <w:t>how</w:t>
      </w:r>
      <w:r>
        <w:rPr>
          <w:shd w:val="clear" w:color="auto" w:fill="FFFFFF"/>
        </w:rPr>
        <w:t xml:space="preserve"> UCLH is using digital transformation to support the concepts of CSR in practice and adhere to good CSR in its operation might also be put into question. First, UCLH lacks a meaningful framework to appropriately </w:t>
      </w:r>
      <w:proofErr w:type="spellStart"/>
      <w:r>
        <w:rPr>
          <w:shd w:val="clear" w:color="auto" w:fill="FFFFFF"/>
        </w:rPr>
        <w:t>analyse</w:t>
      </w:r>
      <w:proofErr w:type="spellEnd"/>
      <w:r>
        <w:rPr>
          <w:shd w:val="clear" w:color="auto" w:fill="FFFFFF"/>
        </w:rPr>
        <w:t xml:space="preserve"> the impact of digital transformation on the hospital’s operation. While the comments on the Trust’ website provides insightful feedbacks regarding the </w:t>
      </w:r>
      <w:r w:rsidRPr="006B431F">
        <w:rPr>
          <w:shd w:val="clear" w:color="auto" w:fill="FFFFFF"/>
        </w:rPr>
        <w:t>benefits of a digital hospital</w:t>
      </w:r>
      <w:sdt>
        <w:sdtPr>
          <w:rPr>
            <w:shd w:val="clear" w:color="auto" w:fill="FFFFFF"/>
          </w:rPr>
          <w:id w:val="571468853"/>
          <w:citation/>
        </w:sdtPr>
        <w:sdtEndPr/>
        <w:sdtContent>
          <w:r>
            <w:rPr>
              <w:shd w:val="clear" w:color="auto" w:fill="FFFFFF"/>
            </w:rPr>
            <w:fldChar w:fldCharType="begin"/>
          </w:r>
          <w:r>
            <w:rPr>
              <w:shd w:val="clear" w:color="auto" w:fill="FFFFFF"/>
            </w:rPr>
            <w:instrText xml:space="preserve"> CITATION UCL21 \l 1033 </w:instrText>
          </w:r>
          <w:r>
            <w:rPr>
              <w:shd w:val="clear" w:color="auto" w:fill="FFFFFF"/>
            </w:rPr>
            <w:fldChar w:fldCharType="separate"/>
          </w:r>
          <w:r>
            <w:rPr>
              <w:noProof/>
              <w:shd w:val="clear" w:color="auto" w:fill="FFFFFF"/>
            </w:rPr>
            <w:t xml:space="preserve"> </w:t>
          </w:r>
          <w:r w:rsidRPr="00A709B2">
            <w:rPr>
              <w:noProof/>
              <w:shd w:val="clear" w:color="auto" w:fill="FFFFFF"/>
            </w:rPr>
            <w:t>(UCLH Foundation Trust, 2021)</w:t>
          </w:r>
          <w:r>
            <w:rPr>
              <w:shd w:val="clear" w:color="auto" w:fill="FFFFFF"/>
            </w:rPr>
            <w:fldChar w:fldCharType="end"/>
          </w:r>
        </w:sdtContent>
      </w:sdt>
      <w:r>
        <w:rPr>
          <w:shd w:val="clear" w:color="auto" w:fill="FFFFFF"/>
        </w:rPr>
        <w:t xml:space="preserve">, the organization needs a more tangible, measurable and unbiased tool (for example, time saved on A&amp;E admissions or patient’ contact) to assess the effectiveness of this transformation. Furthermore, the digital transformation of UCLH also raised several ethical implications. For example, how can UCLH ensure that patient’ record stored electronically can be protected safely without the cooperation with an established cybersecurity vendor? Cyber-attack has costed the NHS millions of pounds before </w:t>
      </w:r>
      <w:sdt>
        <w:sdtPr>
          <w:rPr>
            <w:shd w:val="clear" w:color="auto" w:fill="FFFFFF"/>
          </w:rPr>
          <w:id w:val="160593039"/>
          <w:citation/>
        </w:sdtPr>
        <w:sdtEndPr/>
        <w:sdtContent>
          <w:r>
            <w:rPr>
              <w:shd w:val="clear" w:color="auto" w:fill="FFFFFF"/>
            </w:rPr>
            <w:fldChar w:fldCharType="begin"/>
          </w:r>
          <w:r>
            <w:rPr>
              <w:shd w:val="clear" w:color="auto" w:fill="FFFFFF"/>
            </w:rPr>
            <w:instrText xml:space="preserve"> CITATION Nat18 \l 1033 </w:instrText>
          </w:r>
          <w:r>
            <w:rPr>
              <w:shd w:val="clear" w:color="auto" w:fill="FFFFFF"/>
            </w:rPr>
            <w:fldChar w:fldCharType="separate"/>
          </w:r>
          <w:r w:rsidRPr="003B2BA1">
            <w:rPr>
              <w:noProof/>
              <w:shd w:val="clear" w:color="auto" w:fill="FFFFFF"/>
            </w:rPr>
            <w:t>(National Health Executive, 2018)</w:t>
          </w:r>
          <w:r>
            <w:rPr>
              <w:shd w:val="clear" w:color="auto" w:fill="FFFFFF"/>
            </w:rPr>
            <w:fldChar w:fldCharType="end"/>
          </w:r>
        </w:sdtContent>
      </w:sdt>
      <w:r>
        <w:rPr>
          <w:shd w:val="clear" w:color="auto" w:fill="FFFFFF"/>
        </w:rPr>
        <w:t>, hence digital transformation may raise serious data protection issues for various stakeholders of UCLH.</w:t>
      </w:r>
    </w:p>
    <w:p w14:paraId="09EB501B" w14:textId="267BCF60" w:rsidR="000730CD" w:rsidRDefault="000730CD" w:rsidP="00C862EE">
      <w:pPr>
        <w:jc w:val="both"/>
        <w:rPr>
          <w:shd w:val="clear" w:color="auto" w:fill="FFFFFF"/>
        </w:rPr>
      </w:pPr>
    </w:p>
    <w:p w14:paraId="76CF667F" w14:textId="77777777" w:rsidR="000730CD" w:rsidRPr="000730CD" w:rsidRDefault="000730CD" w:rsidP="00C862EE">
      <w:pPr>
        <w:jc w:val="both"/>
        <w:rPr>
          <w:shd w:val="clear" w:color="auto" w:fill="FFFFFF"/>
        </w:rPr>
      </w:pPr>
    </w:p>
    <w:p w14:paraId="606CAA2C" w14:textId="0ADF7C3A" w:rsidR="000730CD" w:rsidRPr="00D05169" w:rsidRDefault="000730CD" w:rsidP="00C862EE">
      <w:pPr>
        <w:pStyle w:val="ListParagraph"/>
        <w:numPr>
          <w:ilvl w:val="0"/>
          <w:numId w:val="6"/>
        </w:numPr>
        <w:jc w:val="both"/>
      </w:pPr>
      <w:r w:rsidRPr="000730CD">
        <w:lastRenderedPageBreak/>
        <w:t>Achieve sustainability through green initiatives.</w:t>
      </w:r>
    </w:p>
    <w:p w14:paraId="72D3C588" w14:textId="3D722D7A" w:rsidR="000730CD" w:rsidRDefault="000730CD" w:rsidP="00C862EE">
      <w:pPr>
        <w:jc w:val="both"/>
      </w:pPr>
      <w:r>
        <w:rPr>
          <w:shd w:val="clear" w:color="auto" w:fill="FFFFFF"/>
        </w:rPr>
        <w:t xml:space="preserve">Being part of the public sector, the UCLH recognizes the importance of raising awareness to establish a mutual public understanding of CSR, including what an organization should do to implement CSR initiatives. Climate change and depletion of natural resources are widely regarded as real threats to the common well-being of global citizens </w:t>
      </w:r>
      <w:sdt>
        <w:sdtPr>
          <w:rPr>
            <w:shd w:val="clear" w:color="auto" w:fill="FFFFFF"/>
          </w:rPr>
          <w:id w:val="-827050520"/>
          <w:citation/>
        </w:sdtPr>
        <w:sdtEndPr/>
        <w:sdtContent>
          <w:r>
            <w:rPr>
              <w:shd w:val="clear" w:color="auto" w:fill="FFFFFF"/>
            </w:rPr>
            <w:fldChar w:fldCharType="begin"/>
          </w:r>
          <w:r>
            <w:rPr>
              <w:shd w:val="clear" w:color="auto" w:fill="FFFFFF"/>
            </w:rPr>
            <w:instrText xml:space="preserve"> CITATION PWC18 \l 1033 </w:instrText>
          </w:r>
          <w:r>
            <w:rPr>
              <w:shd w:val="clear" w:color="auto" w:fill="FFFFFF"/>
            </w:rPr>
            <w:fldChar w:fldCharType="separate"/>
          </w:r>
          <w:r w:rsidRPr="006538CA">
            <w:rPr>
              <w:noProof/>
              <w:shd w:val="clear" w:color="auto" w:fill="FFFFFF"/>
            </w:rPr>
            <w:t>(PWC, 2018)</w:t>
          </w:r>
          <w:r>
            <w:rPr>
              <w:shd w:val="clear" w:color="auto" w:fill="FFFFFF"/>
            </w:rPr>
            <w:fldChar w:fldCharType="end"/>
          </w:r>
        </w:sdtContent>
      </w:sdt>
      <w:r>
        <w:rPr>
          <w:shd w:val="clear" w:color="auto" w:fill="FFFFFF"/>
        </w:rPr>
        <w:t xml:space="preserve">. Recognizing this issue, UCLH is deeply committed to the CSR policy of sustainable development and </w:t>
      </w:r>
      <w:proofErr w:type="spellStart"/>
      <w:r>
        <w:rPr>
          <w:shd w:val="clear" w:color="auto" w:fill="FFFFFF"/>
        </w:rPr>
        <w:t>endeavour</w:t>
      </w:r>
      <w:proofErr w:type="spellEnd"/>
      <w:r>
        <w:rPr>
          <w:shd w:val="clear" w:color="auto" w:fill="FFFFFF"/>
        </w:rPr>
        <w:t>. First, they initiated the UCLH Green Plan</w:t>
      </w:r>
      <w:r w:rsidRPr="00AE5D17">
        <w:t xml:space="preserve"> </w:t>
      </w:r>
      <w:r>
        <w:t xml:space="preserve">in line </w:t>
      </w:r>
      <w:r w:rsidRPr="00794619">
        <w:t>with the NHS commitments towards sustainability</w:t>
      </w:r>
      <w:r>
        <w:t xml:space="preserve"> </w:t>
      </w:r>
      <w:sdt>
        <w:sdtPr>
          <w:id w:val="1761025717"/>
          <w:citation/>
        </w:sdtPr>
        <w:sdtEndPr/>
        <w:sdtContent>
          <w:r>
            <w:fldChar w:fldCharType="begin"/>
          </w:r>
          <w:r>
            <w:instrText xml:space="preserve"> CITATION UCL20 \l 1033 </w:instrText>
          </w:r>
          <w:r>
            <w:fldChar w:fldCharType="separate"/>
          </w:r>
          <w:r w:rsidRPr="006618EF">
            <w:rPr>
              <w:noProof/>
            </w:rPr>
            <w:t>(UCLH Foundation Trust, 2020)</w:t>
          </w:r>
          <w:r>
            <w:fldChar w:fldCharType="end"/>
          </w:r>
        </w:sdtContent>
      </w:sdt>
      <w:r>
        <w:t xml:space="preserve">, with key areas such as installing low energy LED lights across the six hospitals, switching to non-fossil fuel energy </w:t>
      </w:r>
      <w:r w:rsidR="00C862EE">
        <w:t>sources</w:t>
      </w:r>
      <w:r>
        <w:t xml:space="preserve"> and recyclable paper, reducing unnecessary patient visits by 50%, lowering percentage of harmful </w:t>
      </w:r>
      <w:proofErr w:type="spellStart"/>
      <w:r>
        <w:t>anaesthetic</w:t>
      </w:r>
      <w:proofErr w:type="spellEnd"/>
      <w:r>
        <w:t xml:space="preserve"> gas to 10% and engaging staff to participate in climate action schemes. These initiatives demonstrated UCLH’s dedication to treating and supporting their stakeholders with their limited natural resources, showing their readiness for fluctuating times and business environment, as well as enhancing their relationship with the local community. As a result, UCLH became the only NHS trust to receive recognition from the Carbon Trust, as well as being the only organization to fully achieve the triple star of managing carbon emissions, reducing waste and </w:t>
      </w:r>
      <w:r w:rsidR="00C862EE">
        <w:t>saving</w:t>
      </w:r>
      <w:r>
        <w:t xml:space="preserve"> water </w:t>
      </w:r>
      <w:sdt>
        <w:sdtPr>
          <w:id w:val="-1690210924"/>
          <w:citation/>
        </w:sdtPr>
        <w:sdtEndPr/>
        <w:sdtContent>
          <w:r>
            <w:fldChar w:fldCharType="begin"/>
          </w:r>
          <w:r>
            <w:instrText xml:space="preserve"> CITATION NHS20 \l 1033 </w:instrText>
          </w:r>
          <w:r>
            <w:fldChar w:fldCharType="separate"/>
          </w:r>
          <w:r w:rsidRPr="00897305">
            <w:rPr>
              <w:noProof/>
            </w:rPr>
            <w:t>(NHS, 2020)</w:t>
          </w:r>
          <w:r>
            <w:fldChar w:fldCharType="end"/>
          </w:r>
        </w:sdtContent>
      </w:sdt>
      <w:r>
        <w:t>.</w:t>
      </w:r>
    </w:p>
    <w:p w14:paraId="414DF78E" w14:textId="77777777" w:rsidR="000730CD" w:rsidRDefault="000730CD" w:rsidP="00C862EE">
      <w:pPr>
        <w:jc w:val="both"/>
        <w:rPr>
          <w:shd w:val="clear" w:color="auto" w:fill="FFFFFF"/>
        </w:rPr>
      </w:pPr>
    </w:p>
    <w:p w14:paraId="671ED3E2" w14:textId="77777777" w:rsidR="000730CD" w:rsidRDefault="000730CD" w:rsidP="00C862EE">
      <w:pPr>
        <w:jc w:val="both"/>
        <w:rPr>
          <w:shd w:val="clear" w:color="auto" w:fill="FFFFFF"/>
        </w:rPr>
      </w:pPr>
      <w:r>
        <w:rPr>
          <w:shd w:val="clear" w:color="auto" w:fill="FFFFFF"/>
        </w:rPr>
        <w:t xml:space="preserve">Another success of UCLH’ implementation of their sustainability policies is their integration of various stakeholders. For example, for internal stakeholders, UCLH frequently sets up </w:t>
      </w:r>
      <w:r w:rsidRPr="004E2728">
        <w:rPr>
          <w:shd w:val="clear" w:color="auto" w:fill="FFFFFF"/>
        </w:rPr>
        <w:t>free bike check sessions and highlight</w:t>
      </w:r>
      <w:r>
        <w:rPr>
          <w:shd w:val="clear" w:color="auto" w:fill="FFFFFF"/>
        </w:rPr>
        <w:t>s</w:t>
      </w:r>
      <w:r w:rsidRPr="004E2728">
        <w:rPr>
          <w:shd w:val="clear" w:color="auto" w:fill="FFFFFF"/>
        </w:rPr>
        <w:t xml:space="preserve"> safe cycling storage facilitie</w:t>
      </w:r>
      <w:r>
        <w:rPr>
          <w:shd w:val="clear" w:color="auto" w:fill="FFFFFF"/>
        </w:rPr>
        <w:t>s for their employees to promote green travels, while regularly survey and reward staff for participating in these green initiatives</w:t>
      </w:r>
      <w:r w:rsidRPr="0092231B">
        <w:rPr>
          <w:shd w:val="clear" w:color="auto" w:fill="FFFFFF"/>
        </w:rPr>
        <w:t xml:space="preserve"> </w:t>
      </w:r>
      <w:sdt>
        <w:sdtPr>
          <w:rPr>
            <w:shd w:val="clear" w:color="auto" w:fill="FFFFFF"/>
          </w:rPr>
          <w:id w:val="-862741270"/>
          <w:citation/>
        </w:sdtPr>
        <w:sdtEndPr/>
        <w:sdtContent>
          <w:r>
            <w:rPr>
              <w:shd w:val="clear" w:color="auto" w:fill="FFFFFF"/>
            </w:rPr>
            <w:fldChar w:fldCharType="begin"/>
          </w:r>
          <w:r>
            <w:rPr>
              <w:shd w:val="clear" w:color="auto" w:fill="FFFFFF"/>
            </w:rPr>
            <w:instrText xml:space="preserve"> CITATION UCL221 \l 1033 </w:instrText>
          </w:r>
          <w:r>
            <w:rPr>
              <w:shd w:val="clear" w:color="auto" w:fill="FFFFFF"/>
            </w:rPr>
            <w:fldChar w:fldCharType="separate"/>
          </w:r>
          <w:r w:rsidRPr="002F3A1F">
            <w:rPr>
              <w:noProof/>
              <w:shd w:val="clear" w:color="auto" w:fill="FFFFFF"/>
            </w:rPr>
            <w:t>(UCLH Foundation Trust, 2022)</w:t>
          </w:r>
          <w:r>
            <w:rPr>
              <w:shd w:val="clear" w:color="auto" w:fill="FFFFFF"/>
            </w:rPr>
            <w:fldChar w:fldCharType="end"/>
          </w:r>
        </w:sdtContent>
      </w:sdt>
      <w:r>
        <w:rPr>
          <w:shd w:val="clear" w:color="auto" w:fill="FFFFFF"/>
        </w:rPr>
        <w:t xml:space="preserve">. By establishing these relationships, UCLH is able to build CSR partnerships to create win-win situations where different stakeholders collaborate toward a common goal for the community </w:t>
      </w:r>
      <w:sdt>
        <w:sdtPr>
          <w:rPr>
            <w:shd w:val="clear" w:color="auto" w:fill="FFFFFF"/>
          </w:rPr>
          <w:id w:val="398095664"/>
          <w:citation/>
        </w:sdtPr>
        <w:sdtEndPr/>
        <w:sdtContent>
          <w:r>
            <w:rPr>
              <w:shd w:val="clear" w:color="auto" w:fill="FFFFFF"/>
            </w:rPr>
            <w:fldChar w:fldCharType="begin"/>
          </w:r>
          <w:r>
            <w:rPr>
              <w:shd w:val="clear" w:color="auto" w:fill="FFFFFF"/>
            </w:rPr>
            <w:instrText xml:space="preserve"> CITATION Ber17 \l 1033 </w:instrText>
          </w:r>
          <w:r>
            <w:rPr>
              <w:shd w:val="clear" w:color="auto" w:fill="FFFFFF"/>
            </w:rPr>
            <w:fldChar w:fldCharType="separate"/>
          </w:r>
          <w:r w:rsidRPr="0092231B">
            <w:rPr>
              <w:noProof/>
              <w:shd w:val="clear" w:color="auto" w:fill="FFFFFF"/>
            </w:rPr>
            <w:t>(Phelan, 2017)</w:t>
          </w:r>
          <w:r>
            <w:rPr>
              <w:shd w:val="clear" w:color="auto" w:fill="FFFFFF"/>
            </w:rPr>
            <w:fldChar w:fldCharType="end"/>
          </w:r>
        </w:sdtContent>
      </w:sdt>
      <w:r>
        <w:rPr>
          <w:shd w:val="clear" w:color="auto" w:fill="FFFFFF"/>
        </w:rPr>
        <w:t xml:space="preserve">. For external stakeholders, </w:t>
      </w:r>
      <w:proofErr w:type="spellStart"/>
      <w:r>
        <w:rPr>
          <w:shd w:val="clear" w:color="auto" w:fill="FFFFFF"/>
        </w:rPr>
        <w:t>Bywaters</w:t>
      </w:r>
      <w:proofErr w:type="spellEnd"/>
      <w:r>
        <w:rPr>
          <w:shd w:val="clear" w:color="auto" w:fill="FFFFFF"/>
        </w:rPr>
        <w:t xml:space="preserve">, the recycling company, was chosen to be UCLH’ key partner in the project, with </w:t>
      </w:r>
      <w:proofErr w:type="spellStart"/>
      <w:r>
        <w:rPr>
          <w:shd w:val="clear" w:color="auto" w:fill="FFFFFF"/>
        </w:rPr>
        <w:t>Bywaters</w:t>
      </w:r>
      <w:proofErr w:type="spellEnd"/>
      <w:r>
        <w:rPr>
          <w:shd w:val="clear" w:color="auto" w:fill="FFFFFF"/>
        </w:rPr>
        <w:t xml:space="preserve"> seriously invested their time and effort into cooperation events to deliver sustainable results in 2019 </w:t>
      </w:r>
      <w:sdt>
        <w:sdtPr>
          <w:rPr>
            <w:shd w:val="clear" w:color="auto" w:fill="FFFFFF"/>
          </w:rPr>
          <w:id w:val="-606574874"/>
          <w:citation/>
        </w:sdtPr>
        <w:sdtEndPr/>
        <w:sdtContent>
          <w:r>
            <w:rPr>
              <w:shd w:val="clear" w:color="auto" w:fill="FFFFFF"/>
            </w:rPr>
            <w:fldChar w:fldCharType="begin"/>
          </w:r>
          <w:r>
            <w:rPr>
              <w:shd w:val="clear" w:color="auto" w:fill="FFFFFF"/>
            </w:rPr>
            <w:instrText xml:space="preserve"> CITATION NHS20 \l 1033 </w:instrText>
          </w:r>
          <w:r>
            <w:rPr>
              <w:shd w:val="clear" w:color="auto" w:fill="FFFFFF"/>
            </w:rPr>
            <w:fldChar w:fldCharType="separate"/>
          </w:r>
          <w:r w:rsidRPr="0092231B">
            <w:rPr>
              <w:noProof/>
              <w:shd w:val="clear" w:color="auto" w:fill="FFFFFF"/>
            </w:rPr>
            <w:t>(NHS, 2020)</w:t>
          </w:r>
          <w:r>
            <w:rPr>
              <w:shd w:val="clear" w:color="auto" w:fill="FFFFFF"/>
            </w:rPr>
            <w:fldChar w:fldCharType="end"/>
          </w:r>
        </w:sdtContent>
      </w:sdt>
      <w:r>
        <w:rPr>
          <w:shd w:val="clear" w:color="auto" w:fill="FFFFFF"/>
        </w:rPr>
        <w:t>.</w:t>
      </w:r>
    </w:p>
    <w:p w14:paraId="24B36204" w14:textId="77777777" w:rsidR="000730CD" w:rsidRDefault="000730CD" w:rsidP="00C862EE">
      <w:pPr>
        <w:pStyle w:val="Default"/>
        <w:jc w:val="both"/>
      </w:pPr>
    </w:p>
    <w:p w14:paraId="10C3EFEC" w14:textId="77777777" w:rsidR="000730CD" w:rsidRDefault="000730CD" w:rsidP="00C862EE">
      <w:pPr>
        <w:jc w:val="both"/>
        <w:rPr>
          <w:shd w:val="clear" w:color="auto" w:fill="FFFFFF"/>
        </w:rPr>
      </w:pPr>
      <w:r>
        <w:rPr>
          <w:shd w:val="clear" w:color="auto" w:fill="FFFFFF"/>
        </w:rPr>
        <w:t xml:space="preserve">Nevertheless, one might question the legitimacy and credibility of UCLH’ sustainability claims. Despite evidence that UCLH’s is performing sustainably and enhancing their commitment to CSR, they might be doing it for their own reputation, rather than the well-being of the whole society. Furthermore, as their sustainability reports are yet to be audited by external partners, their claim might simply be overstated or worse, an act of greenwashing. Greenwashing is a type of green marketing initiative, where efforts are </w:t>
      </w:r>
      <w:r>
        <w:rPr>
          <w:shd w:val="clear" w:color="auto" w:fill="FFFFFF"/>
        </w:rPr>
        <w:lastRenderedPageBreak/>
        <w:t xml:space="preserve">deceptively employed to make the public believe that an organization’ products and policies are environmentally friendly, thereby increasing the firm’s market share and reputation </w:t>
      </w:r>
      <w:sdt>
        <w:sdtPr>
          <w:rPr>
            <w:shd w:val="clear" w:color="auto" w:fill="FFFFFF"/>
          </w:rPr>
          <w:id w:val="-891119892"/>
          <w:citation/>
        </w:sdtPr>
        <w:sdtEndPr/>
        <w:sdtContent>
          <w:r>
            <w:rPr>
              <w:shd w:val="clear" w:color="auto" w:fill="FFFFFF"/>
            </w:rPr>
            <w:fldChar w:fldCharType="begin"/>
          </w:r>
          <w:r>
            <w:rPr>
              <w:shd w:val="clear" w:color="auto" w:fill="FFFFFF"/>
            </w:rPr>
            <w:instrText xml:space="preserve"> CITATION Joh20 \l 1033 </w:instrText>
          </w:r>
          <w:r>
            <w:rPr>
              <w:shd w:val="clear" w:color="auto" w:fill="FFFFFF"/>
            </w:rPr>
            <w:fldChar w:fldCharType="separate"/>
          </w:r>
          <w:r w:rsidRPr="00C705B4">
            <w:rPr>
              <w:noProof/>
              <w:shd w:val="clear" w:color="auto" w:fill="FFFFFF"/>
            </w:rPr>
            <w:t>(Kurpierz &amp; Smith, 2020)</w:t>
          </w:r>
          <w:r>
            <w:rPr>
              <w:shd w:val="clear" w:color="auto" w:fill="FFFFFF"/>
            </w:rPr>
            <w:fldChar w:fldCharType="end"/>
          </w:r>
        </w:sdtContent>
      </w:sdt>
      <w:r>
        <w:rPr>
          <w:shd w:val="clear" w:color="auto" w:fill="FFFFFF"/>
        </w:rPr>
        <w:t xml:space="preserve">. While the act of greenwashing has been around for years, in recent times, CSR reporting has increasingly been used as a tool for greenwashing to meet consumer demand for environmentally-sound goods and services </w:t>
      </w:r>
      <w:sdt>
        <w:sdtPr>
          <w:rPr>
            <w:shd w:val="clear" w:color="auto" w:fill="FFFFFF"/>
          </w:rPr>
          <w:id w:val="-863832120"/>
          <w:citation/>
        </w:sdtPr>
        <w:sdtEndPr/>
        <w:sdtContent>
          <w:r>
            <w:rPr>
              <w:shd w:val="clear" w:color="auto" w:fill="FFFFFF"/>
            </w:rPr>
            <w:fldChar w:fldCharType="begin"/>
          </w:r>
          <w:r>
            <w:rPr>
              <w:shd w:val="clear" w:color="auto" w:fill="FFFFFF"/>
            </w:rPr>
            <w:instrText xml:space="preserve"> CITATION Ali20 \l 1033 </w:instrText>
          </w:r>
          <w:r>
            <w:rPr>
              <w:shd w:val="clear" w:color="auto" w:fill="FFFFFF"/>
            </w:rPr>
            <w:fldChar w:fldCharType="separate"/>
          </w:r>
          <w:r w:rsidRPr="00C705B4">
            <w:rPr>
              <w:noProof/>
              <w:shd w:val="clear" w:color="auto" w:fill="FFFFFF"/>
            </w:rPr>
            <w:t>(Uyar, et al., 2020)</w:t>
          </w:r>
          <w:r>
            <w:rPr>
              <w:shd w:val="clear" w:color="auto" w:fill="FFFFFF"/>
            </w:rPr>
            <w:fldChar w:fldCharType="end"/>
          </w:r>
        </w:sdtContent>
      </w:sdt>
      <w:r>
        <w:rPr>
          <w:shd w:val="clear" w:color="auto" w:fill="FFFFFF"/>
        </w:rPr>
        <w:t>.</w:t>
      </w:r>
    </w:p>
    <w:p w14:paraId="42E7C942" w14:textId="73D97FC0" w:rsidR="000730CD" w:rsidRDefault="000730CD" w:rsidP="00C862EE">
      <w:pPr>
        <w:pStyle w:val="Heading2"/>
        <w:numPr>
          <w:ilvl w:val="0"/>
          <w:numId w:val="4"/>
        </w:numPr>
        <w:jc w:val="both"/>
        <w:rPr>
          <w:shd w:val="clear" w:color="auto" w:fill="FFFFFF"/>
        </w:rPr>
      </w:pPr>
      <w:bookmarkStart w:id="10" w:name="_Toc94317862"/>
      <w:r w:rsidRPr="000730CD">
        <w:rPr>
          <w:shd w:val="clear" w:color="auto" w:fill="FFFFFF"/>
          <w:lang w:val="en"/>
        </w:rPr>
        <w:t>Private sector - John Lewis Partnership</w:t>
      </w:r>
      <w:bookmarkEnd w:id="10"/>
    </w:p>
    <w:p w14:paraId="5A9BD76A" w14:textId="150BA4EA" w:rsidR="000730CD" w:rsidRPr="000730CD" w:rsidRDefault="000730CD" w:rsidP="00C862EE">
      <w:pPr>
        <w:jc w:val="both"/>
        <w:rPr>
          <w:shd w:val="clear" w:color="auto" w:fill="FFFFFF"/>
        </w:rPr>
      </w:pPr>
      <w:r w:rsidRPr="000730CD">
        <w:rPr>
          <w:shd w:val="clear" w:color="auto" w:fill="FFFFFF"/>
        </w:rPr>
        <w:t xml:space="preserve">Founded in 1864, John Lewis has been trading </w:t>
      </w:r>
      <w:r w:rsidR="00C862EE">
        <w:rPr>
          <w:shd w:val="clear" w:color="auto" w:fill="FFFFFF"/>
        </w:rPr>
        <w:t xml:space="preserve">for </w:t>
      </w:r>
      <w:r w:rsidRPr="000730CD">
        <w:rPr>
          <w:shd w:val="clear" w:color="auto" w:fill="FFFFFF"/>
        </w:rPr>
        <w:t>over 150 years and has become a leader in the UK retail market. With the distribution channel of 34 John Lewis shops and a rapidly growing online business, together with the operation of Waitrose Partnership and John Lewis Finance, the Partnership provides a variety of offerings, ranging from physical to financial products (Lewis, 2019).</w:t>
      </w:r>
    </w:p>
    <w:p w14:paraId="27A3DACC" w14:textId="3476176B" w:rsidR="000730CD" w:rsidRPr="000730CD" w:rsidRDefault="000730CD" w:rsidP="00C862EE">
      <w:pPr>
        <w:jc w:val="both"/>
        <w:rPr>
          <w:shd w:val="clear" w:color="auto" w:fill="FFFFFF"/>
        </w:rPr>
      </w:pPr>
      <w:r w:rsidRPr="000730CD">
        <w:rPr>
          <w:shd w:val="clear" w:color="auto" w:fill="FFFFFF"/>
        </w:rPr>
        <w:t xml:space="preserve">Being a market leader with steady business performance, the Partnership has demonstrated great care and efforts in adopting and implementing CSR. John Lewis Partnership centers ethics and sustainability as one of </w:t>
      </w:r>
      <w:r w:rsidR="00C862EE">
        <w:rPr>
          <w:shd w:val="clear" w:color="auto" w:fill="FFFFFF"/>
        </w:rPr>
        <w:t xml:space="preserve">the </w:t>
      </w:r>
      <w:r w:rsidRPr="000730CD">
        <w:rPr>
          <w:shd w:val="clear" w:color="auto" w:fill="FFFFFF"/>
        </w:rPr>
        <w:t xml:space="preserve">crucial performance targets and establishes strategies with clear principles and rules. John Lewis identifies six areas for concentration, including: the rights of people in </w:t>
      </w:r>
      <w:r w:rsidR="00C862EE">
        <w:rPr>
          <w:shd w:val="clear" w:color="auto" w:fill="FFFFFF"/>
        </w:rPr>
        <w:t xml:space="preserve">the </w:t>
      </w:r>
      <w:r w:rsidRPr="000730CD">
        <w:rPr>
          <w:shd w:val="clear" w:color="auto" w:fill="FFFFFF"/>
        </w:rPr>
        <w:t>supply chain; agriculture, fisheries and raw material sourcing; climate action; circularity and eradicating waste; social impact; and nutrition, health and wellbeing (John Lewis Partnership, 2021). The Partnership publishes its reports of progress and commitment to take the interest of its customers, suppliers, communities and the environment into careful consideration (John Lewis Partnership, 2021).</w:t>
      </w:r>
    </w:p>
    <w:p w14:paraId="540D7D0E" w14:textId="3EB86B99" w:rsidR="000730CD" w:rsidRPr="000730CD" w:rsidRDefault="000730CD" w:rsidP="00C862EE">
      <w:pPr>
        <w:jc w:val="both"/>
        <w:rPr>
          <w:shd w:val="clear" w:color="auto" w:fill="FFFFFF"/>
        </w:rPr>
      </w:pPr>
      <w:r w:rsidRPr="000730CD">
        <w:rPr>
          <w:shd w:val="clear" w:color="auto" w:fill="FFFFFF"/>
        </w:rPr>
        <w:t>Being a for-profit organization, John Lewis Partnership’s sustainability could be explained by CSR theory, which takes into account the four layers of obligations. First, an organization needs to complete economic responsibility or to generate profit, otherwise</w:t>
      </w:r>
      <w:r w:rsidR="00C862EE">
        <w:rPr>
          <w:shd w:val="clear" w:color="auto" w:fill="FFFFFF"/>
        </w:rPr>
        <w:t>,</w:t>
      </w:r>
      <w:r w:rsidRPr="000730CD">
        <w:rPr>
          <w:shd w:val="clear" w:color="auto" w:fill="FFFFFF"/>
        </w:rPr>
        <w:t xml:space="preserve"> it is doomed to perish (Brin and Nehme, 2019). Secondly, a corporation has to ensure</w:t>
      </w:r>
      <w:r w:rsidR="00C862EE">
        <w:rPr>
          <w:shd w:val="clear" w:color="auto" w:fill="FFFFFF"/>
        </w:rPr>
        <w:t xml:space="preserve"> </w:t>
      </w:r>
      <w:r w:rsidRPr="000730CD">
        <w:rPr>
          <w:shd w:val="clear" w:color="auto" w:fill="FFFFFF"/>
        </w:rPr>
        <w:t xml:space="preserve">legal responsibility by adhering to rules and regulations. Thirdly, an organization would pursue ethical responsibility, which is perceived to be necessary by the corporation rather than being regulated by letter or legal spirit. Finally, an organization would achieve philanthropic responsibility when it acts as a good corporate citizen independently from its business industry (Brin and Nehme, 2019). Taking the order from bottom to top, there is an increasing pressure of CSR to be </w:t>
      </w:r>
      <w:proofErr w:type="spellStart"/>
      <w:r w:rsidRPr="000730CD">
        <w:rPr>
          <w:shd w:val="clear" w:color="auto" w:fill="FFFFFF"/>
        </w:rPr>
        <w:t>born</w:t>
      </w:r>
      <w:proofErr w:type="spellEnd"/>
      <w:r w:rsidRPr="000730CD">
        <w:rPr>
          <w:shd w:val="clear" w:color="auto" w:fill="FFFFFF"/>
        </w:rPr>
        <w:t xml:space="preserve"> by a firm. There are many situations where the pursuant of one obligation hinders the completion of another; hence, an organization is expected to respond to these obligations in order from economic, legal, ethical to philanthropic.</w:t>
      </w:r>
    </w:p>
    <w:p w14:paraId="24835DBA" w14:textId="496F8FE5" w:rsidR="000730CD" w:rsidRPr="000730CD" w:rsidRDefault="000730CD" w:rsidP="00C862EE">
      <w:pPr>
        <w:jc w:val="both"/>
        <w:rPr>
          <w:shd w:val="clear" w:color="auto" w:fill="FFFFFF"/>
        </w:rPr>
      </w:pPr>
      <w:r w:rsidRPr="000730CD">
        <w:rPr>
          <w:shd w:val="clear" w:color="auto" w:fill="FFFFFF"/>
        </w:rPr>
        <w:lastRenderedPageBreak/>
        <w:t xml:space="preserve">Applying the drivers of sustainable development as well as the model to the case of John Lewis Partnership, it can be clearly seen that globalization has urged the Partnership to </w:t>
      </w:r>
      <w:r w:rsidR="00C862EE">
        <w:rPr>
          <w:shd w:val="clear" w:color="auto" w:fill="FFFFFF"/>
        </w:rPr>
        <w:t>fulfil</w:t>
      </w:r>
      <w:r w:rsidRPr="000730CD">
        <w:rPr>
          <w:shd w:val="clear" w:color="auto" w:fill="FFFFFF"/>
        </w:rPr>
        <w:t xml:space="preserve"> both ethical and economic responsibilities. To guarantee the rights of people in the supply chain, John Lewis Partnership proactively involved in treating people fairly and rewarding them for their contribution. The Partnership, since 2015, has followed United Nations Guiding Principles on Business and Human Rights and worked with NGOs to identify the human rights risk where it is most needed, tackle modern slavery, offer better jobs and </w:t>
      </w:r>
      <w:proofErr w:type="spellStart"/>
      <w:r w:rsidRPr="000730CD">
        <w:rPr>
          <w:shd w:val="clear" w:color="auto" w:fill="FFFFFF"/>
        </w:rPr>
        <w:t>fairtrade</w:t>
      </w:r>
      <w:proofErr w:type="spellEnd"/>
      <w:r w:rsidRPr="000730CD">
        <w:rPr>
          <w:shd w:val="clear" w:color="auto" w:fill="FFFFFF"/>
        </w:rPr>
        <w:t xml:space="preserve"> (John Lewis Partnership, 2021a). Together with globalization, regulators promote the implementation of CSR in John Lewis Partnership through stipulating report requirements. Despite not having a standard format for illustrating sustainability achievement, the Partnership researched and established its own Global Sourcing Practice Code based on the Ethical Trade Initiative. In terms of technology, the Partnership employs responsible fishing methods and feeding procedures to ensure the quality of aquacultural products. In addition, it invests intensively in greener technology to cut down on carbon dioxide emissions by using biomethane fuel for approximately 600 heavy goods vehicles, which is extracted from food waste rather than diesel. The Partnership also electrifies vans and other delivery means of transportation and finds </w:t>
      </w:r>
      <w:r w:rsidR="00C862EE">
        <w:rPr>
          <w:shd w:val="clear" w:color="auto" w:fill="FFFFFF"/>
        </w:rPr>
        <w:t>energy-efficient</w:t>
      </w:r>
      <w:r w:rsidRPr="000730CD">
        <w:rPr>
          <w:shd w:val="clear" w:color="auto" w:fill="FFFFFF"/>
        </w:rPr>
        <w:t xml:space="preserve"> approaches for its buildings and stores. Regarding media impacts, the Partnership publishes ethical and sustainable activities on its website and issues official reports of tracking as a means of information and honoring its efforts and commitment to the customers, the society and the environment. It voluntarily disclosed all wild-caught, farmed fish and shellfish sources via a </w:t>
      </w:r>
      <w:r w:rsidR="00C862EE">
        <w:rPr>
          <w:shd w:val="clear" w:color="auto" w:fill="FFFFFF"/>
        </w:rPr>
        <w:t>third-party</w:t>
      </w:r>
      <w:r w:rsidRPr="000730CD">
        <w:rPr>
          <w:shd w:val="clear" w:color="auto" w:fill="FFFFFF"/>
        </w:rPr>
        <w:t xml:space="preserve"> organization - the Ocean Disclosure Project for trust and transparency (John Lewis Partnership, 2021a; John Lewis Partnership, 2021b).</w:t>
      </w:r>
    </w:p>
    <w:p w14:paraId="5EAF61AA" w14:textId="7EAD4DE6" w:rsidR="000730CD" w:rsidRPr="000730CD" w:rsidRDefault="000730CD" w:rsidP="00C862EE">
      <w:pPr>
        <w:jc w:val="both"/>
        <w:rPr>
          <w:shd w:val="clear" w:color="auto" w:fill="FFFFFF"/>
        </w:rPr>
      </w:pPr>
      <w:r w:rsidRPr="000730CD">
        <w:rPr>
          <w:shd w:val="clear" w:color="auto" w:fill="FFFFFF"/>
        </w:rPr>
        <w:t xml:space="preserve">In general, the Partnership has comprehensively taken into account different aspects of sustainability including social care and environmental protection during their operation. By effectively working with different sectors such as the not-for-profit </w:t>
      </w:r>
      <w:proofErr w:type="spellStart"/>
      <w:r w:rsidRPr="000730CD">
        <w:rPr>
          <w:shd w:val="clear" w:color="auto" w:fill="FFFFFF"/>
        </w:rPr>
        <w:t>organisations</w:t>
      </w:r>
      <w:proofErr w:type="spellEnd"/>
      <w:r w:rsidRPr="000730CD">
        <w:rPr>
          <w:shd w:val="clear" w:color="auto" w:fill="FFFFFF"/>
        </w:rPr>
        <w:t xml:space="preserve"> and public sector, the Partnership addresses many ethical issues such as modern slavery, waste reduction, greenhouse gas reduction and</w:t>
      </w:r>
      <w:r w:rsidR="00C862EE">
        <w:rPr>
          <w:shd w:val="clear" w:color="auto" w:fill="FFFFFF"/>
        </w:rPr>
        <w:t xml:space="preserve"> </w:t>
      </w:r>
      <w:r w:rsidRPr="000730CD">
        <w:rPr>
          <w:shd w:val="clear" w:color="auto" w:fill="FFFFFF"/>
        </w:rPr>
        <w:t xml:space="preserve">healthy consumption habituation. Despite general impressive performance, John Lewis Partnership has not yet achieved their commitment to replace all current packaging by recyclable and home </w:t>
      </w:r>
      <w:r w:rsidR="00C862EE">
        <w:rPr>
          <w:shd w:val="clear" w:color="auto" w:fill="FFFFFF"/>
        </w:rPr>
        <w:t>decomposable</w:t>
      </w:r>
      <w:r w:rsidRPr="000730CD">
        <w:rPr>
          <w:shd w:val="clear" w:color="auto" w:fill="FFFFFF"/>
        </w:rPr>
        <w:t xml:space="preserve"> packages. However, overall, the Partnership has demonstrated high commitment and great social and environmental care for a long period, posing a typical example of a philanthropic corporate entity.</w:t>
      </w:r>
    </w:p>
    <w:p w14:paraId="0942A056" w14:textId="53F48220" w:rsidR="000730CD" w:rsidRDefault="000730CD" w:rsidP="00C862EE">
      <w:pPr>
        <w:jc w:val="both"/>
        <w:rPr>
          <w:shd w:val="clear" w:color="auto" w:fill="FFFFFF"/>
        </w:rPr>
      </w:pPr>
      <w:r w:rsidRPr="000730CD">
        <w:rPr>
          <w:shd w:val="clear" w:color="auto" w:fill="FFFFFF"/>
        </w:rPr>
        <w:t xml:space="preserve">The Partnership, presenting for-profit organization, focuses on human care, social impact and </w:t>
      </w:r>
      <w:r w:rsidR="00C862EE">
        <w:rPr>
          <w:shd w:val="clear" w:color="auto" w:fill="FFFFFF"/>
        </w:rPr>
        <w:t>the protection of the surroundings</w:t>
      </w:r>
      <w:r w:rsidRPr="000730CD">
        <w:rPr>
          <w:shd w:val="clear" w:color="auto" w:fill="FFFFFF"/>
        </w:rPr>
        <w:t xml:space="preserve"> as core elements of sustainability. At the same time, it assures economic earnings as well as legal compliance. An ultimate goal of an organization is to attain philanthropy. The </w:t>
      </w:r>
      <w:r w:rsidRPr="000730CD">
        <w:rPr>
          <w:shd w:val="clear" w:color="auto" w:fill="FFFFFF"/>
        </w:rPr>
        <w:lastRenderedPageBreak/>
        <w:t xml:space="preserve">theory that the private sector would cooperate with NGOs to implement sustainability is witnessed in the case, in which the Partnership collaborates with the UN, the NHS, the Golden Jubilee Trust, the </w:t>
      </w:r>
      <w:proofErr w:type="spellStart"/>
      <w:r w:rsidRPr="000730CD">
        <w:rPr>
          <w:shd w:val="clear" w:color="auto" w:fill="FFFFFF"/>
        </w:rPr>
        <w:t>Fareshare</w:t>
      </w:r>
      <w:proofErr w:type="spellEnd"/>
      <w:r w:rsidRPr="000730CD">
        <w:rPr>
          <w:shd w:val="clear" w:color="auto" w:fill="FFFFFF"/>
        </w:rPr>
        <w:t xml:space="preserve"> Go and so on to conduct ethical programs and philanthropic campaigns while using its profit as a source of funding and issuing reports as evidence of fulfilling regulatory obligations (John Lewis Partnership, 2020). By conducting CSR, a corporate entity would harmonize amongst generating profits, complying with the laws and contributing to the community and ecology it is operating in (Jang et al., 2019). Thanks to ethical actions, a for-profit organization could reinforce </w:t>
      </w:r>
      <w:r w:rsidR="00C862EE">
        <w:rPr>
          <w:shd w:val="clear" w:color="auto" w:fill="FFFFFF"/>
        </w:rPr>
        <w:t xml:space="preserve">its </w:t>
      </w:r>
      <w:r w:rsidRPr="000730CD">
        <w:rPr>
          <w:shd w:val="clear" w:color="auto" w:fill="FFFFFF"/>
        </w:rPr>
        <w:t>reputation and establish a good image in the public (Zhu, Sun and Leung, 2013), which does favor its business as a result of gaining trust and support from existing and potential customers (Jang et al., 2019). In addition, pursuing legal requirements such as laws on labors and environmental matters reduces litigation risks and contingencies due to law breaching (Wu et al., 2020). All in all, the conduct of ethics and sustainability brings advantages to both the society and to the private sector itself.</w:t>
      </w:r>
    </w:p>
    <w:p w14:paraId="1F6A9619" w14:textId="5B619EF2" w:rsidR="000730CD" w:rsidRDefault="0061334D" w:rsidP="00C862EE">
      <w:pPr>
        <w:pStyle w:val="Heading2"/>
        <w:numPr>
          <w:ilvl w:val="0"/>
          <w:numId w:val="4"/>
        </w:numPr>
        <w:jc w:val="both"/>
        <w:rPr>
          <w:shd w:val="clear" w:color="auto" w:fill="FFFFFF"/>
        </w:rPr>
      </w:pPr>
      <w:bookmarkStart w:id="11" w:name="_Toc94317863"/>
      <w:r>
        <w:rPr>
          <w:shd w:val="clear" w:color="auto" w:fill="FFFFFF"/>
        </w:rPr>
        <w:t>Non-profit organization – Oxfam</w:t>
      </w:r>
      <w:bookmarkEnd w:id="11"/>
    </w:p>
    <w:p w14:paraId="0FAA3E40" w14:textId="7B69F05E" w:rsidR="0061334D" w:rsidRPr="0061334D" w:rsidRDefault="0061334D" w:rsidP="00C862EE">
      <w:pPr>
        <w:jc w:val="both"/>
        <w:rPr>
          <w:shd w:val="clear" w:color="auto" w:fill="FFFFFF"/>
        </w:rPr>
      </w:pPr>
      <w:r w:rsidRPr="0061334D">
        <w:rPr>
          <w:shd w:val="clear" w:color="auto" w:fill="FFFFFF"/>
        </w:rPr>
        <w:t xml:space="preserve">Regarding the non-profit sector, whose target is to add value to the society, Oxfam is taken as an example for this sector to look into CSR adoption. Established in 1942, Oxfam is a long-history charitable organization based in Great Britain aiming at minimizing poverty over the world. After 75 years of operation, the organization grew stronger and stronger over the years and expanded into a global community with various activities to suit wide coverage of the organization over many regions and countries. Oxfam has adopted several different CSR programs to promote equality, quality of life and environmental protection. The organization has done research in various fields that it considers the key to ethics and sustainability, including water, climate change, health and education, women’s rights, and hunger reduction (Oxfam, 2021). To implement campaigns, Oxfam has developed relationships with many other nonprofit and for-profit organizations (Oxfam, 2021a). Some of the names are Cisco Foundation, Facebook, Microsoft and Unilever, besides many other organizations (Oxfam, 2021a), for which Oxfam carried due diligence for partnerships (Oxfam, 2022). Oxfam also promotes inclusion within itself by several actions like recruiting volunteers, </w:t>
      </w:r>
      <w:r w:rsidR="00C862EE">
        <w:rPr>
          <w:shd w:val="clear" w:color="auto" w:fill="FFFFFF"/>
        </w:rPr>
        <w:t>fundraising</w:t>
      </w:r>
      <w:r w:rsidRPr="0061334D">
        <w:rPr>
          <w:shd w:val="clear" w:color="auto" w:fill="FFFFFF"/>
        </w:rPr>
        <w:t xml:space="preserve">, ensuring equality and no gender pay gap within the firm, setting clear goals and making transparent reports on carbon emission, waste treatment (Oxfam, 2022). This approach also helps the organization make the best contribution to society, create the most positive and widest impact by involving many people, handle many problems that many countries are facing, and increase the organization's coverage as well as position. Oxfam also introduced its online shop </w:t>
      </w:r>
      <w:r w:rsidRPr="0061334D">
        <w:rPr>
          <w:shd w:val="clear" w:color="auto" w:fill="FFFFFF"/>
        </w:rPr>
        <w:lastRenderedPageBreak/>
        <w:t xml:space="preserve">which sells products made by people suffering from poverty to raise funds, not only asking for donations but creating real, sustainable market demand for the products (Oxfam Online Shop, 2021). </w:t>
      </w:r>
    </w:p>
    <w:p w14:paraId="1122C56A" w14:textId="77777777" w:rsidR="0061334D" w:rsidRPr="0061334D" w:rsidRDefault="0061334D" w:rsidP="00C862EE">
      <w:pPr>
        <w:pStyle w:val="ListParagraph"/>
        <w:jc w:val="both"/>
        <w:rPr>
          <w:shd w:val="clear" w:color="auto" w:fill="FFFFFF"/>
        </w:rPr>
      </w:pPr>
      <w:r w:rsidRPr="0061334D">
        <w:rPr>
          <w:noProof/>
          <w:shd w:val="clear" w:color="auto" w:fill="FFFFFF"/>
        </w:rPr>
        <w:drawing>
          <wp:inline distT="114300" distB="114300" distL="114300" distR="114300" wp14:anchorId="37CDD37E" wp14:editId="6E376203">
            <wp:extent cx="5731200" cy="3467100"/>
            <wp:effectExtent l="0" t="0" r="0" b="0"/>
            <wp:docPr id="4" name="image2.png"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Graphical user interface, website&#10;&#10;Description automatically generated"/>
                    <pic:cNvPicPr preferRelativeResize="0"/>
                  </pic:nvPicPr>
                  <pic:blipFill>
                    <a:blip r:embed="rId12"/>
                    <a:srcRect/>
                    <a:stretch>
                      <a:fillRect/>
                    </a:stretch>
                  </pic:blipFill>
                  <pic:spPr>
                    <a:xfrm>
                      <a:off x="0" y="0"/>
                      <a:ext cx="5731200" cy="3467100"/>
                    </a:xfrm>
                    <a:prstGeom prst="rect">
                      <a:avLst/>
                    </a:prstGeom>
                    <a:ln/>
                  </pic:spPr>
                </pic:pic>
              </a:graphicData>
            </a:graphic>
          </wp:inline>
        </w:drawing>
      </w:r>
    </w:p>
    <w:p w14:paraId="7DFC34C4" w14:textId="77777777" w:rsidR="0061334D" w:rsidRPr="0061334D" w:rsidRDefault="0061334D" w:rsidP="00C862EE">
      <w:pPr>
        <w:pStyle w:val="ListParagraph"/>
        <w:ind w:firstLine="720"/>
        <w:jc w:val="both"/>
        <w:rPr>
          <w:shd w:val="clear" w:color="auto" w:fill="FFFFFF"/>
        </w:rPr>
      </w:pPr>
      <w:r w:rsidRPr="0061334D">
        <w:rPr>
          <w:shd w:val="clear" w:color="auto" w:fill="FFFFFF"/>
        </w:rPr>
        <w:t>Figure 6: Oxfam online shopping website (Oxfam Online Shop, 2021)</w:t>
      </w:r>
    </w:p>
    <w:p w14:paraId="4F814B6C" w14:textId="77777777" w:rsidR="0061334D" w:rsidRPr="0061334D" w:rsidRDefault="0061334D" w:rsidP="00C862EE">
      <w:pPr>
        <w:jc w:val="both"/>
        <w:rPr>
          <w:shd w:val="clear" w:color="auto" w:fill="FFFFFF"/>
        </w:rPr>
      </w:pPr>
      <w:r w:rsidRPr="0061334D">
        <w:rPr>
          <w:shd w:val="clear" w:color="auto" w:fill="FFFFFF"/>
        </w:rPr>
        <w:t>As for a nonprofit organization, the stakeholder theory is applied to explain the CSR activities of Oxfam. Stakeholder theory is considered as a mirror image of CSR by starting in the world and community that the organization is operating in rather than starting with a business to view the world (Brin and Nehme, 2019). The theory lists all parties that are related and affected by or/and affect the organization. The list of stakeholders varies by business and can be extensive. However, in general, there are two groups of stakeholders: the internal stakeholders (employees, managers and owners) and the external stakeholders (customers, suppliers, shareholders, creditors, the society and the Government) (Brin and Nehme, 2019). For a non-profit organization the external stakeholders could be donors and the beneficiaries instead of customers and suppliers.</w:t>
      </w:r>
    </w:p>
    <w:p w14:paraId="1B224393" w14:textId="5FF08351" w:rsidR="0061334D" w:rsidRPr="0061334D" w:rsidRDefault="0061334D" w:rsidP="00C862EE">
      <w:pPr>
        <w:jc w:val="both"/>
        <w:rPr>
          <w:shd w:val="clear" w:color="auto" w:fill="FFFFFF"/>
        </w:rPr>
      </w:pPr>
      <w:r w:rsidRPr="0061334D">
        <w:rPr>
          <w:shd w:val="clear" w:color="auto" w:fill="FFFFFF"/>
        </w:rPr>
        <w:t xml:space="preserve">Considering aforementioned drivers of sustainability to Oxfam, globalization manifests itself as a strong determinant, since the organization has spread its operation into more than 90 countries during its journey of poverty eradication (Oxfam GB, 2021). The interdependence of different nations around the world has promoted Oxfam to broaden its campaign to </w:t>
      </w:r>
      <w:r w:rsidR="00C862EE">
        <w:rPr>
          <w:shd w:val="clear" w:color="auto" w:fill="FFFFFF"/>
        </w:rPr>
        <w:t>a</w:t>
      </w:r>
      <w:r w:rsidRPr="0061334D">
        <w:rPr>
          <w:shd w:val="clear" w:color="auto" w:fill="FFFFFF"/>
        </w:rPr>
        <w:t xml:space="preserve"> global scale instead of merely nationwide coverage. The organization has designed universally applicable programs in order to </w:t>
      </w:r>
      <w:r w:rsidR="00C862EE">
        <w:rPr>
          <w:shd w:val="clear" w:color="auto" w:fill="FFFFFF"/>
        </w:rPr>
        <w:t>fulfil</w:t>
      </w:r>
      <w:r w:rsidRPr="0061334D">
        <w:rPr>
          <w:shd w:val="clear" w:color="auto" w:fill="FFFFFF"/>
        </w:rPr>
        <w:t xml:space="preserve"> the mutual </w:t>
      </w:r>
      <w:r w:rsidRPr="0061334D">
        <w:rPr>
          <w:shd w:val="clear" w:color="auto" w:fill="FFFFFF"/>
        </w:rPr>
        <w:lastRenderedPageBreak/>
        <w:t xml:space="preserve">purpose of bettering the community's living standards. Globalization can also be witnessed </w:t>
      </w:r>
      <w:r w:rsidR="00C862EE">
        <w:rPr>
          <w:shd w:val="clear" w:color="auto" w:fill="FFFFFF"/>
        </w:rPr>
        <w:t>in</w:t>
      </w:r>
      <w:r w:rsidRPr="0061334D">
        <w:rPr>
          <w:shd w:val="clear" w:color="auto" w:fill="FFFFFF"/>
        </w:rPr>
        <w:t xml:space="preserve"> how Oxfam participates in several global communities like UN Global </w:t>
      </w:r>
      <w:proofErr w:type="spellStart"/>
      <w:r w:rsidRPr="0061334D">
        <w:rPr>
          <w:shd w:val="clear" w:color="auto" w:fill="FFFFFF"/>
        </w:rPr>
        <w:t>Compactand</w:t>
      </w:r>
      <w:proofErr w:type="spellEnd"/>
      <w:r w:rsidRPr="0061334D">
        <w:rPr>
          <w:shd w:val="clear" w:color="auto" w:fill="FFFFFF"/>
        </w:rPr>
        <w:t xml:space="preserve">, Ethical Trading Initiative, Living Wage Foundation,... and complies to many other global standards such as The Good Business Charter (GBC), ETI Human Rights Due Diligence Framework (Oxfam, 2022). Knowing that the operation among many countries and regions is associated with the risk of incompatible policies and CSR adoption, Oxfam has built its own joint code of conduct to ensure common vision and common practice to ensure the same core values and commitment among all divisions and branches within the organization (Oxfam, 2018). Such a practice is considered a proper action to ensure consistency and effective corporate governance of any multinational organization, and even more crucial for the NGOs whose aim is to perform the best practice for the community. Considering the technological application aspects, Oxfam utilizes technology in conducting various researches and reviews so that it comes up with plans for campaigns and solutions for those matters (Oxfam, 2022b). Technology is also used in reviewing the performance of the organization (Oxfam, 2021b), showing Oxfam’s stress on updating the digital development so that the organization itself can enhance its own daily managerial efficiency. Technology is also adopted to ensure the privacy and security of information among partners and the organization itself (Oxfam, 2021b) with a view to enacting the existing principles and regulations of the General Data Protection Regulation (GDPR) into real practice that makes influential impacts (Oxfam, 2021b). Various programs involving the use of technology such as Using ICT for development in Africa, Using and sharing data in fieldwork, </w:t>
      </w:r>
      <w:r w:rsidR="00C862EE">
        <w:rPr>
          <w:shd w:val="clear" w:color="auto" w:fill="FFFFFF"/>
        </w:rPr>
        <w:t>improving</w:t>
      </w:r>
      <w:r w:rsidRPr="0061334D">
        <w:rPr>
          <w:shd w:val="clear" w:color="auto" w:fill="FFFFFF"/>
        </w:rPr>
        <w:t xml:space="preserve"> data collection and sharing,... (Oxfam, 2022b). It can be seen that this application of technology has served well the operation of Oxfam as well as promoting the campaigns carried out by Oxfam in reducing poverty and doing the practice of inclusion. Regarding revelation of information and compliance to regulations and standards, previously mentioned, Oxfam registered itself to many global standards and complies to these policies (Oxfam, 2022). Oxfam even generated its own policies and guidelines for ethical and environmental practices, including anti-slavery policies, due diligent review for partners and declared to commit to strengthening its </w:t>
      </w:r>
      <w:r w:rsidR="00C862EE">
        <w:rPr>
          <w:shd w:val="clear" w:color="auto" w:fill="FFFFFF"/>
        </w:rPr>
        <w:t>accountability</w:t>
      </w:r>
      <w:r w:rsidRPr="0061334D">
        <w:rPr>
          <w:shd w:val="clear" w:color="auto" w:fill="FFFFFF"/>
        </w:rPr>
        <w:t xml:space="preserve"> in reporting (Oxfam, 2022). The practice is closely related to the aim of a non-profit, whose main target is to contribute to the society by its good practice over ethical and social issues. It can be seen that taking the advantage of technology into </w:t>
      </w:r>
      <w:r w:rsidR="00C862EE">
        <w:rPr>
          <w:shd w:val="clear" w:color="auto" w:fill="FFFFFF"/>
        </w:rPr>
        <w:t xml:space="preserve">the </w:t>
      </w:r>
      <w:r w:rsidRPr="0061334D">
        <w:rPr>
          <w:shd w:val="clear" w:color="auto" w:fill="FFFFFF"/>
        </w:rPr>
        <w:t xml:space="preserve">implementation of social activities worldwide and managing, reporting and evaluating results are considered to be well done by Oxfam. </w:t>
      </w:r>
    </w:p>
    <w:p w14:paraId="4EABE691" w14:textId="4E79D602" w:rsidR="0061334D" w:rsidRDefault="0061334D" w:rsidP="00C862EE">
      <w:pPr>
        <w:jc w:val="both"/>
        <w:rPr>
          <w:shd w:val="clear" w:color="auto" w:fill="FFFFFF"/>
        </w:rPr>
      </w:pPr>
      <w:r w:rsidRPr="0061334D">
        <w:rPr>
          <w:shd w:val="clear" w:color="auto" w:fill="FFFFFF"/>
        </w:rPr>
        <w:t xml:space="preserve">Representing the nonprofit organizations, Oxfam’s implementation of CSR targets at addressing environmental issues (Asfaw, </w:t>
      </w:r>
      <w:proofErr w:type="spellStart"/>
      <w:r w:rsidRPr="0061334D">
        <w:rPr>
          <w:shd w:val="clear" w:color="auto" w:fill="FFFFFF"/>
        </w:rPr>
        <w:t>Botes</w:t>
      </w:r>
      <w:proofErr w:type="spellEnd"/>
      <w:r w:rsidRPr="0061334D">
        <w:rPr>
          <w:shd w:val="clear" w:color="auto" w:fill="FFFFFF"/>
        </w:rPr>
        <w:t xml:space="preserve"> and </w:t>
      </w:r>
      <w:proofErr w:type="spellStart"/>
      <w:r w:rsidRPr="0061334D">
        <w:rPr>
          <w:shd w:val="clear" w:color="auto" w:fill="FFFFFF"/>
        </w:rPr>
        <w:t>Mengesha</w:t>
      </w:r>
      <w:proofErr w:type="spellEnd"/>
      <w:r w:rsidRPr="0061334D">
        <w:rPr>
          <w:shd w:val="clear" w:color="auto" w:fill="FFFFFF"/>
        </w:rPr>
        <w:t xml:space="preserve">, 2017), eliminating social inequality and raising living standards (Begum, Zaman and Khan, 2004). The ultimate goal of an NGO is to assure and better the </w:t>
      </w:r>
      <w:r w:rsidRPr="0061334D">
        <w:rPr>
          <w:shd w:val="clear" w:color="auto" w:fill="FFFFFF"/>
        </w:rPr>
        <w:lastRenderedPageBreak/>
        <w:t xml:space="preserve">interests of its beneficiaries, normally the disadvantaged and less represented such as the poor, women and girls, the disabled and so on (Oxfam GB, 2021). A notable difference between NGOs and other sectors is its source of funds since the organization does not provide a specific type of goods and services for profit. To conduct CSR and sustainability, a nonprofit entity prepares the budget by calling for donations and receiving support from the government and authorities as a major source (Oster, 1996). Besides, the organization maintains its own income by selling products made by the disadvantaged or investment (Oxfam GB, 2021). The operation of Oxfam presents the theoretical relationship between the NGOs, the private and public sectors. By receiving donations from the other two groups, NGOs execute CSR to those in need. In return, NGOs can support the public sector by empowering human resources </w:t>
      </w:r>
      <w:r w:rsidR="00C862EE">
        <w:rPr>
          <w:shd w:val="clear" w:color="auto" w:fill="FFFFFF"/>
        </w:rPr>
        <w:t>by</w:t>
      </w:r>
      <w:r w:rsidRPr="0061334D">
        <w:rPr>
          <w:shd w:val="clear" w:color="auto" w:fill="FFFFFF"/>
        </w:rPr>
        <w:t xml:space="preserve"> hiring women in remote areas into the supply chain. NGOs do great favor in improving livelihood for small farmers and the poverty, contributing to the sustainability goals of a nation. The involvement of the voluntary sector in CSR effectively allocates financial aid to the most needed subjects that the public sector and private sector might not be able to reach.</w:t>
      </w:r>
    </w:p>
    <w:p w14:paraId="6DD3C881" w14:textId="6D2472CB" w:rsidR="00E301B5" w:rsidRDefault="00E301B5" w:rsidP="00C862EE">
      <w:pPr>
        <w:jc w:val="both"/>
        <w:rPr>
          <w:shd w:val="clear" w:color="auto" w:fill="FFFFFF"/>
        </w:rPr>
      </w:pPr>
    </w:p>
    <w:p w14:paraId="2A54D247" w14:textId="77777777" w:rsidR="00E301B5" w:rsidRDefault="00E301B5" w:rsidP="00C862EE">
      <w:pPr>
        <w:jc w:val="both"/>
        <w:rPr>
          <w:shd w:val="clear" w:color="auto" w:fill="FFFFFF"/>
        </w:rPr>
      </w:pPr>
      <w:r>
        <w:rPr>
          <w:shd w:val="clear" w:color="auto" w:fill="FFFFFF"/>
        </w:rPr>
        <w:br w:type="page"/>
      </w:r>
    </w:p>
    <w:p w14:paraId="0BCA5B7D" w14:textId="0894AD21" w:rsidR="00E301B5" w:rsidRPr="00C862EE" w:rsidRDefault="00E301B5" w:rsidP="00C862EE">
      <w:pPr>
        <w:pStyle w:val="Heading1"/>
        <w:numPr>
          <w:ilvl w:val="0"/>
          <w:numId w:val="2"/>
        </w:numPr>
        <w:jc w:val="both"/>
        <w:rPr>
          <w:sz w:val="32"/>
          <w:shd w:val="clear" w:color="auto" w:fill="FFFFFF"/>
        </w:rPr>
      </w:pPr>
      <w:bookmarkStart w:id="12" w:name="_Toc94317864"/>
      <w:r w:rsidRPr="00C862EE">
        <w:rPr>
          <w:sz w:val="32"/>
          <w:shd w:val="clear" w:color="auto" w:fill="FFFFFF"/>
        </w:rPr>
        <w:lastRenderedPageBreak/>
        <w:t>Implication of the further development of CSR</w:t>
      </w:r>
      <w:bookmarkEnd w:id="12"/>
    </w:p>
    <w:p w14:paraId="4AC276E5" w14:textId="5BE68F73" w:rsidR="00E301B5" w:rsidRDefault="00E301B5" w:rsidP="00C862EE">
      <w:pPr>
        <w:pStyle w:val="Heading2"/>
        <w:numPr>
          <w:ilvl w:val="0"/>
          <w:numId w:val="7"/>
        </w:numPr>
        <w:jc w:val="both"/>
      </w:pPr>
      <w:bookmarkStart w:id="13" w:name="_Toc94317865"/>
      <w:r>
        <w:t>Public sector</w:t>
      </w:r>
      <w:bookmarkEnd w:id="13"/>
    </w:p>
    <w:p w14:paraId="6B656F2F" w14:textId="041959D7" w:rsidR="00E301B5" w:rsidRDefault="00E301B5" w:rsidP="00C862EE">
      <w:pPr>
        <w:tabs>
          <w:tab w:val="left" w:pos="720"/>
        </w:tabs>
        <w:jc w:val="both"/>
        <w:rPr>
          <w:shd w:val="clear" w:color="auto" w:fill="FFFFFF"/>
        </w:rPr>
      </w:pPr>
      <w:r>
        <w:rPr>
          <w:shd w:val="clear" w:color="auto" w:fill="FFFFFF"/>
        </w:rPr>
        <w:t xml:space="preserve">For healthcare organizations and UCLH in particular, digital transformation is an </w:t>
      </w:r>
      <w:bookmarkStart w:id="14" w:name="_Hlk94312271"/>
      <w:r w:rsidRPr="00CF7117">
        <w:rPr>
          <w:shd w:val="clear" w:color="auto" w:fill="FFFFFF"/>
        </w:rPr>
        <w:t xml:space="preserve">irreversible </w:t>
      </w:r>
      <w:bookmarkEnd w:id="14"/>
      <w:r>
        <w:rPr>
          <w:shd w:val="clear" w:color="auto" w:fill="FFFFFF"/>
        </w:rPr>
        <w:t xml:space="preserve">trend. However, as the NHS Sustainability report reveals, the digital aspect of sustainability has been either mostly neglected or too sporadically to have a lasting impact </w:t>
      </w:r>
      <w:sdt>
        <w:sdtPr>
          <w:rPr>
            <w:shd w:val="clear" w:color="auto" w:fill="FFFFFF"/>
          </w:rPr>
          <w:id w:val="502794570"/>
          <w:citation/>
        </w:sdtPr>
        <w:sdtEndPr/>
        <w:sdtContent>
          <w:r>
            <w:rPr>
              <w:shd w:val="clear" w:color="auto" w:fill="FFFFFF"/>
            </w:rPr>
            <w:fldChar w:fldCharType="begin"/>
          </w:r>
          <w:r>
            <w:rPr>
              <w:shd w:val="clear" w:color="auto" w:fill="FFFFFF"/>
            </w:rPr>
            <w:instrText xml:space="preserve"> CITATION NHS20 \l 1033 </w:instrText>
          </w:r>
          <w:r>
            <w:rPr>
              <w:shd w:val="clear" w:color="auto" w:fill="FFFFFF"/>
            </w:rPr>
            <w:fldChar w:fldCharType="separate"/>
          </w:r>
          <w:r w:rsidRPr="00AF15AA">
            <w:rPr>
              <w:noProof/>
              <w:shd w:val="clear" w:color="auto" w:fill="FFFFFF"/>
            </w:rPr>
            <w:t>(NHS, 2020)</w:t>
          </w:r>
          <w:r>
            <w:rPr>
              <w:shd w:val="clear" w:color="auto" w:fill="FFFFFF"/>
            </w:rPr>
            <w:fldChar w:fldCharType="end"/>
          </w:r>
        </w:sdtContent>
      </w:sdt>
      <w:r>
        <w:rPr>
          <w:shd w:val="clear" w:color="auto" w:fill="FFFFFF"/>
        </w:rPr>
        <w:t xml:space="preserve">. For example, cyber security tends to be IT departments’ </w:t>
      </w:r>
      <w:r w:rsidR="00C862EE">
        <w:rPr>
          <w:shd w:val="clear" w:color="auto" w:fill="FFFFFF"/>
        </w:rPr>
        <w:t>responsibility</w:t>
      </w:r>
      <w:r>
        <w:rPr>
          <w:shd w:val="clear" w:color="auto" w:fill="FFFFFF"/>
        </w:rPr>
        <w:t xml:space="preserve"> in most organizations, while automation lies in engineering or management. As </w:t>
      </w:r>
      <w:r w:rsidRPr="00AF15AA">
        <w:rPr>
          <w:noProof/>
          <w:shd w:val="clear" w:color="auto" w:fill="FFFFFF"/>
        </w:rPr>
        <w:t>Orbik</w:t>
      </w:r>
      <w:r>
        <w:rPr>
          <w:noProof/>
          <w:shd w:val="clear" w:color="auto" w:fill="FFFFFF"/>
        </w:rPr>
        <w:t xml:space="preserve"> (</w:t>
      </w:r>
      <w:r w:rsidRPr="00AF15AA">
        <w:rPr>
          <w:noProof/>
          <w:shd w:val="clear" w:color="auto" w:fill="FFFFFF"/>
        </w:rPr>
        <w:t>2016)</w:t>
      </w:r>
      <w:r>
        <w:rPr>
          <w:noProof/>
          <w:shd w:val="clear" w:color="auto" w:fill="FFFFFF"/>
        </w:rPr>
        <w:t xml:space="preserve"> suggested, adopting digital responsibilities as a core part of strategy can have a very positive impact on the success of an organization, where they can achieve </w:t>
      </w:r>
      <w:r w:rsidR="00C862EE">
        <w:rPr>
          <w:noProof/>
          <w:shd w:val="clear" w:color="auto" w:fill="FFFFFF"/>
        </w:rPr>
        <w:t xml:space="preserve">a </w:t>
      </w:r>
      <w:r>
        <w:rPr>
          <w:noProof/>
          <w:shd w:val="clear" w:color="auto" w:fill="FFFFFF"/>
        </w:rPr>
        <w:t xml:space="preserve">very high level of digital maturity. Hence, a consolidated approach to digital sustainability is recommended for UCLH and healthcare providers in </w:t>
      </w:r>
      <w:r w:rsidR="00C862EE">
        <w:rPr>
          <w:noProof/>
          <w:shd w:val="clear" w:color="auto" w:fill="FFFFFF"/>
        </w:rPr>
        <w:t xml:space="preserve">the </w:t>
      </w:r>
      <w:r>
        <w:rPr>
          <w:noProof/>
          <w:shd w:val="clear" w:color="auto" w:fill="FFFFFF"/>
        </w:rPr>
        <w:t xml:space="preserve">public sector. For better mitigation of risks, the </w:t>
      </w:r>
      <w:r w:rsidR="00C862EE">
        <w:rPr>
          <w:noProof/>
          <w:shd w:val="clear" w:color="auto" w:fill="FFFFFF"/>
        </w:rPr>
        <w:t>separated</w:t>
      </w:r>
      <w:r>
        <w:rPr>
          <w:noProof/>
          <w:shd w:val="clear" w:color="auto" w:fill="FFFFFF"/>
        </w:rPr>
        <w:t xml:space="preserve"> efforts in managing digital transformation should be coordinated collectively. For example, in healthcare organizations, a digital healthcare board should be set up to be responsible for the consolidated effort of managing digital transformation. This board should coordinate and manages the use of modern technologies like AI to promote ethical and responsible business practices. UCLH should also hire external parties (i.e external consultants like McKinsey) to oversee and assess the transformation process, as they would provide external opinions of how this process can be accountably measured. Failing to examine how digital technologies impact various stakeholders might lead to a wide range of issues such as employee resistance or damaged reputation </w:t>
      </w:r>
      <w:sdt>
        <w:sdtPr>
          <w:rPr>
            <w:noProof/>
            <w:shd w:val="clear" w:color="auto" w:fill="FFFFFF"/>
          </w:rPr>
          <w:id w:val="-1113121812"/>
          <w:citation/>
        </w:sdtPr>
        <w:sdtEndPr/>
        <w:sdtContent>
          <w:r>
            <w:rPr>
              <w:noProof/>
              <w:shd w:val="clear" w:color="auto" w:fill="FFFFFF"/>
            </w:rPr>
            <w:fldChar w:fldCharType="begin"/>
          </w:r>
          <w:r>
            <w:rPr>
              <w:noProof/>
              <w:shd w:val="clear" w:color="auto" w:fill="FFFFFF"/>
            </w:rPr>
            <w:instrText xml:space="preserve"> CITATION Mic201 \l 1033 </w:instrText>
          </w:r>
          <w:r>
            <w:rPr>
              <w:noProof/>
              <w:shd w:val="clear" w:color="auto" w:fill="FFFFFF"/>
            </w:rPr>
            <w:fldChar w:fldCharType="separate"/>
          </w:r>
          <w:r w:rsidRPr="004323A4">
            <w:rPr>
              <w:noProof/>
              <w:shd w:val="clear" w:color="auto" w:fill="FFFFFF"/>
            </w:rPr>
            <w:t>(Wade, 2020)</w:t>
          </w:r>
          <w:r>
            <w:rPr>
              <w:noProof/>
              <w:shd w:val="clear" w:color="auto" w:fill="FFFFFF"/>
            </w:rPr>
            <w:fldChar w:fldCharType="end"/>
          </w:r>
        </w:sdtContent>
      </w:sdt>
      <w:r>
        <w:rPr>
          <w:noProof/>
          <w:shd w:val="clear" w:color="auto" w:fill="FFFFFF"/>
        </w:rPr>
        <w:t xml:space="preserve">. </w:t>
      </w:r>
    </w:p>
    <w:p w14:paraId="2D67579C" w14:textId="77777777" w:rsidR="00E301B5" w:rsidRDefault="00E301B5" w:rsidP="00C862EE">
      <w:pPr>
        <w:tabs>
          <w:tab w:val="left" w:pos="720"/>
        </w:tabs>
        <w:jc w:val="both"/>
        <w:rPr>
          <w:shd w:val="clear" w:color="auto" w:fill="FFFFFF"/>
        </w:rPr>
      </w:pPr>
      <w:r>
        <w:rPr>
          <w:shd w:val="clear" w:color="auto" w:fill="FFFFFF"/>
        </w:rPr>
        <w:t xml:space="preserve">Likewise, for public healthcare providers like UCLH, achieving sustainability through green initiatives is an </w:t>
      </w:r>
      <w:r w:rsidRPr="00CF7117">
        <w:rPr>
          <w:shd w:val="clear" w:color="auto" w:fill="FFFFFF"/>
        </w:rPr>
        <w:t>irreversible</w:t>
      </w:r>
      <w:r>
        <w:rPr>
          <w:shd w:val="clear" w:color="auto" w:fill="FFFFFF"/>
        </w:rPr>
        <w:t xml:space="preserve"> and welcoming policy. As the NHS suggests, UCLH is performing relatively well in this initiative </w:t>
      </w:r>
      <w:sdt>
        <w:sdtPr>
          <w:rPr>
            <w:shd w:val="clear" w:color="auto" w:fill="FFFFFF"/>
          </w:rPr>
          <w:id w:val="955679471"/>
          <w:citation/>
        </w:sdtPr>
        <w:sdtEndPr/>
        <w:sdtContent>
          <w:r>
            <w:rPr>
              <w:shd w:val="clear" w:color="auto" w:fill="FFFFFF"/>
            </w:rPr>
            <w:fldChar w:fldCharType="begin"/>
          </w:r>
          <w:r>
            <w:rPr>
              <w:shd w:val="clear" w:color="auto" w:fill="FFFFFF"/>
            </w:rPr>
            <w:instrText xml:space="preserve"> CITATION NHS20 \l 1033 </w:instrText>
          </w:r>
          <w:r>
            <w:rPr>
              <w:shd w:val="clear" w:color="auto" w:fill="FFFFFF"/>
            </w:rPr>
            <w:fldChar w:fldCharType="separate"/>
          </w:r>
          <w:r w:rsidRPr="004C4B15">
            <w:rPr>
              <w:noProof/>
              <w:shd w:val="clear" w:color="auto" w:fill="FFFFFF"/>
            </w:rPr>
            <w:t>(NHS, 2020)</w:t>
          </w:r>
          <w:r>
            <w:rPr>
              <w:shd w:val="clear" w:color="auto" w:fill="FFFFFF"/>
            </w:rPr>
            <w:fldChar w:fldCharType="end"/>
          </w:r>
        </w:sdtContent>
      </w:sdt>
      <w:r>
        <w:rPr>
          <w:shd w:val="clear" w:color="auto" w:fill="FFFFFF"/>
        </w:rPr>
        <w:t>. Hence, it is advisable that UCLH continues to strengthen their Green Plan policy and extend it to more stakeholders. For example, the group might organize more staff training sessions to focus on waste segregation and energy saving. The objective of these sessions would be to educate new employees about the program and encourage higher staff enrollment in the scheme. Furthermore, to increase the credibility and better implementation of CSR initiatives, UCLH should appoint external parties to perform a due diligence review of the trust’ sustainability performance and governance processes. UCLH’s energy use and waste management might be evaluated against the revised targets and benchmarked against the best performance in the NHS and in the sector. This review would be able to insert a level of credibility to the sustainability report and find out the practical steps that UCLH should take to take the next step in the sustainability performance. The benchmarking process will be beneficial in terms of identifying which positive areas have been achieved and which the priorities for further improvement are.</w:t>
      </w:r>
    </w:p>
    <w:p w14:paraId="7098C71F" w14:textId="10D2CF38" w:rsidR="00E301B5" w:rsidRDefault="00E301B5" w:rsidP="00C862EE">
      <w:pPr>
        <w:pStyle w:val="Heading2"/>
        <w:numPr>
          <w:ilvl w:val="0"/>
          <w:numId w:val="7"/>
        </w:numPr>
        <w:jc w:val="both"/>
      </w:pPr>
      <w:bookmarkStart w:id="15" w:name="_Toc94317866"/>
      <w:r>
        <w:lastRenderedPageBreak/>
        <w:t>Private sector</w:t>
      </w:r>
      <w:bookmarkEnd w:id="15"/>
    </w:p>
    <w:p w14:paraId="48AC3BEF" w14:textId="359E03AF" w:rsidR="00E301B5" w:rsidRPr="00E301B5" w:rsidRDefault="00E301B5" w:rsidP="00C862EE">
      <w:pPr>
        <w:jc w:val="both"/>
        <w:rPr>
          <w:shd w:val="clear" w:color="auto" w:fill="FFFFFF"/>
        </w:rPr>
      </w:pPr>
      <w:r w:rsidRPr="00E301B5">
        <w:rPr>
          <w:shd w:val="clear" w:color="auto" w:fill="FFFFFF"/>
        </w:rPr>
        <w:t xml:space="preserve">John Lewis Partnership has long been known not only for their omni-channel distribution to the market, which brings back giant income, but also for its good deed and contribution to better its customers, society and the environment during its long history of operation. At the end of </w:t>
      </w:r>
      <w:r w:rsidR="00C862EE">
        <w:rPr>
          <w:shd w:val="clear" w:color="auto" w:fill="FFFFFF"/>
        </w:rPr>
        <w:t xml:space="preserve">the </w:t>
      </w:r>
      <w:r w:rsidRPr="00E301B5">
        <w:rPr>
          <w:shd w:val="clear" w:color="auto" w:fill="FFFFFF"/>
        </w:rPr>
        <w:t xml:space="preserve">fiscal year 2020/21, almost all important targets have been completed or on a good progress, except for the commitment to verify the origin of 100% of own-brand fish and shellfish. Specifically, the organization reached 90.7% target, marking a slight decrease against the year 2019/20 due to the </w:t>
      </w:r>
      <w:r w:rsidR="00C862EE">
        <w:rPr>
          <w:shd w:val="clear" w:color="auto" w:fill="FFFFFF"/>
        </w:rPr>
        <w:t>loss</w:t>
      </w:r>
      <w:r w:rsidRPr="00E301B5">
        <w:rPr>
          <w:shd w:val="clear" w:color="auto" w:fill="FFFFFF"/>
        </w:rPr>
        <w:t xml:space="preserve"> of third-party-certificate for source of Waitrose mackerel (John Lewis Partnership, 2020). In order to further enhance the CSR activities of the Partnership, there are several suggestions to be taken into account. Firstly, the organization should closely follow up with farmers and fishers in the global supply chain to ensure the sources to regain the third-party-certificate for aquaculture products. Secondly, the cohesiveness between John Lewis Partnership and large NGOs should be nurtured to effectively deliver their CSR activities to the community. Finally, further investment into R&amp;D to increase </w:t>
      </w:r>
      <w:proofErr w:type="spellStart"/>
      <w:r w:rsidRPr="00E301B5">
        <w:rPr>
          <w:shd w:val="clear" w:color="auto" w:fill="FFFFFF"/>
        </w:rPr>
        <w:t>recircularity</w:t>
      </w:r>
      <w:proofErr w:type="spellEnd"/>
      <w:r w:rsidRPr="00E301B5">
        <w:rPr>
          <w:shd w:val="clear" w:color="auto" w:fill="FFFFFF"/>
        </w:rPr>
        <w:t xml:space="preserve"> and reduce waste and emission is of utmost importance for the Partnership to reach multiple targets, including: </w:t>
      </w:r>
      <w:r w:rsidR="00C862EE">
        <w:rPr>
          <w:shd w:val="clear" w:color="auto" w:fill="FFFFFF"/>
        </w:rPr>
        <w:t>cutting</w:t>
      </w:r>
      <w:r w:rsidR="00C862EE" w:rsidRPr="00E301B5">
        <w:rPr>
          <w:shd w:val="clear" w:color="auto" w:fill="FFFFFF"/>
        </w:rPr>
        <w:t xml:space="preserve"> down on cost, </w:t>
      </w:r>
      <w:r w:rsidR="00C862EE">
        <w:rPr>
          <w:shd w:val="clear" w:color="auto" w:fill="FFFFFF"/>
        </w:rPr>
        <w:t>reducing</w:t>
      </w:r>
      <w:r w:rsidR="00C862EE" w:rsidRPr="00E301B5">
        <w:rPr>
          <w:shd w:val="clear" w:color="auto" w:fill="FFFFFF"/>
        </w:rPr>
        <w:t xml:space="preserve"> climate risk and </w:t>
      </w:r>
      <w:r w:rsidR="00C862EE">
        <w:rPr>
          <w:shd w:val="clear" w:color="auto" w:fill="FFFFFF"/>
        </w:rPr>
        <w:t>protecting</w:t>
      </w:r>
      <w:r w:rsidRPr="00E301B5">
        <w:rPr>
          <w:shd w:val="clear" w:color="auto" w:fill="FFFFFF"/>
        </w:rPr>
        <w:t xml:space="preserve"> the environment.</w:t>
      </w:r>
    </w:p>
    <w:p w14:paraId="1284225C" w14:textId="4273A12C" w:rsidR="00E301B5" w:rsidRDefault="00E301B5" w:rsidP="00C862EE">
      <w:pPr>
        <w:jc w:val="both"/>
        <w:rPr>
          <w:shd w:val="clear" w:color="auto" w:fill="FFFFFF"/>
        </w:rPr>
      </w:pPr>
      <w:r w:rsidRPr="00E301B5">
        <w:rPr>
          <w:shd w:val="clear" w:color="auto" w:fill="FFFFFF"/>
        </w:rPr>
        <w:t xml:space="preserve">Although CSR has been implemented and reported by many firms, there has not been a mutual format </w:t>
      </w:r>
      <w:r w:rsidR="00C862EE">
        <w:rPr>
          <w:shd w:val="clear" w:color="auto" w:fill="FFFFFF"/>
        </w:rPr>
        <w:t>for</w:t>
      </w:r>
      <w:r w:rsidRPr="00E301B5">
        <w:rPr>
          <w:shd w:val="clear" w:color="auto" w:fill="FFFFFF"/>
        </w:rPr>
        <w:t xml:space="preserve"> presenting the goals and progress of these activities. Thus, it is difficult for stakeholders to follow and compare CSR progress amongst corporations (</w:t>
      </w:r>
      <w:proofErr w:type="spellStart"/>
      <w:r w:rsidRPr="00E301B5">
        <w:rPr>
          <w:shd w:val="clear" w:color="auto" w:fill="FFFFFF"/>
        </w:rPr>
        <w:t>Bollas</w:t>
      </w:r>
      <w:proofErr w:type="spellEnd"/>
      <w:r w:rsidRPr="00E301B5">
        <w:rPr>
          <w:shd w:val="clear" w:color="auto" w:fill="FFFFFF"/>
        </w:rPr>
        <w:t xml:space="preserve">-Araya, Polo-Garrido and </w:t>
      </w:r>
      <w:proofErr w:type="spellStart"/>
      <w:r w:rsidRPr="00E301B5">
        <w:rPr>
          <w:shd w:val="clear" w:color="auto" w:fill="FFFFFF"/>
        </w:rPr>
        <w:t>Seguí</w:t>
      </w:r>
      <w:proofErr w:type="spellEnd"/>
      <w:r w:rsidRPr="00E301B5">
        <w:rPr>
          <w:shd w:val="clear" w:color="auto" w:fill="FFFFFF"/>
        </w:rPr>
        <w:t>-Mas, 2018). For these reasons, it is crucial for regulators to formulate a standard template for CSR reporting to enhance the quality of presentation and transparency of information. In addition, a regulated template with detailed instructions on which data or information should be disclosed provides a clear orientation of critical points that an organization needs to achieve (</w:t>
      </w:r>
      <w:proofErr w:type="spellStart"/>
      <w:r w:rsidRPr="00E301B5">
        <w:rPr>
          <w:shd w:val="clear" w:color="auto" w:fill="FFFFFF"/>
        </w:rPr>
        <w:t>Nwagbara</w:t>
      </w:r>
      <w:proofErr w:type="spellEnd"/>
      <w:r w:rsidRPr="00E301B5">
        <w:rPr>
          <w:shd w:val="clear" w:color="auto" w:fill="FFFFFF"/>
        </w:rPr>
        <w:t xml:space="preserve">, </w:t>
      </w:r>
      <w:proofErr w:type="spellStart"/>
      <w:r w:rsidRPr="00E301B5">
        <w:rPr>
          <w:shd w:val="clear" w:color="auto" w:fill="FFFFFF"/>
        </w:rPr>
        <w:t>Chigozie</w:t>
      </w:r>
      <w:proofErr w:type="spellEnd"/>
      <w:r w:rsidRPr="00E301B5">
        <w:rPr>
          <w:shd w:val="clear" w:color="auto" w:fill="FFFFFF"/>
        </w:rPr>
        <w:t xml:space="preserve"> and </w:t>
      </w:r>
      <w:proofErr w:type="spellStart"/>
      <w:r w:rsidRPr="00E301B5">
        <w:rPr>
          <w:shd w:val="clear" w:color="auto" w:fill="FFFFFF"/>
        </w:rPr>
        <w:t>Ugwoji</w:t>
      </w:r>
      <w:proofErr w:type="spellEnd"/>
      <w:r w:rsidRPr="00E301B5">
        <w:rPr>
          <w:shd w:val="clear" w:color="auto" w:fill="FFFFFF"/>
        </w:rPr>
        <w:t xml:space="preserve">, 2015), which is of utmost importance for new entrance of an industry (Young and Marais, 2012). Furthermore, as the process to obtain sustainability involves legal obligation, each worker of a corporation is required to act lawfully to further develop the implementation of CSR. Finally, in order for a private sector entity to attain its sustainability target, the entity’s owners are expected to have an adequate awareness of the role of CSR since there might occur the trade-off between short-term economic benefits with CSR pursuant (Berens, van Riel and van </w:t>
      </w:r>
      <w:proofErr w:type="spellStart"/>
      <w:r w:rsidRPr="00E301B5">
        <w:rPr>
          <w:shd w:val="clear" w:color="auto" w:fill="FFFFFF"/>
        </w:rPr>
        <w:t>Rekom</w:t>
      </w:r>
      <w:proofErr w:type="spellEnd"/>
      <w:r w:rsidRPr="00E301B5">
        <w:rPr>
          <w:shd w:val="clear" w:color="auto" w:fill="FFFFFF"/>
        </w:rPr>
        <w:t xml:space="preserve">, 2007). Therefore, the continuous conduct of CSR can only be ensured in case owners approve and support the decision of management to set aside a part of profits to brace the community and the surrounding environments (Berens, van Riel and van </w:t>
      </w:r>
      <w:proofErr w:type="spellStart"/>
      <w:r w:rsidRPr="00E301B5">
        <w:rPr>
          <w:shd w:val="clear" w:color="auto" w:fill="FFFFFF"/>
        </w:rPr>
        <w:t>Rekom</w:t>
      </w:r>
      <w:proofErr w:type="spellEnd"/>
      <w:r w:rsidRPr="00E301B5">
        <w:rPr>
          <w:shd w:val="clear" w:color="auto" w:fill="FFFFFF"/>
        </w:rPr>
        <w:t>, 2007).</w:t>
      </w:r>
    </w:p>
    <w:p w14:paraId="563D30AB" w14:textId="55D10DD5" w:rsidR="00E301B5" w:rsidRDefault="00E301B5" w:rsidP="00C862EE">
      <w:pPr>
        <w:pStyle w:val="Heading2"/>
        <w:numPr>
          <w:ilvl w:val="0"/>
          <w:numId w:val="7"/>
        </w:numPr>
        <w:jc w:val="both"/>
        <w:rPr>
          <w:shd w:val="clear" w:color="auto" w:fill="FFFFFF"/>
        </w:rPr>
      </w:pPr>
      <w:bookmarkStart w:id="16" w:name="_Toc94317867"/>
      <w:r>
        <w:rPr>
          <w:shd w:val="clear" w:color="auto" w:fill="FFFFFF"/>
        </w:rPr>
        <w:lastRenderedPageBreak/>
        <w:t>Non-profit organizations</w:t>
      </w:r>
      <w:bookmarkEnd w:id="16"/>
    </w:p>
    <w:p w14:paraId="6E4CA7B2" w14:textId="77777777" w:rsidR="00E301B5" w:rsidRDefault="00E301B5" w:rsidP="00C862EE">
      <w:pPr>
        <w:jc w:val="both"/>
      </w:pPr>
      <w:r>
        <w:t xml:space="preserve">Being one of the five largest NGOs in the UK, Oxfam has remained resilient in the implementation of CSR in raising the livelihoods of vulnerable subjects on a global scale. There are several recommendations to the organization so that its activities would be more comprehensive. Firstly, the majority of beneficiaries are located in Africa. Meanwhile, there are many other underdeveloped territories such as the poor Asian countries that are eager to receive support from Oxfam. Secondly, as disclosed by the organization, the budget aid from the UK Government was reduced from 0.7% to 0.5% of their national income, raising concern about the trust of the organization in international activities (Oxfam GB, 2021). The organization expresses their desire to receive constant support from the public sector to guarantee their credibility. Finally, due to the increasingly complex business atmosphere caused by Brexit and Covid19, both private and public sectors encounter higher financial challenges, which lowers the donation budget (Oxfam GB, 2021). Furthermore, Oxfam itself also declares higher expenses due to the adverse conditions (Oxfam GB, 2021). Hence, it is crucial for the organization to effectively manage costs and diversify the source of fundings. </w:t>
      </w:r>
    </w:p>
    <w:p w14:paraId="500C888F" w14:textId="7E583E6F" w:rsidR="00E301B5" w:rsidRPr="00E301B5" w:rsidRDefault="00E301B5" w:rsidP="00C862EE">
      <w:pPr>
        <w:jc w:val="both"/>
      </w:pPr>
      <w:r>
        <w:t xml:space="preserve">The difficulties of Oxfam illustrate the obstacles hindering CSR adoption in the nonprofit sector. Firstly, the coverage of sustainability activities may not be sufficient, thus, the areas with high demand for support might be missed out. For such reasons, it is recommended for the voluntary sector to continuously study and research different regions to include all vulnerable people </w:t>
      </w:r>
      <w:r w:rsidR="00C862EE">
        <w:t>in</w:t>
      </w:r>
      <w:r>
        <w:t xml:space="preserve"> their campaigns (Noh, 2017). The inclusion of different geography and different groups of disadvantaged is equivalent to the improvement of project quality run by the NGOs. The higher quality of projects is associated with higher possibility of success to deliver values to the society and enables NGOs to attract attention and financial support from donors (</w:t>
      </w:r>
      <w:proofErr w:type="spellStart"/>
      <w:r>
        <w:t>Frolova</w:t>
      </w:r>
      <w:proofErr w:type="spellEnd"/>
      <w:r>
        <w:t xml:space="preserve"> and </w:t>
      </w:r>
      <w:proofErr w:type="spellStart"/>
      <w:r>
        <w:t>Lapina</w:t>
      </w:r>
      <w:proofErr w:type="spellEnd"/>
      <w:r>
        <w:t>, 2015). Secondly, the nonprofit sector should be able to build a sufficiently large network to establish a strategic alliance for fundraising (</w:t>
      </w:r>
      <w:proofErr w:type="spellStart"/>
      <w:r>
        <w:t>Moggi</w:t>
      </w:r>
      <w:proofErr w:type="spellEnd"/>
      <w:r>
        <w:t>, Bonomi and Ricciardi, 2018). A cohesive partnership with the private sector allows the NGOs to access stable funds, while the involvement of the public sector enhances trust and credibility of the campaigns conducted (Coston, 1998). Finally, since the business environment continuously changes and brings about various volatilities to economic entities, the NGOs should be able to have their own income and resources besides donations from for-profit organizations and the public sector. In addition, cost management should be executed efficiently to avoid resource wastage (Galbreath et al., 2020).</w:t>
      </w:r>
    </w:p>
    <w:p w14:paraId="02645444" w14:textId="7F8ABB7F" w:rsidR="00E301B5" w:rsidRPr="00C862EE" w:rsidRDefault="00452C3E" w:rsidP="00C862EE">
      <w:pPr>
        <w:pStyle w:val="Heading1"/>
        <w:numPr>
          <w:ilvl w:val="0"/>
          <w:numId w:val="2"/>
        </w:numPr>
        <w:jc w:val="both"/>
        <w:rPr>
          <w:sz w:val="32"/>
          <w:shd w:val="clear" w:color="auto" w:fill="FFFFFF"/>
        </w:rPr>
      </w:pPr>
      <w:bookmarkStart w:id="17" w:name="_Toc94317868"/>
      <w:r w:rsidRPr="00C862EE">
        <w:rPr>
          <w:sz w:val="32"/>
          <w:shd w:val="clear" w:color="auto" w:fill="FFFFFF"/>
        </w:rPr>
        <w:lastRenderedPageBreak/>
        <w:t>References</w:t>
      </w:r>
      <w:bookmarkEnd w:id="17"/>
    </w:p>
    <w:p w14:paraId="37F45A6C" w14:textId="77777777" w:rsidR="00452C3E" w:rsidRDefault="00452C3E" w:rsidP="00C862EE">
      <w:pPr>
        <w:jc w:val="both"/>
      </w:pPr>
      <w:r>
        <w:t>ACCA (2012). Environmental accounting and reporting. [online] Available at: https://www.accaglobal.com/content/dam/acca/global/PDF-students/2012s/sa_sept12_p1_environmental.pdf [Accessed 29 Jan. 2022].</w:t>
      </w:r>
    </w:p>
    <w:p w14:paraId="343DA7F8" w14:textId="71FC23E0" w:rsidR="00452C3E" w:rsidRDefault="00452C3E" w:rsidP="00C862EE">
      <w:pPr>
        <w:jc w:val="both"/>
      </w:pPr>
      <w:proofErr w:type="spellStart"/>
      <w:r>
        <w:t>Aquire</w:t>
      </w:r>
      <w:proofErr w:type="spellEnd"/>
      <w:r>
        <w:t>, S. (2020). 14 Best Socially Responsible Companies That Are Making Impact. [online] Nonprofit Blog. Available at: https://donorbox.org/nonprofit-blog/best-corporate-responsibility-companies/#:~:text=For%20nonprofits%2C%20CSR%20is%20an%20opportunity%20to%20build [Accessed 29 Jan. 2022].</w:t>
      </w:r>
    </w:p>
    <w:p w14:paraId="44BCEF26" w14:textId="77777777" w:rsidR="00452C3E" w:rsidRDefault="00452C3E" w:rsidP="00C862EE">
      <w:pPr>
        <w:jc w:val="both"/>
      </w:pPr>
      <w:proofErr w:type="spellStart"/>
      <w:r>
        <w:t>Ates</w:t>
      </w:r>
      <w:proofErr w:type="spellEnd"/>
      <w:r>
        <w:t xml:space="preserve">, Z. &amp; </w:t>
      </w:r>
      <w:proofErr w:type="spellStart"/>
      <w:r>
        <w:t>Büttgen</w:t>
      </w:r>
      <w:proofErr w:type="spellEnd"/>
      <w:r>
        <w:t>, M., 2011. Corporate social responsibility in the public service sector: Towards a sustainability balanced scorecard for local public enterprise. Journal for Public and Nonprofit Services, pp. 346-360.</w:t>
      </w:r>
    </w:p>
    <w:p w14:paraId="1F2F5A4D" w14:textId="77777777" w:rsidR="00452C3E" w:rsidRDefault="00452C3E" w:rsidP="00C862EE">
      <w:pPr>
        <w:jc w:val="both"/>
      </w:pPr>
      <w:r>
        <w:t xml:space="preserve">Atos, 2017. Atos announces new partnership with UCLH to support a digital future. [Online] </w:t>
      </w:r>
    </w:p>
    <w:p w14:paraId="76A7F91C" w14:textId="77777777" w:rsidR="00452C3E" w:rsidRDefault="00452C3E" w:rsidP="00C862EE">
      <w:pPr>
        <w:jc w:val="both"/>
      </w:pPr>
      <w:r>
        <w:t>Available at: https://atos.net/en-gb/2017/press-release-en-gb_2017_01_05/en-gb-pr-2017_01_05_01</w:t>
      </w:r>
    </w:p>
    <w:p w14:paraId="70F93ACA" w14:textId="250CAFC5" w:rsidR="00452C3E" w:rsidRDefault="00452C3E" w:rsidP="00C862EE">
      <w:pPr>
        <w:jc w:val="both"/>
      </w:pPr>
      <w:r>
        <w:t>[Accessed January 2022].</w:t>
      </w:r>
    </w:p>
    <w:p w14:paraId="3C619A8E" w14:textId="77777777" w:rsidR="00452C3E" w:rsidRDefault="00452C3E" w:rsidP="00C862EE">
      <w:pPr>
        <w:jc w:val="both"/>
      </w:pPr>
      <w:r>
        <w:t xml:space="preserve">Asfaw, T.S., </w:t>
      </w:r>
      <w:proofErr w:type="spellStart"/>
      <w:r>
        <w:t>Botes</w:t>
      </w:r>
      <w:proofErr w:type="spellEnd"/>
      <w:r>
        <w:t xml:space="preserve">, V. and </w:t>
      </w:r>
      <w:proofErr w:type="spellStart"/>
      <w:r>
        <w:t>Mengesha</w:t>
      </w:r>
      <w:proofErr w:type="spellEnd"/>
      <w:r>
        <w:t>, L.G. (2017). The role of NGOs in corporate environmental responsibility practice: evidence from Ethiopia. International Journal of Corporate Social Responsibility, 2(1).</w:t>
      </w:r>
    </w:p>
    <w:p w14:paraId="0772FBAD" w14:textId="77777777" w:rsidR="00452C3E" w:rsidRDefault="00452C3E" w:rsidP="00C862EE">
      <w:pPr>
        <w:jc w:val="both"/>
      </w:pPr>
      <w:r>
        <w:t>Begum, S.F., Zaman, S.H. and Khan, M.S. (2004). Role of NGOs in rural poverty eradication: A Bangladesh observation. dspace.bracu.ac.bd. [online] Available at: http://dspace.bracu.ac.bd/xmlui/handle/10361/483 [Accessed 28 Jan. 2022].</w:t>
      </w:r>
    </w:p>
    <w:p w14:paraId="612DD744" w14:textId="77777777" w:rsidR="00452C3E" w:rsidRDefault="00452C3E" w:rsidP="00C862EE">
      <w:pPr>
        <w:jc w:val="both"/>
      </w:pPr>
      <w:r>
        <w:t xml:space="preserve">Berens, G., van Riel, C.B.M. and van </w:t>
      </w:r>
      <w:proofErr w:type="spellStart"/>
      <w:r>
        <w:t>Rekom</w:t>
      </w:r>
      <w:proofErr w:type="spellEnd"/>
      <w:r>
        <w:t>, J. (2007). The CSR-Quality Trade-Off: When can Corporate Social Responsibility and Corporate Ability Compensate Each Other? Journal of Business Ethics, 74(3), pp.233–252.</w:t>
      </w:r>
    </w:p>
    <w:p w14:paraId="36A8271E" w14:textId="77777777" w:rsidR="00452C3E" w:rsidRDefault="00452C3E" w:rsidP="00C862EE">
      <w:pPr>
        <w:jc w:val="both"/>
      </w:pPr>
      <w:proofErr w:type="spellStart"/>
      <w:r>
        <w:t>Bollas</w:t>
      </w:r>
      <w:proofErr w:type="spellEnd"/>
      <w:r>
        <w:t xml:space="preserve">-Araya, H.M., Polo-Garrido, F. and </w:t>
      </w:r>
      <w:proofErr w:type="spellStart"/>
      <w:r>
        <w:t>Seguí</w:t>
      </w:r>
      <w:proofErr w:type="spellEnd"/>
      <w:r>
        <w:t xml:space="preserve">-Mas, E. (2018). Determinants of CSR Reporting and Assurance: An Analysis of Top Cooperative and Mutual </w:t>
      </w:r>
      <w:proofErr w:type="spellStart"/>
      <w:r>
        <w:t>Organisations</w:t>
      </w:r>
      <w:proofErr w:type="spellEnd"/>
      <w:r>
        <w:t>. Australian Accounting Review.</w:t>
      </w:r>
    </w:p>
    <w:p w14:paraId="6BF17473" w14:textId="77777777" w:rsidR="00452C3E" w:rsidRDefault="00452C3E" w:rsidP="00C862EE">
      <w:pPr>
        <w:jc w:val="both"/>
      </w:pPr>
      <w:r>
        <w:t>Brin, P.V. and Nehme, M.N. (2019). Corporate social responsibility: analysis of theories and models. repository.kpi.kharkov.ua. [online] Available at: http://repository.kpi.kharkov.ua/handle/KhPI-Press/50106.</w:t>
      </w:r>
    </w:p>
    <w:p w14:paraId="290D55B7" w14:textId="77777777" w:rsidR="00452C3E" w:rsidRDefault="00452C3E" w:rsidP="00C862EE">
      <w:pPr>
        <w:jc w:val="both"/>
      </w:pPr>
      <w:r>
        <w:lastRenderedPageBreak/>
        <w:t>Canada BDC (2021). What is corporate social responsibility (CSR). [online] BDC.ca. Available at: https://www.bdc.ca/en/articles-tools/entrepreneur-toolkit/templates-business-guides/glossary/corporate-social-responsibility [Accessed 29 Jan. 2022].</w:t>
      </w:r>
    </w:p>
    <w:p w14:paraId="7F9E23B8" w14:textId="77777777" w:rsidR="00452C3E" w:rsidRDefault="00452C3E" w:rsidP="00C862EE">
      <w:pPr>
        <w:jc w:val="both"/>
      </w:pPr>
      <w:r>
        <w:t xml:space="preserve">Chen, C.-C., Khan, A., </w:t>
      </w:r>
      <w:proofErr w:type="spellStart"/>
      <w:r>
        <w:t>Hongsuchon</w:t>
      </w:r>
      <w:proofErr w:type="spellEnd"/>
      <w:r>
        <w:t xml:space="preserve">, T., </w:t>
      </w:r>
      <w:proofErr w:type="spellStart"/>
      <w:r>
        <w:t>Ruangkanjanases</w:t>
      </w:r>
      <w:proofErr w:type="spellEnd"/>
      <w:r>
        <w:t xml:space="preserve">, A., Chen, Y.-T., </w:t>
      </w:r>
      <w:proofErr w:type="spellStart"/>
      <w:r>
        <w:t>Sivarak</w:t>
      </w:r>
      <w:proofErr w:type="spellEnd"/>
      <w:r>
        <w:t>, O. and Chen, S.-C. (2021). The Role of Corporate Social Responsibility and Corporate Image in Times of Crisis: The Mediating Role of Customer Trust. International Journal of Environmental Research and Public Health, 18(16), p.8275.</w:t>
      </w:r>
    </w:p>
    <w:p w14:paraId="70CD4CAA" w14:textId="77777777" w:rsidR="00452C3E" w:rsidRDefault="00452C3E" w:rsidP="00C862EE">
      <w:pPr>
        <w:jc w:val="both"/>
      </w:pPr>
      <w:proofErr w:type="spellStart"/>
      <w:r>
        <w:t>Chladek</w:t>
      </w:r>
      <w:proofErr w:type="spellEnd"/>
      <w:r>
        <w:t>, N. (2019). The Importance of Business Sustainability Strategies | HBS Online. [online] Business Insights - Blog. Available at: https://online.hbs.edu/blog/post/business-sustainability-strategies [Accessed 29 Jan. 2022].</w:t>
      </w:r>
    </w:p>
    <w:p w14:paraId="0F031BA8" w14:textId="77777777" w:rsidR="00452C3E" w:rsidRDefault="00452C3E" w:rsidP="00C862EE">
      <w:pPr>
        <w:jc w:val="both"/>
      </w:pPr>
      <w:r>
        <w:t>Coston, J.M. (1998). A Model and Typology of Government-NGO Relationships. Nonprofit and Voluntary Sector Quarterly, 27(3), pp.358–382.</w:t>
      </w:r>
    </w:p>
    <w:p w14:paraId="0548C64A" w14:textId="77777777" w:rsidR="00452C3E" w:rsidRDefault="00452C3E" w:rsidP="00C862EE">
      <w:pPr>
        <w:jc w:val="both"/>
      </w:pPr>
      <w:r>
        <w:t>CSR Hub Ireland (2021). CSR in the Public Sector. [online] www.csrhub.ie. Available at: http://www.csrhub.ie/csr-in-the-public-sector/#:~:text=The%20public%20sector%20also%20has%20a%20leadership%20role [Accessed 28 Jan. 2022].</w:t>
      </w:r>
    </w:p>
    <w:p w14:paraId="53EBB895" w14:textId="77777777" w:rsidR="00452C3E" w:rsidRDefault="00452C3E" w:rsidP="00C862EE">
      <w:pPr>
        <w:jc w:val="both"/>
      </w:pPr>
      <w:proofErr w:type="spellStart"/>
      <w:r>
        <w:t>Dabic</w:t>
      </w:r>
      <w:proofErr w:type="spellEnd"/>
      <w:r>
        <w:t xml:space="preserve">, M., </w:t>
      </w:r>
      <w:proofErr w:type="spellStart"/>
      <w:r>
        <w:t>Colovic</w:t>
      </w:r>
      <w:proofErr w:type="spellEnd"/>
      <w:r>
        <w:t xml:space="preserve">, A., </w:t>
      </w:r>
      <w:proofErr w:type="spellStart"/>
      <w:r>
        <w:t>Lamotte</w:t>
      </w:r>
      <w:proofErr w:type="spellEnd"/>
      <w:r>
        <w:t xml:space="preserve">, O., Painter-Morland, M. and </w:t>
      </w:r>
      <w:proofErr w:type="spellStart"/>
      <w:r>
        <w:t>Brozovic</w:t>
      </w:r>
      <w:proofErr w:type="spellEnd"/>
      <w:r>
        <w:t>, S. (2016). Industry-specific CSR: analysis of 20 years of research. European Business Review, 28(3), pp.250–273.</w:t>
      </w:r>
    </w:p>
    <w:p w14:paraId="151512B5" w14:textId="77777777" w:rsidR="00452C3E" w:rsidRDefault="00452C3E" w:rsidP="00C862EE">
      <w:pPr>
        <w:jc w:val="both"/>
      </w:pPr>
      <w:r>
        <w:t>Du, S., Bhattacharya, C.B. and Sen, S. (2010). Maximizing Business Returns to Corporate Social Responsibility (CSR): The Role of CSR Communication. International Journal of Management Reviews, [online] 12(1), pp.8–19. Available at: https://onlinelibrary.wiley.com/doi/abs/10.1111/j.1468-2370.2009.00276.x.</w:t>
      </w:r>
    </w:p>
    <w:p w14:paraId="647B76C7" w14:textId="77777777" w:rsidR="00452C3E" w:rsidRDefault="00452C3E" w:rsidP="00C862EE">
      <w:pPr>
        <w:jc w:val="both"/>
      </w:pPr>
      <w:r>
        <w:t>Eid, N. and Sabella, A.R. (2014). A fresh approach to corporate social responsibility (CSR): Partnerships between businesses and non-profit sectors. Corporate Governance International Journal of Business in Society, 14(3).</w:t>
      </w:r>
    </w:p>
    <w:p w14:paraId="6F88A601" w14:textId="77777777" w:rsidR="00452C3E" w:rsidRDefault="00452C3E" w:rsidP="00C862EE">
      <w:pPr>
        <w:jc w:val="both"/>
      </w:pPr>
      <w:r>
        <w:t>European Commission (2021). Corporate social responsibility &amp; Responsible business conduct. [online] ec.europa.eu. Available at: https://ec.europa.eu/growth/industry/sustainability/corporate-social-responsibility-responsible-business-conduct_en [Accessed 29 Jan. 2022].</w:t>
      </w:r>
    </w:p>
    <w:p w14:paraId="68555BE9" w14:textId="77777777" w:rsidR="00452C3E" w:rsidRDefault="00452C3E" w:rsidP="00C862EE">
      <w:pPr>
        <w:jc w:val="both"/>
      </w:pPr>
      <w:r>
        <w:lastRenderedPageBreak/>
        <w:t>Fernando, J. (2021). Corporate Social Responsibility (CSR). [online] Investopedia. Available at: https://www.investopedia.com/terms/c/corp-social-responsibility.asp [Accessed 29 Jan. 2022].</w:t>
      </w:r>
    </w:p>
    <w:p w14:paraId="2DB3FB0C" w14:textId="77777777" w:rsidR="00452C3E" w:rsidRDefault="00452C3E" w:rsidP="00C862EE">
      <w:pPr>
        <w:jc w:val="both"/>
      </w:pPr>
      <w:r>
        <w:t>Fordham, A.E. and Robinson, G.M. (2018). Mapping meanings of corporate social responsibility – an Australian case study. International Journal of Corporate Social Responsibility, [online] 3(1). Available at: https://jcsr.springeropen.com/articles/10.1186/s40991-018-0036-1.</w:t>
      </w:r>
    </w:p>
    <w:p w14:paraId="6CB2C96F" w14:textId="77777777" w:rsidR="00452C3E" w:rsidRDefault="00452C3E" w:rsidP="00C862EE">
      <w:pPr>
        <w:jc w:val="both"/>
      </w:pPr>
      <w:r>
        <w:t>Fox, T., Ward, H. and Howard, B. (2002). PUBLIC SECTOR ROLES IN STRENGTHENING CORPORATE SOCIAL RESPONSIBILITY: A BASELINE STUDY. [online] citeseerx.ist.psu.edu. Available at: https://citeseerx.ist.psu.edu/viewdoc/download?doi=10.1.1.484.76&amp;rep=rep1&amp;type=pdf [Accessed 29 Jan. 2022].</w:t>
      </w:r>
    </w:p>
    <w:p w14:paraId="21E68B81" w14:textId="77777777" w:rsidR="00452C3E" w:rsidRDefault="00452C3E" w:rsidP="00C862EE">
      <w:pPr>
        <w:jc w:val="both"/>
      </w:pPr>
      <w:r>
        <w:t>Freeman, R.E., Wicks, A.C. and Parmar, B. (2004). Stakeholder Theory and “The Corporate Objective Revisited.” Organization Science, [online] 15(3), pp.364–369. Available at: https://doi.org/10.1287/orsc.1040.0066.</w:t>
      </w:r>
    </w:p>
    <w:p w14:paraId="2482A829" w14:textId="77777777" w:rsidR="00452C3E" w:rsidRDefault="00452C3E" w:rsidP="00C862EE">
      <w:pPr>
        <w:jc w:val="both"/>
      </w:pPr>
      <w:proofErr w:type="spellStart"/>
      <w:r>
        <w:t>Frolova</w:t>
      </w:r>
      <w:proofErr w:type="spellEnd"/>
      <w:r>
        <w:t xml:space="preserve">, I. and </w:t>
      </w:r>
      <w:proofErr w:type="spellStart"/>
      <w:r>
        <w:t>Lapina</w:t>
      </w:r>
      <w:proofErr w:type="spellEnd"/>
      <w:r>
        <w:t>, I. (2015). Integration of CSR principles in quality management. International Journal of Quality and Service Sciences.</w:t>
      </w:r>
    </w:p>
    <w:p w14:paraId="4379EDA2" w14:textId="77777777" w:rsidR="00452C3E" w:rsidRDefault="00452C3E" w:rsidP="00C862EE">
      <w:pPr>
        <w:jc w:val="both"/>
      </w:pPr>
      <w:r>
        <w:t xml:space="preserve">Galbreath, J., </w:t>
      </w:r>
      <w:proofErr w:type="spellStart"/>
      <w:r>
        <w:t>Lucianetti</w:t>
      </w:r>
      <w:proofErr w:type="spellEnd"/>
      <w:r>
        <w:t>, L., Tisch, D. and Thomas, B. (2020). Firm strategy and CSR: the moderating role of performance management systems. Journal of Management &amp; Organization, pp.1–19.</w:t>
      </w:r>
    </w:p>
    <w:p w14:paraId="379E374B" w14:textId="77777777" w:rsidR="00452C3E" w:rsidRDefault="00452C3E" w:rsidP="00C862EE">
      <w:pPr>
        <w:jc w:val="both"/>
      </w:pPr>
      <w:r>
        <w:t xml:space="preserve">Germany Federal Ministry of </w:t>
      </w:r>
      <w:proofErr w:type="spellStart"/>
      <w:r>
        <w:t>Labour</w:t>
      </w:r>
      <w:proofErr w:type="spellEnd"/>
      <w:r>
        <w:t xml:space="preserve"> and Social Affairs (2021). Sustainability and CSR. [online] Germany Federal Ministry of </w:t>
      </w:r>
      <w:proofErr w:type="spellStart"/>
      <w:r>
        <w:t>Labour</w:t>
      </w:r>
      <w:proofErr w:type="spellEnd"/>
      <w:r>
        <w:t xml:space="preserve"> and Social Affairs. Available at: https://www.csr-in-deutschland.de/EN/What-is-CSR/Background/Sustainability-and-CSR/sustainability-and-csr.html#:~:text=%22Corporate%20social%20responsibility%22%2C%20or,for%20its%20impact%20on%20society [Accessed 29 Jan. 2022].</w:t>
      </w:r>
    </w:p>
    <w:p w14:paraId="4BBC111C" w14:textId="77777777" w:rsidR="00452C3E" w:rsidRDefault="00452C3E" w:rsidP="00C862EE">
      <w:pPr>
        <w:jc w:val="both"/>
      </w:pPr>
      <w:proofErr w:type="spellStart"/>
      <w:r>
        <w:t>Ging</w:t>
      </w:r>
      <w:proofErr w:type="spellEnd"/>
      <w:r>
        <w:t xml:space="preserve">, T. (2012). Corporate Social Responsibility: The Role and Reasons for Business Involvement in Sustainable Development | Specialty Coffee Association News. [online] </w:t>
      </w:r>
      <w:proofErr w:type="spellStart"/>
      <w:r>
        <w:t>Scanews.coffee</w:t>
      </w:r>
      <w:proofErr w:type="spellEnd"/>
      <w:r>
        <w:t>. Available at: https://scanews.coffee/2012/04/10/corporate-social-responsibility-the-role-and-reasons-for-business-involvement-in-sustainable-development/ [Accessed 30 May 2019].</w:t>
      </w:r>
    </w:p>
    <w:p w14:paraId="08E94959" w14:textId="77777777" w:rsidR="00452C3E" w:rsidRDefault="00452C3E" w:rsidP="00C862EE">
      <w:pPr>
        <w:jc w:val="both"/>
      </w:pPr>
      <w:proofErr w:type="spellStart"/>
      <w:r>
        <w:t>Gössling</w:t>
      </w:r>
      <w:proofErr w:type="spellEnd"/>
      <w:r>
        <w:t>, T. and Vocht, C. (2007). Social Role Conceptions and CSR Policy Success. Journal of Business Ethics, 74(4), pp.363–372.</w:t>
      </w:r>
    </w:p>
    <w:p w14:paraId="78AF9D91" w14:textId="77777777" w:rsidR="00452C3E" w:rsidRDefault="00452C3E" w:rsidP="00C862EE">
      <w:pPr>
        <w:jc w:val="both"/>
      </w:pPr>
      <w:r>
        <w:lastRenderedPageBreak/>
        <w:t>Gray, R., Bebbington, J. and Gray, S. (2010). Social and Environmental Accounting. [online] Available at: https://www.st-andrews.ac.uk/media/csear/discussion-papers/CSEAR_dps-socenv-socacc.pdf.</w:t>
      </w:r>
    </w:p>
    <w:p w14:paraId="043CB366" w14:textId="77777777" w:rsidR="00452C3E" w:rsidRDefault="00452C3E" w:rsidP="00C862EE">
      <w:pPr>
        <w:jc w:val="both"/>
      </w:pPr>
      <w:r>
        <w:t xml:space="preserve">Guarini, E. and </w:t>
      </w:r>
      <w:proofErr w:type="spellStart"/>
      <w:r>
        <w:t>Nidasio</w:t>
      </w:r>
      <w:proofErr w:type="spellEnd"/>
      <w:r>
        <w:t>, C. (2002). CSR Role in Public – Private Partnerships: Models of Governance. [online] papers.ssrn.com. Available at: https://papers.ssrn.com/sol3/papers.cfm?abstract_id=2379382 [Accessed 28 Jan. 2022].</w:t>
      </w:r>
    </w:p>
    <w:p w14:paraId="27BAFCF0" w14:textId="77777777" w:rsidR="00452C3E" w:rsidRDefault="00452C3E" w:rsidP="00C862EE">
      <w:pPr>
        <w:jc w:val="both"/>
      </w:pPr>
      <w:r>
        <w:t>ICAEW (2022). Environmental, social and sustainability reporting. [online] www.icaew.com. Available at: https://www.icaew.com/library/subject-gateways/environment-and-sustainability/environmental-social-and-sustainability-reporting [Accessed 28 Jan. 2022].</w:t>
      </w:r>
    </w:p>
    <w:p w14:paraId="4B865575" w14:textId="77777777" w:rsidR="00452C3E" w:rsidRDefault="00452C3E" w:rsidP="00C862EE">
      <w:pPr>
        <w:jc w:val="both"/>
      </w:pPr>
      <w:r>
        <w:t>Jamali, D. and Safadi, W.E. (2019). (PDF) Adaptations of CSR in the Context of Globalization. [online] ResearchGate. Available at: https://www.researchgate.net/publication/330949349_Adaptations_of_CSR_in_the_Context_of_Globalization [Accessed 29 Jan. 2022].</w:t>
      </w:r>
    </w:p>
    <w:p w14:paraId="7B895446" w14:textId="77777777" w:rsidR="00452C3E" w:rsidRDefault="00452C3E" w:rsidP="00C862EE">
      <w:pPr>
        <w:jc w:val="both"/>
      </w:pPr>
      <w:r>
        <w:t>Jang, S.S., So, H., Chung, Y. and Woo, C. (2019). CSR, social ties and firm performance. Corporate Governance.</w:t>
      </w:r>
    </w:p>
    <w:p w14:paraId="5E72FB69" w14:textId="77777777" w:rsidR="00452C3E" w:rsidRDefault="00452C3E" w:rsidP="00C862EE">
      <w:pPr>
        <w:jc w:val="both"/>
      </w:pPr>
      <w:r>
        <w:t>John Lewis Partnership (2020). ETHICS &amp; SUSTAINABILITY.</w:t>
      </w:r>
    </w:p>
    <w:p w14:paraId="7C23E041" w14:textId="77777777" w:rsidR="00452C3E" w:rsidRDefault="00452C3E" w:rsidP="00C862EE">
      <w:pPr>
        <w:jc w:val="both"/>
      </w:pPr>
      <w:r>
        <w:t>John Lewis Partnership (2021a). John Lewis Partnership - Aquaculture. [online] www.johnlewispartnership.co.uk. Available at: https://www.johnlewispartnership.co.uk/csr/our-strategy/aquaculture.html [Accessed 29 Jan. 2022].</w:t>
      </w:r>
    </w:p>
    <w:p w14:paraId="075F1A26" w14:textId="77777777" w:rsidR="00452C3E" w:rsidRDefault="00452C3E" w:rsidP="00C862EE">
      <w:pPr>
        <w:jc w:val="both"/>
      </w:pPr>
      <w:r>
        <w:t>John Lewis Partnership (2021b). John Lewis Partnership - People in supply chains. [online] www.johnlewispartnership.co.uk. Available at: https://www.johnlewispartnership.co.uk/csr/our-strategy/people-in-supply-chains.html [Accessed 29 Jan. 2022].</w:t>
      </w:r>
    </w:p>
    <w:p w14:paraId="667AD315" w14:textId="77777777" w:rsidR="00452C3E" w:rsidRDefault="00452C3E" w:rsidP="00C862EE">
      <w:pPr>
        <w:jc w:val="both"/>
      </w:pPr>
      <w:r>
        <w:t>John Lewis Partnership (2021c). John Lewis Partnership - Reporting. [online] www.johnlewispartnership.co.uk. Available at: https://www.johnlewispartnership.co.uk/csr/reporting.html [Accessed 29 Jan. 2022].</w:t>
      </w:r>
    </w:p>
    <w:p w14:paraId="1100BE13" w14:textId="77777777" w:rsidR="00452C3E" w:rsidRDefault="00452C3E" w:rsidP="00C862EE">
      <w:pPr>
        <w:jc w:val="both"/>
      </w:pPr>
      <w:r>
        <w:t>Kenton, W. (2019). Nonprofit Organization. [online] Investopedia. Available at: https://www.investopedia.com/terms/n/non-profitorganization.asp [Accessed 29 Jan. 2022].</w:t>
      </w:r>
    </w:p>
    <w:p w14:paraId="64889287" w14:textId="77777777" w:rsidR="00452C3E" w:rsidRDefault="00452C3E" w:rsidP="00C862EE">
      <w:pPr>
        <w:jc w:val="both"/>
      </w:pPr>
      <w:r>
        <w:t xml:space="preserve">Kolk, A. and </w:t>
      </w:r>
      <w:proofErr w:type="spellStart"/>
      <w:r>
        <w:t>Perego</w:t>
      </w:r>
      <w:proofErr w:type="spellEnd"/>
      <w:r>
        <w:t>, P. (2015). Social and Environmental Accounting. Wiley Encyclopedia of Management, 1, pp.1–6.</w:t>
      </w:r>
    </w:p>
    <w:p w14:paraId="666A24A6" w14:textId="648A8D7A" w:rsidR="00452C3E" w:rsidRDefault="00452C3E" w:rsidP="00C862EE">
      <w:pPr>
        <w:jc w:val="both"/>
      </w:pPr>
      <w:proofErr w:type="spellStart"/>
      <w:r>
        <w:lastRenderedPageBreak/>
        <w:t>Kumi</w:t>
      </w:r>
      <w:proofErr w:type="spellEnd"/>
      <w:r>
        <w:t xml:space="preserve">, E., Yeboah, T. and </w:t>
      </w:r>
      <w:proofErr w:type="spellStart"/>
      <w:r>
        <w:t>Kumi</w:t>
      </w:r>
      <w:proofErr w:type="spellEnd"/>
      <w:r>
        <w:t>, Y.A. (2020). Private sector participation in advancing the Sustainable Development Goals (SDGs) in Ghana: Experiences from the mining and telecommunications sectors. The Extractive Industries and Society, 7(1), pp.181–190.</w:t>
      </w:r>
    </w:p>
    <w:p w14:paraId="32627C21" w14:textId="5BF864F5" w:rsidR="00452C3E" w:rsidRDefault="00452C3E" w:rsidP="00C862EE">
      <w:pPr>
        <w:pStyle w:val="Bibliography"/>
        <w:jc w:val="both"/>
        <w:rPr>
          <w:noProof/>
        </w:rPr>
      </w:pPr>
      <w:r>
        <w:rPr>
          <w:noProof/>
        </w:rPr>
        <w:t xml:space="preserve">Kurpierz, J. R. &amp; Smith, K., 2020. The greenwashing triangle: adapting tools from fraud to improve CSR reporting. </w:t>
      </w:r>
      <w:r>
        <w:rPr>
          <w:i/>
          <w:iCs/>
          <w:noProof/>
        </w:rPr>
        <w:t xml:space="preserve">Sustainability Accounting, Management and Policy Journal, </w:t>
      </w:r>
      <w:r>
        <w:rPr>
          <w:noProof/>
        </w:rPr>
        <w:t>11(6).</w:t>
      </w:r>
    </w:p>
    <w:p w14:paraId="110CEBD2" w14:textId="0B606488" w:rsidR="00452C3E" w:rsidRDefault="00452C3E" w:rsidP="00C862EE">
      <w:pPr>
        <w:jc w:val="both"/>
      </w:pPr>
      <w:r>
        <w:t>Lewis, J. (2019). John Lewis Partnership - What we do. [online] Johnlewispartnership.co.uk. Available at: https://www.johnlewispartnership.co.uk/about/what-we-do.html [Accessed 29 Jan. 2022].</w:t>
      </w:r>
    </w:p>
    <w:p w14:paraId="0BFD74CD" w14:textId="3A8FA0F4" w:rsidR="00452C3E" w:rsidRDefault="00452C3E" w:rsidP="00C862EE">
      <w:pPr>
        <w:pStyle w:val="Bibliography"/>
        <w:jc w:val="both"/>
        <w:rPr>
          <w:noProof/>
        </w:rPr>
      </w:pPr>
      <w:r>
        <w:rPr>
          <w:noProof/>
        </w:rPr>
        <w:t xml:space="preserve">Lobschat, L. et al., (2021). Corporate digital responsibility. </w:t>
      </w:r>
      <w:r>
        <w:rPr>
          <w:i/>
          <w:iCs/>
          <w:noProof/>
        </w:rPr>
        <w:t xml:space="preserve">Journal of Business Research, </w:t>
      </w:r>
      <w:r>
        <w:rPr>
          <w:noProof/>
        </w:rPr>
        <w:t>Volume 122, pp. 875-888.</w:t>
      </w:r>
    </w:p>
    <w:p w14:paraId="37BF7FE7" w14:textId="77777777" w:rsidR="00452C3E" w:rsidRDefault="00452C3E" w:rsidP="00C862EE">
      <w:pPr>
        <w:jc w:val="both"/>
      </w:pPr>
      <w:r>
        <w:t>Miles, J.R. (2019). Corporate Social Responsibility 2.0, The Bold Plan to Transform Society. [online] Bold Business. Available at: https://www.boldbusiness.com/digital/corporate-social-responsibility-2-0-bold-plan-transform-society/ [Accessed 28 Jan. 2022].</w:t>
      </w:r>
    </w:p>
    <w:p w14:paraId="489A85A1" w14:textId="325DA8C4" w:rsidR="00452C3E" w:rsidRDefault="00452C3E" w:rsidP="00C862EE">
      <w:pPr>
        <w:jc w:val="both"/>
      </w:pPr>
      <w:proofErr w:type="spellStart"/>
      <w:r>
        <w:t>Moggi</w:t>
      </w:r>
      <w:proofErr w:type="spellEnd"/>
      <w:r>
        <w:t>, S., Bonomi, S. and Ricciardi, F. (2018). Against Food Waste: CSR for the Social and Environmental Impact through a Network-Based Organizational Model. Sustainability, 10(10), p.3515.</w:t>
      </w:r>
    </w:p>
    <w:p w14:paraId="4E203CEC" w14:textId="0A40FD87" w:rsidR="00452C3E" w:rsidRDefault="00452C3E" w:rsidP="00C862EE">
      <w:pPr>
        <w:pStyle w:val="Bibliography"/>
        <w:jc w:val="both"/>
        <w:rPr>
          <w:noProof/>
        </w:rPr>
      </w:pPr>
      <w:r>
        <w:rPr>
          <w:noProof/>
        </w:rPr>
        <w:t xml:space="preserve">National Health Executive, 2018. </w:t>
      </w:r>
      <w:r>
        <w:rPr>
          <w:i/>
          <w:iCs/>
          <w:noProof/>
        </w:rPr>
        <w:t xml:space="preserve">WannaCry cyber-attack cost the NHS £92m after 19,000 appointments were cancelled. </w:t>
      </w:r>
      <w:r>
        <w:rPr>
          <w:noProof/>
        </w:rPr>
        <w:t xml:space="preserve">[Online] </w:t>
      </w:r>
      <w:r>
        <w:rPr>
          <w:noProof/>
        </w:rPr>
        <w:br/>
        <w:t xml:space="preserve">Available at: </w:t>
      </w:r>
      <w:r>
        <w:rPr>
          <w:noProof/>
          <w:u w:val="single"/>
        </w:rPr>
        <w:t>https://www.nationalhealthexecutive.com/News/wannacry-cyber-attack-cost-the-nhs-92m-after-19000-appointments-were-cancelled</w:t>
      </w:r>
      <w:r>
        <w:rPr>
          <w:noProof/>
        </w:rPr>
        <w:br/>
        <w:t>[Accessed January 2022].</w:t>
      </w:r>
    </w:p>
    <w:p w14:paraId="6B053A9E" w14:textId="25269063" w:rsidR="00452C3E" w:rsidRDefault="00452C3E" w:rsidP="00C862EE">
      <w:pPr>
        <w:jc w:val="both"/>
      </w:pPr>
      <w:r>
        <w:t>Naqvi, A. (2018). How AI and robotics can transform CSR | Reuters Events | Sustainable Business. [online] www.reutersevents.com. Available at: https://www.reutersevents.com/sustainability/how-ai-and-robotics-can-transform-csr [Accessed 29 Jan. 2022].</w:t>
      </w:r>
    </w:p>
    <w:p w14:paraId="537DE055" w14:textId="1A6012E0" w:rsidR="00452C3E" w:rsidRDefault="00452C3E" w:rsidP="00C862EE">
      <w:pPr>
        <w:pStyle w:val="Bibliography"/>
        <w:jc w:val="both"/>
        <w:rPr>
          <w:noProof/>
        </w:rPr>
      </w:pPr>
      <w:r>
        <w:rPr>
          <w:noProof/>
        </w:rPr>
        <w:t xml:space="preserve">NHS, 2020. </w:t>
      </w:r>
      <w:r>
        <w:rPr>
          <w:i/>
          <w:iCs/>
          <w:noProof/>
        </w:rPr>
        <w:t xml:space="preserve">NHS Sustainability Report 2020, </w:t>
      </w:r>
      <w:r>
        <w:rPr>
          <w:noProof/>
        </w:rPr>
        <w:t>London: NHS.</w:t>
      </w:r>
    </w:p>
    <w:p w14:paraId="42A6A407" w14:textId="77777777" w:rsidR="00452C3E" w:rsidRDefault="00452C3E" w:rsidP="00C862EE">
      <w:pPr>
        <w:jc w:val="both"/>
      </w:pPr>
      <w:r>
        <w:t>Nguyen, T.H., Vu, Q.T., Nguyen, D.M. and Le, H.L. (2021). Factors Influencing Corporate Social Responsibility Disclosure and Its Impact on Financial Performance: The Case of Vietnam. Sustainability, 13(15), p.8197.</w:t>
      </w:r>
    </w:p>
    <w:p w14:paraId="0DEF784A" w14:textId="77777777" w:rsidR="00452C3E" w:rsidRDefault="00452C3E" w:rsidP="00C862EE">
      <w:pPr>
        <w:jc w:val="both"/>
      </w:pPr>
      <w:r>
        <w:t>Noh, J.E. (2017). The role of NGOs in building CSR discourse around human rights in developing countries. Cosmopolitan Civil Societies: An Interdisciplinary Journal.</w:t>
      </w:r>
    </w:p>
    <w:p w14:paraId="36E656E5" w14:textId="77777777" w:rsidR="00452C3E" w:rsidRDefault="00452C3E" w:rsidP="00C862EE">
      <w:pPr>
        <w:jc w:val="both"/>
      </w:pPr>
      <w:proofErr w:type="spellStart"/>
      <w:r>
        <w:lastRenderedPageBreak/>
        <w:t>Nwagbara</w:t>
      </w:r>
      <w:proofErr w:type="spellEnd"/>
      <w:r>
        <w:t xml:space="preserve">, U., </w:t>
      </w:r>
      <w:proofErr w:type="spellStart"/>
      <w:r>
        <w:t>Chigozie</w:t>
      </w:r>
      <w:proofErr w:type="spellEnd"/>
      <w:r>
        <w:t xml:space="preserve">, A. and </w:t>
      </w:r>
      <w:proofErr w:type="spellStart"/>
      <w:r>
        <w:t>Ugwoji</w:t>
      </w:r>
      <w:proofErr w:type="spellEnd"/>
      <w:r>
        <w:t xml:space="preserve"> (2015). Economic Insights -Trends and Challenges Corporate Governance, CSR Reporting and Accountability: The Case of Nigeria. [online] Available at: http://upg-bulletin-se.ro/old_site/archive/2015-1/9.Nwagbara_Ugwoji.pdf [Accessed 28 Jan. 2022].</w:t>
      </w:r>
    </w:p>
    <w:p w14:paraId="3DA068E2" w14:textId="77777777" w:rsidR="00452C3E" w:rsidRDefault="00452C3E" w:rsidP="00C862EE">
      <w:pPr>
        <w:jc w:val="both"/>
      </w:pPr>
      <w:proofErr w:type="spellStart"/>
      <w:r>
        <w:t>O’Riordan</w:t>
      </w:r>
      <w:proofErr w:type="spellEnd"/>
      <w:r>
        <w:t>, L. and Fairbrass, J. (2008). Corporate Social Responsibility (CSR): Models and Theories in Stakeholder Dialogue. Journal of Business Ethics, 83(4), pp.745–758.</w:t>
      </w:r>
    </w:p>
    <w:p w14:paraId="4DE469D6" w14:textId="7D129575" w:rsidR="00452C3E" w:rsidRDefault="00452C3E" w:rsidP="00C862EE">
      <w:pPr>
        <w:jc w:val="both"/>
      </w:pPr>
      <w:r>
        <w:t>Oster, S.M. (1996). Nonprofit organizations and their local affiliates: A study in organizational forms. Journal of Economic Behavior &amp; Organization, 30(1), pp.83–95.</w:t>
      </w:r>
    </w:p>
    <w:p w14:paraId="4CFCB0E6" w14:textId="52F6025C" w:rsidR="00452C3E" w:rsidRDefault="00452C3E" w:rsidP="00C862EE">
      <w:pPr>
        <w:pStyle w:val="Bibliography"/>
        <w:jc w:val="both"/>
        <w:rPr>
          <w:noProof/>
        </w:rPr>
      </w:pPr>
      <w:r>
        <w:rPr>
          <w:noProof/>
        </w:rPr>
        <w:t xml:space="preserve">Orbik, Z., 2016. Humanistic Dimension of Business Ethics. </w:t>
      </w:r>
      <w:r>
        <w:rPr>
          <w:i/>
          <w:iCs/>
          <w:noProof/>
        </w:rPr>
        <w:t xml:space="preserve">Business Ethics and Sustainable Development, </w:t>
      </w:r>
      <w:r>
        <w:rPr>
          <w:noProof/>
        </w:rPr>
        <w:t>Volume 2, pp. 93-103.</w:t>
      </w:r>
    </w:p>
    <w:p w14:paraId="4EBD1860" w14:textId="77777777" w:rsidR="00452C3E" w:rsidRDefault="00452C3E" w:rsidP="00C862EE">
      <w:pPr>
        <w:jc w:val="both"/>
      </w:pPr>
      <w:r>
        <w:t>Oxfam (2018). Oxfam Employee Code of Conduct. [online] Available at: https://www.oxfam.org.uk/documents/24/OxfamCodeofConduct.pdf [Accessed 28 Jan. 2022].</w:t>
      </w:r>
    </w:p>
    <w:p w14:paraId="475CE85A" w14:textId="77777777" w:rsidR="00452C3E" w:rsidRDefault="00452C3E" w:rsidP="00C862EE">
      <w:pPr>
        <w:jc w:val="both"/>
      </w:pPr>
      <w:r>
        <w:t>Oxfam (2021a). Corporate partnerships. [online] www.oxfamamerica.org. Available at: https://www.oxfamamerica.org/donate/corporate-engagement/ [Accessed 28 Jan. 2022].</w:t>
      </w:r>
    </w:p>
    <w:p w14:paraId="524A977E" w14:textId="77777777" w:rsidR="00452C3E" w:rsidRDefault="00452C3E" w:rsidP="00C862EE">
      <w:pPr>
        <w:jc w:val="both"/>
      </w:pPr>
      <w:r>
        <w:t>Oxfam (2021b). Going Digital: Privacy and data security under GDPR for quantitative impact evaluation. [online] Oxfam Policy &amp; Practice. Available at: https://policy-practice.oxfam.org/resources/going-digital-privacy-and-data-security-under-gdpr-for-quantitative-impact-eval-620884/ [Accessed 28 Jan. 2022].</w:t>
      </w:r>
    </w:p>
    <w:p w14:paraId="12A28B9A" w14:textId="77777777" w:rsidR="00452C3E" w:rsidRDefault="00452C3E" w:rsidP="00C862EE">
      <w:pPr>
        <w:jc w:val="both"/>
      </w:pPr>
      <w:r>
        <w:t>Oxfam (2021c). Going Digital: Using digital technology to conduct Oxfam’s Effectiveness Reviews. [online] Oxfam Policy &amp; Practice. Available at: https://policy-practice.oxfam.org/resources/going-digital-using-digital-technology-to-conduct-oxfams-effectiveness-reviews-578816/ [Accessed 28 Jan. 2022].</w:t>
      </w:r>
    </w:p>
    <w:p w14:paraId="00D249B9" w14:textId="77777777" w:rsidR="00452C3E" w:rsidRDefault="00452C3E" w:rsidP="00C862EE">
      <w:pPr>
        <w:jc w:val="both"/>
      </w:pPr>
      <w:r>
        <w:t>Oxfam (2021d). Oxfam GB | Oxfam in action. [online] Oxfam GB. Available at: https://www.oxfam.org.uk/oxfam-in-action/ [Accessed 29 Jan. 2022].</w:t>
      </w:r>
    </w:p>
    <w:p w14:paraId="1E62E938" w14:textId="77777777" w:rsidR="00452C3E" w:rsidRDefault="00452C3E" w:rsidP="00C862EE">
      <w:pPr>
        <w:jc w:val="both"/>
      </w:pPr>
      <w:r>
        <w:t>Oxfam (2022a). Oxfam GB | Corporate responsibility. [online] Oxfam GB. Available at: https://www.oxfam.org.uk/about-us/plans-reports-and-policies/corporate-responsibility/ [Accessed 29 Jan. 2022].</w:t>
      </w:r>
    </w:p>
    <w:p w14:paraId="5399C6DC" w14:textId="77777777" w:rsidR="00452C3E" w:rsidRDefault="00452C3E" w:rsidP="00C862EE">
      <w:pPr>
        <w:jc w:val="both"/>
      </w:pPr>
      <w:r>
        <w:t>Oxfam (2022b). Technology Archives. [online] Oxfam Policy &amp; Practice. Available at: https://policy-practice.oxfam.org/keyword/technology/ [Accessed 28 Jan. 2022].</w:t>
      </w:r>
    </w:p>
    <w:p w14:paraId="4D6ED022" w14:textId="77777777" w:rsidR="00452C3E" w:rsidRDefault="00452C3E" w:rsidP="00C862EE">
      <w:pPr>
        <w:jc w:val="both"/>
      </w:pPr>
      <w:r>
        <w:lastRenderedPageBreak/>
        <w:t>Oxfam GB (2021). OXFAM GB Trustees’ Annual Report 2020/21. [online] Available at: https://www.oxfam.org.uk/documents/540/Oxfam-Annual-Report-and-Accounts-2020-21.pdf [Accessed 29 Jan. 2022].</w:t>
      </w:r>
    </w:p>
    <w:p w14:paraId="2F338138" w14:textId="77777777" w:rsidR="00452C3E" w:rsidRDefault="00452C3E" w:rsidP="00C862EE">
      <w:pPr>
        <w:jc w:val="both"/>
      </w:pPr>
      <w:r>
        <w:t>Oxfam Online Shop (2021). Oxfam Online Shop. [online] Oxfam.org.uk. Available at: https://onlineshop.oxfam.org.uk/ [Accessed 29 Jan. 2022].</w:t>
      </w:r>
    </w:p>
    <w:p w14:paraId="65F10527" w14:textId="2B9FC218" w:rsidR="00452C3E" w:rsidRDefault="00452C3E" w:rsidP="00C862EE">
      <w:pPr>
        <w:jc w:val="both"/>
      </w:pPr>
      <w:r>
        <w:t>Pan, X., Sinha, P. and Chen, X. (2020). Corporate social responsibility and eco-innovation: The triple bottom line perspective. Corporate Social Responsibility and Environmental Management.</w:t>
      </w:r>
    </w:p>
    <w:p w14:paraId="2AE5EBF6" w14:textId="1B7E8D07" w:rsidR="00452C3E" w:rsidRDefault="00452C3E" w:rsidP="00C862EE">
      <w:pPr>
        <w:pStyle w:val="Bibliography"/>
        <w:jc w:val="both"/>
        <w:rPr>
          <w:noProof/>
        </w:rPr>
      </w:pPr>
      <w:r>
        <w:rPr>
          <w:noProof/>
        </w:rPr>
        <w:t xml:space="preserve">Phelan, B., 2017. </w:t>
      </w:r>
      <w:r>
        <w:rPr>
          <w:i/>
          <w:iCs/>
          <w:noProof/>
        </w:rPr>
        <w:t xml:space="preserve">Corporate Social Responsibility: the role of the Public Sector and the future direction of sustainable development. </w:t>
      </w:r>
      <w:r>
        <w:rPr>
          <w:noProof/>
        </w:rPr>
        <w:t xml:space="preserve">[Online] </w:t>
      </w:r>
      <w:r>
        <w:rPr>
          <w:noProof/>
        </w:rPr>
        <w:br/>
        <w:t xml:space="preserve">Available at: </w:t>
      </w:r>
      <w:r>
        <w:rPr>
          <w:noProof/>
          <w:u w:val="single"/>
        </w:rPr>
        <w:t>https://pai.ie/corporate-social-responsibility-role-public-sector-future-direction-sustainable-development/</w:t>
      </w:r>
      <w:r>
        <w:rPr>
          <w:noProof/>
        </w:rPr>
        <w:br/>
        <w:t>[Accessed January 2022].</w:t>
      </w:r>
    </w:p>
    <w:p w14:paraId="6A5F91C4" w14:textId="34913D7E" w:rsidR="00452C3E" w:rsidRDefault="00452C3E" w:rsidP="00C862EE">
      <w:pPr>
        <w:jc w:val="both"/>
      </w:pPr>
      <w:r>
        <w:t>PwC (2015). State-Owned Enterprises Catalysts for public value creation? [online] Available at: https://www.pwc.com/gx/en/psrc/publications/assets/pwc-state-owned-enterprise-psrc.pdf [Accessed 29 Jan. 2022].</w:t>
      </w:r>
    </w:p>
    <w:p w14:paraId="42F0E224" w14:textId="725E5AB2" w:rsidR="00452C3E" w:rsidRDefault="00452C3E" w:rsidP="00C862EE">
      <w:pPr>
        <w:pStyle w:val="Bibliography"/>
        <w:jc w:val="both"/>
        <w:rPr>
          <w:noProof/>
        </w:rPr>
      </w:pPr>
      <w:r>
        <w:rPr>
          <w:noProof/>
        </w:rPr>
        <w:t xml:space="preserve">PwC, 2018. </w:t>
      </w:r>
      <w:r>
        <w:rPr>
          <w:i/>
          <w:iCs/>
          <w:noProof/>
        </w:rPr>
        <w:t xml:space="preserve">Climate change and resource scarcity, </w:t>
      </w:r>
      <w:r>
        <w:rPr>
          <w:noProof/>
        </w:rPr>
        <w:t>s.l.: PWC.</w:t>
      </w:r>
    </w:p>
    <w:p w14:paraId="6F67FBEB" w14:textId="77777777" w:rsidR="00452C3E" w:rsidRDefault="00452C3E" w:rsidP="00C862EE">
      <w:pPr>
        <w:jc w:val="both"/>
      </w:pPr>
      <w:r>
        <w:t>Rifai, T. (2011). CSR and Sustainability in the Global Tourism Sector – Best Practice Initiatives from the Public and Private Sector. Trends and Issues in Global Tourism 2012, [online] pp.201–205. Available at: https://link.springer.com/chapter/10.1007/978-3-642-27404-6_16 [Accessed 20 Aug. 2019].</w:t>
      </w:r>
    </w:p>
    <w:p w14:paraId="03385FE9" w14:textId="77777777" w:rsidR="00452C3E" w:rsidRDefault="00452C3E" w:rsidP="00C862EE">
      <w:pPr>
        <w:jc w:val="both"/>
      </w:pPr>
      <w:proofErr w:type="spellStart"/>
      <w:r>
        <w:t>Rius</w:t>
      </w:r>
      <w:proofErr w:type="spellEnd"/>
      <w:r>
        <w:t xml:space="preserve">, A. (2016). </w:t>
      </w:r>
      <w:proofErr w:type="spellStart"/>
      <w:r>
        <w:t>Globalisation</w:t>
      </w:r>
      <w:proofErr w:type="spellEnd"/>
      <w:r>
        <w:t xml:space="preserve"> impact on CSR issues. [online] www.linkedin.com. Available at: https://www.linkedin.com/pulse/globalisation-impact-csr-issues-alex-rius#:~:text=Corporate%20social%20responsibility%20(CSR)%20of [Accessed 29 Jan. 2022].</w:t>
      </w:r>
    </w:p>
    <w:p w14:paraId="24C412BC" w14:textId="77777777" w:rsidR="00452C3E" w:rsidRDefault="00452C3E" w:rsidP="00C862EE">
      <w:pPr>
        <w:jc w:val="both"/>
      </w:pPr>
      <w:r>
        <w:t>Society, N.G. (2019). Globalization. [online] National Geographic Society. Available at: https://www.nationalgeographic.org/encyclopedia/globalization/#:~:text=Globalization%20is%20a%20term%20used%20to%20describe%20how%20trade%20and [Accessed 29 Jan. 2022].</w:t>
      </w:r>
    </w:p>
    <w:p w14:paraId="110F8CC5" w14:textId="77777777" w:rsidR="00452C3E" w:rsidRDefault="00452C3E" w:rsidP="00C862EE">
      <w:pPr>
        <w:jc w:val="both"/>
      </w:pPr>
      <w:proofErr w:type="spellStart"/>
      <w:r>
        <w:t>Spiliakos</w:t>
      </w:r>
      <w:proofErr w:type="spellEnd"/>
      <w:r>
        <w:t>, A. (2018). What Does “Sustainability” Mean in Business? [online] Business Insights - Blog. Available at: https://online.hbs.edu/blog/post/what-is-sustainability-in-business [Accessed 29 Jan. 2022].</w:t>
      </w:r>
    </w:p>
    <w:p w14:paraId="1C981D36" w14:textId="77777777" w:rsidR="00452C3E" w:rsidRDefault="00452C3E" w:rsidP="00C862EE">
      <w:pPr>
        <w:jc w:val="both"/>
      </w:pPr>
      <w:r>
        <w:lastRenderedPageBreak/>
        <w:t>Staff, I. (2021). Private Sector Definition. [online] Investopedia. Available at: https://www.investopedia.com/terms/p/private-sector.asp#:~:text=The%20private%20sector%20is%20the%20segment%20of%20a [Accessed 29 Jan. 2022].</w:t>
      </w:r>
    </w:p>
    <w:p w14:paraId="12A56A93" w14:textId="77777777" w:rsidR="00452C3E" w:rsidRDefault="00452C3E" w:rsidP="00C862EE">
      <w:pPr>
        <w:jc w:val="both"/>
      </w:pPr>
      <w:proofErr w:type="spellStart"/>
      <w:r>
        <w:t>StudyMoose</w:t>
      </w:r>
      <w:proofErr w:type="spellEnd"/>
      <w:r>
        <w:t xml:space="preserve"> (2016). The role of Technology in Corporate Social Responsibility Programs Free Essay Example. [online] </w:t>
      </w:r>
      <w:proofErr w:type="spellStart"/>
      <w:r>
        <w:t>StudyMoose</w:t>
      </w:r>
      <w:proofErr w:type="spellEnd"/>
      <w:r>
        <w:t>. Available at: https://studymoose.com/the-role-of-technology-in-corporate-social-responsibility-programs-essay [Accessed 28 Jan. 2022].</w:t>
      </w:r>
    </w:p>
    <w:p w14:paraId="6EF64797" w14:textId="23DF7DA1" w:rsidR="00452C3E" w:rsidRDefault="00452C3E" w:rsidP="00C862EE">
      <w:pPr>
        <w:jc w:val="both"/>
      </w:pPr>
      <w:r>
        <w:t>Thacker, H. (2020). What is CSR? [online] The CSR Journal. Available at: https://thecsrjournal.in/what-is-csr-corporate-social-responsibility/ [Accessed 29 Jan. 2022].</w:t>
      </w:r>
    </w:p>
    <w:p w14:paraId="21AC67B9" w14:textId="4FCEDC4E" w:rsidR="009B4F97" w:rsidRDefault="009B4F97" w:rsidP="00C862EE">
      <w:pPr>
        <w:pStyle w:val="Bibliography"/>
        <w:jc w:val="both"/>
        <w:rPr>
          <w:noProof/>
        </w:rPr>
      </w:pPr>
      <w:r>
        <w:rPr>
          <w:noProof/>
        </w:rPr>
        <w:t xml:space="preserve">UCLH Biomedical Research Centre, n.d. </w:t>
      </w:r>
      <w:r>
        <w:rPr>
          <w:i/>
          <w:iCs/>
          <w:noProof/>
        </w:rPr>
        <w:t xml:space="preserve">Making a difference - data science and AI transform health services. </w:t>
      </w:r>
      <w:r>
        <w:rPr>
          <w:noProof/>
        </w:rPr>
        <w:t xml:space="preserve">[Online] </w:t>
      </w:r>
      <w:r>
        <w:rPr>
          <w:noProof/>
        </w:rPr>
        <w:br/>
        <w:t xml:space="preserve">Available at: </w:t>
      </w:r>
      <w:r>
        <w:rPr>
          <w:noProof/>
          <w:u w:val="single"/>
        </w:rPr>
        <w:t>https://www.uclhospitals.brc.nihr.ac.uk/making-difference-data-science-and-ai-transform-health-services</w:t>
      </w:r>
      <w:r>
        <w:rPr>
          <w:noProof/>
        </w:rPr>
        <w:br/>
        <w:t>[Accessed January 2022].</w:t>
      </w:r>
    </w:p>
    <w:p w14:paraId="6E13E012" w14:textId="77777777" w:rsidR="009B4F97" w:rsidRDefault="009B4F97" w:rsidP="00C862EE">
      <w:pPr>
        <w:pStyle w:val="Bibliography"/>
        <w:jc w:val="both"/>
        <w:rPr>
          <w:noProof/>
        </w:rPr>
      </w:pPr>
      <w:r>
        <w:rPr>
          <w:noProof/>
        </w:rPr>
        <w:t xml:space="preserve">UCLH Foundation Trust, 2020. </w:t>
      </w:r>
      <w:r>
        <w:rPr>
          <w:i/>
          <w:iCs/>
          <w:noProof/>
        </w:rPr>
        <w:t xml:space="preserve">UCLH Green Plan 2020-2025, </w:t>
      </w:r>
      <w:r>
        <w:rPr>
          <w:noProof/>
        </w:rPr>
        <w:t>s.l.: UCLH Foundation Trust.</w:t>
      </w:r>
    </w:p>
    <w:p w14:paraId="0B8817C4" w14:textId="77777777" w:rsidR="009B4F97" w:rsidRDefault="009B4F97" w:rsidP="00C862EE">
      <w:pPr>
        <w:pStyle w:val="Bibliography"/>
        <w:jc w:val="both"/>
        <w:rPr>
          <w:noProof/>
        </w:rPr>
      </w:pPr>
      <w:r>
        <w:rPr>
          <w:noProof/>
        </w:rPr>
        <w:t xml:space="preserve">UCLH Foundation Trust, 2021. </w:t>
      </w:r>
      <w:r>
        <w:rPr>
          <w:i/>
          <w:iCs/>
          <w:noProof/>
        </w:rPr>
        <w:t xml:space="preserve">Facing the pandemic as a digital hospital. </w:t>
      </w:r>
      <w:r>
        <w:rPr>
          <w:noProof/>
        </w:rPr>
        <w:t xml:space="preserve">[Online] </w:t>
      </w:r>
      <w:r>
        <w:rPr>
          <w:noProof/>
        </w:rPr>
        <w:br/>
        <w:t xml:space="preserve">Available at: </w:t>
      </w:r>
      <w:r>
        <w:rPr>
          <w:noProof/>
          <w:u w:val="single"/>
        </w:rPr>
        <w:t>https://www.uclh.nhs.uk/news/facing-pandemic-digital-hospital</w:t>
      </w:r>
      <w:r>
        <w:rPr>
          <w:noProof/>
        </w:rPr>
        <w:br/>
        <w:t>[Accessed January 2022].</w:t>
      </w:r>
    </w:p>
    <w:p w14:paraId="7F046C2D" w14:textId="77777777" w:rsidR="009B4F97" w:rsidRDefault="009B4F97" w:rsidP="00C862EE">
      <w:pPr>
        <w:pStyle w:val="Bibliography"/>
        <w:jc w:val="both"/>
        <w:rPr>
          <w:noProof/>
        </w:rPr>
      </w:pPr>
      <w:r>
        <w:rPr>
          <w:noProof/>
        </w:rPr>
        <w:t xml:space="preserve">UCLH Foundation Trust, 2022. </w:t>
      </w:r>
      <w:r>
        <w:rPr>
          <w:i/>
          <w:iCs/>
          <w:noProof/>
        </w:rPr>
        <w:t xml:space="preserve">Climate action and sustainability, UCLH Foundation Trust. </w:t>
      </w:r>
      <w:r>
        <w:rPr>
          <w:noProof/>
        </w:rPr>
        <w:t xml:space="preserve">[Online] </w:t>
      </w:r>
      <w:r>
        <w:rPr>
          <w:noProof/>
        </w:rPr>
        <w:br/>
        <w:t xml:space="preserve">Available at: </w:t>
      </w:r>
      <w:r>
        <w:rPr>
          <w:noProof/>
          <w:u w:val="single"/>
        </w:rPr>
        <w:t>https://www.uclh.nhs.uk/about-us/what-we-do/our-policies-and-statements/sustainability</w:t>
      </w:r>
      <w:r>
        <w:rPr>
          <w:noProof/>
        </w:rPr>
        <w:br/>
        <w:t>[Accessed January 2022].</w:t>
      </w:r>
    </w:p>
    <w:p w14:paraId="67B70078" w14:textId="77777777" w:rsidR="009B4F97" w:rsidRDefault="009B4F97" w:rsidP="00C862EE">
      <w:pPr>
        <w:pStyle w:val="Bibliography"/>
        <w:jc w:val="both"/>
        <w:rPr>
          <w:noProof/>
        </w:rPr>
      </w:pPr>
      <w:r>
        <w:rPr>
          <w:noProof/>
        </w:rPr>
        <w:t xml:space="preserve">UK Government, 2021. </w:t>
      </w:r>
      <w:r>
        <w:rPr>
          <w:i/>
          <w:iCs/>
          <w:noProof/>
        </w:rPr>
        <w:t xml:space="preserve">Direct and Indirect health impacts of COVID-19 in England, </w:t>
      </w:r>
      <w:r>
        <w:rPr>
          <w:noProof/>
        </w:rPr>
        <w:t>London: UK Government.</w:t>
      </w:r>
    </w:p>
    <w:p w14:paraId="7299DAD3" w14:textId="77777777" w:rsidR="009B4F97" w:rsidRDefault="009B4F97" w:rsidP="00C862EE">
      <w:pPr>
        <w:pStyle w:val="Bibliography"/>
        <w:jc w:val="both"/>
        <w:rPr>
          <w:noProof/>
        </w:rPr>
      </w:pPr>
      <w:r>
        <w:rPr>
          <w:noProof/>
        </w:rPr>
        <w:t xml:space="preserve">University College London Hospital Foundation Trust, 2022. </w:t>
      </w:r>
      <w:r>
        <w:rPr>
          <w:i/>
          <w:iCs/>
          <w:noProof/>
        </w:rPr>
        <w:t xml:space="preserve">University College London Hospital Foundation Trust. </w:t>
      </w:r>
      <w:r>
        <w:rPr>
          <w:noProof/>
        </w:rPr>
        <w:t xml:space="preserve">[Online] </w:t>
      </w:r>
      <w:r>
        <w:rPr>
          <w:noProof/>
        </w:rPr>
        <w:br/>
        <w:t xml:space="preserve">Available at: </w:t>
      </w:r>
      <w:r>
        <w:rPr>
          <w:noProof/>
          <w:u w:val="single"/>
        </w:rPr>
        <w:t>https://www.uclh.nhs.uk</w:t>
      </w:r>
      <w:r>
        <w:rPr>
          <w:noProof/>
        </w:rPr>
        <w:br/>
        <w:t>[Accessed January 2022].</w:t>
      </w:r>
    </w:p>
    <w:p w14:paraId="4FE33ED6" w14:textId="4DE66D1C" w:rsidR="009B4F97" w:rsidRDefault="009B4F97" w:rsidP="00C862EE">
      <w:pPr>
        <w:pStyle w:val="Bibliography"/>
        <w:jc w:val="both"/>
        <w:rPr>
          <w:noProof/>
        </w:rPr>
      </w:pPr>
      <w:r>
        <w:rPr>
          <w:noProof/>
        </w:rPr>
        <w:lastRenderedPageBreak/>
        <w:t xml:space="preserve">Uyar, A., S.Karaman, A. &amp; Kilic, M., 2020. Is corporate social responsibility reporting a tool of signaling or greenwashing? Evidence from the worldwide logistics sector. </w:t>
      </w:r>
      <w:r>
        <w:rPr>
          <w:i/>
          <w:iCs/>
          <w:noProof/>
        </w:rPr>
        <w:t xml:space="preserve">Journal of Cleaner Production, </w:t>
      </w:r>
      <w:r>
        <w:rPr>
          <w:noProof/>
        </w:rPr>
        <w:t>Volume 253.</w:t>
      </w:r>
    </w:p>
    <w:p w14:paraId="792562EA" w14:textId="77777777" w:rsidR="00452C3E" w:rsidRDefault="00452C3E" w:rsidP="00C862EE">
      <w:pPr>
        <w:jc w:val="both"/>
      </w:pPr>
      <w:proofErr w:type="spellStart"/>
      <w:r>
        <w:t>Valentinov</w:t>
      </w:r>
      <w:proofErr w:type="spellEnd"/>
      <w:r>
        <w:t xml:space="preserve"> (2021). Corporate social responsibility and the nonprofit sector: exploring the common ground. </w:t>
      </w:r>
      <w:proofErr w:type="spellStart"/>
      <w:r>
        <w:t>Kybernetes</w:t>
      </w:r>
      <w:proofErr w:type="spellEnd"/>
      <w:r>
        <w:t>, 50(9).</w:t>
      </w:r>
    </w:p>
    <w:p w14:paraId="2A509CFA" w14:textId="2794BCAC" w:rsidR="00452C3E" w:rsidRDefault="00452C3E" w:rsidP="00C862EE">
      <w:pPr>
        <w:jc w:val="both"/>
      </w:pPr>
      <w:r>
        <w:t xml:space="preserve">Waters, R. and Ott, H. (2014). Corporate Social Responsibility and the Nonprofit Sector: Assessing the Thoughts and Practices Across Three Nonprofit Subsectors. Public and Nonprofit Administration. [online] Available at: </w:t>
      </w:r>
      <w:hyperlink r:id="rId13" w:history="1">
        <w:r w:rsidR="009B4F97" w:rsidRPr="00897793">
          <w:rPr>
            <w:rStyle w:val="Hyperlink"/>
          </w:rPr>
          <w:t>https://repository.usfca.edu/pna/23/</w:t>
        </w:r>
      </w:hyperlink>
      <w:r>
        <w:t>.</w:t>
      </w:r>
    </w:p>
    <w:sdt>
      <w:sdtPr>
        <w:id w:val="-567722670"/>
        <w:docPartObj>
          <w:docPartGallery w:val="Bibliographies"/>
          <w:docPartUnique/>
        </w:docPartObj>
      </w:sdtPr>
      <w:sdtEndPr/>
      <w:sdtContent>
        <w:p w14:paraId="1BEB4FF4" w14:textId="317AFA08" w:rsidR="009B4F97" w:rsidRDefault="009B4F97" w:rsidP="00C862EE">
          <w:pPr>
            <w:pStyle w:val="Bibliography"/>
            <w:jc w:val="both"/>
            <w:rPr>
              <w:noProof/>
            </w:rPr>
          </w:pPr>
          <w:r>
            <w:rPr>
              <w:noProof/>
            </w:rPr>
            <w:t xml:space="preserve">Wade, M., 2020. </w:t>
          </w:r>
          <w:r>
            <w:rPr>
              <w:i/>
              <w:iCs/>
              <w:noProof/>
            </w:rPr>
            <w:t xml:space="preserve">Corporate Responsibility in the Digital Era. </w:t>
          </w:r>
          <w:r>
            <w:rPr>
              <w:noProof/>
            </w:rPr>
            <w:t xml:space="preserve">[Online] </w:t>
          </w:r>
          <w:r>
            <w:rPr>
              <w:noProof/>
            </w:rPr>
            <w:br/>
            <w:t xml:space="preserve">Available at: </w:t>
          </w:r>
          <w:r>
            <w:rPr>
              <w:noProof/>
              <w:u w:val="single"/>
            </w:rPr>
            <w:t>https://sloanreview.mit.edu/article/corporate-responsibility-in-the-digital-era/</w:t>
          </w:r>
          <w:r>
            <w:rPr>
              <w:noProof/>
            </w:rPr>
            <w:br/>
            <w:t>[Accessed January 2022].</w:t>
          </w:r>
        </w:p>
      </w:sdtContent>
    </w:sdt>
    <w:p w14:paraId="71A2E0EF" w14:textId="77777777" w:rsidR="00452C3E" w:rsidRDefault="00452C3E" w:rsidP="00C862EE">
      <w:pPr>
        <w:jc w:val="both"/>
      </w:pPr>
      <w:proofErr w:type="spellStart"/>
      <w:r>
        <w:t>Wegrich</w:t>
      </w:r>
      <w:proofErr w:type="spellEnd"/>
      <w:r>
        <w:t xml:space="preserve">, K. (2019). Public sector | economics. In: </w:t>
      </w:r>
      <w:proofErr w:type="spellStart"/>
      <w:r>
        <w:t>Encyclopædia</w:t>
      </w:r>
      <w:proofErr w:type="spellEnd"/>
      <w:r>
        <w:t xml:space="preserve"> Britannica. [online] Available at: https://www.britannica.com/topic/public-sector [Accessed 29 Jan. 2022].</w:t>
      </w:r>
    </w:p>
    <w:p w14:paraId="109C20EC" w14:textId="77777777" w:rsidR="00452C3E" w:rsidRDefault="00452C3E" w:rsidP="00C862EE">
      <w:pPr>
        <w:jc w:val="both"/>
      </w:pPr>
      <w:r>
        <w:t>Wu, W., Peng, F., Shan, Y.G. and Zhang, L. (2020). Litigation risk and firm performance: The effect of internal and external corporate governance. Corporate Governance: An International Review.</w:t>
      </w:r>
    </w:p>
    <w:p w14:paraId="50A7A705" w14:textId="77777777" w:rsidR="00452C3E" w:rsidRDefault="00452C3E" w:rsidP="00C862EE">
      <w:pPr>
        <w:jc w:val="both"/>
      </w:pPr>
      <w:proofErr w:type="spellStart"/>
      <w:r>
        <w:t>Yamanoğlu</w:t>
      </w:r>
      <w:proofErr w:type="spellEnd"/>
      <w:r>
        <w:t>, M.A. (2010). CSR Initiatives of Private Sector Companies in Turkey: Main Approaches, Issues and Motivations. 8(1).</w:t>
      </w:r>
    </w:p>
    <w:p w14:paraId="4ABF47E1" w14:textId="77777777" w:rsidR="00452C3E" w:rsidRDefault="00452C3E" w:rsidP="00C862EE">
      <w:pPr>
        <w:jc w:val="both"/>
      </w:pPr>
      <w:r>
        <w:t>Young, S. and Marais, M. (2012). A Multi-level Perspective of CSR Reporting: The Implications of National Institutions and Industry Risk Characteristics. Corporate Governance: An International Review, 20(5), pp.432–450.</w:t>
      </w:r>
    </w:p>
    <w:p w14:paraId="301BED18" w14:textId="2FC17456" w:rsidR="00E301B5" w:rsidRDefault="00452C3E" w:rsidP="00C862EE">
      <w:pPr>
        <w:jc w:val="both"/>
      </w:pPr>
      <w:r>
        <w:t xml:space="preserve">Zhu, Y., Sun, L.-Y. and Leung, A.S.M. (2013). Corporate social responsibility, firm reputation, and firm performance: The role of ethical leadership. Asia Pacific Journal of Management, [online] 31(4), pp.925–947. Available at: </w:t>
      </w:r>
      <w:hyperlink r:id="rId14" w:history="1">
        <w:r w:rsidRPr="00897793">
          <w:rPr>
            <w:rStyle w:val="Hyperlink"/>
          </w:rPr>
          <w:t>https://link.springer.com/article/10.1007%2Fs10490-013-9369-1</w:t>
        </w:r>
      </w:hyperlink>
      <w:r>
        <w:t>.</w:t>
      </w:r>
    </w:p>
    <w:p w14:paraId="43C70AE0" w14:textId="2B98D5D8" w:rsidR="00452C3E" w:rsidRDefault="00452C3E" w:rsidP="00C862EE">
      <w:pPr>
        <w:jc w:val="both"/>
      </w:pPr>
    </w:p>
    <w:p w14:paraId="319A0A99" w14:textId="77777777" w:rsidR="00452C3E" w:rsidRPr="00452C3E" w:rsidRDefault="00452C3E" w:rsidP="00C862EE">
      <w:pPr>
        <w:jc w:val="both"/>
      </w:pPr>
    </w:p>
    <w:p w14:paraId="02372184" w14:textId="652118C9" w:rsidR="00452C3E" w:rsidRDefault="00452C3E" w:rsidP="00C862EE">
      <w:pPr>
        <w:jc w:val="both"/>
      </w:pPr>
    </w:p>
    <w:p w14:paraId="371A258A" w14:textId="42DD4614" w:rsidR="00E301B5" w:rsidRDefault="00E301B5" w:rsidP="00C862EE">
      <w:pPr>
        <w:jc w:val="both"/>
      </w:pPr>
    </w:p>
    <w:p w14:paraId="3DD64B9A" w14:textId="77777777" w:rsidR="00452C3E" w:rsidRPr="00E301B5" w:rsidRDefault="00452C3E" w:rsidP="00C862EE">
      <w:pPr>
        <w:jc w:val="both"/>
      </w:pPr>
    </w:p>
    <w:p w14:paraId="54F6EC39" w14:textId="5C0DB418" w:rsidR="00FD1B6F" w:rsidRPr="0061334D" w:rsidRDefault="00FD1B6F" w:rsidP="00C862EE">
      <w:pPr>
        <w:jc w:val="both"/>
        <w:rPr>
          <w:shd w:val="clear" w:color="auto" w:fill="FFFFFF"/>
        </w:rPr>
      </w:pPr>
    </w:p>
    <w:p w14:paraId="14C2E70C" w14:textId="77777777" w:rsidR="000730CD" w:rsidRPr="0061334D" w:rsidRDefault="000730CD" w:rsidP="00C862EE">
      <w:pPr>
        <w:jc w:val="both"/>
        <w:rPr>
          <w:shd w:val="clear" w:color="auto" w:fill="FFFFFF"/>
        </w:rPr>
      </w:pPr>
    </w:p>
    <w:p w14:paraId="254BA1BE" w14:textId="77777777" w:rsidR="000730CD" w:rsidRPr="0061334D" w:rsidRDefault="000730CD" w:rsidP="00C862EE">
      <w:pPr>
        <w:jc w:val="both"/>
        <w:rPr>
          <w:shd w:val="clear" w:color="auto" w:fill="FFFFFF"/>
        </w:rPr>
      </w:pPr>
    </w:p>
    <w:p w14:paraId="07C4CC63" w14:textId="7D77340D" w:rsidR="000D0C84" w:rsidRDefault="000D0C84" w:rsidP="00C862EE">
      <w:pPr>
        <w:jc w:val="both"/>
      </w:pPr>
      <w:r>
        <w:br w:type="page"/>
      </w:r>
    </w:p>
    <w:p w14:paraId="2A77D2E8" w14:textId="77777777" w:rsidR="000D0C84" w:rsidRDefault="000D0C84" w:rsidP="00C862EE">
      <w:pPr>
        <w:jc w:val="both"/>
      </w:pPr>
    </w:p>
    <w:p w14:paraId="43E9197D" w14:textId="77777777" w:rsidR="000D0C84" w:rsidRPr="002A045B" w:rsidRDefault="000D0C84" w:rsidP="00C862EE">
      <w:pPr>
        <w:ind w:left="2160" w:firstLine="720"/>
        <w:jc w:val="both"/>
      </w:pPr>
    </w:p>
    <w:p w14:paraId="01816A7D" w14:textId="77777777" w:rsidR="00F87B95" w:rsidRPr="00F87B95" w:rsidRDefault="00F87B95" w:rsidP="00C862EE">
      <w:pPr>
        <w:jc w:val="both"/>
      </w:pPr>
    </w:p>
    <w:sectPr w:rsidR="00F87B95" w:rsidRPr="00F87B95">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9DE45" w14:textId="77777777" w:rsidR="000E51D7" w:rsidRDefault="000E51D7" w:rsidP="00C862EE">
      <w:pPr>
        <w:spacing w:after="0" w:line="240" w:lineRule="auto"/>
      </w:pPr>
      <w:r>
        <w:separator/>
      </w:r>
    </w:p>
  </w:endnote>
  <w:endnote w:type="continuationSeparator" w:id="0">
    <w:p w14:paraId="47D1498D" w14:textId="77777777" w:rsidR="000E51D7" w:rsidRDefault="000E51D7" w:rsidP="00C86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cumin Pro">
    <w:altName w:val="Calibri"/>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44196"/>
      <w:docPartObj>
        <w:docPartGallery w:val="Page Numbers (Bottom of Page)"/>
        <w:docPartUnique/>
      </w:docPartObj>
    </w:sdtPr>
    <w:sdtContent>
      <w:p w14:paraId="30608B7D" w14:textId="1B56613B" w:rsidR="00C862EE" w:rsidRDefault="00C862EE" w:rsidP="00ED6C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7E2510" w14:textId="77777777" w:rsidR="00C862EE" w:rsidRDefault="00C862EE" w:rsidP="00C862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109577"/>
      <w:docPartObj>
        <w:docPartGallery w:val="Page Numbers (Bottom of Page)"/>
        <w:docPartUnique/>
      </w:docPartObj>
    </w:sdtPr>
    <w:sdtContent>
      <w:p w14:paraId="1F6EE1FD" w14:textId="5B591E46" w:rsidR="00C862EE" w:rsidRDefault="00C862EE" w:rsidP="00ED6C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97AA58" w14:textId="77777777" w:rsidR="00C862EE" w:rsidRDefault="00C862EE" w:rsidP="00C862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EA9EA" w14:textId="77777777" w:rsidR="000E51D7" w:rsidRDefault="000E51D7" w:rsidP="00C862EE">
      <w:pPr>
        <w:spacing w:after="0" w:line="240" w:lineRule="auto"/>
      </w:pPr>
      <w:r>
        <w:separator/>
      </w:r>
    </w:p>
  </w:footnote>
  <w:footnote w:type="continuationSeparator" w:id="0">
    <w:p w14:paraId="7BFA0242" w14:textId="77777777" w:rsidR="000E51D7" w:rsidRDefault="000E51D7" w:rsidP="00C862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7834"/>
    <w:multiLevelType w:val="hybridMultilevel"/>
    <w:tmpl w:val="25988F1A"/>
    <w:lvl w:ilvl="0" w:tplc="9E3AB6F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127563"/>
    <w:multiLevelType w:val="hybridMultilevel"/>
    <w:tmpl w:val="57781788"/>
    <w:lvl w:ilvl="0" w:tplc="3D10DD1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F01411"/>
    <w:multiLevelType w:val="hybridMultilevel"/>
    <w:tmpl w:val="E86650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D17F3E"/>
    <w:multiLevelType w:val="hybridMultilevel"/>
    <w:tmpl w:val="6694D768"/>
    <w:lvl w:ilvl="0" w:tplc="FA3EE52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747210"/>
    <w:multiLevelType w:val="multilevel"/>
    <w:tmpl w:val="303A93DA"/>
    <w:lvl w:ilvl="0">
      <w:start w:val="1"/>
      <w:numFmt w:val="decimal"/>
      <w:lvlText w:val="%1."/>
      <w:lvlJc w:val="left"/>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C582F71"/>
    <w:multiLevelType w:val="hybridMultilevel"/>
    <w:tmpl w:val="7144C26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9E3EAA"/>
    <w:multiLevelType w:val="hybridMultilevel"/>
    <w:tmpl w:val="F2F8A3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6"/>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49A"/>
    <w:rsid w:val="000730CD"/>
    <w:rsid w:val="000D0C84"/>
    <w:rsid w:val="000E51D7"/>
    <w:rsid w:val="00181656"/>
    <w:rsid w:val="001B1673"/>
    <w:rsid w:val="0034649A"/>
    <w:rsid w:val="00447BB4"/>
    <w:rsid w:val="00452C3E"/>
    <w:rsid w:val="005C06E6"/>
    <w:rsid w:val="005F3437"/>
    <w:rsid w:val="0061334D"/>
    <w:rsid w:val="006D32D5"/>
    <w:rsid w:val="009B4F97"/>
    <w:rsid w:val="00B6627F"/>
    <w:rsid w:val="00C862EE"/>
    <w:rsid w:val="00E301B5"/>
    <w:rsid w:val="00F87B95"/>
    <w:rsid w:val="00FD1B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8C66B"/>
  <w15:chartTrackingRefBased/>
  <w15:docId w15:val="{5C3411F3-3964-4914-8F52-C5AB275EF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656"/>
    <w:pPr>
      <w:keepNext/>
      <w:keepLines/>
      <w:spacing w:before="240" w:after="0"/>
      <w:outlineLvl w:val="0"/>
    </w:pPr>
    <w:rPr>
      <w:rFonts w:ascii="Arial" w:eastAsiaTheme="majorEastAsia" w:hAnsi="Arial" w:cstheme="majorBidi"/>
      <w:color w:val="1F3864" w:themeColor="accent1" w:themeShade="80"/>
      <w:sz w:val="40"/>
      <w:szCs w:val="32"/>
    </w:rPr>
  </w:style>
  <w:style w:type="paragraph" w:styleId="Heading2">
    <w:name w:val="heading 2"/>
    <w:basedOn w:val="Normal"/>
    <w:next w:val="Normal"/>
    <w:link w:val="Heading2Char"/>
    <w:uiPriority w:val="9"/>
    <w:unhideWhenUsed/>
    <w:qFormat/>
    <w:rsid w:val="00447B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656"/>
    <w:rPr>
      <w:rFonts w:ascii="Arial" w:eastAsiaTheme="majorEastAsia" w:hAnsi="Arial" w:cstheme="majorBidi"/>
      <w:color w:val="1F3864" w:themeColor="accent1" w:themeShade="80"/>
      <w:sz w:val="40"/>
      <w:szCs w:val="32"/>
    </w:rPr>
  </w:style>
  <w:style w:type="paragraph" w:styleId="Title">
    <w:name w:val="Title"/>
    <w:basedOn w:val="Normal"/>
    <w:next w:val="Normal"/>
    <w:link w:val="TitleChar"/>
    <w:uiPriority w:val="10"/>
    <w:qFormat/>
    <w:rsid w:val="00447B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BB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47BB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7BB4"/>
    <w:pPr>
      <w:ind w:left="720"/>
      <w:contextualSpacing/>
    </w:pPr>
  </w:style>
  <w:style w:type="paragraph" w:customStyle="1" w:styleId="Default">
    <w:name w:val="Default"/>
    <w:rsid w:val="000730CD"/>
    <w:pPr>
      <w:autoSpaceDE w:val="0"/>
      <w:autoSpaceDN w:val="0"/>
      <w:adjustRightInd w:val="0"/>
      <w:spacing w:after="0" w:line="240" w:lineRule="auto"/>
    </w:pPr>
    <w:rPr>
      <w:rFonts w:ascii="Acumin Pro" w:eastAsia="Arial" w:hAnsi="Acumin Pro" w:cs="Acumin Pro"/>
      <w:color w:val="000000"/>
      <w:sz w:val="24"/>
      <w:szCs w:val="24"/>
    </w:rPr>
  </w:style>
  <w:style w:type="paragraph" w:styleId="Bibliography">
    <w:name w:val="Bibliography"/>
    <w:basedOn w:val="Normal"/>
    <w:next w:val="Normal"/>
    <w:uiPriority w:val="37"/>
    <w:unhideWhenUsed/>
    <w:rsid w:val="00452C3E"/>
  </w:style>
  <w:style w:type="character" w:styleId="Hyperlink">
    <w:name w:val="Hyperlink"/>
    <w:basedOn w:val="DefaultParagraphFont"/>
    <w:uiPriority w:val="99"/>
    <w:unhideWhenUsed/>
    <w:rsid w:val="00452C3E"/>
    <w:rPr>
      <w:color w:val="0563C1" w:themeColor="hyperlink"/>
      <w:u w:val="single"/>
    </w:rPr>
  </w:style>
  <w:style w:type="character" w:styleId="UnresolvedMention">
    <w:name w:val="Unresolved Mention"/>
    <w:basedOn w:val="DefaultParagraphFont"/>
    <w:uiPriority w:val="99"/>
    <w:semiHidden/>
    <w:unhideWhenUsed/>
    <w:rsid w:val="00452C3E"/>
    <w:rPr>
      <w:color w:val="605E5C"/>
      <w:shd w:val="clear" w:color="auto" w:fill="E1DFDD"/>
    </w:rPr>
  </w:style>
  <w:style w:type="paragraph" w:styleId="TOCHeading">
    <w:name w:val="TOC Heading"/>
    <w:basedOn w:val="Heading1"/>
    <w:next w:val="Normal"/>
    <w:uiPriority w:val="39"/>
    <w:unhideWhenUsed/>
    <w:qFormat/>
    <w:rsid w:val="001B1673"/>
    <w:pPr>
      <w:spacing w:line="259" w:lineRule="auto"/>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1B1673"/>
    <w:pPr>
      <w:spacing w:after="100"/>
    </w:pPr>
  </w:style>
  <w:style w:type="paragraph" w:styleId="TOC2">
    <w:name w:val="toc 2"/>
    <w:basedOn w:val="Normal"/>
    <w:next w:val="Normal"/>
    <w:autoRedefine/>
    <w:uiPriority w:val="39"/>
    <w:unhideWhenUsed/>
    <w:rsid w:val="001B1673"/>
    <w:pPr>
      <w:spacing w:after="100"/>
      <w:ind w:left="220"/>
    </w:pPr>
  </w:style>
  <w:style w:type="paragraph" w:styleId="EndnoteText">
    <w:name w:val="endnote text"/>
    <w:basedOn w:val="Normal"/>
    <w:link w:val="EndnoteTextChar"/>
    <w:uiPriority w:val="99"/>
    <w:semiHidden/>
    <w:unhideWhenUsed/>
    <w:rsid w:val="00C862E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862EE"/>
    <w:rPr>
      <w:sz w:val="20"/>
      <w:szCs w:val="20"/>
    </w:rPr>
  </w:style>
  <w:style w:type="character" w:styleId="EndnoteReference">
    <w:name w:val="endnote reference"/>
    <w:basedOn w:val="DefaultParagraphFont"/>
    <w:uiPriority w:val="99"/>
    <w:semiHidden/>
    <w:unhideWhenUsed/>
    <w:rsid w:val="00C862EE"/>
    <w:rPr>
      <w:vertAlign w:val="superscript"/>
    </w:rPr>
  </w:style>
  <w:style w:type="paragraph" w:styleId="Footer">
    <w:name w:val="footer"/>
    <w:basedOn w:val="Normal"/>
    <w:link w:val="FooterChar"/>
    <w:uiPriority w:val="99"/>
    <w:unhideWhenUsed/>
    <w:rsid w:val="00C86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2EE"/>
  </w:style>
  <w:style w:type="character" w:styleId="PageNumber">
    <w:name w:val="page number"/>
    <w:basedOn w:val="DefaultParagraphFont"/>
    <w:uiPriority w:val="99"/>
    <w:semiHidden/>
    <w:unhideWhenUsed/>
    <w:rsid w:val="00C86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528050">
      <w:bodyDiv w:val="1"/>
      <w:marLeft w:val="0"/>
      <w:marRight w:val="0"/>
      <w:marTop w:val="0"/>
      <w:marBottom w:val="0"/>
      <w:divBdr>
        <w:top w:val="none" w:sz="0" w:space="0" w:color="auto"/>
        <w:left w:val="none" w:sz="0" w:space="0" w:color="auto"/>
        <w:bottom w:val="none" w:sz="0" w:space="0" w:color="auto"/>
        <w:right w:val="none" w:sz="0" w:space="0" w:color="auto"/>
      </w:divBdr>
    </w:div>
    <w:div w:id="185475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y.usfca.edu/pna/2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2Fs10490-013-936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Zel11</b:Tag>
    <b:SourceType>JournalArticle</b:SourceType>
    <b:Guid>{D58F0E0D-1DB8-4195-93EE-4E55C0787838}</b:Guid>
    <b:Title>Corporate social responsibility in the public service sector: Towards a sustainability balanced scorecard for local public enterprise</b:Title>
    <b:Year>2011</b:Year>
    <b:Author>
      <b:Author>
        <b:NameList>
          <b:Person>
            <b:Last>Ates</b:Last>
            <b:First>Zelal</b:First>
          </b:Person>
          <b:Person>
            <b:Last>Büttgen</b:Last>
            <b:First>Marion</b:First>
          </b:Person>
        </b:NameList>
      </b:Author>
    </b:Author>
    <b:JournalName>Journal for Public and Nonprofit Services</b:JournalName>
    <b:Pages>346-360</b:Pages>
    <b:RefOrder>1</b:RefOrder>
  </b:Source>
  <b:Source>
    <b:Tag>Uni22</b:Tag>
    <b:SourceType>InternetSite</b:SourceType>
    <b:Guid>{7AB3401D-8C3E-4375-816E-1529436047FE}</b:Guid>
    <b:Author>
      <b:Author>
        <b:Corporate>University College London Hospital Foundation Trust</b:Corporate>
      </b:Author>
    </b:Author>
    <b:Title>University College London Hospital Foundation Trust</b:Title>
    <b:Year>2022</b:Year>
    <b:YearAccessed>2022</b:YearAccessed>
    <b:MonthAccessed>January</b:MonthAccessed>
    <b:URL>https://www.uclh.nhs.uk</b:URL>
    <b:RefOrder>2</b:RefOrder>
  </b:Source>
  <b:Source>
    <b:Tag>UKG21</b:Tag>
    <b:SourceType>Report</b:SourceType>
    <b:Guid>{256741EC-0D7E-42D9-A314-9D312EF5E247}</b:Guid>
    <b:Title>Direct and Indirect health impacts of COVID-19 in England</b:Title>
    <b:Year>2021</b:Year>
    <b:Author>
      <b:Author>
        <b:Corporate>UK Government</b:Corporate>
      </b:Author>
    </b:Author>
    <b:Publisher>UK Government</b:Publisher>
    <b:City>London</b:City>
    <b:RefOrder>3</b:RefOrder>
  </b:Source>
  <b:Source>
    <b:Tag>ZOr16</b:Tag>
    <b:SourceType>JournalArticle</b:SourceType>
    <b:Guid>{1585D1F8-7C43-411F-8A22-EA2793D1F271}</b:Guid>
    <b:Title>Humanistic Dimension of Business Ethics</b:Title>
    <b:Year>2016</b:Year>
    <b:Author>
      <b:Author>
        <b:NameList>
          <b:Person>
            <b:Last>Orbik</b:Last>
            <b:First>Z.</b:First>
          </b:Person>
        </b:NameList>
      </b:Author>
    </b:Author>
    <b:JournalName> Business Ethics and Sustainable Development</b:JournalName>
    <b:Pages>93-103</b:Pages>
    <b:Volume>2</b:Volume>
    <b:RefOrder>4</b:RefOrder>
  </b:Source>
  <b:Source>
    <b:Tag>UCL21</b:Tag>
    <b:SourceType>InternetSite</b:SourceType>
    <b:Guid>{FCF91F22-EF89-4C7F-A302-E88FC0BAE1CC}</b:Guid>
    <b:Title>Facing the pandemic as a digital hospital</b:Title>
    <b:Year>2021</b:Year>
    <b:Author>
      <b:Author>
        <b:Corporate>UCLH Foundation Trust</b:Corporate>
      </b:Author>
    </b:Author>
    <b:YearAccessed>2022</b:YearAccessed>
    <b:MonthAccessed>January</b:MonthAccessed>
    <b:URL>https://www.uclh.nhs.uk/news/facing-pandemic-digital-hospital</b:URL>
    <b:RefOrder>5</b:RefOrder>
  </b:Source>
  <b:Source>
    <b:Tag>Lar21</b:Tag>
    <b:SourceType>JournalArticle</b:SourceType>
    <b:Guid>{2BF02332-572C-4F5C-BCF5-D50068E4BD6D}</b:Guid>
    <b:Title>Corporate digital responsibility</b:Title>
    <b:Year>2021</b:Year>
    <b:Author>
      <b:Author>
        <b:NameList>
          <b:Person>
            <b:Last>Lobschat</b:Last>
            <b:First>Lara</b:First>
          </b:Person>
          <b:Person>
            <b:Last>Mueller</b:Last>
            <b:First>Benjamin</b:First>
          </b:Person>
          <b:Person>
            <b:Last>Eggers</b:Last>
            <b:First>Felix</b:First>
          </b:Person>
          <b:Person>
            <b:Last>Brandimarte</b:Last>
            <b:First>Laura</b:First>
          </b:Person>
          <b:Person>
            <b:Last>Diefenbach</b:Last>
            <b:First>Sarah</b:First>
          </b:Person>
          <b:Person>
            <b:Last>Kroschke</b:Last>
            <b:First>Mirja</b:First>
          </b:Person>
          <b:Person>
            <b:Last>Wirtz</b:Last>
            <b:First>Jochen</b:First>
          </b:Person>
        </b:NameList>
      </b:Author>
    </b:Author>
    <b:JournalName>Journal of Business Research</b:JournalName>
    <b:Pages>875-888</b:Pages>
    <b:Volume>122</b:Volume>
    <b:RefOrder>6</b:RefOrder>
  </b:Source>
  <b:Source>
    <b:Tag>Ato17</b:Tag>
    <b:SourceType>InternetSite</b:SourceType>
    <b:Guid>{C4B04EC3-6D42-40D7-BE8C-7304A313B45E}</b:Guid>
    <b:Author>
      <b:Author>
        <b:Corporate>Atos</b:Corporate>
      </b:Author>
    </b:Author>
    <b:Title>Atos announces new partnership with UCLH to support a digital future</b:Title>
    <b:Year>2017</b:Year>
    <b:YearAccessed>2022</b:YearAccessed>
    <b:MonthAccessed>January</b:MonthAccessed>
    <b:URL>https://atos.net/en-gb/2017/press-release-en-gb_2017_01_05/en-gb-pr-2017_01_05_01</b:URL>
    <b:RefOrder>7</b:RefOrder>
  </b:Source>
  <b:Source>
    <b:Tag>UCL22</b:Tag>
    <b:SourceType>InternetSite</b:SourceType>
    <b:Guid>{4EAA9990-2D07-4CF0-A781-6233B5A4AA7B}</b:Guid>
    <b:Author>
      <b:Author>
        <b:Corporate>UCLH Biomedical Research Centre</b:Corporate>
      </b:Author>
    </b:Author>
    <b:Title>Making a difference - data science and AI transform health services</b:Title>
    <b:YearAccessed>2022</b:YearAccessed>
    <b:MonthAccessed>January</b:MonthAccessed>
    <b:URL>https://www.uclhospitals.brc.nihr.ac.uk/making-difference-data-science-and-ai-transform-health-services</b:URL>
    <b:RefOrder>8</b:RefOrder>
  </b:Source>
  <b:Source>
    <b:Tag>Nat18</b:Tag>
    <b:SourceType>InternetSite</b:SourceType>
    <b:Guid>{500589DF-4E8D-4A9B-AD33-6C1AA8AFD7F2}</b:Guid>
    <b:Author>
      <b:Author>
        <b:Corporate>National Health Executive</b:Corporate>
      </b:Author>
    </b:Author>
    <b:Title>WannaCry cyber-attack cost the NHS £92m after 19,000 appointments were cancelled</b:Title>
    <b:Year>2018</b:Year>
    <b:YearAccessed>2022</b:YearAccessed>
    <b:MonthAccessed>January</b:MonthAccessed>
    <b:URL>https://www.nationalhealthexecutive.com/News/wannacry-cyber-attack-cost-the-nhs-92m-after-19000-appointments-were-cancelled</b:URL>
    <b:RefOrder>9</b:RefOrder>
  </b:Source>
  <b:Source>
    <b:Tag>PWC18</b:Tag>
    <b:SourceType>Report</b:SourceType>
    <b:Guid>{5AD45107-8E1D-49DA-8A86-969BB2C6CD92}</b:Guid>
    <b:Title>Climate change and resource scarcity</b:Title>
    <b:Year>2018</b:Year>
    <b:Author>
      <b:Author>
        <b:Corporate>PWC</b:Corporate>
      </b:Author>
    </b:Author>
    <b:Publisher>PWC</b:Publisher>
    <b:RefOrder>10</b:RefOrder>
  </b:Source>
  <b:Source>
    <b:Tag>UCL20</b:Tag>
    <b:SourceType>Report</b:SourceType>
    <b:Guid>{0F4E523B-C5A5-4089-9BD6-6A0575C21734}</b:Guid>
    <b:Author>
      <b:Author>
        <b:Corporate>UCLH Foundation Trust</b:Corporate>
      </b:Author>
    </b:Author>
    <b:Title> UCLH Green Plan 2020-2025</b:Title>
    <b:Year>2020</b:Year>
    <b:Publisher>UCLH Foundation Trust</b:Publisher>
    <b:RefOrder>11</b:RefOrder>
  </b:Source>
  <b:Source>
    <b:Tag>NHS20</b:Tag>
    <b:SourceType>Report</b:SourceType>
    <b:Guid>{E6370933-5807-46AE-99AD-F486A95812CA}</b:Guid>
    <b:Author>
      <b:Author>
        <b:Corporate>NHS</b:Corporate>
      </b:Author>
    </b:Author>
    <b:Title>NHS Sustainability Report 2020</b:Title>
    <b:Year>2020</b:Year>
    <b:Publisher>NHS</b:Publisher>
    <b:City>London</b:City>
    <b:RefOrder>12</b:RefOrder>
  </b:Source>
  <b:Source>
    <b:Tag>UCL221</b:Tag>
    <b:SourceType>InternetSite</b:SourceType>
    <b:Guid>{BD91EDA4-647B-48C8-987C-DE0895933229}</b:Guid>
    <b:Title>Climate action and sustainability, UCLH Foundation Trust</b:Title>
    <b:Year>2022</b:Year>
    <b:Author>
      <b:Author>
        <b:Corporate>UCLH Foundation Trust</b:Corporate>
      </b:Author>
    </b:Author>
    <b:YearAccessed>2022</b:YearAccessed>
    <b:MonthAccessed>January</b:MonthAccessed>
    <b:URL>https://www.uclh.nhs.uk/about-us/what-we-do/our-policies-and-statements/sustainability</b:URL>
    <b:RefOrder>13</b:RefOrder>
  </b:Source>
  <b:Source>
    <b:Tag>Ber17</b:Tag>
    <b:SourceType>InternetSite</b:SourceType>
    <b:Guid>{AC0BF560-EB6D-40D8-9DC3-2A4AA7541081}</b:Guid>
    <b:Author>
      <b:Author>
        <b:NameList>
          <b:Person>
            <b:Last>Phelan</b:Last>
            <b:First>Bernadette</b:First>
          </b:Person>
        </b:NameList>
      </b:Author>
    </b:Author>
    <b:Title>Corporate Social Responsibility: the role of the Public Sector and the future direction of sustainable development</b:Title>
    <b:Year>2017</b:Year>
    <b:YearAccessed>2022</b:YearAccessed>
    <b:MonthAccessed>January</b:MonthAccessed>
    <b:URL>https://pai.ie/corporate-social-responsibility-role-public-sector-future-direction-sustainable-development/</b:URL>
    <b:RefOrder>14</b:RefOrder>
  </b:Source>
  <b:Source>
    <b:Tag>Joh20</b:Tag>
    <b:SourceType>JournalArticle</b:SourceType>
    <b:Guid>{19FCC8B2-ABA8-490E-9850-A3F4465CEC31}</b:Guid>
    <b:Title>The greenwashing triangle: adapting tools from fraud to improve CSR reporting</b:Title>
    <b:Year>2020</b:Year>
    <b:Author>
      <b:Author>
        <b:NameList>
          <b:Person>
            <b:Last>Kurpierz</b:Last>
            <b:First>John</b:First>
            <b:Middle>Richard</b:Middle>
          </b:Person>
          <b:Person>
            <b:Last>Smith</b:Last>
            <b:First>Ken</b:First>
          </b:Person>
        </b:NameList>
      </b:Author>
    </b:Author>
    <b:JournalName>Sustainability Accounting, Management and Policy Journal</b:JournalName>
    <b:Volume>11</b:Volume>
    <b:Issue>6</b:Issue>
    <b:RefOrder>15</b:RefOrder>
  </b:Source>
  <b:Source>
    <b:Tag>Ali20</b:Tag>
    <b:SourceType>JournalArticle</b:SourceType>
    <b:Guid>{6F69CF22-9D0E-46E6-8D1C-2B8AF7C9C821}</b:Guid>
    <b:Author>
      <b:Author>
        <b:NameList>
          <b:Person>
            <b:Last>Uyar</b:Last>
            <b:First>Ali</b:First>
          </b:Person>
          <b:Person>
            <b:Last>S.Karaman</b:Last>
            <b:First>Abdullah</b:First>
          </b:Person>
          <b:Person>
            <b:Last>Kilic</b:Last>
            <b:First>Merve</b:First>
          </b:Person>
        </b:NameList>
      </b:Author>
    </b:Author>
    <b:Title>Is corporate social responsibility reporting a tool of signaling or greenwashing? Evidence from the worldwide logistics sector</b:Title>
    <b:JournalName>Journal of Cleaner Production</b:JournalName>
    <b:Year>2020</b:Year>
    <b:Volume>253</b:Volume>
    <b:RefOrder>16</b:RefOrder>
  </b:Source>
  <b:Source>
    <b:Tag>Mic201</b:Tag>
    <b:SourceType>InternetSite</b:SourceType>
    <b:Guid>{D0756D5A-E37B-4FC5-86EF-40A48FA2D447}</b:Guid>
    <b:Title>Corporate Responsibility in the Digital Era </b:Title>
    <b:Year>2020</b:Year>
    <b:Author>
      <b:Author>
        <b:NameList>
          <b:Person>
            <b:Last>Wade</b:Last>
            <b:First>Michael</b:First>
          </b:Person>
        </b:NameList>
      </b:Author>
    </b:Author>
    <b:YearAccessed>2022</b:YearAccessed>
    <b:MonthAccessed>January</b:MonthAccessed>
    <b:URL>https://sloanreview.mit.edu/article/corporate-responsibility-in-the-digital-era/</b:URL>
    <b:RefOrder>17</b:RefOrder>
  </b:Source>
</b:Sources>
</file>

<file path=customXml/itemProps1.xml><?xml version="1.0" encoding="utf-8"?>
<ds:datastoreItem xmlns:ds="http://schemas.openxmlformats.org/officeDocument/2006/customXml" ds:itemID="{E38F38C8-41FD-42C1-8017-DC86A656D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34</Pages>
  <Words>10791</Words>
  <Characters>61513</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Tra My Tran (2020970)</cp:lastModifiedBy>
  <cp:revision>2</cp:revision>
  <dcterms:created xsi:type="dcterms:W3CDTF">2022-01-28T19:14:00Z</dcterms:created>
  <dcterms:modified xsi:type="dcterms:W3CDTF">2022-01-28T21:34:00Z</dcterms:modified>
</cp:coreProperties>
</file>