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BD758" w14:textId="571C7A6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A79C7">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7A892B6F">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12E62E7E" w:rsidR="003B3F9D" w:rsidRPr="009601B8" w:rsidRDefault="00EF55EF" w:rsidP="001E57C1">
            <w:pPr>
              <w:spacing w:before="120" w:after="120"/>
              <w:jc w:val="both"/>
              <w:rPr>
                <w:rFonts w:ascii="Arial" w:hAnsi="Arial" w:cs="Arial"/>
                <w:b/>
                <w:sz w:val="22"/>
                <w:szCs w:val="22"/>
              </w:rPr>
            </w:pPr>
            <w:r>
              <w:rPr>
                <w:rFonts w:ascii="Arial" w:hAnsi="Arial" w:cs="Arial"/>
                <w:b/>
                <w:sz w:val="22"/>
                <w:szCs w:val="22"/>
              </w:rPr>
              <w:t>Lauryn Jones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E1F9EDE" w:rsidR="003B3F9D" w:rsidRPr="009601B8" w:rsidRDefault="00EF55EF" w:rsidP="001E57C1">
            <w:pPr>
              <w:spacing w:before="120" w:after="120"/>
              <w:jc w:val="both"/>
              <w:rPr>
                <w:rFonts w:ascii="Arial" w:hAnsi="Arial" w:cs="Arial"/>
                <w:b/>
                <w:sz w:val="22"/>
                <w:szCs w:val="22"/>
              </w:rPr>
            </w:pPr>
            <w:r>
              <w:rPr>
                <w:rFonts w:ascii="Arial" w:hAnsi="Arial" w:cs="Arial"/>
                <w:b/>
                <w:sz w:val="22"/>
                <w:szCs w:val="22"/>
              </w:rPr>
              <w:t>2319921</w:t>
            </w:r>
          </w:p>
        </w:tc>
      </w:tr>
      <w:tr w:rsidR="00474229" w:rsidRPr="00A406E5" w14:paraId="09FAE08A" w14:textId="77777777" w:rsidTr="7A892B6F">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7A892B6F">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7A892B6F">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19319DC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751F64">
              <w:rPr>
                <w:rFonts w:ascii="Arial" w:eastAsia="Calibri" w:hAnsi="Arial" w:cs="Arial"/>
                <w:b/>
                <w:bCs/>
                <w:sz w:val="22"/>
                <w:szCs w:val="22"/>
              </w:rPr>
              <w:t>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7A892B6F">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686581CE" w:rsidR="00474229" w:rsidRPr="009601B8" w:rsidRDefault="00474229" w:rsidP="00474229">
            <w:pPr>
              <w:spacing w:before="120" w:after="120"/>
              <w:jc w:val="both"/>
              <w:rPr>
                <w:rFonts w:ascii="Arial" w:eastAsia="Calibri" w:hAnsi="Arial" w:cs="Arial"/>
                <w:b/>
                <w:bCs/>
                <w:sz w:val="22"/>
                <w:szCs w:val="22"/>
              </w:rPr>
            </w:pP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7A892B6F">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7A892B6F">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254A23DB" w:rsidR="00474229" w:rsidRPr="009601B8" w:rsidRDefault="00167487" w:rsidP="259E24E2">
            <w:pPr>
              <w:spacing w:before="120" w:after="120"/>
              <w:jc w:val="both"/>
              <w:rPr>
                <w:rFonts w:ascii="Arial" w:eastAsia="Calibri" w:hAnsi="Arial" w:cs="Arial"/>
                <w:b/>
                <w:bCs/>
                <w:sz w:val="22"/>
                <w:szCs w:val="22"/>
              </w:rPr>
            </w:pPr>
            <w:r>
              <w:rPr>
                <w:rFonts w:ascii="Arial" w:eastAsia="Calibri" w:hAnsi="Arial" w:cs="Arial"/>
                <w:b/>
                <w:bCs/>
                <w:sz w:val="22"/>
                <w:szCs w:val="22"/>
              </w:rPr>
              <w:t>2</w:t>
            </w:r>
            <w:r w:rsidR="00EB3908">
              <w:rPr>
                <w:rFonts w:ascii="Arial" w:eastAsia="Calibri" w:hAnsi="Arial" w:cs="Arial"/>
                <w:b/>
                <w:bCs/>
                <w:sz w:val="22"/>
                <w:szCs w:val="22"/>
              </w:rPr>
              <w:t>6</w:t>
            </w:r>
            <w:r w:rsidR="00EB3908" w:rsidRPr="00EB3908">
              <w:rPr>
                <w:rFonts w:ascii="Arial" w:eastAsia="Calibri" w:hAnsi="Arial" w:cs="Arial"/>
                <w:b/>
                <w:bCs/>
                <w:sz w:val="22"/>
                <w:szCs w:val="22"/>
                <w:vertAlign w:val="superscript"/>
              </w:rPr>
              <w:t>th</w:t>
            </w:r>
            <w:r w:rsidR="00EB3908">
              <w:rPr>
                <w:rFonts w:ascii="Arial" w:eastAsia="Calibri" w:hAnsi="Arial" w:cs="Arial"/>
                <w:b/>
                <w:bCs/>
                <w:sz w:val="22"/>
                <w:szCs w:val="22"/>
              </w:rPr>
              <w:t xml:space="preserve"> May 2025</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7D07E39" w:rsidR="00474229" w:rsidRPr="009601B8" w:rsidRDefault="00167487" w:rsidP="7A892B6F">
            <w:pPr>
              <w:spacing w:before="120" w:after="120"/>
              <w:jc w:val="both"/>
              <w:rPr>
                <w:rFonts w:ascii="Arial" w:hAnsi="Arial" w:cs="Arial"/>
                <w:b/>
                <w:bCs/>
                <w:sz w:val="22"/>
                <w:szCs w:val="22"/>
              </w:rPr>
            </w:pPr>
            <w:r>
              <w:rPr>
                <w:rFonts w:ascii="Arial" w:hAnsi="Arial" w:cs="Arial"/>
                <w:b/>
                <w:bCs/>
                <w:sz w:val="22"/>
                <w:szCs w:val="22"/>
              </w:rPr>
              <w:t>16</w:t>
            </w:r>
            <w:r w:rsidRPr="00167487">
              <w:rPr>
                <w:rFonts w:ascii="Arial" w:hAnsi="Arial" w:cs="Arial"/>
                <w:b/>
                <w:bCs/>
                <w:sz w:val="22"/>
                <w:szCs w:val="22"/>
                <w:vertAlign w:val="superscript"/>
              </w:rPr>
              <w:t>th</w:t>
            </w:r>
            <w:r>
              <w:rPr>
                <w:rFonts w:ascii="Arial" w:hAnsi="Arial" w:cs="Arial"/>
                <w:b/>
                <w:bCs/>
                <w:sz w:val="22"/>
                <w:szCs w:val="22"/>
              </w:rPr>
              <w:t xml:space="preserve"> </w:t>
            </w:r>
            <w:r w:rsidR="00EB3908">
              <w:rPr>
                <w:rFonts w:ascii="Arial" w:hAnsi="Arial" w:cs="Arial"/>
                <w:b/>
                <w:bCs/>
                <w:sz w:val="22"/>
                <w:szCs w:val="22"/>
              </w:rPr>
              <w:t>June 2025</w:t>
            </w:r>
          </w:p>
        </w:tc>
      </w:tr>
      <w:tr w:rsidR="00F171F6" w:rsidRPr="00A406E5" w14:paraId="22978D6A" w14:textId="77777777" w:rsidTr="7A892B6F">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7A892B6F">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w:t>
            </w:r>
            <w:proofErr w:type="gramStart"/>
            <w:r w:rsidRPr="00006292">
              <w:rPr>
                <w:rFonts w:ascii="Arial" w:hAnsi="Arial" w:cs="Arial"/>
                <w:sz w:val="22"/>
                <w:szCs w:val="22"/>
              </w:rPr>
              <w:t>submission</w:t>
            </w:r>
            <w:proofErr w:type="gramEnd"/>
            <w:r w:rsidRPr="00006292">
              <w:rPr>
                <w:rFonts w:ascii="Arial" w:hAnsi="Arial" w:cs="Arial"/>
                <w:sz w:val="22"/>
                <w:szCs w:val="22"/>
              </w:rPr>
              <w:t xml:space="preserve">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cited or quoted </w:t>
            </w:r>
            <w:proofErr w:type="gramStart"/>
            <w:r w:rsidRPr="00006292">
              <w:rPr>
                <w:rFonts w:ascii="Arial" w:hAnsi="Arial" w:cs="Arial"/>
                <w:sz w:val="22"/>
                <w:szCs w:val="22"/>
              </w:rPr>
              <w:t>in order to</w:t>
            </w:r>
            <w:proofErr w:type="gramEnd"/>
            <w:r w:rsidRPr="00006292">
              <w:rPr>
                <w:rFonts w:ascii="Arial" w:hAnsi="Arial" w:cs="Arial"/>
                <w:sz w:val="22"/>
                <w:szCs w:val="22"/>
              </w:rPr>
              <w:t xml:space="preserve">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55CB443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Understanding the Police Constable role</w:t>
            </w:r>
          </w:p>
          <w:p w14:paraId="7205B465" w14:textId="77777777" w:rsidR="0088736B" w:rsidRPr="00FA61E0" w:rsidRDefault="0088736B" w:rsidP="0088736B">
            <w:pPr>
              <w:pStyle w:val="ListParagraph"/>
              <w:numPr>
                <w:ilvl w:val="0"/>
                <w:numId w:val="3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strategic drivers for professionalising policing and relevant national policing strategies</w:t>
            </w:r>
          </w:p>
          <w:p w14:paraId="5FE67788" w14:textId="77777777" w:rsidR="0088736B" w:rsidRPr="00FA61E0" w:rsidRDefault="0088736B" w:rsidP="0088736B">
            <w:pPr>
              <w:pStyle w:val="ListParagraph"/>
              <w:overflowPunct w:val="0"/>
              <w:autoSpaceDE w:val="0"/>
              <w:autoSpaceDN w:val="0"/>
              <w:adjustRightInd w:val="0"/>
              <w:jc w:val="both"/>
              <w:textAlignment w:val="baseline"/>
              <w:rPr>
                <w:rFonts w:ascii="Arial" w:hAnsi="Arial" w:cs="Arial"/>
                <w:sz w:val="18"/>
                <w:szCs w:val="18"/>
              </w:rPr>
            </w:pPr>
          </w:p>
          <w:p w14:paraId="27848B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Valuing Difference &amp; Inclusion</w:t>
            </w:r>
          </w:p>
          <w:p w14:paraId="22E97BD5"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and demonstrate ethical and inclusive approaches to policing</w:t>
            </w:r>
          </w:p>
          <w:p w14:paraId="7240604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police actions and activities can influence public perceptions of policing</w:t>
            </w:r>
          </w:p>
          <w:p w14:paraId="2ABABC6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58DB1DE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Maintaining Professional Standards</w:t>
            </w:r>
          </w:p>
          <w:p w14:paraId="6917EAC1"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concept of integrity in a professional policing context</w:t>
            </w:r>
          </w:p>
          <w:p w14:paraId="5595F04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42F27B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Communication Skills </w:t>
            </w:r>
          </w:p>
          <w:p w14:paraId="501438A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methods for communicating and disseminating information in a policing context</w:t>
            </w:r>
          </w:p>
          <w:p w14:paraId="32CD5088"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997354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Wellbeing &amp; Resilience</w:t>
            </w:r>
          </w:p>
          <w:p w14:paraId="08E4477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Explain organisational justice in a policing context</w:t>
            </w:r>
          </w:p>
          <w:p w14:paraId="3895F260"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impact of trauma on individuals and the support mechanisms available</w:t>
            </w:r>
          </w:p>
          <w:p w14:paraId="6B80206B"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mental wellbeing in policing</w:t>
            </w:r>
          </w:p>
          <w:p w14:paraId="2D68970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nature of organisational culture within policing</w:t>
            </w:r>
          </w:p>
          <w:p w14:paraId="20764EE5"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5BD63E1"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Leadership and Team Working</w:t>
            </w:r>
          </w:p>
          <w:p w14:paraId="7DADB3E2"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team working and leadership models in the context of effective policing</w:t>
            </w:r>
          </w:p>
          <w:p w14:paraId="0BDADCC4"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key responsibilities in relation to supporting leadership for everyone</w:t>
            </w:r>
          </w:p>
          <w:p w14:paraId="665401D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6E57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Public Protection </w:t>
            </w:r>
          </w:p>
          <w:p w14:paraId="322D58E6"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the impact of abuse upon victims</w:t>
            </w:r>
          </w:p>
          <w:p w14:paraId="10B84D85"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approaches to investigating public protection incidents</w:t>
            </w:r>
          </w:p>
          <w:p w14:paraId="0982924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the links between Serious and Organised Crime Groups and public protection issues</w:t>
            </w:r>
          </w:p>
          <w:p w14:paraId="71317E29"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offenders can use their position of authority to commit offences</w:t>
            </w:r>
          </w:p>
          <w:p w14:paraId="12C1CDBA"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police strategies for dealing with public protection incidents</w:t>
            </w:r>
          </w:p>
          <w:p w14:paraId="2FFE22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437F53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Criminal Justice</w:t>
            </w:r>
          </w:p>
          <w:p w14:paraId="06A8F580"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assess the impact of options available to reduce reoffending</w:t>
            </w:r>
          </w:p>
          <w:p w14:paraId="1ADED4A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1915B31" w14:textId="77777777" w:rsidR="0088736B" w:rsidRPr="00FA61E0" w:rsidRDefault="0088736B" w:rsidP="0088736B">
            <w:pPr>
              <w:jc w:val="both"/>
              <w:rPr>
                <w:rFonts w:ascii="Arial" w:eastAsia="Arial" w:hAnsi="Arial" w:cs="Arial"/>
                <w:b/>
                <w:bCs/>
                <w:color w:val="000000" w:themeColor="text1"/>
                <w:sz w:val="18"/>
                <w:szCs w:val="18"/>
              </w:rPr>
            </w:pPr>
            <w:r w:rsidRPr="00FA61E0">
              <w:rPr>
                <w:rFonts w:ascii="Arial" w:eastAsia="Arial" w:hAnsi="Arial" w:cs="Arial"/>
                <w:b/>
                <w:bCs/>
                <w:color w:val="000000" w:themeColor="text1"/>
                <w:sz w:val="18"/>
                <w:szCs w:val="18"/>
              </w:rPr>
              <w:t xml:space="preserve">Countering Terrorism </w:t>
            </w:r>
          </w:p>
          <w:p w14:paraId="7064540B"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Explain the national counter-terrorism structure</w:t>
            </w:r>
          </w:p>
          <w:p w14:paraId="53F923E7"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Review and understand the insider threats in relation to countering terrorism</w:t>
            </w:r>
          </w:p>
          <w:p w14:paraId="17E3432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49376F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Response Policing </w:t>
            </w:r>
          </w:p>
          <w:p w14:paraId="2847FF75"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public perceptions of response policing</w:t>
            </w:r>
          </w:p>
          <w:p w14:paraId="6D1FEC8A"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managing trauma and mental wellbeing in response policing</w:t>
            </w:r>
          </w:p>
          <w:p w14:paraId="7CC25D72"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response policing in the context of dealing with critical and major incidents</w:t>
            </w:r>
          </w:p>
          <w:p w14:paraId="4787CD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94326"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Policing Communities </w:t>
            </w:r>
          </w:p>
          <w:p w14:paraId="0CF1E62B"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Employ relevant strategies and initiatives to deliver effective community policing</w:t>
            </w:r>
          </w:p>
          <w:p w14:paraId="3717BF89"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251BC24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Roads Policing</w:t>
            </w:r>
          </w:p>
          <w:p w14:paraId="34F94A5B" w14:textId="77777777" w:rsidR="0088736B" w:rsidRPr="00FA61E0" w:rsidRDefault="0088736B" w:rsidP="0088736B">
            <w:pPr>
              <w:pStyle w:val="ListParagraph"/>
              <w:numPr>
                <w:ilvl w:val="0"/>
                <w:numId w:val="37"/>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Evaluate the organised criminal activity types using the road network and how these can be countered</w:t>
            </w:r>
          </w:p>
          <w:p w14:paraId="5AA644BF"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7A83C5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Information &amp; Intelligence</w:t>
            </w:r>
          </w:p>
          <w:p w14:paraId="4C20819E"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information and intelligence gathering in a policing environment</w:t>
            </w:r>
          </w:p>
          <w:p w14:paraId="16196F54"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explore the concepts of risk in relation to intelligence</w:t>
            </w:r>
          </w:p>
          <w:p w14:paraId="68D0B6B1"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Demonstrate an understanding of intelligence research and analysis</w:t>
            </w:r>
          </w:p>
          <w:p w14:paraId="29FD8197"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key intelligence roles and the tasking and coordination process</w:t>
            </w:r>
          </w:p>
          <w:p w14:paraId="7D6136CC"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1580321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Conducting Investigations</w:t>
            </w:r>
          </w:p>
          <w:p w14:paraId="720F3BB4"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Demonstrate a comprehensive understanding of ‘volume and priority’ crime and ‘serious and complex’ investigations</w:t>
            </w:r>
          </w:p>
          <w:p w14:paraId="4D7258EF"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appropriate procedures when engaged in overseas enquiries/investigations</w:t>
            </w:r>
          </w:p>
          <w:p w14:paraId="36CA9C12"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Employ appropriate strategies when dealing with complex interviews</w:t>
            </w:r>
          </w:p>
          <w:p w14:paraId="15D230D0"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the importance of reflective learning from investigations and interviews</w:t>
            </w:r>
          </w:p>
          <w:p w14:paraId="3BA75FF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Evolve professional strategies to deal with the impact of personal attitudes and values on the investigation process</w:t>
            </w:r>
          </w:p>
          <w:p w14:paraId="1F19A714"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62B790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Introduction to Coaching, Mentoring and Assessment</w:t>
            </w:r>
          </w:p>
          <w:p w14:paraId="3CCE649F"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coaching and mentoring approaches in professional policing</w:t>
            </w:r>
          </w:p>
          <w:p w14:paraId="54F6FD41"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the role of assessment in professional policing education</w:t>
            </w:r>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1FE7527"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proofErr w:type="gramStart"/>
      <w:r w:rsidR="004A706A">
        <w:rPr>
          <w:rFonts w:ascii="Arial" w:eastAsia="Calibri" w:hAnsi="Arial" w:cs="Arial"/>
          <w:b/>
          <w:bCs/>
          <w:sz w:val="22"/>
          <w:szCs w:val="22"/>
        </w:rPr>
        <w:t>4</w:t>
      </w:r>
      <w:r w:rsidR="00B5206B" w:rsidRPr="00693B87">
        <w:rPr>
          <w:rFonts w:ascii="Arial" w:eastAsia="Calibri" w:hAnsi="Arial" w:cs="Arial"/>
          <w:b/>
          <w:bCs/>
          <w:sz w:val="22"/>
          <w:szCs w:val="22"/>
        </w:rPr>
        <w:t>000 word</w:t>
      </w:r>
      <w:proofErr w:type="gramEnd"/>
      <w:r w:rsidR="00B5206B" w:rsidRPr="00693B87">
        <w:rPr>
          <w:rFonts w:ascii="Arial" w:eastAsia="Calibri" w:hAnsi="Arial" w:cs="Arial"/>
          <w:b/>
          <w:bCs/>
          <w:sz w:val="22"/>
          <w:szCs w:val="22"/>
        </w:rPr>
        <w:t xml:space="preserve">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B5206B" w:rsidRPr="00AE7EF9">
        <w:rPr>
          <w:rFonts w:ascii="Arial" w:eastAsia="Calibri" w:hAnsi="Arial" w:cs="Arial"/>
          <w:sz w:val="22"/>
          <w:szCs w:val="22"/>
        </w:rPr>
        <w:t>(</w:t>
      </w:r>
      <w:r w:rsidR="004A706A" w:rsidRPr="00AE7EF9">
        <w:rPr>
          <w:rFonts w:ascii="Arial" w:eastAsia="Calibri" w:hAnsi="Arial" w:cs="Arial"/>
          <w:sz w:val="22"/>
          <w:szCs w:val="22"/>
        </w:rPr>
        <w:t>4</w:t>
      </w:r>
      <w:r w:rsidR="00B5206B" w:rsidRPr="00AE7EF9">
        <w:rPr>
          <w:rFonts w:ascii="Arial" w:eastAsia="Calibri" w:hAnsi="Arial" w:cs="Arial"/>
          <w:sz w:val="22"/>
          <w:szCs w:val="22"/>
        </w:rPr>
        <w:t xml:space="preserve"> x 1000</w:t>
      </w:r>
      <w:r w:rsidR="00AE7EF9">
        <w:rPr>
          <w:rFonts w:ascii="Arial" w:eastAsia="Calibri" w:hAnsi="Arial" w:cs="Arial"/>
          <w:b/>
          <w:bCs/>
          <w:sz w:val="22"/>
          <w:szCs w:val="22"/>
        </w:rPr>
        <w:t xml:space="preserve"> </w:t>
      </w:r>
      <w:r w:rsidR="00AE7EF9">
        <w:rPr>
          <w:rFonts w:ascii="Arial" w:hAnsi="Arial" w:cs="Arial"/>
        </w:rPr>
        <w:t>words, +/- 10% per essay).</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proofErr w:type="gramStart"/>
      <w:r w:rsidRPr="00012A7C">
        <w:rPr>
          <w:rFonts w:ascii="Arial" w:eastAsia="Calibri" w:hAnsi="Arial" w:cs="Arial"/>
          <w:b/>
          <w:bCs/>
          <w:sz w:val="22"/>
          <w:szCs w:val="22"/>
        </w:rPr>
        <w:t>All of</w:t>
      </w:r>
      <w:proofErr w:type="gramEnd"/>
      <w:r w:rsidRPr="00012A7C">
        <w:rPr>
          <w:rFonts w:ascii="Arial" w:eastAsia="Calibri" w:hAnsi="Arial" w:cs="Arial"/>
          <w:b/>
          <w:bCs/>
          <w:sz w:val="22"/>
          <w:szCs w:val="22"/>
        </w:rPr>
        <w:t xml:space="preserve"> your answers must be based academic research, not personal experience.</w:t>
      </w:r>
    </w:p>
    <w:p w14:paraId="6756CC30" w14:textId="376D5430" w:rsidR="0041542A" w:rsidRDefault="00852F63" w:rsidP="005D6D15">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r w:rsidR="00BD30F1">
        <w:rPr>
          <w:rFonts w:ascii="Arial" w:eastAsia="Calibri" w:hAnsi="Arial" w:cs="Arial"/>
          <w:sz w:val="22"/>
          <w:szCs w:val="22"/>
        </w:rPr>
        <w:t>.</w:t>
      </w:r>
    </w:p>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0D46E23B"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Adopting diversity in the UK, particularly in the police force, means actively ensuring that the organisation starts to consider the demographics of the population by hiring and promoting people from a variety of socioeconomic, cultural, gender, religious, and ethnic backgrounds. promoting fair and effective interactions with all communities, especially those that have historically been disadvantaged or overpoliced. Get ready to foster an inclusive workplace culture by supporting minority officers, preventing discrimination, and offering equal opportunity. using policing strategies that demonstrate accountability, transparency, and cultural knowledge </w:t>
      </w:r>
      <w:proofErr w:type="gramStart"/>
      <w:r w:rsidRPr="00121929">
        <w:rPr>
          <w:rFonts w:ascii="Arial" w:hAnsi="Arial" w:cs="Arial"/>
          <w:sz w:val="22"/>
          <w:szCs w:val="22"/>
        </w:rPr>
        <w:t>in order to</w:t>
      </w:r>
      <w:proofErr w:type="gramEnd"/>
      <w:r w:rsidRPr="00121929">
        <w:rPr>
          <w:rFonts w:ascii="Arial" w:hAnsi="Arial" w:cs="Arial"/>
          <w:sz w:val="22"/>
          <w:szCs w:val="22"/>
        </w:rPr>
        <w:t xml:space="preserve"> build credibility and trust.</w:t>
      </w:r>
    </w:p>
    <w:p w14:paraId="03149AED" w14:textId="77777777" w:rsidR="00121929" w:rsidRDefault="00121929" w:rsidP="00666727">
      <w:pPr>
        <w:spacing w:line="257" w:lineRule="auto"/>
        <w:ind w:right="531"/>
        <w:rPr>
          <w:rFonts w:ascii="Arial" w:hAnsi="Arial" w:cs="Arial"/>
          <w:sz w:val="22"/>
          <w:szCs w:val="22"/>
        </w:rPr>
      </w:pPr>
    </w:p>
    <w:p w14:paraId="6680CAAA"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UK police forces have made tremendous progress in adjusting to diversity, both within its ranks and via its contact with various communities. However, problems remain, and continued efforts are required to accomplish substantial change. </w:t>
      </w:r>
    </w:p>
    <w:p w14:paraId="7131E2C4" w14:textId="77777777" w:rsidR="00121929" w:rsidRDefault="00121929" w:rsidP="00666727">
      <w:pPr>
        <w:spacing w:line="257" w:lineRule="auto"/>
        <w:ind w:right="531"/>
        <w:rPr>
          <w:rFonts w:ascii="Arial" w:hAnsi="Arial" w:cs="Arial"/>
          <w:sz w:val="22"/>
          <w:szCs w:val="22"/>
        </w:rPr>
      </w:pPr>
    </w:p>
    <w:p w14:paraId="12BF7DA3"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Recruitment initiatives like the direct entry program, which South Wales Police just recently introduced, have been crucial in attracting individuals from diverse backgrounds to join the police force, according to an examination of internal diversity and representation in UK forces. For instance, women make up 60% of recruits in the Direct Entry Superintendent Program of the Metropolitan Police, and 30% of them are BME (Evidence on Police Diversity, 2016). In a similar spirit, Police Now's second cohort of graduates showed 27% BME and 55% female participation (Evidence on Police diversity, 2016). </w:t>
      </w:r>
    </w:p>
    <w:p w14:paraId="58E0109D" w14:textId="77777777" w:rsidR="00121929" w:rsidRDefault="00121929" w:rsidP="00666727">
      <w:pPr>
        <w:spacing w:line="257" w:lineRule="auto"/>
        <w:ind w:right="531"/>
        <w:rPr>
          <w:rFonts w:ascii="Arial" w:hAnsi="Arial" w:cs="Arial"/>
          <w:sz w:val="22"/>
          <w:szCs w:val="22"/>
        </w:rPr>
      </w:pPr>
    </w:p>
    <w:p w14:paraId="0233A99C"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Under-represented groups can be assisted in advancing their careers through leadership and mentorship initiatives. The National Black Police Association (NBPA) is crucial for assisting BME police, offering guidance, and advancing legislation that fosters an inclusive environment (Evidence on Police diversity, 2016). Despite these attempts, there is still a dearth of diversity in some areas, such as guns units. A survey by Liverpool John </w:t>
      </w:r>
      <w:proofErr w:type="spellStart"/>
      <w:r w:rsidRPr="00121929">
        <w:rPr>
          <w:rFonts w:ascii="Arial" w:hAnsi="Arial" w:cs="Arial"/>
          <w:sz w:val="22"/>
          <w:szCs w:val="22"/>
        </w:rPr>
        <w:t>Moores</w:t>
      </w:r>
      <w:proofErr w:type="spellEnd"/>
      <w:r w:rsidRPr="00121929">
        <w:rPr>
          <w:rFonts w:ascii="Arial" w:hAnsi="Arial" w:cs="Arial"/>
          <w:sz w:val="22"/>
          <w:szCs w:val="22"/>
        </w:rPr>
        <w:t xml:space="preserve"> University found that barriers include a "detrimental and masculine culture" and concerns about post-incident monitoring deterred women and ethnic minorities from joining (Mitib, 2024). </w:t>
      </w:r>
    </w:p>
    <w:p w14:paraId="48520EC7" w14:textId="77777777" w:rsidR="00121929" w:rsidRDefault="00121929" w:rsidP="00666727">
      <w:pPr>
        <w:spacing w:line="257" w:lineRule="auto"/>
        <w:ind w:right="531"/>
        <w:rPr>
          <w:rFonts w:ascii="Arial" w:hAnsi="Arial" w:cs="Arial"/>
          <w:sz w:val="22"/>
          <w:szCs w:val="22"/>
        </w:rPr>
      </w:pPr>
    </w:p>
    <w:p w14:paraId="20EB40D9"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It has always been challenging for police forces in England and Wales to reflect the racial diversity of the communities they serve. For instance, although making up 14% of the population, just 8% of police officers are of Black, Asian, and minority ethnic (BAME) descent. To address this disparity, a few of agencies have implemented targeted recruitment strategies (Crime and policing, 2022). For example, Nottinghamshire Police recruited a higher proportion of officers from ethnic minority backgrounds than any other force in England and Wales thanks to a community involvement drive (Woode, 2025). Similarly, West Yorkshire Police has put procedures in place to allow year-round </w:t>
      </w:r>
      <w:r w:rsidRPr="00121929">
        <w:rPr>
          <w:rFonts w:ascii="Arial" w:hAnsi="Arial" w:cs="Arial"/>
          <w:sz w:val="22"/>
          <w:szCs w:val="22"/>
        </w:rPr>
        <w:lastRenderedPageBreak/>
        <w:t xml:space="preserve">employment applications from members of ethnic minorities </w:t>
      </w:r>
      <w:proofErr w:type="gramStart"/>
      <w:r w:rsidRPr="00121929">
        <w:rPr>
          <w:rFonts w:ascii="Arial" w:hAnsi="Arial" w:cs="Arial"/>
          <w:sz w:val="22"/>
          <w:szCs w:val="22"/>
        </w:rPr>
        <w:t>in an attempt to</w:t>
      </w:r>
      <w:proofErr w:type="gramEnd"/>
      <w:r w:rsidRPr="00121929">
        <w:rPr>
          <w:rFonts w:ascii="Arial" w:hAnsi="Arial" w:cs="Arial"/>
          <w:sz w:val="22"/>
          <w:szCs w:val="22"/>
        </w:rPr>
        <w:t xml:space="preserve"> increase representation (Woode, 2025). </w:t>
      </w:r>
    </w:p>
    <w:p w14:paraId="7C37CD6A" w14:textId="77777777" w:rsidR="00121929" w:rsidRDefault="00121929" w:rsidP="00666727">
      <w:pPr>
        <w:spacing w:line="257" w:lineRule="auto"/>
        <w:ind w:right="531"/>
        <w:rPr>
          <w:rFonts w:ascii="Arial" w:hAnsi="Arial" w:cs="Arial"/>
          <w:sz w:val="22"/>
          <w:szCs w:val="22"/>
        </w:rPr>
      </w:pPr>
    </w:p>
    <w:p w14:paraId="696CBD1B"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The number of police personnel has also increased thanks to national initiatives like the Police Uplift Programme, which place a strong focus on fostering diversity. </w:t>
      </w:r>
      <w:proofErr w:type="gramStart"/>
      <w:r w:rsidRPr="00121929">
        <w:rPr>
          <w:rFonts w:ascii="Arial" w:hAnsi="Arial" w:cs="Arial"/>
          <w:sz w:val="22"/>
          <w:szCs w:val="22"/>
        </w:rPr>
        <w:t>In order to</w:t>
      </w:r>
      <w:proofErr w:type="gramEnd"/>
      <w:r w:rsidRPr="00121929">
        <w:rPr>
          <w:rFonts w:ascii="Arial" w:hAnsi="Arial" w:cs="Arial"/>
          <w:sz w:val="22"/>
          <w:szCs w:val="22"/>
        </w:rPr>
        <w:t xml:space="preserve"> raise new recruits' awareness of local community issues, the College of Policing's Police Constable Entry Programme (PCEP) includes modules on community policing and effective communication (Hub, 2024). </w:t>
      </w:r>
    </w:p>
    <w:p w14:paraId="06E7BD2C" w14:textId="77777777" w:rsidR="00121929" w:rsidRDefault="00121929" w:rsidP="00666727">
      <w:pPr>
        <w:spacing w:line="257" w:lineRule="auto"/>
        <w:ind w:right="531"/>
        <w:rPr>
          <w:rFonts w:ascii="Arial" w:hAnsi="Arial" w:cs="Arial"/>
          <w:sz w:val="22"/>
          <w:szCs w:val="22"/>
        </w:rPr>
      </w:pPr>
    </w:p>
    <w:p w14:paraId="563A67F5"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The development of an inclusive police culture has been greatly aided by training initiatives that emphasise cultural competency and anti-discrimination. For instance, anti-discrimination training provided by South Yorkshire Police enables officers to spot and deal with discriminatory practices, fostering a more welcoming workplace (Evidence on Police diversity, 2016). Furthermore, organisations such as the Metropolitan Police Service have put in place positive action programs, such as focused coaching and training, to help under-represented groups advance their careers (Government Events, 2024). </w:t>
      </w:r>
    </w:p>
    <w:p w14:paraId="03E185B9" w14:textId="77777777" w:rsidR="00121929" w:rsidRDefault="00121929" w:rsidP="00666727">
      <w:pPr>
        <w:spacing w:line="257" w:lineRule="auto"/>
        <w:ind w:right="531"/>
        <w:rPr>
          <w:rFonts w:ascii="Arial" w:hAnsi="Arial" w:cs="Arial"/>
          <w:sz w:val="22"/>
          <w:szCs w:val="22"/>
        </w:rPr>
      </w:pPr>
    </w:p>
    <w:p w14:paraId="3FC1AD01" w14:textId="7777777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Active interaction with a variety of organisations is necessary to increase policing's legitimacy and credibility. The Commission on Race and Ethnic Disparities has recommended the establishment of community "Safeguarding Trust" committees to investigate and address problems in addition to policing </w:t>
      </w:r>
      <w:proofErr w:type="gramStart"/>
      <w:r w:rsidRPr="00121929">
        <w:rPr>
          <w:rFonts w:ascii="Arial" w:hAnsi="Arial" w:cs="Arial"/>
          <w:sz w:val="22"/>
          <w:szCs w:val="22"/>
        </w:rPr>
        <w:t>in order to</w:t>
      </w:r>
      <w:proofErr w:type="gramEnd"/>
      <w:r w:rsidRPr="00121929">
        <w:rPr>
          <w:rFonts w:ascii="Arial" w:hAnsi="Arial" w:cs="Arial"/>
          <w:sz w:val="22"/>
          <w:szCs w:val="22"/>
        </w:rPr>
        <w:t xml:space="preserve"> guarantee accountability and transparency (Foreword, introduction, and full recommendations, 2021). For instance, Avon and Somerset Police has changed its stop and search policy in collaboration with the Race Matters community network to address issues of institutional racism and strengthen community ties (Morris, 2024). </w:t>
      </w:r>
    </w:p>
    <w:p w14:paraId="7B74F31C" w14:textId="77777777" w:rsidR="00121929" w:rsidRDefault="00121929" w:rsidP="00666727">
      <w:pPr>
        <w:spacing w:line="257" w:lineRule="auto"/>
        <w:ind w:right="531"/>
        <w:rPr>
          <w:rFonts w:ascii="Arial" w:hAnsi="Arial" w:cs="Arial"/>
          <w:sz w:val="22"/>
          <w:szCs w:val="22"/>
        </w:rPr>
      </w:pPr>
    </w:p>
    <w:p w14:paraId="12985743" w14:textId="2B074212"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Despite these attempts, difficulties persist. A report by the UK Parliament's Home Affairs Committee emphasised the importance of taking practical actions to enhance diversity, such as providing coaching and mentoring to BAME officers and guaranteeing diversity on selection panels (Police diversity, 2016). Furthermore, the lack of diversity in specialist units, like as guns and </w:t>
      </w:r>
      <w:r w:rsidRPr="00121929">
        <w:rPr>
          <w:rFonts w:ascii="Arial" w:hAnsi="Arial" w:cs="Arial"/>
          <w:sz w:val="22"/>
          <w:szCs w:val="22"/>
        </w:rPr>
        <w:t>counterterrorism</w:t>
      </w:r>
      <w:r w:rsidRPr="00121929">
        <w:rPr>
          <w:rFonts w:ascii="Arial" w:hAnsi="Arial" w:cs="Arial"/>
          <w:sz w:val="22"/>
          <w:szCs w:val="22"/>
        </w:rPr>
        <w:t xml:space="preserve">, has been noted as a significant issue. Some forces are examining measures like rank skipping and direct entry to solve this gap (Evidence on Police diversity, 2016). Developing trust among various populations is difficult, </w:t>
      </w:r>
      <w:r w:rsidRPr="00121929">
        <w:rPr>
          <w:rFonts w:ascii="Arial" w:hAnsi="Arial" w:cs="Arial"/>
          <w:sz w:val="22"/>
          <w:szCs w:val="22"/>
        </w:rPr>
        <w:t>according</w:t>
      </w:r>
      <w:r w:rsidRPr="00121929">
        <w:rPr>
          <w:rFonts w:ascii="Arial" w:hAnsi="Arial" w:cs="Arial"/>
          <w:sz w:val="22"/>
          <w:szCs w:val="22"/>
        </w:rPr>
        <w:t xml:space="preserve"> to studies, people with working-class accents are more likely to be suspected of committing crimes, which is indicative of ingrained prejudices that may influence how people engage with </w:t>
      </w:r>
      <w:r w:rsidRPr="00121929">
        <w:rPr>
          <w:rFonts w:ascii="Arial" w:hAnsi="Arial" w:cs="Arial"/>
          <w:sz w:val="22"/>
          <w:szCs w:val="22"/>
        </w:rPr>
        <w:t>authorises</w:t>
      </w:r>
      <w:r w:rsidRPr="00121929">
        <w:rPr>
          <w:rFonts w:ascii="Arial" w:hAnsi="Arial" w:cs="Arial"/>
          <w:sz w:val="22"/>
          <w:szCs w:val="22"/>
        </w:rPr>
        <w:t xml:space="preserve"> (Grierson, 2025). </w:t>
      </w:r>
    </w:p>
    <w:p w14:paraId="4CD88128" w14:textId="77777777" w:rsidR="00121929" w:rsidRDefault="00121929" w:rsidP="00666727">
      <w:pPr>
        <w:spacing w:line="257" w:lineRule="auto"/>
        <w:ind w:right="531"/>
        <w:rPr>
          <w:rFonts w:ascii="Arial" w:hAnsi="Arial" w:cs="Arial"/>
          <w:sz w:val="22"/>
          <w:szCs w:val="22"/>
        </w:rPr>
      </w:pPr>
    </w:p>
    <w:p w14:paraId="1A189FE7" w14:textId="1E0AE897" w:rsidR="00121929" w:rsidRDefault="00121929" w:rsidP="00666727">
      <w:pPr>
        <w:spacing w:line="257" w:lineRule="auto"/>
        <w:ind w:right="531"/>
        <w:rPr>
          <w:rFonts w:ascii="Arial" w:hAnsi="Arial" w:cs="Arial"/>
          <w:sz w:val="22"/>
          <w:szCs w:val="22"/>
        </w:rPr>
      </w:pPr>
      <w:r w:rsidRPr="00121929">
        <w:rPr>
          <w:rFonts w:ascii="Arial" w:hAnsi="Arial" w:cs="Arial"/>
          <w:sz w:val="22"/>
          <w:szCs w:val="22"/>
        </w:rPr>
        <w:t xml:space="preserve">In conclusion, </w:t>
      </w:r>
      <w:r w:rsidRPr="00121929">
        <w:rPr>
          <w:rFonts w:ascii="Arial" w:hAnsi="Arial" w:cs="Arial"/>
          <w:sz w:val="22"/>
          <w:szCs w:val="22"/>
        </w:rPr>
        <w:t>by</w:t>
      </w:r>
      <w:r w:rsidRPr="00121929">
        <w:rPr>
          <w:rFonts w:ascii="Arial" w:hAnsi="Arial" w:cs="Arial"/>
          <w:sz w:val="22"/>
          <w:szCs w:val="22"/>
        </w:rPr>
        <w:t xml:space="preserve"> putting policies and activities in place to promote an inclusive atmosphere in the workplace and in community involvement, the UK police service has made impressive strides in embracing and adapting to diversity. However, full integration and trust are still hampered by enduring issues including societal biases and cultural obstacles. A police force that genuinely represents and serves all facets of society requires a sustained dedication to reform, open accountability, and community cooperation. Although UK police forces in </w:t>
      </w:r>
      <w:r w:rsidRPr="00121929">
        <w:rPr>
          <w:rFonts w:ascii="Arial" w:hAnsi="Arial" w:cs="Arial"/>
          <w:sz w:val="22"/>
          <w:szCs w:val="22"/>
        </w:rPr>
        <w:t>general</w:t>
      </w:r>
      <w:r w:rsidRPr="00121929">
        <w:rPr>
          <w:rFonts w:ascii="Arial" w:hAnsi="Arial" w:cs="Arial"/>
          <w:sz w:val="22"/>
          <w:szCs w:val="22"/>
        </w:rPr>
        <w:t xml:space="preserve"> </w:t>
      </w:r>
      <w:r w:rsidRPr="00121929">
        <w:rPr>
          <w:rFonts w:ascii="Arial" w:hAnsi="Arial" w:cs="Arial"/>
          <w:sz w:val="22"/>
          <w:szCs w:val="22"/>
        </w:rPr>
        <w:t>have</w:t>
      </w:r>
      <w:r w:rsidRPr="00121929">
        <w:rPr>
          <w:rFonts w:ascii="Arial" w:hAnsi="Arial" w:cs="Arial"/>
          <w:sz w:val="22"/>
          <w:szCs w:val="22"/>
        </w:rPr>
        <w:t xml:space="preserve"> made great strides in accommodating diversity, more work is required to address current issues. To guarantee that policing is representational, egalitarian, and successful for all communities, it will be crucial to maintain the focus on inclusive hiring, cultural competence training, and meaningful community involvement.</w:t>
      </w:r>
    </w:p>
    <w:p w14:paraId="0AE9BFCF" w14:textId="77777777" w:rsidR="00121929" w:rsidRDefault="00121929" w:rsidP="00666727">
      <w:pPr>
        <w:spacing w:line="257" w:lineRule="auto"/>
        <w:ind w:right="531"/>
        <w:rPr>
          <w:rFonts w:ascii="Arial" w:hAnsi="Arial" w:cs="Arial"/>
          <w:sz w:val="22"/>
          <w:szCs w:val="22"/>
        </w:rPr>
      </w:pPr>
    </w:p>
    <w:p w14:paraId="4B178724" w14:textId="33DC0D50" w:rsidR="00121929" w:rsidRPr="00693B87" w:rsidRDefault="00121929" w:rsidP="00121929">
      <w:pPr>
        <w:spacing w:line="257" w:lineRule="auto"/>
        <w:ind w:right="531"/>
        <w:rPr>
          <w:rFonts w:ascii="Arial" w:hAnsi="Arial" w:cs="Arial"/>
          <w:sz w:val="22"/>
          <w:szCs w:val="22"/>
        </w:rPr>
      </w:pPr>
      <w:r w:rsidRPr="00693B87">
        <w:rPr>
          <w:rFonts w:ascii="Arial" w:hAnsi="Arial" w:cs="Arial"/>
          <w:b/>
          <w:bCs/>
          <w:sz w:val="22"/>
          <w:szCs w:val="22"/>
        </w:rPr>
        <w:t>Word</w:t>
      </w:r>
      <w:r>
        <w:rPr>
          <w:rFonts w:ascii="Arial" w:hAnsi="Arial" w:cs="Arial"/>
          <w:b/>
          <w:bCs/>
          <w:sz w:val="22"/>
          <w:szCs w:val="22"/>
        </w:rPr>
        <w:t xml:space="preserve"> count</w:t>
      </w:r>
      <w:r w:rsidRPr="00693B87">
        <w:rPr>
          <w:rFonts w:ascii="Arial" w:hAnsi="Arial" w:cs="Arial"/>
          <w:b/>
          <w:bCs/>
          <w:sz w:val="22"/>
          <w:szCs w:val="22"/>
        </w:rPr>
        <w:t xml:space="preserve">: </w:t>
      </w:r>
      <w:r>
        <w:rPr>
          <w:rFonts w:ascii="Arial" w:hAnsi="Arial" w:cs="Arial"/>
          <w:sz w:val="22"/>
          <w:szCs w:val="22"/>
        </w:rPr>
        <w:t>891</w:t>
      </w:r>
      <w:r w:rsidRPr="00693B87">
        <w:rPr>
          <w:rFonts w:ascii="Arial" w:hAnsi="Arial" w:cs="Arial"/>
          <w:sz w:val="22"/>
          <w:szCs w:val="22"/>
        </w:rPr>
        <w:t xml:space="preserve"> words.</w:t>
      </w:r>
    </w:p>
    <w:p w14:paraId="1E2A1345" w14:textId="77777777" w:rsidR="00121929" w:rsidRDefault="00121929" w:rsidP="00666727">
      <w:pPr>
        <w:spacing w:line="257" w:lineRule="auto"/>
        <w:ind w:right="531"/>
        <w:rPr>
          <w:rFonts w:ascii="Arial" w:hAnsi="Arial" w:cs="Arial"/>
          <w:sz w:val="22"/>
          <w:szCs w:val="22"/>
        </w:rPr>
      </w:pPr>
    </w:p>
    <w:p w14:paraId="4F829BE9" w14:textId="77777777" w:rsidR="00121929" w:rsidRDefault="00121929" w:rsidP="00666727">
      <w:pPr>
        <w:spacing w:line="257" w:lineRule="auto"/>
        <w:ind w:right="531"/>
        <w:rPr>
          <w:rFonts w:ascii="Arial" w:hAnsi="Arial" w:cs="Arial"/>
          <w:sz w:val="22"/>
          <w:szCs w:val="22"/>
        </w:rPr>
      </w:pPr>
    </w:p>
    <w:p w14:paraId="1397762F" w14:textId="77777777" w:rsidR="00121929" w:rsidRDefault="00121929" w:rsidP="00666727">
      <w:pPr>
        <w:spacing w:line="257" w:lineRule="auto"/>
        <w:ind w:right="531"/>
        <w:rPr>
          <w:rFonts w:ascii="Arial" w:hAnsi="Arial" w:cs="Arial"/>
          <w:sz w:val="22"/>
          <w:szCs w:val="22"/>
        </w:rPr>
      </w:pPr>
    </w:p>
    <w:p w14:paraId="200F81EE" w14:textId="77777777" w:rsidR="00121929" w:rsidRDefault="00121929"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3180E964" w14:textId="77777777" w:rsidR="00121929" w:rsidRDefault="005E352B" w:rsidP="00121929">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0D29AE00" w14:textId="77777777" w:rsidR="00121929" w:rsidRDefault="00121929" w:rsidP="00121929">
      <w:pPr>
        <w:spacing w:line="257" w:lineRule="auto"/>
        <w:ind w:left="567" w:right="531"/>
        <w:rPr>
          <w:rFonts w:ascii="Arial" w:eastAsia="Calibri" w:hAnsi="Arial" w:cs="Arial"/>
          <w:sz w:val="22"/>
          <w:szCs w:val="22"/>
        </w:rPr>
      </w:pPr>
      <w:r>
        <w:rPr>
          <w:rFonts w:ascii="Arial" w:eastAsia="Calibri" w:hAnsi="Arial" w:cs="Arial"/>
          <w:sz w:val="22"/>
          <w:szCs w:val="22"/>
        </w:rPr>
        <w:t xml:space="preserve"> </w:t>
      </w:r>
    </w:p>
    <w:p w14:paraId="105139A3" w14:textId="78130813" w:rsidR="00F9016B" w:rsidRPr="00121929" w:rsidRDefault="00F9016B" w:rsidP="00121929">
      <w:pPr>
        <w:spacing w:line="257" w:lineRule="auto"/>
        <w:ind w:left="567" w:right="531"/>
        <w:rPr>
          <w:rFonts w:ascii="Arial" w:eastAsia="Calibri" w:hAnsi="Arial" w:cs="Arial"/>
          <w:sz w:val="22"/>
          <w:szCs w:val="22"/>
        </w:rPr>
      </w:pPr>
      <w:r w:rsidRPr="00121929">
        <w:rPr>
          <w:rFonts w:ascii="Arial" w:eastAsia="Calibri" w:hAnsi="Arial" w:cs="Arial"/>
          <w:b/>
          <w:bCs/>
          <w:sz w:val="22"/>
          <w:szCs w:val="22"/>
        </w:rPr>
        <w:t xml:space="preserve">Response policing </w:t>
      </w:r>
      <w:r w:rsidRPr="00121929">
        <w:rPr>
          <w:rFonts w:ascii="Arial" w:eastAsia="Calibri" w:hAnsi="Arial" w:cs="Arial"/>
          <w:sz w:val="22"/>
          <w:szCs w:val="22"/>
        </w:rPr>
        <w:t xml:space="preserve">– </w:t>
      </w:r>
      <w:r w:rsidR="004548E5" w:rsidRPr="00121929">
        <w:rPr>
          <w:rFonts w:ascii="Arial" w:eastAsia="Calibri" w:hAnsi="Arial" w:cs="Arial"/>
          <w:sz w:val="22"/>
          <w:szCs w:val="22"/>
        </w:rPr>
        <w:t>W</w:t>
      </w:r>
      <w:r w:rsidRPr="00121929">
        <w:rPr>
          <w:rFonts w:ascii="Arial" w:eastAsia="Calibri" w:hAnsi="Arial" w:cs="Arial"/>
          <w:sz w:val="22"/>
          <w:szCs w:val="22"/>
        </w:rPr>
        <w:t>hy is it important to manage mental wellbeing in policing?</w:t>
      </w:r>
      <w:r w:rsidR="005A3BF7" w:rsidRPr="00121929">
        <w:rPr>
          <w:rFonts w:ascii="Arial" w:eastAsia="Calibri" w:hAnsi="Arial" w:cs="Arial"/>
          <w:sz w:val="22"/>
          <w:szCs w:val="22"/>
        </w:rPr>
        <w:t xml:space="preserve"> What can be the consequences if mental wellbeing is not managed</w:t>
      </w:r>
      <w:r w:rsidR="00F003D9" w:rsidRPr="00121929">
        <w:rPr>
          <w:rFonts w:ascii="Arial" w:eastAsia="Calibri" w:hAnsi="Arial" w:cs="Arial"/>
          <w:sz w:val="22"/>
          <w:szCs w:val="22"/>
        </w:rPr>
        <w:t xml:space="preserve"> appropriately</w:t>
      </w:r>
      <w:r w:rsidR="005A3BF7" w:rsidRPr="00121929">
        <w:rPr>
          <w:rFonts w:ascii="Arial" w:eastAsia="Calibri" w:hAnsi="Arial" w:cs="Arial"/>
          <w:sz w:val="22"/>
          <w:szCs w:val="22"/>
        </w:rPr>
        <w:t>?</w:t>
      </w:r>
    </w:p>
    <w:p w14:paraId="412F9FF4" w14:textId="77777777" w:rsidR="00121929" w:rsidRDefault="00121929" w:rsidP="005D6D15">
      <w:pPr>
        <w:spacing w:line="257" w:lineRule="auto"/>
        <w:ind w:left="567" w:right="531"/>
        <w:rPr>
          <w:rFonts w:ascii="Arial" w:hAnsi="Arial" w:cs="Arial"/>
          <w:b/>
          <w:bCs/>
          <w:sz w:val="22"/>
          <w:szCs w:val="22"/>
        </w:rPr>
      </w:pPr>
    </w:p>
    <w:p w14:paraId="733D94DF" w14:textId="1304FB7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lastRenderedPageBreak/>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7632E184" w14:textId="77777777" w:rsidR="00121929" w:rsidRDefault="00121929" w:rsidP="005D6D15">
      <w:pPr>
        <w:ind w:left="567" w:right="531"/>
        <w:jc w:val="both"/>
        <w:rPr>
          <w:rFonts w:ascii="Arial" w:hAnsi="Arial" w:cs="Arial"/>
          <w:sz w:val="22"/>
          <w:szCs w:val="22"/>
        </w:rPr>
      </w:pPr>
    </w:p>
    <w:p w14:paraId="477DB77F"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 xml:space="preserve">The efficacy and integrity of policing organisations, as well as the health and safety of officers, depend on the management of mental wellbeing in the police force. Officers and the larger community they serve may suffer grave repercussions if mental health is neglected. </w:t>
      </w:r>
    </w:p>
    <w:p w14:paraId="2BC8F6D2" w14:textId="77777777" w:rsidR="009426AC" w:rsidRDefault="009426AC" w:rsidP="005D6D15">
      <w:pPr>
        <w:ind w:left="567" w:right="531"/>
        <w:jc w:val="both"/>
        <w:rPr>
          <w:rFonts w:ascii="Arial" w:hAnsi="Arial" w:cs="Arial"/>
          <w:sz w:val="22"/>
          <w:szCs w:val="22"/>
        </w:rPr>
      </w:pPr>
    </w:p>
    <w:p w14:paraId="564BB8D5"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 xml:space="preserve">The demanding nature of policing, coupled with frequent exposure to traumatic events and the unique pressures faced daily, makes managing mental health in law enforcement crucial. When mental health is not sufficiently supported, there can be significant consequences for both individual officers and the larger policing system. Officers who maintain strong mental health are more focused, better able to make decisions under pressure, and less likely to make errors that could compromise public safety. Policing often requires regular exposure to violence, death, and human suffering. Adequate mental health support helps officers process these experiences, thereby reducing the likelihood of conditions such as PTSD, depression, and burnout. Research shows that officers are often vulnerable to mental health issues due to the stressful nature of their work. A study of 150 officers found that 24% had PTSD, 9% suffered from depression, and 19% struggled with alcohol misuse (Fox et al., 2012). </w:t>
      </w:r>
    </w:p>
    <w:p w14:paraId="1185EC23" w14:textId="77777777" w:rsidR="009426AC" w:rsidRDefault="009426AC" w:rsidP="005D6D15">
      <w:pPr>
        <w:ind w:left="567" w:right="531"/>
        <w:jc w:val="both"/>
        <w:rPr>
          <w:rFonts w:ascii="Arial" w:hAnsi="Arial" w:cs="Arial"/>
          <w:sz w:val="22"/>
          <w:szCs w:val="22"/>
        </w:rPr>
      </w:pPr>
    </w:p>
    <w:p w14:paraId="51A7CB4C"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Moreover, it has been demonstrated that organisational stressors, including job pressure, long hours, and a lack of support, have a substantial negative influence on officers' mental health, resulting in emotional tiredness and a decrease in personal accomplishment (</w:t>
      </w:r>
      <w:proofErr w:type="spellStart"/>
      <w:r w:rsidRPr="00121929">
        <w:rPr>
          <w:rFonts w:ascii="Arial" w:hAnsi="Arial" w:cs="Arial"/>
          <w:sz w:val="22"/>
          <w:szCs w:val="22"/>
        </w:rPr>
        <w:t>Purba</w:t>
      </w:r>
      <w:proofErr w:type="spellEnd"/>
      <w:r w:rsidRPr="00121929">
        <w:rPr>
          <w:rFonts w:ascii="Arial" w:hAnsi="Arial" w:cs="Arial"/>
          <w:sz w:val="22"/>
          <w:szCs w:val="22"/>
        </w:rPr>
        <w:t xml:space="preserve"> and </w:t>
      </w:r>
      <w:proofErr w:type="spellStart"/>
      <w:r w:rsidRPr="00121929">
        <w:rPr>
          <w:rFonts w:ascii="Arial" w:hAnsi="Arial" w:cs="Arial"/>
          <w:sz w:val="22"/>
          <w:szCs w:val="22"/>
        </w:rPr>
        <w:t>Demou</w:t>
      </w:r>
      <w:proofErr w:type="spellEnd"/>
      <w:r w:rsidRPr="00121929">
        <w:rPr>
          <w:rFonts w:ascii="Arial" w:hAnsi="Arial" w:cs="Arial"/>
          <w:sz w:val="22"/>
          <w:szCs w:val="22"/>
        </w:rPr>
        <w:t xml:space="preserve">, 2019). Resolving these problems is essential for preserving public safety and trust as well as the welfare of the police. Officers who struggle with mental health issues may make poorer decisions and have poorer judgement, which could reduce their effectiveness on the job. </w:t>
      </w:r>
    </w:p>
    <w:p w14:paraId="7FEACA2F" w14:textId="77777777" w:rsidR="009426AC" w:rsidRDefault="009426AC" w:rsidP="005D6D15">
      <w:pPr>
        <w:ind w:left="567" w:right="531"/>
        <w:jc w:val="both"/>
        <w:rPr>
          <w:rFonts w:ascii="Arial" w:hAnsi="Arial" w:cs="Arial"/>
          <w:sz w:val="22"/>
          <w:szCs w:val="22"/>
        </w:rPr>
      </w:pPr>
    </w:p>
    <w:p w14:paraId="6947F9D8"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 xml:space="preserve">Furthermore, stress related to maintaining professional behaviour and public trust can impair an officer's ability to make sound decisions and regulate emotions, thereby increasing the likelihood of misconduct (Violanti et al., 2018). Maintaining mental stability not only promotes professionalism but also enhances community engagement and sustains public confidence in policing (Andersen et al., 2015). A mentally resilient police workforce is associated with improved morale, greater retention, and overall better health outcomes, which collectively contribute to a reduction in long-term sickness, absenteeism, and attrition due to psychological stress (Fox et al., 2012). These factors also significantly influence team dynamics and leadership roles. Officers who are mentally well are more likely to exhibit positive leadership, communicate effectively, and contribute to a constructive team culture (Berg et al., 2006). </w:t>
      </w:r>
    </w:p>
    <w:p w14:paraId="49D64031" w14:textId="77777777" w:rsidR="009426AC" w:rsidRDefault="009426AC" w:rsidP="005D6D15">
      <w:pPr>
        <w:ind w:left="567" w:right="531"/>
        <w:jc w:val="both"/>
        <w:rPr>
          <w:rFonts w:ascii="Arial" w:hAnsi="Arial" w:cs="Arial"/>
          <w:sz w:val="22"/>
          <w:szCs w:val="22"/>
        </w:rPr>
      </w:pPr>
    </w:p>
    <w:p w14:paraId="56593C56"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 xml:space="preserve">Mental health issues are a primary contributor to early retirement and resignation among police officers. Anecdotal evidence suggests that many officers leave the force due to unresolved mental health challenges, which ultimately leads to a loss of experienced personnel (Davies, 2024). The failure to address mental health concerns can have several negative repercussions. Officers in poor mental health are at a higher risk of burnout, chronic stress, emotional and physical exhaustion, and disengagement from their duties. Furthermore, the demands of long shifts, the inability to maintain a work-life balance, and the continual pressures of the job exacerbate these mental health struggles, leading to decreased performance and overall job satisfaction (Miller et al., 2019). </w:t>
      </w:r>
    </w:p>
    <w:p w14:paraId="38F023FD" w14:textId="77777777" w:rsidR="009426AC" w:rsidRDefault="009426AC" w:rsidP="005D6D15">
      <w:pPr>
        <w:ind w:left="567" w:right="531"/>
        <w:jc w:val="both"/>
        <w:rPr>
          <w:rFonts w:ascii="Arial" w:hAnsi="Arial" w:cs="Arial"/>
          <w:sz w:val="22"/>
          <w:szCs w:val="22"/>
        </w:rPr>
      </w:pPr>
    </w:p>
    <w:p w14:paraId="1FBE3722" w14:textId="77777777" w:rsidR="009426AC" w:rsidRDefault="00121929" w:rsidP="005D6D15">
      <w:pPr>
        <w:ind w:left="567" w:right="531"/>
        <w:jc w:val="both"/>
        <w:rPr>
          <w:rFonts w:ascii="Arial" w:hAnsi="Arial" w:cs="Arial"/>
          <w:sz w:val="22"/>
          <w:szCs w:val="22"/>
        </w:rPr>
      </w:pPr>
      <w:r w:rsidRPr="00121929">
        <w:rPr>
          <w:rFonts w:ascii="Arial" w:hAnsi="Arial" w:cs="Arial"/>
          <w:sz w:val="22"/>
          <w:szCs w:val="22"/>
        </w:rPr>
        <w:t xml:space="preserve">Decreased public safety, impaired judgment, and emotional dysregulation can lead to poor decision-making in critical situations, resulting in harmful experiences for individuals and contributing to a breakdown of trust in law enforcement. This, in turn, can tarnish an officer's reputation and further fuel public mistrust. Incidents involving police misconduct or excessive use of force, often exacerbated by mental stress, can significantly undermine public confidence in UK police forces. Suicide is a major national issue in the United Kingdom. In 2023, there were 7,055 officially recorded suicide deaths, averaging 19 suicides per day (Office for National Statistics, 2024). This marks the highest rate of suicide-related deaths in the UK since 1999 (Office for National Statistics, 2024). Policing is one of the occupations with the highest suicide rates, and the lack of sufficient mental health support could further exacerbate this crisis, affecting both officers and the broader community. </w:t>
      </w:r>
    </w:p>
    <w:p w14:paraId="7AE16BDB" w14:textId="77777777" w:rsidR="009426AC" w:rsidRDefault="009426AC" w:rsidP="005D6D15">
      <w:pPr>
        <w:ind w:left="567" w:right="531"/>
        <w:jc w:val="both"/>
        <w:rPr>
          <w:rFonts w:ascii="Arial" w:hAnsi="Arial" w:cs="Arial"/>
          <w:sz w:val="22"/>
          <w:szCs w:val="22"/>
        </w:rPr>
      </w:pPr>
    </w:p>
    <w:p w14:paraId="35C4D458" w14:textId="7A67C1DB" w:rsidR="009426AC" w:rsidRDefault="00121929" w:rsidP="009426AC">
      <w:pPr>
        <w:ind w:left="567" w:right="531"/>
        <w:jc w:val="both"/>
        <w:rPr>
          <w:rFonts w:ascii="Arial" w:hAnsi="Arial" w:cs="Arial"/>
          <w:sz w:val="22"/>
          <w:szCs w:val="22"/>
        </w:rPr>
      </w:pPr>
      <w:r w:rsidRPr="00121929">
        <w:rPr>
          <w:rFonts w:ascii="Arial" w:hAnsi="Arial" w:cs="Arial"/>
          <w:sz w:val="22"/>
          <w:szCs w:val="22"/>
        </w:rPr>
        <w:lastRenderedPageBreak/>
        <w:t xml:space="preserve">Implementing comprehensive mental health support systems is essential to mitigate the negative effects of job stress and ensure officers’ wellbeing. Research suggests that programs providing psychological support, stress management resources, and opportunities for </w:t>
      </w:r>
      <w:proofErr w:type="spellStart"/>
      <w:r w:rsidRPr="00121929">
        <w:rPr>
          <w:rFonts w:ascii="Arial" w:hAnsi="Arial" w:cs="Arial"/>
          <w:sz w:val="22"/>
          <w:szCs w:val="22"/>
        </w:rPr>
        <w:t>counseling</w:t>
      </w:r>
      <w:proofErr w:type="spellEnd"/>
      <w:r w:rsidRPr="00121929">
        <w:rPr>
          <w:rFonts w:ascii="Arial" w:hAnsi="Arial" w:cs="Arial"/>
          <w:sz w:val="22"/>
          <w:szCs w:val="22"/>
        </w:rPr>
        <w:t xml:space="preserve"> can significantly improve mental health outcomes for officers (Stevens et al., 2016). These programs not only support the individual officer but also enhance team dynamics and improve the collective performance of the force (Andersen et al., 2015). Additionally, reducing stigma surrounding mental health within the police force is a critical step in encouraging officers to seek help when needed. A culture of support and openness can lead to more proactive management of mental health issues before they escalate. </w:t>
      </w:r>
    </w:p>
    <w:p w14:paraId="05CBE6F4" w14:textId="77777777" w:rsidR="009426AC" w:rsidRDefault="009426AC" w:rsidP="009426AC">
      <w:pPr>
        <w:ind w:left="567" w:right="531"/>
        <w:jc w:val="both"/>
        <w:rPr>
          <w:rFonts w:ascii="Arial" w:hAnsi="Arial" w:cs="Arial"/>
          <w:sz w:val="22"/>
          <w:szCs w:val="22"/>
        </w:rPr>
      </w:pPr>
    </w:p>
    <w:p w14:paraId="782AEA3A" w14:textId="77777777" w:rsidR="009426AC" w:rsidRDefault="00121929" w:rsidP="009426AC">
      <w:pPr>
        <w:ind w:left="567" w:right="531"/>
        <w:jc w:val="both"/>
        <w:rPr>
          <w:rFonts w:ascii="Arial" w:hAnsi="Arial" w:cs="Arial"/>
          <w:sz w:val="22"/>
          <w:szCs w:val="22"/>
        </w:rPr>
      </w:pPr>
      <w:r w:rsidRPr="00121929">
        <w:rPr>
          <w:rFonts w:ascii="Arial" w:hAnsi="Arial" w:cs="Arial"/>
          <w:sz w:val="22"/>
          <w:szCs w:val="22"/>
        </w:rPr>
        <w:t xml:space="preserve">Maintaining officers' mental health requires cultivating a healthy organisational culture. According to research, leadership plays a crucial role in fostering an atmosphere where mental health is given top priority (Berg et al., 2006). Leaders may greatly lessen stigma and increase officers' acceptance of mental health care by aggressively promoting mental health awareness and fostering a supportive workplace. Officers' resilience and job satisfaction are eventually improved by a culture that supports behaviours that involve seeking help and gives them access to mental health resources (Stevens et al., 2016). </w:t>
      </w:r>
    </w:p>
    <w:p w14:paraId="4753A5F4" w14:textId="77777777" w:rsidR="009426AC" w:rsidRDefault="009426AC" w:rsidP="009426AC">
      <w:pPr>
        <w:ind w:left="567" w:right="531"/>
        <w:jc w:val="both"/>
        <w:rPr>
          <w:rFonts w:ascii="Arial" w:hAnsi="Arial" w:cs="Arial"/>
          <w:sz w:val="22"/>
          <w:szCs w:val="22"/>
        </w:rPr>
      </w:pPr>
    </w:p>
    <w:p w14:paraId="0E84DAD5" w14:textId="2168AA22" w:rsidR="00121929" w:rsidRDefault="00121929" w:rsidP="009426AC">
      <w:pPr>
        <w:ind w:left="567" w:right="531"/>
        <w:jc w:val="both"/>
        <w:rPr>
          <w:rFonts w:ascii="Arial" w:hAnsi="Arial" w:cs="Arial"/>
          <w:sz w:val="22"/>
          <w:szCs w:val="22"/>
        </w:rPr>
      </w:pPr>
      <w:r w:rsidRPr="00121929">
        <w:rPr>
          <w:rFonts w:ascii="Arial" w:hAnsi="Arial" w:cs="Arial"/>
          <w:sz w:val="22"/>
          <w:szCs w:val="22"/>
        </w:rPr>
        <w:t>The mental wellbeing of police officers is integral to their health, job performance, and the safety of the communities they serve. Implementing comprehensive mental health support systems, reducing stigma, and fostering a supportive organizational culture are essential steps in ensuring that officers can perform their duties effectively and maintain their own well-being. In conclusion, the mental wellbeing of police officers is central to their health, job performance, and the safety of the communities they serve. Comprehensive mental health support systems, the reduction of stigma, and the cultivation of a supportive organizational culture are vital in ensuring that officers can perform their duties effectively while maintaining their personal wellbeing. Failure to address mental health can have long-term consequences, not only for the individual officer but also for the effectiveness and public trust in the entire policing system.</w:t>
      </w:r>
    </w:p>
    <w:p w14:paraId="1F286C80" w14:textId="77777777" w:rsidR="00121929" w:rsidRDefault="00121929" w:rsidP="005D6D15">
      <w:pPr>
        <w:ind w:left="567" w:right="531"/>
        <w:jc w:val="both"/>
        <w:rPr>
          <w:rFonts w:ascii="Arial" w:hAnsi="Arial" w:cs="Arial"/>
          <w:sz w:val="22"/>
          <w:szCs w:val="22"/>
        </w:rPr>
      </w:pPr>
    </w:p>
    <w:p w14:paraId="51A1F9A1" w14:textId="29B408AF" w:rsidR="00121929" w:rsidRPr="00693B87" w:rsidRDefault="00121929" w:rsidP="00121929">
      <w:pPr>
        <w:spacing w:line="257" w:lineRule="auto"/>
        <w:ind w:left="567" w:right="531"/>
        <w:rPr>
          <w:rFonts w:ascii="Arial" w:hAnsi="Arial" w:cs="Arial"/>
          <w:sz w:val="22"/>
          <w:szCs w:val="22"/>
        </w:rPr>
      </w:pPr>
      <w:r w:rsidRPr="00693B87">
        <w:rPr>
          <w:rFonts w:ascii="Arial" w:hAnsi="Arial" w:cs="Arial"/>
          <w:b/>
          <w:bCs/>
          <w:sz w:val="22"/>
          <w:szCs w:val="22"/>
        </w:rPr>
        <w:t>Word</w:t>
      </w:r>
      <w:r>
        <w:rPr>
          <w:rFonts w:ascii="Arial" w:hAnsi="Arial" w:cs="Arial"/>
          <w:b/>
          <w:bCs/>
          <w:sz w:val="22"/>
          <w:szCs w:val="22"/>
        </w:rPr>
        <w:t xml:space="preserve"> count</w:t>
      </w:r>
      <w:r w:rsidRPr="00693B87">
        <w:rPr>
          <w:rFonts w:ascii="Arial" w:hAnsi="Arial" w:cs="Arial"/>
          <w:b/>
          <w:bCs/>
          <w:sz w:val="22"/>
          <w:szCs w:val="22"/>
        </w:rPr>
        <w:t xml:space="preserve">: </w:t>
      </w:r>
      <w:r>
        <w:rPr>
          <w:rFonts w:ascii="Arial" w:hAnsi="Arial" w:cs="Arial"/>
          <w:sz w:val="22"/>
          <w:szCs w:val="22"/>
        </w:rPr>
        <w:t>995</w:t>
      </w:r>
      <w:r w:rsidRPr="00693B87">
        <w:rPr>
          <w:rFonts w:ascii="Arial" w:hAnsi="Arial" w:cs="Arial"/>
          <w:sz w:val="22"/>
          <w:szCs w:val="22"/>
        </w:rPr>
        <w:t xml:space="preserve"> words.</w:t>
      </w:r>
    </w:p>
    <w:p w14:paraId="131617F6" w14:textId="77777777" w:rsidR="00121929" w:rsidRDefault="00121929" w:rsidP="005D6D15">
      <w:pPr>
        <w:ind w:left="567" w:right="531"/>
        <w:jc w:val="both"/>
        <w:rPr>
          <w:rFonts w:ascii="Arial" w:hAnsi="Arial" w:cs="Arial"/>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01C83E3F" w14:textId="6C0835B9" w:rsidR="00454735" w:rsidRDefault="00904599" w:rsidP="005D6D15">
      <w:pPr>
        <w:spacing w:line="257" w:lineRule="auto"/>
        <w:ind w:left="567" w:right="531"/>
        <w:rPr>
          <w:rFonts w:ascii="Arial" w:eastAsia="Calibri"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p>
    <w:p w14:paraId="2FE19D1F" w14:textId="77777777" w:rsidR="009426AC" w:rsidRDefault="009426AC" w:rsidP="005D6D15">
      <w:pPr>
        <w:spacing w:line="257" w:lineRule="auto"/>
        <w:ind w:left="567" w:right="531"/>
        <w:rPr>
          <w:rFonts w:ascii="Arial" w:hAnsi="Arial" w:cs="Arial"/>
          <w:sz w:val="22"/>
          <w:szCs w:val="22"/>
        </w:rPr>
      </w:pPr>
    </w:p>
    <w:p w14:paraId="203F46F1" w14:textId="77777777" w:rsidR="009426AC"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Personal attitudes, values, and biases can significantly affect the effective investigation of volume crime. Volume crimes, which include common offences such as theft, burglary, and anti-social behaviour, are typically high in frequency and often involve large volumes of cases. When officers’ personal attitudes, values, or biases influence their investigative practices, it can lead to detrimental consequences, such as flawed decision-making, compromised objectivity, and unequal treatment of suspects or victims. </w:t>
      </w:r>
    </w:p>
    <w:p w14:paraId="7E0BF720" w14:textId="77777777" w:rsidR="009426AC" w:rsidRDefault="009426AC" w:rsidP="005D6D15">
      <w:pPr>
        <w:spacing w:line="257" w:lineRule="auto"/>
        <w:ind w:left="567" w:right="531"/>
        <w:rPr>
          <w:rFonts w:ascii="Arial" w:hAnsi="Arial" w:cs="Arial"/>
          <w:sz w:val="22"/>
          <w:szCs w:val="22"/>
        </w:rPr>
      </w:pPr>
    </w:p>
    <w:p w14:paraId="5979BC2E" w14:textId="77777777" w:rsidR="009426AC" w:rsidRDefault="009426AC" w:rsidP="005D6D15">
      <w:pPr>
        <w:spacing w:line="257" w:lineRule="auto"/>
        <w:ind w:left="567" w:right="531"/>
        <w:rPr>
          <w:rFonts w:ascii="Arial" w:hAnsi="Arial" w:cs="Arial"/>
          <w:sz w:val="22"/>
          <w:szCs w:val="22"/>
        </w:rPr>
      </w:pPr>
      <w:r w:rsidRPr="009426AC">
        <w:rPr>
          <w:rFonts w:ascii="Arial" w:hAnsi="Arial" w:cs="Arial"/>
          <w:sz w:val="22"/>
          <w:szCs w:val="22"/>
        </w:rPr>
        <w:t>Volume crime refers to a category of crimes that occur frequently within a community, typically involving high numbers of victims and suspects, and are considered to have a significant impact on society's day-to-day functioning (Home Office, 2017).</w:t>
      </w:r>
      <w:r>
        <w:rPr>
          <w:rFonts w:ascii="Arial" w:hAnsi="Arial" w:cs="Arial"/>
          <w:sz w:val="22"/>
          <w:szCs w:val="22"/>
        </w:rPr>
        <w:t xml:space="preserve"> </w:t>
      </w:r>
      <w:r w:rsidRPr="009426AC">
        <w:rPr>
          <w:rFonts w:ascii="Arial" w:hAnsi="Arial" w:cs="Arial"/>
          <w:sz w:val="22"/>
          <w:szCs w:val="22"/>
        </w:rPr>
        <w:t xml:space="preserve">Volume crimes usually include property crimes such as burglary, theft, shoplifting, and vehicle crime, as well as low-level anti-social behaviour (e.g., vandalism or public disorder). These crimes are typically less complex than serious crimes like murder or armed robbery, but they can be pervasive and have a substantial impact on public perception of safety and wellbeing (Home Office, 2017). </w:t>
      </w:r>
    </w:p>
    <w:p w14:paraId="43B496F7" w14:textId="77777777" w:rsidR="009426AC" w:rsidRDefault="009426AC" w:rsidP="005D6D15">
      <w:pPr>
        <w:spacing w:line="257" w:lineRule="auto"/>
        <w:ind w:left="567" w:right="531"/>
        <w:rPr>
          <w:rFonts w:ascii="Arial" w:hAnsi="Arial" w:cs="Arial"/>
          <w:sz w:val="22"/>
          <w:szCs w:val="22"/>
        </w:rPr>
      </w:pPr>
    </w:p>
    <w:p w14:paraId="0AA82E0B" w14:textId="490963A5" w:rsidR="009426AC"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Volume crimes are essential because they account for </w:t>
      </w:r>
      <w:proofErr w:type="gramStart"/>
      <w:r w:rsidRPr="009426AC">
        <w:rPr>
          <w:rFonts w:ascii="Arial" w:hAnsi="Arial" w:cs="Arial"/>
          <w:sz w:val="22"/>
          <w:szCs w:val="22"/>
        </w:rPr>
        <w:t>the majority of</w:t>
      </w:r>
      <w:proofErr w:type="gramEnd"/>
      <w:r w:rsidRPr="009426AC">
        <w:rPr>
          <w:rFonts w:ascii="Arial" w:hAnsi="Arial" w:cs="Arial"/>
          <w:sz w:val="22"/>
          <w:szCs w:val="22"/>
        </w:rPr>
        <w:t xml:space="preserve"> daily police </w:t>
      </w:r>
      <w:r w:rsidRPr="009426AC">
        <w:rPr>
          <w:rFonts w:ascii="Arial" w:hAnsi="Arial" w:cs="Arial"/>
          <w:sz w:val="22"/>
          <w:szCs w:val="22"/>
        </w:rPr>
        <w:t>labour and</w:t>
      </w:r>
      <w:r w:rsidRPr="009426AC">
        <w:rPr>
          <w:rFonts w:ascii="Arial" w:hAnsi="Arial" w:cs="Arial"/>
          <w:sz w:val="22"/>
          <w:szCs w:val="22"/>
        </w:rPr>
        <w:t xml:space="preserve"> efficiently addressing them can have a significant impact on enhancing community safety and public trust in </w:t>
      </w:r>
      <w:r>
        <w:rPr>
          <w:rFonts w:ascii="Arial" w:hAnsi="Arial" w:cs="Arial"/>
          <w:sz w:val="22"/>
          <w:szCs w:val="22"/>
        </w:rPr>
        <w:t>policing</w:t>
      </w:r>
      <w:r w:rsidRPr="009426AC">
        <w:rPr>
          <w:rFonts w:ascii="Arial" w:hAnsi="Arial" w:cs="Arial"/>
          <w:sz w:val="22"/>
          <w:szCs w:val="22"/>
        </w:rPr>
        <w:t xml:space="preserve">. </w:t>
      </w:r>
    </w:p>
    <w:p w14:paraId="6B81BBA2" w14:textId="77777777" w:rsidR="009426AC" w:rsidRDefault="009426AC" w:rsidP="005D6D15">
      <w:pPr>
        <w:spacing w:line="257" w:lineRule="auto"/>
        <w:ind w:left="567" w:right="531"/>
        <w:rPr>
          <w:rFonts w:ascii="Arial" w:hAnsi="Arial" w:cs="Arial"/>
          <w:sz w:val="22"/>
          <w:szCs w:val="22"/>
        </w:rPr>
      </w:pPr>
    </w:p>
    <w:p w14:paraId="2D080420" w14:textId="77777777" w:rsidR="009426AC" w:rsidRDefault="009426AC" w:rsidP="005D6D15">
      <w:pPr>
        <w:spacing w:line="257" w:lineRule="auto"/>
        <w:ind w:left="567" w:right="531"/>
        <w:rPr>
          <w:rFonts w:ascii="Arial" w:hAnsi="Arial" w:cs="Arial"/>
          <w:sz w:val="22"/>
          <w:szCs w:val="22"/>
        </w:rPr>
      </w:pPr>
      <w:r w:rsidRPr="009426AC">
        <w:rPr>
          <w:rFonts w:ascii="Arial" w:hAnsi="Arial" w:cs="Arial"/>
          <w:sz w:val="22"/>
          <w:szCs w:val="22"/>
        </w:rPr>
        <w:lastRenderedPageBreak/>
        <w:t xml:space="preserve">Personal opinions about specific types of crime or suspects can influence how an officer prioritises cases. For example, an officer who has negative prejudices about a specific demographic group may be more likely to overlook or dismiss evidence linked to a crime committed by members of that group. Research shows that police officers' personal values can lead to unconscious bias, resulting in prioritising certain types of crimes or suspects above others based on personal preferences or opinions rather than objective evidence (Pope et al., 2017). This might result in ineffective investigations and, in certain situations, the failure to investigate specific cases or suspects. </w:t>
      </w:r>
    </w:p>
    <w:p w14:paraId="4FDA8C32" w14:textId="77777777" w:rsidR="009426AC" w:rsidRDefault="009426AC" w:rsidP="005D6D15">
      <w:pPr>
        <w:spacing w:line="257" w:lineRule="auto"/>
        <w:ind w:left="567" w:right="531"/>
        <w:rPr>
          <w:rFonts w:ascii="Arial" w:hAnsi="Arial" w:cs="Arial"/>
          <w:sz w:val="22"/>
          <w:szCs w:val="22"/>
        </w:rPr>
      </w:pPr>
    </w:p>
    <w:p w14:paraId="7C6AB8FC" w14:textId="77777777" w:rsidR="00F70ADD"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Unconscious biases are deeply established opinions or prejudices that influence choices without the officer being aware of them. These biases can influence the approach of investigations in a variety of ways. For example, officers may approach suspects differently depending on their race, socioeconomic class, gender, or age. According to studies, prejudices based on race and ethnicity are common in law enforcement, which can result in disproportionate attention being given to </w:t>
      </w:r>
      <w:r w:rsidRPr="009426AC">
        <w:rPr>
          <w:rFonts w:ascii="Arial" w:hAnsi="Arial" w:cs="Arial"/>
          <w:sz w:val="22"/>
          <w:szCs w:val="22"/>
        </w:rPr>
        <w:t>racial</w:t>
      </w:r>
      <w:r w:rsidRPr="009426AC">
        <w:rPr>
          <w:rFonts w:ascii="Arial" w:hAnsi="Arial" w:cs="Arial"/>
          <w:sz w:val="22"/>
          <w:szCs w:val="22"/>
        </w:rPr>
        <w:t xml:space="preserve"> or ethnic groups while overlooking others (Goel et al., 2016). This weakens the impartiality and objectivity required in criminal investigations, especially in high-volume cases involving </w:t>
      </w:r>
      <w:proofErr w:type="gramStart"/>
      <w:r w:rsidRPr="009426AC">
        <w:rPr>
          <w:rFonts w:ascii="Arial" w:hAnsi="Arial" w:cs="Arial"/>
          <w:sz w:val="22"/>
          <w:szCs w:val="22"/>
        </w:rPr>
        <w:t>a large number of</w:t>
      </w:r>
      <w:proofErr w:type="gramEnd"/>
      <w:r w:rsidRPr="009426AC">
        <w:rPr>
          <w:rFonts w:ascii="Arial" w:hAnsi="Arial" w:cs="Arial"/>
          <w:sz w:val="22"/>
          <w:szCs w:val="22"/>
        </w:rPr>
        <w:t xml:space="preserve"> people from diverse backgrounds. </w:t>
      </w:r>
    </w:p>
    <w:p w14:paraId="4831A665" w14:textId="77777777" w:rsidR="00F70ADD" w:rsidRDefault="00F70ADD" w:rsidP="005D6D15">
      <w:pPr>
        <w:spacing w:line="257" w:lineRule="auto"/>
        <w:ind w:left="567" w:right="531"/>
        <w:rPr>
          <w:rFonts w:ascii="Arial" w:hAnsi="Arial" w:cs="Arial"/>
          <w:sz w:val="22"/>
          <w:szCs w:val="22"/>
        </w:rPr>
      </w:pPr>
    </w:p>
    <w:p w14:paraId="4EF795A7" w14:textId="77777777" w:rsidR="00F70ADD"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Additionally, officers' own opinions and principles might influence how they interact with victims of crime. If officers have biases towards particular categories of victims (for example, assuming that victims of domestic violence or certain forms of theft are somehow responsible for the crime), this can lead to decreased empathy and less comprehensive investigations (Walker et al., 2016). Such biassed attitudes might leave victims feeling unsupported, reducing their motivation to participate and, as a result, the quality of the investigation. According to research on victim-blaming, officers who take a dismissive or judgemental attitude towards victims are more likely to fail to obtain vital information or pursue critical lines of investigation. </w:t>
      </w:r>
    </w:p>
    <w:p w14:paraId="0ADE1188" w14:textId="77777777" w:rsidR="00F70ADD" w:rsidRDefault="00F70ADD" w:rsidP="005D6D15">
      <w:pPr>
        <w:spacing w:line="257" w:lineRule="auto"/>
        <w:ind w:left="567" w:right="531"/>
        <w:rPr>
          <w:rFonts w:ascii="Arial" w:hAnsi="Arial" w:cs="Arial"/>
          <w:sz w:val="22"/>
          <w:szCs w:val="22"/>
        </w:rPr>
      </w:pPr>
    </w:p>
    <w:p w14:paraId="0AF3572E" w14:textId="77777777" w:rsidR="00F70ADD"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Confirmation bias arises when an officer unconsciously seeks information to support an original belief while ignoring evidence to the contrary. In high-volume crime investigations, this can occur when investigators become obsessed on a specific suspect or idea, ignoring alternative explanations or evidence. According to research, confirmation bias can result in mistaken convictions, flaws in the investigation process, and probable case mismanagement (Kassin et al., 2015). In high-volume crime cases, where resources are limited, confirmation bias can lead to the ignoring of crucial investigative paths or the pursuit of less promising leads. </w:t>
      </w:r>
    </w:p>
    <w:p w14:paraId="035466E1" w14:textId="77777777" w:rsidR="00F70ADD" w:rsidRDefault="00F70ADD" w:rsidP="005D6D15">
      <w:pPr>
        <w:spacing w:line="257" w:lineRule="auto"/>
        <w:ind w:left="567" w:right="531"/>
        <w:rPr>
          <w:rFonts w:ascii="Arial" w:hAnsi="Arial" w:cs="Arial"/>
          <w:sz w:val="22"/>
          <w:szCs w:val="22"/>
        </w:rPr>
      </w:pPr>
    </w:p>
    <w:p w14:paraId="6723909B" w14:textId="77777777" w:rsidR="00F70ADD" w:rsidRDefault="009426AC" w:rsidP="005D6D15">
      <w:pPr>
        <w:spacing w:line="257" w:lineRule="auto"/>
        <w:ind w:left="567" w:right="531"/>
        <w:rPr>
          <w:rFonts w:ascii="Arial" w:hAnsi="Arial" w:cs="Arial"/>
          <w:sz w:val="22"/>
          <w:szCs w:val="22"/>
        </w:rPr>
      </w:pPr>
      <w:proofErr w:type="gramStart"/>
      <w:r w:rsidRPr="009426AC">
        <w:rPr>
          <w:rFonts w:ascii="Arial" w:hAnsi="Arial" w:cs="Arial"/>
          <w:sz w:val="22"/>
          <w:szCs w:val="22"/>
        </w:rPr>
        <w:t>In order to</w:t>
      </w:r>
      <w:proofErr w:type="gramEnd"/>
      <w:r w:rsidRPr="009426AC">
        <w:rPr>
          <w:rFonts w:ascii="Arial" w:hAnsi="Arial" w:cs="Arial"/>
          <w:sz w:val="22"/>
          <w:szCs w:val="22"/>
        </w:rPr>
        <w:t xml:space="preserve"> maintain the integrity and efficacy of extensive criminal investigations, it is imperative that personal attitudes and prejudices be addressed. The accuracy of the outcomes and the fairness of investigations can be enhanced by giving police enough training on how to identify and reduce their biases. </w:t>
      </w:r>
      <w:proofErr w:type="gramStart"/>
      <w:r w:rsidRPr="009426AC">
        <w:rPr>
          <w:rFonts w:ascii="Arial" w:hAnsi="Arial" w:cs="Arial"/>
          <w:sz w:val="22"/>
          <w:szCs w:val="22"/>
        </w:rPr>
        <w:t>In order to</w:t>
      </w:r>
      <w:proofErr w:type="gramEnd"/>
      <w:r w:rsidRPr="009426AC">
        <w:rPr>
          <w:rFonts w:ascii="Arial" w:hAnsi="Arial" w:cs="Arial"/>
          <w:sz w:val="22"/>
          <w:szCs w:val="22"/>
        </w:rPr>
        <w:t xml:space="preserve"> encourage officers to regularly evaluate their personal biases and how they could affect their professional performance, police agencies must cultivate a culture of reflective practice and accountability (Miller &amp; White, 2019). </w:t>
      </w:r>
    </w:p>
    <w:p w14:paraId="03C59967" w14:textId="77777777" w:rsidR="00F70ADD" w:rsidRDefault="00F70ADD" w:rsidP="005D6D15">
      <w:pPr>
        <w:spacing w:line="257" w:lineRule="auto"/>
        <w:ind w:left="567" w:right="531"/>
        <w:rPr>
          <w:rFonts w:ascii="Arial" w:hAnsi="Arial" w:cs="Arial"/>
          <w:sz w:val="22"/>
          <w:szCs w:val="22"/>
        </w:rPr>
      </w:pPr>
    </w:p>
    <w:p w14:paraId="230041AC" w14:textId="77777777" w:rsidR="00F70ADD"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Sociologist Howard Becker established Labelling Theory in the 1960s (Becker, 1963), It focusses on how the labels that society assigns to individuals or groups affect their self-identity and behaviour. The theory is specifically concerned with the societal reaction to deviance, not the deviant act itself. According to labelling theory, being labelled as "deviant" or "criminal" might trigger a self-fulfilling prophecy in which the individual begins to accept and embody the label, potentially leading to additional deviant activity. A classic example used to demonstrate labelling theory is a young child caught shoplifting. If this person is caught and called a "thief" by their classmates, family, or school, they may internalise the term. Over time, they may come to identify more strongly with the label "thief" and continue to participate in criminal conduct because they feel alienated from mainstream, non-deviant society. The label, rather than the original act of shoplifting, pushes them farther into deviation (Becker, 1963). </w:t>
      </w:r>
    </w:p>
    <w:p w14:paraId="5B990746" w14:textId="77777777" w:rsidR="00F70ADD" w:rsidRDefault="00F70ADD" w:rsidP="005D6D15">
      <w:pPr>
        <w:spacing w:line="257" w:lineRule="auto"/>
        <w:ind w:left="567" w:right="531"/>
        <w:rPr>
          <w:rFonts w:ascii="Arial" w:hAnsi="Arial" w:cs="Arial"/>
          <w:sz w:val="22"/>
          <w:szCs w:val="22"/>
        </w:rPr>
      </w:pPr>
    </w:p>
    <w:p w14:paraId="0B5F599E" w14:textId="77777777" w:rsidR="00F70ADD" w:rsidRDefault="009426AC" w:rsidP="005D6D15">
      <w:pPr>
        <w:spacing w:line="257" w:lineRule="auto"/>
        <w:ind w:left="567" w:right="531"/>
        <w:rPr>
          <w:rFonts w:ascii="Arial" w:hAnsi="Arial" w:cs="Arial"/>
          <w:sz w:val="22"/>
          <w:szCs w:val="22"/>
        </w:rPr>
      </w:pPr>
      <w:r w:rsidRPr="009426AC">
        <w:rPr>
          <w:rFonts w:ascii="Arial" w:hAnsi="Arial" w:cs="Arial"/>
          <w:sz w:val="22"/>
          <w:szCs w:val="22"/>
        </w:rPr>
        <w:t xml:space="preserve">Labelling theory emphasises the important role that societal reactions have in defining people's identities and behaviours. By focussing on the branding process and its repercussions, the </w:t>
      </w:r>
      <w:r w:rsidRPr="009426AC">
        <w:rPr>
          <w:rFonts w:ascii="Arial" w:hAnsi="Arial" w:cs="Arial"/>
          <w:sz w:val="22"/>
          <w:szCs w:val="22"/>
        </w:rPr>
        <w:lastRenderedPageBreak/>
        <w:t xml:space="preserve">theory sheds light on how social control mechanisms like the criminal justice system can unintentionally perpetuate deviation. It has had a particularly strong impact on criminology because it emphasises the importance of a more nuanced view of deviance that takes into account the social context and the effects of stigmatisation (Becker, 1963). </w:t>
      </w:r>
    </w:p>
    <w:p w14:paraId="163A2F6E" w14:textId="77777777" w:rsidR="00F70ADD" w:rsidRDefault="00F70ADD" w:rsidP="005D6D15">
      <w:pPr>
        <w:spacing w:line="257" w:lineRule="auto"/>
        <w:ind w:left="567" w:right="531"/>
        <w:rPr>
          <w:rFonts w:ascii="Arial" w:hAnsi="Arial" w:cs="Arial"/>
          <w:sz w:val="22"/>
          <w:szCs w:val="22"/>
        </w:rPr>
      </w:pPr>
    </w:p>
    <w:p w14:paraId="546D2976" w14:textId="63FDAF47" w:rsidR="009426AC" w:rsidRPr="00693B87" w:rsidRDefault="009426AC" w:rsidP="005D6D15">
      <w:pPr>
        <w:spacing w:line="257" w:lineRule="auto"/>
        <w:ind w:left="567" w:right="531"/>
        <w:rPr>
          <w:rFonts w:ascii="Arial" w:hAnsi="Arial" w:cs="Arial"/>
          <w:sz w:val="22"/>
          <w:szCs w:val="22"/>
        </w:rPr>
      </w:pPr>
      <w:r w:rsidRPr="009426AC">
        <w:rPr>
          <w:rFonts w:ascii="Arial" w:hAnsi="Arial" w:cs="Arial"/>
          <w:sz w:val="22"/>
          <w:szCs w:val="22"/>
        </w:rPr>
        <w:t>Personal attitudes, values, and biases all have an impact on the effectiveness of large-scale crime investigations. These characteristics can influence decision-making, how victims and suspects are treated, and create unconscious biases that affect investigative outcomes. To mitigate these dangers, officers must receive bias awareness training, develop an organisational culture that values fairness and impartiality, and foster transparency and accountability in investigative operations. Failure to address these concerns can erode public trust and lead to poor crime resolution outcomes.</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1D1FBF8" w14:textId="77777777" w:rsidR="00F70ADD" w:rsidRDefault="00F70ADD" w:rsidP="00F70ADD">
      <w:pPr>
        <w:spacing w:line="257" w:lineRule="auto"/>
        <w:ind w:right="531"/>
        <w:rPr>
          <w:rFonts w:ascii="Arial" w:eastAsia="Calibri" w:hAnsi="Arial" w:cs="Arial"/>
          <w:sz w:val="22"/>
          <w:szCs w:val="22"/>
        </w:rPr>
      </w:pP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459D3722" w14:textId="77777777" w:rsidR="00F70ADD" w:rsidRDefault="00F70ADD" w:rsidP="005D6D15">
      <w:pPr>
        <w:spacing w:line="257" w:lineRule="auto"/>
        <w:ind w:left="567" w:right="531"/>
        <w:rPr>
          <w:rFonts w:ascii="Arial" w:hAnsi="Arial" w:cs="Arial"/>
          <w:sz w:val="22"/>
          <w:szCs w:val="22"/>
        </w:rPr>
      </w:pPr>
    </w:p>
    <w:p w14:paraId="73E93640"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Serious and organised crime (SOC) presents enormous problems to public safety, as it is intertwined with a variety of societal issues and exploits community weaknesses. Academic study focusses on the intricate connection between SOC and public safety, emphasising the factors that make people vulnerable to exploitation by criminal gangs. Young people, particularly those aged 16 to 24, are more vulnerable to victimisation, with peer pressure and a desire for belonging making them more likely to be targeted. Furthermore, children and young people from single-parent households are more likely to be victims of crime, with a 42% higher risk compared to those living in households without children (Crime Statistics, 2024). </w:t>
      </w:r>
    </w:p>
    <w:p w14:paraId="42ED94F6" w14:textId="77777777" w:rsidR="00F70ADD" w:rsidRDefault="00F70ADD" w:rsidP="005D6D15">
      <w:pPr>
        <w:spacing w:line="257" w:lineRule="auto"/>
        <w:ind w:left="567" w:right="531"/>
        <w:rPr>
          <w:rFonts w:ascii="Arial" w:hAnsi="Arial" w:cs="Arial"/>
          <w:sz w:val="22"/>
          <w:szCs w:val="22"/>
        </w:rPr>
      </w:pPr>
    </w:p>
    <w:p w14:paraId="3B049E79"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SOC groups frequently recognise and exploit community flaws, such as poor welfare services and housing instability. For example, in Scotland, exploitative practices were described in which elderly people were pressured into letting their homes to be used for illegal operations such as cannabis production in exchange for financial recompense. This misuse jeopardises public safety while also eroding trust in community institutions (The Scottish Government, 2018). </w:t>
      </w:r>
    </w:p>
    <w:p w14:paraId="2C8DA7F8" w14:textId="77777777" w:rsidR="00F70ADD" w:rsidRDefault="00F70ADD" w:rsidP="005D6D15">
      <w:pPr>
        <w:spacing w:line="257" w:lineRule="auto"/>
        <w:ind w:left="567" w:right="531"/>
        <w:rPr>
          <w:rFonts w:ascii="Arial" w:hAnsi="Arial" w:cs="Arial"/>
          <w:sz w:val="22"/>
          <w:szCs w:val="22"/>
        </w:rPr>
      </w:pPr>
    </w:p>
    <w:p w14:paraId="0EA79726"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Young people, especially those from marginalised backgrounds, are more likely to be recruited into SOC activities. The phenomenon of 'county lines', in which urban gangs expand their drug distribution networks into rural areas, exposes young people to increased violence and criminal behaviour. Motivations for involvement often arise from a desire for status, financial gain, or a sense of belonging, which SOC groups exploit (Ashton, 2024). </w:t>
      </w:r>
    </w:p>
    <w:p w14:paraId="13671E37" w14:textId="77777777" w:rsidR="00F70ADD" w:rsidRDefault="00F70ADD" w:rsidP="005D6D15">
      <w:pPr>
        <w:spacing w:line="257" w:lineRule="auto"/>
        <w:ind w:left="567" w:right="531"/>
        <w:rPr>
          <w:rFonts w:ascii="Arial" w:hAnsi="Arial" w:cs="Arial"/>
          <w:sz w:val="22"/>
          <w:szCs w:val="22"/>
        </w:rPr>
      </w:pPr>
    </w:p>
    <w:p w14:paraId="34801C8A"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Additionally</w:t>
      </w:r>
      <w:r w:rsidRPr="00F70ADD">
        <w:rPr>
          <w:rFonts w:ascii="Arial" w:hAnsi="Arial" w:cs="Arial"/>
          <w:sz w:val="22"/>
          <w:szCs w:val="22"/>
        </w:rPr>
        <w:t xml:space="preserve">, </w:t>
      </w:r>
      <w:proofErr w:type="gramStart"/>
      <w:r w:rsidRPr="00F70ADD">
        <w:rPr>
          <w:rFonts w:ascii="Arial" w:hAnsi="Arial" w:cs="Arial"/>
          <w:sz w:val="22"/>
          <w:szCs w:val="22"/>
        </w:rPr>
        <w:t>The</w:t>
      </w:r>
      <w:proofErr w:type="gramEnd"/>
      <w:r w:rsidRPr="00F70ADD">
        <w:rPr>
          <w:rFonts w:ascii="Arial" w:hAnsi="Arial" w:cs="Arial"/>
          <w:sz w:val="22"/>
          <w:szCs w:val="22"/>
        </w:rPr>
        <w:t xml:space="preserve"> convergence of SOC and terrorism is causing increasing alarm. Dr. Mohammed Rahman's research shows that activities like the selling of counterfeit products can fund terrorist operations, as evidenced by the Manchester Arena explosion (Dathan, 2025). This overlap complicates public safety initiatives, necessitating coordinated tactics to handle both risks concurrently. </w:t>
      </w:r>
    </w:p>
    <w:p w14:paraId="205058C8" w14:textId="77777777" w:rsidR="00F70ADD" w:rsidRDefault="00F70ADD" w:rsidP="005D6D15">
      <w:pPr>
        <w:spacing w:line="257" w:lineRule="auto"/>
        <w:ind w:left="567" w:right="531"/>
        <w:rPr>
          <w:rFonts w:ascii="Arial" w:hAnsi="Arial" w:cs="Arial"/>
          <w:sz w:val="22"/>
          <w:szCs w:val="22"/>
        </w:rPr>
      </w:pPr>
    </w:p>
    <w:p w14:paraId="27135EEE"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According to the Characteristics Making Individuals Vulnerable to Exploitation, individuals with low self-esteem, high impulsivity, and low empathy are more likely to engage in SOC. A study of Danish criminal groups discovered that participants frequently had low emotional stability and high levels of negative personality traits including narcissism and callousness. These characteristics may lead individuals to seek the perceived security and status provided by SOC groups (Gøtzsche</w:t>
      </w:r>
      <w:r w:rsidRPr="00F70ADD">
        <w:rPr>
          <w:rFonts w:ascii="Cambria Math" w:hAnsi="Cambria Math" w:cs="Cambria Math"/>
          <w:sz w:val="22"/>
          <w:szCs w:val="22"/>
        </w:rPr>
        <w:t>‐</w:t>
      </w:r>
      <w:r w:rsidRPr="00F70ADD">
        <w:rPr>
          <w:rFonts w:ascii="Arial" w:hAnsi="Arial" w:cs="Arial"/>
          <w:sz w:val="22"/>
          <w:szCs w:val="22"/>
        </w:rPr>
        <w:t xml:space="preserve">Astrup, Overgaard and Lindekilde, 2022). </w:t>
      </w:r>
    </w:p>
    <w:p w14:paraId="4A6CCED8" w14:textId="77777777" w:rsidR="00F70ADD" w:rsidRDefault="00F70ADD" w:rsidP="005D6D15">
      <w:pPr>
        <w:spacing w:line="257" w:lineRule="auto"/>
        <w:ind w:left="567" w:right="531"/>
        <w:rPr>
          <w:rFonts w:ascii="Arial" w:hAnsi="Arial" w:cs="Arial"/>
          <w:sz w:val="22"/>
          <w:szCs w:val="22"/>
        </w:rPr>
      </w:pPr>
    </w:p>
    <w:p w14:paraId="27EF0C23"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lastRenderedPageBreak/>
        <w:t>Individuals may turn to SOC as an alternate source of income due to economic insecurity, unemployment, and a lack of access to genuine possibilities. In Scotland, young males experiencing unstable employment situations saw SOC as a meritocratic path to success and respect, despite the dangers and potential bad results. Associations with peers participating in criminal activity can raise the risk of an individual engaging in SOC (The Scottish Government, 2018</w:t>
      </w:r>
      <w:proofErr w:type="gramStart"/>
      <w:r w:rsidRPr="00F70ADD">
        <w:rPr>
          <w:rFonts w:ascii="Arial" w:hAnsi="Arial" w:cs="Arial"/>
          <w:sz w:val="22"/>
          <w:szCs w:val="22"/>
        </w:rPr>
        <w:t>)..</w:t>
      </w:r>
      <w:proofErr w:type="gramEnd"/>
      <w:r w:rsidRPr="00F70ADD">
        <w:rPr>
          <w:rFonts w:ascii="Arial" w:hAnsi="Arial" w:cs="Arial"/>
          <w:sz w:val="22"/>
          <w:szCs w:val="22"/>
        </w:rPr>
        <w:t xml:space="preserve"> The presence of co-offenders and the normalisation of criminal behaviour in specific social circles can make it easier to join SOC groups because people want to belong and be accepted (Gøtzsche</w:t>
      </w:r>
      <w:r w:rsidRPr="00F70ADD">
        <w:rPr>
          <w:rFonts w:ascii="Cambria Math" w:hAnsi="Cambria Math" w:cs="Cambria Math"/>
          <w:sz w:val="22"/>
          <w:szCs w:val="22"/>
        </w:rPr>
        <w:t>‐</w:t>
      </w:r>
      <w:r w:rsidRPr="00F70ADD">
        <w:rPr>
          <w:rFonts w:ascii="Arial" w:hAnsi="Arial" w:cs="Arial"/>
          <w:sz w:val="22"/>
          <w:szCs w:val="22"/>
        </w:rPr>
        <w:t xml:space="preserve">Astrup, Overgaard and Lindekilde, 2022). </w:t>
      </w:r>
    </w:p>
    <w:p w14:paraId="69E867BB" w14:textId="77777777" w:rsidR="00F70ADD" w:rsidRDefault="00F70ADD" w:rsidP="005D6D15">
      <w:pPr>
        <w:spacing w:line="257" w:lineRule="auto"/>
        <w:ind w:left="567" w:right="531"/>
        <w:rPr>
          <w:rFonts w:ascii="Arial" w:hAnsi="Arial" w:cs="Arial"/>
          <w:sz w:val="22"/>
          <w:szCs w:val="22"/>
        </w:rPr>
      </w:pPr>
    </w:p>
    <w:p w14:paraId="229811F4"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Individual, community, institutional, and policy levels must all be included in comprehensive plans to combat the exploitation of vulnerable people as well as the larger social causes that enable such exploitation by serious and organised crime (SOC). Beginning with youth engagement and education, specific programs in youth centres and schools can educate young people about the risks of criminal exploitation and gang participation. Additionally, at-risk children are helped to transition into positive social roles through mentoring and diversion programs like the UK's Violence Reduction Units (Home Office, 2022). A truly comprehensive strategy must be multi-sectoral, preventive, and rehabilitative, targeting both root causes (e.g. poverty, inequality, marginalisation) and immediate risks (e.g. youth recruitment, coercion, exploitation). Such strategies should not only disrupt organised crime operations but also empower individuals and communities to resist and recover from exploitation. </w:t>
      </w:r>
    </w:p>
    <w:p w14:paraId="6965F90B" w14:textId="77777777" w:rsidR="00F70ADD" w:rsidRDefault="00F70ADD" w:rsidP="005D6D15">
      <w:pPr>
        <w:spacing w:line="257" w:lineRule="auto"/>
        <w:ind w:left="567" w:right="531"/>
        <w:rPr>
          <w:rFonts w:ascii="Arial" w:hAnsi="Arial" w:cs="Arial"/>
          <w:sz w:val="22"/>
          <w:szCs w:val="22"/>
        </w:rPr>
      </w:pPr>
    </w:p>
    <w:p w14:paraId="6880D848"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Surrey's approach to tackling SOC involves a collaborative partnership strategy that brings together local authorities, law enforcement, and community organizations to address both the exploitation of vulnerable individuals and the broader societal factors facilitating such exploitation (Office, 2025). Key actions included the Crime Severity Index, which was developed by West Yorkshire Police to identify high-harm locations and allow for focused interventions in SOC-affected communities. Local Profile Development </w:t>
      </w:r>
      <w:proofErr w:type="gramStart"/>
      <w:r w:rsidRPr="00F70ADD">
        <w:rPr>
          <w:rFonts w:ascii="Arial" w:hAnsi="Arial" w:cs="Arial"/>
          <w:sz w:val="22"/>
          <w:szCs w:val="22"/>
        </w:rPr>
        <w:t>In</w:t>
      </w:r>
      <w:proofErr w:type="gramEnd"/>
      <w:r w:rsidRPr="00F70ADD">
        <w:rPr>
          <w:rFonts w:ascii="Arial" w:hAnsi="Arial" w:cs="Arial"/>
          <w:sz w:val="22"/>
          <w:szCs w:val="22"/>
        </w:rPr>
        <w:t xml:space="preserve"> Bradford Moor, a SOC local profile was created to better understand the specific threats and inform a 4P (Prevent, Pursue, Protect, and Prepare) response (Office, 2025). Increased Community Engagement: The concept emphasises community involvement in detecting vulnerabilities and establishing targeted solutions to SOC threats. Finally, resource allocation </w:t>
      </w:r>
      <w:proofErr w:type="gramStart"/>
      <w:r w:rsidRPr="00F70ADD">
        <w:rPr>
          <w:rFonts w:ascii="Arial" w:hAnsi="Arial" w:cs="Arial"/>
          <w:sz w:val="22"/>
          <w:szCs w:val="22"/>
        </w:rPr>
        <w:t>takes into account</w:t>
      </w:r>
      <w:proofErr w:type="gramEnd"/>
      <w:r w:rsidRPr="00F70ADD">
        <w:rPr>
          <w:rFonts w:ascii="Arial" w:hAnsi="Arial" w:cs="Arial"/>
          <w:sz w:val="22"/>
          <w:szCs w:val="22"/>
        </w:rPr>
        <w:t xml:space="preserve"> the severity of SOC risks identified through the crime severity index and local profiles (Office, 2025). </w:t>
      </w:r>
    </w:p>
    <w:p w14:paraId="4C06DB81" w14:textId="77777777" w:rsidR="00F70ADD" w:rsidRDefault="00F70ADD" w:rsidP="005D6D15">
      <w:pPr>
        <w:spacing w:line="257" w:lineRule="auto"/>
        <w:ind w:left="567" w:right="531"/>
        <w:rPr>
          <w:rFonts w:ascii="Arial" w:hAnsi="Arial" w:cs="Arial"/>
          <w:sz w:val="22"/>
          <w:szCs w:val="22"/>
        </w:rPr>
      </w:pPr>
    </w:p>
    <w:p w14:paraId="621F5B2C"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This resulted in favourable effects by permitting focused interventions. The use of the crime severity index enabled targeted actions in areas with the most SOC-related harm (Office, 2025). Encourage Informed Decision-Making: Local individuals linked to SOC gave a thorough grasp of dangers and risks, resulting in more effective solutions. Community empowerment is used to engage at-risk populations in the process of building trust and cooperation, hence increasing the effectiveness of SOC initiatives (Office, 2025). </w:t>
      </w:r>
    </w:p>
    <w:p w14:paraId="6EF754F6" w14:textId="77777777" w:rsidR="00F70ADD" w:rsidRDefault="00F70ADD" w:rsidP="005D6D15">
      <w:pPr>
        <w:spacing w:line="257" w:lineRule="auto"/>
        <w:ind w:left="567" w:right="531"/>
        <w:rPr>
          <w:rFonts w:ascii="Arial" w:hAnsi="Arial" w:cs="Arial"/>
          <w:sz w:val="22"/>
          <w:szCs w:val="22"/>
        </w:rPr>
      </w:pPr>
    </w:p>
    <w:p w14:paraId="466E64CA" w14:textId="77777777" w:rsidR="00F70ADD" w:rsidRDefault="00F70ADD" w:rsidP="005D6D15">
      <w:pPr>
        <w:spacing w:line="257" w:lineRule="auto"/>
        <w:ind w:left="567" w:right="531"/>
        <w:rPr>
          <w:rFonts w:ascii="Arial" w:hAnsi="Arial" w:cs="Arial"/>
          <w:sz w:val="22"/>
          <w:szCs w:val="22"/>
        </w:rPr>
      </w:pPr>
      <w:r w:rsidRPr="00F70ADD">
        <w:rPr>
          <w:rFonts w:ascii="Arial" w:hAnsi="Arial" w:cs="Arial"/>
          <w:sz w:val="22"/>
          <w:szCs w:val="22"/>
        </w:rPr>
        <w:t xml:space="preserve">This case study highlights the efficacy of comprehensive measures that address both the exploitation of vulnerable persons and the broader societal issues that enable such exploitation by SOC organisations. These techniques rely heavily on multi-agency coordination, intelligence-led policing, community involvement, and data-driven interventions. Communities that employ such comprehensive measures can better safeguard individuals from the damages caused by serious and organised crime (Office, 2025). </w:t>
      </w:r>
    </w:p>
    <w:p w14:paraId="4BB72266" w14:textId="77777777" w:rsidR="00F70ADD" w:rsidRDefault="00F70ADD" w:rsidP="005D6D15">
      <w:pPr>
        <w:spacing w:line="257" w:lineRule="auto"/>
        <w:ind w:left="567" w:right="531"/>
        <w:rPr>
          <w:rFonts w:ascii="Arial" w:hAnsi="Arial" w:cs="Arial"/>
          <w:sz w:val="22"/>
          <w:szCs w:val="22"/>
        </w:rPr>
      </w:pPr>
    </w:p>
    <w:p w14:paraId="5BE6D59D" w14:textId="141D8655" w:rsidR="00F70ADD" w:rsidRPr="00693B87" w:rsidRDefault="00F70ADD" w:rsidP="005D6D15">
      <w:pPr>
        <w:spacing w:line="257" w:lineRule="auto"/>
        <w:ind w:left="567" w:right="531"/>
        <w:rPr>
          <w:rFonts w:ascii="Arial" w:hAnsi="Arial" w:cs="Arial"/>
          <w:sz w:val="22"/>
          <w:szCs w:val="22"/>
        </w:rPr>
      </w:pPr>
      <w:r w:rsidRPr="00F70ADD">
        <w:rPr>
          <w:rFonts w:ascii="Arial" w:hAnsi="Arial" w:cs="Arial"/>
          <w:sz w:val="22"/>
          <w:szCs w:val="22"/>
        </w:rPr>
        <w:t>The convergence of severe and organised crime with public safety issues emphasises the importance of comprehensive policies that address both the exploitation of vulnerable persons and the broader societal causes that enable such exploitation. Understanding the traits that predispose individuals to SOC involvement is critical for creating effective preventative and intervention strategies. Academic research gives important insights into these dynamics, which guide policies aimed at protecting communities and destroying criminal networks.</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7499A464" w14:textId="02712760" w:rsidR="001D7892" w:rsidRDefault="001D7892" w:rsidP="001D7892">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w:t>
      </w:r>
      <w:r>
        <w:rPr>
          <w:rFonts w:ascii="Arial" w:eastAsia="Calibri" w:hAnsi="Arial" w:cs="Arial"/>
          <w:b/>
          <w:bCs/>
          <w:sz w:val="22"/>
          <w:szCs w:val="22"/>
        </w:rPr>
        <w:t>count</w:t>
      </w:r>
      <w:r w:rsidRPr="00693B87">
        <w:rPr>
          <w:rFonts w:ascii="Arial" w:eastAsia="Calibri" w:hAnsi="Arial" w:cs="Arial"/>
          <w:b/>
          <w:bCs/>
          <w:sz w:val="22"/>
          <w:szCs w:val="22"/>
        </w:rPr>
        <w:t xml:space="preserve">: </w:t>
      </w:r>
      <w:r>
        <w:rPr>
          <w:rFonts w:ascii="Arial" w:eastAsia="Calibri" w:hAnsi="Arial" w:cs="Arial"/>
          <w:sz w:val="22"/>
          <w:szCs w:val="22"/>
        </w:rPr>
        <w:t>944</w:t>
      </w:r>
      <w:r w:rsidRPr="00693B87">
        <w:rPr>
          <w:rFonts w:ascii="Arial" w:eastAsia="Calibri" w:hAnsi="Arial" w:cs="Arial"/>
          <w:sz w:val="22"/>
          <w:szCs w:val="22"/>
        </w:rPr>
        <w:t xml:space="preserve"> words. </w:t>
      </w:r>
    </w:p>
    <w:p w14:paraId="681C1376" w14:textId="77777777" w:rsidR="00666727" w:rsidRPr="00693B87" w:rsidRDefault="00666727"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lastRenderedPageBreak/>
        <w:t>Essay five:</w:t>
      </w:r>
      <w:r w:rsidR="00454735" w:rsidRPr="00693B87">
        <w:rPr>
          <w:rFonts w:ascii="Arial" w:eastAsia="Calibri" w:hAnsi="Arial" w:cs="Arial"/>
          <w:b/>
          <w:bCs/>
          <w:sz w:val="22"/>
          <w:szCs w:val="22"/>
        </w:rPr>
        <w:t xml:space="preserve"> </w:t>
      </w:r>
    </w:p>
    <w:p w14:paraId="29FE9E89" w14:textId="5E3FDCED" w:rsidR="00FE68CC" w:rsidRPr="00FE68CC" w:rsidRDefault="00FE68CC" w:rsidP="00FE68CC">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sidR="003A4CC3">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7CD132AB" w14:textId="0AC90D83"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59DF30D9" w14:textId="15CAD28A" w:rsidR="003B6C6B" w:rsidRDefault="003B6C6B" w:rsidP="005D6D15">
      <w:pPr>
        <w:spacing w:line="257" w:lineRule="auto"/>
        <w:ind w:left="567" w:right="531"/>
        <w:rPr>
          <w:rFonts w:ascii="Arial" w:hAnsi="Arial" w:cs="Arial"/>
          <w:sz w:val="22"/>
          <w:szCs w:val="22"/>
        </w:rPr>
      </w:pPr>
    </w:p>
    <w:p w14:paraId="03DB4DC6"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In the UK, early intervention has been demonstrated to be a moderately to highly effective way to stop young people from committing crimes or reoffending, particularly when those interventions are targeted, evidence-based, and provided within a coordinated, multi-agency framework. Though efficacy varies based on implementation quality and individual requirements, academic studies and policy reviews show that prompt, structured support can considerably reduce youth criminality and improve long-term outcomes. </w:t>
      </w:r>
    </w:p>
    <w:p w14:paraId="2691F4B9" w14:textId="77777777" w:rsidR="001D7892" w:rsidRDefault="001D7892" w:rsidP="005D6D15">
      <w:pPr>
        <w:spacing w:line="257" w:lineRule="auto"/>
        <w:ind w:left="567" w:right="531"/>
        <w:rPr>
          <w:rFonts w:ascii="Arial" w:hAnsi="Arial" w:cs="Arial"/>
          <w:sz w:val="22"/>
          <w:szCs w:val="22"/>
        </w:rPr>
      </w:pPr>
    </w:p>
    <w:p w14:paraId="0F053677"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Developmental criminology, which highlights the need of addressing risk and protective variables early in life, is the </w:t>
      </w:r>
      <w:proofErr w:type="gramStart"/>
      <w:r w:rsidRPr="001D7892">
        <w:rPr>
          <w:rFonts w:ascii="Arial" w:hAnsi="Arial" w:cs="Arial"/>
          <w:sz w:val="22"/>
          <w:szCs w:val="22"/>
        </w:rPr>
        <w:t>main focus</w:t>
      </w:r>
      <w:proofErr w:type="gramEnd"/>
      <w:r w:rsidRPr="001D7892">
        <w:rPr>
          <w:rFonts w:ascii="Arial" w:hAnsi="Arial" w:cs="Arial"/>
          <w:sz w:val="22"/>
          <w:szCs w:val="22"/>
        </w:rPr>
        <w:t xml:space="preserve"> when thinking about theoretical underpinnings for early intervention. While supportive relationships, academic motivation, and positive peer associations are protective variables, risk factors include poverty, family dysfunction, poor school attachment, and early behavioural difficulties (Farrington &amp; Welsh, 2007). Most serious adolescent offenders naturally decrease their offending over time, according to the Pathways to Desistance study (Slowikowski, Administrator, and Mulvey, 2011), a large-scale longitudinal study conducted in the United States. However, supportive interventions can hasten and maintain desistance, particularly when they address the youth's social environment, educational needs, and mental health issues. </w:t>
      </w:r>
    </w:p>
    <w:p w14:paraId="6B78DE85" w14:textId="77777777" w:rsidR="001D7892" w:rsidRDefault="001D7892" w:rsidP="005D6D15">
      <w:pPr>
        <w:spacing w:line="257" w:lineRule="auto"/>
        <w:ind w:left="567" w:right="531"/>
        <w:rPr>
          <w:rFonts w:ascii="Arial" w:hAnsi="Arial" w:cs="Arial"/>
          <w:sz w:val="22"/>
          <w:szCs w:val="22"/>
        </w:rPr>
      </w:pPr>
    </w:p>
    <w:p w14:paraId="14D3968F"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Early intervention is based on developmental criminology and the risk/protective factor model (Farrington 2007). It aims to address the social, emotional, and environmental factors that raise the likelihood of offending before criminal activity begins or becomes routine. According to the Early Intervention Foundation (EIF, 2016), interventions in early childhood and adolescence can reduce conduct disorders by up to 40% and the risk of future offending by 30-70%, depending on the program.</w:t>
      </w:r>
    </w:p>
    <w:p w14:paraId="01398AEC" w14:textId="77777777" w:rsidR="001D7892" w:rsidRDefault="001D7892" w:rsidP="005D6D15">
      <w:pPr>
        <w:spacing w:line="257" w:lineRule="auto"/>
        <w:ind w:left="567" w:right="531"/>
        <w:rPr>
          <w:rFonts w:ascii="Arial" w:hAnsi="Arial" w:cs="Arial"/>
          <w:sz w:val="22"/>
          <w:szCs w:val="22"/>
        </w:rPr>
      </w:pPr>
    </w:p>
    <w:p w14:paraId="1BAA2858"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According to the Risk and Protective Factors Framework (Farrington, 2007), early detection and mitigation of risk factors (such as inadequate parenting, expulsion from school, and substance abuse) might lower the probability of future criminal behaviour. This is in line with early intervention. Several national laws, such as the Crime and Disorder Act of 1998, which codified youth justice preventive measures, have been influenced by this approach. Early intervention is more effective than reactive punitive measures, especially when it combines parental training and school engagement, according to Farrington and Welsh's (2007) meta-analyses of UK-based programs. Engaging youth before criminal tendencies become ingrained is crucial. </w:t>
      </w:r>
    </w:p>
    <w:p w14:paraId="7F67FE56" w14:textId="77777777" w:rsidR="001D7892" w:rsidRDefault="001D7892" w:rsidP="005D6D15">
      <w:pPr>
        <w:spacing w:line="257" w:lineRule="auto"/>
        <w:ind w:left="567" w:right="531"/>
        <w:rPr>
          <w:rFonts w:ascii="Arial" w:hAnsi="Arial" w:cs="Arial"/>
          <w:sz w:val="22"/>
          <w:szCs w:val="22"/>
        </w:rPr>
      </w:pPr>
    </w:p>
    <w:p w14:paraId="190E12A6"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Youth Inclusion Programs (UK): These programs, which target young people who are most likely to transgress, have resulted in fewer arrests. According to a 2006 Youth Justice Board evaluation, participants' offending rates decreased by up to 65%. The YIP, which is administered by the Youth Justice Board (YJB), focusses on high-risk offenders aged 8 to 17. Participants' arrest rates were reduced by 65%, according to evaluations (Clarke, </w:t>
      </w:r>
      <w:proofErr w:type="spellStart"/>
      <w:r w:rsidRPr="001D7892">
        <w:rPr>
          <w:rFonts w:ascii="Arial" w:hAnsi="Arial" w:cs="Arial"/>
          <w:sz w:val="22"/>
          <w:szCs w:val="22"/>
        </w:rPr>
        <w:t>Wydall</w:t>
      </w:r>
      <w:proofErr w:type="spellEnd"/>
      <w:r w:rsidRPr="001D7892">
        <w:rPr>
          <w:rFonts w:ascii="Arial" w:hAnsi="Arial" w:cs="Arial"/>
          <w:sz w:val="22"/>
          <w:szCs w:val="22"/>
        </w:rPr>
        <w:t xml:space="preserve"> and Williams, 2008). Personalised assistance programs, community involvement, and education and career trajectories are some of the salient aspects. </w:t>
      </w:r>
    </w:p>
    <w:p w14:paraId="0A71E264" w14:textId="77777777" w:rsidR="001D7892" w:rsidRDefault="001D7892" w:rsidP="005D6D15">
      <w:pPr>
        <w:spacing w:line="257" w:lineRule="auto"/>
        <w:ind w:left="567" w:right="531"/>
        <w:rPr>
          <w:rFonts w:ascii="Arial" w:hAnsi="Arial" w:cs="Arial"/>
          <w:sz w:val="22"/>
          <w:szCs w:val="22"/>
        </w:rPr>
      </w:pPr>
    </w:p>
    <w:p w14:paraId="74FD1B11"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Research has demonstrated that early intervention not only lowers crime but also results in long-term economic savings by reducing the demand on criminal justice, education, and health services (Early Intervention Foundation, 2014; Institute for Public Policy Research, IPPR). For instance, </w:t>
      </w:r>
      <w:proofErr w:type="gramStart"/>
      <w:r w:rsidRPr="001D7892">
        <w:rPr>
          <w:rFonts w:ascii="Arial" w:hAnsi="Arial" w:cs="Arial"/>
          <w:sz w:val="22"/>
          <w:szCs w:val="22"/>
        </w:rPr>
        <w:t>Up</w:t>
      </w:r>
      <w:proofErr w:type="gramEnd"/>
      <w:r w:rsidRPr="001D7892">
        <w:rPr>
          <w:rFonts w:ascii="Arial" w:hAnsi="Arial" w:cs="Arial"/>
          <w:sz w:val="22"/>
          <w:szCs w:val="22"/>
        </w:rPr>
        <w:t xml:space="preserve"> to £7 in future expenses can be avoided for every £1 invested in early intervention (EIF, 2016). </w:t>
      </w:r>
    </w:p>
    <w:p w14:paraId="18F0A40F" w14:textId="77777777" w:rsidR="001D7892" w:rsidRDefault="001D7892" w:rsidP="005D6D15">
      <w:pPr>
        <w:spacing w:line="257" w:lineRule="auto"/>
        <w:ind w:left="567" w:right="531"/>
        <w:rPr>
          <w:rFonts w:ascii="Arial" w:hAnsi="Arial" w:cs="Arial"/>
          <w:sz w:val="22"/>
          <w:szCs w:val="22"/>
        </w:rPr>
      </w:pPr>
    </w:p>
    <w:p w14:paraId="413BA785"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lastRenderedPageBreak/>
        <w:t xml:space="preserve">Programs such as Sure Start, which are not only focused on crime, have demonstrated a decrease in behavioural problems among children living in underprivileged communities. In the UK, the Sure Start program was a flagship early intervention program started by the Labour administration in 1998 with the goal of enhancing the prospects for children under five, especially those living in underprivileged regions. It was founded on the idea that early childhood development is important for long-term social and educational results, such as lowering the likelihood of reoffending. </w:t>
      </w:r>
    </w:p>
    <w:p w14:paraId="2F64F05A" w14:textId="77777777" w:rsidR="001D7892" w:rsidRDefault="001D7892" w:rsidP="005D6D15">
      <w:pPr>
        <w:spacing w:line="257" w:lineRule="auto"/>
        <w:ind w:left="567" w:right="531"/>
        <w:rPr>
          <w:rFonts w:ascii="Arial" w:hAnsi="Arial" w:cs="Arial"/>
          <w:sz w:val="22"/>
          <w:szCs w:val="22"/>
        </w:rPr>
      </w:pPr>
    </w:p>
    <w:p w14:paraId="23D95621"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According to the most thorough assessment of the program, NESS (2005–2012), children in Sure Start areas had better physical health and fewer behavioural issues when they started school. Although some results were modest, low-income households had the most positive effects. </w:t>
      </w:r>
      <w:proofErr w:type="gramStart"/>
      <w:r w:rsidRPr="001D7892">
        <w:rPr>
          <w:rFonts w:ascii="Arial" w:hAnsi="Arial" w:cs="Arial"/>
          <w:sz w:val="22"/>
          <w:szCs w:val="22"/>
        </w:rPr>
        <w:t>Sure</w:t>
      </w:r>
      <w:proofErr w:type="gramEnd"/>
      <w:r w:rsidRPr="001D7892">
        <w:rPr>
          <w:rFonts w:ascii="Arial" w:hAnsi="Arial" w:cs="Arial"/>
          <w:sz w:val="22"/>
          <w:szCs w:val="22"/>
        </w:rPr>
        <w:t xml:space="preserve"> Start helped reduce behavioural issues, which are known to be a prelude to further offences, even though it was not a program specifically designed to prevent crime (Farrington, 2000). Enhanced parental involvement and supervision, both of which are protective factors against juvenile criminality. Furthermore, a 2016 study by the Institute for Fiscal Studies (IFS) discovered that children living in communities with Sure Start centres had better health outcomes by the age of eleven and were less likely to be hospitalised, both of which are associated with lower long-term risks for antisocial conduct (Cattan et al., 2021). </w:t>
      </w:r>
    </w:p>
    <w:p w14:paraId="5791CB13" w14:textId="77777777" w:rsidR="001D7892" w:rsidRDefault="001D7892" w:rsidP="005D6D15">
      <w:pPr>
        <w:spacing w:line="257" w:lineRule="auto"/>
        <w:ind w:left="567" w:right="531"/>
        <w:rPr>
          <w:rFonts w:ascii="Arial" w:hAnsi="Arial" w:cs="Arial"/>
          <w:sz w:val="22"/>
          <w:szCs w:val="22"/>
        </w:rPr>
      </w:pPr>
    </w:p>
    <w:p w14:paraId="220FC49D"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Notwithstanding achievements, a number of obstacles restrict early intervention's steady efficacy in the UK. Financial limitations have limited the availability of early intervention services, particularly following post-2010 austerity measures. Despite the Children Act of 2004's statutory obligations, interagency collaboration is frequently deficient. Additionally labelling and stigma: Detractors contend that if children are not handled with tact, being labelled as "at-risk" might result in harmful self-fulfilling prophecies (Goldson, 2005). </w:t>
      </w:r>
    </w:p>
    <w:p w14:paraId="792DA467" w14:textId="77777777" w:rsidR="001D7892" w:rsidRDefault="001D7892" w:rsidP="005D6D15">
      <w:pPr>
        <w:spacing w:line="257" w:lineRule="auto"/>
        <w:ind w:left="567" w:right="531"/>
        <w:rPr>
          <w:rFonts w:ascii="Arial" w:hAnsi="Arial" w:cs="Arial"/>
          <w:sz w:val="22"/>
          <w:szCs w:val="22"/>
        </w:rPr>
      </w:pPr>
    </w:p>
    <w:p w14:paraId="416FCF8A" w14:textId="77777777"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 xml:space="preserve">Early intervention in the UK is beneficial at reducing young offending and re-offending, especially for children and families facing multiple disadvantages, according to academic and policy-based studies. When implemented properly, programs such as YIP, FIPs, and Sure Start have demonstrated statistically significant decreases in risk-related or criminal </w:t>
      </w:r>
      <w:r w:rsidRPr="001D7892">
        <w:rPr>
          <w:rFonts w:ascii="Arial" w:hAnsi="Arial" w:cs="Arial"/>
          <w:sz w:val="22"/>
          <w:szCs w:val="22"/>
        </w:rPr>
        <w:t>behaviours. However</w:t>
      </w:r>
      <w:r w:rsidRPr="001D7892">
        <w:rPr>
          <w:rFonts w:ascii="Arial" w:hAnsi="Arial" w:cs="Arial"/>
          <w:sz w:val="22"/>
          <w:szCs w:val="22"/>
        </w:rPr>
        <w:t xml:space="preserve">, consistent financing, skilled practitioners, and interagency cooperation are necessary to sustain and grow these impacts. The long-term advantages of early intervention run the danger of being compromised in the absence of these. </w:t>
      </w:r>
    </w:p>
    <w:p w14:paraId="4E4E90E5" w14:textId="77777777" w:rsidR="001D7892" w:rsidRDefault="001D7892" w:rsidP="005D6D15">
      <w:pPr>
        <w:spacing w:line="257" w:lineRule="auto"/>
        <w:ind w:left="567" w:right="531"/>
        <w:rPr>
          <w:rFonts w:ascii="Arial" w:hAnsi="Arial" w:cs="Arial"/>
          <w:sz w:val="22"/>
          <w:szCs w:val="22"/>
        </w:rPr>
      </w:pPr>
    </w:p>
    <w:p w14:paraId="54801BEB" w14:textId="7979BCD8" w:rsidR="001D7892" w:rsidRDefault="001D7892" w:rsidP="005D6D15">
      <w:pPr>
        <w:spacing w:line="257" w:lineRule="auto"/>
        <w:ind w:left="567" w:right="531"/>
        <w:rPr>
          <w:rFonts w:ascii="Arial" w:hAnsi="Arial" w:cs="Arial"/>
          <w:sz w:val="22"/>
          <w:szCs w:val="22"/>
        </w:rPr>
      </w:pPr>
      <w:r w:rsidRPr="001D7892">
        <w:rPr>
          <w:rFonts w:ascii="Arial" w:hAnsi="Arial" w:cs="Arial"/>
          <w:sz w:val="22"/>
          <w:szCs w:val="22"/>
        </w:rPr>
        <w:t>Cross-sector cooperation, community trust, and consistent investment are necessary for long-term success. The best models steer clear of criminalisation and instead emphasise resilience-building, family support, and education.</w:t>
      </w:r>
    </w:p>
    <w:p w14:paraId="69521F67" w14:textId="77777777" w:rsidR="001D7892" w:rsidRPr="001D7892" w:rsidRDefault="001D7892" w:rsidP="005D6D15">
      <w:pPr>
        <w:spacing w:line="257" w:lineRule="auto"/>
        <w:ind w:left="567" w:right="531"/>
        <w:rPr>
          <w:rFonts w:ascii="Arial" w:hAnsi="Arial" w:cs="Arial"/>
          <w:b/>
          <w:bCs/>
          <w:sz w:val="22"/>
          <w:szCs w:val="22"/>
        </w:rPr>
      </w:pPr>
    </w:p>
    <w:p w14:paraId="20FBC370" w14:textId="66FC4255" w:rsidR="00043DA5" w:rsidRDefault="001D7892" w:rsidP="001D7892">
      <w:pPr>
        <w:spacing w:line="257" w:lineRule="auto"/>
        <w:ind w:left="567" w:right="531"/>
        <w:rPr>
          <w:rFonts w:ascii="Arial" w:hAnsi="Arial" w:cs="Arial"/>
          <w:sz w:val="22"/>
          <w:szCs w:val="22"/>
        </w:rPr>
      </w:pPr>
      <w:r w:rsidRPr="001D7892">
        <w:rPr>
          <w:rFonts w:ascii="Arial" w:hAnsi="Arial" w:cs="Arial"/>
          <w:b/>
          <w:bCs/>
          <w:sz w:val="22"/>
          <w:szCs w:val="22"/>
        </w:rPr>
        <w:t xml:space="preserve">Word </w:t>
      </w:r>
      <w:r w:rsidRPr="001D7892">
        <w:rPr>
          <w:rFonts w:ascii="Arial" w:hAnsi="Arial" w:cs="Arial"/>
          <w:b/>
          <w:bCs/>
          <w:sz w:val="22"/>
          <w:szCs w:val="22"/>
        </w:rPr>
        <w:t>count</w:t>
      </w:r>
      <w:r w:rsidRPr="001D7892">
        <w:rPr>
          <w:rFonts w:ascii="Arial" w:hAnsi="Arial" w:cs="Arial"/>
          <w:b/>
          <w:bCs/>
          <w:sz w:val="22"/>
          <w:szCs w:val="22"/>
        </w:rPr>
        <w:t>:</w:t>
      </w:r>
      <w:r w:rsidRPr="001D7892">
        <w:rPr>
          <w:rFonts w:ascii="Arial" w:hAnsi="Arial" w:cs="Arial"/>
          <w:sz w:val="22"/>
          <w:szCs w:val="22"/>
        </w:rPr>
        <w:t xml:space="preserve"> 894 words</w:t>
      </w:r>
    </w:p>
    <w:p w14:paraId="1B4D1D4C" w14:textId="77777777" w:rsidR="001D7892" w:rsidRDefault="001D7892" w:rsidP="001D7892">
      <w:pPr>
        <w:spacing w:line="257" w:lineRule="auto"/>
        <w:ind w:left="567" w:right="531"/>
        <w:rPr>
          <w:rFonts w:ascii="Arial" w:hAnsi="Arial" w:cs="Arial"/>
          <w:sz w:val="22"/>
          <w:szCs w:val="22"/>
        </w:rPr>
      </w:pPr>
    </w:p>
    <w:p w14:paraId="0D3A3BCB" w14:textId="77777777" w:rsidR="001D7892" w:rsidRDefault="001D7892" w:rsidP="001D7892">
      <w:pPr>
        <w:spacing w:line="257" w:lineRule="auto"/>
        <w:ind w:left="567" w:right="531"/>
        <w:rPr>
          <w:rFonts w:ascii="Arial" w:hAnsi="Arial" w:cs="Arial"/>
          <w:b/>
          <w:bCs/>
          <w:sz w:val="22"/>
          <w:szCs w:val="22"/>
        </w:rPr>
      </w:pPr>
      <w:r>
        <w:rPr>
          <w:rFonts w:ascii="Arial" w:hAnsi="Arial" w:cs="Arial"/>
          <w:b/>
          <w:bCs/>
          <w:sz w:val="22"/>
          <w:szCs w:val="22"/>
        </w:rPr>
        <w:t xml:space="preserve">Bibliography </w:t>
      </w:r>
    </w:p>
    <w:p w14:paraId="092BFEBB" w14:textId="77777777" w:rsidR="00D821EE" w:rsidRDefault="00D821EE" w:rsidP="00D821EE">
      <w:pPr>
        <w:spacing w:line="257" w:lineRule="auto"/>
        <w:ind w:right="531"/>
        <w:rPr>
          <w:rFonts w:ascii="Arial" w:hAnsi="Arial" w:cs="Arial"/>
          <w:sz w:val="22"/>
          <w:szCs w:val="22"/>
        </w:rPr>
      </w:pPr>
    </w:p>
    <w:p w14:paraId="77D7FD02" w14:textId="77777777"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An Evaluation of the Introduction of a Youth Inclusion Programme in Rural Wales. Available at: https://www.gov.wales/sites/default/files/statistics-and-research/2019-07/081203-in troduction-youth-inclusion-programme-rural-wales-en.pdf. Cattan, </w:t>
      </w:r>
      <w:proofErr w:type="spellStart"/>
      <w:r w:rsidRPr="001D7892">
        <w:rPr>
          <w:rFonts w:ascii="Arial" w:hAnsi="Arial" w:cs="Arial"/>
          <w:sz w:val="22"/>
          <w:szCs w:val="22"/>
        </w:rPr>
        <w:t>sarah</w:t>
      </w:r>
      <w:proofErr w:type="spellEnd"/>
      <w:r w:rsidRPr="001D7892">
        <w:rPr>
          <w:rFonts w:ascii="Arial" w:hAnsi="Arial" w:cs="Arial"/>
          <w:sz w:val="22"/>
          <w:szCs w:val="22"/>
        </w:rPr>
        <w:t xml:space="preserve"> et al. (2021) The health impacts of Sure Start, Institute for Fiscal Studies. Available at: </w:t>
      </w:r>
      <w:hyperlink r:id="rId12" w:history="1">
        <w:r w:rsidRPr="009D7001">
          <w:rPr>
            <w:rStyle w:val="Hyperlink"/>
            <w:rFonts w:ascii="Arial" w:hAnsi="Arial" w:cs="Arial"/>
            <w:sz w:val="22"/>
            <w:szCs w:val="22"/>
          </w:rPr>
          <w:t>https://ifs.org.uk/publications/health-impacts-sure-start</w:t>
        </w:r>
      </w:hyperlink>
      <w:r w:rsidRPr="001D7892">
        <w:rPr>
          <w:rFonts w:ascii="Arial" w:hAnsi="Arial" w:cs="Arial"/>
          <w:sz w:val="22"/>
          <w:szCs w:val="22"/>
        </w:rPr>
        <w:t xml:space="preserve">. </w:t>
      </w:r>
      <w:r>
        <w:rPr>
          <w:rFonts w:ascii="Arial" w:hAnsi="Arial" w:cs="Arial"/>
          <w:sz w:val="22"/>
          <w:szCs w:val="22"/>
        </w:rPr>
        <w:t>Accessed on: (</w:t>
      </w:r>
      <w:r w:rsidRPr="001D7892">
        <w:rPr>
          <w:rFonts w:ascii="Arial" w:hAnsi="Arial" w:cs="Arial"/>
          <w:sz w:val="22"/>
          <w:szCs w:val="22"/>
        </w:rPr>
        <w:t>Accessed: 11 May 2025).</w:t>
      </w:r>
    </w:p>
    <w:p w14:paraId="7E01196E" w14:textId="77777777" w:rsidR="00FD638A" w:rsidRDefault="00FD638A" w:rsidP="00FD638A">
      <w:pPr>
        <w:spacing w:line="257" w:lineRule="auto"/>
        <w:ind w:right="531"/>
        <w:rPr>
          <w:rFonts w:ascii="Arial" w:hAnsi="Arial" w:cs="Arial"/>
          <w:sz w:val="22"/>
          <w:szCs w:val="22"/>
        </w:rPr>
      </w:pPr>
    </w:p>
    <w:p w14:paraId="0B398B79" w14:textId="77777777" w:rsidR="00FD638A" w:rsidRDefault="00FD638A" w:rsidP="00FD638A">
      <w:pPr>
        <w:spacing w:line="257" w:lineRule="auto"/>
        <w:ind w:left="567" w:right="531"/>
        <w:rPr>
          <w:rFonts w:ascii="Arial" w:hAnsi="Arial" w:cs="Arial"/>
          <w:sz w:val="22"/>
          <w:szCs w:val="22"/>
        </w:rPr>
      </w:pPr>
      <w:r w:rsidRPr="001D7892">
        <w:rPr>
          <w:rFonts w:ascii="Arial" w:hAnsi="Arial" w:cs="Arial"/>
          <w:sz w:val="22"/>
          <w:szCs w:val="22"/>
        </w:rPr>
        <w:t xml:space="preserve">Ashton, S.-A. (2024) ‘A geography of early vulnerabilities and exploitation in the narratives of adolescent males in England’, Journal of Criminal Psychology [Preprint]. Available at: </w:t>
      </w:r>
      <w:hyperlink r:id="rId13" w:history="1">
        <w:r w:rsidRPr="009D7001">
          <w:rPr>
            <w:rStyle w:val="Hyperlink"/>
            <w:rFonts w:ascii="Arial" w:hAnsi="Arial" w:cs="Arial"/>
            <w:sz w:val="22"/>
            <w:szCs w:val="22"/>
          </w:rPr>
          <w:t>https://doi.org/10.1108/jcp-07-2024-0064</w:t>
        </w:r>
      </w:hyperlink>
      <w:r w:rsidRPr="001D7892">
        <w:rPr>
          <w:rFonts w:ascii="Arial" w:hAnsi="Arial" w:cs="Arial"/>
          <w:sz w:val="22"/>
          <w:szCs w:val="22"/>
        </w:rPr>
        <w:t>. (Accessed: 1</w:t>
      </w:r>
      <w:r>
        <w:rPr>
          <w:rFonts w:ascii="Arial" w:hAnsi="Arial" w:cs="Arial"/>
          <w:sz w:val="22"/>
          <w:szCs w:val="22"/>
        </w:rPr>
        <w:t xml:space="preserve">5 </w:t>
      </w:r>
      <w:r w:rsidRPr="001D7892">
        <w:rPr>
          <w:rFonts w:ascii="Arial" w:hAnsi="Arial" w:cs="Arial"/>
          <w:sz w:val="22"/>
          <w:szCs w:val="22"/>
        </w:rPr>
        <w:t>May 2025).</w:t>
      </w:r>
    </w:p>
    <w:p w14:paraId="6F465B2A" w14:textId="77777777" w:rsidR="00D821EE" w:rsidRDefault="00D821EE" w:rsidP="00D821EE">
      <w:pPr>
        <w:spacing w:line="257" w:lineRule="auto"/>
        <w:ind w:right="531"/>
        <w:rPr>
          <w:rFonts w:ascii="Arial" w:hAnsi="Arial" w:cs="Arial"/>
          <w:sz w:val="22"/>
          <w:szCs w:val="22"/>
        </w:rPr>
      </w:pPr>
    </w:p>
    <w:p w14:paraId="76B094B8" w14:textId="016D411A"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Berg, A.M., Hem, E. and Lau, B., 2006. Coping with the job: A study of Norwegian police officers. Journal of Scandinavian Studies in Criminology and Crime Prevention, 7(2), pp.111–126. Fox, J., Desai, M.M., Britten, K., Lucas, G., Luneau, R. and Rosenthal, M.S., 2012</w:t>
      </w:r>
      <w:r>
        <w:rPr>
          <w:rFonts w:ascii="Arial" w:hAnsi="Arial" w:cs="Arial"/>
          <w:sz w:val="22"/>
          <w:szCs w:val="22"/>
        </w:rPr>
        <w:t xml:space="preserve"> </w:t>
      </w:r>
      <w:r w:rsidRPr="001D7892">
        <w:rPr>
          <w:rFonts w:ascii="Arial" w:hAnsi="Arial" w:cs="Arial"/>
          <w:sz w:val="22"/>
          <w:szCs w:val="22"/>
        </w:rPr>
        <w:t>[Accessed 1</w:t>
      </w:r>
      <w:r>
        <w:rPr>
          <w:rFonts w:ascii="Arial" w:hAnsi="Arial" w:cs="Arial"/>
          <w:sz w:val="22"/>
          <w:szCs w:val="22"/>
        </w:rPr>
        <w:t xml:space="preserve">9 </w:t>
      </w:r>
      <w:r w:rsidRPr="001D7892">
        <w:rPr>
          <w:rFonts w:ascii="Arial" w:hAnsi="Arial" w:cs="Arial"/>
          <w:sz w:val="22"/>
          <w:szCs w:val="22"/>
        </w:rPr>
        <w:t>May 2025].</w:t>
      </w:r>
    </w:p>
    <w:p w14:paraId="1AE1D3E4" w14:textId="77777777" w:rsidR="00D821EE" w:rsidRDefault="00D821EE" w:rsidP="00FD638A">
      <w:pPr>
        <w:spacing w:line="257" w:lineRule="auto"/>
        <w:ind w:right="531"/>
        <w:rPr>
          <w:rFonts w:ascii="Arial" w:hAnsi="Arial" w:cs="Arial"/>
          <w:sz w:val="22"/>
          <w:szCs w:val="22"/>
        </w:rPr>
      </w:pPr>
    </w:p>
    <w:p w14:paraId="648A8A52" w14:textId="77777777"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Bureau of Justice Assistance, 2020. A guide to the victim-centered approach in criminal investigations. [online] Available at: https://www.bja.gov [Accessed 11 May 2025]. </w:t>
      </w:r>
      <w:r>
        <w:rPr>
          <w:rFonts w:ascii="Arial" w:hAnsi="Arial" w:cs="Arial"/>
          <w:sz w:val="22"/>
          <w:szCs w:val="22"/>
        </w:rPr>
        <w:t xml:space="preserve"> </w:t>
      </w:r>
      <w:r w:rsidRPr="001D7892">
        <w:rPr>
          <w:rFonts w:ascii="Arial" w:hAnsi="Arial" w:cs="Arial"/>
          <w:sz w:val="22"/>
          <w:szCs w:val="22"/>
        </w:rPr>
        <w:t>[Accessed 11 May 2025].</w:t>
      </w:r>
    </w:p>
    <w:p w14:paraId="472AC0A9" w14:textId="77777777" w:rsidR="001D7892" w:rsidRDefault="001D7892" w:rsidP="00D821EE">
      <w:pPr>
        <w:spacing w:line="257" w:lineRule="auto"/>
        <w:ind w:right="531"/>
        <w:rPr>
          <w:rFonts w:ascii="Arial" w:hAnsi="Arial" w:cs="Arial"/>
          <w:b/>
          <w:bCs/>
          <w:sz w:val="22"/>
          <w:szCs w:val="22"/>
        </w:rPr>
      </w:pPr>
    </w:p>
    <w:p w14:paraId="1B35FB41" w14:textId="1AD38B27" w:rsidR="00C3486D" w:rsidRDefault="00C3486D" w:rsidP="00C3486D">
      <w:pPr>
        <w:spacing w:line="257" w:lineRule="auto"/>
        <w:ind w:left="567" w:right="531"/>
        <w:rPr>
          <w:rFonts w:ascii="Arial" w:hAnsi="Arial" w:cs="Arial"/>
          <w:sz w:val="22"/>
          <w:szCs w:val="22"/>
        </w:rPr>
      </w:pPr>
      <w:r w:rsidRPr="001D7892">
        <w:rPr>
          <w:rFonts w:ascii="Arial" w:hAnsi="Arial" w:cs="Arial"/>
          <w:sz w:val="22"/>
          <w:szCs w:val="22"/>
        </w:rPr>
        <w:t xml:space="preserve">CrimeStatistics@ons.gov.uk (2024) Crime in England and Wales, victim characteristics, Ons.gov.uk. Office for National Statistics. Available at: </w:t>
      </w:r>
      <w:hyperlink r:id="rId14" w:history="1">
        <w:r w:rsidRPr="001D7892">
          <w:rPr>
            <w:rStyle w:val="Hyperlink"/>
            <w:rFonts w:ascii="Arial" w:hAnsi="Arial" w:cs="Arial"/>
            <w:sz w:val="22"/>
            <w:szCs w:val="22"/>
          </w:rPr>
          <w:t>Crime in England and Wales, victim characteristics - Office for National Statistics</w:t>
        </w:r>
      </w:hyperlink>
      <w:r>
        <w:rPr>
          <w:rFonts w:ascii="Arial" w:hAnsi="Arial" w:cs="Arial"/>
          <w:sz w:val="22"/>
          <w:szCs w:val="22"/>
        </w:rPr>
        <w:t xml:space="preserve"> </w:t>
      </w:r>
      <w:r>
        <w:rPr>
          <w:rFonts w:ascii="Arial" w:hAnsi="Arial" w:cs="Arial"/>
          <w:sz w:val="22"/>
          <w:szCs w:val="22"/>
        </w:rPr>
        <w:t>(</w:t>
      </w:r>
      <w:r w:rsidRPr="001D7892">
        <w:rPr>
          <w:rFonts w:ascii="Arial" w:hAnsi="Arial" w:cs="Arial"/>
          <w:sz w:val="22"/>
          <w:szCs w:val="22"/>
        </w:rPr>
        <w:t>Accessed: 1</w:t>
      </w:r>
      <w:r>
        <w:rPr>
          <w:rFonts w:ascii="Arial" w:hAnsi="Arial" w:cs="Arial"/>
          <w:sz w:val="22"/>
          <w:szCs w:val="22"/>
        </w:rPr>
        <w:t>0th</w:t>
      </w:r>
      <w:r w:rsidRPr="001D7892">
        <w:rPr>
          <w:rFonts w:ascii="Arial" w:hAnsi="Arial" w:cs="Arial"/>
          <w:sz w:val="22"/>
          <w:szCs w:val="22"/>
        </w:rPr>
        <w:t xml:space="preserve"> </w:t>
      </w:r>
      <w:r>
        <w:rPr>
          <w:rFonts w:ascii="Arial" w:hAnsi="Arial" w:cs="Arial"/>
          <w:sz w:val="22"/>
          <w:szCs w:val="22"/>
        </w:rPr>
        <w:t>April</w:t>
      </w:r>
      <w:r w:rsidRPr="001D7892">
        <w:rPr>
          <w:rFonts w:ascii="Arial" w:hAnsi="Arial" w:cs="Arial"/>
          <w:sz w:val="22"/>
          <w:szCs w:val="22"/>
        </w:rPr>
        <w:t xml:space="preserve"> 2025).</w:t>
      </w:r>
    </w:p>
    <w:p w14:paraId="1698E706" w14:textId="77777777" w:rsidR="00D821EE" w:rsidRDefault="00D821EE" w:rsidP="00C3486D">
      <w:pPr>
        <w:spacing w:line="257" w:lineRule="auto"/>
        <w:ind w:left="567" w:right="531"/>
        <w:rPr>
          <w:rFonts w:ascii="Arial" w:hAnsi="Arial" w:cs="Arial"/>
          <w:sz w:val="22"/>
          <w:szCs w:val="22"/>
        </w:rPr>
      </w:pPr>
    </w:p>
    <w:p w14:paraId="2A78679B" w14:textId="3CA8FFE8" w:rsidR="00C3486D"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Crime and policing (2021) GOV.UK. Available at: https://www.gov.uk/government/publications/the-report-of-the-commission-on-race -and-ethnic-disparities/crime-and-policing?utm_source=chatgpt.com PDI0002 - Evidence on Police diversity (2016) Parliament.uk. Available at: https://committees.parliament.uk/writtenevidence/66366/html/ (Accessed: 11 May 2025). </w:t>
      </w:r>
    </w:p>
    <w:p w14:paraId="3446429B" w14:textId="77777777" w:rsidR="00D821EE" w:rsidRDefault="00D821EE" w:rsidP="00D821EE">
      <w:pPr>
        <w:spacing w:line="257" w:lineRule="auto"/>
        <w:ind w:left="567" w:right="531"/>
        <w:rPr>
          <w:rFonts w:ascii="Arial" w:hAnsi="Arial" w:cs="Arial"/>
          <w:sz w:val="22"/>
          <w:szCs w:val="22"/>
        </w:rPr>
      </w:pPr>
    </w:p>
    <w:p w14:paraId="441BAD74" w14:textId="77777777"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Davies, M. (2024) Police officers take a week off every year for mental health issues, Thetimes.com. The Times. Available at: </w:t>
      </w:r>
      <w:hyperlink r:id="rId15" w:history="1">
        <w:r w:rsidRPr="004A70CC">
          <w:rPr>
            <w:rStyle w:val="Hyperlink"/>
            <w:rFonts w:ascii="Arial" w:hAnsi="Arial" w:cs="Arial"/>
            <w:sz w:val="22"/>
            <w:szCs w:val="22"/>
          </w:rPr>
          <w:t>Police officers take a week off every year for mental health issues</w:t>
        </w:r>
      </w:hyperlink>
      <w:r>
        <w:rPr>
          <w:rFonts w:ascii="Arial" w:hAnsi="Arial" w:cs="Arial"/>
          <w:sz w:val="22"/>
          <w:szCs w:val="22"/>
        </w:rPr>
        <w:t xml:space="preserve"> </w:t>
      </w:r>
      <w:r w:rsidRPr="001D7892">
        <w:rPr>
          <w:rFonts w:ascii="Arial" w:hAnsi="Arial" w:cs="Arial"/>
          <w:sz w:val="22"/>
          <w:szCs w:val="22"/>
        </w:rPr>
        <w:t>(Accessed: 11 May 2025).</w:t>
      </w:r>
    </w:p>
    <w:p w14:paraId="28F44BC4" w14:textId="77777777" w:rsidR="00D821EE" w:rsidRDefault="00D821EE" w:rsidP="00D821EE">
      <w:pPr>
        <w:spacing w:line="257" w:lineRule="auto"/>
        <w:ind w:left="567" w:right="531"/>
        <w:rPr>
          <w:rFonts w:ascii="Arial" w:hAnsi="Arial" w:cs="Arial"/>
          <w:sz w:val="22"/>
          <w:szCs w:val="22"/>
        </w:rPr>
      </w:pPr>
    </w:p>
    <w:p w14:paraId="340F266E" w14:textId="37C90821"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Dathan, M. (2025) Prevent scheme ‘fails to tackle terrorism funded by organised crime’, Thetimes.com. The Times. Available at:</w:t>
      </w:r>
      <w:r>
        <w:rPr>
          <w:rFonts w:ascii="Arial" w:hAnsi="Arial" w:cs="Arial"/>
          <w:sz w:val="22"/>
          <w:szCs w:val="22"/>
        </w:rPr>
        <w:t xml:space="preserve"> </w:t>
      </w:r>
      <w:hyperlink r:id="rId16" w:history="1">
        <w:r w:rsidRPr="009D7001">
          <w:rPr>
            <w:rStyle w:val="Hyperlink"/>
            <w:rFonts w:ascii="Arial" w:hAnsi="Arial" w:cs="Arial"/>
            <w:sz w:val="22"/>
            <w:szCs w:val="22"/>
          </w:rPr>
          <w:t>https://www.bing.com/search?q=Dathan%2C+M.+(2025)+Prevent+scheme+‘fails+to+tackle+terrorism+funded+by+organised+crime’%2C+Thetimes.com&amp;cvid=dd1a0771c2f34e7580f5c66695f4e5c5&amp;gs_lcrp=EgRlZGdlKgYIABBFGDkyBggAEEUYOTIICAEQ6QcY_FXSAQczNjZqMGo0qAIIsAIB&amp;FORM=ANAB01&amp;PC=U531</w:t>
        </w:r>
      </w:hyperlink>
      <w:r>
        <w:rPr>
          <w:rFonts w:ascii="Arial" w:hAnsi="Arial" w:cs="Arial"/>
          <w:sz w:val="22"/>
          <w:szCs w:val="22"/>
        </w:rPr>
        <w:t xml:space="preserve"> </w:t>
      </w:r>
      <w:r w:rsidRPr="001D7892">
        <w:rPr>
          <w:rFonts w:ascii="Arial" w:hAnsi="Arial" w:cs="Arial"/>
          <w:sz w:val="22"/>
          <w:szCs w:val="22"/>
        </w:rPr>
        <w:t xml:space="preserve"> </w:t>
      </w:r>
    </w:p>
    <w:p w14:paraId="5D077A1B" w14:textId="77777777" w:rsidR="00D821EE" w:rsidRDefault="00D821EE" w:rsidP="00D821EE">
      <w:pPr>
        <w:spacing w:line="257" w:lineRule="auto"/>
        <w:ind w:left="567" w:right="531"/>
        <w:rPr>
          <w:rFonts w:ascii="Arial" w:hAnsi="Arial" w:cs="Arial"/>
          <w:sz w:val="22"/>
          <w:szCs w:val="22"/>
        </w:rPr>
      </w:pPr>
    </w:p>
    <w:p w14:paraId="7816BAB4" w14:textId="77777777"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Early Intervention Foundation (2018) The cost of late intervention: EIF analysis 2016, Early Intervention Foundation. Available at: </w:t>
      </w:r>
      <w:hyperlink r:id="rId17" w:history="1">
        <w:r w:rsidRPr="009D7001">
          <w:rPr>
            <w:rStyle w:val="Hyperlink"/>
            <w:rFonts w:ascii="Arial" w:hAnsi="Arial" w:cs="Arial"/>
            <w:sz w:val="22"/>
            <w:szCs w:val="22"/>
          </w:rPr>
          <w:t>https://www.eif.org.uk/report/the-cost-of-late-intervention-eif-analysis-2016</w:t>
        </w:r>
      </w:hyperlink>
      <w:r w:rsidRPr="001D7892">
        <w:rPr>
          <w:rFonts w:ascii="Arial" w:hAnsi="Arial" w:cs="Arial"/>
          <w:sz w:val="22"/>
          <w:szCs w:val="22"/>
        </w:rPr>
        <w:t>.</w:t>
      </w:r>
      <w:r>
        <w:rPr>
          <w:rFonts w:ascii="Arial" w:hAnsi="Arial" w:cs="Arial"/>
          <w:sz w:val="22"/>
          <w:szCs w:val="22"/>
        </w:rPr>
        <w:t xml:space="preserve"> Accessed on</w:t>
      </w:r>
      <w:proofErr w:type="gramStart"/>
      <w:r>
        <w:rPr>
          <w:rFonts w:ascii="Arial" w:hAnsi="Arial" w:cs="Arial"/>
          <w:sz w:val="22"/>
          <w:szCs w:val="22"/>
        </w:rPr>
        <w:t>:  (</w:t>
      </w:r>
      <w:proofErr w:type="gramEnd"/>
      <w:r w:rsidRPr="001D7892">
        <w:rPr>
          <w:rFonts w:ascii="Arial" w:hAnsi="Arial" w:cs="Arial"/>
          <w:sz w:val="22"/>
          <w:szCs w:val="22"/>
        </w:rPr>
        <w:t>Accessed: 11 May 2025).</w:t>
      </w:r>
    </w:p>
    <w:p w14:paraId="77B3B460" w14:textId="77777777" w:rsidR="00D821EE" w:rsidRDefault="00D821EE" w:rsidP="00D821EE">
      <w:pPr>
        <w:spacing w:line="257" w:lineRule="auto"/>
        <w:ind w:right="531"/>
        <w:rPr>
          <w:rFonts w:ascii="Arial" w:hAnsi="Arial" w:cs="Arial"/>
          <w:sz w:val="22"/>
          <w:szCs w:val="22"/>
        </w:rPr>
      </w:pPr>
    </w:p>
    <w:p w14:paraId="2CB4A28B" w14:textId="29881826" w:rsidR="00C3486D" w:rsidRDefault="001D7892" w:rsidP="00C3486D">
      <w:pPr>
        <w:spacing w:line="257" w:lineRule="auto"/>
        <w:ind w:left="567" w:right="531"/>
        <w:rPr>
          <w:rFonts w:ascii="Arial" w:hAnsi="Arial" w:cs="Arial"/>
          <w:sz w:val="22"/>
          <w:szCs w:val="22"/>
        </w:rPr>
      </w:pPr>
      <w:r w:rsidRPr="001D7892">
        <w:rPr>
          <w:rFonts w:ascii="Arial" w:hAnsi="Arial" w:cs="Arial"/>
          <w:sz w:val="22"/>
          <w:szCs w:val="22"/>
        </w:rPr>
        <w:t xml:space="preserve">Farrington, D.P. (2007). Childhood risk factors and risk-focused prevention. In M. Maguire, R. Morgan and R. Reiner (eds), The Oxford Handbook of Criminology. Oxford: Oxford University Press. </w:t>
      </w:r>
      <w:r w:rsidR="00FD638A">
        <w:rPr>
          <w:rFonts w:ascii="Arial" w:hAnsi="Arial" w:cs="Arial"/>
          <w:sz w:val="22"/>
          <w:szCs w:val="22"/>
        </w:rPr>
        <w:t>(</w:t>
      </w:r>
      <w:r w:rsidR="00C3486D" w:rsidRPr="001D7892">
        <w:rPr>
          <w:rFonts w:ascii="Arial" w:hAnsi="Arial" w:cs="Arial"/>
          <w:sz w:val="22"/>
          <w:szCs w:val="22"/>
        </w:rPr>
        <w:t>Accessed: 11</w:t>
      </w:r>
      <w:r w:rsidR="00C3486D">
        <w:rPr>
          <w:rFonts w:ascii="Arial" w:hAnsi="Arial" w:cs="Arial"/>
          <w:sz w:val="22"/>
          <w:szCs w:val="22"/>
        </w:rPr>
        <w:t>th</w:t>
      </w:r>
      <w:r w:rsidR="00C3486D" w:rsidRPr="001D7892">
        <w:rPr>
          <w:rFonts w:ascii="Arial" w:hAnsi="Arial" w:cs="Arial"/>
          <w:sz w:val="22"/>
          <w:szCs w:val="22"/>
        </w:rPr>
        <w:t xml:space="preserve"> </w:t>
      </w:r>
      <w:r w:rsidR="00C3486D">
        <w:rPr>
          <w:rFonts w:ascii="Arial" w:hAnsi="Arial" w:cs="Arial"/>
          <w:sz w:val="22"/>
          <w:szCs w:val="22"/>
        </w:rPr>
        <w:t xml:space="preserve">April </w:t>
      </w:r>
      <w:r w:rsidR="00C3486D" w:rsidRPr="001D7892">
        <w:rPr>
          <w:rFonts w:ascii="Arial" w:hAnsi="Arial" w:cs="Arial"/>
          <w:sz w:val="22"/>
          <w:szCs w:val="22"/>
        </w:rPr>
        <w:t>2025).</w:t>
      </w:r>
    </w:p>
    <w:p w14:paraId="614D49F4" w14:textId="77777777" w:rsidR="001D7892" w:rsidRDefault="001D7892" w:rsidP="00D821EE">
      <w:pPr>
        <w:spacing w:line="257" w:lineRule="auto"/>
        <w:ind w:right="531"/>
        <w:rPr>
          <w:rFonts w:ascii="Arial" w:hAnsi="Arial" w:cs="Arial"/>
          <w:sz w:val="22"/>
          <w:szCs w:val="22"/>
        </w:rPr>
      </w:pPr>
    </w:p>
    <w:p w14:paraId="4266F98C" w14:textId="65132B5D" w:rsidR="001D7892" w:rsidRDefault="001D7892" w:rsidP="00C3486D">
      <w:pPr>
        <w:spacing w:line="257" w:lineRule="auto"/>
        <w:ind w:left="567" w:right="531"/>
        <w:rPr>
          <w:rFonts w:ascii="Arial" w:hAnsi="Arial" w:cs="Arial"/>
          <w:sz w:val="22"/>
          <w:szCs w:val="22"/>
        </w:rPr>
      </w:pPr>
      <w:r w:rsidRPr="001D7892">
        <w:rPr>
          <w:rFonts w:ascii="Arial" w:hAnsi="Arial" w:cs="Arial"/>
          <w:sz w:val="22"/>
          <w:szCs w:val="22"/>
        </w:rPr>
        <w:t xml:space="preserve">Farrington, D.P. and Welsh, B.C. (2007). Saving Children from a Life of Crime: Early Risk Factors and Effective Interventions. Oxford: Oxford University Press. Goldson, B. (2005). Childhood: An Introduction to Contemporary Childhood. London: Routledge. Institute for Fiscal Studies (2016). </w:t>
      </w:r>
      <w:r w:rsidR="00C3486D">
        <w:rPr>
          <w:rFonts w:ascii="Arial" w:hAnsi="Arial" w:cs="Arial"/>
          <w:sz w:val="22"/>
          <w:szCs w:val="22"/>
        </w:rPr>
        <w:t>(</w:t>
      </w:r>
      <w:r w:rsidR="00C3486D" w:rsidRPr="001D7892">
        <w:rPr>
          <w:rFonts w:ascii="Arial" w:hAnsi="Arial" w:cs="Arial"/>
          <w:sz w:val="22"/>
          <w:szCs w:val="22"/>
        </w:rPr>
        <w:t>Accessed: 11 May 2025).</w:t>
      </w:r>
    </w:p>
    <w:p w14:paraId="1AE46D8F" w14:textId="77777777" w:rsidR="00D821EE" w:rsidRDefault="00D821EE" w:rsidP="00C3486D">
      <w:pPr>
        <w:spacing w:line="257" w:lineRule="auto"/>
        <w:ind w:left="567" w:right="531"/>
        <w:rPr>
          <w:rFonts w:ascii="Arial" w:hAnsi="Arial" w:cs="Arial"/>
          <w:sz w:val="22"/>
          <w:szCs w:val="22"/>
        </w:rPr>
      </w:pPr>
    </w:p>
    <w:p w14:paraId="4B9BA43E" w14:textId="77777777"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 xml:space="preserve">Fox, J. et al. (2012) ‘Mental-Health Conditions, Barriers to Care, and Productivity Loss Among Officers in An Urban Police Department’, Connecticut medicine, 76(9), p. 525. Available at: </w:t>
      </w:r>
      <w:hyperlink r:id="rId18" w:history="1">
        <w:r w:rsidRPr="004A70CC">
          <w:rPr>
            <w:rStyle w:val="Hyperlink"/>
            <w:rFonts w:ascii="Arial" w:hAnsi="Arial" w:cs="Arial"/>
            <w:sz w:val="22"/>
            <w:szCs w:val="22"/>
          </w:rPr>
          <w:t>Mental-Health Conditions, Barriers to Care, and Productivity Loss Among Officers in An Urban Police Department - PMC</w:t>
        </w:r>
      </w:hyperlink>
      <w:r>
        <w:rPr>
          <w:rFonts w:ascii="Arial" w:hAnsi="Arial" w:cs="Arial"/>
          <w:sz w:val="22"/>
          <w:szCs w:val="22"/>
        </w:rPr>
        <w:t xml:space="preserve"> </w:t>
      </w:r>
      <w:r w:rsidRPr="001D7892">
        <w:rPr>
          <w:rFonts w:ascii="Arial" w:hAnsi="Arial" w:cs="Arial"/>
          <w:sz w:val="22"/>
          <w:szCs w:val="22"/>
        </w:rPr>
        <w:t xml:space="preserve">(Accessed: 11 May 2025). </w:t>
      </w:r>
    </w:p>
    <w:p w14:paraId="72F5F9E7" w14:textId="77777777" w:rsidR="00D821EE" w:rsidRDefault="00D821EE" w:rsidP="00D821EE">
      <w:pPr>
        <w:spacing w:line="257" w:lineRule="auto"/>
        <w:ind w:left="567" w:right="531"/>
        <w:rPr>
          <w:rFonts w:ascii="Arial" w:hAnsi="Arial" w:cs="Arial"/>
          <w:sz w:val="22"/>
          <w:szCs w:val="22"/>
        </w:rPr>
      </w:pPr>
    </w:p>
    <w:p w14:paraId="2C12C8B0" w14:textId="0C208151" w:rsidR="00D821EE" w:rsidRDefault="00D821EE" w:rsidP="00D821EE">
      <w:pPr>
        <w:spacing w:line="257" w:lineRule="auto"/>
        <w:ind w:left="567" w:right="531"/>
        <w:rPr>
          <w:rFonts w:ascii="Arial" w:hAnsi="Arial" w:cs="Arial"/>
          <w:sz w:val="22"/>
          <w:szCs w:val="22"/>
        </w:rPr>
      </w:pPr>
      <w:r w:rsidRPr="001D7892">
        <w:rPr>
          <w:rFonts w:ascii="Arial" w:hAnsi="Arial" w:cs="Arial"/>
          <w:sz w:val="22"/>
          <w:szCs w:val="22"/>
        </w:rPr>
        <w:t>G</w:t>
      </w:r>
      <w:r>
        <w:rPr>
          <w:rFonts w:ascii="Arial" w:hAnsi="Arial" w:cs="Arial"/>
          <w:sz w:val="22"/>
          <w:szCs w:val="22"/>
        </w:rPr>
        <w:t>o</w:t>
      </w:r>
      <w:r w:rsidRPr="001D7892">
        <w:rPr>
          <w:rFonts w:ascii="Arial" w:hAnsi="Arial" w:cs="Arial"/>
          <w:sz w:val="22"/>
          <w:szCs w:val="22"/>
        </w:rPr>
        <w:t>tzsche</w:t>
      </w:r>
      <w:r w:rsidRPr="001D7892">
        <w:rPr>
          <w:rFonts w:ascii="Cambria Math" w:hAnsi="Cambria Math" w:cs="Cambria Math"/>
          <w:sz w:val="22"/>
          <w:szCs w:val="22"/>
        </w:rPr>
        <w:t>‐</w:t>
      </w:r>
      <w:r w:rsidRPr="001D7892">
        <w:rPr>
          <w:rFonts w:ascii="Arial" w:hAnsi="Arial" w:cs="Arial"/>
          <w:sz w:val="22"/>
          <w:szCs w:val="22"/>
        </w:rPr>
        <w:t xml:space="preserve">Astrup, O., Overgaard, B. and Lindekilde, L. (2022) ‘Vulnerable and dominant: Bright and dark side personality traits and values of individuals in organized crime in Denmark’, Scandinavian Journal of Psychology, 63(5), pp. 536–544. Available at: https://doi.org/10.1111/sjop.12831. </w:t>
      </w:r>
      <w:r w:rsidR="00FD638A" w:rsidRPr="001D7892">
        <w:rPr>
          <w:rFonts w:ascii="Arial" w:hAnsi="Arial" w:cs="Arial"/>
          <w:sz w:val="22"/>
          <w:szCs w:val="22"/>
        </w:rPr>
        <w:t>(Accessed: 1</w:t>
      </w:r>
      <w:r w:rsidR="00FD638A">
        <w:rPr>
          <w:rFonts w:ascii="Arial" w:hAnsi="Arial" w:cs="Arial"/>
          <w:sz w:val="22"/>
          <w:szCs w:val="22"/>
        </w:rPr>
        <w:t xml:space="preserve">3 </w:t>
      </w:r>
      <w:r w:rsidR="00FD638A" w:rsidRPr="001D7892">
        <w:rPr>
          <w:rFonts w:ascii="Arial" w:hAnsi="Arial" w:cs="Arial"/>
          <w:sz w:val="22"/>
          <w:szCs w:val="22"/>
        </w:rPr>
        <w:t>May 2025).</w:t>
      </w:r>
    </w:p>
    <w:p w14:paraId="09B6AAD7" w14:textId="77777777" w:rsidR="00FD638A" w:rsidRDefault="00FD638A" w:rsidP="00D821EE">
      <w:pPr>
        <w:spacing w:line="257" w:lineRule="auto"/>
        <w:ind w:left="567" w:right="531"/>
        <w:rPr>
          <w:rFonts w:ascii="Arial" w:hAnsi="Arial" w:cs="Arial"/>
          <w:sz w:val="22"/>
          <w:szCs w:val="22"/>
        </w:rPr>
      </w:pPr>
    </w:p>
    <w:p w14:paraId="5148A3E8" w14:textId="77777777" w:rsidR="00FD638A" w:rsidRDefault="00FD638A" w:rsidP="00FD638A">
      <w:pPr>
        <w:spacing w:line="257" w:lineRule="auto"/>
        <w:ind w:left="567" w:right="531"/>
        <w:rPr>
          <w:rFonts w:ascii="Arial" w:hAnsi="Arial" w:cs="Arial"/>
          <w:sz w:val="22"/>
          <w:szCs w:val="22"/>
        </w:rPr>
      </w:pPr>
      <w:r w:rsidRPr="001D7892">
        <w:rPr>
          <w:rFonts w:ascii="Arial" w:hAnsi="Arial" w:cs="Arial"/>
          <w:sz w:val="22"/>
          <w:szCs w:val="22"/>
        </w:rPr>
        <w:t xml:space="preserve">Government Events (2024) 6 Key Strategies: Progressing EDI in the UK Police Force, Government Events. Available at: </w:t>
      </w:r>
      <w:hyperlink r:id="rId19" w:history="1">
        <w:r w:rsidRPr="004A70CC">
          <w:rPr>
            <w:rStyle w:val="Hyperlink"/>
            <w:rFonts w:ascii="Arial" w:hAnsi="Arial" w:cs="Arial"/>
            <w:sz w:val="22"/>
            <w:szCs w:val="22"/>
          </w:rPr>
          <w:t>6 Key Strategies: Progressing EDI in the UK Police Force • Government Events</w:t>
        </w:r>
      </w:hyperlink>
      <w:r w:rsidRPr="004A70CC">
        <w:rPr>
          <w:rFonts w:ascii="Arial" w:hAnsi="Arial" w:cs="Arial"/>
          <w:sz w:val="22"/>
          <w:szCs w:val="22"/>
        </w:rPr>
        <w:t xml:space="preserve"> </w:t>
      </w:r>
      <w:r w:rsidRPr="001D7892">
        <w:rPr>
          <w:rFonts w:ascii="Arial" w:hAnsi="Arial" w:cs="Arial"/>
          <w:sz w:val="22"/>
          <w:szCs w:val="22"/>
        </w:rPr>
        <w:t xml:space="preserve">(Accessed: 11 May 2025). </w:t>
      </w:r>
    </w:p>
    <w:p w14:paraId="6AC4CA7A" w14:textId="77777777" w:rsidR="00FD638A" w:rsidRDefault="00FD638A" w:rsidP="00FD638A">
      <w:pPr>
        <w:spacing w:line="257" w:lineRule="auto"/>
        <w:ind w:left="567" w:right="531"/>
        <w:rPr>
          <w:rFonts w:ascii="Arial" w:hAnsi="Arial" w:cs="Arial"/>
          <w:sz w:val="22"/>
          <w:szCs w:val="22"/>
        </w:rPr>
      </w:pPr>
    </w:p>
    <w:p w14:paraId="1A98AA4D" w14:textId="77777777" w:rsidR="00FD638A" w:rsidRDefault="00FD638A" w:rsidP="00FD638A">
      <w:pPr>
        <w:spacing w:line="257" w:lineRule="auto"/>
        <w:ind w:left="567" w:right="531"/>
        <w:rPr>
          <w:rFonts w:ascii="Arial" w:hAnsi="Arial" w:cs="Arial"/>
          <w:sz w:val="22"/>
          <w:szCs w:val="22"/>
        </w:rPr>
      </w:pPr>
      <w:r w:rsidRPr="001D7892">
        <w:rPr>
          <w:rFonts w:ascii="Arial" w:hAnsi="Arial" w:cs="Arial"/>
          <w:sz w:val="22"/>
          <w:szCs w:val="22"/>
        </w:rPr>
        <w:t xml:space="preserve">Grierson, J. (2025) People with working-class accents more likely to be suspected of committing crimes, the Guardian. The Guardian. Available at: </w:t>
      </w:r>
      <w:hyperlink r:id="rId20" w:history="1">
        <w:r w:rsidRPr="004A70CC">
          <w:rPr>
            <w:rStyle w:val="Hyperlink"/>
            <w:rFonts w:ascii="Arial" w:hAnsi="Arial" w:cs="Arial"/>
            <w:sz w:val="22"/>
            <w:szCs w:val="22"/>
          </w:rPr>
          <w:t>PressReader.com - Digital Newspaper &amp; Magazine Subscriptions</w:t>
        </w:r>
      </w:hyperlink>
    </w:p>
    <w:p w14:paraId="1AA45C6A" w14:textId="77777777" w:rsidR="00FD638A" w:rsidRDefault="00FD638A" w:rsidP="00FD638A">
      <w:pPr>
        <w:spacing w:line="257" w:lineRule="auto"/>
        <w:ind w:left="567" w:right="531"/>
        <w:rPr>
          <w:rFonts w:ascii="Arial" w:hAnsi="Arial" w:cs="Arial"/>
          <w:sz w:val="22"/>
          <w:szCs w:val="22"/>
        </w:rPr>
      </w:pPr>
    </w:p>
    <w:p w14:paraId="75080F87" w14:textId="13EDEE72" w:rsidR="00FD638A" w:rsidRDefault="00FD638A" w:rsidP="00FD638A">
      <w:pPr>
        <w:spacing w:line="257" w:lineRule="auto"/>
        <w:ind w:left="567" w:right="531"/>
        <w:rPr>
          <w:rFonts w:ascii="Arial" w:hAnsi="Arial" w:cs="Arial"/>
          <w:sz w:val="22"/>
          <w:szCs w:val="22"/>
        </w:rPr>
      </w:pPr>
      <w:r w:rsidRPr="001D7892">
        <w:rPr>
          <w:rFonts w:ascii="Arial" w:hAnsi="Arial" w:cs="Arial"/>
          <w:sz w:val="22"/>
          <w:szCs w:val="22"/>
        </w:rPr>
        <w:t>Goel, S., Shroff, R. and Webb, L., 2016. Unconscious bias in police decision-making: Examining race and the criminal justice system. Journal of Social Issues, 72(4), pp.728-742. Kassin, S.M., Dror, I.E., and Kukucka, J., 2015. [Accessed 1</w:t>
      </w:r>
      <w:r>
        <w:rPr>
          <w:rFonts w:ascii="Arial" w:hAnsi="Arial" w:cs="Arial"/>
          <w:sz w:val="22"/>
          <w:szCs w:val="22"/>
        </w:rPr>
        <w:t>9</w:t>
      </w:r>
      <w:r w:rsidRPr="001D7892">
        <w:rPr>
          <w:rFonts w:ascii="Arial" w:hAnsi="Arial" w:cs="Arial"/>
          <w:sz w:val="22"/>
          <w:szCs w:val="22"/>
        </w:rPr>
        <w:t xml:space="preserve"> May 2025].</w:t>
      </w:r>
    </w:p>
    <w:p w14:paraId="1CD8DAF0" w14:textId="77777777" w:rsidR="00794B03" w:rsidRDefault="00794B03" w:rsidP="00FD638A">
      <w:pPr>
        <w:spacing w:line="257" w:lineRule="auto"/>
        <w:ind w:left="567" w:right="531"/>
        <w:rPr>
          <w:rFonts w:ascii="Arial" w:hAnsi="Arial" w:cs="Arial"/>
          <w:sz w:val="22"/>
          <w:szCs w:val="22"/>
        </w:rPr>
      </w:pPr>
    </w:p>
    <w:p w14:paraId="1B870F2B"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Journal of Criminal Justice, 64, pp. 13-22. Pope, A., Leach, A. and Bennett, P., 2017. Attitudes and biases in law enforcement: A review of current research. Policing and Society, 27(6), pp. 679-699. Walker, S., Spohn, C. and </w:t>
      </w:r>
      <w:proofErr w:type="spellStart"/>
      <w:r w:rsidRPr="001D7892">
        <w:rPr>
          <w:rFonts w:ascii="Arial" w:hAnsi="Arial" w:cs="Arial"/>
          <w:sz w:val="22"/>
          <w:szCs w:val="22"/>
        </w:rPr>
        <w:t>DeLone</w:t>
      </w:r>
      <w:proofErr w:type="spellEnd"/>
      <w:r w:rsidRPr="001D7892">
        <w:rPr>
          <w:rFonts w:ascii="Arial" w:hAnsi="Arial" w:cs="Arial"/>
          <w:sz w:val="22"/>
          <w:szCs w:val="22"/>
        </w:rPr>
        <w:t>, M., 2016. [Accessed 11 May 2025].</w:t>
      </w:r>
      <w:r w:rsidRPr="004A70CC">
        <w:rPr>
          <w:rFonts w:ascii="Arial" w:hAnsi="Arial" w:cs="Arial"/>
          <w:sz w:val="22"/>
          <w:szCs w:val="22"/>
        </w:rPr>
        <w:t xml:space="preserve"> </w:t>
      </w:r>
      <w:r w:rsidRPr="001D7892">
        <w:rPr>
          <w:rFonts w:ascii="Arial" w:hAnsi="Arial" w:cs="Arial"/>
          <w:sz w:val="22"/>
          <w:szCs w:val="22"/>
        </w:rPr>
        <w:t>[Accessed 11 May 2025].</w:t>
      </w:r>
    </w:p>
    <w:p w14:paraId="1B36AC92" w14:textId="77777777" w:rsidR="00794B03" w:rsidRDefault="00794B03" w:rsidP="00FD638A">
      <w:pPr>
        <w:spacing w:line="257" w:lineRule="auto"/>
        <w:ind w:left="567" w:right="531"/>
        <w:rPr>
          <w:rFonts w:ascii="Arial" w:hAnsi="Arial" w:cs="Arial"/>
          <w:sz w:val="22"/>
          <w:szCs w:val="22"/>
        </w:rPr>
      </w:pPr>
    </w:p>
    <w:p w14:paraId="2C6EC1D3"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Mental-health conditions, barriers to care, and productivity loss among officers in an urban police department. Connecticut Medicine, 76(9), pp.525–531. [Accessed 1</w:t>
      </w:r>
      <w:r>
        <w:rPr>
          <w:rFonts w:ascii="Arial" w:hAnsi="Arial" w:cs="Arial"/>
          <w:sz w:val="22"/>
          <w:szCs w:val="22"/>
        </w:rPr>
        <w:t xml:space="preserve">9 </w:t>
      </w:r>
      <w:r w:rsidRPr="001D7892">
        <w:rPr>
          <w:rFonts w:ascii="Arial" w:hAnsi="Arial" w:cs="Arial"/>
          <w:sz w:val="22"/>
          <w:szCs w:val="22"/>
        </w:rPr>
        <w:t>May 2025].</w:t>
      </w:r>
    </w:p>
    <w:p w14:paraId="76260A87" w14:textId="77777777" w:rsidR="00794B03" w:rsidRDefault="00794B03" w:rsidP="00FD638A">
      <w:pPr>
        <w:spacing w:line="257" w:lineRule="auto"/>
        <w:ind w:left="567" w:right="531"/>
        <w:rPr>
          <w:rFonts w:ascii="Arial" w:hAnsi="Arial" w:cs="Arial"/>
          <w:sz w:val="22"/>
          <w:szCs w:val="22"/>
        </w:rPr>
      </w:pPr>
    </w:p>
    <w:p w14:paraId="3A93AF48"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Mitib, A. (2024) Scrutiny of police shootings deters would-be firearms officers, Thetimes.com. The Times. Available at: </w:t>
      </w:r>
      <w:hyperlink r:id="rId21" w:history="1">
        <w:r w:rsidRPr="004A70CC">
          <w:rPr>
            <w:rStyle w:val="Hyperlink"/>
            <w:rFonts w:ascii="Arial" w:hAnsi="Arial" w:cs="Arial"/>
            <w:sz w:val="22"/>
            <w:szCs w:val="22"/>
          </w:rPr>
          <w:t>bing.com/ck/a?!&amp;&amp;p=96779922d69fcc86e326e674d68a2e83c24c5e8047c597512f3da5cf46702274JmltdHM9MTc0ODIxNzYwMA&amp;ptn=3&amp;ver=2&amp;hsh=4&amp;fclid=1f8f68e2-5311-6099-30a4-7cbb52f16167&amp;psq=Scrutiny+of+police+shootings+deters+would-be+firearms+officers&amp;u=a1aHR0cHM6Ly93d3cudGhldGltZXMuY29tL3VrL2xhdy9hcnRpY2xlL3NjcnV0aW55LWFmdGVyLXBvbGljZS1zaG9vdGluZ3MtZGV0ZXJzLXdvdWxkLWJlLWZpcmVhcm1zLW9mZmljZXJzLXNkYnNjejAyZj9tc29ja2lkPTFmOGY2OGUyNTMxMTYwOTkzMGE0N2NiYjUyZjE2MTY3&amp;ntb=1</w:t>
        </w:r>
      </w:hyperlink>
      <w:r>
        <w:rPr>
          <w:rFonts w:ascii="Arial" w:hAnsi="Arial" w:cs="Arial"/>
          <w:sz w:val="22"/>
          <w:szCs w:val="22"/>
        </w:rPr>
        <w:t xml:space="preserve"> </w:t>
      </w:r>
      <w:r w:rsidRPr="001D7892">
        <w:rPr>
          <w:rFonts w:ascii="Arial" w:hAnsi="Arial" w:cs="Arial"/>
          <w:sz w:val="22"/>
          <w:szCs w:val="22"/>
        </w:rPr>
        <w:t>(Accessed: 1</w:t>
      </w:r>
      <w:r>
        <w:rPr>
          <w:rFonts w:ascii="Arial" w:hAnsi="Arial" w:cs="Arial"/>
          <w:sz w:val="22"/>
          <w:szCs w:val="22"/>
        </w:rPr>
        <w:t>8</w:t>
      </w:r>
      <w:r w:rsidRPr="001D7892">
        <w:rPr>
          <w:rFonts w:ascii="Arial" w:hAnsi="Arial" w:cs="Arial"/>
          <w:sz w:val="22"/>
          <w:szCs w:val="22"/>
        </w:rPr>
        <w:t xml:space="preserve"> May 2025).</w:t>
      </w:r>
    </w:p>
    <w:p w14:paraId="57498582" w14:textId="77777777" w:rsidR="00794B03" w:rsidRDefault="00794B03" w:rsidP="00FD638A">
      <w:pPr>
        <w:spacing w:line="257" w:lineRule="auto"/>
        <w:ind w:left="567" w:right="531"/>
        <w:rPr>
          <w:rFonts w:ascii="Arial" w:hAnsi="Arial" w:cs="Arial"/>
          <w:sz w:val="22"/>
          <w:szCs w:val="22"/>
        </w:rPr>
      </w:pPr>
    </w:p>
    <w:p w14:paraId="7E70E76D"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Miller, L., Hayes, P., and Carter, G., 2019. Stress and burnout in law enforcement: Managing the pressures. Policing and Society, 29(4), pp.437-451. Hub, E. (2024) Inclusive Britain second update report – May 2024, GOV.UK. Available at: </w:t>
      </w:r>
      <w:hyperlink r:id="rId22" w:history="1">
        <w:r w:rsidRPr="004A70CC">
          <w:rPr>
            <w:rStyle w:val="Hyperlink"/>
            <w:rFonts w:ascii="Arial" w:hAnsi="Arial" w:cs="Arial"/>
            <w:sz w:val="22"/>
            <w:szCs w:val="22"/>
          </w:rPr>
          <w:t>Inclusive Britain update report - GOV.UK</w:t>
        </w:r>
      </w:hyperlink>
      <w:r>
        <w:rPr>
          <w:rFonts w:ascii="Arial" w:hAnsi="Arial" w:cs="Arial"/>
          <w:sz w:val="22"/>
          <w:szCs w:val="22"/>
        </w:rPr>
        <w:t xml:space="preserve"> </w:t>
      </w:r>
      <w:r w:rsidRPr="001D7892">
        <w:rPr>
          <w:rFonts w:ascii="Arial" w:hAnsi="Arial" w:cs="Arial"/>
          <w:sz w:val="22"/>
          <w:szCs w:val="22"/>
        </w:rPr>
        <w:t xml:space="preserve">(Accessed: </w:t>
      </w:r>
      <w:r>
        <w:rPr>
          <w:rFonts w:ascii="Arial" w:hAnsi="Arial" w:cs="Arial"/>
          <w:sz w:val="22"/>
          <w:szCs w:val="22"/>
        </w:rPr>
        <w:t>18</w:t>
      </w:r>
      <w:r w:rsidRPr="004A70CC">
        <w:rPr>
          <w:rFonts w:ascii="Arial" w:hAnsi="Arial" w:cs="Arial"/>
          <w:sz w:val="22"/>
          <w:szCs w:val="22"/>
          <w:vertAlign w:val="superscript"/>
        </w:rPr>
        <w:t>th</w:t>
      </w:r>
      <w:r>
        <w:rPr>
          <w:rFonts w:ascii="Arial" w:hAnsi="Arial" w:cs="Arial"/>
          <w:sz w:val="22"/>
          <w:szCs w:val="22"/>
        </w:rPr>
        <w:t xml:space="preserve"> </w:t>
      </w:r>
      <w:r w:rsidRPr="001D7892">
        <w:rPr>
          <w:rFonts w:ascii="Arial" w:hAnsi="Arial" w:cs="Arial"/>
          <w:sz w:val="22"/>
          <w:szCs w:val="22"/>
        </w:rPr>
        <w:t>May 2025).</w:t>
      </w:r>
    </w:p>
    <w:p w14:paraId="4C6B2EAB" w14:textId="77777777" w:rsidR="00794B03" w:rsidRDefault="00794B03" w:rsidP="00794B03">
      <w:pPr>
        <w:spacing w:line="257" w:lineRule="auto"/>
        <w:ind w:left="567" w:right="531"/>
        <w:rPr>
          <w:rFonts w:ascii="Arial" w:hAnsi="Arial" w:cs="Arial"/>
          <w:sz w:val="22"/>
          <w:szCs w:val="22"/>
        </w:rPr>
      </w:pPr>
    </w:p>
    <w:p w14:paraId="46EA2984"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Morris, S. (2024) UK police chief who declared her force ‘institutionally racist’ says culture is changing, the Guardian. The Guardian. Available at: </w:t>
      </w:r>
      <w:hyperlink r:id="rId23" w:history="1">
        <w:r w:rsidRPr="004A70CC">
          <w:rPr>
            <w:rStyle w:val="Hyperlink"/>
            <w:rFonts w:ascii="Arial" w:hAnsi="Arial" w:cs="Arial"/>
            <w:sz w:val="22"/>
            <w:szCs w:val="22"/>
          </w:rPr>
          <w:t>bing.com/ck/a?!&amp;&amp;p=8b6fece285fa85ab92b5127cb0b1ab97b8c20e5faa3717b61d0b3912eace9aa7JmltdHM9MTc0ODIxNzYwMA&amp;ptn=3&amp;ver=2&amp;hsh=4&amp;fclid=1f8f68e2-5311-6099-30a4-7cbb52f16167&amp;psq=police+chief+declared+her-force-institutionally-racist-says-culturethe+guardian&amp;u=a1aHR0cHM6Ly93d3cuYmJjLmNvLnVrL25ld3MvdWstc2NvdGxhbmQtNjcwNTM5NTgjOn46dGV4dD1Qb2xpY2UlMjBTY290bGFuZCUyN3MlMjBuZXclMjBjaGllZiUyMGNvbnN0YWJsZSUyMHNheXMlMjBzaGUlMjBhZ3JlZXMsdGhpcyUyMHllYXIlMjBieSUyMGhlciUyMHByZWRlY2Vzc29yJTIwU2lyJTIwSWFpbiUyMExpdmluZ3N0b25lLg&amp;ntb=1</w:t>
        </w:r>
      </w:hyperlink>
      <w:r>
        <w:rPr>
          <w:rFonts w:ascii="Arial" w:hAnsi="Arial" w:cs="Arial"/>
          <w:sz w:val="22"/>
          <w:szCs w:val="22"/>
        </w:rPr>
        <w:t xml:space="preserve"> </w:t>
      </w:r>
      <w:r w:rsidRPr="001D7892">
        <w:rPr>
          <w:rFonts w:ascii="Arial" w:hAnsi="Arial" w:cs="Arial"/>
          <w:sz w:val="22"/>
          <w:szCs w:val="22"/>
        </w:rPr>
        <w:t xml:space="preserve">(Accessed: </w:t>
      </w:r>
      <w:r>
        <w:rPr>
          <w:rFonts w:ascii="Arial" w:hAnsi="Arial" w:cs="Arial"/>
          <w:sz w:val="22"/>
          <w:szCs w:val="22"/>
        </w:rPr>
        <w:t>18</w:t>
      </w:r>
      <w:r w:rsidRPr="004A70CC">
        <w:rPr>
          <w:rFonts w:ascii="Arial" w:hAnsi="Arial" w:cs="Arial"/>
          <w:sz w:val="22"/>
          <w:szCs w:val="22"/>
          <w:vertAlign w:val="superscript"/>
        </w:rPr>
        <w:t>th</w:t>
      </w:r>
      <w:r>
        <w:rPr>
          <w:rFonts w:ascii="Arial" w:hAnsi="Arial" w:cs="Arial"/>
          <w:sz w:val="22"/>
          <w:szCs w:val="22"/>
        </w:rPr>
        <w:t xml:space="preserve"> </w:t>
      </w:r>
      <w:r w:rsidRPr="001D7892">
        <w:rPr>
          <w:rFonts w:ascii="Arial" w:hAnsi="Arial" w:cs="Arial"/>
          <w:sz w:val="22"/>
          <w:szCs w:val="22"/>
        </w:rPr>
        <w:t>May 2025).</w:t>
      </w:r>
    </w:p>
    <w:p w14:paraId="7D3F3F6B" w14:textId="77777777" w:rsidR="00794B03" w:rsidRDefault="00794B03" w:rsidP="00FD638A">
      <w:pPr>
        <w:spacing w:line="257" w:lineRule="auto"/>
        <w:ind w:left="567" w:right="531"/>
        <w:rPr>
          <w:rFonts w:ascii="Arial" w:hAnsi="Arial" w:cs="Arial"/>
          <w:sz w:val="22"/>
          <w:szCs w:val="22"/>
        </w:rPr>
      </w:pPr>
    </w:p>
    <w:p w14:paraId="47DF887A"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Office, H. (2025) Serious and organised crime local profiles: a guide, GOV.UK. Available at: </w:t>
      </w:r>
      <w:hyperlink r:id="rId24" w:history="1">
        <w:r w:rsidRPr="00C3486D">
          <w:rPr>
            <w:rStyle w:val="Hyperlink"/>
            <w:rFonts w:ascii="Arial" w:hAnsi="Arial" w:cs="Arial"/>
            <w:sz w:val="22"/>
            <w:szCs w:val="22"/>
          </w:rPr>
          <w:t>Serious and organised crime: local profiles - GOV.UK</w:t>
        </w:r>
      </w:hyperlink>
      <w:r w:rsidRPr="00C3486D">
        <w:rPr>
          <w:rFonts w:ascii="Arial" w:hAnsi="Arial" w:cs="Arial"/>
          <w:sz w:val="22"/>
          <w:szCs w:val="22"/>
        </w:rPr>
        <w:t xml:space="preserve"> </w:t>
      </w:r>
      <w:r w:rsidRPr="001D7892">
        <w:rPr>
          <w:rFonts w:ascii="Arial" w:hAnsi="Arial" w:cs="Arial"/>
          <w:sz w:val="22"/>
          <w:szCs w:val="22"/>
        </w:rPr>
        <w:t>(Accessed: 11 May 2025).</w:t>
      </w:r>
    </w:p>
    <w:p w14:paraId="78E09A04" w14:textId="77777777" w:rsidR="00794B03" w:rsidRDefault="00794B03" w:rsidP="00794B03">
      <w:pPr>
        <w:spacing w:line="257" w:lineRule="auto"/>
        <w:ind w:left="567" w:right="531"/>
        <w:rPr>
          <w:rFonts w:ascii="Arial" w:hAnsi="Arial" w:cs="Arial"/>
          <w:sz w:val="22"/>
          <w:szCs w:val="22"/>
        </w:rPr>
      </w:pPr>
    </w:p>
    <w:p w14:paraId="3CB11CCC" w14:textId="77777777" w:rsidR="00794B03" w:rsidRDefault="00794B03" w:rsidP="00794B03">
      <w:pPr>
        <w:spacing w:line="257" w:lineRule="auto"/>
        <w:ind w:left="567" w:right="531"/>
        <w:rPr>
          <w:rFonts w:ascii="Arial" w:hAnsi="Arial" w:cs="Arial"/>
          <w:sz w:val="22"/>
          <w:szCs w:val="22"/>
        </w:rPr>
      </w:pPr>
      <w:proofErr w:type="spellStart"/>
      <w:r w:rsidRPr="001D7892">
        <w:rPr>
          <w:rFonts w:ascii="Arial" w:hAnsi="Arial" w:cs="Arial"/>
          <w:sz w:val="22"/>
          <w:szCs w:val="22"/>
        </w:rPr>
        <w:t>Purba</w:t>
      </w:r>
      <w:proofErr w:type="spellEnd"/>
      <w:r w:rsidRPr="001D7892">
        <w:rPr>
          <w:rFonts w:ascii="Arial" w:hAnsi="Arial" w:cs="Arial"/>
          <w:sz w:val="22"/>
          <w:szCs w:val="22"/>
        </w:rPr>
        <w:t xml:space="preserve">, A. and </w:t>
      </w:r>
      <w:proofErr w:type="spellStart"/>
      <w:r w:rsidRPr="001D7892">
        <w:rPr>
          <w:rFonts w:ascii="Arial" w:hAnsi="Arial" w:cs="Arial"/>
          <w:sz w:val="22"/>
          <w:szCs w:val="22"/>
        </w:rPr>
        <w:t>Demou</w:t>
      </w:r>
      <w:proofErr w:type="spellEnd"/>
      <w:r w:rsidRPr="001D7892">
        <w:rPr>
          <w:rFonts w:ascii="Arial" w:hAnsi="Arial" w:cs="Arial"/>
          <w:sz w:val="22"/>
          <w:szCs w:val="22"/>
        </w:rPr>
        <w:t xml:space="preserve">, E. (2019) ‘The relationship between organisational stressors and mental wellbeing within police officers: A systematic review’, BMC Public Health, 19(1). Available at: https://doi.org/10.1186/s12889-019-7609-0. Police diversity: Urgent action needed to tackle consistent failure - Committees - UK Parliament (2016) Parliament.uk. Available at: </w:t>
      </w:r>
      <w:hyperlink r:id="rId25" w:history="1">
        <w:r w:rsidRPr="004A70CC">
          <w:rPr>
            <w:rStyle w:val="Hyperlink"/>
            <w:rFonts w:ascii="Arial" w:hAnsi="Arial" w:cs="Arial"/>
            <w:sz w:val="22"/>
            <w:szCs w:val="22"/>
          </w:rPr>
          <w:t>Police workforce - GOV.UK Ethnicity facts and figures</w:t>
        </w:r>
      </w:hyperlink>
    </w:p>
    <w:p w14:paraId="142DD0D4" w14:textId="77777777" w:rsidR="00794B03" w:rsidRDefault="00794B03" w:rsidP="00794B03">
      <w:pPr>
        <w:spacing w:line="257" w:lineRule="auto"/>
        <w:ind w:left="567" w:right="531"/>
        <w:rPr>
          <w:rFonts w:ascii="Arial" w:hAnsi="Arial" w:cs="Arial"/>
          <w:sz w:val="22"/>
          <w:szCs w:val="22"/>
        </w:rPr>
      </w:pPr>
    </w:p>
    <w:p w14:paraId="2A79D889" w14:textId="033314B3" w:rsidR="001D7892" w:rsidRDefault="001D7892" w:rsidP="00D821EE">
      <w:pPr>
        <w:spacing w:line="257" w:lineRule="auto"/>
        <w:ind w:right="531"/>
        <w:rPr>
          <w:rFonts w:ascii="Arial" w:hAnsi="Arial" w:cs="Arial"/>
          <w:sz w:val="22"/>
          <w:szCs w:val="22"/>
        </w:rPr>
      </w:pPr>
    </w:p>
    <w:p w14:paraId="28ED9623" w14:textId="4B8DD367" w:rsidR="00D821EE" w:rsidRDefault="00FD638A" w:rsidP="00D821EE">
      <w:pPr>
        <w:spacing w:line="257" w:lineRule="auto"/>
        <w:ind w:left="567" w:right="531"/>
        <w:rPr>
          <w:rFonts w:ascii="Arial" w:hAnsi="Arial" w:cs="Arial"/>
          <w:sz w:val="22"/>
          <w:szCs w:val="22"/>
        </w:rPr>
      </w:pPr>
      <w:r w:rsidRPr="001D7892">
        <w:rPr>
          <w:rFonts w:ascii="Arial" w:hAnsi="Arial" w:cs="Arial"/>
          <w:sz w:val="22"/>
          <w:szCs w:val="22"/>
        </w:rPr>
        <w:t>Sure,</w:t>
      </w:r>
      <w:r w:rsidR="00D821EE" w:rsidRPr="001D7892">
        <w:rPr>
          <w:rFonts w:ascii="Arial" w:hAnsi="Arial" w:cs="Arial"/>
          <w:sz w:val="22"/>
          <w:szCs w:val="22"/>
        </w:rPr>
        <w:t xml:space="preserve"> Start and children’s health: evidence from the UK. London: IFS. Clarke, A., </w:t>
      </w:r>
      <w:proofErr w:type="spellStart"/>
      <w:r w:rsidR="00D821EE" w:rsidRPr="001D7892">
        <w:rPr>
          <w:rFonts w:ascii="Arial" w:hAnsi="Arial" w:cs="Arial"/>
          <w:sz w:val="22"/>
          <w:szCs w:val="22"/>
        </w:rPr>
        <w:t>Wydall</w:t>
      </w:r>
      <w:proofErr w:type="spellEnd"/>
      <w:r w:rsidR="00D821EE" w:rsidRPr="001D7892">
        <w:rPr>
          <w:rFonts w:ascii="Arial" w:hAnsi="Arial" w:cs="Arial"/>
          <w:sz w:val="22"/>
          <w:szCs w:val="22"/>
        </w:rPr>
        <w:t xml:space="preserve">, S. and Williams, K. (2008) </w:t>
      </w:r>
      <w:r w:rsidR="00D821EE">
        <w:rPr>
          <w:rFonts w:ascii="Arial" w:hAnsi="Arial" w:cs="Arial"/>
          <w:sz w:val="22"/>
          <w:szCs w:val="22"/>
        </w:rPr>
        <w:t>Accessed on: (</w:t>
      </w:r>
      <w:r w:rsidR="00D821EE" w:rsidRPr="001D7892">
        <w:rPr>
          <w:rFonts w:ascii="Arial" w:hAnsi="Arial" w:cs="Arial"/>
          <w:sz w:val="22"/>
          <w:szCs w:val="22"/>
        </w:rPr>
        <w:t>Accessed: 11 May 2025).</w:t>
      </w:r>
    </w:p>
    <w:p w14:paraId="48139387" w14:textId="77777777" w:rsidR="001D7892" w:rsidRDefault="001D7892" w:rsidP="001D7892">
      <w:pPr>
        <w:spacing w:line="257" w:lineRule="auto"/>
        <w:ind w:left="567" w:right="531"/>
        <w:rPr>
          <w:rFonts w:ascii="Arial" w:hAnsi="Arial" w:cs="Arial"/>
          <w:sz w:val="22"/>
          <w:szCs w:val="22"/>
        </w:rPr>
      </w:pPr>
    </w:p>
    <w:p w14:paraId="16A323B1" w14:textId="77777777" w:rsidR="001D7892" w:rsidRDefault="001D7892" w:rsidP="001D7892">
      <w:pPr>
        <w:spacing w:line="257" w:lineRule="auto"/>
        <w:ind w:left="567" w:right="531"/>
        <w:rPr>
          <w:rFonts w:ascii="Arial" w:hAnsi="Arial" w:cs="Arial"/>
          <w:sz w:val="22"/>
          <w:szCs w:val="22"/>
        </w:rPr>
      </w:pPr>
      <w:r w:rsidRPr="001D7892">
        <w:rPr>
          <w:rFonts w:ascii="Arial" w:hAnsi="Arial" w:cs="Arial"/>
          <w:sz w:val="22"/>
          <w:szCs w:val="22"/>
        </w:rPr>
        <w:t xml:space="preserve">Slowikowski, J., Administrator, A. and Mulvey, E. (2011) Highlights </w:t>
      </w:r>
      <w:proofErr w:type="gramStart"/>
      <w:r w:rsidRPr="001D7892">
        <w:rPr>
          <w:rFonts w:ascii="Arial" w:hAnsi="Arial" w:cs="Arial"/>
          <w:sz w:val="22"/>
          <w:szCs w:val="22"/>
        </w:rPr>
        <w:t>From</w:t>
      </w:r>
      <w:proofErr w:type="gramEnd"/>
      <w:r w:rsidRPr="001D7892">
        <w:rPr>
          <w:rFonts w:ascii="Arial" w:hAnsi="Arial" w:cs="Arial"/>
          <w:sz w:val="22"/>
          <w:szCs w:val="22"/>
        </w:rPr>
        <w:t xml:space="preserve"> Pathways to Desistance: A Longitudinal Study of Serious Adolescent Offenders. Available at: </w:t>
      </w:r>
    </w:p>
    <w:p w14:paraId="39E7BD03" w14:textId="77777777" w:rsidR="00794B03" w:rsidRDefault="001D7892" w:rsidP="00794B03">
      <w:pPr>
        <w:spacing w:line="257" w:lineRule="auto"/>
        <w:ind w:left="567" w:right="531"/>
        <w:rPr>
          <w:rFonts w:ascii="Arial" w:hAnsi="Arial" w:cs="Arial"/>
          <w:sz w:val="22"/>
          <w:szCs w:val="22"/>
        </w:rPr>
      </w:pPr>
      <w:r w:rsidRPr="001D7892">
        <w:rPr>
          <w:rFonts w:ascii="Arial" w:hAnsi="Arial" w:cs="Arial"/>
          <w:sz w:val="22"/>
          <w:szCs w:val="22"/>
        </w:rPr>
        <w:t xml:space="preserve">https://www.pathwaysstudy.pitt.edu/documents/OJJDP%20Fact%20Sheet_Pathways. pdf. </w:t>
      </w:r>
      <w:r>
        <w:rPr>
          <w:rFonts w:ascii="Arial" w:hAnsi="Arial" w:cs="Arial"/>
          <w:sz w:val="22"/>
          <w:szCs w:val="22"/>
        </w:rPr>
        <w:t>Accessed</w:t>
      </w:r>
      <w:r>
        <w:rPr>
          <w:rFonts w:ascii="Arial" w:hAnsi="Arial" w:cs="Arial"/>
          <w:sz w:val="22"/>
          <w:szCs w:val="22"/>
        </w:rPr>
        <w:t xml:space="preserve"> on</w:t>
      </w:r>
      <w:r>
        <w:rPr>
          <w:rFonts w:ascii="Arial" w:hAnsi="Arial" w:cs="Arial"/>
          <w:sz w:val="22"/>
          <w:szCs w:val="22"/>
        </w:rPr>
        <w:t xml:space="preserve">: </w:t>
      </w:r>
      <w:r w:rsidR="00FD638A" w:rsidRPr="001D7892">
        <w:rPr>
          <w:rFonts w:ascii="Arial" w:hAnsi="Arial" w:cs="Arial"/>
          <w:sz w:val="22"/>
          <w:szCs w:val="22"/>
        </w:rPr>
        <w:t>(Accessed: 11 May 2025).</w:t>
      </w:r>
    </w:p>
    <w:p w14:paraId="08CCD060" w14:textId="77777777" w:rsidR="00794B03" w:rsidRDefault="00794B03" w:rsidP="00794B03">
      <w:pPr>
        <w:spacing w:line="257" w:lineRule="auto"/>
        <w:ind w:left="567" w:right="531"/>
        <w:rPr>
          <w:rFonts w:ascii="Arial" w:hAnsi="Arial" w:cs="Arial"/>
          <w:sz w:val="22"/>
          <w:szCs w:val="22"/>
        </w:rPr>
      </w:pPr>
    </w:p>
    <w:p w14:paraId="3462A381"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Stevens, M., Beattie, L., Williams, A., and </w:t>
      </w:r>
      <w:proofErr w:type="spellStart"/>
      <w:r w:rsidRPr="001D7892">
        <w:rPr>
          <w:rFonts w:ascii="Arial" w:hAnsi="Arial" w:cs="Arial"/>
          <w:sz w:val="22"/>
          <w:szCs w:val="22"/>
        </w:rPr>
        <w:t>Alach</w:t>
      </w:r>
      <w:proofErr w:type="spellEnd"/>
      <w:r w:rsidRPr="001D7892">
        <w:rPr>
          <w:rFonts w:ascii="Arial" w:hAnsi="Arial" w:cs="Arial"/>
          <w:sz w:val="22"/>
          <w:szCs w:val="22"/>
        </w:rPr>
        <w:t xml:space="preserve">, Z., 2016. Wellbeing in policing: A review of support structures and mental health programs. Policing: An International Journal, 39(2), pp.137-153. Foreword, introduction, and full recommendations (2021) GOV.UK. Available at: </w:t>
      </w:r>
      <w:hyperlink r:id="rId26" w:history="1">
        <w:r w:rsidRPr="004A70CC">
          <w:rPr>
            <w:rStyle w:val="Hyperlink"/>
            <w:rFonts w:ascii="Arial" w:hAnsi="Arial" w:cs="Arial"/>
            <w:sz w:val="22"/>
            <w:szCs w:val="22"/>
          </w:rPr>
          <w:t>Police workforce - GOV.UK Ethnicity facts and figures</w:t>
        </w:r>
      </w:hyperlink>
      <w:r w:rsidRPr="004A70CC">
        <w:rPr>
          <w:rFonts w:ascii="Arial" w:hAnsi="Arial" w:cs="Arial"/>
          <w:sz w:val="22"/>
          <w:szCs w:val="22"/>
        </w:rPr>
        <w:t xml:space="preserve"> </w:t>
      </w:r>
      <w:r w:rsidRPr="001D7892">
        <w:rPr>
          <w:rFonts w:ascii="Arial" w:hAnsi="Arial" w:cs="Arial"/>
          <w:sz w:val="22"/>
          <w:szCs w:val="22"/>
        </w:rPr>
        <w:t xml:space="preserve">(Accessed: 11 May 2025). </w:t>
      </w:r>
    </w:p>
    <w:p w14:paraId="46B42A6F" w14:textId="77777777" w:rsidR="00794B03" w:rsidRDefault="00794B03" w:rsidP="00794B03">
      <w:pPr>
        <w:spacing w:line="257" w:lineRule="auto"/>
        <w:ind w:left="567" w:right="531"/>
        <w:rPr>
          <w:rFonts w:ascii="Arial" w:hAnsi="Arial" w:cs="Arial"/>
          <w:sz w:val="22"/>
          <w:szCs w:val="22"/>
        </w:rPr>
      </w:pPr>
    </w:p>
    <w:p w14:paraId="77622D4C" w14:textId="77777777" w:rsidR="00794B03" w:rsidRDefault="00794B03" w:rsidP="00794B03">
      <w:pPr>
        <w:spacing w:line="257" w:lineRule="auto"/>
        <w:ind w:left="567" w:right="531"/>
        <w:rPr>
          <w:rFonts w:ascii="Arial" w:hAnsi="Arial" w:cs="Arial"/>
          <w:sz w:val="22"/>
          <w:szCs w:val="22"/>
        </w:rPr>
      </w:pPr>
    </w:p>
    <w:p w14:paraId="44EAE3A7" w14:textId="77777777" w:rsidR="00794B03" w:rsidRDefault="001D7892" w:rsidP="00794B03">
      <w:pPr>
        <w:spacing w:line="257" w:lineRule="auto"/>
        <w:ind w:left="567" w:right="531"/>
        <w:rPr>
          <w:rFonts w:ascii="Arial" w:hAnsi="Arial" w:cs="Arial"/>
          <w:sz w:val="22"/>
          <w:szCs w:val="22"/>
        </w:rPr>
      </w:pPr>
      <w:r w:rsidRPr="001D7892">
        <w:rPr>
          <w:rFonts w:ascii="Arial" w:hAnsi="Arial" w:cs="Arial"/>
          <w:sz w:val="22"/>
          <w:szCs w:val="22"/>
        </w:rPr>
        <w:t xml:space="preserve">The Scottish Government (2018) Community experiences of serious organised crime in Scotland: research report, </w:t>
      </w:r>
      <w:proofErr w:type="spellStart"/>
      <w:r w:rsidRPr="001D7892">
        <w:rPr>
          <w:rFonts w:ascii="Arial" w:hAnsi="Arial" w:cs="Arial"/>
          <w:sz w:val="22"/>
          <w:szCs w:val="22"/>
        </w:rPr>
        <w:t>Gov.scot</w:t>
      </w:r>
      <w:proofErr w:type="spellEnd"/>
      <w:r w:rsidRPr="001D7892">
        <w:rPr>
          <w:rFonts w:ascii="Arial" w:hAnsi="Arial" w:cs="Arial"/>
          <w:sz w:val="22"/>
          <w:szCs w:val="22"/>
        </w:rPr>
        <w:t xml:space="preserve">. The Scottish Government. Available at: </w:t>
      </w:r>
      <w:hyperlink r:id="rId27" w:history="1">
        <w:r w:rsidR="004A70CC" w:rsidRPr="004A70CC">
          <w:rPr>
            <w:rStyle w:val="Hyperlink"/>
            <w:rFonts w:ascii="Arial" w:hAnsi="Arial" w:cs="Arial"/>
            <w:sz w:val="22"/>
            <w:szCs w:val="22"/>
          </w:rPr>
          <w:t xml:space="preserve">Community experiences of serious organised crime in Scotland: research report - </w:t>
        </w:r>
        <w:proofErr w:type="spellStart"/>
        <w:r w:rsidR="004A70CC" w:rsidRPr="004A70CC">
          <w:rPr>
            <w:rStyle w:val="Hyperlink"/>
            <w:rFonts w:ascii="Arial" w:hAnsi="Arial" w:cs="Arial"/>
            <w:sz w:val="22"/>
            <w:szCs w:val="22"/>
          </w:rPr>
          <w:t>gov.scot</w:t>
        </w:r>
        <w:proofErr w:type="spellEnd"/>
      </w:hyperlink>
      <w:r w:rsidR="004A70CC" w:rsidRPr="004A70CC">
        <w:rPr>
          <w:rFonts w:ascii="Arial" w:hAnsi="Arial" w:cs="Arial"/>
          <w:sz w:val="22"/>
          <w:szCs w:val="22"/>
        </w:rPr>
        <w:t xml:space="preserve"> </w:t>
      </w:r>
      <w:r w:rsidRPr="001D7892">
        <w:rPr>
          <w:rFonts w:ascii="Arial" w:hAnsi="Arial" w:cs="Arial"/>
          <w:sz w:val="22"/>
          <w:szCs w:val="22"/>
        </w:rPr>
        <w:t xml:space="preserve">(Accessed: 11 May 2025). </w:t>
      </w:r>
    </w:p>
    <w:p w14:paraId="7AD81FE0" w14:textId="77777777" w:rsidR="00794B03" w:rsidRDefault="00794B03" w:rsidP="00794B03">
      <w:pPr>
        <w:spacing w:line="257" w:lineRule="auto"/>
        <w:ind w:left="567" w:right="531"/>
        <w:rPr>
          <w:rFonts w:ascii="Arial" w:hAnsi="Arial" w:cs="Arial"/>
          <w:sz w:val="22"/>
          <w:szCs w:val="22"/>
        </w:rPr>
      </w:pPr>
    </w:p>
    <w:p w14:paraId="4EF2E948" w14:textId="022C5C28" w:rsidR="004A70CC" w:rsidRDefault="001D7892" w:rsidP="00794B03">
      <w:pPr>
        <w:spacing w:line="257" w:lineRule="auto"/>
        <w:ind w:left="567" w:right="531"/>
        <w:rPr>
          <w:rFonts w:ascii="Arial" w:hAnsi="Arial" w:cs="Arial"/>
          <w:sz w:val="22"/>
          <w:szCs w:val="22"/>
        </w:rPr>
      </w:pPr>
      <w:r w:rsidRPr="001D7892">
        <w:rPr>
          <w:rFonts w:ascii="Arial" w:hAnsi="Arial" w:cs="Arial"/>
          <w:sz w:val="22"/>
          <w:szCs w:val="22"/>
        </w:rPr>
        <w:t xml:space="preserve">The forensic confirmation bias: Problems, perspectives, and proposed solutions. Journal of Applied Research in Memory and Cognition, 4(3), pp. 252-262. Miller, J. and White, R., 2019. Reducing bias in policing: Interventions and strategies. </w:t>
      </w:r>
      <w:r w:rsidR="004A70CC" w:rsidRPr="001D7892">
        <w:rPr>
          <w:rFonts w:ascii="Arial" w:hAnsi="Arial" w:cs="Arial"/>
          <w:sz w:val="22"/>
          <w:szCs w:val="22"/>
        </w:rPr>
        <w:t>[Accessed 11 May 2025].</w:t>
      </w:r>
    </w:p>
    <w:p w14:paraId="17CC4FD0" w14:textId="77777777" w:rsidR="004A70CC" w:rsidRDefault="004A70CC" w:rsidP="00794B03">
      <w:pPr>
        <w:spacing w:line="257" w:lineRule="auto"/>
        <w:ind w:right="531"/>
        <w:rPr>
          <w:rFonts w:ascii="Arial" w:hAnsi="Arial" w:cs="Arial"/>
          <w:sz w:val="22"/>
          <w:szCs w:val="22"/>
        </w:rPr>
      </w:pPr>
    </w:p>
    <w:p w14:paraId="6CF624E1" w14:textId="504BE12B" w:rsidR="004A70CC" w:rsidRDefault="001D7892" w:rsidP="00794B03">
      <w:pPr>
        <w:spacing w:line="257" w:lineRule="auto"/>
        <w:ind w:left="567" w:right="531"/>
        <w:rPr>
          <w:rFonts w:ascii="Arial" w:hAnsi="Arial" w:cs="Arial"/>
          <w:sz w:val="22"/>
          <w:szCs w:val="22"/>
        </w:rPr>
      </w:pPr>
      <w:r w:rsidRPr="001D7892">
        <w:rPr>
          <w:rFonts w:ascii="Arial" w:hAnsi="Arial" w:cs="Arial"/>
          <w:sz w:val="22"/>
          <w:szCs w:val="22"/>
        </w:rPr>
        <w:t xml:space="preserve">The police and criminal justice: The road to effective crime control. Routledge, Abingdon. Home Office, 2017. Volume crime statistics: A comprehensive review of criminal activity and police responses. Government of the United Kingdom. Available at: https://www.gov.uk/government/statistics/volume-crime-statistics [Accessed 11 May 2025]. </w:t>
      </w:r>
    </w:p>
    <w:p w14:paraId="59D88828" w14:textId="77777777" w:rsidR="00794B03" w:rsidRDefault="00794B03" w:rsidP="00794B03">
      <w:pPr>
        <w:spacing w:line="257" w:lineRule="auto"/>
        <w:ind w:left="567" w:right="531"/>
        <w:rPr>
          <w:rFonts w:ascii="Arial" w:hAnsi="Arial" w:cs="Arial"/>
          <w:sz w:val="22"/>
          <w:szCs w:val="22"/>
        </w:rPr>
      </w:pPr>
    </w:p>
    <w:p w14:paraId="62EC50DA" w14:textId="77777777" w:rsidR="00794B03" w:rsidRDefault="00794B03" w:rsidP="00794B03">
      <w:pPr>
        <w:spacing w:line="257" w:lineRule="auto"/>
        <w:ind w:left="567" w:right="531"/>
        <w:rPr>
          <w:rFonts w:ascii="Arial" w:hAnsi="Arial" w:cs="Arial"/>
          <w:sz w:val="22"/>
          <w:szCs w:val="22"/>
        </w:rPr>
      </w:pPr>
      <w:r w:rsidRPr="001D7892">
        <w:rPr>
          <w:rFonts w:ascii="Arial" w:hAnsi="Arial" w:cs="Arial"/>
          <w:sz w:val="22"/>
          <w:szCs w:val="22"/>
        </w:rPr>
        <w:t xml:space="preserve">Violanti, J.M., Owens, S.L., </w:t>
      </w:r>
      <w:proofErr w:type="spellStart"/>
      <w:r w:rsidRPr="001D7892">
        <w:rPr>
          <w:rFonts w:ascii="Arial" w:hAnsi="Arial" w:cs="Arial"/>
          <w:sz w:val="22"/>
          <w:szCs w:val="22"/>
        </w:rPr>
        <w:t>McCanlies</w:t>
      </w:r>
      <w:proofErr w:type="spellEnd"/>
      <w:r w:rsidRPr="001D7892">
        <w:rPr>
          <w:rFonts w:ascii="Arial" w:hAnsi="Arial" w:cs="Arial"/>
          <w:sz w:val="22"/>
          <w:szCs w:val="22"/>
        </w:rPr>
        <w:t xml:space="preserve">, E., </w:t>
      </w:r>
      <w:proofErr w:type="spellStart"/>
      <w:r w:rsidRPr="001D7892">
        <w:rPr>
          <w:rFonts w:ascii="Arial" w:hAnsi="Arial" w:cs="Arial"/>
          <w:sz w:val="22"/>
          <w:szCs w:val="22"/>
        </w:rPr>
        <w:t>Fekedulegn</w:t>
      </w:r>
      <w:proofErr w:type="spellEnd"/>
      <w:r w:rsidRPr="001D7892">
        <w:rPr>
          <w:rFonts w:ascii="Arial" w:hAnsi="Arial" w:cs="Arial"/>
          <w:sz w:val="22"/>
          <w:szCs w:val="22"/>
        </w:rPr>
        <w:t xml:space="preserve">, D., Andrew, M.E. and Lawton, M., 2018. Law enforcement suicide: a review. Policing: An International Journal, 41(1), pp.106–124. </w:t>
      </w:r>
      <w:r>
        <w:rPr>
          <w:rFonts w:ascii="Arial" w:hAnsi="Arial" w:cs="Arial"/>
          <w:sz w:val="22"/>
          <w:szCs w:val="22"/>
        </w:rPr>
        <w:t xml:space="preserve"> </w:t>
      </w:r>
      <w:r w:rsidRPr="001D7892">
        <w:rPr>
          <w:rFonts w:ascii="Arial" w:hAnsi="Arial" w:cs="Arial"/>
          <w:sz w:val="22"/>
          <w:szCs w:val="22"/>
        </w:rPr>
        <w:t>[Accessed 11 May 2025].</w:t>
      </w:r>
    </w:p>
    <w:p w14:paraId="3D63AF01" w14:textId="77777777" w:rsidR="00794B03" w:rsidRDefault="00794B03" w:rsidP="00794B03">
      <w:pPr>
        <w:spacing w:line="257" w:lineRule="auto"/>
        <w:ind w:left="567" w:right="531"/>
        <w:rPr>
          <w:rFonts w:ascii="Arial" w:hAnsi="Arial" w:cs="Arial"/>
          <w:sz w:val="22"/>
          <w:szCs w:val="22"/>
        </w:rPr>
      </w:pPr>
    </w:p>
    <w:p w14:paraId="09F087E8" w14:textId="77777777" w:rsidR="004A70CC" w:rsidRDefault="001D7892" w:rsidP="004A70CC">
      <w:pPr>
        <w:spacing w:line="257" w:lineRule="auto"/>
        <w:ind w:left="567" w:right="531"/>
        <w:rPr>
          <w:rFonts w:ascii="Arial" w:hAnsi="Arial" w:cs="Arial"/>
          <w:sz w:val="22"/>
          <w:szCs w:val="22"/>
        </w:rPr>
      </w:pPr>
      <w:r w:rsidRPr="001D7892">
        <w:rPr>
          <w:rFonts w:ascii="Arial" w:hAnsi="Arial" w:cs="Arial"/>
          <w:sz w:val="22"/>
          <w:szCs w:val="22"/>
        </w:rPr>
        <w:t xml:space="preserve">Woode, D. (2025) Ethnic minority police officers given extra time to apply for jobs, Thetimes.com. The Times. Available at: https://www.thetimes.com/uk/crime/article/ethnic-minority-police-officers-given-ex tra-time-to-apply-for-jobs-k8p6229hm?utm_source=chatgpt.com (Accessed: 11 May 2025). </w:t>
      </w:r>
    </w:p>
    <w:p w14:paraId="241DE10D" w14:textId="77777777" w:rsidR="004A70CC" w:rsidRDefault="004A70CC" w:rsidP="004A70CC">
      <w:pPr>
        <w:spacing w:line="257" w:lineRule="auto"/>
        <w:ind w:left="567" w:right="531"/>
        <w:rPr>
          <w:rFonts w:ascii="Arial" w:hAnsi="Arial" w:cs="Arial"/>
          <w:sz w:val="22"/>
          <w:szCs w:val="22"/>
        </w:rPr>
      </w:pPr>
    </w:p>
    <w:p w14:paraId="1E4EF0E7" w14:textId="14A858EF" w:rsidR="001D7892" w:rsidRDefault="001D7892" w:rsidP="00D821EE">
      <w:pPr>
        <w:spacing w:line="257" w:lineRule="auto"/>
        <w:ind w:right="531"/>
        <w:rPr>
          <w:rFonts w:ascii="Arial" w:hAnsi="Arial" w:cs="Arial"/>
          <w:sz w:val="22"/>
          <w:szCs w:val="22"/>
        </w:rPr>
      </w:pPr>
    </w:p>
    <w:p w14:paraId="27F22988" w14:textId="77777777" w:rsidR="001D7892" w:rsidRDefault="001D7892" w:rsidP="001D7892">
      <w:pPr>
        <w:spacing w:line="257" w:lineRule="auto"/>
        <w:ind w:left="567" w:right="531"/>
        <w:rPr>
          <w:rFonts w:ascii="Arial" w:hAnsi="Arial" w:cs="Arial"/>
          <w:sz w:val="22"/>
          <w:szCs w:val="22"/>
        </w:rPr>
      </w:pPr>
    </w:p>
    <w:p w14:paraId="20C22907" w14:textId="77777777" w:rsidR="001D7892" w:rsidRDefault="001D7892" w:rsidP="001D7892">
      <w:pPr>
        <w:spacing w:line="257" w:lineRule="auto"/>
        <w:ind w:left="567" w:right="531"/>
        <w:rPr>
          <w:rFonts w:ascii="Arial" w:hAnsi="Arial" w:cs="Arial"/>
          <w:sz w:val="22"/>
          <w:szCs w:val="22"/>
        </w:rPr>
      </w:pPr>
    </w:p>
    <w:p w14:paraId="23546AB2" w14:textId="77777777" w:rsidR="001D7892" w:rsidRDefault="001D7892" w:rsidP="001D7892">
      <w:pPr>
        <w:spacing w:line="257" w:lineRule="auto"/>
        <w:ind w:left="567" w:right="531"/>
        <w:rPr>
          <w:rFonts w:ascii="Arial" w:hAnsi="Arial" w:cs="Arial"/>
          <w:sz w:val="22"/>
          <w:szCs w:val="22"/>
        </w:rPr>
      </w:pPr>
    </w:p>
    <w:p w14:paraId="507D1AEC" w14:textId="77777777" w:rsidR="003B6BFF" w:rsidRDefault="003B6BFF"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w:t>
      </w:r>
      <w:r w:rsidRPr="00382491">
        <w:rPr>
          <w:rFonts w:ascii="Arial" w:hAnsi="Arial" w:cs="Arial"/>
          <w:iCs/>
          <w:sz w:val="24"/>
          <w:szCs w:val="24"/>
        </w:rPr>
        <w:lastRenderedPageBreak/>
        <w:t xml:space="preserve">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B69739B"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hyperlink r:id="rId28" w:history="1">
        <w:r w:rsidR="00C810CA" w:rsidRPr="003A5637">
          <w:rPr>
            <w:rStyle w:val="Hyperlink"/>
            <w:rFonts w:ascii="Arial" w:hAnsi="Arial" w:cs="Arial"/>
            <w:iCs/>
            <w:sz w:val="24"/>
            <w:szCs w:val="24"/>
          </w:rPr>
          <w:t>reading list</w:t>
        </w:r>
      </w:hyperlink>
      <w:r w:rsidR="00C810CA" w:rsidRPr="00853CC1">
        <w:rPr>
          <w:rFonts w:ascii="Arial" w:hAnsi="Arial" w:cs="Arial"/>
          <w:iCs/>
          <w:sz w:val="24"/>
          <w:szCs w:val="24"/>
        </w:rPr>
        <w:t xml:space="preserve">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ambiguity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understanding of concepts and underlying principles associated with the subject area. Knowledge relates to the facts, information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critically evaluate evidence, arguments, assumptions, abstract concepts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 xml:space="preserve">escribe and comment upon </w:t>
      </w:r>
      <w:proofErr w:type="gramStart"/>
      <w:r w:rsidR="00FE5651" w:rsidRPr="00BB33F1">
        <w:rPr>
          <w:rFonts w:ascii="Arial" w:hAnsi="Arial" w:cs="Arial"/>
          <w:sz w:val="24"/>
          <w:szCs w:val="24"/>
        </w:rPr>
        <w:t>particular aspects</w:t>
      </w:r>
      <w:proofErr w:type="gramEnd"/>
      <w:r w:rsidR="00FE5651" w:rsidRPr="00BB33F1">
        <w:rPr>
          <w:rFonts w:ascii="Arial" w:hAnsi="Arial" w:cs="Arial"/>
          <w:sz w:val="24"/>
          <w:szCs w:val="24"/>
        </w:rPr>
        <w:t xml:space="preserve">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evaluation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w:t>
      </w:r>
      <w:proofErr w:type="gramStart"/>
      <w:r w:rsidR="00223997" w:rsidRPr="00876921">
        <w:rPr>
          <w:rFonts w:ascii="Arial" w:hAnsi="Arial" w:cs="Arial"/>
          <w:sz w:val="24"/>
          <w:szCs w:val="24"/>
        </w:rPr>
        <w:t>compare and contrast</w:t>
      </w:r>
      <w:proofErr w:type="gramEnd"/>
      <w:r w:rsidR="00223997" w:rsidRPr="00876921">
        <w:rPr>
          <w:rFonts w:ascii="Arial" w:hAnsi="Arial" w:cs="Arial"/>
          <w:sz w:val="24"/>
          <w:szCs w:val="24"/>
        </w:rPr>
        <w:t xml:space="preserve">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proofErr w:type="gramStart"/>
      <w:r w:rsidR="00223997">
        <w:rPr>
          <w:rFonts w:ascii="Arial" w:hAnsi="Arial" w:cs="Arial"/>
          <w:sz w:val="24"/>
          <w:szCs w:val="24"/>
        </w:rPr>
        <w:t>In order to</w:t>
      </w:r>
      <w:proofErr w:type="gramEnd"/>
      <w:r w:rsidR="00223997">
        <w:rPr>
          <w:rFonts w:ascii="Arial" w:hAnsi="Arial" w:cs="Arial"/>
          <w:sz w:val="24"/>
          <w:szCs w:val="24"/>
        </w:rPr>
        <w:t xml:space="preserve">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w:t>
      </w:r>
      <w:r w:rsidR="00D22D9C" w:rsidRPr="00BB33F1">
        <w:rPr>
          <w:rFonts w:ascii="Arial" w:hAnsi="Arial" w:cs="Arial"/>
          <w:sz w:val="24"/>
          <w:szCs w:val="24"/>
        </w:rPr>
        <w:lastRenderedPageBreak/>
        <w:t xml:space="preserve">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 xml:space="preserve">You should be able to frame appropriate questions to achieve a </w:t>
      </w:r>
      <w:proofErr w:type="gramStart"/>
      <w:r w:rsidRPr="00BB33F1">
        <w:rPr>
          <w:rFonts w:ascii="Arial" w:hAnsi="Arial" w:cs="Arial"/>
          <w:sz w:val="24"/>
          <w:szCs w:val="24"/>
        </w:rPr>
        <w:t>solution</w:t>
      </w:r>
      <w:r w:rsidR="008A244C">
        <w:rPr>
          <w:rFonts w:ascii="Arial" w:hAnsi="Arial" w:cs="Arial"/>
          <w:sz w:val="24"/>
          <w:szCs w:val="24"/>
        </w:rPr>
        <w:t>,</w:t>
      </w:r>
      <w:r w:rsidRPr="00BB33F1">
        <w:rPr>
          <w:rFonts w:ascii="Arial" w:hAnsi="Arial" w:cs="Arial"/>
          <w:sz w:val="24"/>
          <w:szCs w:val="24"/>
        </w:rPr>
        <w:t xml:space="preserve"> or</w:t>
      </w:r>
      <w:proofErr w:type="gramEnd"/>
      <w:r w:rsidRPr="00BB33F1">
        <w:rPr>
          <w:rFonts w:ascii="Arial" w:hAnsi="Arial" w:cs="Arial"/>
          <w:sz w:val="24"/>
          <w:szCs w:val="24"/>
        </w:rPr>
        <w:t xml:space="preserve">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w:t>
      </w:r>
      <w:proofErr w:type="gramStart"/>
      <w:r w:rsidR="00D22D9C" w:rsidRPr="00BB33F1">
        <w:rPr>
          <w:rFonts w:ascii="Arial" w:hAnsi="Arial" w:cs="Arial"/>
          <w:sz w:val="24"/>
          <w:szCs w:val="24"/>
        </w:rPr>
        <w:t>real world</w:t>
      </w:r>
      <w:proofErr w:type="gramEnd"/>
      <w:r w:rsidR="00D22D9C" w:rsidRPr="00BB33F1">
        <w:rPr>
          <w:rFonts w:ascii="Arial" w:hAnsi="Arial" w:cs="Arial"/>
          <w:sz w:val="24"/>
          <w:szCs w:val="24"/>
        </w:rPr>
        <w:t xml:space="preserve">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29"/>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C43E3" w14:textId="77777777" w:rsidR="00A644CD" w:rsidRDefault="00A644CD">
      <w:r>
        <w:separator/>
      </w:r>
    </w:p>
  </w:endnote>
  <w:endnote w:type="continuationSeparator" w:id="0">
    <w:p w14:paraId="27174C1A" w14:textId="77777777" w:rsidR="00A644CD" w:rsidRDefault="00A64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charset w:val="00"/>
    <w:family w:val="roman"/>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B9DD2" w14:textId="77777777" w:rsidR="00A644CD" w:rsidRDefault="00A644CD">
      <w:r>
        <w:separator/>
      </w:r>
    </w:p>
  </w:footnote>
  <w:footnote w:type="continuationSeparator" w:id="0">
    <w:p w14:paraId="2E9E15F8" w14:textId="77777777" w:rsidR="00A644CD" w:rsidRDefault="00A644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9"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2"/>
  </w:num>
  <w:num w:numId="3" w16cid:durableId="1578175724">
    <w:abstractNumId w:val="5"/>
  </w:num>
  <w:num w:numId="4" w16cid:durableId="53552124">
    <w:abstractNumId w:val="20"/>
  </w:num>
  <w:num w:numId="5" w16cid:durableId="2119255154">
    <w:abstractNumId w:val="37"/>
  </w:num>
  <w:num w:numId="6" w16cid:durableId="1725450029">
    <w:abstractNumId w:val="24"/>
  </w:num>
  <w:num w:numId="7" w16cid:durableId="1983003840">
    <w:abstractNumId w:val="15"/>
  </w:num>
  <w:num w:numId="8" w16cid:durableId="10373656">
    <w:abstractNumId w:val="36"/>
  </w:num>
  <w:num w:numId="9" w16cid:durableId="755319704">
    <w:abstractNumId w:val="8"/>
  </w:num>
  <w:num w:numId="10" w16cid:durableId="1424179786">
    <w:abstractNumId w:val="32"/>
  </w:num>
  <w:num w:numId="11" w16cid:durableId="831943490">
    <w:abstractNumId w:val="21"/>
  </w:num>
  <w:num w:numId="12" w16cid:durableId="1302154255">
    <w:abstractNumId w:val="10"/>
  </w:num>
  <w:num w:numId="13" w16cid:durableId="414934436">
    <w:abstractNumId w:val="11"/>
  </w:num>
  <w:num w:numId="14" w16cid:durableId="362249956">
    <w:abstractNumId w:val="18"/>
  </w:num>
  <w:num w:numId="15" w16cid:durableId="1183713407">
    <w:abstractNumId w:val="30"/>
  </w:num>
  <w:num w:numId="16" w16cid:durableId="1627194498">
    <w:abstractNumId w:val="9"/>
  </w:num>
  <w:num w:numId="17" w16cid:durableId="1840580208">
    <w:abstractNumId w:val="0"/>
  </w:num>
  <w:num w:numId="18" w16cid:durableId="29573890">
    <w:abstractNumId w:val="13"/>
  </w:num>
  <w:num w:numId="19" w16cid:durableId="764182036">
    <w:abstractNumId w:val="31"/>
  </w:num>
  <w:num w:numId="20" w16cid:durableId="1856722043">
    <w:abstractNumId w:val="6"/>
  </w:num>
  <w:num w:numId="21" w16cid:durableId="138884581">
    <w:abstractNumId w:val="19"/>
  </w:num>
  <w:num w:numId="22" w16cid:durableId="1695691322">
    <w:abstractNumId w:val="4"/>
  </w:num>
  <w:num w:numId="23" w16cid:durableId="2016614535">
    <w:abstractNumId w:val="23"/>
  </w:num>
  <w:num w:numId="24" w16cid:durableId="374278965">
    <w:abstractNumId w:val="28"/>
  </w:num>
  <w:num w:numId="25" w16cid:durableId="1630548914">
    <w:abstractNumId w:val="2"/>
  </w:num>
  <w:num w:numId="26" w16cid:durableId="1702318394">
    <w:abstractNumId w:val="35"/>
  </w:num>
  <w:num w:numId="27" w16cid:durableId="833841872">
    <w:abstractNumId w:val="7"/>
  </w:num>
  <w:num w:numId="28" w16cid:durableId="1983078696">
    <w:abstractNumId w:val="29"/>
  </w:num>
  <w:num w:numId="29" w16cid:durableId="904031192">
    <w:abstractNumId w:val="34"/>
  </w:num>
  <w:num w:numId="30" w16cid:durableId="1235048318">
    <w:abstractNumId w:val="26"/>
  </w:num>
  <w:num w:numId="31" w16cid:durableId="883755496">
    <w:abstractNumId w:val="17"/>
  </w:num>
  <w:num w:numId="32" w16cid:durableId="1992632995">
    <w:abstractNumId w:val="3"/>
  </w:num>
  <w:num w:numId="33" w16cid:durableId="778715602">
    <w:abstractNumId w:val="1"/>
  </w:num>
  <w:num w:numId="34" w16cid:durableId="241918611">
    <w:abstractNumId w:val="39"/>
  </w:num>
  <w:num w:numId="35" w16cid:durableId="205528449">
    <w:abstractNumId w:val="27"/>
  </w:num>
  <w:num w:numId="36" w16cid:durableId="2128575002">
    <w:abstractNumId w:val="25"/>
  </w:num>
  <w:num w:numId="37" w16cid:durableId="2136756521">
    <w:abstractNumId w:val="16"/>
  </w:num>
  <w:num w:numId="38" w16cid:durableId="1278441867">
    <w:abstractNumId w:val="12"/>
  </w:num>
  <w:num w:numId="39" w16cid:durableId="714550515">
    <w:abstractNumId w:val="33"/>
  </w:num>
  <w:num w:numId="40" w16cid:durableId="107991036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436FD"/>
    <w:rsid w:val="00043DA5"/>
    <w:rsid w:val="00043F77"/>
    <w:rsid w:val="00045D04"/>
    <w:rsid w:val="00061672"/>
    <w:rsid w:val="000704A8"/>
    <w:rsid w:val="000709AF"/>
    <w:rsid w:val="00072FB4"/>
    <w:rsid w:val="00076DAB"/>
    <w:rsid w:val="00080DAD"/>
    <w:rsid w:val="00080E5A"/>
    <w:rsid w:val="000822E5"/>
    <w:rsid w:val="00094B54"/>
    <w:rsid w:val="000971FC"/>
    <w:rsid w:val="000A2A3A"/>
    <w:rsid w:val="000A492A"/>
    <w:rsid w:val="000A5E72"/>
    <w:rsid w:val="000D2D4F"/>
    <w:rsid w:val="000D2F80"/>
    <w:rsid w:val="000D6464"/>
    <w:rsid w:val="000E1A24"/>
    <w:rsid w:val="000E2D4B"/>
    <w:rsid w:val="000E413A"/>
    <w:rsid w:val="000F3D24"/>
    <w:rsid w:val="000F5AA3"/>
    <w:rsid w:val="000F6AB4"/>
    <w:rsid w:val="00100396"/>
    <w:rsid w:val="00100B5C"/>
    <w:rsid w:val="00103507"/>
    <w:rsid w:val="001106E9"/>
    <w:rsid w:val="001112DA"/>
    <w:rsid w:val="00116072"/>
    <w:rsid w:val="00121308"/>
    <w:rsid w:val="00121929"/>
    <w:rsid w:val="001229A7"/>
    <w:rsid w:val="00123B45"/>
    <w:rsid w:val="00124CA5"/>
    <w:rsid w:val="00130080"/>
    <w:rsid w:val="00133F86"/>
    <w:rsid w:val="00134F77"/>
    <w:rsid w:val="00140825"/>
    <w:rsid w:val="00147EAD"/>
    <w:rsid w:val="00152E9D"/>
    <w:rsid w:val="00154487"/>
    <w:rsid w:val="00162C6C"/>
    <w:rsid w:val="00164CA3"/>
    <w:rsid w:val="00164D2A"/>
    <w:rsid w:val="00167487"/>
    <w:rsid w:val="00172BBC"/>
    <w:rsid w:val="0017512A"/>
    <w:rsid w:val="00183FF3"/>
    <w:rsid w:val="00190C4C"/>
    <w:rsid w:val="0019506F"/>
    <w:rsid w:val="00196958"/>
    <w:rsid w:val="001A1E39"/>
    <w:rsid w:val="001A24F3"/>
    <w:rsid w:val="001A3262"/>
    <w:rsid w:val="001A3E6C"/>
    <w:rsid w:val="001A7193"/>
    <w:rsid w:val="001B186C"/>
    <w:rsid w:val="001B1C1F"/>
    <w:rsid w:val="001B25DB"/>
    <w:rsid w:val="001B405C"/>
    <w:rsid w:val="001B4CA3"/>
    <w:rsid w:val="001B5F45"/>
    <w:rsid w:val="001C4588"/>
    <w:rsid w:val="001C5822"/>
    <w:rsid w:val="001C7253"/>
    <w:rsid w:val="001D660F"/>
    <w:rsid w:val="001D7892"/>
    <w:rsid w:val="001E1050"/>
    <w:rsid w:val="001E1E1F"/>
    <w:rsid w:val="001E2007"/>
    <w:rsid w:val="001E3624"/>
    <w:rsid w:val="001E57C1"/>
    <w:rsid w:val="001E6AF7"/>
    <w:rsid w:val="001F07EF"/>
    <w:rsid w:val="001F50B6"/>
    <w:rsid w:val="001F5C7C"/>
    <w:rsid w:val="001F6D7A"/>
    <w:rsid w:val="00201814"/>
    <w:rsid w:val="0020515B"/>
    <w:rsid w:val="00210000"/>
    <w:rsid w:val="00223997"/>
    <w:rsid w:val="0022746E"/>
    <w:rsid w:val="00234EDC"/>
    <w:rsid w:val="00235F71"/>
    <w:rsid w:val="00241C89"/>
    <w:rsid w:val="002444CA"/>
    <w:rsid w:val="00253E4A"/>
    <w:rsid w:val="00260DE6"/>
    <w:rsid w:val="00261D08"/>
    <w:rsid w:val="00263A71"/>
    <w:rsid w:val="002701BF"/>
    <w:rsid w:val="00270A8E"/>
    <w:rsid w:val="00273FEE"/>
    <w:rsid w:val="00277185"/>
    <w:rsid w:val="0028204E"/>
    <w:rsid w:val="002857F7"/>
    <w:rsid w:val="0028591B"/>
    <w:rsid w:val="00291841"/>
    <w:rsid w:val="002A26FE"/>
    <w:rsid w:val="002A79C7"/>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A0805"/>
    <w:rsid w:val="003A3CE5"/>
    <w:rsid w:val="003A4CC3"/>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54735"/>
    <w:rsid w:val="004548E5"/>
    <w:rsid w:val="0045760F"/>
    <w:rsid w:val="00470A38"/>
    <w:rsid w:val="00474229"/>
    <w:rsid w:val="004820D2"/>
    <w:rsid w:val="00482DD5"/>
    <w:rsid w:val="004874DE"/>
    <w:rsid w:val="004A3F8C"/>
    <w:rsid w:val="004A706A"/>
    <w:rsid w:val="004A70CC"/>
    <w:rsid w:val="004B5334"/>
    <w:rsid w:val="004B6C14"/>
    <w:rsid w:val="004B6C61"/>
    <w:rsid w:val="004C4F19"/>
    <w:rsid w:val="004C6546"/>
    <w:rsid w:val="004D5E9B"/>
    <w:rsid w:val="004D63D9"/>
    <w:rsid w:val="004E6585"/>
    <w:rsid w:val="004F2B19"/>
    <w:rsid w:val="0050249F"/>
    <w:rsid w:val="0050615D"/>
    <w:rsid w:val="005178CF"/>
    <w:rsid w:val="00524566"/>
    <w:rsid w:val="00524789"/>
    <w:rsid w:val="00524DB6"/>
    <w:rsid w:val="00530BEF"/>
    <w:rsid w:val="00531BDD"/>
    <w:rsid w:val="005329F1"/>
    <w:rsid w:val="00543B72"/>
    <w:rsid w:val="00547018"/>
    <w:rsid w:val="00550080"/>
    <w:rsid w:val="00552351"/>
    <w:rsid w:val="00555D46"/>
    <w:rsid w:val="00561CD4"/>
    <w:rsid w:val="00561F00"/>
    <w:rsid w:val="00562C4E"/>
    <w:rsid w:val="00562DEC"/>
    <w:rsid w:val="00562F69"/>
    <w:rsid w:val="005649E8"/>
    <w:rsid w:val="00571A71"/>
    <w:rsid w:val="00576AB4"/>
    <w:rsid w:val="00577917"/>
    <w:rsid w:val="00584BDE"/>
    <w:rsid w:val="00590667"/>
    <w:rsid w:val="00591084"/>
    <w:rsid w:val="00592635"/>
    <w:rsid w:val="00596779"/>
    <w:rsid w:val="005969E2"/>
    <w:rsid w:val="00597718"/>
    <w:rsid w:val="00597B17"/>
    <w:rsid w:val="005A1689"/>
    <w:rsid w:val="005A3BF7"/>
    <w:rsid w:val="005B61CD"/>
    <w:rsid w:val="005C569E"/>
    <w:rsid w:val="005D1D58"/>
    <w:rsid w:val="005D432C"/>
    <w:rsid w:val="005D6D15"/>
    <w:rsid w:val="005E285E"/>
    <w:rsid w:val="005E352B"/>
    <w:rsid w:val="005E56E8"/>
    <w:rsid w:val="005E6688"/>
    <w:rsid w:val="005E72F8"/>
    <w:rsid w:val="005F0579"/>
    <w:rsid w:val="005F258F"/>
    <w:rsid w:val="005F3A53"/>
    <w:rsid w:val="00604D46"/>
    <w:rsid w:val="006062A3"/>
    <w:rsid w:val="00610E08"/>
    <w:rsid w:val="00611777"/>
    <w:rsid w:val="00613938"/>
    <w:rsid w:val="006140BF"/>
    <w:rsid w:val="006161BE"/>
    <w:rsid w:val="006161FA"/>
    <w:rsid w:val="00620787"/>
    <w:rsid w:val="00625ADB"/>
    <w:rsid w:val="00631E40"/>
    <w:rsid w:val="00632434"/>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EA9"/>
    <w:rsid w:val="00691FBA"/>
    <w:rsid w:val="00692CA0"/>
    <w:rsid w:val="006934D4"/>
    <w:rsid w:val="00693B87"/>
    <w:rsid w:val="006A6DC3"/>
    <w:rsid w:val="006A713B"/>
    <w:rsid w:val="006C1480"/>
    <w:rsid w:val="006D49ED"/>
    <w:rsid w:val="006D55CE"/>
    <w:rsid w:val="006D637A"/>
    <w:rsid w:val="006D6B5E"/>
    <w:rsid w:val="006D6F24"/>
    <w:rsid w:val="006E39E1"/>
    <w:rsid w:val="006E3E4E"/>
    <w:rsid w:val="006E77AE"/>
    <w:rsid w:val="006F45BF"/>
    <w:rsid w:val="006F60E0"/>
    <w:rsid w:val="00702F71"/>
    <w:rsid w:val="00714182"/>
    <w:rsid w:val="007366DF"/>
    <w:rsid w:val="0074375B"/>
    <w:rsid w:val="0074546A"/>
    <w:rsid w:val="00751F64"/>
    <w:rsid w:val="00757839"/>
    <w:rsid w:val="0076406B"/>
    <w:rsid w:val="00764425"/>
    <w:rsid w:val="0076671F"/>
    <w:rsid w:val="00770C81"/>
    <w:rsid w:val="007750C6"/>
    <w:rsid w:val="007752A8"/>
    <w:rsid w:val="007756F0"/>
    <w:rsid w:val="00776D23"/>
    <w:rsid w:val="00791024"/>
    <w:rsid w:val="00793F0A"/>
    <w:rsid w:val="00794B03"/>
    <w:rsid w:val="00795507"/>
    <w:rsid w:val="007A1425"/>
    <w:rsid w:val="007A1B92"/>
    <w:rsid w:val="007A2657"/>
    <w:rsid w:val="007A4580"/>
    <w:rsid w:val="007C0EF8"/>
    <w:rsid w:val="007C5122"/>
    <w:rsid w:val="007C682C"/>
    <w:rsid w:val="007D2385"/>
    <w:rsid w:val="007D67AC"/>
    <w:rsid w:val="007E6F99"/>
    <w:rsid w:val="007F214F"/>
    <w:rsid w:val="007F301D"/>
    <w:rsid w:val="00800069"/>
    <w:rsid w:val="008042F0"/>
    <w:rsid w:val="00813752"/>
    <w:rsid w:val="0081729E"/>
    <w:rsid w:val="008310A0"/>
    <w:rsid w:val="008356A7"/>
    <w:rsid w:val="00835D29"/>
    <w:rsid w:val="00842E7F"/>
    <w:rsid w:val="008510CE"/>
    <w:rsid w:val="00852933"/>
    <w:rsid w:val="00852F63"/>
    <w:rsid w:val="00854D2B"/>
    <w:rsid w:val="008566E5"/>
    <w:rsid w:val="008566FE"/>
    <w:rsid w:val="00856C7F"/>
    <w:rsid w:val="00865B46"/>
    <w:rsid w:val="008668AA"/>
    <w:rsid w:val="0088736B"/>
    <w:rsid w:val="008912A8"/>
    <w:rsid w:val="00891489"/>
    <w:rsid w:val="00894D56"/>
    <w:rsid w:val="00896134"/>
    <w:rsid w:val="008A1754"/>
    <w:rsid w:val="008A244C"/>
    <w:rsid w:val="008A3E07"/>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6AF"/>
    <w:rsid w:val="00926D25"/>
    <w:rsid w:val="00926E9D"/>
    <w:rsid w:val="00932C6E"/>
    <w:rsid w:val="00933F10"/>
    <w:rsid w:val="009426AC"/>
    <w:rsid w:val="009433C5"/>
    <w:rsid w:val="009457F6"/>
    <w:rsid w:val="00945D23"/>
    <w:rsid w:val="009601B8"/>
    <w:rsid w:val="00965881"/>
    <w:rsid w:val="00976C4E"/>
    <w:rsid w:val="00977E57"/>
    <w:rsid w:val="0098358B"/>
    <w:rsid w:val="009838F2"/>
    <w:rsid w:val="009871FF"/>
    <w:rsid w:val="00990799"/>
    <w:rsid w:val="00991A4B"/>
    <w:rsid w:val="0099236D"/>
    <w:rsid w:val="00995D51"/>
    <w:rsid w:val="0099685E"/>
    <w:rsid w:val="009A0631"/>
    <w:rsid w:val="009A3FE8"/>
    <w:rsid w:val="009A4B66"/>
    <w:rsid w:val="009B10ED"/>
    <w:rsid w:val="009B5A04"/>
    <w:rsid w:val="009C5069"/>
    <w:rsid w:val="009C7067"/>
    <w:rsid w:val="009D236A"/>
    <w:rsid w:val="009D33B7"/>
    <w:rsid w:val="009D3EA4"/>
    <w:rsid w:val="009D649C"/>
    <w:rsid w:val="009E3DAB"/>
    <w:rsid w:val="009E4BC1"/>
    <w:rsid w:val="009F29A9"/>
    <w:rsid w:val="009F2D56"/>
    <w:rsid w:val="009F35F1"/>
    <w:rsid w:val="009F5CB2"/>
    <w:rsid w:val="00A0223F"/>
    <w:rsid w:val="00A03BB8"/>
    <w:rsid w:val="00A042D5"/>
    <w:rsid w:val="00A17FD5"/>
    <w:rsid w:val="00A22F7E"/>
    <w:rsid w:val="00A24221"/>
    <w:rsid w:val="00A25577"/>
    <w:rsid w:val="00A3505D"/>
    <w:rsid w:val="00A376E7"/>
    <w:rsid w:val="00A4036F"/>
    <w:rsid w:val="00A406E5"/>
    <w:rsid w:val="00A40CC9"/>
    <w:rsid w:val="00A4641C"/>
    <w:rsid w:val="00A50A26"/>
    <w:rsid w:val="00A55876"/>
    <w:rsid w:val="00A601B3"/>
    <w:rsid w:val="00A610E5"/>
    <w:rsid w:val="00A644CD"/>
    <w:rsid w:val="00A67FB1"/>
    <w:rsid w:val="00A8170F"/>
    <w:rsid w:val="00A85BFE"/>
    <w:rsid w:val="00AB2260"/>
    <w:rsid w:val="00AB6FE7"/>
    <w:rsid w:val="00AB7AD7"/>
    <w:rsid w:val="00AC5F32"/>
    <w:rsid w:val="00AC7970"/>
    <w:rsid w:val="00AD2430"/>
    <w:rsid w:val="00AE41A6"/>
    <w:rsid w:val="00AE7EF9"/>
    <w:rsid w:val="00AF0E34"/>
    <w:rsid w:val="00AF22A7"/>
    <w:rsid w:val="00AF2518"/>
    <w:rsid w:val="00AF271D"/>
    <w:rsid w:val="00AF56C2"/>
    <w:rsid w:val="00B004E6"/>
    <w:rsid w:val="00B03B2E"/>
    <w:rsid w:val="00B03B80"/>
    <w:rsid w:val="00B06408"/>
    <w:rsid w:val="00B0744D"/>
    <w:rsid w:val="00B12AAA"/>
    <w:rsid w:val="00B134B7"/>
    <w:rsid w:val="00B14E6D"/>
    <w:rsid w:val="00B1589A"/>
    <w:rsid w:val="00B27D09"/>
    <w:rsid w:val="00B431D9"/>
    <w:rsid w:val="00B50EA8"/>
    <w:rsid w:val="00B5206B"/>
    <w:rsid w:val="00B52895"/>
    <w:rsid w:val="00B64082"/>
    <w:rsid w:val="00B705AA"/>
    <w:rsid w:val="00B71132"/>
    <w:rsid w:val="00B72325"/>
    <w:rsid w:val="00B75BF2"/>
    <w:rsid w:val="00B81AD3"/>
    <w:rsid w:val="00B829D8"/>
    <w:rsid w:val="00B84B5B"/>
    <w:rsid w:val="00B86446"/>
    <w:rsid w:val="00B87922"/>
    <w:rsid w:val="00B904EF"/>
    <w:rsid w:val="00BA1176"/>
    <w:rsid w:val="00BA5A9C"/>
    <w:rsid w:val="00BB33F1"/>
    <w:rsid w:val="00BB5B3E"/>
    <w:rsid w:val="00BC09E9"/>
    <w:rsid w:val="00BC65BF"/>
    <w:rsid w:val="00BD178A"/>
    <w:rsid w:val="00BD30F1"/>
    <w:rsid w:val="00BD3646"/>
    <w:rsid w:val="00BE0B01"/>
    <w:rsid w:val="00BE568B"/>
    <w:rsid w:val="00BE6F22"/>
    <w:rsid w:val="00BE79C7"/>
    <w:rsid w:val="00BF3CB5"/>
    <w:rsid w:val="00C01A3F"/>
    <w:rsid w:val="00C01C87"/>
    <w:rsid w:val="00C04DA8"/>
    <w:rsid w:val="00C073F1"/>
    <w:rsid w:val="00C1285B"/>
    <w:rsid w:val="00C13242"/>
    <w:rsid w:val="00C1361B"/>
    <w:rsid w:val="00C14E1F"/>
    <w:rsid w:val="00C21745"/>
    <w:rsid w:val="00C21D0B"/>
    <w:rsid w:val="00C256F4"/>
    <w:rsid w:val="00C315AF"/>
    <w:rsid w:val="00C3486D"/>
    <w:rsid w:val="00C34B73"/>
    <w:rsid w:val="00C36D9A"/>
    <w:rsid w:val="00C409CC"/>
    <w:rsid w:val="00C43046"/>
    <w:rsid w:val="00C44A72"/>
    <w:rsid w:val="00C46618"/>
    <w:rsid w:val="00C53223"/>
    <w:rsid w:val="00C57F4C"/>
    <w:rsid w:val="00C606B3"/>
    <w:rsid w:val="00C61FC2"/>
    <w:rsid w:val="00C64DA0"/>
    <w:rsid w:val="00C6758F"/>
    <w:rsid w:val="00C705F9"/>
    <w:rsid w:val="00C7159A"/>
    <w:rsid w:val="00C80F0F"/>
    <w:rsid w:val="00C810CA"/>
    <w:rsid w:val="00C83851"/>
    <w:rsid w:val="00C8667A"/>
    <w:rsid w:val="00C86E67"/>
    <w:rsid w:val="00C93BCB"/>
    <w:rsid w:val="00C96F6D"/>
    <w:rsid w:val="00C970D0"/>
    <w:rsid w:val="00CA7CB2"/>
    <w:rsid w:val="00CC103C"/>
    <w:rsid w:val="00CC241A"/>
    <w:rsid w:val="00CC64A6"/>
    <w:rsid w:val="00CD1C26"/>
    <w:rsid w:val="00CE3F38"/>
    <w:rsid w:val="00CE4035"/>
    <w:rsid w:val="00CE65AB"/>
    <w:rsid w:val="00CF0E95"/>
    <w:rsid w:val="00CF4266"/>
    <w:rsid w:val="00D07335"/>
    <w:rsid w:val="00D11A80"/>
    <w:rsid w:val="00D22BAE"/>
    <w:rsid w:val="00D22D9C"/>
    <w:rsid w:val="00D241F1"/>
    <w:rsid w:val="00D275CB"/>
    <w:rsid w:val="00D30DFA"/>
    <w:rsid w:val="00D45F03"/>
    <w:rsid w:val="00D463A5"/>
    <w:rsid w:val="00D4710D"/>
    <w:rsid w:val="00D47D25"/>
    <w:rsid w:val="00D62ACD"/>
    <w:rsid w:val="00D821EE"/>
    <w:rsid w:val="00D87F93"/>
    <w:rsid w:val="00D933E1"/>
    <w:rsid w:val="00DA25B6"/>
    <w:rsid w:val="00DA2637"/>
    <w:rsid w:val="00DA36EE"/>
    <w:rsid w:val="00DB116D"/>
    <w:rsid w:val="00DB4FBC"/>
    <w:rsid w:val="00DB5B54"/>
    <w:rsid w:val="00DC64CF"/>
    <w:rsid w:val="00DD17CC"/>
    <w:rsid w:val="00DD49A1"/>
    <w:rsid w:val="00DD72D8"/>
    <w:rsid w:val="00DE217A"/>
    <w:rsid w:val="00DE34B0"/>
    <w:rsid w:val="00DE368B"/>
    <w:rsid w:val="00DE447B"/>
    <w:rsid w:val="00DE4747"/>
    <w:rsid w:val="00DE7F2B"/>
    <w:rsid w:val="00DF00D3"/>
    <w:rsid w:val="00DF20F4"/>
    <w:rsid w:val="00DF321B"/>
    <w:rsid w:val="00DF6E62"/>
    <w:rsid w:val="00E05287"/>
    <w:rsid w:val="00E073F4"/>
    <w:rsid w:val="00E230E0"/>
    <w:rsid w:val="00E51AAC"/>
    <w:rsid w:val="00E64572"/>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3908"/>
    <w:rsid w:val="00EB4F96"/>
    <w:rsid w:val="00EC0F5F"/>
    <w:rsid w:val="00EC1CDA"/>
    <w:rsid w:val="00EC4B77"/>
    <w:rsid w:val="00ED6EF8"/>
    <w:rsid w:val="00ED7072"/>
    <w:rsid w:val="00ED794E"/>
    <w:rsid w:val="00EE3132"/>
    <w:rsid w:val="00EE3B22"/>
    <w:rsid w:val="00EE3D9D"/>
    <w:rsid w:val="00EE45ED"/>
    <w:rsid w:val="00EE4A8D"/>
    <w:rsid w:val="00EE6F25"/>
    <w:rsid w:val="00EF55EF"/>
    <w:rsid w:val="00F003D9"/>
    <w:rsid w:val="00F02126"/>
    <w:rsid w:val="00F03656"/>
    <w:rsid w:val="00F03D85"/>
    <w:rsid w:val="00F05201"/>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6B5"/>
    <w:rsid w:val="00F67644"/>
    <w:rsid w:val="00F70ADD"/>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D34A3"/>
    <w:rsid w:val="00FD482A"/>
    <w:rsid w:val="00FD638A"/>
    <w:rsid w:val="00FD7AD6"/>
    <w:rsid w:val="00FE5651"/>
    <w:rsid w:val="00FE68CC"/>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08/jcp-07-2024-0064" TargetMode="External"/><Relationship Id="rId18" Type="http://schemas.openxmlformats.org/officeDocument/2006/relationships/hyperlink" Target="https://pmc.ncbi.nlm.nih.gov/articles/PMC4089972/?" TargetMode="External"/><Relationship Id="rId26" Type="http://schemas.openxmlformats.org/officeDocument/2006/relationships/hyperlink" Target="https://www.ethnicity-facts-figures.service.gov.uk/workforce-and-business/workforce-diversity/police-workforce/latest/" TargetMode="External"/><Relationship Id="rId3" Type="http://schemas.openxmlformats.org/officeDocument/2006/relationships/customXml" Target="../customXml/item3.xml"/><Relationship Id="rId21" Type="http://schemas.openxmlformats.org/officeDocument/2006/relationships/hyperlink" Target="https://www.bing.com/search?q=Scrutiny+of+police+shootings+deters+would-be+firearms+officers&amp;cvid=83dc37658f584962bfb1eed3043efd6c&amp;gs_lcrp=EgRlZGdlKgYIABBFGDkyBggAEEUYOTIICAEQ6QcY_FXSAQczNDRqMGo0qAIIsAIB&amp;FORM=ANAB01&amp;PC=U531" TargetMode="External"/><Relationship Id="rId7" Type="http://schemas.openxmlformats.org/officeDocument/2006/relationships/webSettings" Target="webSettings.xml"/><Relationship Id="rId12" Type="http://schemas.openxmlformats.org/officeDocument/2006/relationships/hyperlink" Target="https://ifs.org.uk/publications/health-impacts-sure-start" TargetMode="External"/><Relationship Id="rId17" Type="http://schemas.openxmlformats.org/officeDocument/2006/relationships/hyperlink" Target="https://www.eif.org.uk/report/the-cost-of-late-intervention-eif-analysis-2016" TargetMode="External"/><Relationship Id="rId25" Type="http://schemas.openxmlformats.org/officeDocument/2006/relationships/hyperlink" Target="https://www.ethnicity-facts-figures.service.gov.uk/workforce-and-business/workforce-diversity/police-workforce/latest/" TargetMode="External"/><Relationship Id="rId2" Type="http://schemas.openxmlformats.org/officeDocument/2006/relationships/customXml" Target="../customXml/item2.xml"/><Relationship Id="rId16" Type="http://schemas.openxmlformats.org/officeDocument/2006/relationships/hyperlink" Target="https://www.bing.com/search?q=Dathan%2C+M.+(2025)+Prevent+scheme+&#8216;fails+to+tackle+terrorism+funded+by+organised+crime&#8217;%2C+Thetimes.com&amp;cvid=dd1a0771c2f34e7580f5c66695f4e5c5&amp;gs_lcrp=EgRlZGdlKgYIABBFGDkyBggAEEUYOTIICAEQ6QcY_FXSAQczNjZqMGo0qAIIsAIB&amp;FORM=ANAB01&amp;PC=U531" TargetMode="External"/><Relationship Id="rId20" Type="http://schemas.openxmlformats.org/officeDocument/2006/relationships/hyperlink" Target="https://www.pressreader.com/usa/the-guardian-usa/20250118/28260026854002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ov.uk/government/publications/serious-and-organised-crime-local-profiles" TargetMode="External"/><Relationship Id="rId5" Type="http://schemas.openxmlformats.org/officeDocument/2006/relationships/styles" Target="styles.xml"/><Relationship Id="rId15" Type="http://schemas.openxmlformats.org/officeDocument/2006/relationships/hyperlink" Target="https://www.thetimes.com/uk/crime/article/police-officers-week-off-year-mental-health-crisis-crime-justice-commission-wwztpn8zb?msockid=1f8f68e25311609930a47cbb52f16167" TargetMode="External"/><Relationship Id="rId23" Type="http://schemas.openxmlformats.org/officeDocument/2006/relationships/hyperlink" Target="https://www.bing.com/search?q=police%20chief%20declared%20her-force-institutionally-racist-says-culturethe%20guardian&amp;qs=n&amp;form=QBRE&amp;sp=-1&amp;lq=0&amp;pq=police%20chief%20declared%20her-force-institutionally-racist-says-culturethe%20guardian&amp;sc=0-79&amp;sk=&amp;cvid=BC9BDFD4E1394F86AA3B0C1501CC545D" TargetMode="External"/><Relationship Id="rId28" Type="http://schemas.openxmlformats.org/officeDocument/2006/relationships/hyperlink" Target="https://whelf-uwtsd.alma.exlibrisgroup.com/leganto/public/44WHELF_UWTSD/lists/7628572900002421?auth=SAML" TargetMode="External"/><Relationship Id="rId10" Type="http://schemas.openxmlformats.org/officeDocument/2006/relationships/image" Target="media/image1.png"/><Relationship Id="rId19" Type="http://schemas.openxmlformats.org/officeDocument/2006/relationships/hyperlink" Target="https://www.governmentevents.co.uk/ge-insights/6-key-strategies-progressing-edi-in-the-uk-police-force/"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peoplepopulationandcommunity/crimeandjustice/articles/crimeinenglandandwalesvictimcharacteristics/yearendingmarch2023" TargetMode="External"/><Relationship Id="rId22" Type="http://schemas.openxmlformats.org/officeDocument/2006/relationships/hyperlink" Target="https://www.gov.uk/government/publications/inclusive-britain-update-report" TargetMode="External"/><Relationship Id="rId27" Type="http://schemas.openxmlformats.org/officeDocument/2006/relationships/hyperlink" Target="https://www.gov.scot/publications/community-experiences-serious-organised-crime-scotland/"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21</Pages>
  <Words>10908</Words>
  <Characters>62179</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Jones,Lauryn swp8797</cp:lastModifiedBy>
  <cp:revision>3</cp:revision>
  <cp:lastPrinted>2014-10-10T07:42:00Z</cp:lastPrinted>
  <dcterms:created xsi:type="dcterms:W3CDTF">2025-05-26T12:21:00Z</dcterms:created>
  <dcterms:modified xsi:type="dcterms:W3CDTF">2025-05-26T12:22:00Z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2025-05-26T12:01:30Z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f0f89288-e6df-4d42-9db8-fd51b2db47da</vt:lpwstr>
  </property>
  <property fmtid="{D5CDD505-2E9C-101B-9397-08002B2CF9AE}" pid="12" name="MSIP_Label_66cf8fe5-b7b7-4df7-b38d-1c61ac2f6639_ContentBits">
    <vt:lpwstr>0</vt:lpwstr>
  </property>
  <property fmtid="{D5CDD505-2E9C-101B-9397-08002B2CF9AE}" pid="13" name="MSIP_Label_66cf8fe5-b7b7-4df7-b38d-1c61ac2f6639_Tag">
    <vt:lpwstr>10, 3, 0, 1</vt:lpwstr>
  </property>
</Properties>
</file>