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30386" w14:textId="77777777" w:rsidR="00203F90" w:rsidRDefault="00203F90" w:rsidP="00203F90"/>
    <w:p w14:paraId="0B3D811A" w14:textId="624D50D6" w:rsidR="00375F27" w:rsidRPr="00203F90" w:rsidRDefault="003B6BCB" w:rsidP="00203F90">
      <w:pPr>
        <w:jc w:val="center"/>
        <w:rPr>
          <w:rFonts w:ascii="Times New Roman" w:hAnsi="Times New Roman" w:cs="Times New Roman"/>
          <w:sz w:val="40"/>
          <w:szCs w:val="40"/>
        </w:rPr>
      </w:pPr>
      <w:r w:rsidRPr="00203F90">
        <w:rPr>
          <w:rFonts w:ascii="Times New Roman" w:hAnsi="Times New Roman" w:cs="Times New Roman"/>
          <w:sz w:val="40"/>
          <w:szCs w:val="40"/>
        </w:rPr>
        <w:t>Diana Arsenii</w:t>
      </w:r>
    </w:p>
    <w:p w14:paraId="65C86B6F" w14:textId="5F5C4C91" w:rsidR="00375F27" w:rsidRPr="00203F90" w:rsidRDefault="003B6BCB" w:rsidP="00203F90">
      <w:pPr>
        <w:jc w:val="center"/>
        <w:rPr>
          <w:rFonts w:ascii="Times New Roman" w:hAnsi="Times New Roman" w:cs="Times New Roman"/>
          <w:sz w:val="40"/>
          <w:szCs w:val="40"/>
        </w:rPr>
      </w:pPr>
      <w:r w:rsidRPr="00203F90">
        <w:rPr>
          <w:rFonts w:ascii="Times New Roman" w:hAnsi="Times New Roman" w:cs="Times New Roman"/>
          <w:sz w:val="40"/>
          <w:szCs w:val="40"/>
        </w:rPr>
        <w:t>2115683</w:t>
      </w:r>
    </w:p>
    <w:p w14:paraId="6E5BEE45" w14:textId="77777777" w:rsidR="00203F90" w:rsidRDefault="00203F90" w:rsidP="00203F90">
      <w:pPr>
        <w:jc w:val="center"/>
        <w:rPr>
          <w:rFonts w:ascii="Times New Roman" w:hAnsi="Times New Roman" w:cs="Times New Roman"/>
          <w:sz w:val="24"/>
          <w:szCs w:val="24"/>
        </w:rPr>
      </w:pPr>
    </w:p>
    <w:p w14:paraId="7ED5D39A" w14:textId="77777777" w:rsidR="00203F90" w:rsidRDefault="00203F90" w:rsidP="00203F90">
      <w:pPr>
        <w:jc w:val="center"/>
        <w:rPr>
          <w:rFonts w:ascii="Times New Roman" w:hAnsi="Times New Roman" w:cs="Times New Roman"/>
          <w:sz w:val="24"/>
          <w:szCs w:val="24"/>
        </w:rPr>
      </w:pPr>
    </w:p>
    <w:p w14:paraId="32340E1A" w14:textId="77777777" w:rsidR="00203F90" w:rsidRDefault="00203F90" w:rsidP="00203F90">
      <w:pPr>
        <w:jc w:val="center"/>
        <w:rPr>
          <w:rFonts w:ascii="Times New Roman" w:hAnsi="Times New Roman" w:cs="Times New Roman"/>
          <w:sz w:val="24"/>
          <w:szCs w:val="24"/>
        </w:rPr>
      </w:pPr>
    </w:p>
    <w:p w14:paraId="35663E18" w14:textId="77777777" w:rsidR="00203F90" w:rsidRDefault="00203F90" w:rsidP="00203F90">
      <w:pPr>
        <w:jc w:val="center"/>
        <w:rPr>
          <w:rFonts w:ascii="Times New Roman" w:hAnsi="Times New Roman" w:cs="Times New Roman"/>
          <w:sz w:val="24"/>
          <w:szCs w:val="24"/>
        </w:rPr>
      </w:pPr>
    </w:p>
    <w:p w14:paraId="083D43DB" w14:textId="77777777" w:rsidR="00203F90" w:rsidRDefault="00203F90" w:rsidP="00203F90">
      <w:pPr>
        <w:jc w:val="center"/>
        <w:rPr>
          <w:rFonts w:ascii="Times New Roman" w:hAnsi="Times New Roman" w:cs="Times New Roman"/>
          <w:sz w:val="24"/>
          <w:szCs w:val="24"/>
        </w:rPr>
      </w:pPr>
    </w:p>
    <w:p w14:paraId="6A53A90B" w14:textId="77777777" w:rsidR="00203F90" w:rsidRDefault="00203F90" w:rsidP="00203F90">
      <w:pPr>
        <w:jc w:val="center"/>
        <w:rPr>
          <w:rFonts w:ascii="Times New Roman" w:hAnsi="Times New Roman" w:cs="Times New Roman"/>
          <w:sz w:val="24"/>
          <w:szCs w:val="24"/>
        </w:rPr>
      </w:pPr>
    </w:p>
    <w:p w14:paraId="6FF38DD9" w14:textId="3EB53315" w:rsidR="00375F27" w:rsidRPr="00203F90" w:rsidRDefault="00203F90" w:rsidP="00203F90">
      <w:pPr>
        <w:jc w:val="center"/>
        <w:rPr>
          <w:rFonts w:ascii="Times New Roman" w:hAnsi="Times New Roman" w:cs="Times New Roman"/>
          <w:sz w:val="48"/>
          <w:szCs w:val="48"/>
        </w:rPr>
      </w:pPr>
      <w:r w:rsidRPr="00203F90">
        <w:rPr>
          <w:rFonts w:ascii="Times New Roman" w:hAnsi="Times New Roman" w:cs="Times New Roman"/>
          <w:sz w:val="48"/>
          <w:szCs w:val="48"/>
        </w:rPr>
        <w:t>Community  Engagement</w:t>
      </w:r>
    </w:p>
    <w:p w14:paraId="09112BB4" w14:textId="72C65CCC" w:rsidR="00375F27" w:rsidRPr="00203F90" w:rsidRDefault="00375F27" w:rsidP="00203F90">
      <w:pPr>
        <w:jc w:val="center"/>
        <w:rPr>
          <w:sz w:val="40"/>
          <w:szCs w:val="40"/>
        </w:rPr>
      </w:pPr>
    </w:p>
    <w:p w14:paraId="107B0C09" w14:textId="77777777" w:rsidR="00E157D7" w:rsidRDefault="00E157D7" w:rsidP="00203F90">
      <w:pPr>
        <w:jc w:val="center"/>
        <w:rPr>
          <w:sz w:val="40"/>
          <w:szCs w:val="40"/>
        </w:rPr>
      </w:pPr>
    </w:p>
    <w:p w14:paraId="6911EBC2" w14:textId="320BF9CD" w:rsidR="00203F90" w:rsidRPr="00203F90" w:rsidRDefault="00203F90" w:rsidP="00203F90">
      <w:pPr>
        <w:jc w:val="center"/>
        <w:rPr>
          <w:rFonts w:ascii="Times New Roman" w:hAnsi="Times New Roman" w:cs="Times New Roman"/>
          <w:sz w:val="36"/>
          <w:szCs w:val="36"/>
        </w:rPr>
      </w:pPr>
      <w:r w:rsidRPr="00203F90">
        <w:rPr>
          <w:rFonts w:ascii="Times New Roman" w:hAnsi="Times New Roman" w:cs="Times New Roman"/>
          <w:sz w:val="36"/>
          <w:szCs w:val="36"/>
        </w:rPr>
        <w:t>Molly Jack</w:t>
      </w:r>
    </w:p>
    <w:p w14:paraId="42D769CC" w14:textId="77777777" w:rsidR="00E157D7" w:rsidRDefault="00E157D7" w:rsidP="00203F90">
      <w:pPr>
        <w:jc w:val="center"/>
        <w:rPr>
          <w:rFonts w:ascii="Times New Roman" w:hAnsi="Times New Roman" w:cs="Times New Roman"/>
          <w:sz w:val="36"/>
          <w:szCs w:val="36"/>
        </w:rPr>
      </w:pPr>
    </w:p>
    <w:p w14:paraId="484B7742" w14:textId="77777777" w:rsidR="00E157D7" w:rsidRDefault="00E157D7" w:rsidP="00203F90">
      <w:pPr>
        <w:jc w:val="center"/>
        <w:rPr>
          <w:rFonts w:ascii="Times New Roman" w:hAnsi="Times New Roman" w:cs="Times New Roman"/>
          <w:sz w:val="36"/>
          <w:szCs w:val="36"/>
        </w:rPr>
      </w:pPr>
    </w:p>
    <w:p w14:paraId="147308CB" w14:textId="77777777" w:rsidR="00E157D7" w:rsidRDefault="00E157D7" w:rsidP="00203F90">
      <w:pPr>
        <w:jc w:val="center"/>
        <w:rPr>
          <w:rFonts w:ascii="Times New Roman" w:hAnsi="Times New Roman" w:cs="Times New Roman"/>
          <w:sz w:val="36"/>
          <w:szCs w:val="36"/>
        </w:rPr>
      </w:pPr>
    </w:p>
    <w:p w14:paraId="53426B00" w14:textId="77777777" w:rsidR="00E157D7" w:rsidRDefault="00E157D7" w:rsidP="00203F90">
      <w:pPr>
        <w:jc w:val="center"/>
        <w:rPr>
          <w:rFonts w:ascii="Times New Roman" w:hAnsi="Times New Roman" w:cs="Times New Roman"/>
          <w:sz w:val="36"/>
          <w:szCs w:val="36"/>
        </w:rPr>
      </w:pPr>
    </w:p>
    <w:p w14:paraId="142D220A" w14:textId="77777777" w:rsidR="00E157D7" w:rsidRDefault="00E157D7" w:rsidP="00203F90">
      <w:pPr>
        <w:jc w:val="center"/>
        <w:rPr>
          <w:rFonts w:ascii="Times New Roman" w:hAnsi="Times New Roman" w:cs="Times New Roman"/>
          <w:sz w:val="36"/>
          <w:szCs w:val="36"/>
        </w:rPr>
      </w:pPr>
    </w:p>
    <w:p w14:paraId="13802F66" w14:textId="77777777" w:rsidR="00E157D7" w:rsidRDefault="00E157D7" w:rsidP="00203F90">
      <w:pPr>
        <w:jc w:val="center"/>
        <w:rPr>
          <w:rFonts w:ascii="Times New Roman" w:hAnsi="Times New Roman" w:cs="Times New Roman"/>
          <w:sz w:val="36"/>
          <w:szCs w:val="36"/>
        </w:rPr>
      </w:pPr>
    </w:p>
    <w:p w14:paraId="6F8E4EC2" w14:textId="37A7087D" w:rsidR="00203F90" w:rsidRPr="00203F90" w:rsidRDefault="00203F90" w:rsidP="00203F90">
      <w:pPr>
        <w:jc w:val="center"/>
        <w:rPr>
          <w:rFonts w:ascii="Times New Roman" w:hAnsi="Times New Roman" w:cs="Times New Roman"/>
          <w:sz w:val="36"/>
          <w:szCs w:val="36"/>
        </w:rPr>
      </w:pPr>
      <w:r w:rsidRPr="00203F90">
        <w:rPr>
          <w:rFonts w:ascii="Times New Roman" w:hAnsi="Times New Roman" w:cs="Times New Roman"/>
          <w:sz w:val="36"/>
          <w:szCs w:val="36"/>
        </w:rPr>
        <w:t>LCBB4002</w:t>
      </w:r>
    </w:p>
    <w:p w14:paraId="222DA65F" w14:textId="77777777" w:rsidR="00E157D7" w:rsidRDefault="00E157D7" w:rsidP="00375F27">
      <w:pPr>
        <w:jc w:val="center"/>
        <w:rPr>
          <w:sz w:val="28"/>
          <w:szCs w:val="28"/>
        </w:rPr>
      </w:pPr>
    </w:p>
    <w:p w14:paraId="1F964E8C" w14:textId="069B7932" w:rsidR="00375F27" w:rsidRPr="00E157D7" w:rsidRDefault="00E157D7" w:rsidP="00375F27">
      <w:pPr>
        <w:jc w:val="center"/>
        <w:rPr>
          <w:sz w:val="28"/>
          <w:szCs w:val="28"/>
        </w:rPr>
      </w:pPr>
      <w:r w:rsidRPr="00E157D7">
        <w:rPr>
          <w:sz w:val="28"/>
          <w:szCs w:val="28"/>
        </w:rPr>
        <w:t>0</w:t>
      </w:r>
      <w:r w:rsidR="002C136D">
        <w:rPr>
          <w:sz w:val="28"/>
          <w:szCs w:val="28"/>
        </w:rPr>
        <w:t>5</w:t>
      </w:r>
      <w:r w:rsidRPr="00E157D7">
        <w:rPr>
          <w:sz w:val="28"/>
          <w:szCs w:val="28"/>
        </w:rPr>
        <w:t>/2022</w:t>
      </w:r>
    </w:p>
    <w:p w14:paraId="5DC24EF3" w14:textId="7DA90B30" w:rsidR="00375F27" w:rsidRPr="00375F27" w:rsidRDefault="00D73C71" w:rsidP="0068092E">
      <w:pPr>
        <w:pStyle w:val="Titlu1"/>
        <w:spacing w:line="360" w:lineRule="auto"/>
        <w:jc w:val="both"/>
        <w:rPr>
          <w:rFonts w:ascii="Times New Roman" w:hAnsi="Times New Roman" w:cs="Times New Roman"/>
          <w:b/>
          <w:bCs/>
        </w:rPr>
      </w:pPr>
      <w:r w:rsidRPr="00375F27">
        <w:rPr>
          <w:rFonts w:ascii="Times New Roman" w:hAnsi="Times New Roman" w:cs="Times New Roman"/>
          <w:b/>
          <w:bCs/>
        </w:rPr>
        <w:lastRenderedPageBreak/>
        <w:t xml:space="preserve">1.0 Introduction </w:t>
      </w:r>
    </w:p>
    <w:p w14:paraId="74F645F3" w14:textId="6A7C1546" w:rsidR="00375F27" w:rsidRDefault="00BB6F8C" w:rsidP="0068092E">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D73C71" w:rsidRPr="00F51E8D">
        <w:rPr>
          <w:rFonts w:ascii="Times New Roman" w:hAnsi="Times New Roman" w:cs="Times New Roman"/>
          <w:sz w:val="24"/>
          <w:szCs w:val="24"/>
        </w:rPr>
        <w:t xml:space="preserve">Community engagement is a strategic process with the specific goal of working with identified groups of people, </w:t>
      </w:r>
      <w:r w:rsidR="00D73C71" w:rsidRPr="00706744">
        <w:rPr>
          <w:rFonts w:ascii="Times New Roman" w:hAnsi="Times New Roman" w:cs="Times New Roman"/>
          <w:sz w:val="24"/>
          <w:szCs w:val="24"/>
        </w:rPr>
        <w:t>whether they are connected by geographic location, a particular interest, or affiliation, to identify and address issues affecting their well-being. It is important to note that community engagement is not the same as participation in a political campaign. As a result of connecting the terms community and engagement, the scope is widened, with the emphasis moving from the person to the group</w:t>
      </w:r>
      <w:r>
        <w:rPr>
          <w:rFonts w:ascii="Times New Roman" w:hAnsi="Times New Roman" w:cs="Times New Roman"/>
          <w:sz w:val="24"/>
          <w:szCs w:val="24"/>
        </w:rPr>
        <w:t>”</w:t>
      </w:r>
      <w:r w:rsidR="00706744" w:rsidRPr="00706744">
        <w:rPr>
          <w:rFonts w:ascii="Times New Roman" w:hAnsi="Times New Roman" w:cs="Times New Roman"/>
          <w:sz w:val="24"/>
          <w:szCs w:val="24"/>
        </w:rPr>
        <w:t xml:space="preserve"> (Hart &amp; Northmore, 2010)</w:t>
      </w:r>
      <w:r w:rsidR="00D73C71" w:rsidRPr="00706744">
        <w:rPr>
          <w:rFonts w:ascii="Times New Roman" w:hAnsi="Times New Roman" w:cs="Times New Roman"/>
          <w:sz w:val="24"/>
          <w:szCs w:val="24"/>
        </w:rPr>
        <w:t xml:space="preserve">. It has consequences for inclusion, </w:t>
      </w:r>
      <w:r>
        <w:rPr>
          <w:rFonts w:ascii="Times New Roman" w:hAnsi="Times New Roman" w:cs="Times New Roman"/>
          <w:sz w:val="24"/>
          <w:szCs w:val="24"/>
        </w:rPr>
        <w:t>“</w:t>
      </w:r>
      <w:r w:rsidR="00D73C71" w:rsidRPr="00706744">
        <w:rPr>
          <w:rFonts w:ascii="Times New Roman" w:hAnsi="Times New Roman" w:cs="Times New Roman"/>
          <w:sz w:val="24"/>
          <w:szCs w:val="24"/>
        </w:rPr>
        <w:t>which ensures that the variety within every community is taken into account. Putting community engagement into practice is a fusion of science and art.</w:t>
      </w:r>
      <w:r w:rsidR="00D73C71" w:rsidRPr="00F51E8D">
        <w:rPr>
          <w:rFonts w:ascii="Times New Roman" w:hAnsi="Times New Roman" w:cs="Times New Roman"/>
          <w:sz w:val="24"/>
          <w:szCs w:val="24"/>
        </w:rPr>
        <w:t xml:space="preserve"> Sociology, public policy, political science, cultural anthropology, organizational development, psychology, social psychology, and other disciplines contribute to the scientific understanding of the world. It also derives from organizational notions derived from the literature on community engagement, community </w:t>
      </w:r>
      <w:r w:rsidR="00D73C71" w:rsidRPr="008E6285">
        <w:rPr>
          <w:rFonts w:ascii="Times New Roman" w:hAnsi="Times New Roman" w:cs="Times New Roman"/>
          <w:sz w:val="24"/>
          <w:szCs w:val="24"/>
        </w:rPr>
        <w:t>development, constituency building, and community psychology, as well as from community psychology research</w:t>
      </w:r>
      <w:r>
        <w:rPr>
          <w:rFonts w:ascii="Times New Roman" w:hAnsi="Times New Roman" w:cs="Times New Roman"/>
          <w:sz w:val="24"/>
          <w:szCs w:val="24"/>
        </w:rPr>
        <w:t>”</w:t>
      </w:r>
      <w:r w:rsidR="008E6285" w:rsidRPr="008E6285">
        <w:rPr>
          <w:rFonts w:ascii="Times New Roman" w:hAnsi="Times New Roman" w:cs="Times New Roman"/>
          <w:sz w:val="24"/>
          <w:szCs w:val="24"/>
        </w:rPr>
        <w:t xml:space="preserve"> (What Is Community Engagement, n.d.)</w:t>
      </w:r>
      <w:r w:rsidR="00AC690F" w:rsidRPr="008E6285">
        <w:rPr>
          <w:rFonts w:ascii="Times New Roman" w:hAnsi="Times New Roman" w:cs="Times New Roman"/>
          <w:sz w:val="24"/>
          <w:szCs w:val="24"/>
        </w:rPr>
        <w:t>.</w:t>
      </w:r>
    </w:p>
    <w:p w14:paraId="792CB522" w14:textId="1BC76737" w:rsidR="00451E74" w:rsidRDefault="00D73C71" w:rsidP="0068092E">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t>The paper examines the LSE community involvement program, which encourages students to make a difference in the communities of the United Kingdom by working in groups to address challenges that charities are dealing with at the time. Each team is given a project brief, and during the first ten weeks of the year 2022, they will have an incredible chance to put their abilities to work to come up with a solution. It is a component of the Civic Engagement strand of Student Futures and assists students in exploring various avenues for making a difference in their communities</w:t>
      </w:r>
      <w:r>
        <w:rPr>
          <w:rFonts w:ascii="Times New Roman" w:hAnsi="Times New Roman" w:cs="Times New Roman"/>
          <w:sz w:val="24"/>
          <w:szCs w:val="24"/>
        </w:rPr>
        <w:t>.</w:t>
      </w:r>
    </w:p>
    <w:p w14:paraId="5596E8E4" w14:textId="0D05CB7B" w:rsidR="00451E74" w:rsidRDefault="00D73C71" w:rsidP="0068092E">
      <w:pPr>
        <w:pStyle w:val="Titlu1"/>
        <w:spacing w:line="360" w:lineRule="auto"/>
        <w:jc w:val="both"/>
        <w:rPr>
          <w:rFonts w:ascii="Times New Roman" w:hAnsi="Times New Roman" w:cs="Times New Roman"/>
          <w:b/>
          <w:bCs/>
        </w:rPr>
      </w:pPr>
      <w:r w:rsidRPr="00451E74">
        <w:rPr>
          <w:rFonts w:ascii="Times New Roman" w:hAnsi="Times New Roman" w:cs="Times New Roman"/>
          <w:b/>
          <w:bCs/>
        </w:rPr>
        <w:t>2.0 Description of project</w:t>
      </w:r>
    </w:p>
    <w:p w14:paraId="325BF0BF" w14:textId="5AA609BC" w:rsidR="00451E74" w:rsidRDefault="00D73C71" w:rsidP="0068092E">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t>The LSE Community Engagement Program provides students with the opportunity to make a difference in their communities by forming teams to address challenges that charities are dealing with daily. Each team is given a project brief, and over the first ten weeks of the Lent Term 2022, they will have an incredible chance to put their knowledge and abilities to work to come up with a solution. The program is a component of Student Futures' Civic Engagement strand, encouraging students to experiment with various methods to make a difference</w:t>
      </w:r>
      <w:r w:rsidRPr="001F2134">
        <w:rPr>
          <w:rFonts w:ascii="Times New Roman" w:hAnsi="Times New Roman" w:cs="Times New Roman"/>
          <w:sz w:val="24"/>
          <w:szCs w:val="24"/>
        </w:rPr>
        <w:t>.</w:t>
      </w:r>
    </w:p>
    <w:p w14:paraId="2ED0558D" w14:textId="7D30E127" w:rsidR="00565ECC" w:rsidRDefault="00D73C71" w:rsidP="0068092E">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lastRenderedPageBreak/>
        <w:t>The expertise, talent, and sensitivity required to use and modify the science in appropriate ways for the community and the goals of particular engagement activities are what distinguishes art from science. Even though the outcomes of various initiatives are defined differently and might involve a wide variety of structures (e.g., coalitions, partnerships, and collaborations), they all fall under the general banner of community engagement and are handled similarly in our talks. Community participation may be time-consuming and labour-intensive, necessitating allocating specialized resources such as time, money, and people with the requisite qualifications. Across the United Kingdom, and indeed in many parts of the globe, citizens and leaders struggle to make the best decisions for the communities and problems they are concerned with. It is especially true in rural areas. For efficient strategy development and implementation, a thorough understanding of the best tools, approaches, and information available is essential</w:t>
      </w:r>
      <w:r w:rsidRPr="00AC690F">
        <w:rPr>
          <w:rFonts w:ascii="Times New Roman" w:hAnsi="Times New Roman" w:cs="Times New Roman"/>
          <w:sz w:val="24"/>
          <w:szCs w:val="24"/>
        </w:rPr>
        <w:t>.</w:t>
      </w:r>
    </w:p>
    <w:p w14:paraId="21D4C644" w14:textId="1E2DA3A7" w:rsidR="001F2134" w:rsidRPr="001F2134" w:rsidRDefault="00D73C71" w:rsidP="0068092E">
      <w:pPr>
        <w:pStyle w:val="Titlu2"/>
        <w:spacing w:line="360" w:lineRule="auto"/>
        <w:jc w:val="both"/>
        <w:rPr>
          <w:rFonts w:ascii="Times New Roman" w:hAnsi="Times New Roman" w:cs="Times New Roman"/>
          <w:b/>
          <w:bCs/>
        </w:rPr>
      </w:pPr>
      <w:r w:rsidRPr="001F2134">
        <w:rPr>
          <w:rFonts w:ascii="Times New Roman" w:hAnsi="Times New Roman" w:cs="Times New Roman"/>
          <w:b/>
          <w:bCs/>
        </w:rPr>
        <w:t xml:space="preserve">2.1 Reason for this project </w:t>
      </w:r>
    </w:p>
    <w:p w14:paraId="514D0FD6" w14:textId="312A784D" w:rsidR="001F2134" w:rsidRDefault="00D73C71" w:rsidP="0068092E">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t>Student involvement in their community via a sponsored project is the driving force for establishing this program. Students who have never volunteered before will find this program an excellent way to become active in their neighbourhoods. As a result of the exceptional research, consulting, and other abilities that our students have acquired and are developing at the LSE, I am sure that our charity partners will benefit from our efforts. I am also confident that this opportunity will provide our students with the opportunity to learn new skills, meet new people, improve their CV, enrich their experience of studying at the LSE, and create contacts that will be useful in guiding them through their future professional lives. This initiative will potentially make a significant impact on the lives of the people who live in the areas in which we work. Aside from learning new skills and refining current ones, participants will have the opportunity to meet new people, develop their CVs, expand their experience of studying at the LSE, and gain information and contacts in the consulting and non-profit sectors</w:t>
      </w:r>
      <w:r w:rsidR="009B1AFA" w:rsidRPr="009B1AFA">
        <w:rPr>
          <w:rFonts w:ascii="Times New Roman" w:hAnsi="Times New Roman" w:cs="Times New Roman"/>
          <w:sz w:val="24"/>
          <w:szCs w:val="24"/>
        </w:rPr>
        <w:t>.</w:t>
      </w:r>
    </w:p>
    <w:p w14:paraId="3100B591" w14:textId="36CC7118" w:rsidR="001F2134" w:rsidRDefault="00D73C71" w:rsidP="0068092E">
      <w:pPr>
        <w:pStyle w:val="Titlu2"/>
        <w:spacing w:line="360" w:lineRule="auto"/>
        <w:jc w:val="both"/>
        <w:rPr>
          <w:rFonts w:ascii="Times New Roman" w:hAnsi="Times New Roman" w:cs="Times New Roman"/>
          <w:b/>
          <w:bCs/>
        </w:rPr>
      </w:pPr>
      <w:r w:rsidRPr="009B1AFA">
        <w:rPr>
          <w:rFonts w:ascii="Times New Roman" w:hAnsi="Times New Roman" w:cs="Times New Roman"/>
          <w:b/>
          <w:bCs/>
        </w:rPr>
        <w:t xml:space="preserve">2.2 Best practices </w:t>
      </w:r>
    </w:p>
    <w:p w14:paraId="5C1B7E95" w14:textId="18C1F907" w:rsidR="009B1AFA" w:rsidRDefault="00D73C71" w:rsidP="0068092E">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t xml:space="preserve">The best practices will be such that a charitable organization will assign students the duty of developing a strategy to assist them in addressing a problem they are experiencing. It might include deciding on the ideal location for a new charity store, assisting a charity in identifying new fundraising tactics or analyzing the effect of a charity's service delivery to further improve the organization's performance, among other things. Students will work in groups of 6 to 8 to develop </w:t>
      </w:r>
      <w:r w:rsidRPr="00F51E8D">
        <w:rPr>
          <w:rFonts w:ascii="Times New Roman" w:hAnsi="Times New Roman" w:cs="Times New Roman"/>
          <w:sz w:val="24"/>
          <w:szCs w:val="24"/>
        </w:rPr>
        <w:lastRenderedPageBreak/>
        <w:t>actionable recommendations for the issue based on their research and analysis of the situation. They will submit a report on their research to the charity during the tenth week of the Lenten season. They will also be asked to give a presentation at the LSE's 'Finals Day' to share their results</w:t>
      </w:r>
      <w:r w:rsidR="00FE75F3" w:rsidRPr="00FE75F3">
        <w:rPr>
          <w:rFonts w:ascii="Times New Roman" w:hAnsi="Times New Roman" w:cs="Times New Roman"/>
          <w:sz w:val="24"/>
          <w:szCs w:val="24"/>
        </w:rPr>
        <w:t>.</w:t>
      </w:r>
    </w:p>
    <w:p w14:paraId="3F318A50" w14:textId="1E8C0C1C" w:rsidR="00FE75F3" w:rsidRDefault="00D73C71" w:rsidP="0068092E">
      <w:pPr>
        <w:pStyle w:val="Titlu2"/>
        <w:spacing w:line="360" w:lineRule="auto"/>
        <w:jc w:val="both"/>
        <w:rPr>
          <w:rFonts w:ascii="Times New Roman" w:hAnsi="Times New Roman" w:cs="Times New Roman"/>
          <w:b/>
          <w:bCs/>
        </w:rPr>
      </w:pPr>
      <w:r w:rsidRPr="00FE75F3">
        <w:rPr>
          <w:rFonts w:ascii="Times New Roman" w:hAnsi="Times New Roman" w:cs="Times New Roman"/>
          <w:b/>
          <w:bCs/>
        </w:rPr>
        <w:t>2.3 Benefits of stakeholder participation</w:t>
      </w:r>
    </w:p>
    <w:p w14:paraId="7DB95427" w14:textId="2594AA6F" w:rsidR="00FE75F3" w:rsidRDefault="00D73C71" w:rsidP="0068092E">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t xml:space="preserve">With the participation of stakeholders throughout the project, we want to guarantee that our results are customized to specific national settings and that they can be used to influence policies, initiatives, and further study successfully. </w:t>
      </w:r>
      <w:r w:rsidR="00BB335A" w:rsidRPr="00BB335A">
        <w:rPr>
          <w:rFonts w:ascii="Times New Roman" w:hAnsi="Times New Roman" w:cs="Times New Roman"/>
          <w:sz w:val="24"/>
          <w:szCs w:val="24"/>
        </w:rPr>
        <w:t xml:space="preserve">The direct exchange of information with a stakeholder helps you to acquire insight into both their viewpoint and fresh insights on a product or problem, which may help you obtain a competitive edge in the marketplace. Make sure to include a variety of viewpoints in your outreach to ensure that you are hearing from a variety of sources. </w:t>
      </w:r>
      <w:r w:rsidRPr="00F51E8D">
        <w:rPr>
          <w:rFonts w:ascii="Times New Roman" w:hAnsi="Times New Roman" w:cs="Times New Roman"/>
          <w:sz w:val="24"/>
          <w:szCs w:val="24"/>
        </w:rPr>
        <w:t>We will include representatives from the government, universities, non-governmental organizations (NGOs) and other third-sector groups in this process. Members of this group come from various policy and research backgrounds in Colombia, Brazil, and South Africa, with expertise in areas such as youth development, job opportunities, educational opportunities, mental health, human rights, and anti-poverty initiatives</w:t>
      </w:r>
      <w:r w:rsidR="009959C6" w:rsidRPr="009959C6">
        <w:rPr>
          <w:rFonts w:ascii="Times New Roman" w:hAnsi="Times New Roman" w:cs="Times New Roman"/>
          <w:sz w:val="24"/>
          <w:szCs w:val="24"/>
        </w:rPr>
        <w:t>.</w:t>
      </w:r>
    </w:p>
    <w:p w14:paraId="2609E07A" w14:textId="4ECCC801" w:rsidR="009959C6" w:rsidRDefault="00D73C71" w:rsidP="0068092E">
      <w:pPr>
        <w:pStyle w:val="Titlu2"/>
        <w:spacing w:line="360" w:lineRule="auto"/>
        <w:jc w:val="both"/>
        <w:rPr>
          <w:rFonts w:ascii="Times New Roman" w:hAnsi="Times New Roman" w:cs="Times New Roman"/>
          <w:b/>
          <w:bCs/>
        </w:rPr>
      </w:pPr>
      <w:r w:rsidRPr="009959C6">
        <w:rPr>
          <w:rFonts w:ascii="Times New Roman" w:hAnsi="Times New Roman" w:cs="Times New Roman"/>
          <w:b/>
          <w:bCs/>
        </w:rPr>
        <w:t xml:space="preserve">2.4 Strategy suitable for engaging stakeholders </w:t>
      </w:r>
    </w:p>
    <w:p w14:paraId="3DECEBCC" w14:textId="4AA17CBD" w:rsidR="00F51E8D" w:rsidRPr="00F51E8D" w:rsidRDefault="00BB335A" w:rsidP="00F51E8D">
      <w:pPr>
        <w:spacing w:line="360" w:lineRule="auto"/>
        <w:jc w:val="both"/>
        <w:rPr>
          <w:rFonts w:ascii="Times New Roman" w:hAnsi="Times New Roman" w:cs="Times New Roman"/>
          <w:sz w:val="24"/>
          <w:szCs w:val="24"/>
        </w:rPr>
      </w:pPr>
      <w:r w:rsidRPr="00BB335A">
        <w:rPr>
          <w:rFonts w:ascii="Times New Roman" w:hAnsi="Times New Roman" w:cs="Times New Roman"/>
          <w:sz w:val="24"/>
          <w:szCs w:val="24"/>
        </w:rPr>
        <w:t xml:space="preserve">Developing a stakeholder engagement plan is a method of including other people in decision-making in a business or nonprofit organization. It is important to include everyone who will be impacted by your company's actions since this will help to create trust and identify possible hazards. </w:t>
      </w:r>
      <w:r w:rsidR="00D73C71" w:rsidRPr="00F51E8D">
        <w:rPr>
          <w:rFonts w:ascii="Times New Roman" w:hAnsi="Times New Roman" w:cs="Times New Roman"/>
          <w:sz w:val="24"/>
          <w:szCs w:val="24"/>
        </w:rPr>
        <w:t>Working on a project requires developing an understanding of who the project's stakeholders are and what they need from the project. A project will always include a group of individuals, and those people will need to join together to achieve a shared aim. Every project, on the other hand, is unique, as are the individuals who work on it.</w:t>
      </w:r>
    </w:p>
    <w:p w14:paraId="488227C7" w14:textId="1A3FD40B" w:rsidR="00F51E8D" w:rsidRPr="00F51E8D" w:rsidRDefault="00D73C71" w:rsidP="00F51E8D">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t xml:space="preserve">As a result, a proper strategy for a project includes numerous phases, the first of which is that It is critical to design a coherent strategy for including stakeholders in order to ensure that everyone is working towards the same end objective. Different individuals need different things to be productive when working on a project. An engaged stakeholder may need encouragement, continuous feedback, or more resources to remain involved. Others may be engaged because they have a unique viewpoint on an issue or because their opinion is critical to the project's success, </w:t>
      </w:r>
      <w:r w:rsidRPr="00F51E8D">
        <w:rPr>
          <w:rFonts w:ascii="Times New Roman" w:hAnsi="Times New Roman" w:cs="Times New Roman"/>
          <w:sz w:val="24"/>
          <w:szCs w:val="24"/>
        </w:rPr>
        <w:lastRenderedPageBreak/>
        <w:t>among other reasons. Recognizing which group your stakeholders belong to and tailoring your approach to them are critical steps.</w:t>
      </w:r>
    </w:p>
    <w:p w14:paraId="2121BC36" w14:textId="6DF63AEF" w:rsidR="009959C6" w:rsidRDefault="00D73C71" w:rsidP="00F51E8D">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t>When projects and organizations learn how to communicate successfully with their stakeholders, they will flourish. As a result, with the introduction of online technologies that make it easier to engage, educate, and consult with stakeholders, it is now necessary to place digital at the centre of your stakeholder engagement plan.</w:t>
      </w:r>
    </w:p>
    <w:p w14:paraId="755DD40D" w14:textId="38668476" w:rsidR="00FF74C5" w:rsidRPr="000A74E7" w:rsidRDefault="00D73C71" w:rsidP="0068092E">
      <w:pPr>
        <w:pStyle w:val="Titlu2"/>
        <w:spacing w:line="360" w:lineRule="auto"/>
        <w:jc w:val="both"/>
        <w:rPr>
          <w:rFonts w:ascii="Times New Roman" w:hAnsi="Times New Roman" w:cs="Times New Roman"/>
          <w:b/>
          <w:bCs/>
        </w:rPr>
      </w:pPr>
      <w:r w:rsidRPr="00FF74C5">
        <w:rPr>
          <w:rFonts w:ascii="Times New Roman" w:hAnsi="Times New Roman" w:cs="Times New Roman"/>
          <w:b/>
          <w:bCs/>
          <w:sz w:val="24"/>
          <w:szCs w:val="24"/>
        </w:rPr>
        <w:t xml:space="preserve">2.5 </w:t>
      </w:r>
      <w:r w:rsidRPr="00FF74C5">
        <w:rPr>
          <w:rFonts w:ascii="Times New Roman" w:hAnsi="Times New Roman" w:cs="Times New Roman"/>
          <w:b/>
          <w:bCs/>
        </w:rPr>
        <w:t>How different social media platforms can be used as an outreach to support the project?</w:t>
      </w:r>
    </w:p>
    <w:p w14:paraId="3E07A74C" w14:textId="7A31A971" w:rsidR="00FF74C5" w:rsidRDefault="00D73C71" w:rsidP="0068092E">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t>In order to assist the LSE Community Engagement Program, numerous social media platforms, like Facebook and Twitter, may be used. These platforms are excellent for communicating major events, sending information to supporters, and connecting with possible contributors. The use of strategies such as live-tweeting and broadcasting live events on Facebook enable supporters to get real-time information about a seminar or fundraising event. Furthermore, Pinterest is a social media network highly regarded by both bloggers and photographers. Pinterest, on the other hand, gives an incredible chance for non-profit organizations to communicate their current needs with the world. When you create a board with a specific list of the goods that are necessary for the regular operation of your charity organization, such as canned food, children's clothes, or women's hygiene products, supporters may browse for much-needed items and contribute what they can as they have the means</w:t>
      </w:r>
      <w:r w:rsidR="000A74E7" w:rsidRPr="000A74E7">
        <w:rPr>
          <w:rFonts w:ascii="Times New Roman" w:hAnsi="Times New Roman" w:cs="Times New Roman"/>
          <w:sz w:val="24"/>
          <w:szCs w:val="24"/>
        </w:rPr>
        <w:t>.</w:t>
      </w:r>
    </w:p>
    <w:p w14:paraId="70C5C468" w14:textId="205EC095" w:rsidR="000A74E7" w:rsidRPr="007571E5" w:rsidRDefault="00D73C71" w:rsidP="0068092E">
      <w:pPr>
        <w:pStyle w:val="Titlu2"/>
        <w:spacing w:line="360" w:lineRule="auto"/>
        <w:jc w:val="both"/>
        <w:rPr>
          <w:rFonts w:ascii="Times New Roman" w:hAnsi="Times New Roman" w:cs="Times New Roman"/>
          <w:b/>
          <w:bCs/>
        </w:rPr>
      </w:pPr>
      <w:r w:rsidRPr="007571E5">
        <w:rPr>
          <w:rFonts w:ascii="Times New Roman" w:hAnsi="Times New Roman" w:cs="Times New Roman"/>
          <w:b/>
          <w:bCs/>
        </w:rPr>
        <w:t>2.6 Relevant avenues to promote community participation, collaboration, diversity and inclusion to enable socio-cultural integration and multiculturalism</w:t>
      </w:r>
    </w:p>
    <w:p w14:paraId="4C914DDD" w14:textId="2F3D163A" w:rsidR="00F51E8D" w:rsidRPr="00F51E8D" w:rsidRDefault="00D73C71" w:rsidP="00F51E8D">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t xml:space="preserve">In our initiative, online sign-ups are the most effective method of encouraging community engagement. People like the convenience that the internet provides. By allowing clients to register online, you may assist your team save time processing registrations and providing them with access from anywhere in the world. People will be more likely to sign up for a class or program if presented with this option. Another technique to encourage community engagement is to increase participation via social sharing on social media platforms. Social sharing, on the other hand, is different. Visitors to your online project may share your website with their networks by using the Like, Tweet, and other share icons on your website. Suppose someone visits the website to sign up online. There will be built-in sharing buttons directly on the registration page. Visitors will be </w:t>
      </w:r>
      <w:r w:rsidRPr="00F51E8D">
        <w:rPr>
          <w:rFonts w:ascii="Times New Roman" w:hAnsi="Times New Roman" w:cs="Times New Roman"/>
          <w:sz w:val="24"/>
          <w:szCs w:val="24"/>
        </w:rPr>
        <w:lastRenderedPageBreak/>
        <w:t>able to share the class with their friends, resulting in increased traffic and registrations to your website.</w:t>
      </w:r>
    </w:p>
    <w:p w14:paraId="5BCB54CD" w14:textId="5E86E4F3" w:rsidR="0071048F" w:rsidRDefault="00D73C71" w:rsidP="00F51E8D">
      <w:pPr>
        <w:spacing w:line="360" w:lineRule="auto"/>
        <w:jc w:val="both"/>
        <w:rPr>
          <w:rFonts w:ascii="Times New Roman" w:hAnsi="Times New Roman" w:cs="Times New Roman"/>
          <w:sz w:val="24"/>
          <w:szCs w:val="24"/>
        </w:rPr>
      </w:pPr>
      <w:r w:rsidRPr="00F51E8D">
        <w:rPr>
          <w:rFonts w:ascii="Times New Roman" w:hAnsi="Times New Roman" w:cs="Times New Roman"/>
          <w:sz w:val="24"/>
          <w:szCs w:val="24"/>
        </w:rPr>
        <w:t xml:space="preserve">It will not only facilitate socio-cultural integration but will also promote multiculturism if the project's partnership is promoted via clear communication. </w:t>
      </w:r>
      <w:r w:rsidR="004B263F" w:rsidRPr="004B263F">
        <w:rPr>
          <w:rFonts w:ascii="Times New Roman" w:hAnsi="Times New Roman" w:cs="Times New Roman"/>
          <w:sz w:val="24"/>
          <w:szCs w:val="24"/>
        </w:rPr>
        <w:t>The use of a community-based strategy may assist communities in working to prevent social issues from arising and dealing with them directly when they do occur, rather than having other actors step in and accept these duties. It assists those who need assistance in re-establishing familiar cultural routines and supportive systems.</w:t>
      </w:r>
      <w:r w:rsidR="004B263F">
        <w:rPr>
          <w:rFonts w:ascii="Times New Roman" w:hAnsi="Times New Roman" w:cs="Times New Roman"/>
          <w:sz w:val="24"/>
          <w:szCs w:val="24"/>
        </w:rPr>
        <w:t xml:space="preserve"> </w:t>
      </w:r>
      <w:r w:rsidRPr="00F51E8D">
        <w:rPr>
          <w:rFonts w:ascii="Times New Roman" w:hAnsi="Times New Roman" w:cs="Times New Roman"/>
          <w:sz w:val="24"/>
          <w:szCs w:val="24"/>
        </w:rPr>
        <w:t>Technology has made it simpler to offer many channels to promote collaboration, from file-sharing tools to cloud technology, screen-sharing, and project-management software, to name a few examples of what is possible. If you work with other departments, you must communicate with them on time. However, the keywords or acronyms you and your teammates use may not be understood by your colleagues in other departments. Another part of this project's development is diversity and inclusion, which facilitates socio-cultural integration and multiculturalism, among other things</w:t>
      </w:r>
      <w:r w:rsidR="0068092E">
        <w:rPr>
          <w:rFonts w:ascii="Times New Roman" w:hAnsi="Times New Roman" w:cs="Times New Roman"/>
          <w:sz w:val="24"/>
          <w:szCs w:val="24"/>
        </w:rPr>
        <w:t>.</w:t>
      </w:r>
    </w:p>
    <w:p w14:paraId="6936B0A6" w14:textId="43044572" w:rsidR="0068092E" w:rsidRPr="00F1372E" w:rsidRDefault="00D73C71" w:rsidP="00FD4D63">
      <w:pPr>
        <w:pStyle w:val="Titlu2"/>
        <w:spacing w:line="360" w:lineRule="auto"/>
        <w:rPr>
          <w:b/>
          <w:bCs/>
        </w:rPr>
      </w:pPr>
      <w:r w:rsidRPr="00F1372E">
        <w:rPr>
          <w:b/>
          <w:bCs/>
        </w:rPr>
        <w:t>2.7 Conclusion</w:t>
      </w:r>
    </w:p>
    <w:p w14:paraId="7B3351EF" w14:textId="66F7CD1A" w:rsidR="004361A9" w:rsidRPr="004361A9" w:rsidRDefault="00D73C71" w:rsidP="004361A9">
      <w:pPr>
        <w:spacing w:line="360" w:lineRule="auto"/>
        <w:jc w:val="both"/>
        <w:rPr>
          <w:rFonts w:ascii="Times New Roman" w:hAnsi="Times New Roman" w:cs="Times New Roman"/>
          <w:sz w:val="24"/>
          <w:szCs w:val="24"/>
        </w:rPr>
      </w:pPr>
      <w:r w:rsidRPr="004361A9">
        <w:rPr>
          <w:rFonts w:ascii="Times New Roman" w:hAnsi="Times New Roman" w:cs="Times New Roman"/>
          <w:sz w:val="24"/>
          <w:szCs w:val="24"/>
        </w:rPr>
        <w:t>Final thoughts: The LSE Community Engagement Program UK, which gives students a chance to make a difference in their communities by establishing teams to solve difficulties that charities are faced with daily, brings the full subject circle, as the study mentions. The foundation of this program was motivated by students' desire to get involved in their communities via the completion of a sponsored project. It will be an excellent opportunity for students who have never volunteered before to get involved in their community via participation in this program.</w:t>
      </w:r>
    </w:p>
    <w:p w14:paraId="486E7E49" w14:textId="3C0D580D" w:rsidR="004361A9" w:rsidRPr="004361A9" w:rsidRDefault="00D73C71" w:rsidP="004361A9">
      <w:pPr>
        <w:spacing w:line="360" w:lineRule="auto"/>
        <w:jc w:val="both"/>
        <w:rPr>
          <w:rFonts w:ascii="Times New Roman" w:hAnsi="Times New Roman" w:cs="Times New Roman"/>
          <w:sz w:val="24"/>
          <w:szCs w:val="24"/>
        </w:rPr>
      </w:pPr>
      <w:r w:rsidRPr="004361A9">
        <w:rPr>
          <w:rFonts w:ascii="Times New Roman" w:hAnsi="Times New Roman" w:cs="Times New Roman"/>
          <w:sz w:val="24"/>
          <w:szCs w:val="24"/>
        </w:rPr>
        <w:t>With the participation of stakeholders throughout the project, we hope to ensure that our results are customized to specific national settings and that they can be used to influence policies, initiatives, and further study successfully. The best practices will be such that a charitable organization will assign students the responsibility of developing a strategy to assist them in addressing a problem they are experiencing. Furthermore, a thorough investigation of critical pathways to encourage community engagement, cooperation, diversity, and inclusion to facilitate socio-cultural integration and multiculturalism is explored.</w:t>
      </w:r>
    </w:p>
    <w:p w14:paraId="5D2537F0" w14:textId="573A9778" w:rsidR="004361A9" w:rsidRDefault="00D73C71" w:rsidP="004361A9">
      <w:pPr>
        <w:spacing w:line="360" w:lineRule="auto"/>
        <w:jc w:val="both"/>
        <w:rPr>
          <w:rFonts w:ascii="Times New Roman" w:hAnsi="Times New Roman" w:cs="Times New Roman"/>
          <w:sz w:val="24"/>
          <w:szCs w:val="24"/>
        </w:rPr>
      </w:pPr>
      <w:r w:rsidRPr="004361A9">
        <w:rPr>
          <w:rFonts w:ascii="Times New Roman" w:hAnsi="Times New Roman" w:cs="Times New Roman"/>
          <w:sz w:val="24"/>
          <w:szCs w:val="24"/>
        </w:rPr>
        <w:lastRenderedPageBreak/>
        <w:t>It is also being questioned if there are any appropriate routes to encourage community engagement, cooperation, diversity, and inclusion to facilitate socio-cultural integration and multiculturalism. The use of social sharing on social media platforms to boost involvement in the community is a technique for encouraging community engagement. Another technique will be online sign-ups, the most successful means of boosting community participation. The results demonstrate that if the project's collaboration is fostered via clear communication, it will not only assist socio-cultural integration but will also encourage multiculturism</w:t>
      </w:r>
      <w:r>
        <w:rPr>
          <w:rFonts w:ascii="Times New Roman" w:hAnsi="Times New Roman" w:cs="Times New Roman"/>
          <w:sz w:val="24"/>
          <w:szCs w:val="24"/>
        </w:rPr>
        <w:t>.</w:t>
      </w:r>
    </w:p>
    <w:p w14:paraId="62353C99" w14:textId="6C0222E1" w:rsidR="004361A9" w:rsidRDefault="00D73C71" w:rsidP="004361A9">
      <w:pPr>
        <w:pStyle w:val="Titlu1"/>
        <w:rPr>
          <w:rFonts w:ascii="Times New Roman" w:hAnsi="Times New Roman" w:cs="Times New Roman"/>
          <w:b/>
          <w:bCs/>
        </w:rPr>
      </w:pPr>
      <w:r w:rsidRPr="004361A9">
        <w:rPr>
          <w:rFonts w:ascii="Times New Roman" w:hAnsi="Times New Roman" w:cs="Times New Roman"/>
          <w:b/>
          <w:bCs/>
        </w:rPr>
        <w:t>References</w:t>
      </w:r>
    </w:p>
    <w:p w14:paraId="72755A56" w14:textId="2A025536" w:rsidR="008E6285" w:rsidRDefault="00D73C71" w:rsidP="008E6285">
      <w:pPr>
        <w:pStyle w:val="NormalWeb"/>
        <w:spacing w:before="0" w:beforeAutospacing="0" w:after="0" w:afterAutospacing="0" w:line="480" w:lineRule="auto"/>
        <w:ind w:left="720" w:hanging="720"/>
      </w:pPr>
      <w:r>
        <w:rPr>
          <w:i/>
          <w:iCs/>
        </w:rPr>
        <w:t>What is Community Engagement? (Department of Agricultural Economics, Sociology, and Education)</w:t>
      </w:r>
      <w:r>
        <w:t>. (n.d.). Plone Site. Geraadpleegd op 4 mei 2022, van https://aese.psu.edu/research/centers/cecd/engagement-toolbox/engagement/what-is-community-engagement</w:t>
      </w:r>
    </w:p>
    <w:p w14:paraId="5EEAA004" w14:textId="77777777" w:rsidR="00706744" w:rsidRDefault="00D73C71" w:rsidP="00706744">
      <w:pPr>
        <w:pStyle w:val="NormalWeb"/>
        <w:spacing w:before="0" w:beforeAutospacing="0" w:after="0" w:afterAutospacing="0" w:line="480" w:lineRule="auto"/>
        <w:ind w:left="720" w:hanging="720"/>
      </w:pPr>
      <w:r>
        <w:t xml:space="preserve">Hart, A., &amp; Northmore, S. (2010). Auditing and Evaluating University-Community Engagement: Lessons from a UK Case Study. </w:t>
      </w:r>
      <w:r>
        <w:rPr>
          <w:i/>
          <w:iCs/>
        </w:rPr>
        <w:t>Higher Education Quarterly</w:t>
      </w:r>
      <w:r>
        <w:t xml:space="preserve">, </w:t>
      </w:r>
      <w:r>
        <w:rPr>
          <w:i/>
          <w:iCs/>
        </w:rPr>
        <w:t>65</w:t>
      </w:r>
      <w:r>
        <w:t>(1), 34–58. https://doi.org/10.1111/j.1468-2273.2010.00466.x</w:t>
      </w:r>
    </w:p>
    <w:p w14:paraId="2900FE76" w14:textId="77777777" w:rsidR="004361A9" w:rsidRPr="004361A9" w:rsidRDefault="004361A9" w:rsidP="004361A9"/>
    <w:sectPr w:rsidR="004361A9" w:rsidRPr="004361A9">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B97BE" w14:textId="77777777" w:rsidR="00AC64A7" w:rsidRDefault="00AC64A7">
      <w:pPr>
        <w:spacing w:after="0" w:line="240" w:lineRule="auto"/>
      </w:pPr>
      <w:r>
        <w:separator/>
      </w:r>
    </w:p>
  </w:endnote>
  <w:endnote w:type="continuationSeparator" w:id="0">
    <w:p w14:paraId="3FDDCD80" w14:textId="77777777" w:rsidR="00AC64A7" w:rsidRDefault="00AC6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21296" w14:textId="77777777" w:rsidR="00AC64A7" w:rsidRDefault="00AC64A7">
      <w:pPr>
        <w:spacing w:after="0" w:line="240" w:lineRule="auto"/>
      </w:pPr>
      <w:r>
        <w:separator/>
      </w:r>
    </w:p>
  </w:footnote>
  <w:footnote w:type="continuationSeparator" w:id="0">
    <w:p w14:paraId="448F93E7" w14:textId="77777777" w:rsidR="00AC64A7" w:rsidRDefault="00AC64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961974"/>
      <w:docPartObj>
        <w:docPartGallery w:val="Page Numbers (Top of Page)"/>
        <w:docPartUnique/>
      </w:docPartObj>
    </w:sdtPr>
    <w:sdtEndPr>
      <w:rPr>
        <w:noProof/>
      </w:rPr>
    </w:sdtEndPr>
    <w:sdtContent>
      <w:p w14:paraId="31A617C6" w14:textId="0C6D3ADD" w:rsidR="001F2134" w:rsidRDefault="00D73C71">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49D10CD1" w14:textId="77777777" w:rsidR="001F2134" w:rsidRDefault="001F2134">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27"/>
    <w:rsid w:val="000A74E7"/>
    <w:rsid w:val="001F2134"/>
    <w:rsid w:val="00203F90"/>
    <w:rsid w:val="002C136D"/>
    <w:rsid w:val="00306F48"/>
    <w:rsid w:val="00375F27"/>
    <w:rsid w:val="003B6BCB"/>
    <w:rsid w:val="004361A9"/>
    <w:rsid w:val="00451E74"/>
    <w:rsid w:val="004B263F"/>
    <w:rsid w:val="004F014F"/>
    <w:rsid w:val="00565ECC"/>
    <w:rsid w:val="0068092E"/>
    <w:rsid w:val="00706744"/>
    <w:rsid w:val="0071048F"/>
    <w:rsid w:val="007571E5"/>
    <w:rsid w:val="00781207"/>
    <w:rsid w:val="008E6285"/>
    <w:rsid w:val="008F77AF"/>
    <w:rsid w:val="009959C6"/>
    <w:rsid w:val="009B1AFA"/>
    <w:rsid w:val="009D6CA7"/>
    <w:rsid w:val="00AC64A7"/>
    <w:rsid w:val="00AC690F"/>
    <w:rsid w:val="00BB335A"/>
    <w:rsid w:val="00BB6F8C"/>
    <w:rsid w:val="00CB74AD"/>
    <w:rsid w:val="00D73C71"/>
    <w:rsid w:val="00DC608D"/>
    <w:rsid w:val="00DE41B8"/>
    <w:rsid w:val="00E157D7"/>
    <w:rsid w:val="00F1372E"/>
    <w:rsid w:val="00F51E8D"/>
    <w:rsid w:val="00FD0C8D"/>
    <w:rsid w:val="00FD4D63"/>
    <w:rsid w:val="00FE75F3"/>
    <w:rsid w:val="00FF7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4302A"/>
  <w15:chartTrackingRefBased/>
  <w15:docId w15:val="{D5125C56-C965-4ADD-B5A3-90078CBB5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rsid w:val="00375F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1F21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375F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75F27"/>
    <w:rPr>
      <w:rFonts w:asciiTheme="majorHAnsi" w:eastAsiaTheme="majorEastAsia" w:hAnsiTheme="majorHAnsi" w:cstheme="majorBidi"/>
      <w:spacing w:val="-10"/>
      <w:kern w:val="28"/>
      <w:sz w:val="56"/>
      <w:szCs w:val="56"/>
    </w:rPr>
  </w:style>
  <w:style w:type="character" w:customStyle="1" w:styleId="Titlu1Caracter">
    <w:name w:val="Titlu 1 Caracter"/>
    <w:basedOn w:val="Fontdeparagrafimplicit"/>
    <w:link w:val="Titlu1"/>
    <w:uiPriority w:val="9"/>
    <w:rsid w:val="00375F27"/>
    <w:rPr>
      <w:rFonts w:asciiTheme="majorHAnsi" w:eastAsiaTheme="majorEastAsia" w:hAnsiTheme="majorHAnsi" w:cstheme="majorBidi"/>
      <w:color w:val="2F5496" w:themeColor="accent1" w:themeShade="BF"/>
      <w:sz w:val="32"/>
      <w:szCs w:val="32"/>
    </w:rPr>
  </w:style>
  <w:style w:type="paragraph" w:styleId="Antet">
    <w:name w:val="header"/>
    <w:basedOn w:val="Normal"/>
    <w:link w:val="AntetCaracter"/>
    <w:uiPriority w:val="99"/>
    <w:unhideWhenUsed/>
    <w:rsid w:val="001F213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F2134"/>
  </w:style>
  <w:style w:type="paragraph" w:styleId="Subsol">
    <w:name w:val="footer"/>
    <w:basedOn w:val="Normal"/>
    <w:link w:val="SubsolCaracter"/>
    <w:uiPriority w:val="99"/>
    <w:unhideWhenUsed/>
    <w:rsid w:val="001F213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F2134"/>
  </w:style>
  <w:style w:type="character" w:customStyle="1" w:styleId="Titlu2Caracter">
    <w:name w:val="Titlu 2 Caracter"/>
    <w:basedOn w:val="Fontdeparagrafimplicit"/>
    <w:link w:val="Titlu2"/>
    <w:uiPriority w:val="9"/>
    <w:rsid w:val="001F213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8E628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2055</Words>
  <Characters>11717</Characters>
  <Application>Microsoft Office Word</Application>
  <DocSecurity>0</DocSecurity>
  <Lines>97</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SKTFSCMA2151830</dc:creator>
  <cp:lastModifiedBy>Diana Arsenii (2115683)</cp:lastModifiedBy>
  <cp:revision>2</cp:revision>
  <dcterms:created xsi:type="dcterms:W3CDTF">2022-05-05T23:49:00Z</dcterms:created>
  <dcterms:modified xsi:type="dcterms:W3CDTF">2022-05-05T23:49:00Z</dcterms:modified>
</cp:coreProperties>
</file>