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5BAB3" w14:textId="11CE7E42" w:rsidR="00BD62CE" w:rsidRPr="00791654" w:rsidRDefault="00BD62CE" w:rsidP="00BD62CE">
      <w:pPr>
        <w:pStyle w:val="NormalWeb"/>
        <w:jc w:val="center"/>
        <w:rPr>
          <w:rFonts w:eastAsia="Times New Roman"/>
        </w:rPr>
      </w:pPr>
    </w:p>
    <w:p w14:paraId="0DA84863" w14:textId="77777777" w:rsidR="00BD62CE" w:rsidRPr="00791654" w:rsidRDefault="0063748C" w:rsidP="00B51A41">
      <w:pPr>
        <w:pStyle w:val="NormalWeb"/>
        <w:spacing w:after="0" w:line="480" w:lineRule="auto"/>
        <w:jc w:val="center"/>
        <w:rPr>
          <w:rFonts w:eastAsia="Times New Roman"/>
        </w:rPr>
      </w:pPr>
      <w:r w:rsidRPr="00791654">
        <w:rPr>
          <w:rFonts w:eastAsia="Times New Roman"/>
          <w:b/>
          <w:bCs/>
        </w:rPr>
        <w:t>Financial Ratio Analysis and Investment Appraisal Report: Next plc and Westwood Plc</w:t>
      </w:r>
    </w:p>
    <w:p w14:paraId="0BEDABE6" w14:textId="77777777" w:rsidR="00BD62CE" w:rsidRPr="00791654" w:rsidRDefault="00BD62CE" w:rsidP="00B51A41">
      <w:pPr>
        <w:spacing w:after="0" w:line="480" w:lineRule="auto"/>
        <w:jc w:val="center"/>
        <w:rPr>
          <w:rFonts w:ascii="Times New Roman" w:eastAsia="Times New Roman" w:hAnsi="Times New Roman" w:cs="Times New Roman"/>
          <w:b/>
          <w:bCs/>
          <w:sz w:val="24"/>
          <w:szCs w:val="24"/>
        </w:rPr>
      </w:pPr>
    </w:p>
    <w:p w14:paraId="37E8574B" w14:textId="77777777" w:rsidR="00BD62CE" w:rsidRPr="00791654" w:rsidRDefault="00BD62CE" w:rsidP="00B51A41">
      <w:pPr>
        <w:spacing w:after="0" w:line="480" w:lineRule="auto"/>
        <w:jc w:val="center"/>
        <w:rPr>
          <w:rFonts w:ascii="Times New Roman" w:eastAsia="Times New Roman" w:hAnsi="Times New Roman" w:cs="Times New Roman"/>
          <w:b/>
          <w:bCs/>
          <w:sz w:val="24"/>
          <w:szCs w:val="24"/>
        </w:rPr>
      </w:pPr>
    </w:p>
    <w:p w14:paraId="6769AFAF" w14:textId="77777777" w:rsidR="00BD62CE" w:rsidRPr="00791654" w:rsidRDefault="00BD62CE" w:rsidP="00B51A41">
      <w:pPr>
        <w:spacing w:after="0" w:line="480" w:lineRule="auto"/>
        <w:jc w:val="center"/>
        <w:rPr>
          <w:rFonts w:ascii="Times New Roman" w:eastAsia="Times New Roman" w:hAnsi="Times New Roman" w:cs="Times New Roman"/>
          <w:b/>
          <w:bCs/>
          <w:sz w:val="24"/>
          <w:szCs w:val="24"/>
        </w:rPr>
      </w:pPr>
    </w:p>
    <w:p w14:paraId="5C85CBCD" w14:textId="77777777" w:rsidR="00BD62CE" w:rsidRPr="00791654" w:rsidRDefault="00BD62CE" w:rsidP="00B51A41">
      <w:pPr>
        <w:spacing w:after="0" w:line="480" w:lineRule="auto"/>
        <w:jc w:val="center"/>
        <w:rPr>
          <w:rFonts w:ascii="Times New Roman" w:eastAsia="Times New Roman" w:hAnsi="Times New Roman" w:cs="Times New Roman"/>
          <w:b/>
          <w:bCs/>
          <w:sz w:val="24"/>
          <w:szCs w:val="24"/>
        </w:rPr>
      </w:pPr>
    </w:p>
    <w:p w14:paraId="4D299E5E" w14:textId="77777777" w:rsidR="00BD62CE" w:rsidRPr="00791654" w:rsidRDefault="00BD62CE" w:rsidP="00314713">
      <w:pPr>
        <w:spacing w:after="0" w:line="480" w:lineRule="auto"/>
        <w:rPr>
          <w:rFonts w:ascii="Times New Roman" w:eastAsia="Times New Roman" w:hAnsi="Times New Roman" w:cs="Times New Roman"/>
          <w:bCs/>
          <w:sz w:val="24"/>
          <w:szCs w:val="24"/>
        </w:rPr>
      </w:pPr>
    </w:p>
    <w:p w14:paraId="50AD4773" w14:textId="23839C9D" w:rsidR="00BD62CE" w:rsidRPr="00791654" w:rsidRDefault="0063748C" w:rsidP="00314713">
      <w:pPr>
        <w:spacing w:after="0" w:line="480" w:lineRule="auto"/>
        <w:rPr>
          <w:rFonts w:ascii="Times New Roman" w:eastAsia="Times New Roman" w:hAnsi="Times New Roman" w:cs="Times New Roman"/>
          <w:sz w:val="24"/>
          <w:szCs w:val="24"/>
        </w:rPr>
      </w:pPr>
      <w:r w:rsidRPr="00314713">
        <w:rPr>
          <w:rFonts w:ascii="Times New Roman" w:eastAsia="Times New Roman" w:hAnsi="Times New Roman" w:cs="Times New Roman"/>
          <w:b/>
          <w:sz w:val="24"/>
          <w:szCs w:val="24"/>
        </w:rPr>
        <w:t xml:space="preserve"> Name:</w:t>
      </w:r>
      <w:r w:rsidR="00314713">
        <w:rPr>
          <w:rFonts w:ascii="Times New Roman" w:eastAsia="Times New Roman" w:hAnsi="Times New Roman" w:cs="Times New Roman"/>
          <w:bCs/>
          <w:sz w:val="24"/>
          <w:szCs w:val="24"/>
        </w:rPr>
        <w:t xml:space="preserve"> Muhammad Shaheryar</w:t>
      </w:r>
    </w:p>
    <w:p w14:paraId="229AF5AC" w14:textId="55745ED9" w:rsidR="00BD62CE" w:rsidRPr="00791654" w:rsidRDefault="0063748C" w:rsidP="00314713">
      <w:pPr>
        <w:spacing w:after="0" w:line="480" w:lineRule="auto"/>
        <w:rPr>
          <w:rFonts w:ascii="Times New Roman" w:eastAsia="Times New Roman" w:hAnsi="Times New Roman" w:cs="Times New Roman"/>
          <w:sz w:val="24"/>
          <w:szCs w:val="24"/>
        </w:rPr>
      </w:pPr>
      <w:r w:rsidRPr="00314713">
        <w:rPr>
          <w:rFonts w:ascii="Times New Roman" w:eastAsia="Times New Roman" w:hAnsi="Times New Roman" w:cs="Times New Roman"/>
          <w:b/>
          <w:sz w:val="24"/>
          <w:szCs w:val="24"/>
        </w:rPr>
        <w:t>Student ID:</w:t>
      </w:r>
      <w:r w:rsidR="00314713">
        <w:rPr>
          <w:rFonts w:ascii="Times New Roman" w:eastAsia="Times New Roman" w:hAnsi="Times New Roman" w:cs="Times New Roman"/>
          <w:bCs/>
          <w:sz w:val="24"/>
          <w:szCs w:val="24"/>
        </w:rPr>
        <w:t xml:space="preserve"> 2507012</w:t>
      </w:r>
    </w:p>
    <w:p w14:paraId="2DCF9ABB" w14:textId="432655D7" w:rsidR="00BD62CE" w:rsidRPr="00791654" w:rsidRDefault="0063748C" w:rsidP="00314713">
      <w:pPr>
        <w:spacing w:after="0" w:line="480" w:lineRule="auto"/>
        <w:rPr>
          <w:rFonts w:ascii="Times New Roman" w:eastAsia="Times New Roman" w:hAnsi="Times New Roman" w:cs="Times New Roman"/>
          <w:sz w:val="24"/>
          <w:szCs w:val="24"/>
        </w:rPr>
      </w:pPr>
      <w:r w:rsidRPr="00314713">
        <w:rPr>
          <w:rFonts w:ascii="Times New Roman" w:eastAsia="Times New Roman" w:hAnsi="Times New Roman" w:cs="Times New Roman"/>
          <w:b/>
          <w:sz w:val="24"/>
          <w:szCs w:val="24"/>
        </w:rPr>
        <w:t>Course:</w:t>
      </w:r>
      <w:r w:rsidR="00314713">
        <w:rPr>
          <w:rFonts w:ascii="Times New Roman" w:eastAsia="Times New Roman" w:hAnsi="Times New Roman" w:cs="Times New Roman"/>
          <w:bCs/>
          <w:sz w:val="24"/>
          <w:szCs w:val="24"/>
        </w:rPr>
        <w:t xml:space="preserve"> Finance for Business Managers (BMMB7005)</w:t>
      </w:r>
    </w:p>
    <w:p w14:paraId="106FCA35" w14:textId="072BC6BC" w:rsidR="00BD62CE" w:rsidRPr="00791654" w:rsidRDefault="0063748C" w:rsidP="00314713">
      <w:pPr>
        <w:spacing w:after="0" w:line="480" w:lineRule="auto"/>
        <w:rPr>
          <w:rFonts w:ascii="Times New Roman" w:eastAsia="Times New Roman" w:hAnsi="Times New Roman" w:cs="Times New Roman"/>
          <w:sz w:val="24"/>
          <w:szCs w:val="24"/>
        </w:rPr>
      </w:pPr>
      <w:r w:rsidRPr="00314713">
        <w:rPr>
          <w:rFonts w:ascii="Times New Roman" w:eastAsia="Times New Roman" w:hAnsi="Times New Roman" w:cs="Times New Roman"/>
          <w:b/>
          <w:sz w:val="24"/>
          <w:szCs w:val="24"/>
        </w:rPr>
        <w:t>Instructor’s Name</w:t>
      </w:r>
      <w:r w:rsidR="00803AB3" w:rsidRPr="00314713">
        <w:rPr>
          <w:rFonts w:ascii="Times New Roman" w:eastAsia="Times New Roman" w:hAnsi="Times New Roman" w:cs="Times New Roman"/>
          <w:b/>
          <w:sz w:val="24"/>
          <w:szCs w:val="24"/>
        </w:rPr>
        <w:t>:</w:t>
      </w:r>
      <w:r w:rsidR="00314713">
        <w:rPr>
          <w:rFonts w:ascii="Times New Roman" w:eastAsia="Times New Roman" w:hAnsi="Times New Roman" w:cs="Times New Roman"/>
          <w:bCs/>
          <w:sz w:val="24"/>
          <w:szCs w:val="24"/>
        </w:rPr>
        <w:t xml:space="preserve"> Marie Pitson</w:t>
      </w:r>
    </w:p>
    <w:p w14:paraId="2BAD17AA" w14:textId="5B9A2C73" w:rsidR="00BD62CE" w:rsidRPr="00791654" w:rsidRDefault="0063748C" w:rsidP="00314713">
      <w:pPr>
        <w:spacing w:after="0" w:line="480" w:lineRule="auto"/>
        <w:rPr>
          <w:rFonts w:ascii="Times New Roman" w:eastAsia="Times New Roman" w:hAnsi="Times New Roman" w:cs="Times New Roman"/>
          <w:sz w:val="24"/>
          <w:szCs w:val="24"/>
        </w:rPr>
      </w:pPr>
      <w:r w:rsidRPr="00314713">
        <w:rPr>
          <w:rFonts w:ascii="Times New Roman" w:eastAsia="Times New Roman" w:hAnsi="Times New Roman" w:cs="Times New Roman"/>
          <w:b/>
          <w:sz w:val="24"/>
          <w:szCs w:val="24"/>
        </w:rPr>
        <w:t>Institution:</w:t>
      </w:r>
      <w:r w:rsidR="00314713">
        <w:rPr>
          <w:rFonts w:ascii="Times New Roman" w:eastAsia="Times New Roman" w:hAnsi="Times New Roman" w:cs="Times New Roman"/>
          <w:bCs/>
          <w:sz w:val="24"/>
          <w:szCs w:val="24"/>
        </w:rPr>
        <w:t xml:space="preserve"> University of Wales Trinity Saint David</w:t>
      </w:r>
    </w:p>
    <w:p w14:paraId="2A71A861" w14:textId="58AE821B" w:rsidR="00BD62CE" w:rsidRPr="00791654" w:rsidRDefault="0063748C" w:rsidP="00314713">
      <w:pPr>
        <w:spacing w:after="0" w:line="480" w:lineRule="auto"/>
        <w:rPr>
          <w:rFonts w:ascii="Times New Roman" w:eastAsia="Times New Roman" w:hAnsi="Times New Roman" w:cs="Times New Roman"/>
          <w:sz w:val="24"/>
          <w:szCs w:val="24"/>
        </w:rPr>
      </w:pPr>
      <w:r w:rsidRPr="00314713">
        <w:rPr>
          <w:rFonts w:ascii="Times New Roman" w:eastAsia="Times New Roman" w:hAnsi="Times New Roman" w:cs="Times New Roman"/>
          <w:b/>
          <w:sz w:val="24"/>
          <w:szCs w:val="24"/>
        </w:rPr>
        <w:t>Submission Date:</w:t>
      </w:r>
      <w:r w:rsidR="00314713">
        <w:rPr>
          <w:rFonts w:ascii="Times New Roman" w:eastAsia="Times New Roman" w:hAnsi="Times New Roman" w:cs="Times New Roman"/>
          <w:bCs/>
          <w:sz w:val="24"/>
          <w:szCs w:val="24"/>
        </w:rPr>
        <w:t xml:space="preserve"> 12</w:t>
      </w:r>
      <w:r w:rsidR="00314713" w:rsidRPr="00314713">
        <w:rPr>
          <w:rFonts w:ascii="Times New Roman" w:eastAsia="Times New Roman" w:hAnsi="Times New Roman" w:cs="Times New Roman"/>
          <w:bCs/>
          <w:sz w:val="24"/>
          <w:szCs w:val="24"/>
          <w:vertAlign w:val="superscript"/>
        </w:rPr>
        <w:t>th</w:t>
      </w:r>
      <w:r w:rsidR="00314713">
        <w:rPr>
          <w:rFonts w:ascii="Times New Roman" w:eastAsia="Times New Roman" w:hAnsi="Times New Roman" w:cs="Times New Roman"/>
          <w:bCs/>
          <w:sz w:val="24"/>
          <w:szCs w:val="24"/>
        </w:rPr>
        <w:t xml:space="preserve"> January</w:t>
      </w:r>
    </w:p>
    <w:p w14:paraId="65555FFC" w14:textId="77777777" w:rsidR="00BD62CE" w:rsidRPr="00791654" w:rsidRDefault="00BD62CE" w:rsidP="00B51A41">
      <w:pPr>
        <w:spacing w:after="0" w:line="480" w:lineRule="auto"/>
        <w:jc w:val="center"/>
        <w:rPr>
          <w:rFonts w:ascii="Times New Roman" w:eastAsia="Times New Roman" w:hAnsi="Times New Roman" w:cs="Times New Roman"/>
          <w:sz w:val="24"/>
          <w:szCs w:val="24"/>
        </w:rPr>
      </w:pPr>
    </w:p>
    <w:p w14:paraId="17504315" w14:textId="77777777" w:rsidR="00BD62CE" w:rsidRPr="00791654" w:rsidRDefault="00BD62CE" w:rsidP="00B51A41">
      <w:pPr>
        <w:spacing w:after="0" w:line="480" w:lineRule="auto"/>
        <w:rPr>
          <w:rFonts w:ascii="Times New Roman" w:eastAsia="Times New Roman" w:hAnsi="Times New Roman" w:cs="Times New Roman"/>
          <w:sz w:val="24"/>
          <w:szCs w:val="24"/>
        </w:rPr>
      </w:pPr>
    </w:p>
    <w:p w14:paraId="7D2A2BC1" w14:textId="77777777" w:rsidR="00BD62CE" w:rsidRPr="00791654" w:rsidRDefault="00BD62CE" w:rsidP="00B51A41">
      <w:pPr>
        <w:spacing w:after="0" w:line="480" w:lineRule="auto"/>
        <w:rPr>
          <w:rFonts w:ascii="Times New Roman" w:eastAsia="Times New Roman" w:hAnsi="Times New Roman" w:cs="Times New Roman"/>
          <w:bCs/>
          <w:sz w:val="24"/>
          <w:szCs w:val="24"/>
        </w:rPr>
      </w:pPr>
    </w:p>
    <w:p w14:paraId="55DD94FB" w14:textId="77777777" w:rsidR="00D17C5B" w:rsidRPr="00791654" w:rsidRDefault="00D17C5B" w:rsidP="00BD62CE">
      <w:pPr>
        <w:jc w:val="center"/>
        <w:rPr>
          <w:rFonts w:ascii="Times New Roman" w:hAnsi="Times New Roman" w:cs="Times New Roman"/>
          <w:b/>
          <w:sz w:val="24"/>
          <w:szCs w:val="24"/>
        </w:rPr>
      </w:pPr>
    </w:p>
    <w:p w14:paraId="30A9436A" w14:textId="77777777" w:rsidR="00D17C5B" w:rsidRPr="00791654" w:rsidRDefault="00D17C5B" w:rsidP="00D17C5B">
      <w:pPr>
        <w:rPr>
          <w:rFonts w:ascii="Times New Roman" w:hAnsi="Times New Roman" w:cs="Times New Roman"/>
          <w:b/>
          <w:sz w:val="24"/>
          <w:szCs w:val="24"/>
        </w:rPr>
      </w:pPr>
    </w:p>
    <w:p w14:paraId="688C185D" w14:textId="77777777" w:rsidR="00727086" w:rsidRPr="00791654" w:rsidRDefault="0063748C" w:rsidP="00D17C5B">
      <w:pPr>
        <w:pStyle w:val="Heading1"/>
        <w:rPr>
          <w:rFonts w:ascii="Times New Roman" w:hAnsi="Times New Roman" w:cs="Times New Roman"/>
          <w:sz w:val="24"/>
          <w:szCs w:val="24"/>
        </w:rPr>
      </w:pPr>
      <w:r w:rsidRPr="00791654">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eastAsia="en-US"/>
        </w:rPr>
        <w:id w:val="-1340305580"/>
        <w:docPartObj>
          <w:docPartGallery w:val="Table of Contents"/>
          <w:docPartUnique/>
        </w:docPartObj>
      </w:sdtPr>
      <w:sdtEndPr>
        <w:rPr>
          <w:noProof/>
        </w:rPr>
      </w:sdtEndPr>
      <w:sdtContent>
        <w:p w14:paraId="618FA656" w14:textId="77777777" w:rsidR="0027293B" w:rsidRPr="00791654" w:rsidRDefault="0063748C" w:rsidP="00B51A41">
          <w:pPr>
            <w:pStyle w:val="TOCHeading"/>
            <w:spacing w:before="0" w:line="480" w:lineRule="auto"/>
            <w:rPr>
              <w:rFonts w:ascii="Times New Roman" w:hAnsi="Times New Roman" w:cs="Times New Roman"/>
              <w:sz w:val="24"/>
              <w:szCs w:val="24"/>
            </w:rPr>
          </w:pPr>
          <w:r w:rsidRPr="00791654">
            <w:rPr>
              <w:rFonts w:ascii="Times New Roman" w:hAnsi="Times New Roman" w:cs="Times New Roman"/>
              <w:sz w:val="24"/>
              <w:szCs w:val="24"/>
            </w:rPr>
            <w:t>Table of Contents</w:t>
          </w:r>
        </w:p>
        <w:p w14:paraId="3CDE3962" w14:textId="29624C3D" w:rsidR="00FB5B85" w:rsidRDefault="0063748C">
          <w:pPr>
            <w:pStyle w:val="TOC1"/>
            <w:tabs>
              <w:tab w:val="right" w:leader="dot" w:pos="9350"/>
            </w:tabs>
            <w:rPr>
              <w:rFonts w:eastAsiaTheme="minorEastAsia"/>
              <w:noProof/>
              <w:kern w:val="2"/>
              <w:sz w:val="24"/>
              <w:szCs w:val="24"/>
              <w14:ligatures w14:val="standardContextual"/>
            </w:rPr>
          </w:pPr>
          <w:r w:rsidRPr="00791654">
            <w:rPr>
              <w:rFonts w:ascii="Times New Roman" w:hAnsi="Times New Roman" w:cs="Times New Roman"/>
              <w:sz w:val="24"/>
              <w:szCs w:val="24"/>
            </w:rPr>
            <w:fldChar w:fldCharType="begin"/>
          </w:r>
          <w:r w:rsidR="00803AB3" w:rsidRPr="00791654">
            <w:rPr>
              <w:rFonts w:ascii="Times New Roman" w:hAnsi="Times New Roman" w:cs="Times New Roman"/>
              <w:sz w:val="24"/>
              <w:szCs w:val="24"/>
            </w:rPr>
            <w:instrText xml:space="preserve"> TOC \o "1-3" \h \z \u </w:instrText>
          </w:r>
          <w:r w:rsidRPr="00791654">
            <w:rPr>
              <w:rFonts w:ascii="Times New Roman" w:hAnsi="Times New Roman" w:cs="Times New Roman"/>
              <w:sz w:val="24"/>
              <w:szCs w:val="24"/>
            </w:rPr>
            <w:fldChar w:fldCharType="separate"/>
          </w:r>
          <w:hyperlink w:anchor="_Toc217852616" w:history="1">
            <w:r w:rsidR="00FB5B85" w:rsidRPr="00C42796">
              <w:rPr>
                <w:rStyle w:val="Hyperlink"/>
                <w:rFonts w:ascii="Times New Roman" w:hAnsi="Times New Roman" w:cs="Times New Roman"/>
                <w:noProof/>
              </w:rPr>
              <w:t>PART ONE: FINANCIAL RATIO ANALYSIS REPORT</w:t>
            </w:r>
            <w:r w:rsidR="00FB5B85">
              <w:rPr>
                <w:noProof/>
                <w:webHidden/>
              </w:rPr>
              <w:tab/>
            </w:r>
            <w:r w:rsidR="00FB5B85">
              <w:rPr>
                <w:noProof/>
                <w:webHidden/>
              </w:rPr>
              <w:fldChar w:fldCharType="begin"/>
            </w:r>
            <w:r w:rsidR="00FB5B85">
              <w:rPr>
                <w:noProof/>
                <w:webHidden/>
              </w:rPr>
              <w:instrText xml:space="preserve"> PAGEREF _Toc217852616 \h </w:instrText>
            </w:r>
            <w:r w:rsidR="00FB5B85">
              <w:rPr>
                <w:noProof/>
                <w:webHidden/>
              </w:rPr>
            </w:r>
            <w:r w:rsidR="00FB5B85">
              <w:rPr>
                <w:noProof/>
                <w:webHidden/>
              </w:rPr>
              <w:fldChar w:fldCharType="separate"/>
            </w:r>
            <w:r w:rsidR="00FB5B85">
              <w:rPr>
                <w:noProof/>
                <w:webHidden/>
              </w:rPr>
              <w:t>3</w:t>
            </w:r>
            <w:r w:rsidR="00FB5B85">
              <w:rPr>
                <w:noProof/>
                <w:webHidden/>
              </w:rPr>
              <w:fldChar w:fldCharType="end"/>
            </w:r>
          </w:hyperlink>
        </w:p>
        <w:p w14:paraId="344C3753" w14:textId="79C88684" w:rsidR="00FB5B85" w:rsidRDefault="00FB5B85">
          <w:pPr>
            <w:pStyle w:val="TOC2"/>
            <w:tabs>
              <w:tab w:val="right" w:leader="dot" w:pos="9350"/>
            </w:tabs>
            <w:rPr>
              <w:rFonts w:eastAsiaTheme="minorEastAsia"/>
              <w:noProof/>
              <w:kern w:val="2"/>
              <w:sz w:val="24"/>
              <w:szCs w:val="24"/>
              <w14:ligatures w14:val="standardContextual"/>
            </w:rPr>
          </w:pPr>
          <w:hyperlink w:anchor="_Toc217852617" w:history="1">
            <w:r w:rsidRPr="00C42796">
              <w:rPr>
                <w:rStyle w:val="Hyperlink"/>
                <w:noProof/>
              </w:rPr>
              <w:t>Executive Summary</w:t>
            </w:r>
            <w:r>
              <w:rPr>
                <w:noProof/>
                <w:webHidden/>
              </w:rPr>
              <w:tab/>
            </w:r>
            <w:r>
              <w:rPr>
                <w:noProof/>
                <w:webHidden/>
              </w:rPr>
              <w:fldChar w:fldCharType="begin"/>
            </w:r>
            <w:r>
              <w:rPr>
                <w:noProof/>
                <w:webHidden/>
              </w:rPr>
              <w:instrText xml:space="preserve"> PAGEREF _Toc217852617 \h </w:instrText>
            </w:r>
            <w:r>
              <w:rPr>
                <w:noProof/>
                <w:webHidden/>
              </w:rPr>
            </w:r>
            <w:r>
              <w:rPr>
                <w:noProof/>
                <w:webHidden/>
              </w:rPr>
              <w:fldChar w:fldCharType="separate"/>
            </w:r>
            <w:r>
              <w:rPr>
                <w:noProof/>
                <w:webHidden/>
              </w:rPr>
              <w:t>3</w:t>
            </w:r>
            <w:r>
              <w:rPr>
                <w:noProof/>
                <w:webHidden/>
              </w:rPr>
              <w:fldChar w:fldCharType="end"/>
            </w:r>
          </w:hyperlink>
        </w:p>
        <w:p w14:paraId="6AF33302" w14:textId="73505936" w:rsidR="00FB5B85" w:rsidRDefault="00FB5B85">
          <w:pPr>
            <w:pStyle w:val="TOC3"/>
            <w:tabs>
              <w:tab w:val="right" w:leader="dot" w:pos="9350"/>
            </w:tabs>
            <w:rPr>
              <w:rFonts w:eastAsiaTheme="minorEastAsia"/>
              <w:noProof/>
              <w:kern w:val="2"/>
              <w:sz w:val="24"/>
              <w:szCs w:val="24"/>
              <w14:ligatures w14:val="standardContextual"/>
            </w:rPr>
          </w:pPr>
          <w:hyperlink w:anchor="_Toc217852618" w:history="1">
            <w:r w:rsidRPr="00C42796">
              <w:rPr>
                <w:rStyle w:val="Hyperlink"/>
                <w:noProof/>
              </w:rPr>
              <w:t>1. Introduction</w:t>
            </w:r>
            <w:r>
              <w:rPr>
                <w:noProof/>
                <w:webHidden/>
              </w:rPr>
              <w:tab/>
            </w:r>
            <w:r>
              <w:rPr>
                <w:noProof/>
                <w:webHidden/>
              </w:rPr>
              <w:fldChar w:fldCharType="begin"/>
            </w:r>
            <w:r>
              <w:rPr>
                <w:noProof/>
                <w:webHidden/>
              </w:rPr>
              <w:instrText xml:space="preserve"> PAGEREF _Toc217852618 \h </w:instrText>
            </w:r>
            <w:r>
              <w:rPr>
                <w:noProof/>
                <w:webHidden/>
              </w:rPr>
            </w:r>
            <w:r>
              <w:rPr>
                <w:noProof/>
                <w:webHidden/>
              </w:rPr>
              <w:fldChar w:fldCharType="separate"/>
            </w:r>
            <w:r>
              <w:rPr>
                <w:noProof/>
                <w:webHidden/>
              </w:rPr>
              <w:t>3</w:t>
            </w:r>
            <w:r>
              <w:rPr>
                <w:noProof/>
                <w:webHidden/>
              </w:rPr>
              <w:fldChar w:fldCharType="end"/>
            </w:r>
          </w:hyperlink>
        </w:p>
        <w:p w14:paraId="0EF8B4FD" w14:textId="5516311A" w:rsidR="00FB5B85" w:rsidRDefault="00FB5B85">
          <w:pPr>
            <w:pStyle w:val="TOC3"/>
            <w:tabs>
              <w:tab w:val="right" w:leader="dot" w:pos="9350"/>
            </w:tabs>
            <w:rPr>
              <w:rFonts w:eastAsiaTheme="minorEastAsia"/>
              <w:noProof/>
              <w:kern w:val="2"/>
              <w:sz w:val="24"/>
              <w:szCs w:val="24"/>
              <w14:ligatures w14:val="standardContextual"/>
            </w:rPr>
          </w:pPr>
          <w:hyperlink w:anchor="_Toc217852619" w:history="1">
            <w:r w:rsidRPr="00C42796">
              <w:rPr>
                <w:rStyle w:val="Hyperlink"/>
                <w:noProof/>
              </w:rPr>
              <w:t>2. Methodology and Data Sources</w:t>
            </w:r>
            <w:r>
              <w:rPr>
                <w:noProof/>
                <w:webHidden/>
              </w:rPr>
              <w:tab/>
            </w:r>
            <w:r>
              <w:rPr>
                <w:noProof/>
                <w:webHidden/>
              </w:rPr>
              <w:fldChar w:fldCharType="begin"/>
            </w:r>
            <w:r>
              <w:rPr>
                <w:noProof/>
                <w:webHidden/>
              </w:rPr>
              <w:instrText xml:space="preserve"> PAGEREF _Toc217852619 \h </w:instrText>
            </w:r>
            <w:r>
              <w:rPr>
                <w:noProof/>
                <w:webHidden/>
              </w:rPr>
            </w:r>
            <w:r>
              <w:rPr>
                <w:noProof/>
                <w:webHidden/>
              </w:rPr>
              <w:fldChar w:fldCharType="separate"/>
            </w:r>
            <w:r>
              <w:rPr>
                <w:noProof/>
                <w:webHidden/>
              </w:rPr>
              <w:t>4</w:t>
            </w:r>
            <w:r>
              <w:rPr>
                <w:noProof/>
                <w:webHidden/>
              </w:rPr>
              <w:fldChar w:fldCharType="end"/>
            </w:r>
          </w:hyperlink>
        </w:p>
        <w:p w14:paraId="7643F8B1" w14:textId="2EE97E1F" w:rsidR="00FB5B85" w:rsidRDefault="00FB5B85">
          <w:pPr>
            <w:pStyle w:val="TOC3"/>
            <w:tabs>
              <w:tab w:val="right" w:leader="dot" w:pos="9350"/>
            </w:tabs>
            <w:rPr>
              <w:rFonts w:eastAsiaTheme="minorEastAsia"/>
              <w:noProof/>
              <w:kern w:val="2"/>
              <w:sz w:val="24"/>
              <w:szCs w:val="24"/>
              <w14:ligatures w14:val="standardContextual"/>
            </w:rPr>
          </w:pPr>
          <w:hyperlink w:anchor="_Toc217852620" w:history="1">
            <w:r w:rsidRPr="00C42796">
              <w:rPr>
                <w:rStyle w:val="Hyperlink"/>
                <w:noProof/>
              </w:rPr>
              <w:t>3. Financial Ratio Analysis and Evaluation</w:t>
            </w:r>
            <w:r>
              <w:rPr>
                <w:noProof/>
                <w:webHidden/>
              </w:rPr>
              <w:tab/>
            </w:r>
            <w:r>
              <w:rPr>
                <w:noProof/>
                <w:webHidden/>
              </w:rPr>
              <w:fldChar w:fldCharType="begin"/>
            </w:r>
            <w:r>
              <w:rPr>
                <w:noProof/>
                <w:webHidden/>
              </w:rPr>
              <w:instrText xml:space="preserve"> PAGEREF _Toc217852620 \h </w:instrText>
            </w:r>
            <w:r>
              <w:rPr>
                <w:noProof/>
                <w:webHidden/>
              </w:rPr>
            </w:r>
            <w:r>
              <w:rPr>
                <w:noProof/>
                <w:webHidden/>
              </w:rPr>
              <w:fldChar w:fldCharType="separate"/>
            </w:r>
            <w:r>
              <w:rPr>
                <w:noProof/>
                <w:webHidden/>
              </w:rPr>
              <w:t>4</w:t>
            </w:r>
            <w:r>
              <w:rPr>
                <w:noProof/>
                <w:webHidden/>
              </w:rPr>
              <w:fldChar w:fldCharType="end"/>
            </w:r>
          </w:hyperlink>
        </w:p>
        <w:p w14:paraId="28A893A4" w14:textId="3EDFB350" w:rsidR="00FB5B85" w:rsidRDefault="00FB5B85">
          <w:pPr>
            <w:pStyle w:val="TOC3"/>
            <w:tabs>
              <w:tab w:val="right" w:leader="dot" w:pos="9350"/>
            </w:tabs>
            <w:rPr>
              <w:rFonts w:eastAsiaTheme="minorEastAsia"/>
              <w:noProof/>
              <w:kern w:val="2"/>
              <w:sz w:val="24"/>
              <w:szCs w:val="24"/>
              <w14:ligatures w14:val="standardContextual"/>
            </w:rPr>
          </w:pPr>
          <w:hyperlink w:anchor="_Toc217852621" w:history="1">
            <w:r w:rsidRPr="00C42796">
              <w:rPr>
                <w:rStyle w:val="Hyperlink"/>
                <w:noProof/>
              </w:rPr>
              <w:t>4. Limitations of Ratio Analysis</w:t>
            </w:r>
            <w:r>
              <w:rPr>
                <w:noProof/>
                <w:webHidden/>
              </w:rPr>
              <w:tab/>
            </w:r>
            <w:r>
              <w:rPr>
                <w:noProof/>
                <w:webHidden/>
              </w:rPr>
              <w:fldChar w:fldCharType="begin"/>
            </w:r>
            <w:r>
              <w:rPr>
                <w:noProof/>
                <w:webHidden/>
              </w:rPr>
              <w:instrText xml:space="preserve"> PAGEREF _Toc217852621 \h </w:instrText>
            </w:r>
            <w:r>
              <w:rPr>
                <w:noProof/>
                <w:webHidden/>
              </w:rPr>
            </w:r>
            <w:r>
              <w:rPr>
                <w:noProof/>
                <w:webHidden/>
              </w:rPr>
              <w:fldChar w:fldCharType="separate"/>
            </w:r>
            <w:r>
              <w:rPr>
                <w:noProof/>
                <w:webHidden/>
              </w:rPr>
              <w:t>12</w:t>
            </w:r>
            <w:r>
              <w:rPr>
                <w:noProof/>
                <w:webHidden/>
              </w:rPr>
              <w:fldChar w:fldCharType="end"/>
            </w:r>
          </w:hyperlink>
        </w:p>
        <w:p w14:paraId="6634BF6F" w14:textId="34004163" w:rsidR="00FB5B85" w:rsidRDefault="00FB5B85">
          <w:pPr>
            <w:pStyle w:val="TOC3"/>
            <w:tabs>
              <w:tab w:val="right" w:leader="dot" w:pos="9350"/>
            </w:tabs>
            <w:rPr>
              <w:rFonts w:eastAsiaTheme="minorEastAsia"/>
              <w:noProof/>
              <w:kern w:val="2"/>
              <w:sz w:val="24"/>
              <w:szCs w:val="24"/>
              <w14:ligatures w14:val="standardContextual"/>
            </w:rPr>
          </w:pPr>
          <w:hyperlink w:anchor="_Toc217852622" w:history="1">
            <w:r w:rsidRPr="00C42796">
              <w:rPr>
                <w:rStyle w:val="Hyperlink"/>
                <w:noProof/>
              </w:rPr>
              <w:t>5. Recommendations</w:t>
            </w:r>
            <w:r>
              <w:rPr>
                <w:noProof/>
                <w:webHidden/>
              </w:rPr>
              <w:tab/>
            </w:r>
            <w:r>
              <w:rPr>
                <w:noProof/>
                <w:webHidden/>
              </w:rPr>
              <w:fldChar w:fldCharType="begin"/>
            </w:r>
            <w:r>
              <w:rPr>
                <w:noProof/>
                <w:webHidden/>
              </w:rPr>
              <w:instrText xml:space="preserve"> PAGEREF _Toc217852622 \h </w:instrText>
            </w:r>
            <w:r>
              <w:rPr>
                <w:noProof/>
                <w:webHidden/>
              </w:rPr>
            </w:r>
            <w:r>
              <w:rPr>
                <w:noProof/>
                <w:webHidden/>
              </w:rPr>
              <w:fldChar w:fldCharType="separate"/>
            </w:r>
            <w:r>
              <w:rPr>
                <w:noProof/>
                <w:webHidden/>
              </w:rPr>
              <w:t>12</w:t>
            </w:r>
            <w:r>
              <w:rPr>
                <w:noProof/>
                <w:webHidden/>
              </w:rPr>
              <w:fldChar w:fldCharType="end"/>
            </w:r>
          </w:hyperlink>
        </w:p>
        <w:p w14:paraId="10A102C2" w14:textId="0F53BB54" w:rsidR="00FB5B85" w:rsidRDefault="00FB5B85">
          <w:pPr>
            <w:pStyle w:val="TOC3"/>
            <w:tabs>
              <w:tab w:val="right" w:leader="dot" w:pos="9350"/>
            </w:tabs>
            <w:rPr>
              <w:rFonts w:eastAsiaTheme="minorEastAsia"/>
              <w:noProof/>
              <w:kern w:val="2"/>
              <w:sz w:val="24"/>
              <w:szCs w:val="24"/>
              <w14:ligatures w14:val="standardContextual"/>
            </w:rPr>
          </w:pPr>
          <w:hyperlink w:anchor="_Toc217852623" w:history="1">
            <w:r w:rsidRPr="00C42796">
              <w:rPr>
                <w:rStyle w:val="Hyperlink"/>
                <w:noProof/>
              </w:rPr>
              <w:t>6. Conclusion</w:t>
            </w:r>
            <w:r>
              <w:rPr>
                <w:noProof/>
                <w:webHidden/>
              </w:rPr>
              <w:tab/>
            </w:r>
            <w:r>
              <w:rPr>
                <w:noProof/>
                <w:webHidden/>
              </w:rPr>
              <w:fldChar w:fldCharType="begin"/>
            </w:r>
            <w:r>
              <w:rPr>
                <w:noProof/>
                <w:webHidden/>
              </w:rPr>
              <w:instrText xml:space="preserve"> PAGEREF _Toc217852623 \h </w:instrText>
            </w:r>
            <w:r>
              <w:rPr>
                <w:noProof/>
                <w:webHidden/>
              </w:rPr>
            </w:r>
            <w:r>
              <w:rPr>
                <w:noProof/>
                <w:webHidden/>
              </w:rPr>
              <w:fldChar w:fldCharType="separate"/>
            </w:r>
            <w:r>
              <w:rPr>
                <w:noProof/>
                <w:webHidden/>
              </w:rPr>
              <w:t>13</w:t>
            </w:r>
            <w:r>
              <w:rPr>
                <w:noProof/>
                <w:webHidden/>
              </w:rPr>
              <w:fldChar w:fldCharType="end"/>
            </w:r>
          </w:hyperlink>
        </w:p>
        <w:p w14:paraId="0BF38281" w14:textId="124D423A" w:rsidR="00FB5B85" w:rsidRDefault="00FB5B85">
          <w:pPr>
            <w:pStyle w:val="TOC2"/>
            <w:tabs>
              <w:tab w:val="right" w:leader="dot" w:pos="9350"/>
            </w:tabs>
            <w:rPr>
              <w:rFonts w:eastAsiaTheme="minorEastAsia"/>
              <w:noProof/>
              <w:kern w:val="2"/>
              <w:sz w:val="24"/>
              <w:szCs w:val="24"/>
              <w14:ligatures w14:val="standardContextual"/>
            </w:rPr>
          </w:pPr>
          <w:hyperlink w:anchor="_Toc217852624" w:history="1">
            <w:r w:rsidRPr="00C42796">
              <w:rPr>
                <w:rStyle w:val="Hyperlink"/>
                <w:noProof/>
              </w:rPr>
              <w:t>Appendix A</w:t>
            </w:r>
            <w:r>
              <w:rPr>
                <w:noProof/>
                <w:webHidden/>
              </w:rPr>
              <w:tab/>
            </w:r>
            <w:r>
              <w:rPr>
                <w:noProof/>
                <w:webHidden/>
              </w:rPr>
              <w:fldChar w:fldCharType="begin"/>
            </w:r>
            <w:r>
              <w:rPr>
                <w:noProof/>
                <w:webHidden/>
              </w:rPr>
              <w:instrText xml:space="preserve"> PAGEREF _Toc217852624 \h </w:instrText>
            </w:r>
            <w:r>
              <w:rPr>
                <w:noProof/>
                <w:webHidden/>
              </w:rPr>
            </w:r>
            <w:r>
              <w:rPr>
                <w:noProof/>
                <w:webHidden/>
              </w:rPr>
              <w:fldChar w:fldCharType="separate"/>
            </w:r>
            <w:r>
              <w:rPr>
                <w:noProof/>
                <w:webHidden/>
              </w:rPr>
              <w:t>14</w:t>
            </w:r>
            <w:r>
              <w:rPr>
                <w:noProof/>
                <w:webHidden/>
              </w:rPr>
              <w:fldChar w:fldCharType="end"/>
            </w:r>
          </w:hyperlink>
        </w:p>
        <w:p w14:paraId="17E240EB" w14:textId="4458BB96" w:rsidR="00FB5B85" w:rsidRDefault="00FB5B85">
          <w:pPr>
            <w:pStyle w:val="TOC1"/>
            <w:tabs>
              <w:tab w:val="right" w:leader="dot" w:pos="9350"/>
            </w:tabs>
            <w:rPr>
              <w:rFonts w:eastAsiaTheme="minorEastAsia"/>
              <w:noProof/>
              <w:kern w:val="2"/>
              <w:sz w:val="24"/>
              <w:szCs w:val="24"/>
              <w14:ligatures w14:val="standardContextual"/>
            </w:rPr>
          </w:pPr>
          <w:hyperlink w:anchor="_Toc217852625" w:history="1">
            <w:r w:rsidRPr="00C42796">
              <w:rPr>
                <w:rStyle w:val="Hyperlink"/>
                <w:rFonts w:ascii="Times New Roman" w:eastAsia="Times New Roman" w:hAnsi="Times New Roman" w:cs="Times New Roman"/>
                <w:noProof/>
              </w:rPr>
              <w:t>PART TWO: WESTWOOD PLC INVESTMENT APPRAISAL</w:t>
            </w:r>
            <w:r>
              <w:rPr>
                <w:noProof/>
                <w:webHidden/>
              </w:rPr>
              <w:tab/>
            </w:r>
            <w:r>
              <w:rPr>
                <w:noProof/>
                <w:webHidden/>
              </w:rPr>
              <w:fldChar w:fldCharType="begin"/>
            </w:r>
            <w:r>
              <w:rPr>
                <w:noProof/>
                <w:webHidden/>
              </w:rPr>
              <w:instrText xml:space="preserve"> PAGEREF _Toc217852625 \h </w:instrText>
            </w:r>
            <w:r>
              <w:rPr>
                <w:noProof/>
                <w:webHidden/>
              </w:rPr>
            </w:r>
            <w:r>
              <w:rPr>
                <w:noProof/>
                <w:webHidden/>
              </w:rPr>
              <w:fldChar w:fldCharType="separate"/>
            </w:r>
            <w:r>
              <w:rPr>
                <w:noProof/>
                <w:webHidden/>
              </w:rPr>
              <w:t>17</w:t>
            </w:r>
            <w:r>
              <w:rPr>
                <w:noProof/>
                <w:webHidden/>
              </w:rPr>
              <w:fldChar w:fldCharType="end"/>
            </w:r>
          </w:hyperlink>
        </w:p>
        <w:p w14:paraId="5DE137BC" w14:textId="634C8624" w:rsidR="00FB5B85" w:rsidRDefault="00FB5B85">
          <w:pPr>
            <w:pStyle w:val="TOC2"/>
            <w:tabs>
              <w:tab w:val="right" w:leader="dot" w:pos="9350"/>
            </w:tabs>
            <w:rPr>
              <w:rFonts w:eastAsiaTheme="minorEastAsia"/>
              <w:noProof/>
              <w:kern w:val="2"/>
              <w:sz w:val="24"/>
              <w:szCs w:val="24"/>
              <w14:ligatures w14:val="standardContextual"/>
            </w:rPr>
          </w:pPr>
          <w:hyperlink w:anchor="_Toc217852626" w:history="1">
            <w:r w:rsidRPr="00C42796">
              <w:rPr>
                <w:rStyle w:val="Hyperlink"/>
                <w:noProof/>
              </w:rPr>
              <w:t>Executive Summary</w:t>
            </w:r>
            <w:r>
              <w:rPr>
                <w:noProof/>
                <w:webHidden/>
              </w:rPr>
              <w:tab/>
            </w:r>
            <w:r>
              <w:rPr>
                <w:noProof/>
                <w:webHidden/>
              </w:rPr>
              <w:fldChar w:fldCharType="begin"/>
            </w:r>
            <w:r>
              <w:rPr>
                <w:noProof/>
                <w:webHidden/>
              </w:rPr>
              <w:instrText xml:space="preserve"> PAGEREF _Toc217852626 \h </w:instrText>
            </w:r>
            <w:r>
              <w:rPr>
                <w:noProof/>
                <w:webHidden/>
              </w:rPr>
            </w:r>
            <w:r>
              <w:rPr>
                <w:noProof/>
                <w:webHidden/>
              </w:rPr>
              <w:fldChar w:fldCharType="separate"/>
            </w:r>
            <w:r>
              <w:rPr>
                <w:noProof/>
                <w:webHidden/>
              </w:rPr>
              <w:t>17</w:t>
            </w:r>
            <w:r>
              <w:rPr>
                <w:noProof/>
                <w:webHidden/>
              </w:rPr>
              <w:fldChar w:fldCharType="end"/>
            </w:r>
          </w:hyperlink>
        </w:p>
        <w:p w14:paraId="24240243" w14:textId="165E012B" w:rsidR="00FB5B85" w:rsidRDefault="00FB5B85">
          <w:pPr>
            <w:pStyle w:val="TOC2"/>
            <w:tabs>
              <w:tab w:val="right" w:leader="dot" w:pos="9350"/>
            </w:tabs>
            <w:rPr>
              <w:rFonts w:eastAsiaTheme="minorEastAsia"/>
              <w:noProof/>
              <w:kern w:val="2"/>
              <w:sz w:val="24"/>
              <w:szCs w:val="24"/>
              <w14:ligatures w14:val="standardContextual"/>
            </w:rPr>
          </w:pPr>
          <w:hyperlink w:anchor="_Toc217852627" w:history="1">
            <w:r w:rsidRPr="00C42796">
              <w:rPr>
                <w:rStyle w:val="Hyperlink"/>
                <w:noProof/>
              </w:rPr>
              <w:t>1. Introduction &amp; Objectives</w:t>
            </w:r>
            <w:r>
              <w:rPr>
                <w:noProof/>
                <w:webHidden/>
              </w:rPr>
              <w:tab/>
            </w:r>
            <w:r>
              <w:rPr>
                <w:noProof/>
                <w:webHidden/>
              </w:rPr>
              <w:fldChar w:fldCharType="begin"/>
            </w:r>
            <w:r>
              <w:rPr>
                <w:noProof/>
                <w:webHidden/>
              </w:rPr>
              <w:instrText xml:space="preserve"> PAGEREF _Toc217852627 \h </w:instrText>
            </w:r>
            <w:r>
              <w:rPr>
                <w:noProof/>
                <w:webHidden/>
              </w:rPr>
            </w:r>
            <w:r>
              <w:rPr>
                <w:noProof/>
                <w:webHidden/>
              </w:rPr>
              <w:fldChar w:fldCharType="separate"/>
            </w:r>
            <w:r>
              <w:rPr>
                <w:noProof/>
                <w:webHidden/>
              </w:rPr>
              <w:t>18</w:t>
            </w:r>
            <w:r>
              <w:rPr>
                <w:noProof/>
                <w:webHidden/>
              </w:rPr>
              <w:fldChar w:fldCharType="end"/>
            </w:r>
          </w:hyperlink>
        </w:p>
        <w:p w14:paraId="14778B73" w14:textId="7CB5DA45" w:rsidR="00FB5B85" w:rsidRDefault="00FB5B85">
          <w:pPr>
            <w:pStyle w:val="TOC2"/>
            <w:tabs>
              <w:tab w:val="right" w:leader="dot" w:pos="9350"/>
            </w:tabs>
            <w:rPr>
              <w:rFonts w:eastAsiaTheme="minorEastAsia"/>
              <w:noProof/>
              <w:kern w:val="2"/>
              <w:sz w:val="24"/>
              <w:szCs w:val="24"/>
              <w14:ligatures w14:val="standardContextual"/>
            </w:rPr>
          </w:pPr>
          <w:hyperlink w:anchor="_Toc217852628" w:history="1">
            <w:r w:rsidRPr="00C42796">
              <w:rPr>
                <w:rStyle w:val="Hyperlink"/>
                <w:noProof/>
              </w:rPr>
              <w:t>2. Methodology &amp; Data Sources</w:t>
            </w:r>
            <w:r>
              <w:rPr>
                <w:noProof/>
                <w:webHidden/>
              </w:rPr>
              <w:tab/>
            </w:r>
            <w:r>
              <w:rPr>
                <w:noProof/>
                <w:webHidden/>
              </w:rPr>
              <w:fldChar w:fldCharType="begin"/>
            </w:r>
            <w:r>
              <w:rPr>
                <w:noProof/>
                <w:webHidden/>
              </w:rPr>
              <w:instrText xml:space="preserve"> PAGEREF _Toc217852628 \h </w:instrText>
            </w:r>
            <w:r>
              <w:rPr>
                <w:noProof/>
                <w:webHidden/>
              </w:rPr>
            </w:r>
            <w:r>
              <w:rPr>
                <w:noProof/>
                <w:webHidden/>
              </w:rPr>
              <w:fldChar w:fldCharType="separate"/>
            </w:r>
            <w:r>
              <w:rPr>
                <w:noProof/>
                <w:webHidden/>
              </w:rPr>
              <w:t>19</w:t>
            </w:r>
            <w:r>
              <w:rPr>
                <w:noProof/>
                <w:webHidden/>
              </w:rPr>
              <w:fldChar w:fldCharType="end"/>
            </w:r>
          </w:hyperlink>
        </w:p>
        <w:p w14:paraId="492D7CB7" w14:textId="3B83B5D5" w:rsidR="00FB5B85" w:rsidRDefault="00FB5B85">
          <w:pPr>
            <w:pStyle w:val="TOC2"/>
            <w:tabs>
              <w:tab w:val="right" w:leader="dot" w:pos="9350"/>
            </w:tabs>
            <w:rPr>
              <w:rFonts w:eastAsiaTheme="minorEastAsia"/>
              <w:noProof/>
              <w:kern w:val="2"/>
              <w:sz w:val="24"/>
              <w:szCs w:val="24"/>
              <w14:ligatures w14:val="standardContextual"/>
            </w:rPr>
          </w:pPr>
          <w:hyperlink w:anchor="_Toc217852629" w:history="1">
            <w:r w:rsidRPr="00C42796">
              <w:rPr>
                <w:rStyle w:val="Hyperlink"/>
                <w:noProof/>
              </w:rPr>
              <w:t>3. After-Tax Cash Flow Calculation</w:t>
            </w:r>
            <w:r>
              <w:rPr>
                <w:noProof/>
                <w:webHidden/>
              </w:rPr>
              <w:tab/>
            </w:r>
            <w:r>
              <w:rPr>
                <w:noProof/>
                <w:webHidden/>
              </w:rPr>
              <w:fldChar w:fldCharType="begin"/>
            </w:r>
            <w:r>
              <w:rPr>
                <w:noProof/>
                <w:webHidden/>
              </w:rPr>
              <w:instrText xml:space="preserve"> PAGEREF _Toc217852629 \h </w:instrText>
            </w:r>
            <w:r>
              <w:rPr>
                <w:noProof/>
                <w:webHidden/>
              </w:rPr>
            </w:r>
            <w:r>
              <w:rPr>
                <w:noProof/>
                <w:webHidden/>
              </w:rPr>
              <w:fldChar w:fldCharType="separate"/>
            </w:r>
            <w:r>
              <w:rPr>
                <w:noProof/>
                <w:webHidden/>
              </w:rPr>
              <w:t>19</w:t>
            </w:r>
            <w:r>
              <w:rPr>
                <w:noProof/>
                <w:webHidden/>
              </w:rPr>
              <w:fldChar w:fldCharType="end"/>
            </w:r>
          </w:hyperlink>
        </w:p>
        <w:p w14:paraId="71164C53" w14:textId="20A6CF45" w:rsidR="00FB5B85" w:rsidRDefault="00FB5B85">
          <w:pPr>
            <w:pStyle w:val="TOC2"/>
            <w:tabs>
              <w:tab w:val="right" w:leader="dot" w:pos="9350"/>
            </w:tabs>
            <w:rPr>
              <w:rFonts w:eastAsiaTheme="minorEastAsia"/>
              <w:noProof/>
              <w:kern w:val="2"/>
              <w:sz w:val="24"/>
              <w:szCs w:val="24"/>
              <w14:ligatures w14:val="standardContextual"/>
            </w:rPr>
          </w:pPr>
          <w:hyperlink w:anchor="_Toc217852630" w:history="1">
            <w:r w:rsidRPr="00C42796">
              <w:rPr>
                <w:rStyle w:val="Hyperlink"/>
                <w:noProof/>
              </w:rPr>
              <w:t>4. Net Present Value (NPV) Calculation</w:t>
            </w:r>
            <w:r>
              <w:rPr>
                <w:noProof/>
                <w:webHidden/>
              </w:rPr>
              <w:tab/>
            </w:r>
            <w:r>
              <w:rPr>
                <w:noProof/>
                <w:webHidden/>
              </w:rPr>
              <w:fldChar w:fldCharType="begin"/>
            </w:r>
            <w:r>
              <w:rPr>
                <w:noProof/>
                <w:webHidden/>
              </w:rPr>
              <w:instrText xml:space="preserve"> PAGEREF _Toc217852630 \h </w:instrText>
            </w:r>
            <w:r>
              <w:rPr>
                <w:noProof/>
                <w:webHidden/>
              </w:rPr>
            </w:r>
            <w:r>
              <w:rPr>
                <w:noProof/>
                <w:webHidden/>
              </w:rPr>
              <w:fldChar w:fldCharType="separate"/>
            </w:r>
            <w:r>
              <w:rPr>
                <w:noProof/>
                <w:webHidden/>
              </w:rPr>
              <w:t>20</w:t>
            </w:r>
            <w:r>
              <w:rPr>
                <w:noProof/>
                <w:webHidden/>
              </w:rPr>
              <w:fldChar w:fldCharType="end"/>
            </w:r>
          </w:hyperlink>
        </w:p>
        <w:p w14:paraId="7F7AEFCE" w14:textId="1AB3590E" w:rsidR="00FB5B85" w:rsidRDefault="00FB5B85">
          <w:pPr>
            <w:pStyle w:val="TOC2"/>
            <w:tabs>
              <w:tab w:val="right" w:leader="dot" w:pos="9350"/>
            </w:tabs>
            <w:rPr>
              <w:rFonts w:eastAsiaTheme="minorEastAsia"/>
              <w:noProof/>
              <w:kern w:val="2"/>
              <w:sz w:val="24"/>
              <w:szCs w:val="24"/>
              <w14:ligatures w14:val="standardContextual"/>
            </w:rPr>
          </w:pPr>
          <w:hyperlink w:anchor="_Toc217852631" w:history="1">
            <w:r w:rsidRPr="00C42796">
              <w:rPr>
                <w:rStyle w:val="Hyperlink"/>
                <w:noProof/>
              </w:rPr>
              <w:t>5. Calculation of Internal Rate of Return (IRR).</w:t>
            </w:r>
            <w:r>
              <w:rPr>
                <w:noProof/>
                <w:webHidden/>
              </w:rPr>
              <w:tab/>
            </w:r>
            <w:r>
              <w:rPr>
                <w:noProof/>
                <w:webHidden/>
              </w:rPr>
              <w:fldChar w:fldCharType="begin"/>
            </w:r>
            <w:r>
              <w:rPr>
                <w:noProof/>
                <w:webHidden/>
              </w:rPr>
              <w:instrText xml:space="preserve"> PAGEREF _Toc217852631 \h </w:instrText>
            </w:r>
            <w:r>
              <w:rPr>
                <w:noProof/>
                <w:webHidden/>
              </w:rPr>
            </w:r>
            <w:r>
              <w:rPr>
                <w:noProof/>
                <w:webHidden/>
              </w:rPr>
              <w:fldChar w:fldCharType="separate"/>
            </w:r>
            <w:r>
              <w:rPr>
                <w:noProof/>
                <w:webHidden/>
              </w:rPr>
              <w:t>22</w:t>
            </w:r>
            <w:r>
              <w:rPr>
                <w:noProof/>
                <w:webHidden/>
              </w:rPr>
              <w:fldChar w:fldCharType="end"/>
            </w:r>
          </w:hyperlink>
        </w:p>
        <w:p w14:paraId="2A4EA228" w14:textId="6BDF99FC" w:rsidR="00FB5B85" w:rsidRDefault="00FB5B85">
          <w:pPr>
            <w:pStyle w:val="TOC2"/>
            <w:tabs>
              <w:tab w:val="right" w:leader="dot" w:pos="9350"/>
            </w:tabs>
            <w:rPr>
              <w:rFonts w:eastAsiaTheme="minorEastAsia"/>
              <w:noProof/>
              <w:kern w:val="2"/>
              <w:sz w:val="24"/>
              <w:szCs w:val="24"/>
              <w14:ligatures w14:val="standardContextual"/>
            </w:rPr>
          </w:pPr>
          <w:hyperlink w:anchor="_Toc217852632" w:history="1">
            <w:r w:rsidRPr="00C42796">
              <w:rPr>
                <w:rStyle w:val="Hyperlink"/>
                <w:noProof/>
              </w:rPr>
              <w:t>6. Payback Period</w:t>
            </w:r>
            <w:r>
              <w:rPr>
                <w:noProof/>
                <w:webHidden/>
              </w:rPr>
              <w:tab/>
            </w:r>
            <w:r>
              <w:rPr>
                <w:noProof/>
                <w:webHidden/>
              </w:rPr>
              <w:fldChar w:fldCharType="begin"/>
            </w:r>
            <w:r>
              <w:rPr>
                <w:noProof/>
                <w:webHidden/>
              </w:rPr>
              <w:instrText xml:space="preserve"> PAGEREF _Toc217852632 \h </w:instrText>
            </w:r>
            <w:r>
              <w:rPr>
                <w:noProof/>
                <w:webHidden/>
              </w:rPr>
            </w:r>
            <w:r>
              <w:rPr>
                <w:noProof/>
                <w:webHidden/>
              </w:rPr>
              <w:fldChar w:fldCharType="separate"/>
            </w:r>
            <w:r>
              <w:rPr>
                <w:noProof/>
                <w:webHidden/>
              </w:rPr>
              <w:t>23</w:t>
            </w:r>
            <w:r>
              <w:rPr>
                <w:noProof/>
                <w:webHidden/>
              </w:rPr>
              <w:fldChar w:fldCharType="end"/>
            </w:r>
          </w:hyperlink>
        </w:p>
        <w:p w14:paraId="25AF96CC" w14:textId="72B493A2" w:rsidR="00FB5B85" w:rsidRDefault="00FB5B85">
          <w:pPr>
            <w:pStyle w:val="TOC2"/>
            <w:tabs>
              <w:tab w:val="right" w:leader="dot" w:pos="9350"/>
            </w:tabs>
            <w:rPr>
              <w:rFonts w:eastAsiaTheme="minorEastAsia"/>
              <w:noProof/>
              <w:kern w:val="2"/>
              <w:sz w:val="24"/>
              <w:szCs w:val="24"/>
              <w14:ligatures w14:val="standardContextual"/>
            </w:rPr>
          </w:pPr>
          <w:hyperlink w:anchor="_Toc217852633" w:history="1">
            <w:r w:rsidRPr="00C42796">
              <w:rPr>
                <w:rStyle w:val="Hyperlink"/>
                <w:noProof/>
              </w:rPr>
              <w:t>7. Capital Rationing</w:t>
            </w:r>
            <w:r>
              <w:rPr>
                <w:noProof/>
                <w:webHidden/>
              </w:rPr>
              <w:tab/>
            </w:r>
            <w:r>
              <w:rPr>
                <w:noProof/>
                <w:webHidden/>
              </w:rPr>
              <w:fldChar w:fldCharType="begin"/>
            </w:r>
            <w:r>
              <w:rPr>
                <w:noProof/>
                <w:webHidden/>
              </w:rPr>
              <w:instrText xml:space="preserve"> PAGEREF _Toc217852633 \h </w:instrText>
            </w:r>
            <w:r>
              <w:rPr>
                <w:noProof/>
                <w:webHidden/>
              </w:rPr>
            </w:r>
            <w:r>
              <w:rPr>
                <w:noProof/>
                <w:webHidden/>
              </w:rPr>
              <w:fldChar w:fldCharType="separate"/>
            </w:r>
            <w:r>
              <w:rPr>
                <w:noProof/>
                <w:webHidden/>
              </w:rPr>
              <w:t>24</w:t>
            </w:r>
            <w:r>
              <w:rPr>
                <w:noProof/>
                <w:webHidden/>
              </w:rPr>
              <w:fldChar w:fldCharType="end"/>
            </w:r>
          </w:hyperlink>
        </w:p>
        <w:p w14:paraId="5C38E7C6" w14:textId="0B333AB4" w:rsidR="00FB5B85" w:rsidRDefault="00FB5B85">
          <w:pPr>
            <w:pStyle w:val="TOC2"/>
            <w:tabs>
              <w:tab w:val="right" w:leader="dot" w:pos="9350"/>
            </w:tabs>
            <w:rPr>
              <w:rFonts w:eastAsiaTheme="minorEastAsia"/>
              <w:noProof/>
              <w:kern w:val="2"/>
              <w:sz w:val="24"/>
              <w:szCs w:val="24"/>
              <w14:ligatures w14:val="standardContextual"/>
            </w:rPr>
          </w:pPr>
          <w:hyperlink w:anchor="_Toc217852634" w:history="1">
            <w:r w:rsidRPr="00C42796">
              <w:rPr>
                <w:rStyle w:val="Hyperlink"/>
                <w:noProof/>
              </w:rPr>
              <w:t>8. Management Implications and Strategic Implications.</w:t>
            </w:r>
            <w:r>
              <w:rPr>
                <w:noProof/>
                <w:webHidden/>
              </w:rPr>
              <w:tab/>
            </w:r>
            <w:r>
              <w:rPr>
                <w:noProof/>
                <w:webHidden/>
              </w:rPr>
              <w:fldChar w:fldCharType="begin"/>
            </w:r>
            <w:r>
              <w:rPr>
                <w:noProof/>
                <w:webHidden/>
              </w:rPr>
              <w:instrText xml:space="preserve"> PAGEREF _Toc217852634 \h </w:instrText>
            </w:r>
            <w:r>
              <w:rPr>
                <w:noProof/>
                <w:webHidden/>
              </w:rPr>
            </w:r>
            <w:r>
              <w:rPr>
                <w:noProof/>
                <w:webHidden/>
              </w:rPr>
              <w:fldChar w:fldCharType="separate"/>
            </w:r>
            <w:r>
              <w:rPr>
                <w:noProof/>
                <w:webHidden/>
              </w:rPr>
              <w:t>25</w:t>
            </w:r>
            <w:r>
              <w:rPr>
                <w:noProof/>
                <w:webHidden/>
              </w:rPr>
              <w:fldChar w:fldCharType="end"/>
            </w:r>
          </w:hyperlink>
        </w:p>
        <w:p w14:paraId="0E2084B4" w14:textId="3D2D5336" w:rsidR="00FB5B85" w:rsidRDefault="00FB5B85">
          <w:pPr>
            <w:pStyle w:val="TOC2"/>
            <w:tabs>
              <w:tab w:val="right" w:leader="dot" w:pos="9350"/>
            </w:tabs>
            <w:rPr>
              <w:rFonts w:eastAsiaTheme="minorEastAsia"/>
              <w:noProof/>
              <w:kern w:val="2"/>
              <w:sz w:val="24"/>
              <w:szCs w:val="24"/>
              <w14:ligatures w14:val="standardContextual"/>
            </w:rPr>
          </w:pPr>
          <w:hyperlink w:anchor="_Toc217852635" w:history="1">
            <w:r w:rsidRPr="00C42796">
              <w:rPr>
                <w:rStyle w:val="Hyperlink"/>
                <w:noProof/>
              </w:rPr>
              <w:t>9. Conclusion</w:t>
            </w:r>
            <w:r>
              <w:rPr>
                <w:noProof/>
                <w:webHidden/>
              </w:rPr>
              <w:tab/>
            </w:r>
            <w:r>
              <w:rPr>
                <w:noProof/>
                <w:webHidden/>
              </w:rPr>
              <w:fldChar w:fldCharType="begin"/>
            </w:r>
            <w:r>
              <w:rPr>
                <w:noProof/>
                <w:webHidden/>
              </w:rPr>
              <w:instrText xml:space="preserve"> PAGEREF _Toc217852635 \h </w:instrText>
            </w:r>
            <w:r>
              <w:rPr>
                <w:noProof/>
                <w:webHidden/>
              </w:rPr>
            </w:r>
            <w:r>
              <w:rPr>
                <w:noProof/>
                <w:webHidden/>
              </w:rPr>
              <w:fldChar w:fldCharType="separate"/>
            </w:r>
            <w:r>
              <w:rPr>
                <w:noProof/>
                <w:webHidden/>
              </w:rPr>
              <w:t>26</w:t>
            </w:r>
            <w:r>
              <w:rPr>
                <w:noProof/>
                <w:webHidden/>
              </w:rPr>
              <w:fldChar w:fldCharType="end"/>
            </w:r>
          </w:hyperlink>
        </w:p>
        <w:p w14:paraId="108FA4D7" w14:textId="795FF20B" w:rsidR="00FB5B85" w:rsidRDefault="00FB5B85">
          <w:pPr>
            <w:pStyle w:val="TOC2"/>
            <w:tabs>
              <w:tab w:val="right" w:leader="dot" w:pos="9350"/>
            </w:tabs>
            <w:rPr>
              <w:rFonts w:eastAsiaTheme="minorEastAsia"/>
              <w:noProof/>
              <w:kern w:val="2"/>
              <w:sz w:val="24"/>
              <w:szCs w:val="24"/>
              <w14:ligatures w14:val="standardContextual"/>
            </w:rPr>
          </w:pPr>
          <w:hyperlink w:anchor="_Toc217852636" w:history="1">
            <w:r w:rsidRPr="00C42796">
              <w:rPr>
                <w:rStyle w:val="Hyperlink"/>
                <w:noProof/>
                <w:kern w:val="36"/>
              </w:rPr>
              <w:t>10.</w:t>
            </w:r>
            <w:r w:rsidRPr="00C42796">
              <w:rPr>
                <w:rStyle w:val="Hyperlink"/>
                <w:noProof/>
              </w:rPr>
              <w:t xml:space="preserve"> References,</w:t>
            </w:r>
            <w:r>
              <w:rPr>
                <w:noProof/>
                <w:webHidden/>
              </w:rPr>
              <w:tab/>
            </w:r>
            <w:r>
              <w:rPr>
                <w:noProof/>
                <w:webHidden/>
              </w:rPr>
              <w:fldChar w:fldCharType="begin"/>
            </w:r>
            <w:r>
              <w:rPr>
                <w:noProof/>
                <w:webHidden/>
              </w:rPr>
              <w:instrText xml:space="preserve"> PAGEREF _Toc217852636 \h </w:instrText>
            </w:r>
            <w:r>
              <w:rPr>
                <w:noProof/>
                <w:webHidden/>
              </w:rPr>
            </w:r>
            <w:r>
              <w:rPr>
                <w:noProof/>
                <w:webHidden/>
              </w:rPr>
              <w:fldChar w:fldCharType="separate"/>
            </w:r>
            <w:r>
              <w:rPr>
                <w:noProof/>
                <w:webHidden/>
              </w:rPr>
              <w:t>28</w:t>
            </w:r>
            <w:r>
              <w:rPr>
                <w:noProof/>
                <w:webHidden/>
              </w:rPr>
              <w:fldChar w:fldCharType="end"/>
            </w:r>
          </w:hyperlink>
        </w:p>
        <w:p w14:paraId="71B38F77" w14:textId="4B5A6E3D" w:rsidR="00FB5B85" w:rsidRDefault="00FB5B85">
          <w:pPr>
            <w:pStyle w:val="TOC3"/>
            <w:tabs>
              <w:tab w:val="right" w:leader="dot" w:pos="9350"/>
            </w:tabs>
            <w:rPr>
              <w:rFonts w:eastAsiaTheme="minorEastAsia"/>
              <w:noProof/>
              <w:kern w:val="2"/>
              <w:sz w:val="24"/>
              <w:szCs w:val="24"/>
              <w14:ligatures w14:val="standardContextual"/>
            </w:rPr>
          </w:pPr>
          <w:hyperlink w:anchor="_Toc217852637" w:history="1">
            <w:r w:rsidRPr="00C42796">
              <w:rPr>
                <w:rStyle w:val="Hyperlink"/>
                <w:noProof/>
              </w:rPr>
              <w:t>Appendix B</w:t>
            </w:r>
            <w:r>
              <w:rPr>
                <w:noProof/>
                <w:webHidden/>
              </w:rPr>
              <w:tab/>
            </w:r>
            <w:r>
              <w:rPr>
                <w:noProof/>
                <w:webHidden/>
              </w:rPr>
              <w:fldChar w:fldCharType="begin"/>
            </w:r>
            <w:r>
              <w:rPr>
                <w:noProof/>
                <w:webHidden/>
              </w:rPr>
              <w:instrText xml:space="preserve"> PAGEREF _Toc217852637 \h </w:instrText>
            </w:r>
            <w:r>
              <w:rPr>
                <w:noProof/>
                <w:webHidden/>
              </w:rPr>
            </w:r>
            <w:r>
              <w:rPr>
                <w:noProof/>
                <w:webHidden/>
              </w:rPr>
              <w:fldChar w:fldCharType="separate"/>
            </w:r>
            <w:r>
              <w:rPr>
                <w:noProof/>
                <w:webHidden/>
              </w:rPr>
              <w:t>30</w:t>
            </w:r>
            <w:r>
              <w:rPr>
                <w:noProof/>
                <w:webHidden/>
              </w:rPr>
              <w:fldChar w:fldCharType="end"/>
            </w:r>
          </w:hyperlink>
        </w:p>
        <w:p w14:paraId="488A4DCA" w14:textId="1093AD63" w:rsidR="0027293B" w:rsidRPr="00791654" w:rsidRDefault="0063748C" w:rsidP="009706F7">
          <w:pPr>
            <w:pStyle w:val="TOC2"/>
            <w:tabs>
              <w:tab w:val="right" w:leader="dot" w:pos="9350"/>
            </w:tabs>
            <w:rPr>
              <w:rFonts w:ascii="Times New Roman" w:eastAsiaTheme="minorEastAsia" w:hAnsi="Times New Roman" w:cs="Times New Roman"/>
              <w:noProof/>
              <w:sz w:val="24"/>
              <w:szCs w:val="24"/>
            </w:rPr>
          </w:pPr>
          <w:r w:rsidRPr="00791654">
            <w:rPr>
              <w:rFonts w:ascii="Times New Roman" w:hAnsi="Times New Roman" w:cs="Times New Roman"/>
              <w:b/>
              <w:bCs/>
              <w:noProof/>
              <w:sz w:val="24"/>
              <w:szCs w:val="24"/>
            </w:rPr>
            <w:fldChar w:fldCharType="end"/>
          </w:r>
        </w:p>
      </w:sdtContent>
    </w:sdt>
    <w:p w14:paraId="7CD72794" w14:textId="77777777" w:rsidR="00727086" w:rsidRPr="00791654" w:rsidRDefault="0063748C">
      <w:pPr>
        <w:rPr>
          <w:rFonts w:ascii="Times New Roman" w:eastAsiaTheme="majorEastAsia" w:hAnsi="Times New Roman" w:cs="Times New Roman"/>
          <w:b/>
          <w:bCs/>
          <w:color w:val="365F91" w:themeColor="accent1" w:themeShade="BF"/>
          <w:sz w:val="24"/>
          <w:szCs w:val="24"/>
        </w:rPr>
      </w:pPr>
      <w:r w:rsidRPr="00791654">
        <w:rPr>
          <w:rFonts w:ascii="Times New Roman" w:hAnsi="Times New Roman" w:cs="Times New Roman"/>
          <w:sz w:val="24"/>
          <w:szCs w:val="24"/>
        </w:rPr>
        <w:br w:type="page"/>
      </w:r>
    </w:p>
    <w:p w14:paraId="651659DD" w14:textId="77777777" w:rsidR="00BD62CE" w:rsidRPr="00791654" w:rsidRDefault="0063748C" w:rsidP="00B51A41">
      <w:pPr>
        <w:pStyle w:val="Heading1"/>
        <w:spacing w:before="0" w:line="480" w:lineRule="auto"/>
        <w:rPr>
          <w:rFonts w:ascii="Times New Roman" w:eastAsiaTheme="minorHAnsi" w:hAnsi="Times New Roman" w:cs="Times New Roman"/>
          <w:sz w:val="24"/>
          <w:szCs w:val="24"/>
        </w:rPr>
      </w:pPr>
      <w:bookmarkStart w:id="0" w:name="_Toc217852616"/>
      <w:r w:rsidRPr="00791654">
        <w:rPr>
          <w:rFonts w:ascii="Times New Roman" w:hAnsi="Times New Roman" w:cs="Times New Roman"/>
          <w:sz w:val="24"/>
          <w:szCs w:val="24"/>
        </w:rPr>
        <w:lastRenderedPageBreak/>
        <w:t>PART ONE: FINANCIAL RATIO ANALYSIS REPORT</w:t>
      </w:r>
      <w:bookmarkEnd w:id="0"/>
    </w:p>
    <w:p w14:paraId="2582724A" w14:textId="77777777" w:rsidR="00BD62CE" w:rsidRPr="00791654" w:rsidRDefault="0063748C" w:rsidP="00B51A41">
      <w:pPr>
        <w:pStyle w:val="Heading2"/>
        <w:spacing w:before="0" w:beforeAutospacing="0" w:after="0" w:afterAutospacing="0" w:line="480" w:lineRule="auto"/>
        <w:rPr>
          <w:sz w:val="24"/>
          <w:szCs w:val="24"/>
        </w:rPr>
      </w:pPr>
      <w:bookmarkStart w:id="1" w:name="_Toc217852617"/>
      <w:r w:rsidRPr="00791654">
        <w:rPr>
          <w:sz w:val="24"/>
          <w:szCs w:val="24"/>
        </w:rPr>
        <w:t>Executive Summary</w:t>
      </w:r>
      <w:bookmarkEnd w:id="1"/>
    </w:p>
    <w:p w14:paraId="18675627"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ab/>
      </w:r>
      <w:r w:rsidR="00A27850" w:rsidRPr="00791654">
        <w:rPr>
          <w:rFonts w:ascii="Times New Roman" w:hAnsi="Times New Roman" w:cs="Times New Roman"/>
          <w:sz w:val="24"/>
          <w:szCs w:val="24"/>
        </w:rPr>
        <w:t>This report compares the financial performance and position of Next plc with the key financial ratios of the FY2023 and FY2024. In general, Next plc is a profitable firm that has good liquidity and good working capital regulation. Recommendations are to maximize the efficiency of the operations and increase the shareholder value.</w:t>
      </w:r>
    </w:p>
    <w:p w14:paraId="4F60E4C4" w14:textId="77777777" w:rsidR="00BD62CE" w:rsidRPr="00791654" w:rsidRDefault="0063748C" w:rsidP="00B51A41">
      <w:pPr>
        <w:pStyle w:val="Heading3"/>
        <w:spacing w:before="0" w:beforeAutospacing="0" w:after="0" w:afterAutospacing="0" w:line="480" w:lineRule="auto"/>
        <w:rPr>
          <w:sz w:val="24"/>
          <w:szCs w:val="24"/>
        </w:rPr>
      </w:pPr>
      <w:bookmarkStart w:id="2" w:name="_Toc217852618"/>
      <w:r w:rsidRPr="00791654">
        <w:rPr>
          <w:sz w:val="24"/>
          <w:szCs w:val="24"/>
        </w:rPr>
        <w:t>1. Introduction</w:t>
      </w:r>
      <w:bookmarkEnd w:id="2"/>
    </w:p>
    <w:p w14:paraId="533521CC" w14:textId="77777777" w:rsidR="00A27850" w:rsidRPr="00791654" w:rsidRDefault="0063748C" w:rsidP="00B51A41">
      <w:pPr>
        <w:pStyle w:val="NormalWeb"/>
        <w:spacing w:after="0" w:line="480" w:lineRule="auto"/>
      </w:pPr>
      <w:r w:rsidRPr="00791654">
        <w:tab/>
        <w:t>Financial ratio analysis is a primary instrument used by management, investors, and stakeholders to gauge the performance, financial position and efficiency of an organization (Atrill &amp; McLaney, 2023). It can be used to measure profitability, liquidity, efficiency, leverage and returns on Investment</w:t>
      </w:r>
      <w:r w:rsidR="00EE71A1" w:rsidRPr="00791654">
        <w:t>. Next plc is a prominent UK-based retailer of clothing and domestic goods based in London and traded on the FTSE 100. Compared to FY2024, FY2023 makes it possible to assess trends and better financial forecasting.</w:t>
      </w:r>
      <w:r w:rsidR="000D26EE" w:rsidRPr="00791654">
        <w:t xml:space="preserve"> </w:t>
      </w:r>
    </w:p>
    <w:p w14:paraId="385E6CD8" w14:textId="77777777" w:rsidR="00BD62CE" w:rsidRPr="00791654" w:rsidRDefault="0063748C" w:rsidP="00B51A41">
      <w:pPr>
        <w:pStyle w:val="NormalWeb"/>
        <w:spacing w:after="0" w:line="480" w:lineRule="auto"/>
      </w:pPr>
      <w:r w:rsidRPr="00791654">
        <w:tab/>
      </w:r>
      <w:r w:rsidR="00803AB3" w:rsidRPr="00791654">
        <w:t>It eliminates the risks that are related to one-period assessments and provides more robust support for the forecasting of finances and decision-</w:t>
      </w:r>
      <w:r w:rsidRPr="00791654">
        <w:t>making</w:t>
      </w:r>
      <w:r w:rsidR="0045709C" w:rsidRPr="00791654">
        <w:t xml:space="preserve"> (Penman, 2022)</w:t>
      </w:r>
      <w:r w:rsidRPr="00791654">
        <w:t xml:space="preserve">. </w:t>
      </w:r>
      <w:r w:rsidR="0030798D" w:rsidRPr="00791654">
        <w:t xml:space="preserve">The report examines the profitability, liquidity, efficiency, gearing and investor ratios to evaluate the operations, solvency, working capital and financial risk, as well as shareholder returns. The performance is related to general UK retail sector expectations, and recommendations are aimed at enhancing financial management, operations efficiency, and sustainable shareholder value </w:t>
      </w:r>
      <w:r w:rsidR="00803AB3" w:rsidRPr="00791654">
        <w:t>(Brealey et al., 2020; Atrill &amp; McLaney, 2023).</w:t>
      </w:r>
    </w:p>
    <w:p w14:paraId="19827D3A" w14:textId="77777777" w:rsidR="00063E8C" w:rsidRPr="00791654" w:rsidRDefault="0063748C">
      <w:pPr>
        <w:rPr>
          <w:rFonts w:ascii="Times New Roman" w:eastAsia="Times New Roman" w:hAnsi="Times New Roman" w:cs="Times New Roman"/>
          <w:b/>
          <w:bCs/>
          <w:sz w:val="24"/>
          <w:szCs w:val="24"/>
        </w:rPr>
      </w:pPr>
      <w:r w:rsidRPr="00791654">
        <w:rPr>
          <w:rFonts w:ascii="Times New Roman" w:hAnsi="Times New Roman" w:cs="Times New Roman"/>
          <w:sz w:val="24"/>
          <w:szCs w:val="24"/>
        </w:rPr>
        <w:br w:type="page"/>
      </w:r>
    </w:p>
    <w:p w14:paraId="3E0ADCFB" w14:textId="77777777" w:rsidR="00BD62CE" w:rsidRPr="00791654" w:rsidRDefault="0063748C" w:rsidP="00B51A41">
      <w:pPr>
        <w:pStyle w:val="Heading3"/>
        <w:spacing w:before="0" w:beforeAutospacing="0" w:after="0" w:afterAutospacing="0" w:line="480" w:lineRule="auto"/>
        <w:rPr>
          <w:sz w:val="24"/>
          <w:szCs w:val="24"/>
        </w:rPr>
      </w:pPr>
      <w:bookmarkStart w:id="3" w:name="_Toc217852619"/>
      <w:r w:rsidRPr="00791654">
        <w:rPr>
          <w:sz w:val="24"/>
          <w:szCs w:val="24"/>
        </w:rPr>
        <w:lastRenderedPageBreak/>
        <w:t>2. Methodology and Data Sources</w:t>
      </w:r>
      <w:bookmarkEnd w:id="3"/>
    </w:p>
    <w:p w14:paraId="41CC6AE4"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The financial analysis of this report will be on secondary data, which will be taken from the Annual Reports of Next plc for FY 2023 and 2024. Such reports contain audited income, balance sheet, and supporting notes, which are dependable and verifiable data to compute the primary financial ratios and analyze the overall performance</w:t>
      </w:r>
      <w:r w:rsidR="002942B6" w:rsidRPr="00791654">
        <w:rPr>
          <w:rFonts w:ascii="Times New Roman" w:eastAsia="Times New Roman" w:hAnsi="Times New Roman" w:cs="Times New Roman"/>
          <w:sz w:val="24"/>
          <w:szCs w:val="24"/>
        </w:rPr>
        <w:t xml:space="preserve"> (CFA Institute, 2023)</w:t>
      </w:r>
      <w:r w:rsidRPr="00791654">
        <w:rPr>
          <w:rFonts w:ascii="Times New Roman" w:eastAsia="Times New Roman" w:hAnsi="Times New Roman" w:cs="Times New Roman"/>
          <w:sz w:val="24"/>
          <w:szCs w:val="24"/>
        </w:rPr>
        <w:t xml:space="preserve">. The analysis of the historical and statutory data will ensure that the study represents the actual economic state and operating performance of the company during the last 2 years. Ratios are computed using standard formulas that are illustrated in the formula sheet in the module and using the available academic resources (Atrill &amp; McLaney, 2023). </w:t>
      </w:r>
    </w:p>
    <w:p w14:paraId="5A2D8145"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The calculated results are given in summary tables in the main body of the report to make the desired comparison of FY2023 and FY2024. The appendix contains detailed calculations in the form of Excel, which provide clarity and allow checking the results independently. The industry-specific benchmarks are not available, so the comparisons with the general requirements of the UK retail industry are made to offer a contextual understanding of the comparative performance of Next plc. Admittedly, there are certain limitations of the ratio analysis, and the outcome can be affected by the accounting policy decisions, macroeconomics, and individual company strategies, which can negatively influence the direct comparability between periods (Palepu et al., 2021).</w:t>
      </w:r>
    </w:p>
    <w:p w14:paraId="1EC5291B" w14:textId="77777777" w:rsidR="00BD62CE" w:rsidRPr="00791654" w:rsidRDefault="0063748C" w:rsidP="00B51A41">
      <w:pPr>
        <w:pStyle w:val="Heading3"/>
        <w:spacing w:before="0" w:beforeAutospacing="0" w:after="0" w:afterAutospacing="0" w:line="480" w:lineRule="auto"/>
        <w:rPr>
          <w:sz w:val="24"/>
          <w:szCs w:val="24"/>
        </w:rPr>
      </w:pPr>
      <w:bookmarkStart w:id="4" w:name="_Toc217852620"/>
      <w:r w:rsidRPr="00791654">
        <w:rPr>
          <w:sz w:val="24"/>
          <w:szCs w:val="24"/>
        </w:rPr>
        <w:t>3. Financial Ratio Analysis and Evaluation</w:t>
      </w:r>
      <w:bookmarkEnd w:id="4"/>
    </w:p>
    <w:p w14:paraId="0CC6C003" w14:textId="77777777" w:rsidR="00BD62CE" w:rsidRPr="00791654" w:rsidRDefault="0063748C" w:rsidP="00B51A41">
      <w:pPr>
        <w:pStyle w:val="Heading4"/>
        <w:spacing w:before="0" w:line="480" w:lineRule="auto"/>
        <w:rPr>
          <w:rFonts w:ascii="Times New Roman" w:hAnsi="Times New Roman" w:cs="Times New Roman"/>
          <w:sz w:val="24"/>
          <w:szCs w:val="24"/>
        </w:rPr>
      </w:pPr>
      <w:r w:rsidRPr="00791654">
        <w:rPr>
          <w:rFonts w:ascii="Times New Roman" w:hAnsi="Times New Roman" w:cs="Times New Roman"/>
          <w:sz w:val="24"/>
          <w:szCs w:val="24"/>
        </w:rPr>
        <w:t>3.1 Profitability Ratios</w:t>
      </w:r>
    </w:p>
    <w:p w14:paraId="3FC0E657" w14:textId="77777777" w:rsidR="00BD62CE" w:rsidRPr="00791654" w:rsidRDefault="0063748C" w:rsidP="00B51A41">
      <w:pPr>
        <w:pStyle w:val="NormalWeb"/>
        <w:spacing w:after="0" w:line="480" w:lineRule="auto"/>
      </w:pPr>
      <w:r w:rsidRPr="00791654">
        <w:tab/>
        <w:t xml:space="preserve">Profitability ratios determine how a company can make profits using revenues and capital investment, and they give important information on how efficiently the company is operated, how effective the management is, and how effectively the strategy is implemented (Brigham &amp; </w:t>
      </w:r>
      <w:r w:rsidRPr="00791654">
        <w:lastRenderedPageBreak/>
        <w:t>Ehrhardt, 2021). These ratios are important to directors and investors because they show how the firm will generate Value, competitive edge, and long-term financial performance. This section compares the profitability of Next plc during FY2023 and FY2024 with the help of gross profit margin, operating profit margin, net profit margin, and return on capital employed (ROCE)</w:t>
      </w:r>
      <w:r w:rsidR="00B06749" w:rsidRPr="00791654">
        <w:t xml:space="preserve"> (Koller et al., 2022)</w:t>
      </w:r>
      <w:r w:rsidRPr="00791654">
        <w:t>.</w:t>
      </w:r>
    </w:p>
    <w:p w14:paraId="66517ABC" w14:textId="77777777" w:rsidR="00BD62CE" w:rsidRPr="00791654" w:rsidRDefault="0063748C" w:rsidP="00B51A41">
      <w:pPr>
        <w:pStyle w:val="NormalWeb"/>
        <w:spacing w:after="0" w:line="480" w:lineRule="auto"/>
      </w:pPr>
      <w:r w:rsidRPr="00791654">
        <w:tab/>
      </w:r>
      <w:r w:rsidR="006B5D40" w:rsidRPr="00791654">
        <w:t>Gross Profit Margin (GPM) is the ratio of revenue that remains after payment of cost of sales, and is an important indicator of the pricing power and cost</w:t>
      </w:r>
      <w:r w:rsidR="00DA072B" w:rsidRPr="00791654">
        <w:t xml:space="preserve"> (PwC, 2024)</w:t>
      </w:r>
      <w:r w:rsidR="006B5D40" w:rsidRPr="00791654">
        <w:t xml:space="preserve">. GPM of Next plc improved by 40.5% in FY2023 to 41.2% in FY2024. </w:t>
      </w:r>
      <w:r w:rsidR="003A5837" w:rsidRPr="00791654">
        <w:t>Such performance is in line with the general UK retail sector expectations, at which gross margins are mostly seen between the high-30s and low-40s. This is an indication that Next plc is slightly above average in its industry.</w:t>
      </w:r>
      <w:r w:rsidR="006B5D40" w:rsidRPr="00791654">
        <w:t xml:space="preserve"> (Deloitte, 2022). The enhancement indicates strong supplier bargaining, sourcing effectiveness, and controlled inventory regardless of the inflationary cost pressures. By and large, this ratio denotes good performance in profitability and operational control.</w:t>
      </w:r>
    </w:p>
    <w:p w14:paraId="5EDE640C" w14:textId="77777777" w:rsidR="00644CDE" w:rsidRPr="00791654" w:rsidRDefault="0063748C" w:rsidP="00644CDE">
      <w:pPr>
        <w:pStyle w:val="NormalWeb"/>
        <w:spacing w:after="0" w:line="480" w:lineRule="auto"/>
      </w:pPr>
      <w:r w:rsidRPr="00791654">
        <w:tab/>
        <w:t>Operating Profit Margin (OPM) shows how well the revenues are translated into the operating profit after considering the administrative, selling, and distribution expenses. T</w:t>
      </w:r>
      <w:r w:rsidR="00695EB6" w:rsidRPr="00791654">
        <w:t xml:space="preserve">he OPM at Next plc increased from </w:t>
      </w:r>
      <w:r w:rsidRPr="00791654">
        <w:t>18.7</w:t>
      </w:r>
      <w:r w:rsidR="00695EB6" w:rsidRPr="00791654">
        <w:t>%</w:t>
      </w:r>
      <w:r w:rsidRPr="00791654">
        <w:t xml:space="preserve"> to 19.5</w:t>
      </w:r>
      <w:r w:rsidR="00695EB6" w:rsidRPr="00791654">
        <w:t>% in</w:t>
      </w:r>
      <w:r w:rsidRPr="00791654">
        <w:t xml:space="preserve"> FY2023-2024, which shows that it is heavily disciplined on its costs, and the operational leverage is greater.</w:t>
      </w:r>
    </w:p>
    <w:p w14:paraId="14B113D4" w14:textId="77777777" w:rsidR="00BD62CE" w:rsidRPr="00791654" w:rsidRDefault="0063748C" w:rsidP="00644CDE">
      <w:pPr>
        <w:pStyle w:val="NormalWeb"/>
        <w:spacing w:after="0" w:line="480" w:lineRule="auto"/>
      </w:pPr>
      <w:r w:rsidRPr="00791654">
        <w:tab/>
      </w:r>
      <w:r w:rsidR="00F77C93" w:rsidRPr="00791654">
        <w:t xml:space="preserve">Net Profit Margin (NPM) is the measure of the total profitability which is left after the deduction of all costs, including finance costs and taxes. </w:t>
      </w:r>
      <w:r w:rsidR="003B7546" w:rsidRPr="00791654">
        <w:t>The net profit margin of Next plc reduced marginally, compared to 14.1% in FY2023, to 13.1% in FY2024. This performance shows that Next plc is still a relatively profitable company even when compared to the general expectations in the retail sector, which has lower net margins because of high operational costs.</w:t>
      </w:r>
    </w:p>
    <w:p w14:paraId="68525BF8" w14:textId="77777777" w:rsidR="00BD62CE" w:rsidRPr="00791654" w:rsidRDefault="0063748C" w:rsidP="00B51A41">
      <w:pPr>
        <w:pStyle w:val="NormalWeb"/>
        <w:spacing w:after="0" w:line="480" w:lineRule="auto"/>
      </w:pPr>
      <w:r w:rsidRPr="00791654">
        <w:lastRenderedPageBreak/>
        <w:tab/>
        <w:t xml:space="preserve">Return on Capital Employed (ROCE) determines how efficiently the company invests capital to create operational profits, the efficiency used by the management in creating returns using assets and equity. The ROCE accounted for a decrease to 18.7% in FY2024 compared with 20.5% in FY2023, which is explained by the fact that the company increased its capital investment more than its operating profit. Although there is this slight decrease, </w:t>
      </w:r>
      <w:r w:rsidR="002F4708" w:rsidRPr="00791654">
        <w:t>the decline in ROCE was minimal, but still, it is in the range which would be regarded as a strong entity in the UK retail industry, which implies effective utilization of long-term capital.</w:t>
      </w:r>
    </w:p>
    <w:p w14:paraId="3A9F1C86" w14:textId="77777777" w:rsidR="00BD62CE" w:rsidRPr="00791654" w:rsidRDefault="0063748C" w:rsidP="00B51A41">
      <w:pPr>
        <w:pStyle w:val="Heading5"/>
        <w:spacing w:before="0" w:line="480" w:lineRule="auto"/>
        <w:rPr>
          <w:rFonts w:ascii="Times New Roman" w:hAnsi="Times New Roman" w:cs="Times New Roman"/>
          <w:sz w:val="24"/>
          <w:szCs w:val="24"/>
        </w:rPr>
      </w:pPr>
      <w:r w:rsidRPr="00791654">
        <w:rPr>
          <w:rStyle w:val="Strong"/>
          <w:rFonts w:ascii="Times New Roman" w:hAnsi="Times New Roman" w:cs="Times New Roman"/>
          <w:sz w:val="24"/>
          <w:szCs w:val="24"/>
        </w:rPr>
        <w:t>Summary Table 1: Profitability Ratios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48"/>
        <w:gridCol w:w="880"/>
        <w:gridCol w:w="895"/>
      </w:tblGrid>
      <w:tr w:rsidR="008B7B16" w:rsidRPr="00791654" w14:paraId="0A9C9C0E" w14:textId="77777777" w:rsidTr="0042065D">
        <w:trPr>
          <w:tblHeader/>
          <w:tblCellSpacing w:w="15" w:type="dxa"/>
        </w:trPr>
        <w:tc>
          <w:tcPr>
            <w:tcW w:w="0" w:type="auto"/>
            <w:vAlign w:val="center"/>
            <w:hideMark/>
          </w:tcPr>
          <w:p w14:paraId="05161BF2"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Ratio</w:t>
            </w:r>
          </w:p>
        </w:tc>
        <w:tc>
          <w:tcPr>
            <w:tcW w:w="0" w:type="auto"/>
            <w:vAlign w:val="center"/>
            <w:hideMark/>
          </w:tcPr>
          <w:p w14:paraId="3C3ACF88"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FY2023</w:t>
            </w:r>
          </w:p>
        </w:tc>
        <w:tc>
          <w:tcPr>
            <w:tcW w:w="0" w:type="auto"/>
            <w:vAlign w:val="center"/>
            <w:hideMark/>
          </w:tcPr>
          <w:p w14:paraId="37386C39"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FY2024</w:t>
            </w:r>
          </w:p>
        </w:tc>
      </w:tr>
      <w:tr w:rsidR="008B7B16" w:rsidRPr="00791654" w14:paraId="38993ADB" w14:textId="77777777" w:rsidTr="0042065D">
        <w:trPr>
          <w:tblCellSpacing w:w="15" w:type="dxa"/>
        </w:trPr>
        <w:tc>
          <w:tcPr>
            <w:tcW w:w="0" w:type="auto"/>
            <w:vAlign w:val="center"/>
            <w:hideMark/>
          </w:tcPr>
          <w:p w14:paraId="351B744B"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Gross Profit Margin (%)</w:t>
            </w:r>
          </w:p>
        </w:tc>
        <w:tc>
          <w:tcPr>
            <w:tcW w:w="0" w:type="auto"/>
            <w:vAlign w:val="center"/>
            <w:hideMark/>
          </w:tcPr>
          <w:p w14:paraId="7949255A"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40.5</w:t>
            </w:r>
          </w:p>
        </w:tc>
        <w:tc>
          <w:tcPr>
            <w:tcW w:w="0" w:type="auto"/>
            <w:vAlign w:val="center"/>
            <w:hideMark/>
          </w:tcPr>
          <w:p w14:paraId="062AF22C"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41.2</w:t>
            </w:r>
          </w:p>
        </w:tc>
      </w:tr>
      <w:tr w:rsidR="008B7B16" w:rsidRPr="00791654" w14:paraId="50E8009A" w14:textId="77777777" w:rsidTr="0042065D">
        <w:trPr>
          <w:tblCellSpacing w:w="15" w:type="dxa"/>
        </w:trPr>
        <w:tc>
          <w:tcPr>
            <w:tcW w:w="0" w:type="auto"/>
            <w:vAlign w:val="center"/>
            <w:hideMark/>
          </w:tcPr>
          <w:p w14:paraId="6973B83A"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Operating Profit Margin (%)</w:t>
            </w:r>
          </w:p>
        </w:tc>
        <w:tc>
          <w:tcPr>
            <w:tcW w:w="0" w:type="auto"/>
            <w:vAlign w:val="center"/>
            <w:hideMark/>
          </w:tcPr>
          <w:p w14:paraId="176F6CA7"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18.7</w:t>
            </w:r>
          </w:p>
        </w:tc>
        <w:tc>
          <w:tcPr>
            <w:tcW w:w="0" w:type="auto"/>
            <w:vAlign w:val="center"/>
            <w:hideMark/>
          </w:tcPr>
          <w:p w14:paraId="28A80581"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19.5</w:t>
            </w:r>
          </w:p>
        </w:tc>
      </w:tr>
      <w:tr w:rsidR="008B7B16" w:rsidRPr="00791654" w14:paraId="05AA74F4" w14:textId="77777777" w:rsidTr="0042065D">
        <w:trPr>
          <w:tblCellSpacing w:w="15" w:type="dxa"/>
        </w:trPr>
        <w:tc>
          <w:tcPr>
            <w:tcW w:w="0" w:type="auto"/>
            <w:vAlign w:val="center"/>
            <w:hideMark/>
          </w:tcPr>
          <w:p w14:paraId="6F6BEC82"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Net Profit Margin (%)</w:t>
            </w:r>
          </w:p>
        </w:tc>
        <w:tc>
          <w:tcPr>
            <w:tcW w:w="0" w:type="auto"/>
            <w:vAlign w:val="center"/>
            <w:hideMark/>
          </w:tcPr>
          <w:p w14:paraId="1A5D2BE4"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14.1</w:t>
            </w:r>
          </w:p>
        </w:tc>
        <w:tc>
          <w:tcPr>
            <w:tcW w:w="0" w:type="auto"/>
            <w:vAlign w:val="center"/>
            <w:hideMark/>
          </w:tcPr>
          <w:p w14:paraId="03699CA1"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13.1</w:t>
            </w:r>
          </w:p>
        </w:tc>
      </w:tr>
      <w:tr w:rsidR="008B7B16" w:rsidRPr="00791654" w14:paraId="2E0D3CDA" w14:textId="77777777" w:rsidTr="0042065D">
        <w:trPr>
          <w:tblCellSpacing w:w="15" w:type="dxa"/>
        </w:trPr>
        <w:tc>
          <w:tcPr>
            <w:tcW w:w="0" w:type="auto"/>
            <w:vAlign w:val="center"/>
            <w:hideMark/>
          </w:tcPr>
          <w:p w14:paraId="77556B69"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ROCE (%)</w:t>
            </w:r>
          </w:p>
        </w:tc>
        <w:tc>
          <w:tcPr>
            <w:tcW w:w="0" w:type="auto"/>
            <w:vAlign w:val="center"/>
            <w:hideMark/>
          </w:tcPr>
          <w:p w14:paraId="230692E2"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20.5</w:t>
            </w:r>
          </w:p>
        </w:tc>
        <w:tc>
          <w:tcPr>
            <w:tcW w:w="0" w:type="auto"/>
            <w:vAlign w:val="center"/>
            <w:hideMark/>
          </w:tcPr>
          <w:p w14:paraId="4E3DA5C4"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18.7</w:t>
            </w:r>
          </w:p>
        </w:tc>
      </w:tr>
    </w:tbl>
    <w:p w14:paraId="4CE43935" w14:textId="77777777" w:rsidR="00BD62CE" w:rsidRPr="00791654" w:rsidRDefault="0063748C" w:rsidP="00BD62CE">
      <w:pPr>
        <w:pStyle w:val="NormalWeb"/>
      </w:pPr>
      <w:r w:rsidRPr="00791654">
        <w:tab/>
      </w:r>
    </w:p>
    <w:p w14:paraId="6A738111" w14:textId="77777777" w:rsidR="00BD62CE" w:rsidRPr="00791654" w:rsidRDefault="0063748C" w:rsidP="00B51A41">
      <w:pPr>
        <w:pStyle w:val="NormalWeb"/>
        <w:spacing w:after="0" w:line="480" w:lineRule="auto"/>
      </w:pPr>
      <w:r w:rsidRPr="00791654">
        <w:tab/>
        <w:t>In general, the profitability analysis shows that Next plc can provide competitive margins in the retail industry in the UK, which means that operational control and cost management are substantial. The minor differences in net margin and ROCE indicate points of observation, especially since the company is still growing in the number of operations and capital projects. Nevertheless, external forces are not expected to be significant, as the financial strength of Next plc is demonstrated by its stable performance in profitability, and puts the company in a positive perspective to maintain shareholder value and facilitate strategic growth goals (Deloitte, 2022).</w:t>
      </w:r>
    </w:p>
    <w:p w14:paraId="6C2B48B5" w14:textId="77777777" w:rsidR="00BD62CE" w:rsidRPr="00791654" w:rsidRDefault="0063748C" w:rsidP="00B51A41">
      <w:pPr>
        <w:pStyle w:val="Heading4"/>
        <w:spacing w:before="0" w:line="480" w:lineRule="auto"/>
        <w:rPr>
          <w:rFonts w:ascii="Times New Roman" w:hAnsi="Times New Roman" w:cs="Times New Roman"/>
          <w:sz w:val="24"/>
          <w:szCs w:val="24"/>
        </w:rPr>
      </w:pPr>
      <w:r w:rsidRPr="00791654">
        <w:rPr>
          <w:rFonts w:ascii="Times New Roman" w:hAnsi="Times New Roman" w:cs="Times New Roman"/>
          <w:sz w:val="24"/>
          <w:szCs w:val="24"/>
        </w:rPr>
        <w:lastRenderedPageBreak/>
        <w:t>3.2 Liquidity Ratios</w:t>
      </w:r>
    </w:p>
    <w:p w14:paraId="5391384C" w14:textId="77777777" w:rsidR="00BD62CE" w:rsidRPr="00791654" w:rsidRDefault="0063748C" w:rsidP="00B51A41">
      <w:pPr>
        <w:pStyle w:val="NormalWeb"/>
        <w:spacing w:after="0" w:line="480" w:lineRule="auto"/>
      </w:pPr>
      <w:r w:rsidRPr="00791654">
        <w:tab/>
      </w:r>
      <w:r w:rsidR="000267AE" w:rsidRPr="00791654">
        <w:t>Liquidity ratios are used to determine whether the company can pay its short-term debts without compromising any of its operations (Atrill &amp; McLaney, 2023). They are relevant in retail businesses such as Next plc that deal with inventory and seasonal cash flows.</w:t>
      </w:r>
      <w:r w:rsidRPr="00791654">
        <w:t xml:space="preserve"> The current ratio of Next plc also increased from 1.12 in FY2023 to 1.18 in FY2024, and this shows that the company did not accumulate idle cash and remained at an adequate level of short-term solvency. This ratio indicates a judicious usage of current assets, specifically cash, receivables, and inventory, and that the company will still be able to survive even in cases of slight variation in the cash inflows and outflows</w:t>
      </w:r>
      <w:r w:rsidR="00DA072B" w:rsidRPr="00791654">
        <w:t xml:space="preserve"> (Grant Thornton, 2023)</w:t>
      </w:r>
      <w:r w:rsidRPr="00791654">
        <w:t>.</w:t>
      </w:r>
    </w:p>
    <w:p w14:paraId="05298EDC" w14:textId="77777777" w:rsidR="00C76ADE" w:rsidRPr="00791654" w:rsidRDefault="0063748C" w:rsidP="00B51A41">
      <w:pPr>
        <w:pStyle w:val="NormalWeb"/>
        <w:spacing w:after="0" w:line="480" w:lineRule="auto"/>
      </w:pPr>
      <w:r w:rsidRPr="00791654">
        <w:tab/>
        <w:t>A more conservative value of liquidity is the Quick Ratio or the acid-test ratio, which excludes inventory from the current assets. In the case of Next plc, the quick ratio increased marginally during FY2024 by 0.91, which is a minor increase in liquid assets that could be used to cover short-term liabilities. The ratio is less than the current ratio, which is required in the context of retail operations when inventory constitutes a significant part of current assets and is not always readily turned into cash (Palepu et al., 2021). However, this degree of liquidity is generally in line with the expectations of the retail sector, where the inventory constitutes a large part of the current assets.</w:t>
      </w:r>
    </w:p>
    <w:p w14:paraId="265A39D5" w14:textId="77777777" w:rsidR="00BD62CE" w:rsidRPr="00791654" w:rsidRDefault="0063748C" w:rsidP="00B51A41">
      <w:pPr>
        <w:pStyle w:val="NormalWeb"/>
        <w:spacing w:after="0" w:line="480" w:lineRule="auto"/>
      </w:pPr>
      <w:r w:rsidRPr="00791654">
        <w:tab/>
      </w:r>
      <w:r w:rsidR="006B5D40" w:rsidRPr="00791654">
        <w:t xml:space="preserve">On the whole, the liquidity position of Next plc is healthy, and that of a big fashion retailer in the UK. FY2024 current ratio of 1.18 is in an acceptable range of 1.0 to 1.5, which is recognized as the normal retailing range, meaning that the company is solvent in the short term and does not have excess assets (Atrill &amp; McLaney, 2023). The consistent quick ratio also shows that the company is able to settle the short-term liabilities without resorting to excessive liquidation of its inventory. These figures indicate reasonable and well-controlled liquidity that </w:t>
      </w:r>
      <w:r w:rsidR="006B5D40" w:rsidRPr="00791654">
        <w:lastRenderedPageBreak/>
        <w:t>promotes continuity of operations and assurance among suppliers as well as an efficient use of working capital.</w:t>
      </w:r>
    </w:p>
    <w:p w14:paraId="6E6964C9" w14:textId="77777777" w:rsidR="00BD62CE" w:rsidRPr="00791654" w:rsidRDefault="0063748C" w:rsidP="00B51A41">
      <w:pPr>
        <w:pStyle w:val="Heading5"/>
        <w:spacing w:before="0" w:line="480" w:lineRule="auto"/>
        <w:rPr>
          <w:rFonts w:ascii="Times New Roman" w:hAnsi="Times New Roman" w:cs="Times New Roman"/>
          <w:sz w:val="24"/>
          <w:szCs w:val="24"/>
        </w:rPr>
      </w:pPr>
      <w:r w:rsidRPr="00791654">
        <w:rPr>
          <w:rStyle w:val="Strong"/>
          <w:rFonts w:ascii="Times New Roman" w:hAnsi="Times New Roman" w:cs="Times New Roman"/>
          <w:sz w:val="24"/>
          <w:szCs w:val="24"/>
        </w:rPr>
        <w:t>Summary Table 2: Liquidity Ratios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9"/>
        <w:gridCol w:w="880"/>
        <w:gridCol w:w="895"/>
      </w:tblGrid>
      <w:tr w:rsidR="008B7B16" w:rsidRPr="00791654" w14:paraId="6FED0308" w14:textId="77777777" w:rsidTr="0042065D">
        <w:trPr>
          <w:tblHeader/>
          <w:tblCellSpacing w:w="15" w:type="dxa"/>
        </w:trPr>
        <w:tc>
          <w:tcPr>
            <w:tcW w:w="0" w:type="auto"/>
            <w:vAlign w:val="center"/>
            <w:hideMark/>
          </w:tcPr>
          <w:p w14:paraId="5C4C6D00"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Ratio</w:t>
            </w:r>
          </w:p>
        </w:tc>
        <w:tc>
          <w:tcPr>
            <w:tcW w:w="0" w:type="auto"/>
            <w:vAlign w:val="center"/>
            <w:hideMark/>
          </w:tcPr>
          <w:p w14:paraId="7AFE8E1C"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FY2023</w:t>
            </w:r>
          </w:p>
        </w:tc>
        <w:tc>
          <w:tcPr>
            <w:tcW w:w="0" w:type="auto"/>
            <w:vAlign w:val="center"/>
            <w:hideMark/>
          </w:tcPr>
          <w:p w14:paraId="129EC4B5"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FY2024</w:t>
            </w:r>
          </w:p>
        </w:tc>
      </w:tr>
      <w:tr w:rsidR="008B7B16" w:rsidRPr="00791654" w14:paraId="550089DA" w14:textId="77777777" w:rsidTr="0042065D">
        <w:trPr>
          <w:tblCellSpacing w:w="15" w:type="dxa"/>
        </w:trPr>
        <w:tc>
          <w:tcPr>
            <w:tcW w:w="0" w:type="auto"/>
            <w:vAlign w:val="center"/>
            <w:hideMark/>
          </w:tcPr>
          <w:p w14:paraId="729A3B58"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Current Ratio</w:t>
            </w:r>
          </w:p>
        </w:tc>
        <w:tc>
          <w:tcPr>
            <w:tcW w:w="0" w:type="auto"/>
            <w:vAlign w:val="center"/>
            <w:hideMark/>
          </w:tcPr>
          <w:p w14:paraId="21E39F79"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1.12</w:t>
            </w:r>
          </w:p>
        </w:tc>
        <w:tc>
          <w:tcPr>
            <w:tcW w:w="0" w:type="auto"/>
            <w:vAlign w:val="center"/>
            <w:hideMark/>
          </w:tcPr>
          <w:p w14:paraId="3469AC37"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1.18</w:t>
            </w:r>
          </w:p>
        </w:tc>
      </w:tr>
      <w:tr w:rsidR="008B7B16" w:rsidRPr="00791654" w14:paraId="62F69711" w14:textId="77777777" w:rsidTr="0042065D">
        <w:trPr>
          <w:tblCellSpacing w:w="15" w:type="dxa"/>
        </w:trPr>
        <w:tc>
          <w:tcPr>
            <w:tcW w:w="0" w:type="auto"/>
            <w:vAlign w:val="center"/>
            <w:hideMark/>
          </w:tcPr>
          <w:p w14:paraId="10B5622A"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Quick Ratio</w:t>
            </w:r>
          </w:p>
        </w:tc>
        <w:tc>
          <w:tcPr>
            <w:tcW w:w="0" w:type="auto"/>
            <w:vAlign w:val="center"/>
            <w:hideMark/>
          </w:tcPr>
          <w:p w14:paraId="1983A34D"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0.88</w:t>
            </w:r>
          </w:p>
        </w:tc>
        <w:tc>
          <w:tcPr>
            <w:tcW w:w="0" w:type="auto"/>
            <w:vAlign w:val="center"/>
            <w:hideMark/>
          </w:tcPr>
          <w:p w14:paraId="6A1C83BB"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0.91</w:t>
            </w:r>
          </w:p>
        </w:tc>
      </w:tr>
    </w:tbl>
    <w:p w14:paraId="290E43DD" w14:textId="77777777" w:rsidR="00BD62CE" w:rsidRPr="00791654" w:rsidRDefault="00BD62CE" w:rsidP="00B51A41">
      <w:pPr>
        <w:spacing w:after="0" w:line="480" w:lineRule="auto"/>
        <w:rPr>
          <w:rFonts w:ascii="Times New Roman" w:hAnsi="Times New Roman" w:cs="Times New Roman"/>
          <w:sz w:val="24"/>
          <w:szCs w:val="24"/>
        </w:rPr>
      </w:pPr>
    </w:p>
    <w:p w14:paraId="234E4336" w14:textId="77777777" w:rsidR="00BD62CE" w:rsidRPr="00791654" w:rsidRDefault="0063748C" w:rsidP="00B51A41">
      <w:pPr>
        <w:pStyle w:val="Heading4"/>
        <w:spacing w:before="0" w:line="480" w:lineRule="auto"/>
        <w:rPr>
          <w:rFonts w:ascii="Times New Roman" w:hAnsi="Times New Roman" w:cs="Times New Roman"/>
          <w:sz w:val="24"/>
          <w:szCs w:val="24"/>
        </w:rPr>
      </w:pPr>
      <w:r w:rsidRPr="00791654">
        <w:rPr>
          <w:rFonts w:ascii="Times New Roman" w:hAnsi="Times New Roman" w:cs="Times New Roman"/>
          <w:sz w:val="24"/>
          <w:szCs w:val="24"/>
        </w:rPr>
        <w:t>3.3 Efficiency Ratios</w:t>
      </w:r>
    </w:p>
    <w:p w14:paraId="0C7544DD" w14:textId="77777777" w:rsidR="00D07E75" w:rsidRPr="00791654" w:rsidRDefault="0063748C" w:rsidP="00B51A41">
      <w:pPr>
        <w:pStyle w:val="NormalWeb"/>
        <w:spacing w:after="0" w:line="480" w:lineRule="auto"/>
      </w:pPr>
      <w:r w:rsidRPr="00791654">
        <w:tab/>
        <w:t>Efficiency ratios evaluate the effectiveness with which the company uses working capital and operational assets to generate revenue, which gives information about inventory management, receivables collection, and vendor payment methods (Palepu et al., 2021). Management of these elements is efficient, and this influences the liquidity and stability of cash flows directly, as well as the overall performance of the business. The Inventory Turnover ratio, which is the frequency of inventory sold and replaced, rose to 7.1 times in FY 2024 as compared to 6.5 times in FY 2023. Such improvement is a sign of better management of stocks, lower holding costs, and fewer chances of obsolescence.</w:t>
      </w:r>
    </w:p>
    <w:p w14:paraId="09DF8863" w14:textId="77777777" w:rsidR="004C224C" w:rsidRPr="00791654" w:rsidRDefault="0063748C" w:rsidP="004C224C">
      <w:pPr>
        <w:pStyle w:val="NormalWeb"/>
        <w:spacing w:after="0" w:line="480" w:lineRule="auto"/>
      </w:pPr>
      <w:r w:rsidRPr="00791654">
        <w:tab/>
        <w:t xml:space="preserve"> Next plc has maintained its receivables period at low and steady levels with a minor reduction of 15 days in FY2023 to 14 days in FY2024. This is a good sign of good policies in terms of cash collection and little exposure to credit risks.</w:t>
      </w:r>
      <w:r w:rsidR="00CB6B9D" w:rsidRPr="00791654">
        <w:t xml:space="preserve"> This turnover is average in the industry of large retail companies, which tend to have minimal credit exposure.</w:t>
      </w:r>
      <w:r w:rsidRPr="00791654">
        <w:t xml:space="preserve"> </w:t>
      </w:r>
    </w:p>
    <w:p w14:paraId="5F7FF6FC" w14:textId="4AFD0DA8" w:rsidR="00BD62CE" w:rsidRPr="00791654" w:rsidRDefault="0063748C" w:rsidP="0079573F">
      <w:pPr>
        <w:pStyle w:val="NormalWeb"/>
        <w:spacing w:line="480" w:lineRule="auto"/>
      </w:pPr>
      <w:r w:rsidRPr="00791654">
        <w:tab/>
      </w:r>
      <w:r w:rsidR="004C224C" w:rsidRPr="00791654">
        <w:t xml:space="preserve"> Payables Period of payment is the average number of days which the company takes to pay </w:t>
      </w:r>
      <w:r w:rsidR="008445ED" w:rsidRPr="00791654">
        <w:t>suppliers. The</w:t>
      </w:r>
      <w:r w:rsidR="001E6C98" w:rsidRPr="00791654">
        <w:t xml:space="preserve"> ratio went slightly up since FY2023 (38 days) to FY2024 (40 days), and this represents a balanced attitude towards suppliers. The extension of the payables within reasonable </w:t>
      </w:r>
      <w:r w:rsidR="001E6C98" w:rsidRPr="00791654">
        <w:lastRenderedPageBreak/>
        <w:t xml:space="preserve">limits allows Next plc to have cash to cover operations in the country, while having a good relationship with suppliers and </w:t>
      </w:r>
      <w:r w:rsidR="004911E1" w:rsidRPr="00791654">
        <w:t>favorable</w:t>
      </w:r>
      <w:r w:rsidR="001E6C98" w:rsidRPr="00791654">
        <w:t xml:space="preserve"> trading </w:t>
      </w:r>
      <w:r w:rsidR="00803AB3" w:rsidRPr="00791654">
        <w:t>conditions. All the efficiency ratios together show that the working capital cyc</w:t>
      </w:r>
      <w:r w:rsidR="0079573F" w:rsidRPr="00791654">
        <w:t>le of Next plc is well managed.</w:t>
      </w:r>
    </w:p>
    <w:p w14:paraId="4B330427" w14:textId="77777777" w:rsidR="00BD62CE" w:rsidRPr="00E70204" w:rsidRDefault="0063748C" w:rsidP="008445ED">
      <w:pPr>
        <w:spacing w:after="0" w:line="480" w:lineRule="auto"/>
        <w:rPr>
          <w:rFonts w:ascii="Times New Roman" w:hAnsi="Times New Roman" w:cs="Times New Roman"/>
          <w:b/>
          <w:bCs/>
          <w:color w:val="244061" w:themeColor="accent1" w:themeShade="80"/>
          <w:sz w:val="24"/>
          <w:szCs w:val="24"/>
        </w:rPr>
      </w:pPr>
      <w:r w:rsidRPr="00E70204">
        <w:rPr>
          <w:rStyle w:val="Strong"/>
          <w:rFonts w:ascii="Times New Roman" w:hAnsi="Times New Roman" w:cs="Times New Roman"/>
          <w:color w:val="244061" w:themeColor="accent1" w:themeShade="80"/>
          <w:sz w:val="24"/>
          <w:szCs w:val="24"/>
        </w:rPr>
        <w:t>Summary Table 3: Efficiency Ratios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21"/>
        <w:gridCol w:w="880"/>
        <w:gridCol w:w="895"/>
      </w:tblGrid>
      <w:tr w:rsidR="008B7B16" w:rsidRPr="00791654" w14:paraId="75808D6F" w14:textId="77777777" w:rsidTr="0042065D">
        <w:trPr>
          <w:tblHeader/>
          <w:tblCellSpacing w:w="15" w:type="dxa"/>
        </w:trPr>
        <w:tc>
          <w:tcPr>
            <w:tcW w:w="0" w:type="auto"/>
            <w:vAlign w:val="center"/>
            <w:hideMark/>
          </w:tcPr>
          <w:p w14:paraId="7F332781"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Ratio</w:t>
            </w:r>
          </w:p>
        </w:tc>
        <w:tc>
          <w:tcPr>
            <w:tcW w:w="0" w:type="auto"/>
            <w:vAlign w:val="center"/>
            <w:hideMark/>
          </w:tcPr>
          <w:p w14:paraId="687F69CF"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FY2023</w:t>
            </w:r>
          </w:p>
        </w:tc>
        <w:tc>
          <w:tcPr>
            <w:tcW w:w="0" w:type="auto"/>
            <w:vAlign w:val="center"/>
            <w:hideMark/>
          </w:tcPr>
          <w:p w14:paraId="7B0B2467"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FY2024</w:t>
            </w:r>
          </w:p>
        </w:tc>
      </w:tr>
      <w:tr w:rsidR="008B7B16" w:rsidRPr="00791654" w14:paraId="47C1FC24" w14:textId="77777777" w:rsidTr="0042065D">
        <w:trPr>
          <w:tblCellSpacing w:w="15" w:type="dxa"/>
        </w:trPr>
        <w:tc>
          <w:tcPr>
            <w:tcW w:w="0" w:type="auto"/>
            <w:vAlign w:val="center"/>
            <w:hideMark/>
          </w:tcPr>
          <w:p w14:paraId="5FBECBA4"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Inventory Turnover (times)</w:t>
            </w:r>
          </w:p>
        </w:tc>
        <w:tc>
          <w:tcPr>
            <w:tcW w:w="0" w:type="auto"/>
            <w:vAlign w:val="center"/>
            <w:hideMark/>
          </w:tcPr>
          <w:p w14:paraId="35973735"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6.5</w:t>
            </w:r>
          </w:p>
        </w:tc>
        <w:tc>
          <w:tcPr>
            <w:tcW w:w="0" w:type="auto"/>
            <w:vAlign w:val="center"/>
            <w:hideMark/>
          </w:tcPr>
          <w:p w14:paraId="052DC3ED"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7.1</w:t>
            </w:r>
          </w:p>
        </w:tc>
      </w:tr>
      <w:tr w:rsidR="008B7B16" w:rsidRPr="00791654" w14:paraId="4EF344CF" w14:textId="77777777" w:rsidTr="0042065D">
        <w:trPr>
          <w:tblCellSpacing w:w="15" w:type="dxa"/>
        </w:trPr>
        <w:tc>
          <w:tcPr>
            <w:tcW w:w="0" w:type="auto"/>
            <w:vAlign w:val="center"/>
            <w:hideMark/>
          </w:tcPr>
          <w:p w14:paraId="77F2CEE3"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Inventory Days</w:t>
            </w:r>
          </w:p>
        </w:tc>
        <w:tc>
          <w:tcPr>
            <w:tcW w:w="0" w:type="auto"/>
            <w:vAlign w:val="center"/>
            <w:hideMark/>
          </w:tcPr>
          <w:p w14:paraId="38F7C430"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56</w:t>
            </w:r>
          </w:p>
        </w:tc>
        <w:tc>
          <w:tcPr>
            <w:tcW w:w="0" w:type="auto"/>
            <w:vAlign w:val="center"/>
            <w:hideMark/>
          </w:tcPr>
          <w:p w14:paraId="142E4AAB"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51</w:t>
            </w:r>
          </w:p>
        </w:tc>
      </w:tr>
      <w:tr w:rsidR="008B7B16" w:rsidRPr="00791654" w14:paraId="089E6785" w14:textId="77777777" w:rsidTr="0042065D">
        <w:trPr>
          <w:tblCellSpacing w:w="15" w:type="dxa"/>
        </w:trPr>
        <w:tc>
          <w:tcPr>
            <w:tcW w:w="0" w:type="auto"/>
            <w:vAlign w:val="center"/>
            <w:hideMark/>
          </w:tcPr>
          <w:p w14:paraId="65A38600"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Receivables Days</w:t>
            </w:r>
          </w:p>
        </w:tc>
        <w:tc>
          <w:tcPr>
            <w:tcW w:w="0" w:type="auto"/>
            <w:vAlign w:val="center"/>
            <w:hideMark/>
          </w:tcPr>
          <w:p w14:paraId="4D588ECF"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15</w:t>
            </w:r>
          </w:p>
        </w:tc>
        <w:tc>
          <w:tcPr>
            <w:tcW w:w="0" w:type="auto"/>
            <w:vAlign w:val="center"/>
            <w:hideMark/>
          </w:tcPr>
          <w:p w14:paraId="596B68C0"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14</w:t>
            </w:r>
          </w:p>
        </w:tc>
      </w:tr>
      <w:tr w:rsidR="008B7B16" w:rsidRPr="00791654" w14:paraId="4513CA9B" w14:textId="77777777" w:rsidTr="0042065D">
        <w:trPr>
          <w:tblCellSpacing w:w="15" w:type="dxa"/>
        </w:trPr>
        <w:tc>
          <w:tcPr>
            <w:tcW w:w="0" w:type="auto"/>
            <w:vAlign w:val="center"/>
            <w:hideMark/>
          </w:tcPr>
          <w:p w14:paraId="3FF5FDA8"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Payables Days</w:t>
            </w:r>
          </w:p>
        </w:tc>
        <w:tc>
          <w:tcPr>
            <w:tcW w:w="0" w:type="auto"/>
            <w:vAlign w:val="center"/>
            <w:hideMark/>
          </w:tcPr>
          <w:p w14:paraId="5B10F38A"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38</w:t>
            </w:r>
          </w:p>
        </w:tc>
        <w:tc>
          <w:tcPr>
            <w:tcW w:w="0" w:type="auto"/>
            <w:vAlign w:val="center"/>
            <w:hideMark/>
          </w:tcPr>
          <w:p w14:paraId="345BE959"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40</w:t>
            </w:r>
          </w:p>
        </w:tc>
      </w:tr>
    </w:tbl>
    <w:p w14:paraId="23507CE5" w14:textId="77777777" w:rsidR="00BD62CE" w:rsidRPr="00791654" w:rsidRDefault="00BD62CE" w:rsidP="00B51A41">
      <w:pPr>
        <w:spacing w:after="0" w:line="480" w:lineRule="auto"/>
        <w:rPr>
          <w:rFonts w:ascii="Times New Roman" w:hAnsi="Times New Roman" w:cs="Times New Roman"/>
          <w:sz w:val="24"/>
          <w:szCs w:val="24"/>
        </w:rPr>
      </w:pPr>
    </w:p>
    <w:p w14:paraId="61D415D6" w14:textId="77777777" w:rsidR="00BD62CE" w:rsidRPr="00791654" w:rsidRDefault="0063748C" w:rsidP="00B51A41">
      <w:pPr>
        <w:pStyle w:val="Heading4"/>
        <w:spacing w:before="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3.4 Gearing Ratios</w:t>
      </w:r>
    </w:p>
    <w:p w14:paraId="205698DF"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Gearing ratios evaluate the level to which a business funds its operations with the help of debt added to equity, which describes the financial risk, as well as the management of capital structure (Brealey et al., 2020). A higher amount of debt would add fixed interest payments, which might decrease financial freedom, whereas moderate gearing can offer affordable sources of financing and boost shareholder returns.</w:t>
      </w:r>
    </w:p>
    <w:p w14:paraId="3CCAB428" w14:textId="77777777" w:rsidR="00E70204" w:rsidRDefault="0063748C" w:rsidP="00E70204">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Next plc experienced a reduction of the Debt-to-Equity Ratio from 2.42 in FY2023 to 1.88 in FY2024, which is a moderate and stable capital structure.</w:t>
      </w:r>
      <w:r w:rsidR="00CB6B9D" w:rsidRPr="00791654">
        <w:rPr>
          <w:rFonts w:ascii="Times New Roman" w:hAnsi="Times New Roman" w:cs="Times New Roman"/>
          <w:sz w:val="24"/>
          <w:szCs w:val="24"/>
        </w:rPr>
        <w:t xml:space="preserve"> </w:t>
      </w:r>
      <w:r w:rsidR="00CB6B9D" w:rsidRPr="00791654">
        <w:rPr>
          <w:rFonts w:ascii="Times New Roman" w:eastAsia="Times New Roman" w:hAnsi="Times New Roman" w:cs="Times New Roman"/>
          <w:sz w:val="24"/>
          <w:szCs w:val="24"/>
        </w:rPr>
        <w:t>This level of gearing is usually acceptable in the retail industry, where moderate leverage is the norm in order to facilitate growth management of financial risk</w:t>
      </w:r>
      <w:r w:rsidRPr="00791654">
        <w:rPr>
          <w:rFonts w:ascii="Times New Roman" w:eastAsia="Times New Roman" w:hAnsi="Times New Roman" w:cs="Times New Roman"/>
          <w:sz w:val="24"/>
          <w:szCs w:val="24"/>
        </w:rPr>
        <w:t>.</w:t>
      </w:r>
      <w:r w:rsidR="00E118E0" w:rsidRPr="00791654">
        <w:rPr>
          <w:rFonts w:ascii="Times New Roman" w:eastAsia="Times New Roman" w:hAnsi="Times New Roman" w:cs="Times New Roman"/>
          <w:sz w:val="24"/>
          <w:szCs w:val="24"/>
        </w:rPr>
        <w:t xml:space="preserve"> </w:t>
      </w:r>
      <w:r w:rsidR="00803AB3" w:rsidRPr="00791654">
        <w:rPr>
          <w:rFonts w:ascii="Times New Roman" w:eastAsia="Times New Roman" w:hAnsi="Times New Roman" w:cs="Times New Roman"/>
          <w:sz w:val="24"/>
          <w:szCs w:val="24"/>
        </w:rPr>
        <w:t>Interest Cover: This is an interest coverage ratio computed in terms of o</w:t>
      </w:r>
      <w:r w:rsidR="00061CD4" w:rsidRPr="00791654">
        <w:rPr>
          <w:rFonts w:ascii="Times New Roman" w:eastAsia="Times New Roman" w:hAnsi="Times New Roman" w:cs="Times New Roman"/>
          <w:sz w:val="24"/>
          <w:szCs w:val="24"/>
        </w:rPr>
        <w:t>perating profit/ finance costs.</w:t>
      </w:r>
      <w:r w:rsidR="00803AB3" w:rsidRPr="00791654">
        <w:rPr>
          <w:rFonts w:ascii="Times New Roman" w:eastAsia="Times New Roman" w:hAnsi="Times New Roman" w:cs="Times New Roman"/>
          <w:sz w:val="24"/>
          <w:szCs w:val="24"/>
        </w:rPr>
        <w:t xml:space="preserve"> The interest cover of Next plc has risen from 12.5 </w:t>
      </w:r>
      <w:r w:rsidR="00803AB3" w:rsidRPr="00791654">
        <w:rPr>
          <w:rFonts w:ascii="Times New Roman" w:eastAsia="Times New Roman" w:hAnsi="Times New Roman" w:cs="Times New Roman"/>
          <w:sz w:val="24"/>
          <w:szCs w:val="24"/>
        </w:rPr>
        <w:lastRenderedPageBreak/>
        <w:t>times in FY2023 to 13.2 times in FY2024, indicating that it has the strength to service debt and creates a signal of financial stability to lenders and investors (Atrill &amp; McLaney, 2023).</w:t>
      </w:r>
    </w:p>
    <w:p w14:paraId="6B063A92" w14:textId="77777777" w:rsidR="00E70204" w:rsidRDefault="00E70204" w:rsidP="00E70204">
      <w:pPr>
        <w:spacing w:after="0" w:line="480" w:lineRule="auto"/>
        <w:rPr>
          <w:rFonts w:ascii="Times New Roman" w:eastAsia="Times New Roman" w:hAnsi="Times New Roman" w:cs="Times New Roman"/>
          <w:sz w:val="24"/>
          <w:szCs w:val="24"/>
        </w:rPr>
      </w:pPr>
    </w:p>
    <w:p w14:paraId="0D64C3C4" w14:textId="476E3C25" w:rsidR="00BD62CE" w:rsidRPr="00E70204" w:rsidRDefault="0063748C" w:rsidP="00E70204">
      <w:pPr>
        <w:spacing w:after="0" w:line="480" w:lineRule="auto"/>
        <w:rPr>
          <w:rFonts w:ascii="Times New Roman" w:eastAsia="Times New Roman" w:hAnsi="Times New Roman" w:cs="Times New Roman"/>
          <w:color w:val="244061" w:themeColor="accent1" w:themeShade="80"/>
          <w:sz w:val="24"/>
          <w:szCs w:val="24"/>
        </w:rPr>
      </w:pPr>
      <w:r w:rsidRPr="00E70204">
        <w:rPr>
          <w:rFonts w:ascii="Times New Roman" w:eastAsia="Times New Roman" w:hAnsi="Times New Roman" w:cs="Times New Roman"/>
          <w:color w:val="244061" w:themeColor="accent1" w:themeShade="80"/>
          <w:sz w:val="24"/>
          <w:szCs w:val="24"/>
        </w:rPr>
        <w:t>Summary Table 4: Gearing Ratios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01"/>
        <w:gridCol w:w="880"/>
        <w:gridCol w:w="895"/>
      </w:tblGrid>
      <w:tr w:rsidR="008B7B16" w:rsidRPr="00791654" w14:paraId="73FC37C2" w14:textId="77777777" w:rsidTr="0042065D">
        <w:trPr>
          <w:tblHeader/>
          <w:tblCellSpacing w:w="15" w:type="dxa"/>
        </w:trPr>
        <w:tc>
          <w:tcPr>
            <w:tcW w:w="0" w:type="auto"/>
            <w:vAlign w:val="center"/>
            <w:hideMark/>
          </w:tcPr>
          <w:p w14:paraId="6DB6FFDB" w14:textId="77777777" w:rsidR="00BD62CE"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Ratio</w:t>
            </w:r>
          </w:p>
        </w:tc>
        <w:tc>
          <w:tcPr>
            <w:tcW w:w="0" w:type="auto"/>
            <w:vAlign w:val="center"/>
            <w:hideMark/>
          </w:tcPr>
          <w:p w14:paraId="2082639B" w14:textId="77777777" w:rsidR="00BD62CE"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FY2023</w:t>
            </w:r>
          </w:p>
        </w:tc>
        <w:tc>
          <w:tcPr>
            <w:tcW w:w="0" w:type="auto"/>
            <w:vAlign w:val="center"/>
            <w:hideMark/>
          </w:tcPr>
          <w:p w14:paraId="4533EC47" w14:textId="77777777" w:rsidR="00BD62CE"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FY2024</w:t>
            </w:r>
          </w:p>
        </w:tc>
      </w:tr>
      <w:tr w:rsidR="008B7B16" w:rsidRPr="00791654" w14:paraId="4A40EBA0" w14:textId="77777777" w:rsidTr="0042065D">
        <w:trPr>
          <w:tblCellSpacing w:w="15" w:type="dxa"/>
        </w:trPr>
        <w:tc>
          <w:tcPr>
            <w:tcW w:w="0" w:type="auto"/>
            <w:vAlign w:val="center"/>
            <w:hideMark/>
          </w:tcPr>
          <w:p w14:paraId="2DF3F0C2"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Debt-to-Equity Ratio</w:t>
            </w:r>
          </w:p>
        </w:tc>
        <w:tc>
          <w:tcPr>
            <w:tcW w:w="0" w:type="auto"/>
            <w:vAlign w:val="center"/>
            <w:hideMark/>
          </w:tcPr>
          <w:p w14:paraId="02680FE2"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2.42</w:t>
            </w:r>
          </w:p>
        </w:tc>
        <w:tc>
          <w:tcPr>
            <w:tcW w:w="0" w:type="auto"/>
            <w:vAlign w:val="center"/>
            <w:hideMark/>
          </w:tcPr>
          <w:p w14:paraId="6D35F690"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1.88</w:t>
            </w:r>
          </w:p>
        </w:tc>
      </w:tr>
      <w:tr w:rsidR="008B7B16" w:rsidRPr="00791654" w14:paraId="662430D7" w14:textId="77777777" w:rsidTr="0042065D">
        <w:trPr>
          <w:tblCellSpacing w:w="15" w:type="dxa"/>
        </w:trPr>
        <w:tc>
          <w:tcPr>
            <w:tcW w:w="0" w:type="auto"/>
            <w:vAlign w:val="center"/>
            <w:hideMark/>
          </w:tcPr>
          <w:p w14:paraId="379C2687"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Interest Cover (times)</w:t>
            </w:r>
          </w:p>
        </w:tc>
        <w:tc>
          <w:tcPr>
            <w:tcW w:w="0" w:type="auto"/>
            <w:vAlign w:val="center"/>
            <w:hideMark/>
          </w:tcPr>
          <w:p w14:paraId="7C7ED4DE"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12.5</w:t>
            </w:r>
          </w:p>
        </w:tc>
        <w:tc>
          <w:tcPr>
            <w:tcW w:w="0" w:type="auto"/>
            <w:vAlign w:val="center"/>
            <w:hideMark/>
          </w:tcPr>
          <w:p w14:paraId="28B941F6"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13.2</w:t>
            </w:r>
          </w:p>
        </w:tc>
      </w:tr>
    </w:tbl>
    <w:p w14:paraId="157283F8"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In general, Next plc has sound leverage management, exposing the company to healthy growth as it incorporates the advantages of debt with financial flexibility and less risk exposure.</w:t>
      </w:r>
    </w:p>
    <w:p w14:paraId="653D8F18" w14:textId="77777777" w:rsidR="00BD62CE" w:rsidRPr="00791654" w:rsidRDefault="0063748C" w:rsidP="00B51A41">
      <w:pPr>
        <w:pStyle w:val="Heading4"/>
        <w:spacing w:before="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3.5 Investor Ratios</w:t>
      </w:r>
    </w:p>
    <w:p w14:paraId="05A768EF"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r>
      <w:r w:rsidR="00A459B5" w:rsidRPr="00791654">
        <w:rPr>
          <w:rFonts w:ascii="Times New Roman" w:eastAsia="Times New Roman" w:hAnsi="Times New Roman" w:cs="Times New Roman"/>
          <w:sz w:val="24"/>
          <w:szCs w:val="24"/>
        </w:rPr>
        <w:t>Shareholder returns and investor confidence in the future performance of the firm can be seen in the investor ratios. The earnings per share of Next plc rose by a few digits, 135.7p to 138.4p, between FY2023 and 2024, indicating that the firm was stable in terms of profitability and ability to retain profits. The slight decrease in the price-earnings ratio indicates that the market does not expect the growth to be too high, but it can be called a realistic one, which is expected of a mature FTSE 100 retailer.</w:t>
      </w:r>
      <w:r w:rsidR="000D5834" w:rsidRPr="00791654">
        <w:rPr>
          <w:rFonts w:ascii="Times New Roman" w:hAnsi="Times New Roman" w:cs="Times New Roman"/>
          <w:sz w:val="24"/>
          <w:szCs w:val="24"/>
        </w:rPr>
        <w:t xml:space="preserve"> The </w:t>
      </w:r>
      <w:r w:rsidR="000D5834" w:rsidRPr="00791654">
        <w:rPr>
          <w:rFonts w:ascii="Times New Roman" w:eastAsia="Times New Roman" w:hAnsi="Times New Roman" w:cs="Times New Roman"/>
          <w:sz w:val="24"/>
          <w:szCs w:val="24"/>
        </w:rPr>
        <w:t>dividend cover is close to 4 times and rising</w:t>
      </w:r>
      <w:r w:rsidR="00A459B5" w:rsidRPr="00791654">
        <w:rPr>
          <w:rFonts w:ascii="Times New Roman" w:eastAsia="Times New Roman" w:hAnsi="Times New Roman" w:cs="Times New Roman"/>
          <w:sz w:val="24"/>
          <w:szCs w:val="24"/>
        </w:rPr>
        <w:t>. (Atrill &amp; McLaney, 2023).</w:t>
      </w:r>
    </w:p>
    <w:p w14:paraId="02714ACE" w14:textId="77777777" w:rsidR="00BD62CE" w:rsidRPr="00791654" w:rsidRDefault="0063748C" w:rsidP="00B51A41">
      <w:pPr>
        <w:pStyle w:val="Heading5"/>
        <w:spacing w:before="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Summary Table 5: Investor Ratios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75"/>
        <w:gridCol w:w="880"/>
        <w:gridCol w:w="895"/>
      </w:tblGrid>
      <w:tr w:rsidR="008B7B16" w:rsidRPr="00791654" w14:paraId="1B88397B" w14:textId="77777777" w:rsidTr="0042065D">
        <w:trPr>
          <w:tblHeader/>
          <w:tblCellSpacing w:w="15" w:type="dxa"/>
        </w:trPr>
        <w:tc>
          <w:tcPr>
            <w:tcW w:w="0" w:type="auto"/>
            <w:vAlign w:val="center"/>
            <w:hideMark/>
          </w:tcPr>
          <w:p w14:paraId="4F4F7A3B" w14:textId="77777777" w:rsidR="00BD62CE"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Ratio</w:t>
            </w:r>
          </w:p>
        </w:tc>
        <w:tc>
          <w:tcPr>
            <w:tcW w:w="0" w:type="auto"/>
            <w:vAlign w:val="center"/>
            <w:hideMark/>
          </w:tcPr>
          <w:p w14:paraId="37110885" w14:textId="77777777" w:rsidR="00BD62CE"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FY2023</w:t>
            </w:r>
          </w:p>
        </w:tc>
        <w:tc>
          <w:tcPr>
            <w:tcW w:w="0" w:type="auto"/>
            <w:vAlign w:val="center"/>
            <w:hideMark/>
          </w:tcPr>
          <w:p w14:paraId="2380B40E" w14:textId="77777777" w:rsidR="00BD62CE"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FY2024</w:t>
            </w:r>
          </w:p>
        </w:tc>
      </w:tr>
      <w:tr w:rsidR="008B7B16" w:rsidRPr="00791654" w14:paraId="54D2012B" w14:textId="77777777" w:rsidTr="0042065D">
        <w:trPr>
          <w:tblCellSpacing w:w="15" w:type="dxa"/>
        </w:trPr>
        <w:tc>
          <w:tcPr>
            <w:tcW w:w="0" w:type="auto"/>
            <w:vAlign w:val="center"/>
            <w:hideMark/>
          </w:tcPr>
          <w:p w14:paraId="5411E698"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EPS (£)</w:t>
            </w:r>
          </w:p>
        </w:tc>
        <w:tc>
          <w:tcPr>
            <w:tcW w:w="0" w:type="auto"/>
            <w:vAlign w:val="center"/>
            <w:hideMark/>
          </w:tcPr>
          <w:p w14:paraId="4DC836ED"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135.7</w:t>
            </w:r>
          </w:p>
        </w:tc>
        <w:tc>
          <w:tcPr>
            <w:tcW w:w="0" w:type="auto"/>
            <w:vAlign w:val="center"/>
            <w:hideMark/>
          </w:tcPr>
          <w:p w14:paraId="14EFF68B"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138.4</w:t>
            </w:r>
          </w:p>
        </w:tc>
      </w:tr>
      <w:tr w:rsidR="008B7B16" w:rsidRPr="00791654" w14:paraId="4CE9A0EE" w14:textId="77777777" w:rsidTr="0042065D">
        <w:trPr>
          <w:tblCellSpacing w:w="15" w:type="dxa"/>
        </w:trPr>
        <w:tc>
          <w:tcPr>
            <w:tcW w:w="0" w:type="auto"/>
            <w:vAlign w:val="center"/>
            <w:hideMark/>
          </w:tcPr>
          <w:p w14:paraId="1783C430"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P/E Ratio</w:t>
            </w:r>
          </w:p>
        </w:tc>
        <w:tc>
          <w:tcPr>
            <w:tcW w:w="0" w:type="auto"/>
            <w:vAlign w:val="center"/>
            <w:hideMark/>
          </w:tcPr>
          <w:p w14:paraId="350A18B0"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14.2</w:t>
            </w:r>
          </w:p>
        </w:tc>
        <w:tc>
          <w:tcPr>
            <w:tcW w:w="0" w:type="auto"/>
            <w:vAlign w:val="center"/>
            <w:hideMark/>
          </w:tcPr>
          <w:p w14:paraId="5F61FB11"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13.8</w:t>
            </w:r>
          </w:p>
        </w:tc>
      </w:tr>
      <w:tr w:rsidR="008B7B16" w:rsidRPr="00791654" w14:paraId="066156B6" w14:textId="77777777" w:rsidTr="0042065D">
        <w:trPr>
          <w:tblCellSpacing w:w="15" w:type="dxa"/>
        </w:trPr>
        <w:tc>
          <w:tcPr>
            <w:tcW w:w="0" w:type="auto"/>
            <w:vAlign w:val="center"/>
            <w:hideMark/>
          </w:tcPr>
          <w:p w14:paraId="39CF9790"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Dividend Yield (%)</w:t>
            </w:r>
          </w:p>
        </w:tc>
        <w:tc>
          <w:tcPr>
            <w:tcW w:w="0" w:type="auto"/>
            <w:vAlign w:val="center"/>
            <w:hideMark/>
          </w:tcPr>
          <w:p w14:paraId="6BF645A1"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4.0</w:t>
            </w:r>
          </w:p>
        </w:tc>
        <w:tc>
          <w:tcPr>
            <w:tcW w:w="0" w:type="auto"/>
            <w:vAlign w:val="center"/>
            <w:hideMark/>
          </w:tcPr>
          <w:p w14:paraId="61DA14EB"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3.9</w:t>
            </w:r>
          </w:p>
        </w:tc>
      </w:tr>
      <w:tr w:rsidR="008B7B16" w:rsidRPr="00791654" w14:paraId="55646D2A" w14:textId="77777777" w:rsidTr="0042065D">
        <w:trPr>
          <w:tblCellSpacing w:w="15" w:type="dxa"/>
        </w:trPr>
        <w:tc>
          <w:tcPr>
            <w:tcW w:w="0" w:type="auto"/>
            <w:vAlign w:val="center"/>
            <w:hideMark/>
          </w:tcPr>
          <w:p w14:paraId="5F4847B3"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lastRenderedPageBreak/>
              <w:t>Dividend Cover (times)</w:t>
            </w:r>
          </w:p>
        </w:tc>
        <w:tc>
          <w:tcPr>
            <w:tcW w:w="0" w:type="auto"/>
            <w:vAlign w:val="center"/>
            <w:hideMark/>
          </w:tcPr>
          <w:p w14:paraId="72F39815"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3.5</w:t>
            </w:r>
          </w:p>
        </w:tc>
        <w:tc>
          <w:tcPr>
            <w:tcW w:w="0" w:type="auto"/>
            <w:vAlign w:val="center"/>
            <w:hideMark/>
          </w:tcPr>
          <w:p w14:paraId="061E59B7"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3.6</w:t>
            </w:r>
          </w:p>
        </w:tc>
      </w:tr>
    </w:tbl>
    <w:p w14:paraId="08BCBA21" w14:textId="77777777" w:rsidR="00DB1755" w:rsidRPr="00791654" w:rsidRDefault="00DB1755" w:rsidP="00B51A41">
      <w:pPr>
        <w:spacing w:after="0" w:line="480" w:lineRule="auto"/>
        <w:rPr>
          <w:rFonts w:ascii="Times New Roman" w:hAnsi="Times New Roman" w:cs="Times New Roman"/>
          <w:sz w:val="24"/>
          <w:szCs w:val="24"/>
        </w:rPr>
      </w:pPr>
      <w:bookmarkStart w:id="5" w:name="_Toc216620498"/>
      <w:bookmarkStart w:id="6" w:name="_Toc216638104"/>
    </w:p>
    <w:p w14:paraId="4B3D3D9C"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All these ratios indicate a stable market position and the creation of Value to shareholders (Atrill &amp; McLaney, 2023).</w:t>
      </w:r>
      <w:bookmarkEnd w:id="5"/>
      <w:bookmarkEnd w:id="6"/>
    </w:p>
    <w:p w14:paraId="0771574D" w14:textId="77777777" w:rsidR="00BD62CE" w:rsidRPr="00791654" w:rsidRDefault="0063748C" w:rsidP="00B51A41">
      <w:pPr>
        <w:pStyle w:val="Heading3"/>
        <w:spacing w:before="0" w:beforeAutospacing="0" w:after="0" w:afterAutospacing="0" w:line="480" w:lineRule="auto"/>
        <w:rPr>
          <w:sz w:val="24"/>
          <w:szCs w:val="24"/>
        </w:rPr>
      </w:pPr>
      <w:bookmarkStart w:id="7" w:name="_Toc217852621"/>
      <w:r w:rsidRPr="00791654">
        <w:rPr>
          <w:sz w:val="24"/>
          <w:szCs w:val="24"/>
        </w:rPr>
        <w:t>4. Limitations of Ratio Analysis</w:t>
      </w:r>
      <w:bookmarkEnd w:id="7"/>
      <w:r w:rsidRPr="00791654">
        <w:rPr>
          <w:sz w:val="24"/>
          <w:szCs w:val="24"/>
        </w:rPr>
        <w:t xml:space="preserve"> </w:t>
      </w:r>
    </w:p>
    <w:p w14:paraId="222EDF58"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eastAsia="Times New Roman" w:hAnsi="Times New Roman" w:cs="Times New Roman"/>
          <w:sz w:val="24"/>
          <w:szCs w:val="24"/>
        </w:rPr>
        <w:tab/>
      </w:r>
      <w:r w:rsidR="00ED740E" w:rsidRPr="00791654">
        <w:rPr>
          <w:rFonts w:ascii="Times New Roman" w:eastAsia="Times New Roman" w:hAnsi="Times New Roman" w:cs="Times New Roman"/>
          <w:sz w:val="24"/>
          <w:szCs w:val="24"/>
        </w:rPr>
        <w:t xml:space="preserve">Financial ratios, as useful as they are, have a number of limitations that should be acknowledged. Ratios rely on the past accounting records, and thus, they might not be a true representation of the performance in the future, especially during fluctuating economic times (Palepu et al., 2021). The accounting differences of values and methods of valuing inventory and the depreciation process may lead to a distortion of comparison across time or across companies. </w:t>
      </w:r>
      <w:r w:rsidR="00D055FE" w:rsidRPr="00791654">
        <w:rPr>
          <w:rFonts w:ascii="Times New Roman" w:eastAsia="Times New Roman" w:hAnsi="Times New Roman" w:cs="Times New Roman"/>
          <w:sz w:val="24"/>
          <w:szCs w:val="24"/>
        </w:rPr>
        <w:tab/>
      </w:r>
      <w:r w:rsidR="00D055FE" w:rsidRPr="00791654">
        <w:rPr>
          <w:rFonts w:ascii="Times New Roman" w:hAnsi="Times New Roman" w:cs="Times New Roman"/>
          <w:sz w:val="24"/>
          <w:szCs w:val="24"/>
        </w:rPr>
        <w:t>Inflation can also reduce the level of applicability of the historical-based numbers by overstating profitability and asset efficiency</w:t>
      </w:r>
      <w:r w:rsidR="00E568FD" w:rsidRPr="00791654">
        <w:rPr>
          <w:rFonts w:ascii="Times New Roman" w:hAnsi="Times New Roman" w:cs="Times New Roman"/>
          <w:sz w:val="24"/>
          <w:szCs w:val="24"/>
        </w:rPr>
        <w:t xml:space="preserve"> (Penman, 2022)</w:t>
      </w:r>
      <w:r w:rsidR="00D055FE" w:rsidRPr="00791654">
        <w:rPr>
          <w:rFonts w:ascii="Times New Roman" w:hAnsi="Times New Roman" w:cs="Times New Roman"/>
          <w:sz w:val="24"/>
          <w:szCs w:val="24"/>
        </w:rPr>
        <w:t>. Furthermore, the ratio analysis cannot reflect qualitative variables such as brand strength, quality of management and positioning that are essential, especially in the retail sector. It, consequently, ensues that the ratio analysis should be complemented with strategic and qualitative actions that will support the process of making a sound decision (Brealey et al., 2020).</w:t>
      </w:r>
    </w:p>
    <w:p w14:paraId="7B3AF98C" w14:textId="77777777" w:rsidR="00BD62CE" w:rsidRPr="00791654" w:rsidRDefault="0063748C" w:rsidP="00B51A41">
      <w:pPr>
        <w:pStyle w:val="Heading3"/>
        <w:spacing w:before="0" w:beforeAutospacing="0" w:after="0" w:afterAutospacing="0" w:line="480" w:lineRule="auto"/>
        <w:rPr>
          <w:sz w:val="24"/>
          <w:szCs w:val="24"/>
        </w:rPr>
      </w:pPr>
      <w:bookmarkStart w:id="8" w:name="_Toc217852622"/>
      <w:r w:rsidRPr="00791654">
        <w:rPr>
          <w:sz w:val="24"/>
          <w:szCs w:val="24"/>
        </w:rPr>
        <w:t>5. Recommendations</w:t>
      </w:r>
      <w:bookmarkEnd w:id="8"/>
      <w:r w:rsidRPr="00791654">
        <w:rPr>
          <w:sz w:val="24"/>
          <w:szCs w:val="24"/>
        </w:rPr>
        <w:t xml:space="preserve"> </w:t>
      </w:r>
    </w:p>
    <w:p w14:paraId="2084741C" w14:textId="77777777" w:rsidR="00D055FE" w:rsidRPr="00791654" w:rsidRDefault="0063748C" w:rsidP="00D055FE">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Based on the financial analysis, it can be recommended to assist Next plc to remain financially well as follows:</w:t>
      </w:r>
    </w:p>
    <w:p w14:paraId="14672094" w14:textId="77777777" w:rsidR="00D055FE" w:rsidRPr="00791654" w:rsidRDefault="0063748C" w:rsidP="00D055FE">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 To address the slight decline in net profit margin, strict cost management should be ensured to protect operating and net margins during inflationary periods.</w:t>
      </w:r>
    </w:p>
    <w:p w14:paraId="53598F67" w14:textId="77777777" w:rsidR="00D055FE" w:rsidRPr="00791654" w:rsidRDefault="0063748C" w:rsidP="00D055FE">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lastRenderedPageBreak/>
        <w:t>2. Given the importance of inventory turnover in retail operations, improved demand forecasting and stock management should be adopted to enhance efficiency ratios further and reduce the risk of inventory obsolescence</w:t>
      </w:r>
    </w:p>
    <w:p w14:paraId="2DDF40C1" w14:textId="77777777" w:rsidR="00D055FE" w:rsidRPr="00791654" w:rsidRDefault="0063748C" w:rsidP="00D055FE">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3. Considering the gearing ratios, close monitoring of leverage is advised to ensure having financial flexibility and enjoying the advantages of moderate debt utilization.</w:t>
      </w:r>
    </w:p>
    <w:p w14:paraId="68C3F9E3" w14:textId="77777777" w:rsidR="00A27A23" w:rsidRPr="00791654" w:rsidRDefault="0063748C" w:rsidP="00A27A23">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 xml:space="preserve">4. </w:t>
      </w:r>
      <w:r w:rsidR="00006967" w:rsidRPr="00791654">
        <w:rPr>
          <w:rFonts w:ascii="Times New Roman" w:hAnsi="Times New Roman" w:cs="Times New Roman"/>
          <w:sz w:val="24"/>
          <w:szCs w:val="24"/>
        </w:rPr>
        <w:t>The management must maintain open communication on long-term strategy, financial performance and growth plans to maintain investor confidence, as illustrated in high investor ratios.</w:t>
      </w:r>
    </w:p>
    <w:p w14:paraId="41566822" w14:textId="77777777" w:rsidR="00BD62CE" w:rsidRPr="00791654" w:rsidRDefault="0063748C" w:rsidP="00A27A23">
      <w:pPr>
        <w:pStyle w:val="Heading3"/>
        <w:rPr>
          <w:sz w:val="24"/>
          <w:szCs w:val="24"/>
        </w:rPr>
      </w:pPr>
      <w:bookmarkStart w:id="9" w:name="_Toc217852623"/>
      <w:r w:rsidRPr="00791654">
        <w:rPr>
          <w:sz w:val="24"/>
          <w:szCs w:val="24"/>
        </w:rPr>
        <w:t>6. Conclusion</w:t>
      </w:r>
      <w:bookmarkEnd w:id="9"/>
    </w:p>
    <w:p w14:paraId="2AE5C50F" w14:textId="77777777" w:rsidR="00BD62CE" w:rsidRPr="00791654" w:rsidRDefault="0063748C" w:rsidP="0084793C">
      <w:pPr>
        <w:spacing w:after="0" w:line="480" w:lineRule="auto"/>
        <w:rPr>
          <w:rFonts w:ascii="Times New Roman" w:eastAsia="Times New Roman" w:hAnsi="Times New Roman" w:cs="Times New Roman"/>
          <w:b/>
          <w:bCs/>
          <w:sz w:val="24"/>
          <w:szCs w:val="24"/>
        </w:rPr>
      </w:pPr>
      <w:r w:rsidRPr="00791654">
        <w:rPr>
          <w:rFonts w:ascii="Times New Roman" w:hAnsi="Times New Roman" w:cs="Times New Roman"/>
          <w:sz w:val="24"/>
          <w:szCs w:val="24"/>
        </w:rPr>
        <w:tab/>
      </w:r>
      <w:r w:rsidR="00D055FE" w:rsidRPr="00791654">
        <w:rPr>
          <w:rFonts w:ascii="Times New Roman" w:hAnsi="Times New Roman" w:cs="Times New Roman"/>
          <w:sz w:val="24"/>
          <w:szCs w:val="24"/>
        </w:rPr>
        <w:t xml:space="preserve">In </w:t>
      </w:r>
      <w:r w:rsidR="00232E13" w:rsidRPr="00791654">
        <w:rPr>
          <w:rFonts w:ascii="Times New Roman" w:hAnsi="Times New Roman" w:cs="Times New Roman"/>
          <w:sz w:val="24"/>
          <w:szCs w:val="24"/>
        </w:rPr>
        <w:t>conclusion</w:t>
      </w:r>
      <w:r w:rsidR="00D055FE" w:rsidRPr="00791654">
        <w:rPr>
          <w:rFonts w:ascii="Times New Roman" w:hAnsi="Times New Roman" w:cs="Times New Roman"/>
          <w:sz w:val="24"/>
          <w:szCs w:val="24"/>
        </w:rPr>
        <w:t>,</w:t>
      </w:r>
      <w:r w:rsidR="00232E13" w:rsidRPr="00791654">
        <w:rPr>
          <w:rFonts w:ascii="Times New Roman" w:hAnsi="Times New Roman" w:cs="Times New Roman"/>
          <w:sz w:val="24"/>
          <w:szCs w:val="24"/>
        </w:rPr>
        <w:t xml:space="preserve"> </w:t>
      </w:r>
      <w:r w:rsidRPr="00791654">
        <w:rPr>
          <w:rFonts w:ascii="Times New Roman" w:hAnsi="Times New Roman" w:cs="Times New Roman"/>
          <w:sz w:val="24"/>
          <w:szCs w:val="24"/>
        </w:rPr>
        <w:t>it is indicated that in the financial ratio analysis, Next plc is a highly profitable company, is liquid enough, manages its working capital effectively, and has a balanced capital structure. Whereas the small pressures are observable with the help of net margin and returns on capital, the performance can be addressed as strong, on the whole, compared to the industry expectations. Next plc can sustain a stable financial position in the medium and long term by having cost discipline, enhancing inventory management, and reasonable leverage.</w:t>
      </w:r>
      <w:r w:rsidR="00803AB3" w:rsidRPr="00791654">
        <w:rPr>
          <w:rFonts w:ascii="Times New Roman" w:hAnsi="Times New Roman" w:cs="Times New Roman"/>
          <w:sz w:val="24"/>
          <w:szCs w:val="24"/>
        </w:rPr>
        <w:br w:type="page"/>
      </w:r>
    </w:p>
    <w:p w14:paraId="4BC588B8" w14:textId="77777777" w:rsidR="00BD62CE" w:rsidRPr="00791654" w:rsidRDefault="0063748C" w:rsidP="00B51A41">
      <w:pPr>
        <w:pStyle w:val="Heading2"/>
        <w:spacing w:before="0" w:beforeAutospacing="0" w:after="0" w:afterAutospacing="0" w:line="480" w:lineRule="auto"/>
        <w:rPr>
          <w:sz w:val="24"/>
          <w:szCs w:val="24"/>
        </w:rPr>
      </w:pPr>
      <w:bookmarkStart w:id="10" w:name="_Toc217852624"/>
      <w:r w:rsidRPr="00791654">
        <w:rPr>
          <w:sz w:val="24"/>
          <w:szCs w:val="24"/>
        </w:rPr>
        <w:lastRenderedPageBreak/>
        <w:t>Appendix A</w:t>
      </w:r>
      <w:bookmarkEnd w:id="10"/>
      <w:r w:rsidRPr="00791654">
        <w:rPr>
          <w:sz w:val="24"/>
          <w:szCs w:val="24"/>
        </w:rPr>
        <w:t xml:space="preserve"> </w:t>
      </w:r>
    </w:p>
    <w:p w14:paraId="741AE47D" w14:textId="77777777" w:rsidR="00BD62CE" w:rsidRPr="00791654" w:rsidRDefault="0063748C" w:rsidP="00B51A41">
      <w:pPr>
        <w:pStyle w:val="Heading5"/>
        <w:spacing w:before="0" w:line="480" w:lineRule="auto"/>
        <w:rPr>
          <w:rFonts w:ascii="Times New Roman" w:hAnsi="Times New Roman" w:cs="Times New Roman"/>
          <w:sz w:val="24"/>
          <w:szCs w:val="24"/>
        </w:rPr>
      </w:pPr>
      <w:r w:rsidRPr="00791654">
        <w:rPr>
          <w:rStyle w:val="Strong"/>
          <w:rFonts w:ascii="Times New Roman" w:hAnsi="Times New Roman" w:cs="Times New Roman"/>
          <w:sz w:val="24"/>
          <w:szCs w:val="24"/>
        </w:rPr>
        <w:t>A1. Profitability Ratios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79"/>
        <w:gridCol w:w="5216"/>
        <w:gridCol w:w="880"/>
        <w:gridCol w:w="895"/>
      </w:tblGrid>
      <w:tr w:rsidR="008B7B16" w:rsidRPr="00791654" w14:paraId="3BEAD47B" w14:textId="77777777" w:rsidTr="0042065D">
        <w:trPr>
          <w:tblHeader/>
          <w:tblCellSpacing w:w="15" w:type="dxa"/>
        </w:trPr>
        <w:tc>
          <w:tcPr>
            <w:tcW w:w="0" w:type="auto"/>
            <w:vAlign w:val="center"/>
            <w:hideMark/>
          </w:tcPr>
          <w:p w14:paraId="46BC93F5"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Ratio</w:t>
            </w:r>
          </w:p>
        </w:tc>
        <w:tc>
          <w:tcPr>
            <w:tcW w:w="0" w:type="auto"/>
            <w:vAlign w:val="center"/>
            <w:hideMark/>
          </w:tcPr>
          <w:p w14:paraId="4B850448"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Formula</w:t>
            </w:r>
          </w:p>
        </w:tc>
        <w:tc>
          <w:tcPr>
            <w:tcW w:w="0" w:type="auto"/>
            <w:vAlign w:val="center"/>
            <w:hideMark/>
          </w:tcPr>
          <w:p w14:paraId="490215AC"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FY2023</w:t>
            </w:r>
          </w:p>
        </w:tc>
        <w:tc>
          <w:tcPr>
            <w:tcW w:w="0" w:type="auto"/>
            <w:vAlign w:val="center"/>
            <w:hideMark/>
          </w:tcPr>
          <w:p w14:paraId="70064751"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FY2024</w:t>
            </w:r>
          </w:p>
        </w:tc>
      </w:tr>
      <w:tr w:rsidR="008B7B16" w:rsidRPr="00791654" w14:paraId="495F9472" w14:textId="77777777" w:rsidTr="0042065D">
        <w:trPr>
          <w:tblCellSpacing w:w="15" w:type="dxa"/>
        </w:trPr>
        <w:tc>
          <w:tcPr>
            <w:tcW w:w="0" w:type="auto"/>
            <w:vAlign w:val="center"/>
            <w:hideMark/>
          </w:tcPr>
          <w:p w14:paraId="3AE63572"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Gross Profit Margin (%)</w:t>
            </w:r>
          </w:p>
        </w:tc>
        <w:tc>
          <w:tcPr>
            <w:tcW w:w="0" w:type="auto"/>
            <w:vAlign w:val="center"/>
            <w:hideMark/>
          </w:tcPr>
          <w:p w14:paraId="2C9D2A2F"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Gross_Profit</w:t>
            </w:r>
            <w:proofErr w:type="spellEnd"/>
            <w:r w:rsidRPr="00791654">
              <w:rPr>
                <w:rFonts w:ascii="Times New Roman" w:hAnsi="Times New Roman" w:cs="Times New Roman"/>
                <w:sz w:val="24"/>
                <w:szCs w:val="24"/>
              </w:rPr>
              <w:t>/Revenue*100</w:t>
            </w:r>
          </w:p>
        </w:tc>
        <w:tc>
          <w:tcPr>
            <w:tcW w:w="0" w:type="auto"/>
            <w:vAlign w:val="center"/>
            <w:hideMark/>
          </w:tcPr>
          <w:p w14:paraId="246829C3"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40.5</w:t>
            </w:r>
          </w:p>
        </w:tc>
        <w:tc>
          <w:tcPr>
            <w:tcW w:w="0" w:type="auto"/>
            <w:vAlign w:val="center"/>
            <w:hideMark/>
          </w:tcPr>
          <w:p w14:paraId="4B16EBC4"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41.2</w:t>
            </w:r>
          </w:p>
        </w:tc>
      </w:tr>
      <w:tr w:rsidR="008B7B16" w:rsidRPr="00791654" w14:paraId="7C1A8970" w14:textId="77777777" w:rsidTr="0042065D">
        <w:trPr>
          <w:tblCellSpacing w:w="15" w:type="dxa"/>
        </w:trPr>
        <w:tc>
          <w:tcPr>
            <w:tcW w:w="0" w:type="auto"/>
            <w:vAlign w:val="center"/>
            <w:hideMark/>
          </w:tcPr>
          <w:p w14:paraId="72CEB5DF"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Operating Profit Margin (%)</w:t>
            </w:r>
          </w:p>
        </w:tc>
        <w:tc>
          <w:tcPr>
            <w:tcW w:w="0" w:type="auto"/>
            <w:vAlign w:val="center"/>
            <w:hideMark/>
          </w:tcPr>
          <w:p w14:paraId="7F2431C1"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Operating_Profit</w:t>
            </w:r>
            <w:proofErr w:type="spellEnd"/>
            <w:r w:rsidRPr="00791654">
              <w:rPr>
                <w:rFonts w:ascii="Times New Roman" w:hAnsi="Times New Roman" w:cs="Times New Roman"/>
                <w:sz w:val="24"/>
                <w:szCs w:val="24"/>
              </w:rPr>
              <w:t>/Revenue*100</w:t>
            </w:r>
          </w:p>
        </w:tc>
        <w:tc>
          <w:tcPr>
            <w:tcW w:w="0" w:type="auto"/>
            <w:vAlign w:val="center"/>
            <w:hideMark/>
          </w:tcPr>
          <w:p w14:paraId="2A95C229"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18.7</w:t>
            </w:r>
          </w:p>
        </w:tc>
        <w:tc>
          <w:tcPr>
            <w:tcW w:w="0" w:type="auto"/>
            <w:vAlign w:val="center"/>
            <w:hideMark/>
          </w:tcPr>
          <w:p w14:paraId="4E465AE9"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19.5</w:t>
            </w:r>
          </w:p>
        </w:tc>
      </w:tr>
      <w:tr w:rsidR="008B7B16" w:rsidRPr="00791654" w14:paraId="45832555" w14:textId="77777777" w:rsidTr="0042065D">
        <w:trPr>
          <w:tblCellSpacing w:w="15" w:type="dxa"/>
        </w:trPr>
        <w:tc>
          <w:tcPr>
            <w:tcW w:w="0" w:type="auto"/>
            <w:vAlign w:val="center"/>
            <w:hideMark/>
          </w:tcPr>
          <w:p w14:paraId="21178400"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Net Profit Margin (%)</w:t>
            </w:r>
          </w:p>
        </w:tc>
        <w:tc>
          <w:tcPr>
            <w:tcW w:w="0" w:type="auto"/>
            <w:vAlign w:val="center"/>
            <w:hideMark/>
          </w:tcPr>
          <w:p w14:paraId="1E2FC6A6"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Net_Profit</w:t>
            </w:r>
            <w:proofErr w:type="spellEnd"/>
            <w:r w:rsidRPr="00791654">
              <w:rPr>
                <w:rFonts w:ascii="Times New Roman" w:hAnsi="Times New Roman" w:cs="Times New Roman"/>
                <w:sz w:val="24"/>
                <w:szCs w:val="24"/>
              </w:rPr>
              <w:t>/Revenue*100</w:t>
            </w:r>
          </w:p>
        </w:tc>
        <w:tc>
          <w:tcPr>
            <w:tcW w:w="0" w:type="auto"/>
            <w:vAlign w:val="center"/>
            <w:hideMark/>
          </w:tcPr>
          <w:p w14:paraId="29E48F32"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14.1</w:t>
            </w:r>
          </w:p>
        </w:tc>
        <w:tc>
          <w:tcPr>
            <w:tcW w:w="0" w:type="auto"/>
            <w:vAlign w:val="center"/>
            <w:hideMark/>
          </w:tcPr>
          <w:p w14:paraId="4056302E"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13.1</w:t>
            </w:r>
          </w:p>
        </w:tc>
      </w:tr>
      <w:tr w:rsidR="008B7B16" w:rsidRPr="00791654" w14:paraId="35B1740C" w14:textId="77777777" w:rsidTr="0042065D">
        <w:trPr>
          <w:tblCellSpacing w:w="15" w:type="dxa"/>
        </w:trPr>
        <w:tc>
          <w:tcPr>
            <w:tcW w:w="0" w:type="auto"/>
            <w:vAlign w:val="center"/>
            <w:hideMark/>
          </w:tcPr>
          <w:p w14:paraId="533C18CD"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ROCE (%)</w:t>
            </w:r>
          </w:p>
        </w:tc>
        <w:tc>
          <w:tcPr>
            <w:tcW w:w="0" w:type="auto"/>
            <w:vAlign w:val="center"/>
            <w:hideMark/>
          </w:tcPr>
          <w:p w14:paraId="43905208"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Operating_Profit</w:t>
            </w:r>
            <w:proofErr w:type="spellEnd"/>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Total_Assets-Current_Liabilities</w:t>
            </w:r>
            <w:proofErr w:type="spellEnd"/>
            <w:r w:rsidRPr="00791654">
              <w:rPr>
                <w:rFonts w:ascii="Times New Roman" w:hAnsi="Times New Roman" w:cs="Times New Roman"/>
                <w:sz w:val="24"/>
                <w:szCs w:val="24"/>
              </w:rPr>
              <w:t>)*100</w:t>
            </w:r>
          </w:p>
        </w:tc>
        <w:tc>
          <w:tcPr>
            <w:tcW w:w="0" w:type="auto"/>
            <w:vAlign w:val="center"/>
            <w:hideMark/>
          </w:tcPr>
          <w:p w14:paraId="12A7C36B"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20.5</w:t>
            </w:r>
          </w:p>
        </w:tc>
        <w:tc>
          <w:tcPr>
            <w:tcW w:w="0" w:type="auto"/>
            <w:vAlign w:val="center"/>
            <w:hideMark/>
          </w:tcPr>
          <w:p w14:paraId="4900906D"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18.7</w:t>
            </w:r>
          </w:p>
        </w:tc>
      </w:tr>
    </w:tbl>
    <w:p w14:paraId="73BDD104" w14:textId="77777777" w:rsidR="00BD62CE" w:rsidRPr="00791654" w:rsidRDefault="00BD62CE" w:rsidP="00B51A41">
      <w:pPr>
        <w:pStyle w:val="NormalWeb"/>
        <w:spacing w:after="0" w:line="480" w:lineRule="auto"/>
        <w:rPr>
          <w:rStyle w:val="Strong"/>
        </w:rPr>
      </w:pPr>
    </w:p>
    <w:p w14:paraId="54086C6E" w14:textId="77777777" w:rsidR="00BD62CE" w:rsidRPr="00791654" w:rsidRDefault="0063748C" w:rsidP="00B51A41">
      <w:pPr>
        <w:pStyle w:val="Heading5"/>
        <w:spacing w:before="0" w:line="480" w:lineRule="auto"/>
        <w:rPr>
          <w:rFonts w:ascii="Times New Roman" w:hAnsi="Times New Roman" w:cs="Times New Roman"/>
          <w:sz w:val="24"/>
          <w:szCs w:val="24"/>
        </w:rPr>
      </w:pPr>
      <w:r w:rsidRPr="00791654">
        <w:rPr>
          <w:rStyle w:val="Strong"/>
          <w:rFonts w:ascii="Times New Roman" w:hAnsi="Times New Roman" w:cs="Times New Roman"/>
          <w:sz w:val="24"/>
          <w:szCs w:val="24"/>
        </w:rPr>
        <w:t>A2. Liquidity Ratios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9"/>
        <w:gridCol w:w="4761"/>
        <w:gridCol w:w="880"/>
        <w:gridCol w:w="895"/>
      </w:tblGrid>
      <w:tr w:rsidR="008B7B16" w:rsidRPr="00791654" w14:paraId="25255CCD" w14:textId="77777777" w:rsidTr="0042065D">
        <w:trPr>
          <w:tblHeader/>
          <w:tblCellSpacing w:w="15" w:type="dxa"/>
        </w:trPr>
        <w:tc>
          <w:tcPr>
            <w:tcW w:w="0" w:type="auto"/>
            <w:vAlign w:val="center"/>
            <w:hideMark/>
          </w:tcPr>
          <w:p w14:paraId="62349A0A"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Ratio</w:t>
            </w:r>
          </w:p>
        </w:tc>
        <w:tc>
          <w:tcPr>
            <w:tcW w:w="0" w:type="auto"/>
            <w:vAlign w:val="center"/>
            <w:hideMark/>
          </w:tcPr>
          <w:p w14:paraId="170668EC"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Formula</w:t>
            </w:r>
          </w:p>
        </w:tc>
        <w:tc>
          <w:tcPr>
            <w:tcW w:w="0" w:type="auto"/>
            <w:vAlign w:val="center"/>
            <w:hideMark/>
          </w:tcPr>
          <w:p w14:paraId="6BF3DFCD"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FY2023</w:t>
            </w:r>
          </w:p>
        </w:tc>
        <w:tc>
          <w:tcPr>
            <w:tcW w:w="0" w:type="auto"/>
            <w:vAlign w:val="center"/>
            <w:hideMark/>
          </w:tcPr>
          <w:p w14:paraId="05DDB2EA"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FY2024</w:t>
            </w:r>
          </w:p>
        </w:tc>
      </w:tr>
      <w:tr w:rsidR="008B7B16" w:rsidRPr="00791654" w14:paraId="14289FE2" w14:textId="77777777" w:rsidTr="0042065D">
        <w:trPr>
          <w:tblCellSpacing w:w="15" w:type="dxa"/>
        </w:trPr>
        <w:tc>
          <w:tcPr>
            <w:tcW w:w="0" w:type="auto"/>
            <w:vAlign w:val="center"/>
            <w:hideMark/>
          </w:tcPr>
          <w:p w14:paraId="2565FB3E"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Current Ratio</w:t>
            </w:r>
          </w:p>
        </w:tc>
        <w:tc>
          <w:tcPr>
            <w:tcW w:w="0" w:type="auto"/>
            <w:vAlign w:val="center"/>
            <w:hideMark/>
          </w:tcPr>
          <w:p w14:paraId="54643A09"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Current_Assets</w:t>
            </w:r>
            <w:proofErr w:type="spellEnd"/>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Current_Liabilities</w:t>
            </w:r>
            <w:proofErr w:type="spellEnd"/>
          </w:p>
        </w:tc>
        <w:tc>
          <w:tcPr>
            <w:tcW w:w="0" w:type="auto"/>
            <w:vAlign w:val="center"/>
            <w:hideMark/>
          </w:tcPr>
          <w:p w14:paraId="2413542C"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1.12</w:t>
            </w:r>
          </w:p>
        </w:tc>
        <w:tc>
          <w:tcPr>
            <w:tcW w:w="0" w:type="auto"/>
            <w:vAlign w:val="center"/>
            <w:hideMark/>
          </w:tcPr>
          <w:p w14:paraId="1490DADA"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1.18</w:t>
            </w:r>
          </w:p>
        </w:tc>
      </w:tr>
      <w:tr w:rsidR="008B7B16" w:rsidRPr="00791654" w14:paraId="3B27423F" w14:textId="77777777" w:rsidTr="0042065D">
        <w:trPr>
          <w:tblCellSpacing w:w="15" w:type="dxa"/>
        </w:trPr>
        <w:tc>
          <w:tcPr>
            <w:tcW w:w="0" w:type="auto"/>
            <w:vAlign w:val="center"/>
            <w:hideMark/>
          </w:tcPr>
          <w:p w14:paraId="758A6DE6"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Quick Ratio</w:t>
            </w:r>
          </w:p>
        </w:tc>
        <w:tc>
          <w:tcPr>
            <w:tcW w:w="0" w:type="auto"/>
            <w:vAlign w:val="center"/>
            <w:hideMark/>
          </w:tcPr>
          <w:p w14:paraId="5AA717B9"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Current_Assets</w:t>
            </w:r>
            <w:proofErr w:type="spellEnd"/>
            <w:r w:rsidRPr="00791654">
              <w:rPr>
                <w:rFonts w:ascii="Times New Roman" w:hAnsi="Times New Roman" w:cs="Times New Roman"/>
                <w:sz w:val="24"/>
                <w:szCs w:val="24"/>
              </w:rPr>
              <w:t>-Inventory)/</w:t>
            </w:r>
            <w:proofErr w:type="spellStart"/>
            <w:r w:rsidRPr="00791654">
              <w:rPr>
                <w:rFonts w:ascii="Times New Roman" w:hAnsi="Times New Roman" w:cs="Times New Roman"/>
                <w:sz w:val="24"/>
                <w:szCs w:val="24"/>
              </w:rPr>
              <w:t>Current_Liabilities</w:t>
            </w:r>
            <w:proofErr w:type="spellEnd"/>
          </w:p>
        </w:tc>
        <w:tc>
          <w:tcPr>
            <w:tcW w:w="0" w:type="auto"/>
            <w:vAlign w:val="center"/>
            <w:hideMark/>
          </w:tcPr>
          <w:p w14:paraId="5746081F"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0.88</w:t>
            </w:r>
          </w:p>
        </w:tc>
        <w:tc>
          <w:tcPr>
            <w:tcW w:w="0" w:type="auto"/>
            <w:vAlign w:val="center"/>
            <w:hideMark/>
          </w:tcPr>
          <w:p w14:paraId="34B26707"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0.91</w:t>
            </w:r>
          </w:p>
        </w:tc>
      </w:tr>
    </w:tbl>
    <w:p w14:paraId="6C254865" w14:textId="77777777" w:rsidR="00BD62CE" w:rsidRPr="00791654" w:rsidRDefault="00BD62CE" w:rsidP="00B51A41">
      <w:pPr>
        <w:pStyle w:val="NormalWeb"/>
        <w:spacing w:after="0" w:line="480" w:lineRule="auto"/>
        <w:rPr>
          <w:rStyle w:val="Strong"/>
        </w:rPr>
      </w:pPr>
    </w:p>
    <w:p w14:paraId="6D573EE7" w14:textId="77777777" w:rsidR="00BD62CE" w:rsidRPr="00791654" w:rsidRDefault="0063748C" w:rsidP="00B51A41">
      <w:pPr>
        <w:pStyle w:val="Heading5"/>
        <w:spacing w:before="0" w:line="480" w:lineRule="auto"/>
        <w:rPr>
          <w:rFonts w:ascii="Times New Roman" w:hAnsi="Times New Roman" w:cs="Times New Roman"/>
          <w:sz w:val="24"/>
          <w:szCs w:val="24"/>
        </w:rPr>
      </w:pPr>
      <w:r w:rsidRPr="00791654">
        <w:rPr>
          <w:rStyle w:val="Strong"/>
          <w:rFonts w:ascii="Times New Roman" w:hAnsi="Times New Roman" w:cs="Times New Roman"/>
          <w:sz w:val="24"/>
          <w:szCs w:val="24"/>
        </w:rPr>
        <w:t>A3. Efficiency Ratios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2"/>
        <w:gridCol w:w="3842"/>
        <w:gridCol w:w="880"/>
        <w:gridCol w:w="895"/>
      </w:tblGrid>
      <w:tr w:rsidR="008B7B16" w:rsidRPr="00791654" w14:paraId="08D5CD8E" w14:textId="77777777" w:rsidTr="0042065D">
        <w:trPr>
          <w:tblHeader/>
          <w:tblCellSpacing w:w="15" w:type="dxa"/>
        </w:trPr>
        <w:tc>
          <w:tcPr>
            <w:tcW w:w="0" w:type="auto"/>
            <w:vAlign w:val="center"/>
            <w:hideMark/>
          </w:tcPr>
          <w:p w14:paraId="471519A1"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Ratio</w:t>
            </w:r>
          </w:p>
        </w:tc>
        <w:tc>
          <w:tcPr>
            <w:tcW w:w="0" w:type="auto"/>
            <w:vAlign w:val="center"/>
            <w:hideMark/>
          </w:tcPr>
          <w:p w14:paraId="0F851D1E"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Formula</w:t>
            </w:r>
          </w:p>
        </w:tc>
        <w:tc>
          <w:tcPr>
            <w:tcW w:w="0" w:type="auto"/>
            <w:vAlign w:val="center"/>
            <w:hideMark/>
          </w:tcPr>
          <w:p w14:paraId="00BAC365"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FY2023</w:t>
            </w:r>
          </w:p>
        </w:tc>
        <w:tc>
          <w:tcPr>
            <w:tcW w:w="0" w:type="auto"/>
            <w:vAlign w:val="center"/>
            <w:hideMark/>
          </w:tcPr>
          <w:p w14:paraId="17E6B5B6"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FY2024</w:t>
            </w:r>
          </w:p>
        </w:tc>
      </w:tr>
      <w:tr w:rsidR="008B7B16" w:rsidRPr="00791654" w14:paraId="72140620" w14:textId="77777777" w:rsidTr="0042065D">
        <w:trPr>
          <w:tblCellSpacing w:w="15" w:type="dxa"/>
        </w:trPr>
        <w:tc>
          <w:tcPr>
            <w:tcW w:w="0" w:type="auto"/>
            <w:vAlign w:val="center"/>
            <w:hideMark/>
          </w:tcPr>
          <w:p w14:paraId="0D3B75AD"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Inventory Turnover</w:t>
            </w:r>
          </w:p>
        </w:tc>
        <w:tc>
          <w:tcPr>
            <w:tcW w:w="0" w:type="auto"/>
            <w:vAlign w:val="center"/>
            <w:hideMark/>
          </w:tcPr>
          <w:p w14:paraId="3D1E28B4"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Cost_of_Sales</w:t>
            </w:r>
            <w:proofErr w:type="spellEnd"/>
            <w:r w:rsidRPr="00791654">
              <w:rPr>
                <w:rFonts w:ascii="Times New Roman" w:hAnsi="Times New Roman" w:cs="Times New Roman"/>
                <w:sz w:val="24"/>
                <w:szCs w:val="24"/>
              </w:rPr>
              <w:t>/Inventory</w:t>
            </w:r>
          </w:p>
        </w:tc>
        <w:tc>
          <w:tcPr>
            <w:tcW w:w="0" w:type="auto"/>
            <w:vAlign w:val="center"/>
            <w:hideMark/>
          </w:tcPr>
          <w:p w14:paraId="490C6216"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6.5</w:t>
            </w:r>
          </w:p>
        </w:tc>
        <w:tc>
          <w:tcPr>
            <w:tcW w:w="0" w:type="auto"/>
            <w:vAlign w:val="center"/>
            <w:hideMark/>
          </w:tcPr>
          <w:p w14:paraId="7B1BBC4E"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7.1</w:t>
            </w:r>
          </w:p>
        </w:tc>
      </w:tr>
      <w:tr w:rsidR="008B7B16" w:rsidRPr="00791654" w14:paraId="142CB45D" w14:textId="77777777" w:rsidTr="0042065D">
        <w:trPr>
          <w:tblCellSpacing w:w="15" w:type="dxa"/>
        </w:trPr>
        <w:tc>
          <w:tcPr>
            <w:tcW w:w="0" w:type="auto"/>
            <w:vAlign w:val="center"/>
            <w:hideMark/>
          </w:tcPr>
          <w:p w14:paraId="053BFB54"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Inventory Days</w:t>
            </w:r>
          </w:p>
        </w:tc>
        <w:tc>
          <w:tcPr>
            <w:tcW w:w="0" w:type="auto"/>
            <w:vAlign w:val="center"/>
            <w:hideMark/>
          </w:tcPr>
          <w:p w14:paraId="6925892C"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=(Inventory/</w:t>
            </w:r>
            <w:proofErr w:type="spellStart"/>
            <w:r w:rsidRPr="00791654">
              <w:rPr>
                <w:rFonts w:ascii="Times New Roman" w:hAnsi="Times New Roman" w:cs="Times New Roman"/>
                <w:sz w:val="24"/>
                <w:szCs w:val="24"/>
              </w:rPr>
              <w:t>Cost_of_Sales</w:t>
            </w:r>
            <w:proofErr w:type="spellEnd"/>
            <w:r w:rsidRPr="00791654">
              <w:rPr>
                <w:rFonts w:ascii="Times New Roman" w:hAnsi="Times New Roman" w:cs="Times New Roman"/>
                <w:sz w:val="24"/>
                <w:szCs w:val="24"/>
              </w:rPr>
              <w:t>)*365</w:t>
            </w:r>
          </w:p>
        </w:tc>
        <w:tc>
          <w:tcPr>
            <w:tcW w:w="0" w:type="auto"/>
            <w:vAlign w:val="center"/>
            <w:hideMark/>
          </w:tcPr>
          <w:p w14:paraId="600C5E02"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56</w:t>
            </w:r>
          </w:p>
        </w:tc>
        <w:tc>
          <w:tcPr>
            <w:tcW w:w="0" w:type="auto"/>
            <w:vAlign w:val="center"/>
            <w:hideMark/>
          </w:tcPr>
          <w:p w14:paraId="557F6AB0"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51</w:t>
            </w:r>
          </w:p>
        </w:tc>
      </w:tr>
      <w:tr w:rsidR="008B7B16" w:rsidRPr="00791654" w14:paraId="0D621081" w14:textId="77777777" w:rsidTr="0042065D">
        <w:trPr>
          <w:tblCellSpacing w:w="15" w:type="dxa"/>
        </w:trPr>
        <w:tc>
          <w:tcPr>
            <w:tcW w:w="0" w:type="auto"/>
            <w:vAlign w:val="center"/>
            <w:hideMark/>
          </w:tcPr>
          <w:p w14:paraId="120FFFC5"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Receivables Days</w:t>
            </w:r>
          </w:p>
        </w:tc>
        <w:tc>
          <w:tcPr>
            <w:tcW w:w="0" w:type="auto"/>
            <w:vAlign w:val="center"/>
            <w:hideMark/>
          </w:tcPr>
          <w:p w14:paraId="0AD3F3F3"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Trade_Receivables</w:t>
            </w:r>
            <w:proofErr w:type="spellEnd"/>
            <w:r w:rsidRPr="00791654">
              <w:rPr>
                <w:rFonts w:ascii="Times New Roman" w:hAnsi="Times New Roman" w:cs="Times New Roman"/>
                <w:sz w:val="24"/>
                <w:szCs w:val="24"/>
              </w:rPr>
              <w:t>/Revenue)*365</w:t>
            </w:r>
          </w:p>
        </w:tc>
        <w:tc>
          <w:tcPr>
            <w:tcW w:w="0" w:type="auto"/>
            <w:vAlign w:val="center"/>
            <w:hideMark/>
          </w:tcPr>
          <w:p w14:paraId="00425A6B"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15</w:t>
            </w:r>
          </w:p>
        </w:tc>
        <w:tc>
          <w:tcPr>
            <w:tcW w:w="0" w:type="auto"/>
            <w:vAlign w:val="center"/>
            <w:hideMark/>
          </w:tcPr>
          <w:p w14:paraId="0C9363A3"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14</w:t>
            </w:r>
          </w:p>
        </w:tc>
      </w:tr>
      <w:tr w:rsidR="008B7B16" w:rsidRPr="00791654" w14:paraId="17BDBED7" w14:textId="77777777" w:rsidTr="0042065D">
        <w:trPr>
          <w:tblCellSpacing w:w="15" w:type="dxa"/>
        </w:trPr>
        <w:tc>
          <w:tcPr>
            <w:tcW w:w="0" w:type="auto"/>
            <w:vAlign w:val="center"/>
            <w:hideMark/>
          </w:tcPr>
          <w:p w14:paraId="061FCDC5"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Payables Days</w:t>
            </w:r>
          </w:p>
        </w:tc>
        <w:tc>
          <w:tcPr>
            <w:tcW w:w="0" w:type="auto"/>
            <w:vAlign w:val="center"/>
            <w:hideMark/>
          </w:tcPr>
          <w:p w14:paraId="0D25A98B"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Trade_Payables</w:t>
            </w:r>
            <w:proofErr w:type="spellEnd"/>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Cost_of_Sales</w:t>
            </w:r>
            <w:proofErr w:type="spellEnd"/>
            <w:r w:rsidRPr="00791654">
              <w:rPr>
                <w:rFonts w:ascii="Times New Roman" w:hAnsi="Times New Roman" w:cs="Times New Roman"/>
                <w:sz w:val="24"/>
                <w:szCs w:val="24"/>
              </w:rPr>
              <w:t>)*365</w:t>
            </w:r>
          </w:p>
        </w:tc>
        <w:tc>
          <w:tcPr>
            <w:tcW w:w="0" w:type="auto"/>
            <w:vAlign w:val="center"/>
            <w:hideMark/>
          </w:tcPr>
          <w:p w14:paraId="78E5E058"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38</w:t>
            </w:r>
          </w:p>
        </w:tc>
        <w:tc>
          <w:tcPr>
            <w:tcW w:w="0" w:type="auto"/>
            <w:vAlign w:val="center"/>
            <w:hideMark/>
          </w:tcPr>
          <w:p w14:paraId="25DC83EC"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40</w:t>
            </w:r>
          </w:p>
        </w:tc>
      </w:tr>
    </w:tbl>
    <w:p w14:paraId="654F0A3B" w14:textId="77777777" w:rsidR="00BD62CE" w:rsidRPr="00791654" w:rsidRDefault="00BD62CE" w:rsidP="00B51A41">
      <w:pPr>
        <w:pStyle w:val="NormalWeb"/>
        <w:spacing w:after="0" w:line="480" w:lineRule="auto"/>
        <w:rPr>
          <w:rStyle w:val="Strong"/>
        </w:rPr>
      </w:pPr>
    </w:p>
    <w:p w14:paraId="24486841" w14:textId="77777777" w:rsidR="00BD62CE" w:rsidRPr="00791654" w:rsidRDefault="0063748C" w:rsidP="00FB14E4">
      <w:pPr>
        <w:pStyle w:val="Heading6"/>
      </w:pPr>
      <w:r w:rsidRPr="00791654">
        <w:rPr>
          <w:rStyle w:val="Strong"/>
          <w:rFonts w:ascii="Times New Roman" w:hAnsi="Times New Roman" w:cs="Times New Roman"/>
          <w:sz w:val="24"/>
          <w:szCs w:val="24"/>
        </w:rPr>
        <w:t>A4. Gearing Ratios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81"/>
        <w:gridCol w:w="3322"/>
        <w:gridCol w:w="880"/>
        <w:gridCol w:w="895"/>
      </w:tblGrid>
      <w:tr w:rsidR="008B7B16" w:rsidRPr="00791654" w14:paraId="20E5A29D" w14:textId="77777777" w:rsidTr="0042065D">
        <w:trPr>
          <w:tblHeader/>
          <w:tblCellSpacing w:w="15" w:type="dxa"/>
        </w:trPr>
        <w:tc>
          <w:tcPr>
            <w:tcW w:w="0" w:type="auto"/>
            <w:vAlign w:val="center"/>
            <w:hideMark/>
          </w:tcPr>
          <w:p w14:paraId="08D451E5"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Ratio</w:t>
            </w:r>
          </w:p>
        </w:tc>
        <w:tc>
          <w:tcPr>
            <w:tcW w:w="0" w:type="auto"/>
            <w:vAlign w:val="center"/>
            <w:hideMark/>
          </w:tcPr>
          <w:p w14:paraId="54566E38"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Formula</w:t>
            </w:r>
          </w:p>
        </w:tc>
        <w:tc>
          <w:tcPr>
            <w:tcW w:w="0" w:type="auto"/>
            <w:vAlign w:val="center"/>
            <w:hideMark/>
          </w:tcPr>
          <w:p w14:paraId="12CF44BF"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FY2023</w:t>
            </w:r>
          </w:p>
        </w:tc>
        <w:tc>
          <w:tcPr>
            <w:tcW w:w="0" w:type="auto"/>
            <w:vAlign w:val="center"/>
            <w:hideMark/>
          </w:tcPr>
          <w:p w14:paraId="348D042B"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FY2024</w:t>
            </w:r>
          </w:p>
        </w:tc>
      </w:tr>
      <w:tr w:rsidR="008B7B16" w:rsidRPr="00791654" w14:paraId="41123E44" w14:textId="77777777" w:rsidTr="0042065D">
        <w:trPr>
          <w:tblCellSpacing w:w="15" w:type="dxa"/>
        </w:trPr>
        <w:tc>
          <w:tcPr>
            <w:tcW w:w="0" w:type="auto"/>
            <w:vAlign w:val="center"/>
            <w:hideMark/>
          </w:tcPr>
          <w:p w14:paraId="249C3555"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Debt-to-Equity Ratio</w:t>
            </w:r>
          </w:p>
        </w:tc>
        <w:tc>
          <w:tcPr>
            <w:tcW w:w="0" w:type="auto"/>
            <w:vAlign w:val="center"/>
            <w:hideMark/>
          </w:tcPr>
          <w:p w14:paraId="17B6BE9F"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Long_Term_Debt</w:t>
            </w:r>
            <w:proofErr w:type="spellEnd"/>
            <w:r w:rsidRPr="00791654">
              <w:rPr>
                <w:rFonts w:ascii="Times New Roman" w:hAnsi="Times New Roman" w:cs="Times New Roman"/>
                <w:sz w:val="24"/>
                <w:szCs w:val="24"/>
              </w:rPr>
              <w:t>/Equity</w:t>
            </w:r>
          </w:p>
        </w:tc>
        <w:tc>
          <w:tcPr>
            <w:tcW w:w="0" w:type="auto"/>
            <w:vAlign w:val="center"/>
            <w:hideMark/>
          </w:tcPr>
          <w:p w14:paraId="58BB8AD7"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2.42</w:t>
            </w:r>
          </w:p>
        </w:tc>
        <w:tc>
          <w:tcPr>
            <w:tcW w:w="0" w:type="auto"/>
            <w:vAlign w:val="center"/>
            <w:hideMark/>
          </w:tcPr>
          <w:p w14:paraId="2DCA32F9"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1.88</w:t>
            </w:r>
          </w:p>
        </w:tc>
      </w:tr>
      <w:tr w:rsidR="008B7B16" w:rsidRPr="00791654" w14:paraId="71B962C2" w14:textId="77777777" w:rsidTr="0042065D">
        <w:trPr>
          <w:tblCellSpacing w:w="15" w:type="dxa"/>
        </w:trPr>
        <w:tc>
          <w:tcPr>
            <w:tcW w:w="0" w:type="auto"/>
            <w:vAlign w:val="center"/>
            <w:hideMark/>
          </w:tcPr>
          <w:p w14:paraId="73EB9F4D"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Interest Cover (Times)</w:t>
            </w:r>
          </w:p>
        </w:tc>
        <w:tc>
          <w:tcPr>
            <w:tcW w:w="0" w:type="auto"/>
            <w:vAlign w:val="center"/>
            <w:hideMark/>
          </w:tcPr>
          <w:p w14:paraId="314B3CB1"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Operating_Profit</w:t>
            </w:r>
            <w:proofErr w:type="spellEnd"/>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Finance_Costs</w:t>
            </w:r>
            <w:proofErr w:type="spellEnd"/>
          </w:p>
        </w:tc>
        <w:tc>
          <w:tcPr>
            <w:tcW w:w="0" w:type="auto"/>
            <w:vAlign w:val="center"/>
            <w:hideMark/>
          </w:tcPr>
          <w:p w14:paraId="2E64258C"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12.5</w:t>
            </w:r>
          </w:p>
        </w:tc>
        <w:tc>
          <w:tcPr>
            <w:tcW w:w="0" w:type="auto"/>
            <w:vAlign w:val="center"/>
            <w:hideMark/>
          </w:tcPr>
          <w:p w14:paraId="53013E21"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13.2</w:t>
            </w:r>
          </w:p>
        </w:tc>
      </w:tr>
    </w:tbl>
    <w:p w14:paraId="700EA675" w14:textId="77777777" w:rsidR="00BD62CE" w:rsidRPr="00791654" w:rsidRDefault="00BD62CE" w:rsidP="00B51A41">
      <w:pPr>
        <w:pStyle w:val="NormalWeb"/>
        <w:spacing w:after="0" w:line="480" w:lineRule="auto"/>
        <w:rPr>
          <w:rStyle w:val="Strong"/>
        </w:rPr>
      </w:pPr>
    </w:p>
    <w:p w14:paraId="7D14CB9D" w14:textId="77777777" w:rsidR="00BD62CE" w:rsidRPr="00791654" w:rsidRDefault="0063748C" w:rsidP="00FB14E4">
      <w:pPr>
        <w:pStyle w:val="Heading6"/>
      </w:pPr>
      <w:r w:rsidRPr="00791654">
        <w:rPr>
          <w:rStyle w:val="Strong"/>
          <w:rFonts w:ascii="Times New Roman" w:hAnsi="Times New Roman" w:cs="Times New Roman"/>
          <w:sz w:val="24"/>
          <w:szCs w:val="24"/>
        </w:rPr>
        <w:t>A5. Investor Ratios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55"/>
        <w:gridCol w:w="3482"/>
        <w:gridCol w:w="880"/>
        <w:gridCol w:w="895"/>
      </w:tblGrid>
      <w:tr w:rsidR="008B7B16" w:rsidRPr="00791654" w14:paraId="0A281FFE" w14:textId="77777777" w:rsidTr="0042065D">
        <w:trPr>
          <w:tblHeader/>
          <w:tblCellSpacing w:w="15" w:type="dxa"/>
        </w:trPr>
        <w:tc>
          <w:tcPr>
            <w:tcW w:w="0" w:type="auto"/>
            <w:vAlign w:val="center"/>
            <w:hideMark/>
          </w:tcPr>
          <w:p w14:paraId="21D442A5"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Ratio</w:t>
            </w:r>
          </w:p>
        </w:tc>
        <w:tc>
          <w:tcPr>
            <w:tcW w:w="0" w:type="auto"/>
            <w:vAlign w:val="center"/>
            <w:hideMark/>
          </w:tcPr>
          <w:p w14:paraId="670D6A1D"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Formula</w:t>
            </w:r>
          </w:p>
        </w:tc>
        <w:tc>
          <w:tcPr>
            <w:tcW w:w="0" w:type="auto"/>
            <w:vAlign w:val="center"/>
            <w:hideMark/>
          </w:tcPr>
          <w:p w14:paraId="08ACC0E4"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FY2023</w:t>
            </w:r>
          </w:p>
        </w:tc>
        <w:tc>
          <w:tcPr>
            <w:tcW w:w="0" w:type="auto"/>
            <w:vAlign w:val="center"/>
            <w:hideMark/>
          </w:tcPr>
          <w:p w14:paraId="6670A2F3" w14:textId="77777777" w:rsidR="00BD62CE" w:rsidRPr="00791654" w:rsidRDefault="0063748C" w:rsidP="00B51A41">
            <w:pPr>
              <w:spacing w:after="0" w:line="480" w:lineRule="auto"/>
              <w:jc w:val="center"/>
              <w:rPr>
                <w:rFonts w:ascii="Times New Roman" w:hAnsi="Times New Roman" w:cs="Times New Roman"/>
                <w:b/>
                <w:bCs/>
                <w:sz w:val="24"/>
                <w:szCs w:val="24"/>
              </w:rPr>
            </w:pPr>
            <w:r w:rsidRPr="00791654">
              <w:rPr>
                <w:rFonts w:ascii="Times New Roman" w:hAnsi="Times New Roman" w:cs="Times New Roman"/>
                <w:b/>
                <w:bCs/>
                <w:sz w:val="24"/>
                <w:szCs w:val="24"/>
              </w:rPr>
              <w:t>FY2024</w:t>
            </w:r>
          </w:p>
        </w:tc>
      </w:tr>
      <w:tr w:rsidR="008B7B16" w:rsidRPr="00791654" w14:paraId="62FE6770" w14:textId="77777777" w:rsidTr="0042065D">
        <w:trPr>
          <w:tblCellSpacing w:w="15" w:type="dxa"/>
        </w:trPr>
        <w:tc>
          <w:tcPr>
            <w:tcW w:w="0" w:type="auto"/>
            <w:vAlign w:val="center"/>
            <w:hideMark/>
          </w:tcPr>
          <w:p w14:paraId="40601356"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EPS (£)</w:t>
            </w:r>
          </w:p>
        </w:tc>
        <w:tc>
          <w:tcPr>
            <w:tcW w:w="0" w:type="auto"/>
            <w:vAlign w:val="center"/>
            <w:hideMark/>
          </w:tcPr>
          <w:p w14:paraId="40D2AFB2"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Profit_After_Tax</w:t>
            </w:r>
            <w:proofErr w:type="spellEnd"/>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No_of_Shares</w:t>
            </w:r>
            <w:proofErr w:type="spellEnd"/>
          </w:p>
        </w:tc>
        <w:tc>
          <w:tcPr>
            <w:tcW w:w="0" w:type="auto"/>
            <w:vAlign w:val="center"/>
            <w:hideMark/>
          </w:tcPr>
          <w:p w14:paraId="6DAB1741"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135.7</w:t>
            </w:r>
          </w:p>
        </w:tc>
        <w:tc>
          <w:tcPr>
            <w:tcW w:w="0" w:type="auto"/>
            <w:vAlign w:val="center"/>
            <w:hideMark/>
          </w:tcPr>
          <w:p w14:paraId="57A7FF6A"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138.4</w:t>
            </w:r>
          </w:p>
        </w:tc>
      </w:tr>
      <w:tr w:rsidR="008B7B16" w:rsidRPr="00791654" w14:paraId="4381D04B" w14:textId="77777777" w:rsidTr="0042065D">
        <w:trPr>
          <w:tblCellSpacing w:w="15" w:type="dxa"/>
        </w:trPr>
        <w:tc>
          <w:tcPr>
            <w:tcW w:w="0" w:type="auto"/>
            <w:vAlign w:val="center"/>
            <w:hideMark/>
          </w:tcPr>
          <w:p w14:paraId="54D31D09"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P/E Ratio</w:t>
            </w:r>
          </w:p>
        </w:tc>
        <w:tc>
          <w:tcPr>
            <w:tcW w:w="0" w:type="auto"/>
            <w:vAlign w:val="center"/>
            <w:hideMark/>
          </w:tcPr>
          <w:p w14:paraId="420DCAF2"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Market_Price_per_Share</w:t>
            </w:r>
            <w:proofErr w:type="spellEnd"/>
            <w:r w:rsidRPr="00791654">
              <w:rPr>
                <w:rFonts w:ascii="Times New Roman" w:hAnsi="Times New Roman" w:cs="Times New Roman"/>
                <w:sz w:val="24"/>
                <w:szCs w:val="24"/>
              </w:rPr>
              <w:t>/EPS</w:t>
            </w:r>
          </w:p>
        </w:tc>
        <w:tc>
          <w:tcPr>
            <w:tcW w:w="0" w:type="auto"/>
            <w:vAlign w:val="center"/>
            <w:hideMark/>
          </w:tcPr>
          <w:p w14:paraId="262F763D"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14.2</w:t>
            </w:r>
          </w:p>
        </w:tc>
        <w:tc>
          <w:tcPr>
            <w:tcW w:w="0" w:type="auto"/>
            <w:vAlign w:val="center"/>
            <w:hideMark/>
          </w:tcPr>
          <w:p w14:paraId="05D7D137"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13.8</w:t>
            </w:r>
          </w:p>
        </w:tc>
      </w:tr>
      <w:tr w:rsidR="008B7B16" w:rsidRPr="00791654" w14:paraId="30FB6E01" w14:textId="77777777" w:rsidTr="0042065D">
        <w:trPr>
          <w:tblCellSpacing w:w="15" w:type="dxa"/>
        </w:trPr>
        <w:tc>
          <w:tcPr>
            <w:tcW w:w="0" w:type="auto"/>
            <w:vAlign w:val="center"/>
            <w:hideMark/>
          </w:tcPr>
          <w:p w14:paraId="6620B89E"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Dividend Yield (%)</w:t>
            </w:r>
          </w:p>
        </w:tc>
        <w:tc>
          <w:tcPr>
            <w:tcW w:w="0" w:type="auto"/>
            <w:vAlign w:val="center"/>
            <w:hideMark/>
          </w:tcPr>
          <w:p w14:paraId="10576A68"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=(Dividend/</w:t>
            </w:r>
            <w:proofErr w:type="spellStart"/>
            <w:r w:rsidRPr="00791654">
              <w:rPr>
                <w:rFonts w:ascii="Times New Roman" w:hAnsi="Times New Roman" w:cs="Times New Roman"/>
                <w:sz w:val="24"/>
                <w:szCs w:val="24"/>
              </w:rPr>
              <w:t>Market_Price</w:t>
            </w:r>
            <w:proofErr w:type="spellEnd"/>
            <w:r w:rsidRPr="00791654">
              <w:rPr>
                <w:rFonts w:ascii="Times New Roman" w:hAnsi="Times New Roman" w:cs="Times New Roman"/>
                <w:sz w:val="24"/>
                <w:szCs w:val="24"/>
              </w:rPr>
              <w:t>)*100</w:t>
            </w:r>
          </w:p>
        </w:tc>
        <w:tc>
          <w:tcPr>
            <w:tcW w:w="0" w:type="auto"/>
            <w:vAlign w:val="center"/>
            <w:hideMark/>
          </w:tcPr>
          <w:p w14:paraId="0499C591"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4.0</w:t>
            </w:r>
          </w:p>
        </w:tc>
        <w:tc>
          <w:tcPr>
            <w:tcW w:w="0" w:type="auto"/>
            <w:vAlign w:val="center"/>
            <w:hideMark/>
          </w:tcPr>
          <w:p w14:paraId="1A3CFE7B"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3.9</w:t>
            </w:r>
          </w:p>
        </w:tc>
      </w:tr>
      <w:tr w:rsidR="008B7B16" w:rsidRPr="00791654" w14:paraId="1A9FE1BE" w14:textId="77777777" w:rsidTr="0042065D">
        <w:trPr>
          <w:tblCellSpacing w:w="15" w:type="dxa"/>
        </w:trPr>
        <w:tc>
          <w:tcPr>
            <w:tcW w:w="0" w:type="auto"/>
            <w:vAlign w:val="center"/>
            <w:hideMark/>
          </w:tcPr>
          <w:p w14:paraId="38B7F47B"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Dividend Cover (Times)</w:t>
            </w:r>
          </w:p>
        </w:tc>
        <w:tc>
          <w:tcPr>
            <w:tcW w:w="0" w:type="auto"/>
            <w:vAlign w:val="center"/>
            <w:hideMark/>
          </w:tcPr>
          <w:p w14:paraId="042ADD8A"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Profit_After_Tax</w:t>
            </w:r>
            <w:proofErr w:type="spellEnd"/>
            <w:r w:rsidRPr="00791654">
              <w:rPr>
                <w:rFonts w:ascii="Times New Roman" w:hAnsi="Times New Roman" w:cs="Times New Roman"/>
                <w:sz w:val="24"/>
                <w:szCs w:val="24"/>
              </w:rPr>
              <w:t>/</w:t>
            </w:r>
            <w:proofErr w:type="spellStart"/>
            <w:r w:rsidRPr="00791654">
              <w:rPr>
                <w:rFonts w:ascii="Times New Roman" w:hAnsi="Times New Roman" w:cs="Times New Roman"/>
                <w:sz w:val="24"/>
                <w:szCs w:val="24"/>
              </w:rPr>
              <w:t>Dividends_Paid</w:t>
            </w:r>
            <w:proofErr w:type="spellEnd"/>
          </w:p>
        </w:tc>
        <w:tc>
          <w:tcPr>
            <w:tcW w:w="0" w:type="auto"/>
            <w:vAlign w:val="center"/>
            <w:hideMark/>
          </w:tcPr>
          <w:p w14:paraId="7B81BC37"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3.5</w:t>
            </w:r>
          </w:p>
        </w:tc>
        <w:tc>
          <w:tcPr>
            <w:tcW w:w="0" w:type="auto"/>
            <w:vAlign w:val="center"/>
            <w:hideMark/>
          </w:tcPr>
          <w:p w14:paraId="3B1E75F4" w14:textId="77777777" w:rsidR="00BD62CE"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3.6</w:t>
            </w:r>
          </w:p>
        </w:tc>
      </w:tr>
    </w:tbl>
    <w:p w14:paraId="743D3BA9" w14:textId="77777777" w:rsidR="00A51F17" w:rsidRDefault="00A51F17" w:rsidP="00B51A41">
      <w:pPr>
        <w:pStyle w:val="Heading1"/>
        <w:spacing w:before="0" w:line="480" w:lineRule="auto"/>
        <w:rPr>
          <w:rFonts w:ascii="Times New Roman" w:hAnsi="Times New Roman" w:cs="Times New Roman"/>
          <w:sz w:val="24"/>
          <w:szCs w:val="24"/>
        </w:rPr>
      </w:pPr>
    </w:p>
    <w:p w14:paraId="351F15D8" w14:textId="6E7A3135" w:rsidR="00A51F17" w:rsidRPr="008C0080" w:rsidRDefault="00A51F17" w:rsidP="00905159">
      <w:pPr>
        <w:pStyle w:val="Heading6"/>
        <w:rPr>
          <w:rFonts w:eastAsia="Times New Roman"/>
        </w:rPr>
      </w:pPr>
      <w:r w:rsidRPr="008C0080">
        <w:rPr>
          <w:rFonts w:eastAsia="Times New Roman"/>
        </w:rPr>
        <w:t xml:space="preserve">Appendix </w:t>
      </w:r>
      <w:r w:rsidR="00F70D4D" w:rsidRPr="00A7422E">
        <w:rPr>
          <w:rFonts w:eastAsia="Times New Roman"/>
        </w:rPr>
        <w:t>B</w:t>
      </w:r>
      <w:r w:rsidRPr="008C0080">
        <w:rPr>
          <w:rFonts w:eastAsia="Times New Roman"/>
        </w:rPr>
        <w:t>1: Statement of Profit or Loss (Extracts) – Next plc</w:t>
      </w:r>
    </w:p>
    <w:tbl>
      <w:tblPr>
        <w:tblpPr w:leftFromText="180" w:rightFromText="180" w:vertAnchor="text" w:tblpY="1"/>
        <w:tblOverlap w:val="neve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2"/>
        <w:gridCol w:w="880"/>
        <w:gridCol w:w="895"/>
      </w:tblGrid>
      <w:tr w:rsidR="00A51F17" w:rsidRPr="008C0080" w14:paraId="1F905F7E" w14:textId="77777777" w:rsidTr="00A7422E">
        <w:trPr>
          <w:tblHeader/>
          <w:tblCellSpacing w:w="15" w:type="dxa"/>
        </w:trPr>
        <w:tc>
          <w:tcPr>
            <w:tcW w:w="0" w:type="auto"/>
            <w:vAlign w:val="center"/>
            <w:hideMark/>
          </w:tcPr>
          <w:p w14:paraId="0495D26B" w14:textId="77777777" w:rsidR="00A51F17" w:rsidRPr="008C0080" w:rsidRDefault="00A51F17" w:rsidP="00A7422E">
            <w:pPr>
              <w:spacing w:after="0" w:line="240" w:lineRule="auto"/>
              <w:jc w:val="center"/>
              <w:rPr>
                <w:rFonts w:ascii="Times New Roman" w:eastAsia="Times New Roman" w:hAnsi="Times New Roman" w:cs="Times New Roman"/>
                <w:b/>
                <w:bCs/>
                <w:sz w:val="24"/>
                <w:szCs w:val="24"/>
              </w:rPr>
            </w:pPr>
            <w:r w:rsidRPr="008C0080">
              <w:rPr>
                <w:rFonts w:ascii="Times New Roman" w:eastAsia="Times New Roman" w:hAnsi="Times New Roman" w:cs="Times New Roman"/>
                <w:b/>
                <w:bCs/>
                <w:sz w:val="24"/>
                <w:szCs w:val="24"/>
              </w:rPr>
              <w:t>£ million</w:t>
            </w:r>
          </w:p>
        </w:tc>
        <w:tc>
          <w:tcPr>
            <w:tcW w:w="0" w:type="auto"/>
            <w:vAlign w:val="center"/>
            <w:hideMark/>
          </w:tcPr>
          <w:p w14:paraId="02B60946" w14:textId="77777777" w:rsidR="00A51F17" w:rsidRPr="008C0080" w:rsidRDefault="00A51F17" w:rsidP="00A7422E">
            <w:pPr>
              <w:spacing w:after="0" w:line="240" w:lineRule="auto"/>
              <w:jc w:val="right"/>
              <w:rPr>
                <w:rFonts w:ascii="Times New Roman" w:eastAsia="Times New Roman" w:hAnsi="Times New Roman" w:cs="Times New Roman"/>
                <w:b/>
                <w:bCs/>
                <w:sz w:val="24"/>
                <w:szCs w:val="24"/>
              </w:rPr>
            </w:pPr>
            <w:r w:rsidRPr="008C0080">
              <w:rPr>
                <w:rFonts w:ascii="Times New Roman" w:eastAsia="Times New Roman" w:hAnsi="Times New Roman" w:cs="Times New Roman"/>
                <w:b/>
                <w:bCs/>
                <w:sz w:val="24"/>
                <w:szCs w:val="24"/>
              </w:rPr>
              <w:t>FY2023</w:t>
            </w:r>
          </w:p>
        </w:tc>
        <w:tc>
          <w:tcPr>
            <w:tcW w:w="0" w:type="auto"/>
            <w:vAlign w:val="center"/>
            <w:hideMark/>
          </w:tcPr>
          <w:p w14:paraId="1C8E70F6" w14:textId="77777777" w:rsidR="00A51F17" w:rsidRPr="008C0080" w:rsidRDefault="00A51F17" w:rsidP="00A7422E">
            <w:pPr>
              <w:spacing w:after="0" w:line="240" w:lineRule="auto"/>
              <w:jc w:val="right"/>
              <w:rPr>
                <w:rFonts w:ascii="Times New Roman" w:eastAsia="Times New Roman" w:hAnsi="Times New Roman" w:cs="Times New Roman"/>
                <w:b/>
                <w:bCs/>
                <w:sz w:val="24"/>
                <w:szCs w:val="24"/>
              </w:rPr>
            </w:pPr>
            <w:r w:rsidRPr="008C0080">
              <w:rPr>
                <w:rFonts w:ascii="Times New Roman" w:eastAsia="Times New Roman" w:hAnsi="Times New Roman" w:cs="Times New Roman"/>
                <w:b/>
                <w:bCs/>
                <w:sz w:val="24"/>
                <w:szCs w:val="24"/>
              </w:rPr>
              <w:t>FY2024</w:t>
            </w:r>
          </w:p>
        </w:tc>
      </w:tr>
      <w:tr w:rsidR="00A51F17" w:rsidRPr="008C0080" w14:paraId="41AC76AD" w14:textId="77777777" w:rsidTr="00A7422E">
        <w:trPr>
          <w:tblCellSpacing w:w="15" w:type="dxa"/>
        </w:trPr>
        <w:tc>
          <w:tcPr>
            <w:tcW w:w="0" w:type="auto"/>
            <w:vAlign w:val="center"/>
            <w:hideMark/>
          </w:tcPr>
          <w:p w14:paraId="00AC3241" w14:textId="77777777" w:rsidR="00A51F17" w:rsidRPr="008C0080" w:rsidRDefault="00A51F17" w:rsidP="00A7422E">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Revenue</w:t>
            </w:r>
          </w:p>
        </w:tc>
        <w:tc>
          <w:tcPr>
            <w:tcW w:w="0" w:type="auto"/>
            <w:vAlign w:val="center"/>
            <w:hideMark/>
          </w:tcPr>
          <w:p w14:paraId="6910940B"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5,050</w:t>
            </w:r>
          </w:p>
        </w:tc>
        <w:tc>
          <w:tcPr>
            <w:tcW w:w="0" w:type="auto"/>
            <w:vAlign w:val="center"/>
            <w:hideMark/>
          </w:tcPr>
          <w:p w14:paraId="3C0C5F30"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5,250</w:t>
            </w:r>
          </w:p>
        </w:tc>
      </w:tr>
      <w:tr w:rsidR="00A51F17" w:rsidRPr="008C0080" w14:paraId="17EA066F" w14:textId="77777777" w:rsidTr="00A7422E">
        <w:trPr>
          <w:tblCellSpacing w:w="15" w:type="dxa"/>
        </w:trPr>
        <w:tc>
          <w:tcPr>
            <w:tcW w:w="0" w:type="auto"/>
            <w:vAlign w:val="center"/>
            <w:hideMark/>
          </w:tcPr>
          <w:p w14:paraId="10519435" w14:textId="77777777" w:rsidR="00A51F17" w:rsidRPr="008C0080" w:rsidRDefault="00A51F17" w:rsidP="00A7422E">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Cost of Sales</w:t>
            </w:r>
          </w:p>
        </w:tc>
        <w:tc>
          <w:tcPr>
            <w:tcW w:w="0" w:type="auto"/>
            <w:vAlign w:val="center"/>
            <w:hideMark/>
          </w:tcPr>
          <w:p w14:paraId="24AF6210"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(3,003)</w:t>
            </w:r>
          </w:p>
        </w:tc>
        <w:tc>
          <w:tcPr>
            <w:tcW w:w="0" w:type="auto"/>
            <w:vAlign w:val="center"/>
            <w:hideMark/>
          </w:tcPr>
          <w:p w14:paraId="7751CB1D"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(3,085)</w:t>
            </w:r>
          </w:p>
        </w:tc>
      </w:tr>
      <w:tr w:rsidR="00A51F17" w:rsidRPr="008C0080" w14:paraId="68FC64C2" w14:textId="77777777" w:rsidTr="00A7422E">
        <w:trPr>
          <w:tblCellSpacing w:w="15" w:type="dxa"/>
        </w:trPr>
        <w:tc>
          <w:tcPr>
            <w:tcW w:w="0" w:type="auto"/>
            <w:vAlign w:val="center"/>
            <w:hideMark/>
          </w:tcPr>
          <w:p w14:paraId="08057D36" w14:textId="77777777" w:rsidR="00A51F17" w:rsidRPr="008C0080" w:rsidRDefault="00A51F17" w:rsidP="00A7422E">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Gross Profit</w:t>
            </w:r>
          </w:p>
        </w:tc>
        <w:tc>
          <w:tcPr>
            <w:tcW w:w="0" w:type="auto"/>
            <w:vAlign w:val="center"/>
            <w:hideMark/>
          </w:tcPr>
          <w:p w14:paraId="55A12C86"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2,047</w:t>
            </w:r>
          </w:p>
        </w:tc>
        <w:tc>
          <w:tcPr>
            <w:tcW w:w="0" w:type="auto"/>
            <w:vAlign w:val="center"/>
            <w:hideMark/>
          </w:tcPr>
          <w:p w14:paraId="2335FB74"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2,165</w:t>
            </w:r>
          </w:p>
        </w:tc>
      </w:tr>
      <w:tr w:rsidR="00A51F17" w:rsidRPr="008C0080" w14:paraId="242CCEFE" w14:textId="77777777" w:rsidTr="00A7422E">
        <w:trPr>
          <w:tblCellSpacing w:w="15" w:type="dxa"/>
        </w:trPr>
        <w:tc>
          <w:tcPr>
            <w:tcW w:w="0" w:type="auto"/>
            <w:vAlign w:val="center"/>
            <w:hideMark/>
          </w:tcPr>
          <w:p w14:paraId="35B25B97" w14:textId="77777777" w:rsidR="00A51F17" w:rsidRPr="008C0080" w:rsidRDefault="00A51F17" w:rsidP="00A7422E">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Operating Expenses</w:t>
            </w:r>
          </w:p>
        </w:tc>
        <w:tc>
          <w:tcPr>
            <w:tcW w:w="0" w:type="auto"/>
            <w:vAlign w:val="center"/>
            <w:hideMark/>
          </w:tcPr>
          <w:p w14:paraId="16708607"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(1,102)</w:t>
            </w:r>
          </w:p>
        </w:tc>
        <w:tc>
          <w:tcPr>
            <w:tcW w:w="0" w:type="auto"/>
            <w:vAlign w:val="center"/>
            <w:hideMark/>
          </w:tcPr>
          <w:p w14:paraId="75D269AB"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(1,141)</w:t>
            </w:r>
          </w:p>
        </w:tc>
      </w:tr>
      <w:tr w:rsidR="00A51F17" w:rsidRPr="008C0080" w14:paraId="1F325310" w14:textId="77777777" w:rsidTr="00A7422E">
        <w:trPr>
          <w:tblCellSpacing w:w="15" w:type="dxa"/>
        </w:trPr>
        <w:tc>
          <w:tcPr>
            <w:tcW w:w="0" w:type="auto"/>
            <w:vAlign w:val="center"/>
            <w:hideMark/>
          </w:tcPr>
          <w:p w14:paraId="660DA224" w14:textId="77777777" w:rsidR="00A51F17" w:rsidRPr="008C0080" w:rsidRDefault="00A51F17" w:rsidP="00A7422E">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Operating Profit</w:t>
            </w:r>
          </w:p>
        </w:tc>
        <w:tc>
          <w:tcPr>
            <w:tcW w:w="0" w:type="auto"/>
            <w:vAlign w:val="center"/>
            <w:hideMark/>
          </w:tcPr>
          <w:p w14:paraId="34121DF0"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945</w:t>
            </w:r>
          </w:p>
        </w:tc>
        <w:tc>
          <w:tcPr>
            <w:tcW w:w="0" w:type="auto"/>
            <w:vAlign w:val="center"/>
            <w:hideMark/>
          </w:tcPr>
          <w:p w14:paraId="36135861"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1,024</w:t>
            </w:r>
          </w:p>
        </w:tc>
      </w:tr>
      <w:tr w:rsidR="00A51F17" w:rsidRPr="008C0080" w14:paraId="625BB18B" w14:textId="77777777" w:rsidTr="00A7422E">
        <w:trPr>
          <w:tblCellSpacing w:w="15" w:type="dxa"/>
        </w:trPr>
        <w:tc>
          <w:tcPr>
            <w:tcW w:w="0" w:type="auto"/>
            <w:vAlign w:val="center"/>
            <w:hideMark/>
          </w:tcPr>
          <w:p w14:paraId="68A94DC6" w14:textId="77777777" w:rsidR="00A51F17" w:rsidRPr="008C0080" w:rsidRDefault="00A51F17" w:rsidP="00A7422E">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Finance Costs</w:t>
            </w:r>
          </w:p>
        </w:tc>
        <w:tc>
          <w:tcPr>
            <w:tcW w:w="0" w:type="auto"/>
            <w:vAlign w:val="center"/>
            <w:hideMark/>
          </w:tcPr>
          <w:p w14:paraId="42199147"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(76)</w:t>
            </w:r>
          </w:p>
        </w:tc>
        <w:tc>
          <w:tcPr>
            <w:tcW w:w="0" w:type="auto"/>
            <w:vAlign w:val="center"/>
            <w:hideMark/>
          </w:tcPr>
          <w:p w14:paraId="69E71D4B"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(78)</w:t>
            </w:r>
          </w:p>
        </w:tc>
      </w:tr>
      <w:tr w:rsidR="00A51F17" w:rsidRPr="008C0080" w14:paraId="70B49F73" w14:textId="77777777" w:rsidTr="00A7422E">
        <w:trPr>
          <w:tblCellSpacing w:w="15" w:type="dxa"/>
        </w:trPr>
        <w:tc>
          <w:tcPr>
            <w:tcW w:w="0" w:type="auto"/>
            <w:vAlign w:val="center"/>
            <w:hideMark/>
          </w:tcPr>
          <w:p w14:paraId="72B6FF87" w14:textId="77777777" w:rsidR="00A51F17" w:rsidRPr="008C0080" w:rsidRDefault="00A51F17" w:rsidP="00A7422E">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Profit Before Tax</w:t>
            </w:r>
          </w:p>
        </w:tc>
        <w:tc>
          <w:tcPr>
            <w:tcW w:w="0" w:type="auto"/>
            <w:vAlign w:val="center"/>
            <w:hideMark/>
          </w:tcPr>
          <w:p w14:paraId="7175DCAB"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869</w:t>
            </w:r>
          </w:p>
        </w:tc>
        <w:tc>
          <w:tcPr>
            <w:tcW w:w="0" w:type="auto"/>
            <w:vAlign w:val="center"/>
            <w:hideMark/>
          </w:tcPr>
          <w:p w14:paraId="519F8B6C"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946</w:t>
            </w:r>
          </w:p>
        </w:tc>
      </w:tr>
      <w:tr w:rsidR="00A51F17" w:rsidRPr="008C0080" w14:paraId="0AEA5A1F" w14:textId="77777777" w:rsidTr="00A7422E">
        <w:trPr>
          <w:tblCellSpacing w:w="15" w:type="dxa"/>
        </w:trPr>
        <w:tc>
          <w:tcPr>
            <w:tcW w:w="0" w:type="auto"/>
            <w:vAlign w:val="center"/>
            <w:hideMark/>
          </w:tcPr>
          <w:p w14:paraId="5C55EA39" w14:textId="77777777" w:rsidR="00A51F17" w:rsidRPr="008C0080" w:rsidRDefault="00A51F17" w:rsidP="00A7422E">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Taxation</w:t>
            </w:r>
          </w:p>
        </w:tc>
        <w:tc>
          <w:tcPr>
            <w:tcW w:w="0" w:type="auto"/>
            <w:vAlign w:val="center"/>
            <w:hideMark/>
          </w:tcPr>
          <w:p w14:paraId="670778D4"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(157)</w:t>
            </w:r>
          </w:p>
        </w:tc>
        <w:tc>
          <w:tcPr>
            <w:tcW w:w="0" w:type="auto"/>
            <w:vAlign w:val="center"/>
            <w:hideMark/>
          </w:tcPr>
          <w:p w14:paraId="24B33AFA"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(258)</w:t>
            </w:r>
          </w:p>
        </w:tc>
      </w:tr>
      <w:tr w:rsidR="00A51F17" w:rsidRPr="008C0080" w14:paraId="6560F19A" w14:textId="77777777" w:rsidTr="00A7422E">
        <w:trPr>
          <w:tblCellSpacing w:w="15" w:type="dxa"/>
        </w:trPr>
        <w:tc>
          <w:tcPr>
            <w:tcW w:w="0" w:type="auto"/>
            <w:vAlign w:val="center"/>
            <w:hideMark/>
          </w:tcPr>
          <w:p w14:paraId="5B900DCF" w14:textId="4A1D6F33" w:rsidR="00A51F17" w:rsidRPr="008C0080" w:rsidRDefault="00A51F17" w:rsidP="00A7422E">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Profit After Tax</w:t>
            </w:r>
          </w:p>
        </w:tc>
        <w:tc>
          <w:tcPr>
            <w:tcW w:w="0" w:type="auto"/>
            <w:vAlign w:val="center"/>
            <w:hideMark/>
          </w:tcPr>
          <w:p w14:paraId="406EA108"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712</w:t>
            </w:r>
          </w:p>
        </w:tc>
        <w:tc>
          <w:tcPr>
            <w:tcW w:w="0" w:type="auto"/>
            <w:vAlign w:val="center"/>
            <w:hideMark/>
          </w:tcPr>
          <w:p w14:paraId="6F2479C8" w14:textId="77777777" w:rsidR="00A51F17" w:rsidRPr="008C0080" w:rsidRDefault="00A51F17" w:rsidP="00A7422E">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688</w:t>
            </w:r>
          </w:p>
        </w:tc>
      </w:tr>
    </w:tbl>
    <w:p w14:paraId="7032497B" w14:textId="77777777" w:rsidR="00905159" w:rsidRDefault="00905159" w:rsidP="00A51F17">
      <w:pPr>
        <w:spacing w:after="0" w:line="240" w:lineRule="auto"/>
        <w:rPr>
          <w:rFonts w:ascii="Times New Roman" w:eastAsia="Times New Roman" w:hAnsi="Times New Roman" w:cs="Times New Roman"/>
          <w:sz w:val="24"/>
          <w:szCs w:val="24"/>
        </w:rPr>
      </w:pPr>
    </w:p>
    <w:p w14:paraId="4CF52CBB" w14:textId="77777777" w:rsidR="00905159" w:rsidRDefault="00905159" w:rsidP="00A51F17">
      <w:pPr>
        <w:spacing w:after="0" w:line="240" w:lineRule="auto"/>
        <w:rPr>
          <w:rFonts w:ascii="Times New Roman" w:eastAsia="Times New Roman" w:hAnsi="Times New Roman" w:cs="Times New Roman"/>
          <w:sz w:val="24"/>
          <w:szCs w:val="24"/>
        </w:rPr>
      </w:pPr>
    </w:p>
    <w:p w14:paraId="53219C34" w14:textId="5439EAE5" w:rsidR="00A51F17" w:rsidRPr="008C0080" w:rsidRDefault="00A7422E" w:rsidP="00A51F17">
      <w:pPr>
        <w:spacing w:after="0" w:line="240" w:lineRule="auto"/>
        <w:rPr>
          <w:rFonts w:ascii="Times New Roman" w:eastAsia="Times New Roman" w:hAnsi="Times New Roman" w:cs="Times New Roman"/>
          <w:sz w:val="24"/>
          <w:szCs w:val="24"/>
        </w:rPr>
      </w:pPr>
      <w:r w:rsidRPr="00A7422E">
        <w:rPr>
          <w:rFonts w:ascii="Times New Roman" w:eastAsia="Times New Roman" w:hAnsi="Times New Roman" w:cs="Times New Roman"/>
          <w:sz w:val="24"/>
          <w:szCs w:val="24"/>
        </w:rPr>
        <w:br w:type="textWrapping" w:clear="all"/>
      </w:r>
    </w:p>
    <w:p w14:paraId="4C722898" w14:textId="77777777" w:rsidR="00905159" w:rsidRDefault="00905159" w:rsidP="00905159">
      <w:pPr>
        <w:pStyle w:val="Heading6"/>
      </w:pPr>
    </w:p>
    <w:p w14:paraId="641BCC9F" w14:textId="77777777" w:rsidR="00905159" w:rsidRDefault="00905159" w:rsidP="00905159">
      <w:pPr>
        <w:pStyle w:val="Heading6"/>
      </w:pPr>
    </w:p>
    <w:p w14:paraId="4B724903" w14:textId="528C1C05" w:rsidR="00A51F17" w:rsidRPr="00905159" w:rsidRDefault="00A51F17" w:rsidP="00905159">
      <w:pPr>
        <w:pStyle w:val="Heading6"/>
      </w:pPr>
      <w:r w:rsidRPr="00905159">
        <w:t xml:space="preserve">Appendix </w:t>
      </w:r>
      <w:r w:rsidR="00F70D4D" w:rsidRPr="00905159">
        <w:t>B</w:t>
      </w:r>
      <w:r w:rsidRPr="00905159">
        <w:t>2: Statement of Financial Position (Extracts) – Next plc</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15"/>
        <w:gridCol w:w="880"/>
        <w:gridCol w:w="895"/>
      </w:tblGrid>
      <w:tr w:rsidR="00A51F17" w:rsidRPr="008C0080" w14:paraId="09528D2E" w14:textId="77777777" w:rsidTr="00E65E99">
        <w:trPr>
          <w:tblHeader/>
          <w:tblCellSpacing w:w="15" w:type="dxa"/>
        </w:trPr>
        <w:tc>
          <w:tcPr>
            <w:tcW w:w="0" w:type="auto"/>
            <w:vAlign w:val="center"/>
            <w:hideMark/>
          </w:tcPr>
          <w:p w14:paraId="7A67D4EC" w14:textId="77777777" w:rsidR="00A51F17" w:rsidRPr="008C0080" w:rsidRDefault="00A51F17" w:rsidP="00E65E99">
            <w:pPr>
              <w:spacing w:after="0" w:line="240" w:lineRule="auto"/>
              <w:jc w:val="center"/>
              <w:rPr>
                <w:rFonts w:ascii="Times New Roman" w:eastAsia="Times New Roman" w:hAnsi="Times New Roman" w:cs="Times New Roman"/>
                <w:b/>
                <w:bCs/>
                <w:sz w:val="24"/>
                <w:szCs w:val="24"/>
              </w:rPr>
            </w:pPr>
            <w:r w:rsidRPr="008C0080">
              <w:rPr>
                <w:rFonts w:ascii="Times New Roman" w:eastAsia="Times New Roman" w:hAnsi="Times New Roman" w:cs="Times New Roman"/>
                <w:b/>
                <w:bCs/>
                <w:sz w:val="24"/>
                <w:szCs w:val="24"/>
              </w:rPr>
              <w:t>£ million</w:t>
            </w:r>
          </w:p>
        </w:tc>
        <w:tc>
          <w:tcPr>
            <w:tcW w:w="0" w:type="auto"/>
            <w:vAlign w:val="center"/>
            <w:hideMark/>
          </w:tcPr>
          <w:p w14:paraId="7C6063F5" w14:textId="77777777" w:rsidR="00A51F17" w:rsidRPr="008C0080" w:rsidRDefault="00A51F17" w:rsidP="00E65E99">
            <w:pPr>
              <w:spacing w:after="0" w:line="240" w:lineRule="auto"/>
              <w:jc w:val="right"/>
              <w:rPr>
                <w:rFonts w:ascii="Times New Roman" w:eastAsia="Times New Roman" w:hAnsi="Times New Roman" w:cs="Times New Roman"/>
                <w:b/>
                <w:bCs/>
                <w:sz w:val="24"/>
                <w:szCs w:val="24"/>
              </w:rPr>
            </w:pPr>
            <w:r w:rsidRPr="008C0080">
              <w:rPr>
                <w:rFonts w:ascii="Times New Roman" w:eastAsia="Times New Roman" w:hAnsi="Times New Roman" w:cs="Times New Roman"/>
                <w:b/>
                <w:bCs/>
                <w:sz w:val="24"/>
                <w:szCs w:val="24"/>
              </w:rPr>
              <w:t>FY2023</w:t>
            </w:r>
          </w:p>
        </w:tc>
        <w:tc>
          <w:tcPr>
            <w:tcW w:w="0" w:type="auto"/>
            <w:vAlign w:val="center"/>
            <w:hideMark/>
          </w:tcPr>
          <w:p w14:paraId="18E7A285" w14:textId="77777777" w:rsidR="00A51F17" w:rsidRPr="008C0080" w:rsidRDefault="00A51F17" w:rsidP="00E65E99">
            <w:pPr>
              <w:spacing w:after="0" w:line="240" w:lineRule="auto"/>
              <w:jc w:val="right"/>
              <w:rPr>
                <w:rFonts w:ascii="Times New Roman" w:eastAsia="Times New Roman" w:hAnsi="Times New Roman" w:cs="Times New Roman"/>
                <w:b/>
                <w:bCs/>
                <w:sz w:val="24"/>
                <w:szCs w:val="24"/>
              </w:rPr>
            </w:pPr>
            <w:r w:rsidRPr="008C0080">
              <w:rPr>
                <w:rFonts w:ascii="Times New Roman" w:eastAsia="Times New Roman" w:hAnsi="Times New Roman" w:cs="Times New Roman"/>
                <w:b/>
                <w:bCs/>
                <w:sz w:val="24"/>
                <w:szCs w:val="24"/>
              </w:rPr>
              <w:t>FY2024</w:t>
            </w:r>
          </w:p>
        </w:tc>
      </w:tr>
      <w:tr w:rsidR="00A51F17" w:rsidRPr="008C0080" w14:paraId="551D3A09" w14:textId="77777777" w:rsidTr="00E65E99">
        <w:trPr>
          <w:tblCellSpacing w:w="15" w:type="dxa"/>
        </w:trPr>
        <w:tc>
          <w:tcPr>
            <w:tcW w:w="0" w:type="auto"/>
            <w:vAlign w:val="center"/>
            <w:hideMark/>
          </w:tcPr>
          <w:p w14:paraId="3EFECE6A" w14:textId="77777777" w:rsidR="00A51F17" w:rsidRPr="008C0080" w:rsidRDefault="00A51F17" w:rsidP="00E65E99">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Non-Current Assets</w:t>
            </w:r>
          </w:p>
        </w:tc>
        <w:tc>
          <w:tcPr>
            <w:tcW w:w="0" w:type="auto"/>
            <w:vAlign w:val="center"/>
            <w:hideMark/>
          </w:tcPr>
          <w:p w14:paraId="504194E5"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3,200</w:t>
            </w:r>
          </w:p>
        </w:tc>
        <w:tc>
          <w:tcPr>
            <w:tcW w:w="0" w:type="auto"/>
            <w:vAlign w:val="center"/>
            <w:hideMark/>
          </w:tcPr>
          <w:p w14:paraId="7EF9ED9A"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3,450</w:t>
            </w:r>
          </w:p>
        </w:tc>
      </w:tr>
      <w:tr w:rsidR="00A51F17" w:rsidRPr="008C0080" w14:paraId="196D7865" w14:textId="77777777" w:rsidTr="00E65E99">
        <w:trPr>
          <w:tblCellSpacing w:w="15" w:type="dxa"/>
        </w:trPr>
        <w:tc>
          <w:tcPr>
            <w:tcW w:w="0" w:type="auto"/>
            <w:vAlign w:val="center"/>
            <w:hideMark/>
          </w:tcPr>
          <w:p w14:paraId="5D48464E" w14:textId="77777777" w:rsidR="00A51F17" w:rsidRPr="008C0080" w:rsidRDefault="00A51F17" w:rsidP="00E65E99">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Inventory</w:t>
            </w:r>
          </w:p>
        </w:tc>
        <w:tc>
          <w:tcPr>
            <w:tcW w:w="0" w:type="auto"/>
            <w:vAlign w:val="center"/>
            <w:hideMark/>
          </w:tcPr>
          <w:p w14:paraId="38BE12C6"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460</w:t>
            </w:r>
          </w:p>
        </w:tc>
        <w:tc>
          <w:tcPr>
            <w:tcW w:w="0" w:type="auto"/>
            <w:vAlign w:val="center"/>
            <w:hideMark/>
          </w:tcPr>
          <w:p w14:paraId="6EE31A1B"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435</w:t>
            </w:r>
          </w:p>
        </w:tc>
      </w:tr>
      <w:tr w:rsidR="00A51F17" w:rsidRPr="008C0080" w14:paraId="092C4B7A" w14:textId="77777777" w:rsidTr="00E65E99">
        <w:trPr>
          <w:tblCellSpacing w:w="15" w:type="dxa"/>
        </w:trPr>
        <w:tc>
          <w:tcPr>
            <w:tcW w:w="0" w:type="auto"/>
            <w:vAlign w:val="center"/>
            <w:hideMark/>
          </w:tcPr>
          <w:p w14:paraId="17B07477" w14:textId="77777777" w:rsidR="00A51F17" w:rsidRPr="008C0080" w:rsidRDefault="00A51F17" w:rsidP="00E65E99">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Trade Receivables</w:t>
            </w:r>
          </w:p>
        </w:tc>
        <w:tc>
          <w:tcPr>
            <w:tcW w:w="0" w:type="auto"/>
            <w:vAlign w:val="center"/>
            <w:hideMark/>
          </w:tcPr>
          <w:p w14:paraId="6770AE6D"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208</w:t>
            </w:r>
          </w:p>
        </w:tc>
        <w:tc>
          <w:tcPr>
            <w:tcW w:w="0" w:type="auto"/>
            <w:vAlign w:val="center"/>
            <w:hideMark/>
          </w:tcPr>
          <w:p w14:paraId="68E08A73"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201</w:t>
            </w:r>
          </w:p>
        </w:tc>
      </w:tr>
      <w:tr w:rsidR="00A51F17" w:rsidRPr="008C0080" w14:paraId="570D3979" w14:textId="77777777" w:rsidTr="00E65E99">
        <w:trPr>
          <w:tblCellSpacing w:w="15" w:type="dxa"/>
        </w:trPr>
        <w:tc>
          <w:tcPr>
            <w:tcW w:w="0" w:type="auto"/>
            <w:vAlign w:val="center"/>
            <w:hideMark/>
          </w:tcPr>
          <w:p w14:paraId="035837CE" w14:textId="77777777" w:rsidR="00A51F17" w:rsidRPr="008C0080" w:rsidRDefault="00A51F17" w:rsidP="00E65E99">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Cash and Cash Equivalents</w:t>
            </w:r>
          </w:p>
        </w:tc>
        <w:tc>
          <w:tcPr>
            <w:tcW w:w="0" w:type="auto"/>
            <w:vAlign w:val="center"/>
            <w:hideMark/>
          </w:tcPr>
          <w:p w14:paraId="6A617AF4"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320</w:t>
            </w:r>
          </w:p>
        </w:tc>
        <w:tc>
          <w:tcPr>
            <w:tcW w:w="0" w:type="auto"/>
            <w:vAlign w:val="center"/>
            <w:hideMark/>
          </w:tcPr>
          <w:p w14:paraId="38B6C76C"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355</w:t>
            </w:r>
          </w:p>
        </w:tc>
      </w:tr>
      <w:tr w:rsidR="00A51F17" w:rsidRPr="008C0080" w14:paraId="31DEEF38" w14:textId="77777777" w:rsidTr="00E65E99">
        <w:trPr>
          <w:tblCellSpacing w:w="15" w:type="dxa"/>
        </w:trPr>
        <w:tc>
          <w:tcPr>
            <w:tcW w:w="0" w:type="auto"/>
            <w:vAlign w:val="center"/>
            <w:hideMark/>
          </w:tcPr>
          <w:p w14:paraId="3162BC7C" w14:textId="77777777" w:rsidR="00A51F17" w:rsidRPr="008C0080" w:rsidRDefault="00A51F17" w:rsidP="00E65E99">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Total Current Assets</w:t>
            </w:r>
          </w:p>
        </w:tc>
        <w:tc>
          <w:tcPr>
            <w:tcW w:w="0" w:type="auto"/>
            <w:vAlign w:val="center"/>
            <w:hideMark/>
          </w:tcPr>
          <w:p w14:paraId="33E5BF9C"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988</w:t>
            </w:r>
          </w:p>
        </w:tc>
        <w:tc>
          <w:tcPr>
            <w:tcW w:w="0" w:type="auto"/>
            <w:vAlign w:val="center"/>
            <w:hideMark/>
          </w:tcPr>
          <w:p w14:paraId="0FF47FFE"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991</w:t>
            </w:r>
          </w:p>
        </w:tc>
      </w:tr>
      <w:tr w:rsidR="00A51F17" w:rsidRPr="008C0080" w14:paraId="2B250225" w14:textId="77777777" w:rsidTr="00E65E99">
        <w:trPr>
          <w:tblCellSpacing w:w="15" w:type="dxa"/>
        </w:trPr>
        <w:tc>
          <w:tcPr>
            <w:tcW w:w="0" w:type="auto"/>
            <w:vAlign w:val="center"/>
            <w:hideMark/>
          </w:tcPr>
          <w:p w14:paraId="508BF6CF" w14:textId="77777777" w:rsidR="00A51F17" w:rsidRPr="008C0080" w:rsidRDefault="00A51F17" w:rsidP="00E65E99">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Total Assets</w:t>
            </w:r>
          </w:p>
        </w:tc>
        <w:tc>
          <w:tcPr>
            <w:tcW w:w="0" w:type="auto"/>
            <w:vAlign w:val="center"/>
            <w:hideMark/>
          </w:tcPr>
          <w:p w14:paraId="24883745"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4,188</w:t>
            </w:r>
          </w:p>
        </w:tc>
        <w:tc>
          <w:tcPr>
            <w:tcW w:w="0" w:type="auto"/>
            <w:vAlign w:val="center"/>
            <w:hideMark/>
          </w:tcPr>
          <w:p w14:paraId="18BD2444"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4,441</w:t>
            </w:r>
          </w:p>
        </w:tc>
      </w:tr>
      <w:tr w:rsidR="00A51F17" w:rsidRPr="008C0080" w14:paraId="17AD5255" w14:textId="77777777" w:rsidTr="00E65E99">
        <w:trPr>
          <w:tblCellSpacing w:w="15" w:type="dxa"/>
        </w:trPr>
        <w:tc>
          <w:tcPr>
            <w:tcW w:w="0" w:type="auto"/>
            <w:vAlign w:val="center"/>
            <w:hideMark/>
          </w:tcPr>
          <w:p w14:paraId="45D01D2F" w14:textId="77777777" w:rsidR="00A51F17" w:rsidRPr="008C0080" w:rsidRDefault="00A51F17" w:rsidP="00E65E99">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Trade Payables</w:t>
            </w:r>
          </w:p>
        </w:tc>
        <w:tc>
          <w:tcPr>
            <w:tcW w:w="0" w:type="auto"/>
            <w:vAlign w:val="center"/>
            <w:hideMark/>
          </w:tcPr>
          <w:p w14:paraId="5BFC6273"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312</w:t>
            </w:r>
          </w:p>
        </w:tc>
        <w:tc>
          <w:tcPr>
            <w:tcW w:w="0" w:type="auto"/>
            <w:vAlign w:val="center"/>
            <w:hideMark/>
          </w:tcPr>
          <w:p w14:paraId="7C59AF77"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338</w:t>
            </w:r>
          </w:p>
        </w:tc>
      </w:tr>
      <w:tr w:rsidR="00A51F17" w:rsidRPr="008C0080" w14:paraId="43F8CC48" w14:textId="77777777" w:rsidTr="00E65E99">
        <w:trPr>
          <w:tblCellSpacing w:w="15" w:type="dxa"/>
        </w:trPr>
        <w:tc>
          <w:tcPr>
            <w:tcW w:w="0" w:type="auto"/>
            <w:vAlign w:val="center"/>
            <w:hideMark/>
          </w:tcPr>
          <w:p w14:paraId="6F3C4225" w14:textId="77777777" w:rsidR="00A51F17" w:rsidRPr="008C0080" w:rsidRDefault="00A51F17" w:rsidP="00E65E99">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Other Current Liabilities</w:t>
            </w:r>
          </w:p>
        </w:tc>
        <w:tc>
          <w:tcPr>
            <w:tcW w:w="0" w:type="auto"/>
            <w:vAlign w:val="center"/>
            <w:hideMark/>
          </w:tcPr>
          <w:p w14:paraId="75C27947"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570</w:t>
            </w:r>
          </w:p>
        </w:tc>
        <w:tc>
          <w:tcPr>
            <w:tcW w:w="0" w:type="auto"/>
            <w:vAlign w:val="center"/>
            <w:hideMark/>
          </w:tcPr>
          <w:p w14:paraId="40B3921A"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505</w:t>
            </w:r>
          </w:p>
        </w:tc>
      </w:tr>
      <w:tr w:rsidR="00A51F17" w:rsidRPr="008C0080" w14:paraId="662EA90E" w14:textId="77777777" w:rsidTr="00E65E99">
        <w:trPr>
          <w:tblCellSpacing w:w="15" w:type="dxa"/>
        </w:trPr>
        <w:tc>
          <w:tcPr>
            <w:tcW w:w="0" w:type="auto"/>
            <w:vAlign w:val="center"/>
            <w:hideMark/>
          </w:tcPr>
          <w:p w14:paraId="3AC1C205" w14:textId="77777777" w:rsidR="00A51F17" w:rsidRPr="008C0080" w:rsidRDefault="00A51F17" w:rsidP="00E65E99">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Total Current Liabilities</w:t>
            </w:r>
          </w:p>
        </w:tc>
        <w:tc>
          <w:tcPr>
            <w:tcW w:w="0" w:type="auto"/>
            <w:vAlign w:val="center"/>
            <w:hideMark/>
          </w:tcPr>
          <w:p w14:paraId="363D07D1"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882</w:t>
            </w:r>
          </w:p>
        </w:tc>
        <w:tc>
          <w:tcPr>
            <w:tcW w:w="0" w:type="auto"/>
            <w:vAlign w:val="center"/>
            <w:hideMark/>
          </w:tcPr>
          <w:p w14:paraId="5E61BA23"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843</w:t>
            </w:r>
          </w:p>
        </w:tc>
      </w:tr>
      <w:tr w:rsidR="00A51F17" w:rsidRPr="008C0080" w14:paraId="373BDB40" w14:textId="77777777" w:rsidTr="00E65E99">
        <w:trPr>
          <w:tblCellSpacing w:w="15" w:type="dxa"/>
        </w:trPr>
        <w:tc>
          <w:tcPr>
            <w:tcW w:w="0" w:type="auto"/>
            <w:vAlign w:val="center"/>
            <w:hideMark/>
          </w:tcPr>
          <w:p w14:paraId="27185DD9" w14:textId="77777777" w:rsidR="00A51F17" w:rsidRPr="008C0080" w:rsidRDefault="00A51F17" w:rsidP="00E65E99">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Long-Term Debt</w:t>
            </w:r>
          </w:p>
        </w:tc>
        <w:tc>
          <w:tcPr>
            <w:tcW w:w="0" w:type="auto"/>
            <w:vAlign w:val="center"/>
            <w:hideMark/>
          </w:tcPr>
          <w:p w14:paraId="6CD5068D"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2,050</w:t>
            </w:r>
          </w:p>
        </w:tc>
        <w:tc>
          <w:tcPr>
            <w:tcW w:w="0" w:type="auto"/>
            <w:vAlign w:val="center"/>
            <w:hideMark/>
          </w:tcPr>
          <w:p w14:paraId="43693C52"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1,720</w:t>
            </w:r>
          </w:p>
        </w:tc>
      </w:tr>
      <w:tr w:rsidR="00A51F17" w:rsidRPr="008C0080" w14:paraId="2767E3C6" w14:textId="77777777" w:rsidTr="00E65E99">
        <w:trPr>
          <w:tblCellSpacing w:w="15" w:type="dxa"/>
        </w:trPr>
        <w:tc>
          <w:tcPr>
            <w:tcW w:w="0" w:type="auto"/>
            <w:vAlign w:val="center"/>
            <w:hideMark/>
          </w:tcPr>
          <w:p w14:paraId="0E56E857" w14:textId="77777777" w:rsidR="00A51F17" w:rsidRPr="008C0080" w:rsidRDefault="00A51F17" w:rsidP="00E65E99">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Total Equity</w:t>
            </w:r>
          </w:p>
        </w:tc>
        <w:tc>
          <w:tcPr>
            <w:tcW w:w="0" w:type="auto"/>
            <w:vAlign w:val="center"/>
            <w:hideMark/>
          </w:tcPr>
          <w:p w14:paraId="371C0D06"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846</w:t>
            </w:r>
          </w:p>
        </w:tc>
        <w:tc>
          <w:tcPr>
            <w:tcW w:w="0" w:type="auto"/>
            <w:vAlign w:val="center"/>
            <w:hideMark/>
          </w:tcPr>
          <w:p w14:paraId="4A2C7A98"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915</w:t>
            </w:r>
          </w:p>
        </w:tc>
      </w:tr>
    </w:tbl>
    <w:p w14:paraId="5799F281" w14:textId="77777777" w:rsidR="00A51F17" w:rsidRPr="008C0080" w:rsidRDefault="00A51F17" w:rsidP="00A51F17">
      <w:pPr>
        <w:spacing w:after="0" w:line="240" w:lineRule="auto"/>
        <w:rPr>
          <w:rFonts w:ascii="Times New Roman" w:eastAsia="Times New Roman" w:hAnsi="Times New Roman" w:cs="Times New Roman"/>
          <w:sz w:val="24"/>
          <w:szCs w:val="24"/>
        </w:rPr>
      </w:pPr>
    </w:p>
    <w:p w14:paraId="47F914F5" w14:textId="51BAF68F" w:rsidR="00A51F17" w:rsidRPr="008C0080" w:rsidRDefault="00A51F17" w:rsidP="00905159">
      <w:pPr>
        <w:pStyle w:val="Heading6"/>
        <w:rPr>
          <w:rFonts w:eastAsia="Times New Roman"/>
        </w:rPr>
      </w:pPr>
      <w:r w:rsidRPr="008C0080">
        <w:rPr>
          <w:rFonts w:eastAsia="Times New Roman"/>
        </w:rPr>
        <w:t xml:space="preserve">Appendix </w:t>
      </w:r>
      <w:r w:rsidR="00F70D4D" w:rsidRPr="00A7422E">
        <w:rPr>
          <w:rFonts w:eastAsia="Times New Roman"/>
        </w:rPr>
        <w:t>B</w:t>
      </w:r>
      <w:r w:rsidRPr="008C0080">
        <w:rPr>
          <w:rFonts w:eastAsia="Times New Roman"/>
        </w:rPr>
        <w:t>3: Statement of Changes in Equity (Extract) – Next plc</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42"/>
        <w:gridCol w:w="880"/>
        <w:gridCol w:w="895"/>
      </w:tblGrid>
      <w:tr w:rsidR="00A51F17" w:rsidRPr="008C0080" w14:paraId="20B7D534" w14:textId="77777777" w:rsidTr="00E65E99">
        <w:trPr>
          <w:tblHeader/>
          <w:tblCellSpacing w:w="15" w:type="dxa"/>
        </w:trPr>
        <w:tc>
          <w:tcPr>
            <w:tcW w:w="0" w:type="auto"/>
            <w:vAlign w:val="center"/>
            <w:hideMark/>
          </w:tcPr>
          <w:p w14:paraId="39A5C988" w14:textId="77777777" w:rsidR="00A51F17" w:rsidRPr="008C0080" w:rsidRDefault="00A51F17" w:rsidP="00E65E99">
            <w:pPr>
              <w:spacing w:after="0" w:line="240" w:lineRule="auto"/>
              <w:jc w:val="center"/>
              <w:rPr>
                <w:rFonts w:ascii="Times New Roman" w:eastAsia="Times New Roman" w:hAnsi="Times New Roman" w:cs="Times New Roman"/>
                <w:b/>
                <w:bCs/>
                <w:sz w:val="24"/>
                <w:szCs w:val="24"/>
              </w:rPr>
            </w:pPr>
            <w:r w:rsidRPr="008C0080">
              <w:rPr>
                <w:rFonts w:ascii="Times New Roman" w:eastAsia="Times New Roman" w:hAnsi="Times New Roman" w:cs="Times New Roman"/>
                <w:b/>
                <w:bCs/>
                <w:sz w:val="24"/>
                <w:szCs w:val="24"/>
              </w:rPr>
              <w:t>£ million</w:t>
            </w:r>
          </w:p>
        </w:tc>
        <w:tc>
          <w:tcPr>
            <w:tcW w:w="0" w:type="auto"/>
            <w:vAlign w:val="center"/>
            <w:hideMark/>
          </w:tcPr>
          <w:p w14:paraId="283127AC" w14:textId="77777777" w:rsidR="00A51F17" w:rsidRPr="008C0080" w:rsidRDefault="00A51F17" w:rsidP="00E65E99">
            <w:pPr>
              <w:spacing w:after="0" w:line="240" w:lineRule="auto"/>
              <w:jc w:val="right"/>
              <w:rPr>
                <w:rFonts w:ascii="Times New Roman" w:eastAsia="Times New Roman" w:hAnsi="Times New Roman" w:cs="Times New Roman"/>
                <w:b/>
                <w:bCs/>
                <w:sz w:val="24"/>
                <w:szCs w:val="24"/>
              </w:rPr>
            </w:pPr>
            <w:r w:rsidRPr="008C0080">
              <w:rPr>
                <w:rFonts w:ascii="Times New Roman" w:eastAsia="Times New Roman" w:hAnsi="Times New Roman" w:cs="Times New Roman"/>
                <w:b/>
                <w:bCs/>
                <w:sz w:val="24"/>
                <w:szCs w:val="24"/>
              </w:rPr>
              <w:t>FY2023</w:t>
            </w:r>
          </w:p>
        </w:tc>
        <w:tc>
          <w:tcPr>
            <w:tcW w:w="0" w:type="auto"/>
            <w:vAlign w:val="center"/>
            <w:hideMark/>
          </w:tcPr>
          <w:p w14:paraId="00CBACFB" w14:textId="77777777" w:rsidR="00A51F17" w:rsidRPr="008C0080" w:rsidRDefault="00A51F17" w:rsidP="00E65E99">
            <w:pPr>
              <w:spacing w:after="0" w:line="240" w:lineRule="auto"/>
              <w:jc w:val="right"/>
              <w:rPr>
                <w:rFonts w:ascii="Times New Roman" w:eastAsia="Times New Roman" w:hAnsi="Times New Roman" w:cs="Times New Roman"/>
                <w:b/>
                <w:bCs/>
                <w:sz w:val="24"/>
                <w:szCs w:val="24"/>
              </w:rPr>
            </w:pPr>
            <w:r w:rsidRPr="008C0080">
              <w:rPr>
                <w:rFonts w:ascii="Times New Roman" w:eastAsia="Times New Roman" w:hAnsi="Times New Roman" w:cs="Times New Roman"/>
                <w:b/>
                <w:bCs/>
                <w:sz w:val="24"/>
                <w:szCs w:val="24"/>
              </w:rPr>
              <w:t>FY2024</w:t>
            </w:r>
          </w:p>
        </w:tc>
      </w:tr>
      <w:tr w:rsidR="00A51F17" w:rsidRPr="008C0080" w14:paraId="1E3439E4" w14:textId="77777777" w:rsidTr="00E65E99">
        <w:trPr>
          <w:tblCellSpacing w:w="15" w:type="dxa"/>
        </w:trPr>
        <w:tc>
          <w:tcPr>
            <w:tcW w:w="0" w:type="auto"/>
            <w:vAlign w:val="center"/>
            <w:hideMark/>
          </w:tcPr>
          <w:p w14:paraId="477AF253" w14:textId="77777777" w:rsidR="00A51F17" w:rsidRPr="008C0080" w:rsidRDefault="00A51F17" w:rsidP="00E65E99">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Opening Equity</w:t>
            </w:r>
          </w:p>
        </w:tc>
        <w:tc>
          <w:tcPr>
            <w:tcW w:w="0" w:type="auto"/>
            <w:vAlign w:val="center"/>
            <w:hideMark/>
          </w:tcPr>
          <w:p w14:paraId="52AF359A"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812</w:t>
            </w:r>
          </w:p>
        </w:tc>
        <w:tc>
          <w:tcPr>
            <w:tcW w:w="0" w:type="auto"/>
            <w:vAlign w:val="center"/>
            <w:hideMark/>
          </w:tcPr>
          <w:p w14:paraId="26A83634"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846</w:t>
            </w:r>
          </w:p>
        </w:tc>
      </w:tr>
      <w:tr w:rsidR="00A51F17" w:rsidRPr="008C0080" w14:paraId="7E94C0D2" w14:textId="77777777" w:rsidTr="00E65E99">
        <w:trPr>
          <w:tblCellSpacing w:w="15" w:type="dxa"/>
        </w:trPr>
        <w:tc>
          <w:tcPr>
            <w:tcW w:w="0" w:type="auto"/>
            <w:vAlign w:val="center"/>
            <w:hideMark/>
          </w:tcPr>
          <w:p w14:paraId="549DA0DD" w14:textId="77777777" w:rsidR="00A51F17" w:rsidRPr="008C0080" w:rsidRDefault="00A51F17" w:rsidP="00E65E99">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Profit After Tax</w:t>
            </w:r>
          </w:p>
        </w:tc>
        <w:tc>
          <w:tcPr>
            <w:tcW w:w="0" w:type="auto"/>
            <w:vAlign w:val="center"/>
            <w:hideMark/>
          </w:tcPr>
          <w:p w14:paraId="3E31319A"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712</w:t>
            </w:r>
          </w:p>
        </w:tc>
        <w:tc>
          <w:tcPr>
            <w:tcW w:w="0" w:type="auto"/>
            <w:vAlign w:val="center"/>
            <w:hideMark/>
          </w:tcPr>
          <w:p w14:paraId="0048A955"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688</w:t>
            </w:r>
          </w:p>
        </w:tc>
      </w:tr>
      <w:tr w:rsidR="00A51F17" w:rsidRPr="008C0080" w14:paraId="573702E4" w14:textId="77777777" w:rsidTr="00E65E99">
        <w:trPr>
          <w:tblCellSpacing w:w="15" w:type="dxa"/>
        </w:trPr>
        <w:tc>
          <w:tcPr>
            <w:tcW w:w="0" w:type="auto"/>
            <w:vAlign w:val="center"/>
            <w:hideMark/>
          </w:tcPr>
          <w:p w14:paraId="2BB6392B" w14:textId="77777777" w:rsidR="00A51F17" w:rsidRPr="008C0080" w:rsidRDefault="00A51F17" w:rsidP="00E65E99">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Dividends Paid</w:t>
            </w:r>
          </w:p>
        </w:tc>
        <w:tc>
          <w:tcPr>
            <w:tcW w:w="0" w:type="auto"/>
            <w:vAlign w:val="center"/>
            <w:hideMark/>
          </w:tcPr>
          <w:p w14:paraId="08BBF8AC"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(678)</w:t>
            </w:r>
          </w:p>
        </w:tc>
        <w:tc>
          <w:tcPr>
            <w:tcW w:w="0" w:type="auto"/>
            <w:vAlign w:val="center"/>
            <w:hideMark/>
          </w:tcPr>
          <w:p w14:paraId="2E3F8DFE"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(619)</w:t>
            </w:r>
          </w:p>
        </w:tc>
      </w:tr>
      <w:tr w:rsidR="00A51F17" w:rsidRPr="008C0080" w14:paraId="0B71C394" w14:textId="77777777" w:rsidTr="00E65E99">
        <w:trPr>
          <w:tblCellSpacing w:w="15" w:type="dxa"/>
        </w:trPr>
        <w:tc>
          <w:tcPr>
            <w:tcW w:w="0" w:type="auto"/>
            <w:vAlign w:val="center"/>
            <w:hideMark/>
          </w:tcPr>
          <w:p w14:paraId="7476D8D0" w14:textId="77777777" w:rsidR="00A51F17" w:rsidRPr="008C0080" w:rsidRDefault="00A51F17" w:rsidP="00E65E99">
            <w:pPr>
              <w:spacing w:after="0" w:line="240" w:lineRule="auto"/>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Closing Equity</w:t>
            </w:r>
          </w:p>
        </w:tc>
        <w:tc>
          <w:tcPr>
            <w:tcW w:w="0" w:type="auto"/>
            <w:vAlign w:val="center"/>
            <w:hideMark/>
          </w:tcPr>
          <w:p w14:paraId="0E68AAA9"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846</w:t>
            </w:r>
          </w:p>
        </w:tc>
        <w:tc>
          <w:tcPr>
            <w:tcW w:w="0" w:type="auto"/>
            <w:vAlign w:val="center"/>
            <w:hideMark/>
          </w:tcPr>
          <w:p w14:paraId="6067DC0D" w14:textId="77777777" w:rsidR="00A51F17" w:rsidRPr="008C0080" w:rsidRDefault="00A51F17" w:rsidP="00E65E99">
            <w:pPr>
              <w:spacing w:after="0" w:line="240" w:lineRule="auto"/>
              <w:jc w:val="right"/>
              <w:rPr>
                <w:rFonts w:ascii="Times New Roman" w:eastAsia="Times New Roman" w:hAnsi="Times New Roman" w:cs="Times New Roman"/>
                <w:sz w:val="24"/>
                <w:szCs w:val="24"/>
              </w:rPr>
            </w:pPr>
            <w:r w:rsidRPr="008C0080">
              <w:rPr>
                <w:rFonts w:ascii="Times New Roman" w:eastAsia="Times New Roman" w:hAnsi="Times New Roman" w:cs="Times New Roman"/>
                <w:sz w:val="24"/>
                <w:szCs w:val="24"/>
              </w:rPr>
              <w:t>915</w:t>
            </w:r>
          </w:p>
        </w:tc>
      </w:tr>
    </w:tbl>
    <w:p w14:paraId="3FA37E79" w14:textId="77777777" w:rsidR="00A51F17" w:rsidRPr="00A7422E" w:rsidRDefault="00A51F17" w:rsidP="00B51A41">
      <w:pPr>
        <w:pStyle w:val="Heading1"/>
        <w:spacing w:before="0" w:line="480" w:lineRule="auto"/>
        <w:rPr>
          <w:rFonts w:ascii="Times New Roman" w:hAnsi="Times New Roman" w:cs="Times New Roman"/>
          <w:sz w:val="24"/>
          <w:szCs w:val="24"/>
        </w:rPr>
      </w:pPr>
    </w:p>
    <w:p w14:paraId="664179A9" w14:textId="2C61D134" w:rsidR="00BD62CE" w:rsidRPr="00791654" w:rsidRDefault="0063748C" w:rsidP="00B51A41">
      <w:pPr>
        <w:pStyle w:val="Heading1"/>
        <w:spacing w:before="0" w:line="480" w:lineRule="auto"/>
        <w:rPr>
          <w:rFonts w:ascii="Times New Roman" w:eastAsiaTheme="minorHAnsi" w:hAnsi="Times New Roman" w:cs="Times New Roman"/>
          <w:sz w:val="24"/>
          <w:szCs w:val="24"/>
        </w:rPr>
      </w:pPr>
      <w:r w:rsidRPr="00A51F17">
        <w:br w:type="page"/>
      </w:r>
      <w:bookmarkStart w:id="11" w:name="_Toc217852625"/>
      <w:r w:rsidR="00B47F44" w:rsidRPr="00791654">
        <w:rPr>
          <w:rFonts w:ascii="Times New Roman" w:eastAsia="Times New Roman" w:hAnsi="Times New Roman" w:cs="Times New Roman"/>
          <w:sz w:val="24"/>
          <w:szCs w:val="24"/>
        </w:rPr>
        <w:lastRenderedPageBreak/>
        <w:t>PART TWO</w:t>
      </w:r>
      <w:r w:rsidRPr="00791654">
        <w:rPr>
          <w:rFonts w:ascii="Times New Roman" w:eastAsia="Times New Roman" w:hAnsi="Times New Roman" w:cs="Times New Roman"/>
          <w:sz w:val="24"/>
          <w:szCs w:val="24"/>
        </w:rPr>
        <w:t xml:space="preserve">: </w:t>
      </w:r>
      <w:r w:rsidR="00082427" w:rsidRPr="00791654">
        <w:rPr>
          <w:rFonts w:ascii="Times New Roman" w:eastAsia="Times New Roman" w:hAnsi="Times New Roman" w:cs="Times New Roman"/>
          <w:sz w:val="24"/>
          <w:szCs w:val="24"/>
        </w:rPr>
        <w:t>WESTWOOD PLC INVESTMENT APPRAISAL</w:t>
      </w:r>
      <w:bookmarkEnd w:id="11"/>
    </w:p>
    <w:p w14:paraId="78E532A4" w14:textId="77777777" w:rsidR="00BD62CE" w:rsidRPr="00791654" w:rsidRDefault="0063748C" w:rsidP="00B51A41">
      <w:pPr>
        <w:pStyle w:val="Heading2"/>
        <w:spacing w:before="0" w:beforeAutospacing="0" w:after="0" w:afterAutospacing="0" w:line="480" w:lineRule="auto"/>
        <w:rPr>
          <w:sz w:val="24"/>
          <w:szCs w:val="24"/>
        </w:rPr>
      </w:pPr>
      <w:bookmarkStart w:id="12" w:name="_Toc217852626"/>
      <w:r w:rsidRPr="00791654">
        <w:rPr>
          <w:sz w:val="24"/>
          <w:szCs w:val="24"/>
        </w:rPr>
        <w:t>Executive Summary</w:t>
      </w:r>
      <w:bookmarkEnd w:id="12"/>
      <w:r w:rsidRPr="00791654">
        <w:rPr>
          <w:sz w:val="24"/>
          <w:szCs w:val="24"/>
        </w:rPr>
        <w:t xml:space="preserve"> </w:t>
      </w:r>
    </w:p>
    <w:p w14:paraId="0BD4C427"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This report assesses three possible investment opportunities offered by Westwood Plc, a UK-based manufacturing and retail company. It aims to choose the alternative that will maximize shareholder wealth and be consistent with corporate policy. Labelled A, B, and C, the projects incur an initial set-up cost of £600,000,</w:t>
      </w:r>
      <w:r w:rsidR="00AB3049" w:rsidRPr="00791654">
        <w:rPr>
          <w:rFonts w:ascii="Times New Roman" w:eastAsia="Times New Roman" w:hAnsi="Times New Roman" w:cs="Times New Roman"/>
          <w:sz w:val="24"/>
          <w:szCs w:val="24"/>
        </w:rPr>
        <w:t xml:space="preserve"> £ 1,000,000</w:t>
      </w:r>
      <w:r w:rsidRPr="00791654">
        <w:rPr>
          <w:rFonts w:ascii="Times New Roman" w:eastAsia="Times New Roman" w:hAnsi="Times New Roman" w:cs="Times New Roman"/>
          <w:sz w:val="24"/>
          <w:szCs w:val="24"/>
        </w:rPr>
        <w:t xml:space="preserve">, and </w:t>
      </w:r>
      <w:r w:rsidR="00AB3049" w:rsidRPr="00791654">
        <w:rPr>
          <w:rFonts w:ascii="Times New Roman" w:eastAsia="Times New Roman" w:hAnsi="Times New Roman" w:cs="Times New Roman"/>
          <w:sz w:val="24"/>
          <w:szCs w:val="24"/>
        </w:rPr>
        <w:t xml:space="preserve">£ </w:t>
      </w:r>
      <w:r w:rsidRPr="00791654">
        <w:rPr>
          <w:rFonts w:ascii="Times New Roman" w:eastAsia="Times New Roman" w:hAnsi="Times New Roman" w:cs="Times New Roman"/>
          <w:sz w:val="24"/>
          <w:szCs w:val="24"/>
        </w:rPr>
        <w:t>1,600,000 respectively, and</w:t>
      </w:r>
      <w:r w:rsidR="00E43BFA" w:rsidRPr="00791654">
        <w:rPr>
          <w:rFonts w:ascii="Times New Roman" w:eastAsia="Times New Roman" w:hAnsi="Times New Roman" w:cs="Times New Roman"/>
          <w:sz w:val="24"/>
          <w:szCs w:val="24"/>
        </w:rPr>
        <w:t xml:space="preserve"> Projected cash inflows in a period of four years.</w:t>
      </w:r>
      <w:r w:rsidRPr="00791654">
        <w:rPr>
          <w:rFonts w:ascii="Times New Roman" w:eastAsia="Times New Roman" w:hAnsi="Times New Roman" w:cs="Times New Roman"/>
          <w:sz w:val="24"/>
          <w:szCs w:val="24"/>
        </w:rPr>
        <w:t xml:space="preserve"> The cost of capital in the company is 6% Corporation tax is 25% and allowances on capital are charged at 20% straight-line of Investment incurred at the onset.</w:t>
      </w:r>
    </w:p>
    <w:p w14:paraId="7C75C855"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r>
      <w:r w:rsidR="009D7A3E" w:rsidRPr="00791654">
        <w:rPr>
          <w:rFonts w:ascii="Times New Roman" w:eastAsia="Times New Roman" w:hAnsi="Times New Roman" w:cs="Times New Roman"/>
          <w:sz w:val="24"/>
          <w:szCs w:val="24"/>
        </w:rPr>
        <w:t>The appraisal uses conventional capital budgeting methods, such as Net Present Value (NPV), Internal Rate of Return (IRR), Payback Period and Profitability Index (PI), where NPV is considered to be the main decision tool. Capital rationing will be included to make sure that the available £2.5 million is allocated optimally.</w:t>
      </w:r>
    </w:p>
    <w:p w14:paraId="4D935F9C"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The results show that Project C is the most optimal Investment in terms of NPV and a good IRR of more than the cost of capital of the company. It has been recommended that the financing should be done primarily based on retained earnings, with minor debt, and the performance of the projects should be monitored to ensure that both strategic and financial goals are achieved. This practice corresponds to the best practice of corporate finance and maximization of shareholder value (Brealey et al., 2020; Atrill &amp; McLaney, 2023).</w:t>
      </w:r>
    </w:p>
    <w:p w14:paraId="29C7D1E5" w14:textId="77777777" w:rsidR="008445ED" w:rsidRPr="00791654" w:rsidRDefault="0063748C">
      <w:pPr>
        <w:rPr>
          <w:rFonts w:ascii="Times New Roman" w:eastAsia="Times New Roman" w:hAnsi="Times New Roman" w:cs="Times New Roman"/>
          <w:b/>
          <w:bCs/>
          <w:sz w:val="24"/>
          <w:szCs w:val="24"/>
        </w:rPr>
      </w:pPr>
      <w:r w:rsidRPr="00791654">
        <w:rPr>
          <w:rFonts w:ascii="Times New Roman" w:hAnsi="Times New Roman" w:cs="Times New Roman"/>
          <w:sz w:val="24"/>
          <w:szCs w:val="24"/>
        </w:rPr>
        <w:br w:type="page"/>
      </w:r>
    </w:p>
    <w:p w14:paraId="71CBF915" w14:textId="77777777" w:rsidR="00BD62CE" w:rsidRPr="00791654" w:rsidRDefault="0063748C" w:rsidP="00B51A41">
      <w:pPr>
        <w:pStyle w:val="Heading2"/>
        <w:spacing w:before="0" w:beforeAutospacing="0" w:after="0" w:afterAutospacing="0" w:line="480" w:lineRule="auto"/>
        <w:rPr>
          <w:sz w:val="24"/>
          <w:szCs w:val="24"/>
        </w:rPr>
      </w:pPr>
      <w:bookmarkStart w:id="13" w:name="_Toc217852627"/>
      <w:r w:rsidRPr="00791654">
        <w:rPr>
          <w:sz w:val="24"/>
          <w:szCs w:val="24"/>
        </w:rPr>
        <w:lastRenderedPageBreak/>
        <w:t>1. Introduction &amp; Objectives</w:t>
      </w:r>
      <w:bookmarkEnd w:id="13"/>
    </w:p>
    <w:p w14:paraId="391F91FE"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Westwood Plc has three independent investment projects, A, B, and C, which it is contemplating to widen its operations and enhance its profitability within a span of four years. Every project involves a heavy initial capital investment, and the cash flows are expected to be utilized in the four years to come. This analysis aims to determine the project that will maximize the increase of shareholder wealth, and operational, financial, and strategic considerations are taken into consideration</w:t>
      </w:r>
      <w:r w:rsidR="0018753E" w:rsidRPr="00791654">
        <w:rPr>
          <w:rFonts w:ascii="Times New Roman" w:eastAsia="Times New Roman" w:hAnsi="Times New Roman" w:cs="Times New Roman"/>
          <w:sz w:val="24"/>
          <w:szCs w:val="24"/>
        </w:rPr>
        <w:t xml:space="preserve"> (Ross et al., 2024; OECD, 2023)</w:t>
      </w:r>
      <w:r w:rsidRPr="00791654">
        <w:rPr>
          <w:rFonts w:ascii="Times New Roman" w:eastAsia="Times New Roman" w:hAnsi="Times New Roman" w:cs="Times New Roman"/>
          <w:sz w:val="24"/>
          <w:szCs w:val="24"/>
        </w:rPr>
        <w:t>.</w:t>
      </w:r>
    </w:p>
    <w:p w14:paraId="0B307E64"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r>
      <w:r w:rsidR="00D1246A" w:rsidRPr="00791654">
        <w:rPr>
          <w:rFonts w:ascii="Times New Roman" w:eastAsia="Times New Roman" w:hAnsi="Times New Roman" w:cs="Times New Roman"/>
          <w:sz w:val="24"/>
          <w:szCs w:val="24"/>
        </w:rPr>
        <w:t>The discounted cash flow methods applied in the evaluation of capital budgeting are mainly Net Present Value (NPV) and Internal Rate of Return (IRR), and the Payback Period is used to supplement these methods in determining the implications of liquidity</w:t>
      </w:r>
      <w:r w:rsidRPr="00791654">
        <w:rPr>
          <w:rFonts w:ascii="Times New Roman" w:eastAsia="Times New Roman" w:hAnsi="Times New Roman" w:cs="Times New Roman"/>
          <w:sz w:val="24"/>
          <w:szCs w:val="24"/>
        </w:rPr>
        <w:t xml:space="preserve"> (Brigham &amp; Ehrhardt, 2021). It has been </w:t>
      </w:r>
      <w:r w:rsidR="00B762C8" w:rsidRPr="00791654">
        <w:rPr>
          <w:rFonts w:ascii="Times New Roman" w:eastAsia="Times New Roman" w:hAnsi="Times New Roman" w:cs="Times New Roman"/>
          <w:sz w:val="24"/>
          <w:szCs w:val="24"/>
        </w:rPr>
        <w:t>analyzed</w:t>
      </w:r>
      <w:r w:rsidRPr="00791654">
        <w:rPr>
          <w:rFonts w:ascii="Times New Roman" w:eastAsia="Times New Roman" w:hAnsi="Times New Roman" w:cs="Times New Roman"/>
          <w:sz w:val="24"/>
          <w:szCs w:val="24"/>
        </w:rPr>
        <w:t xml:space="preserve"> with the use of a taxation rate of 25%, a capital allowance of 20% straight-line, and a cost of capital of 6%, which is in line with the current financia</w:t>
      </w:r>
      <w:r w:rsidR="002A36A4" w:rsidRPr="00791654">
        <w:rPr>
          <w:rFonts w:ascii="Times New Roman" w:eastAsia="Times New Roman" w:hAnsi="Times New Roman" w:cs="Times New Roman"/>
          <w:sz w:val="24"/>
          <w:szCs w:val="24"/>
        </w:rPr>
        <w:t>l environment of Westwood Plc (Brealey et al., 2020).</w:t>
      </w:r>
    </w:p>
    <w:p w14:paraId="5E6D6FE2" w14:textId="77777777" w:rsidR="008445ED" w:rsidRPr="00791654" w:rsidRDefault="0063748C">
      <w:pPr>
        <w:rPr>
          <w:rFonts w:ascii="Times New Roman" w:eastAsia="Times New Roman" w:hAnsi="Times New Roman" w:cs="Times New Roman"/>
          <w:b/>
          <w:bCs/>
          <w:sz w:val="24"/>
          <w:szCs w:val="24"/>
        </w:rPr>
      </w:pPr>
      <w:r w:rsidRPr="00791654">
        <w:rPr>
          <w:rFonts w:ascii="Times New Roman" w:hAnsi="Times New Roman" w:cs="Times New Roman"/>
          <w:sz w:val="24"/>
          <w:szCs w:val="24"/>
        </w:rPr>
        <w:br w:type="page"/>
      </w:r>
    </w:p>
    <w:p w14:paraId="276A1BBA" w14:textId="77777777" w:rsidR="00BD62CE" w:rsidRPr="00791654" w:rsidRDefault="0063748C" w:rsidP="00B51A41">
      <w:pPr>
        <w:pStyle w:val="Heading2"/>
        <w:spacing w:before="0" w:beforeAutospacing="0" w:after="0" w:afterAutospacing="0" w:line="480" w:lineRule="auto"/>
        <w:rPr>
          <w:sz w:val="24"/>
          <w:szCs w:val="24"/>
        </w:rPr>
      </w:pPr>
      <w:bookmarkStart w:id="14" w:name="_Toc217852628"/>
      <w:r w:rsidRPr="00791654">
        <w:rPr>
          <w:sz w:val="24"/>
          <w:szCs w:val="24"/>
        </w:rPr>
        <w:lastRenderedPageBreak/>
        <w:t>2. Methodology &amp; Data Sources</w:t>
      </w:r>
      <w:bookmarkEnd w:id="14"/>
    </w:p>
    <w:p w14:paraId="2CB67441" w14:textId="77777777" w:rsidR="00BD62CE"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The analysis is carried out on the basis of the secondary data offered in the assignment brief, i.e., the initial investment level, the cash flows after four years, the corporation tax rate, and the capital allowance policy. Such data is deemed to be reliable, and the after-tax cash flows could be calculated accurately and followed up with NPV and IRR analyses.</w:t>
      </w:r>
    </w:p>
    <w:p w14:paraId="6E96B89A" w14:textId="77777777" w:rsidR="008445ED" w:rsidRDefault="0063748C" w:rsidP="00EF30AE">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r>
      <w:r w:rsidR="00DF4C8F" w:rsidRPr="00791654">
        <w:rPr>
          <w:rFonts w:ascii="Times New Roman" w:eastAsia="Times New Roman" w:hAnsi="Times New Roman" w:cs="Times New Roman"/>
          <w:sz w:val="24"/>
          <w:szCs w:val="24"/>
        </w:rPr>
        <w:t>The after-tax cash flows are determined in accordance with the adjustment of the inflows projected to be received, a 25% corporation tax rate, and the introduction of capital allowances at 20% straight-line and discounted at the cost of capital of the company of 6%</w:t>
      </w:r>
      <w:r w:rsidR="00C61601" w:rsidRPr="00791654">
        <w:rPr>
          <w:rFonts w:ascii="Times New Roman" w:eastAsia="Times New Roman" w:hAnsi="Times New Roman" w:cs="Times New Roman"/>
          <w:sz w:val="24"/>
          <w:szCs w:val="24"/>
        </w:rPr>
        <w:t xml:space="preserve"> (Arnold, 2023)</w:t>
      </w:r>
      <w:r w:rsidR="00DF4C8F" w:rsidRPr="00791654">
        <w:rPr>
          <w:rFonts w:ascii="Times New Roman" w:eastAsia="Times New Roman" w:hAnsi="Times New Roman" w:cs="Times New Roman"/>
          <w:sz w:val="24"/>
          <w:szCs w:val="24"/>
        </w:rPr>
        <w:t>.</w:t>
      </w:r>
      <w:r w:rsidRPr="00791654">
        <w:rPr>
          <w:rFonts w:ascii="Times New Roman" w:eastAsia="Times New Roman" w:hAnsi="Times New Roman" w:cs="Times New Roman"/>
          <w:sz w:val="24"/>
          <w:szCs w:val="24"/>
        </w:rPr>
        <w:t xml:space="preserve">The capital rationing analysis will be performed based on the Profitability Index (PI) of every project, which will allow ranking and assigning scarce funds (£2,500,000). </w:t>
      </w:r>
      <w:r w:rsidR="00EF30AE" w:rsidRPr="00791654">
        <w:rPr>
          <w:rFonts w:ascii="Times New Roman" w:eastAsia="Times New Roman" w:hAnsi="Times New Roman" w:cs="Times New Roman"/>
          <w:sz w:val="24"/>
          <w:szCs w:val="24"/>
        </w:rPr>
        <w:t>Qualitative considerations that underline quantitative results are market conditions, the viability of operations, and strategic fit (Atrill &amp; McLaney, 2023; Palepu et al., 2021).</w:t>
      </w:r>
    </w:p>
    <w:p w14:paraId="689569AF" w14:textId="77777777" w:rsidR="00DB13BC" w:rsidRPr="00791654" w:rsidRDefault="00DB13BC" w:rsidP="00EF30AE">
      <w:pPr>
        <w:spacing w:after="0" w:line="480" w:lineRule="auto"/>
        <w:rPr>
          <w:rFonts w:ascii="Times New Roman" w:eastAsia="Times New Roman" w:hAnsi="Times New Roman" w:cs="Times New Roman"/>
          <w:sz w:val="24"/>
          <w:szCs w:val="24"/>
        </w:rPr>
      </w:pPr>
    </w:p>
    <w:p w14:paraId="2734E7BB" w14:textId="77777777" w:rsidR="00BD1D75" w:rsidRPr="00791654" w:rsidRDefault="0063748C" w:rsidP="00B51A41">
      <w:pPr>
        <w:pStyle w:val="Heading2"/>
        <w:spacing w:before="0" w:beforeAutospacing="0" w:after="0" w:afterAutospacing="0" w:line="480" w:lineRule="auto"/>
        <w:rPr>
          <w:sz w:val="24"/>
          <w:szCs w:val="24"/>
        </w:rPr>
      </w:pPr>
      <w:bookmarkStart w:id="15" w:name="_Toc217852629"/>
      <w:r w:rsidRPr="00791654">
        <w:rPr>
          <w:sz w:val="24"/>
          <w:szCs w:val="24"/>
        </w:rPr>
        <w:t>3. After-Tax Cash Flow Calculation</w:t>
      </w:r>
      <w:bookmarkEnd w:id="15"/>
    </w:p>
    <w:p w14:paraId="33AAA71C" w14:textId="77777777" w:rsidR="007110FB" w:rsidRPr="00791654" w:rsidRDefault="0063748C" w:rsidP="007110FB">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ab/>
        <w:t xml:space="preserve">The after-tax cash flows of every investment project are determined in order to show the actual inflows of the project to Westwood Plc after factoring in the corporate taxation and capital allowances. In such projects, the corporation tax rate will be 25% and capital allowance will be applied at 20% straight-line </w:t>
      </w:r>
      <w:r w:rsidR="001214AF" w:rsidRPr="00791654">
        <w:rPr>
          <w:rFonts w:ascii="Times New Roman" w:hAnsi="Times New Roman" w:cs="Times New Roman"/>
          <w:sz w:val="24"/>
          <w:szCs w:val="24"/>
        </w:rPr>
        <w:t xml:space="preserve">of initial Investment per year </w:t>
      </w:r>
      <w:r w:rsidRPr="00791654">
        <w:rPr>
          <w:rFonts w:ascii="Times New Roman" w:hAnsi="Times New Roman" w:cs="Times New Roman"/>
          <w:sz w:val="24"/>
          <w:szCs w:val="24"/>
        </w:rPr>
        <w:t>(Brealey et al., 2020; Atrill &amp; McLaney, 2023)</w:t>
      </w:r>
    </w:p>
    <w:p w14:paraId="34D99D29" w14:textId="77777777" w:rsidR="007110FB" w:rsidRPr="00791654" w:rsidRDefault="0063748C" w:rsidP="007110FB">
      <w:pPr>
        <w:rPr>
          <w:rFonts w:ascii="Times New Roman" w:hAnsi="Times New Roman" w:cs="Times New Roman"/>
          <w:sz w:val="24"/>
          <w:szCs w:val="24"/>
        </w:rPr>
      </w:pPr>
      <w:r w:rsidRPr="00791654">
        <w:rPr>
          <w:rFonts w:ascii="Times New Roman" w:hAnsi="Times New Roman" w:cs="Times New Roman"/>
          <w:sz w:val="24"/>
          <w:szCs w:val="24"/>
        </w:rPr>
        <w:t>The summary of the after-tax cash flows of the three projects in the four years is as follows:</w:t>
      </w:r>
    </w:p>
    <w:p w14:paraId="1B6F0C62" w14:textId="77777777" w:rsidR="00BD1D75" w:rsidRPr="00791654" w:rsidRDefault="0063748C" w:rsidP="00B51A41">
      <w:pPr>
        <w:pStyle w:val="Heading5"/>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Table 1 – After-Tax Cash Flows (Excel-ready)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02"/>
        <w:gridCol w:w="1400"/>
        <w:gridCol w:w="1386"/>
        <w:gridCol w:w="1415"/>
      </w:tblGrid>
      <w:tr w:rsidR="008B7B16" w:rsidRPr="00791654" w14:paraId="536621FE" w14:textId="77777777" w:rsidTr="0042065D">
        <w:trPr>
          <w:tblHeader/>
          <w:tblCellSpacing w:w="15" w:type="dxa"/>
        </w:trPr>
        <w:tc>
          <w:tcPr>
            <w:tcW w:w="0" w:type="auto"/>
            <w:vAlign w:val="center"/>
            <w:hideMark/>
          </w:tcPr>
          <w:p w14:paraId="0E3AC0F4" w14:textId="77777777" w:rsidR="00BD1D75"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Year</w:t>
            </w:r>
          </w:p>
        </w:tc>
        <w:tc>
          <w:tcPr>
            <w:tcW w:w="0" w:type="auto"/>
            <w:vAlign w:val="center"/>
            <w:hideMark/>
          </w:tcPr>
          <w:p w14:paraId="7F0910B3" w14:textId="77777777" w:rsidR="00BD1D75"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Project A (£)</w:t>
            </w:r>
          </w:p>
        </w:tc>
        <w:tc>
          <w:tcPr>
            <w:tcW w:w="0" w:type="auto"/>
            <w:vAlign w:val="center"/>
            <w:hideMark/>
          </w:tcPr>
          <w:p w14:paraId="19D2AED9" w14:textId="77777777" w:rsidR="00BD1D75"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Project B (£)</w:t>
            </w:r>
          </w:p>
        </w:tc>
        <w:tc>
          <w:tcPr>
            <w:tcW w:w="0" w:type="auto"/>
            <w:vAlign w:val="center"/>
            <w:hideMark/>
          </w:tcPr>
          <w:p w14:paraId="428A6C36" w14:textId="77777777" w:rsidR="00BD1D75"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Project C (£)</w:t>
            </w:r>
          </w:p>
        </w:tc>
      </w:tr>
      <w:tr w:rsidR="008B7B16" w:rsidRPr="00791654" w14:paraId="71BDF9A2" w14:textId="77777777" w:rsidTr="0042065D">
        <w:trPr>
          <w:tblCellSpacing w:w="15" w:type="dxa"/>
        </w:trPr>
        <w:tc>
          <w:tcPr>
            <w:tcW w:w="0" w:type="auto"/>
            <w:vAlign w:val="center"/>
            <w:hideMark/>
          </w:tcPr>
          <w:p w14:paraId="1032E6F7"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w:t>
            </w:r>
          </w:p>
        </w:tc>
        <w:tc>
          <w:tcPr>
            <w:tcW w:w="0" w:type="auto"/>
            <w:vAlign w:val="center"/>
            <w:hideMark/>
          </w:tcPr>
          <w:p w14:paraId="0BD35578"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145,000</w:t>
            </w:r>
          </w:p>
        </w:tc>
        <w:tc>
          <w:tcPr>
            <w:tcW w:w="0" w:type="auto"/>
            <w:vAlign w:val="center"/>
            <w:hideMark/>
          </w:tcPr>
          <w:p w14:paraId="458297DD"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195,000</w:t>
            </w:r>
          </w:p>
        </w:tc>
        <w:tc>
          <w:tcPr>
            <w:tcW w:w="0" w:type="auto"/>
            <w:vAlign w:val="center"/>
            <w:hideMark/>
          </w:tcPr>
          <w:p w14:paraId="3E08C6C3"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270,000</w:t>
            </w:r>
          </w:p>
        </w:tc>
      </w:tr>
      <w:tr w:rsidR="008B7B16" w:rsidRPr="00791654" w14:paraId="4179CCE3" w14:textId="77777777" w:rsidTr="0042065D">
        <w:trPr>
          <w:tblCellSpacing w:w="15" w:type="dxa"/>
        </w:trPr>
        <w:tc>
          <w:tcPr>
            <w:tcW w:w="0" w:type="auto"/>
            <w:vAlign w:val="center"/>
            <w:hideMark/>
          </w:tcPr>
          <w:p w14:paraId="201EB10B"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lastRenderedPageBreak/>
              <w:t>2</w:t>
            </w:r>
          </w:p>
        </w:tc>
        <w:tc>
          <w:tcPr>
            <w:tcW w:w="0" w:type="auto"/>
            <w:vAlign w:val="center"/>
            <w:hideMark/>
          </w:tcPr>
          <w:p w14:paraId="547AA9C5"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155,000</w:t>
            </w:r>
          </w:p>
        </w:tc>
        <w:tc>
          <w:tcPr>
            <w:tcW w:w="0" w:type="auto"/>
            <w:vAlign w:val="center"/>
            <w:hideMark/>
          </w:tcPr>
          <w:p w14:paraId="00CFBBF1"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210,000</w:t>
            </w:r>
          </w:p>
        </w:tc>
        <w:tc>
          <w:tcPr>
            <w:tcW w:w="0" w:type="auto"/>
            <w:vAlign w:val="center"/>
            <w:hideMark/>
          </w:tcPr>
          <w:p w14:paraId="3C69CA11"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295,000</w:t>
            </w:r>
          </w:p>
        </w:tc>
      </w:tr>
      <w:tr w:rsidR="008B7B16" w:rsidRPr="00791654" w14:paraId="27160ED9" w14:textId="77777777" w:rsidTr="0042065D">
        <w:trPr>
          <w:tblCellSpacing w:w="15" w:type="dxa"/>
        </w:trPr>
        <w:tc>
          <w:tcPr>
            <w:tcW w:w="0" w:type="auto"/>
            <w:vAlign w:val="center"/>
            <w:hideMark/>
          </w:tcPr>
          <w:p w14:paraId="78B5F62E"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3</w:t>
            </w:r>
          </w:p>
        </w:tc>
        <w:tc>
          <w:tcPr>
            <w:tcW w:w="0" w:type="auto"/>
            <w:vAlign w:val="center"/>
            <w:hideMark/>
          </w:tcPr>
          <w:p w14:paraId="77B23B1E"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160,000</w:t>
            </w:r>
          </w:p>
        </w:tc>
        <w:tc>
          <w:tcPr>
            <w:tcW w:w="0" w:type="auto"/>
            <w:vAlign w:val="center"/>
            <w:hideMark/>
          </w:tcPr>
          <w:p w14:paraId="0B92EA35"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220,000</w:t>
            </w:r>
          </w:p>
        </w:tc>
        <w:tc>
          <w:tcPr>
            <w:tcW w:w="0" w:type="auto"/>
            <w:vAlign w:val="center"/>
            <w:hideMark/>
          </w:tcPr>
          <w:p w14:paraId="1E2FB3EB"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315,000</w:t>
            </w:r>
          </w:p>
        </w:tc>
      </w:tr>
      <w:tr w:rsidR="008B7B16" w:rsidRPr="00791654" w14:paraId="175D5BB2" w14:textId="77777777" w:rsidTr="0042065D">
        <w:trPr>
          <w:tblCellSpacing w:w="15" w:type="dxa"/>
        </w:trPr>
        <w:tc>
          <w:tcPr>
            <w:tcW w:w="0" w:type="auto"/>
            <w:vAlign w:val="center"/>
            <w:hideMark/>
          </w:tcPr>
          <w:p w14:paraId="14445175"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4</w:t>
            </w:r>
          </w:p>
        </w:tc>
        <w:tc>
          <w:tcPr>
            <w:tcW w:w="0" w:type="auto"/>
            <w:vAlign w:val="center"/>
            <w:hideMark/>
          </w:tcPr>
          <w:p w14:paraId="1BF5B8F1"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165,000</w:t>
            </w:r>
          </w:p>
        </w:tc>
        <w:tc>
          <w:tcPr>
            <w:tcW w:w="0" w:type="auto"/>
            <w:vAlign w:val="center"/>
            <w:hideMark/>
          </w:tcPr>
          <w:p w14:paraId="3CC4BB4F"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230,000</w:t>
            </w:r>
          </w:p>
        </w:tc>
        <w:tc>
          <w:tcPr>
            <w:tcW w:w="0" w:type="auto"/>
            <w:vAlign w:val="center"/>
            <w:hideMark/>
          </w:tcPr>
          <w:p w14:paraId="6252A3A8" w14:textId="77777777" w:rsidR="00BD1D75"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340,000</w:t>
            </w:r>
          </w:p>
        </w:tc>
      </w:tr>
    </w:tbl>
    <w:p w14:paraId="73937236" w14:textId="77777777" w:rsidR="00D055FE" w:rsidRPr="00791654" w:rsidRDefault="00D055FE" w:rsidP="00D055FE">
      <w:pPr>
        <w:spacing w:after="0" w:line="480" w:lineRule="auto"/>
        <w:rPr>
          <w:rFonts w:ascii="Times New Roman" w:hAnsi="Times New Roman" w:cs="Times New Roman"/>
          <w:sz w:val="24"/>
          <w:szCs w:val="24"/>
        </w:rPr>
      </w:pPr>
    </w:p>
    <w:p w14:paraId="7A916472" w14:textId="77777777" w:rsidR="00452DD4" w:rsidRPr="00791654" w:rsidRDefault="0063748C" w:rsidP="00D055FE">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ab/>
        <w:t xml:space="preserve">The outcome of the analysis of these figures indicates that the three projects will generate </w:t>
      </w:r>
      <w:proofErr w:type="spellStart"/>
      <w:r w:rsidR="00B762C8" w:rsidRPr="00791654">
        <w:rPr>
          <w:rFonts w:ascii="Times New Roman" w:hAnsi="Times New Roman" w:cs="Times New Roman"/>
          <w:sz w:val="24"/>
          <w:szCs w:val="24"/>
        </w:rPr>
        <w:t>favourable</w:t>
      </w:r>
      <w:proofErr w:type="spellEnd"/>
      <w:r w:rsidRPr="00791654">
        <w:rPr>
          <w:rFonts w:ascii="Times New Roman" w:hAnsi="Times New Roman" w:cs="Times New Roman"/>
          <w:sz w:val="24"/>
          <w:szCs w:val="24"/>
        </w:rPr>
        <w:t xml:space="preserve"> cash inflows over the four-year project period, ensuring a payback of investments made by Westwood Plc and an incremental value. Project C is superior to Project B because it has higher after-tax cash flows, a higher initial investment, and stronger revenue-generating capacity, as it involves a larger expansion with more operational implications</w:t>
      </w:r>
      <w:r w:rsidR="008E2B9D" w:rsidRPr="00791654">
        <w:rPr>
          <w:rFonts w:ascii="Times New Roman" w:hAnsi="Times New Roman" w:cs="Times New Roman"/>
          <w:sz w:val="24"/>
          <w:szCs w:val="24"/>
        </w:rPr>
        <w:t xml:space="preserve"> (Damodaran, 2023)</w:t>
      </w:r>
      <w:r w:rsidRPr="00791654">
        <w:rPr>
          <w:rFonts w:ascii="Times New Roman" w:hAnsi="Times New Roman" w:cs="Times New Roman"/>
          <w:sz w:val="24"/>
          <w:szCs w:val="24"/>
        </w:rPr>
        <w:t xml:space="preserve">. </w:t>
      </w:r>
    </w:p>
    <w:p w14:paraId="36C759BC" w14:textId="77777777" w:rsidR="004B2BBB"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ab/>
      </w:r>
      <w:r w:rsidR="00803AB3" w:rsidRPr="00791654">
        <w:rPr>
          <w:rFonts w:ascii="Times New Roman" w:hAnsi="Times New Roman" w:cs="Times New Roman"/>
          <w:sz w:val="24"/>
          <w:szCs w:val="24"/>
        </w:rPr>
        <w:t>Project A, however, has lower cash flows, which are in line with its lower capital cost and less risky scope of the project. Project B is an in-between investment in that it offers middle-level returns and an investment option.</w:t>
      </w:r>
      <w:r w:rsidRPr="00791654">
        <w:rPr>
          <w:rFonts w:ascii="Times New Roman" w:hAnsi="Times New Roman" w:cs="Times New Roman"/>
          <w:sz w:val="24"/>
          <w:szCs w:val="24"/>
        </w:rPr>
        <w:t xml:space="preserve"> It is based on such after-tax cash flows that future NPV, IRR, and Payback Period computations are performed and allow a realistic understanding of the amount of money that may be at the disposal of the company</w:t>
      </w:r>
      <w:r w:rsidR="00803AB3" w:rsidRPr="00791654">
        <w:rPr>
          <w:rFonts w:ascii="Times New Roman" w:hAnsi="Times New Roman" w:cs="Times New Roman"/>
          <w:sz w:val="24"/>
          <w:szCs w:val="24"/>
        </w:rPr>
        <w:t xml:space="preserve"> (Palepu et al., 2021). </w:t>
      </w:r>
    </w:p>
    <w:p w14:paraId="18CA3F91" w14:textId="77777777" w:rsidR="004B2BBB" w:rsidRPr="00791654" w:rsidRDefault="0063748C" w:rsidP="00B51A41">
      <w:pPr>
        <w:pStyle w:val="Heading2"/>
        <w:spacing w:before="0" w:beforeAutospacing="0" w:after="0" w:afterAutospacing="0" w:line="480" w:lineRule="auto"/>
        <w:rPr>
          <w:sz w:val="24"/>
          <w:szCs w:val="24"/>
        </w:rPr>
      </w:pPr>
      <w:bookmarkStart w:id="16" w:name="_Toc217852630"/>
      <w:r w:rsidRPr="00791654">
        <w:rPr>
          <w:sz w:val="24"/>
          <w:szCs w:val="24"/>
        </w:rPr>
        <w:t>4. Net Present Value (NPV) Calculation</w:t>
      </w:r>
      <w:bookmarkEnd w:id="16"/>
    </w:p>
    <w:p w14:paraId="21F54EFB" w14:textId="77777777" w:rsidR="00F710F8" w:rsidRPr="00791654" w:rsidRDefault="0063748C" w:rsidP="00B51A41">
      <w:pPr>
        <w:spacing w:after="0" w:line="480" w:lineRule="auto"/>
        <w:rPr>
          <w:rFonts w:ascii="Times New Roman" w:hAnsi="Times New Roman" w:cs="Times New Roman"/>
          <w:sz w:val="24"/>
          <w:szCs w:val="24"/>
        </w:rPr>
      </w:pPr>
      <w:r w:rsidRPr="00791654">
        <w:rPr>
          <w:rFonts w:ascii="Times New Roman" w:hAnsi="Times New Roman" w:cs="Times New Roman"/>
          <w:sz w:val="24"/>
          <w:szCs w:val="24"/>
        </w:rPr>
        <w:tab/>
        <w:t>Net Present Value (NPV) is regarded as the most effective appraisal method of an investment since it takes into consideration the time value of money and appraises all the expected cash flows throughout the project life</w:t>
      </w:r>
      <w:r w:rsidR="00F42D98" w:rsidRPr="00791654">
        <w:rPr>
          <w:rFonts w:ascii="Times New Roman" w:hAnsi="Times New Roman" w:cs="Times New Roman"/>
          <w:sz w:val="24"/>
          <w:szCs w:val="24"/>
        </w:rPr>
        <w:t xml:space="preserve"> (Brealey et al., 2020; Damodaran, 2023)</w:t>
      </w:r>
      <w:r w:rsidRPr="00791654">
        <w:rPr>
          <w:rFonts w:ascii="Times New Roman" w:hAnsi="Times New Roman" w:cs="Times New Roman"/>
          <w:sz w:val="24"/>
          <w:szCs w:val="24"/>
        </w:rPr>
        <w:t xml:space="preserve">. Compared to IRR and Payback, the NPV quantifies the increase in shareholder wealth in monetary Value and the reinvestment at the cost of capital of the firm, which is a realistic </w:t>
      </w:r>
      <w:r w:rsidRPr="00791654">
        <w:rPr>
          <w:rFonts w:ascii="Times New Roman" w:hAnsi="Times New Roman" w:cs="Times New Roman"/>
          <w:sz w:val="24"/>
          <w:szCs w:val="24"/>
        </w:rPr>
        <w:lastRenderedPageBreak/>
        <w:t xml:space="preserve">assumption (Brealey et al., 2020). Consequently, NPV makes the decision rule very clear and consistent with the intention of shareholder wealth </w:t>
      </w:r>
      <w:r w:rsidR="00B762C8" w:rsidRPr="00791654">
        <w:rPr>
          <w:rFonts w:ascii="Times New Roman" w:hAnsi="Times New Roman" w:cs="Times New Roman"/>
          <w:sz w:val="24"/>
          <w:szCs w:val="24"/>
        </w:rPr>
        <w:t>maximization</w:t>
      </w:r>
      <w:r w:rsidRPr="00791654">
        <w:rPr>
          <w:rFonts w:ascii="Times New Roman" w:hAnsi="Times New Roman" w:cs="Times New Roman"/>
          <w:sz w:val="24"/>
          <w:szCs w:val="24"/>
        </w:rPr>
        <w:t>.</w:t>
      </w:r>
      <w:r w:rsidRPr="00791654">
        <w:rPr>
          <w:rFonts w:ascii="Times New Roman" w:hAnsi="Times New Roman" w:cs="Times New Roman"/>
          <w:sz w:val="24"/>
          <w:szCs w:val="24"/>
        </w:rPr>
        <w:tab/>
      </w:r>
    </w:p>
    <w:p w14:paraId="499DA1F3" w14:textId="77777777" w:rsidR="00314713" w:rsidRDefault="0063748C" w:rsidP="00314713">
      <w:pPr>
        <w:spacing w:after="0" w:line="480" w:lineRule="auto"/>
        <w:rPr>
          <w:rFonts w:ascii="Times New Roman" w:eastAsia="Times New Roman" w:hAnsi="Times New Roman" w:cs="Times New Roman"/>
          <w:sz w:val="24"/>
          <w:szCs w:val="24"/>
        </w:rPr>
      </w:pPr>
      <w:r w:rsidRPr="00791654">
        <w:rPr>
          <w:rFonts w:ascii="Times New Roman" w:hAnsi="Times New Roman" w:cs="Times New Roman"/>
          <w:sz w:val="24"/>
          <w:szCs w:val="24"/>
        </w:rPr>
        <w:tab/>
        <w:t xml:space="preserve">In the case of Westwood Plc, the discount factor is determined by the cost of capital of the company of 6% after tax, on the cash flows of projects A, B, and C. The calculation takes capital allowances as 20 straight-line to level the benefits associated with the tax depreciation that enhances adequate cash flows. Table 2 below </w:t>
      </w:r>
      <w:proofErr w:type="spellStart"/>
      <w:r w:rsidR="00895AEE" w:rsidRPr="00791654">
        <w:rPr>
          <w:rFonts w:ascii="Times New Roman" w:hAnsi="Times New Roman" w:cs="Times New Roman"/>
          <w:sz w:val="24"/>
          <w:szCs w:val="24"/>
        </w:rPr>
        <w:t>summarises</w:t>
      </w:r>
      <w:proofErr w:type="spellEnd"/>
      <w:r w:rsidRPr="00791654">
        <w:rPr>
          <w:rFonts w:ascii="Times New Roman" w:hAnsi="Times New Roman" w:cs="Times New Roman"/>
          <w:sz w:val="24"/>
          <w:szCs w:val="24"/>
        </w:rPr>
        <w:t xml:space="preserve"> the NPVs of each of the projects:</w:t>
      </w:r>
    </w:p>
    <w:p w14:paraId="165C3CD5" w14:textId="77777777" w:rsidR="00314713" w:rsidRDefault="00314713" w:rsidP="00314713">
      <w:pPr>
        <w:spacing w:after="0" w:line="480" w:lineRule="auto"/>
        <w:rPr>
          <w:rFonts w:ascii="Times New Roman" w:eastAsia="Times New Roman" w:hAnsi="Times New Roman" w:cs="Times New Roman"/>
          <w:sz w:val="24"/>
          <w:szCs w:val="24"/>
        </w:rPr>
      </w:pPr>
    </w:p>
    <w:p w14:paraId="7EDE337A" w14:textId="3F5AB846" w:rsidR="00FC3531" w:rsidRPr="00DB13BC" w:rsidRDefault="0063748C" w:rsidP="00314713">
      <w:pPr>
        <w:spacing w:after="0" w:line="480" w:lineRule="auto"/>
        <w:rPr>
          <w:rFonts w:ascii="Times New Roman" w:hAnsi="Times New Roman" w:cs="Times New Roman"/>
          <w:color w:val="244061" w:themeColor="accent1" w:themeShade="80"/>
          <w:sz w:val="24"/>
          <w:szCs w:val="24"/>
        </w:rPr>
      </w:pPr>
      <w:r w:rsidRPr="00DB13BC">
        <w:rPr>
          <w:rFonts w:ascii="Times New Roman" w:eastAsia="Times New Roman" w:hAnsi="Times New Roman" w:cs="Times New Roman"/>
          <w:color w:val="244061" w:themeColor="accent1" w:themeShade="80"/>
          <w:sz w:val="24"/>
          <w:szCs w:val="24"/>
        </w:rPr>
        <w:t>Table 2 – NPV Calculation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2"/>
        <w:gridCol w:w="2254"/>
        <w:gridCol w:w="914"/>
        <w:gridCol w:w="1895"/>
      </w:tblGrid>
      <w:tr w:rsidR="008B7B16" w:rsidRPr="00791654" w14:paraId="7CC1D562" w14:textId="77777777" w:rsidTr="0042065D">
        <w:trPr>
          <w:tblHeader/>
          <w:tblCellSpacing w:w="15" w:type="dxa"/>
        </w:trPr>
        <w:tc>
          <w:tcPr>
            <w:tcW w:w="0" w:type="auto"/>
            <w:vAlign w:val="center"/>
            <w:hideMark/>
          </w:tcPr>
          <w:p w14:paraId="2D69DAEA" w14:textId="77777777" w:rsidR="00FC3531"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Project</w:t>
            </w:r>
          </w:p>
        </w:tc>
        <w:tc>
          <w:tcPr>
            <w:tcW w:w="0" w:type="auto"/>
            <w:vAlign w:val="center"/>
            <w:hideMark/>
          </w:tcPr>
          <w:p w14:paraId="510005C5" w14:textId="77777777" w:rsidR="00FC3531"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Initial Investment (£)</w:t>
            </w:r>
          </w:p>
        </w:tc>
        <w:tc>
          <w:tcPr>
            <w:tcW w:w="0" w:type="auto"/>
            <w:vAlign w:val="center"/>
            <w:hideMark/>
          </w:tcPr>
          <w:p w14:paraId="08EA2A57" w14:textId="77777777" w:rsidR="00FC3531"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NPV (£)</w:t>
            </w:r>
          </w:p>
        </w:tc>
        <w:tc>
          <w:tcPr>
            <w:tcW w:w="0" w:type="auto"/>
            <w:vAlign w:val="center"/>
            <w:hideMark/>
          </w:tcPr>
          <w:p w14:paraId="1A6701EE" w14:textId="77777777" w:rsidR="00FC3531"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Recommendation</w:t>
            </w:r>
          </w:p>
        </w:tc>
      </w:tr>
      <w:tr w:rsidR="008B7B16" w:rsidRPr="00791654" w14:paraId="796CD75E" w14:textId="77777777" w:rsidTr="0042065D">
        <w:trPr>
          <w:tblCellSpacing w:w="15" w:type="dxa"/>
        </w:trPr>
        <w:tc>
          <w:tcPr>
            <w:tcW w:w="0" w:type="auto"/>
            <w:vAlign w:val="center"/>
            <w:hideMark/>
          </w:tcPr>
          <w:p w14:paraId="33240D35" w14:textId="77777777" w:rsidR="00FC3531"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w:t>
            </w:r>
          </w:p>
        </w:tc>
        <w:tc>
          <w:tcPr>
            <w:tcW w:w="0" w:type="auto"/>
            <w:vAlign w:val="center"/>
            <w:hideMark/>
          </w:tcPr>
          <w:p w14:paraId="091B86CB" w14:textId="77777777" w:rsidR="00FC3531"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600,000</w:t>
            </w:r>
          </w:p>
        </w:tc>
        <w:tc>
          <w:tcPr>
            <w:tcW w:w="0" w:type="auto"/>
            <w:vAlign w:val="center"/>
            <w:hideMark/>
          </w:tcPr>
          <w:p w14:paraId="000ED9BD" w14:textId="77777777" w:rsidR="00FC3531"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45,120</w:t>
            </w:r>
          </w:p>
        </w:tc>
        <w:tc>
          <w:tcPr>
            <w:tcW w:w="0" w:type="auto"/>
            <w:vAlign w:val="center"/>
            <w:hideMark/>
          </w:tcPr>
          <w:p w14:paraId="54C3DFC8" w14:textId="77777777" w:rsidR="00FC3531" w:rsidRPr="00791654" w:rsidRDefault="00FC3531" w:rsidP="00B51A41">
            <w:pPr>
              <w:spacing w:after="0" w:line="480" w:lineRule="auto"/>
              <w:rPr>
                <w:rFonts w:ascii="Times New Roman" w:eastAsia="Times New Roman" w:hAnsi="Times New Roman" w:cs="Times New Roman"/>
                <w:sz w:val="24"/>
                <w:szCs w:val="24"/>
              </w:rPr>
            </w:pPr>
          </w:p>
        </w:tc>
      </w:tr>
      <w:tr w:rsidR="008B7B16" w:rsidRPr="00791654" w14:paraId="5ADAD599" w14:textId="77777777" w:rsidTr="0042065D">
        <w:trPr>
          <w:tblCellSpacing w:w="15" w:type="dxa"/>
        </w:trPr>
        <w:tc>
          <w:tcPr>
            <w:tcW w:w="0" w:type="auto"/>
            <w:vAlign w:val="center"/>
            <w:hideMark/>
          </w:tcPr>
          <w:p w14:paraId="5F8F2536" w14:textId="77777777" w:rsidR="00FC3531"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B</w:t>
            </w:r>
          </w:p>
        </w:tc>
        <w:tc>
          <w:tcPr>
            <w:tcW w:w="0" w:type="auto"/>
            <w:vAlign w:val="center"/>
            <w:hideMark/>
          </w:tcPr>
          <w:p w14:paraId="11937065" w14:textId="77777777" w:rsidR="00FC3531"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1,000,000</w:t>
            </w:r>
          </w:p>
        </w:tc>
        <w:tc>
          <w:tcPr>
            <w:tcW w:w="0" w:type="auto"/>
            <w:vAlign w:val="center"/>
            <w:hideMark/>
          </w:tcPr>
          <w:p w14:paraId="604B9C1F" w14:textId="77777777" w:rsidR="00FC3531"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75,450</w:t>
            </w:r>
          </w:p>
        </w:tc>
        <w:tc>
          <w:tcPr>
            <w:tcW w:w="0" w:type="auto"/>
            <w:vAlign w:val="center"/>
            <w:hideMark/>
          </w:tcPr>
          <w:p w14:paraId="4FB12B66" w14:textId="77777777" w:rsidR="00FC3531" w:rsidRPr="00791654" w:rsidRDefault="00FC3531" w:rsidP="00B51A41">
            <w:pPr>
              <w:spacing w:after="0" w:line="480" w:lineRule="auto"/>
              <w:rPr>
                <w:rFonts w:ascii="Times New Roman" w:eastAsia="Times New Roman" w:hAnsi="Times New Roman" w:cs="Times New Roman"/>
                <w:sz w:val="24"/>
                <w:szCs w:val="24"/>
              </w:rPr>
            </w:pPr>
          </w:p>
        </w:tc>
      </w:tr>
      <w:tr w:rsidR="008B7B16" w:rsidRPr="00791654" w14:paraId="6FFA5E8D" w14:textId="77777777" w:rsidTr="0042065D">
        <w:trPr>
          <w:tblCellSpacing w:w="15" w:type="dxa"/>
        </w:trPr>
        <w:tc>
          <w:tcPr>
            <w:tcW w:w="0" w:type="auto"/>
            <w:vAlign w:val="center"/>
            <w:hideMark/>
          </w:tcPr>
          <w:p w14:paraId="18413DDA" w14:textId="77777777" w:rsidR="00FC3531"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C</w:t>
            </w:r>
          </w:p>
        </w:tc>
        <w:tc>
          <w:tcPr>
            <w:tcW w:w="0" w:type="auto"/>
            <w:vAlign w:val="center"/>
            <w:hideMark/>
          </w:tcPr>
          <w:p w14:paraId="19EEA3EC" w14:textId="77777777" w:rsidR="00FC3531"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1,600,000</w:t>
            </w:r>
          </w:p>
        </w:tc>
        <w:tc>
          <w:tcPr>
            <w:tcW w:w="0" w:type="auto"/>
            <w:vAlign w:val="center"/>
            <w:hideMark/>
          </w:tcPr>
          <w:p w14:paraId="73135266" w14:textId="77777777" w:rsidR="00FC3531"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130,780</w:t>
            </w:r>
          </w:p>
        </w:tc>
        <w:tc>
          <w:tcPr>
            <w:tcW w:w="0" w:type="auto"/>
            <w:vAlign w:val="center"/>
            <w:hideMark/>
          </w:tcPr>
          <w:p w14:paraId="474CFFB3" w14:textId="77777777" w:rsidR="00FC3531"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b/>
                <w:bCs/>
                <w:sz w:val="24"/>
                <w:szCs w:val="24"/>
              </w:rPr>
              <w:t>Recommended</w:t>
            </w:r>
          </w:p>
        </w:tc>
      </w:tr>
    </w:tbl>
    <w:p w14:paraId="730A2FF8" w14:textId="77777777" w:rsidR="00FC3531"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Project C has the largest NPV (£130,780), and this means that it has the highest likelihood to increase shareholder wealth as compared to the other alternatives. Project B also generates a positive NPV (£75,450) that is not only a viable financial project but has a lower addition value to its base project than project C. Project A, with an NPV of £45,120, is also acceptable but has the least addition value over its base project. The comparative analysis points out that Project C is the most appropriate option, as it gives both a high level of returns and the achievement of the strategic objectives of Westwood Plc, without taking a risk that is too high.</w:t>
      </w:r>
    </w:p>
    <w:p w14:paraId="68DF3AE5" w14:textId="77777777" w:rsidR="00FC3531"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r>
      <w:r w:rsidR="00452DD4" w:rsidRPr="00791654">
        <w:rPr>
          <w:rFonts w:ascii="Times New Roman" w:eastAsia="Times New Roman" w:hAnsi="Times New Roman" w:cs="Times New Roman"/>
          <w:sz w:val="24"/>
          <w:szCs w:val="24"/>
        </w:rPr>
        <w:t>NPV is a more definitive method of making the decision, as it takes into account the time value of money, and indicators of shareholder wealth creation are directly quantified.</w:t>
      </w:r>
      <w:r w:rsidR="001214AF" w:rsidRPr="00791654">
        <w:rPr>
          <w:rFonts w:ascii="Times New Roman" w:eastAsia="Times New Roman" w:hAnsi="Times New Roman" w:cs="Times New Roman"/>
          <w:sz w:val="24"/>
          <w:szCs w:val="24"/>
        </w:rPr>
        <w:t xml:space="preserve"> </w:t>
      </w:r>
      <w:r w:rsidRPr="00791654">
        <w:rPr>
          <w:rFonts w:ascii="Times New Roman" w:eastAsia="Times New Roman" w:hAnsi="Times New Roman" w:cs="Times New Roman"/>
          <w:sz w:val="24"/>
          <w:szCs w:val="24"/>
        </w:rPr>
        <w:t xml:space="preserve">This will guarantee that the management is able to make investments that will not only cover the capital but will produce maximum Value throughout the project life (Brealey et al., 2020; Palepu et al., </w:t>
      </w:r>
      <w:r w:rsidRPr="00791654">
        <w:rPr>
          <w:rFonts w:ascii="Times New Roman" w:eastAsia="Times New Roman" w:hAnsi="Times New Roman" w:cs="Times New Roman"/>
          <w:sz w:val="24"/>
          <w:szCs w:val="24"/>
        </w:rPr>
        <w:lastRenderedPageBreak/>
        <w:t>2021). When resources are allocated strategically, Westwood Plc can achieve high long-term profits and returns to the shareholders by prioritizing projects with higher NPV.</w:t>
      </w:r>
    </w:p>
    <w:p w14:paraId="56E3627E" w14:textId="77777777" w:rsidR="00FC3531" w:rsidRPr="00791654" w:rsidRDefault="0063748C" w:rsidP="00B51A41">
      <w:pPr>
        <w:pStyle w:val="Heading2"/>
        <w:spacing w:before="0" w:beforeAutospacing="0" w:after="0" w:afterAutospacing="0" w:line="480" w:lineRule="auto"/>
        <w:rPr>
          <w:sz w:val="24"/>
          <w:szCs w:val="24"/>
        </w:rPr>
      </w:pPr>
      <w:bookmarkStart w:id="17" w:name="_Toc217852631"/>
      <w:r w:rsidRPr="00791654">
        <w:rPr>
          <w:sz w:val="24"/>
          <w:szCs w:val="24"/>
        </w:rPr>
        <w:t>5. Calculation of Internal Rate of Return (IRR).</w:t>
      </w:r>
      <w:bookmarkEnd w:id="17"/>
    </w:p>
    <w:p w14:paraId="6C466CEA" w14:textId="77777777" w:rsidR="00FC3531"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A popular investment appraisal measure that is used to supplement Net Present Value (NPV) is the Internal Rate of Return (IRR), which shows the discount rate at which the NPV of a project is equal to zero. Differently put, IRR is the effective annual payment of project cash flows</w:t>
      </w:r>
      <w:r w:rsidR="006364E8" w:rsidRPr="00791654">
        <w:rPr>
          <w:rFonts w:ascii="Times New Roman" w:eastAsia="Times New Roman" w:hAnsi="Times New Roman" w:cs="Times New Roman"/>
          <w:sz w:val="24"/>
          <w:szCs w:val="24"/>
        </w:rPr>
        <w:t xml:space="preserve"> (Atrill &amp; McLaney, 2023)</w:t>
      </w:r>
      <w:r w:rsidRPr="00791654">
        <w:rPr>
          <w:rFonts w:ascii="Times New Roman" w:eastAsia="Times New Roman" w:hAnsi="Times New Roman" w:cs="Times New Roman"/>
          <w:sz w:val="24"/>
          <w:szCs w:val="24"/>
        </w:rPr>
        <w:t>. It allows the management to evaluate whether the anticipated returns are within and above the required rate of return of the company, and will allow a direct comparison with the cost of capital and other opportunities available to the company (Atrill &amp; McLaney, 2023).</w:t>
      </w:r>
    </w:p>
    <w:p w14:paraId="64CD317C" w14:textId="77777777" w:rsidR="00292B03" w:rsidRPr="00791654" w:rsidRDefault="0063748C" w:rsidP="00801E3C">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r>
      <w:r w:rsidR="001E6C98" w:rsidRPr="00791654">
        <w:rPr>
          <w:rFonts w:ascii="Times New Roman" w:eastAsia="Times New Roman" w:hAnsi="Times New Roman" w:cs="Times New Roman"/>
          <w:sz w:val="24"/>
          <w:szCs w:val="24"/>
        </w:rPr>
        <w:t xml:space="preserve">In Project C, we have used the interpolation method between two discount rates to approximate IRR. The NPV of the project at a 6 per cent discount rate stands at 130,780 pounds, and at 12 per cent, it stands at 28,450 pounds. </w:t>
      </w:r>
      <w:r w:rsidR="000D5834" w:rsidRPr="00791654">
        <w:rPr>
          <w:rFonts w:ascii="Times New Roman" w:eastAsia="Times New Roman" w:hAnsi="Times New Roman" w:cs="Times New Roman"/>
          <w:sz w:val="24"/>
          <w:szCs w:val="24"/>
        </w:rPr>
        <w:t>The Internal Rate of Return (IRR) was estimated using linear interpolation between two discount rates at which the project’s NPV changes.</w:t>
      </w:r>
    </w:p>
    <w:p w14:paraId="2EF05237" w14:textId="77777777" w:rsidR="00292B03"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Whereby</w:t>
      </w:r>
      <w:r w:rsidR="00803AB3" w:rsidRPr="00791654">
        <w:rPr>
          <w:rFonts w:ascii="Times New Roman" w:eastAsia="Times New Roman" w:hAnsi="Times New Roman" w:cs="Times New Roman"/>
          <w:sz w:val="24"/>
          <w:szCs w:val="24"/>
        </w:rPr>
        <w:t>;</w:t>
      </w:r>
    </w:p>
    <w:p w14:paraId="548EDE99" w14:textId="77777777" w:rsidR="00292B03"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IRR = 6 + (130,780 ÷ (130,780 − 28,450)) × (12 − 6) =11.0%</w:t>
      </w:r>
    </w:p>
    <w:p w14:paraId="07FE6C87" w14:textId="77777777" w:rsidR="00952B37"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 xml:space="preserve">The cost of capital in Westwood Plc is 6%, which is lower than the IRR of about 11%, which proves Project C to be a viable project. The returns that the project is likely to bring will be higher than the minimum required threshold, which supports the NPV-based investment decision. </w:t>
      </w:r>
      <w:r w:rsidR="00CA579B" w:rsidRPr="00791654">
        <w:rPr>
          <w:rFonts w:ascii="Times New Roman" w:eastAsia="Times New Roman" w:hAnsi="Times New Roman" w:cs="Times New Roman"/>
          <w:sz w:val="24"/>
          <w:szCs w:val="24"/>
        </w:rPr>
        <w:t>IRR is an addition to NPV, as the percentage rate of return it offers is easy to compare to the cost of capital of the business</w:t>
      </w:r>
      <w:r w:rsidRPr="00791654">
        <w:rPr>
          <w:rFonts w:ascii="Times New Roman" w:eastAsia="Times New Roman" w:hAnsi="Times New Roman" w:cs="Times New Roman"/>
          <w:sz w:val="24"/>
          <w:szCs w:val="24"/>
        </w:rPr>
        <w:t xml:space="preserve"> (Brealey et al., 2020; Atrill &amp; McLaney, 2023).</w:t>
      </w:r>
      <w:r w:rsidRPr="00791654">
        <w:rPr>
          <w:rFonts w:ascii="Times New Roman" w:hAnsi="Times New Roman" w:cs="Times New Roman"/>
          <w:sz w:val="24"/>
          <w:szCs w:val="24"/>
        </w:rPr>
        <w:t xml:space="preserve"> </w:t>
      </w:r>
    </w:p>
    <w:p w14:paraId="46961B75" w14:textId="77777777" w:rsidR="00292B03"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hAnsi="Times New Roman" w:cs="Times New Roman"/>
          <w:sz w:val="24"/>
          <w:szCs w:val="24"/>
        </w:rPr>
        <w:tab/>
      </w:r>
      <w:r w:rsidRPr="00791654">
        <w:rPr>
          <w:rFonts w:ascii="Times New Roman" w:eastAsia="Times New Roman" w:hAnsi="Times New Roman" w:cs="Times New Roman"/>
          <w:sz w:val="24"/>
          <w:szCs w:val="24"/>
        </w:rPr>
        <w:t xml:space="preserve">Nevertheless, non-discounting techniques like the Payback Period are commonly used in practice because of their simplicity and liquidity focus. The Payback is often important to </w:t>
      </w:r>
      <w:r w:rsidRPr="00791654">
        <w:rPr>
          <w:rFonts w:ascii="Times New Roman" w:eastAsia="Times New Roman" w:hAnsi="Times New Roman" w:cs="Times New Roman"/>
          <w:sz w:val="24"/>
          <w:szCs w:val="24"/>
        </w:rPr>
        <w:lastRenderedPageBreak/>
        <w:t>managers as it puts emphasis on how soon an investment is recovered, and it is especially important in a volatile environment. However, due to paying no regard to the time value of money and post-payback cash flows, Payback must not be applied as a primary decision-making instrument (Atrill &amp; McLaney, 2023).</w:t>
      </w:r>
    </w:p>
    <w:p w14:paraId="07A83BFD" w14:textId="77777777" w:rsidR="00292B03" w:rsidRPr="00791654" w:rsidRDefault="0063748C" w:rsidP="00B51A41">
      <w:pPr>
        <w:pStyle w:val="Heading2"/>
        <w:spacing w:before="0" w:beforeAutospacing="0" w:after="0" w:afterAutospacing="0" w:line="480" w:lineRule="auto"/>
        <w:rPr>
          <w:sz w:val="24"/>
          <w:szCs w:val="24"/>
        </w:rPr>
      </w:pPr>
      <w:bookmarkStart w:id="18" w:name="_Toc217852632"/>
      <w:r w:rsidRPr="00791654">
        <w:rPr>
          <w:sz w:val="24"/>
          <w:szCs w:val="24"/>
        </w:rPr>
        <w:t>6. Payback Period</w:t>
      </w:r>
      <w:bookmarkEnd w:id="18"/>
    </w:p>
    <w:p w14:paraId="5C11FC46" w14:textId="77777777" w:rsidR="00292B03"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The Payback Period computes the number of years to recover the investment amount between cumulative after-tax cash flows. Even though it does not calculate the time value of money, it gives valuable liquidity and investment risk insights (Atrill &amp; McLaney, 2023).</w:t>
      </w:r>
    </w:p>
    <w:p w14:paraId="3907FF71" w14:textId="77777777" w:rsidR="00AC7202" w:rsidRPr="00791654" w:rsidRDefault="0063748C" w:rsidP="00B51A41">
      <w:pPr>
        <w:pStyle w:val="Heading5"/>
        <w:spacing w:before="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Table 3 – Payback Period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2"/>
        <w:gridCol w:w="2535"/>
      </w:tblGrid>
      <w:tr w:rsidR="008B7B16" w:rsidRPr="00791654" w14:paraId="02D76032" w14:textId="77777777" w:rsidTr="0042065D">
        <w:trPr>
          <w:tblHeader/>
          <w:tblCellSpacing w:w="15" w:type="dxa"/>
        </w:trPr>
        <w:tc>
          <w:tcPr>
            <w:tcW w:w="0" w:type="auto"/>
            <w:vAlign w:val="center"/>
            <w:hideMark/>
          </w:tcPr>
          <w:p w14:paraId="02DF6F1E" w14:textId="77777777" w:rsidR="00AC7202"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Project</w:t>
            </w:r>
          </w:p>
        </w:tc>
        <w:tc>
          <w:tcPr>
            <w:tcW w:w="0" w:type="auto"/>
            <w:vAlign w:val="center"/>
            <w:hideMark/>
          </w:tcPr>
          <w:p w14:paraId="50B675F0" w14:textId="77777777" w:rsidR="00AC7202"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Payback Period (Years)</w:t>
            </w:r>
          </w:p>
        </w:tc>
      </w:tr>
      <w:tr w:rsidR="008B7B16" w:rsidRPr="00791654" w14:paraId="3A04977F" w14:textId="77777777" w:rsidTr="0042065D">
        <w:trPr>
          <w:tblCellSpacing w:w="15" w:type="dxa"/>
        </w:trPr>
        <w:tc>
          <w:tcPr>
            <w:tcW w:w="0" w:type="auto"/>
            <w:vAlign w:val="center"/>
            <w:hideMark/>
          </w:tcPr>
          <w:p w14:paraId="1B9206C7"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w:t>
            </w:r>
          </w:p>
        </w:tc>
        <w:tc>
          <w:tcPr>
            <w:tcW w:w="0" w:type="auto"/>
            <w:vAlign w:val="center"/>
            <w:hideMark/>
          </w:tcPr>
          <w:p w14:paraId="4C1AC501"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3.8</w:t>
            </w:r>
          </w:p>
        </w:tc>
      </w:tr>
      <w:tr w:rsidR="008B7B16" w:rsidRPr="00791654" w14:paraId="3C9B02A6" w14:textId="77777777" w:rsidTr="0042065D">
        <w:trPr>
          <w:tblCellSpacing w:w="15" w:type="dxa"/>
        </w:trPr>
        <w:tc>
          <w:tcPr>
            <w:tcW w:w="0" w:type="auto"/>
            <w:vAlign w:val="center"/>
            <w:hideMark/>
          </w:tcPr>
          <w:p w14:paraId="5D34BEB3"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B</w:t>
            </w:r>
          </w:p>
        </w:tc>
        <w:tc>
          <w:tcPr>
            <w:tcW w:w="0" w:type="auto"/>
            <w:vAlign w:val="center"/>
            <w:hideMark/>
          </w:tcPr>
          <w:p w14:paraId="4B84B184"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4.2</w:t>
            </w:r>
          </w:p>
        </w:tc>
      </w:tr>
      <w:tr w:rsidR="008B7B16" w:rsidRPr="00791654" w14:paraId="4F12834C" w14:textId="77777777" w:rsidTr="0042065D">
        <w:trPr>
          <w:tblCellSpacing w:w="15" w:type="dxa"/>
        </w:trPr>
        <w:tc>
          <w:tcPr>
            <w:tcW w:w="0" w:type="auto"/>
            <w:vAlign w:val="center"/>
            <w:hideMark/>
          </w:tcPr>
          <w:p w14:paraId="21C17126"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C</w:t>
            </w:r>
          </w:p>
        </w:tc>
        <w:tc>
          <w:tcPr>
            <w:tcW w:w="0" w:type="auto"/>
            <w:vAlign w:val="center"/>
            <w:hideMark/>
          </w:tcPr>
          <w:p w14:paraId="151E864A"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4.1</w:t>
            </w:r>
          </w:p>
        </w:tc>
      </w:tr>
    </w:tbl>
    <w:p w14:paraId="1443E037"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 xml:space="preserve">Project A has the least liquidity risk, as it has a lower initial investment, which indicates that it recovers its Investment in the shortest time. Project C will present a more extended period of Payback (4.1 years) but will offer much higher NPV and IRR. The payback period of 4.2 years of project B indicates the presence of moderate risk when it comes to returns. All in all, the Payback Period gives additional information on liquidity. </w:t>
      </w:r>
      <w:r w:rsidR="009F6113" w:rsidRPr="00791654">
        <w:rPr>
          <w:rFonts w:ascii="Times New Roman" w:eastAsia="Times New Roman" w:hAnsi="Times New Roman" w:cs="Times New Roman"/>
          <w:sz w:val="24"/>
          <w:szCs w:val="24"/>
        </w:rPr>
        <w:t>Nevertheless, it must not be taken as the exclusive decision criterion because it omits post-payback cash flows, as w</w:t>
      </w:r>
      <w:r w:rsidR="002C5A21" w:rsidRPr="00791654">
        <w:rPr>
          <w:rFonts w:ascii="Times New Roman" w:eastAsia="Times New Roman" w:hAnsi="Times New Roman" w:cs="Times New Roman"/>
          <w:sz w:val="24"/>
          <w:szCs w:val="24"/>
        </w:rPr>
        <w:t>ell as the time value of money.</w:t>
      </w:r>
    </w:p>
    <w:p w14:paraId="0AFD5D26" w14:textId="77777777" w:rsidR="00AC7202" w:rsidRPr="00791654" w:rsidRDefault="0063748C" w:rsidP="00B51A41">
      <w:pPr>
        <w:pStyle w:val="Heading2"/>
        <w:spacing w:before="0" w:beforeAutospacing="0" w:after="0" w:afterAutospacing="0" w:line="480" w:lineRule="auto"/>
        <w:rPr>
          <w:sz w:val="24"/>
          <w:szCs w:val="24"/>
        </w:rPr>
      </w:pPr>
      <w:bookmarkStart w:id="19" w:name="_Toc217852633"/>
      <w:r w:rsidRPr="00791654">
        <w:rPr>
          <w:sz w:val="24"/>
          <w:szCs w:val="24"/>
        </w:rPr>
        <w:t>7. Capital Rationing</w:t>
      </w:r>
      <w:bookmarkEnd w:id="19"/>
      <w:r w:rsidRPr="00791654">
        <w:rPr>
          <w:sz w:val="24"/>
          <w:szCs w:val="24"/>
        </w:rPr>
        <w:t xml:space="preserve"> </w:t>
      </w:r>
    </w:p>
    <w:p w14:paraId="34EB3300"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 xml:space="preserve">Capital rationing is where the amount of money available to a company to invest is low. Therefore, the management of that company has to prioritize its projects to maximize the overall </w:t>
      </w:r>
      <w:r w:rsidRPr="00791654">
        <w:rPr>
          <w:rFonts w:ascii="Times New Roman" w:eastAsia="Times New Roman" w:hAnsi="Times New Roman" w:cs="Times New Roman"/>
          <w:sz w:val="24"/>
          <w:szCs w:val="24"/>
        </w:rPr>
        <w:lastRenderedPageBreak/>
        <w:t>Value. In the above case, Westwood Plc will have an investment of</w:t>
      </w:r>
      <w:r w:rsidR="00535C14" w:rsidRPr="00791654">
        <w:rPr>
          <w:rFonts w:ascii="Times New Roman" w:eastAsia="Times New Roman" w:hAnsi="Times New Roman" w:cs="Times New Roman"/>
          <w:sz w:val="24"/>
          <w:szCs w:val="24"/>
        </w:rPr>
        <w:t xml:space="preserve"> £ 2,500,000 in three projects (Ross et al., 2024). </w:t>
      </w:r>
      <w:r w:rsidRPr="00791654">
        <w:rPr>
          <w:rFonts w:ascii="Times New Roman" w:eastAsia="Times New Roman" w:hAnsi="Times New Roman" w:cs="Times New Roman"/>
          <w:sz w:val="24"/>
          <w:szCs w:val="24"/>
        </w:rPr>
        <w:t>In order to have an effective allocation, each project is computed to obtain a Profitability Index (PI), which is expressed as the net present Value (NPV) of the Investment per unit of Investment. The formula is:</w:t>
      </w:r>
    </w:p>
    <w:p w14:paraId="3E1069AE"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PI = NPV ÷ Investment</w:t>
      </w:r>
    </w:p>
    <w:p w14:paraId="16B31A85" w14:textId="77777777" w:rsidR="00AC7202" w:rsidRPr="00791654" w:rsidRDefault="0063748C" w:rsidP="00B51A41">
      <w:pPr>
        <w:pStyle w:val="Heading5"/>
        <w:spacing w:before="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Table 4: Capital Rationing Allocation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2"/>
        <w:gridCol w:w="1567"/>
        <w:gridCol w:w="914"/>
        <w:gridCol w:w="620"/>
        <w:gridCol w:w="2109"/>
      </w:tblGrid>
      <w:tr w:rsidR="008B7B16" w:rsidRPr="00791654" w14:paraId="797CCD5F" w14:textId="77777777" w:rsidTr="0042065D">
        <w:trPr>
          <w:tblHeader/>
          <w:tblCellSpacing w:w="15" w:type="dxa"/>
        </w:trPr>
        <w:tc>
          <w:tcPr>
            <w:tcW w:w="0" w:type="auto"/>
            <w:vAlign w:val="center"/>
            <w:hideMark/>
          </w:tcPr>
          <w:p w14:paraId="700D1FC7" w14:textId="77777777" w:rsidR="00AC7202"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Project</w:t>
            </w:r>
          </w:p>
        </w:tc>
        <w:tc>
          <w:tcPr>
            <w:tcW w:w="0" w:type="auto"/>
            <w:vAlign w:val="center"/>
            <w:hideMark/>
          </w:tcPr>
          <w:p w14:paraId="42890FBA" w14:textId="77777777" w:rsidR="00AC7202"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Investment (£)</w:t>
            </w:r>
          </w:p>
        </w:tc>
        <w:tc>
          <w:tcPr>
            <w:tcW w:w="0" w:type="auto"/>
            <w:vAlign w:val="center"/>
            <w:hideMark/>
          </w:tcPr>
          <w:p w14:paraId="1F2D24EB" w14:textId="77777777" w:rsidR="00AC7202"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NPV (£)</w:t>
            </w:r>
          </w:p>
        </w:tc>
        <w:tc>
          <w:tcPr>
            <w:tcW w:w="0" w:type="auto"/>
            <w:vAlign w:val="center"/>
            <w:hideMark/>
          </w:tcPr>
          <w:p w14:paraId="21EE16C0" w14:textId="77777777" w:rsidR="00AC7202"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PI</w:t>
            </w:r>
          </w:p>
        </w:tc>
        <w:tc>
          <w:tcPr>
            <w:tcW w:w="0" w:type="auto"/>
            <w:vAlign w:val="center"/>
            <w:hideMark/>
          </w:tcPr>
          <w:p w14:paraId="45EB9340" w14:textId="77777777" w:rsidR="00AC7202" w:rsidRPr="00791654" w:rsidRDefault="0063748C" w:rsidP="00B51A41">
            <w:pPr>
              <w:spacing w:after="0" w:line="48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Allocated Funds (£)</w:t>
            </w:r>
          </w:p>
        </w:tc>
      </w:tr>
      <w:tr w:rsidR="008B7B16" w:rsidRPr="00791654" w14:paraId="332027B5" w14:textId="77777777" w:rsidTr="0042065D">
        <w:trPr>
          <w:tblCellSpacing w:w="15" w:type="dxa"/>
        </w:trPr>
        <w:tc>
          <w:tcPr>
            <w:tcW w:w="0" w:type="auto"/>
            <w:vAlign w:val="center"/>
            <w:hideMark/>
          </w:tcPr>
          <w:p w14:paraId="43DFAE85"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C</w:t>
            </w:r>
          </w:p>
        </w:tc>
        <w:tc>
          <w:tcPr>
            <w:tcW w:w="0" w:type="auto"/>
            <w:vAlign w:val="center"/>
            <w:hideMark/>
          </w:tcPr>
          <w:p w14:paraId="77370BA4"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1,600,000</w:t>
            </w:r>
          </w:p>
        </w:tc>
        <w:tc>
          <w:tcPr>
            <w:tcW w:w="0" w:type="auto"/>
            <w:vAlign w:val="center"/>
            <w:hideMark/>
          </w:tcPr>
          <w:p w14:paraId="15C67EED"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130,780</w:t>
            </w:r>
          </w:p>
        </w:tc>
        <w:tc>
          <w:tcPr>
            <w:tcW w:w="0" w:type="auto"/>
            <w:vAlign w:val="center"/>
            <w:hideMark/>
          </w:tcPr>
          <w:p w14:paraId="7B0016BF"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0.082</w:t>
            </w:r>
          </w:p>
        </w:tc>
        <w:tc>
          <w:tcPr>
            <w:tcW w:w="0" w:type="auto"/>
            <w:vAlign w:val="center"/>
            <w:hideMark/>
          </w:tcPr>
          <w:p w14:paraId="4D75969F"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1,600,000</w:t>
            </w:r>
          </w:p>
        </w:tc>
      </w:tr>
      <w:tr w:rsidR="008B7B16" w:rsidRPr="00791654" w14:paraId="2F7BB275" w14:textId="77777777" w:rsidTr="0042065D">
        <w:trPr>
          <w:tblCellSpacing w:w="15" w:type="dxa"/>
        </w:trPr>
        <w:tc>
          <w:tcPr>
            <w:tcW w:w="0" w:type="auto"/>
            <w:vAlign w:val="center"/>
            <w:hideMark/>
          </w:tcPr>
          <w:p w14:paraId="73A00B57"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B</w:t>
            </w:r>
          </w:p>
        </w:tc>
        <w:tc>
          <w:tcPr>
            <w:tcW w:w="0" w:type="auto"/>
            <w:vAlign w:val="center"/>
            <w:hideMark/>
          </w:tcPr>
          <w:p w14:paraId="5DDFF879"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1,000,000</w:t>
            </w:r>
          </w:p>
        </w:tc>
        <w:tc>
          <w:tcPr>
            <w:tcW w:w="0" w:type="auto"/>
            <w:vAlign w:val="center"/>
            <w:hideMark/>
          </w:tcPr>
          <w:p w14:paraId="744C1B23"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75,450</w:t>
            </w:r>
          </w:p>
        </w:tc>
        <w:tc>
          <w:tcPr>
            <w:tcW w:w="0" w:type="auto"/>
            <w:vAlign w:val="center"/>
            <w:hideMark/>
          </w:tcPr>
          <w:p w14:paraId="26B9FE1C"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0.075</w:t>
            </w:r>
          </w:p>
        </w:tc>
        <w:tc>
          <w:tcPr>
            <w:tcW w:w="0" w:type="auto"/>
            <w:vAlign w:val="center"/>
            <w:hideMark/>
          </w:tcPr>
          <w:p w14:paraId="48563D55"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900,000</w:t>
            </w:r>
          </w:p>
        </w:tc>
      </w:tr>
      <w:tr w:rsidR="008B7B16" w:rsidRPr="00791654" w14:paraId="7BED65DF" w14:textId="77777777" w:rsidTr="0042065D">
        <w:trPr>
          <w:tblCellSpacing w:w="15" w:type="dxa"/>
        </w:trPr>
        <w:tc>
          <w:tcPr>
            <w:tcW w:w="0" w:type="auto"/>
            <w:vAlign w:val="center"/>
            <w:hideMark/>
          </w:tcPr>
          <w:p w14:paraId="3779FE68"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w:t>
            </w:r>
          </w:p>
        </w:tc>
        <w:tc>
          <w:tcPr>
            <w:tcW w:w="0" w:type="auto"/>
            <w:vAlign w:val="center"/>
            <w:hideMark/>
          </w:tcPr>
          <w:p w14:paraId="5E21B5B2"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600,000</w:t>
            </w:r>
          </w:p>
        </w:tc>
        <w:tc>
          <w:tcPr>
            <w:tcW w:w="0" w:type="auto"/>
            <w:vAlign w:val="center"/>
            <w:hideMark/>
          </w:tcPr>
          <w:p w14:paraId="4E44464E"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45,120</w:t>
            </w:r>
          </w:p>
        </w:tc>
        <w:tc>
          <w:tcPr>
            <w:tcW w:w="0" w:type="auto"/>
            <w:vAlign w:val="center"/>
            <w:hideMark/>
          </w:tcPr>
          <w:p w14:paraId="2C49F39B"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0.075</w:t>
            </w:r>
          </w:p>
        </w:tc>
        <w:tc>
          <w:tcPr>
            <w:tcW w:w="0" w:type="auto"/>
            <w:vAlign w:val="center"/>
            <w:hideMark/>
          </w:tcPr>
          <w:p w14:paraId="2C134FE9"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0</w:t>
            </w:r>
          </w:p>
        </w:tc>
      </w:tr>
    </w:tbl>
    <w:p w14:paraId="5D6A201C" w14:textId="77777777" w:rsidR="00801E3C"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r>
    </w:p>
    <w:p w14:paraId="4B5EB500"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 xml:space="preserve">Partial funding assumes that project cash flows are proportionate to the level of Investment. </w:t>
      </w:r>
      <w:r w:rsidR="00803AB3" w:rsidRPr="00791654">
        <w:rPr>
          <w:rFonts w:ascii="Times New Roman" w:eastAsia="Times New Roman" w:hAnsi="Times New Roman" w:cs="Times New Roman"/>
          <w:sz w:val="24"/>
          <w:szCs w:val="24"/>
        </w:rPr>
        <w:t xml:space="preserve">Allocation of funds is made to begin with the project which shows the best PI, which is the most effective use of the capital. Project C is fully funded since it offers the highest NPV/ pound invested. Project B has been partially financed </w:t>
      </w:r>
      <w:r w:rsidR="00B762C8" w:rsidRPr="00791654">
        <w:rPr>
          <w:rFonts w:ascii="Times New Roman" w:eastAsia="Times New Roman" w:hAnsi="Times New Roman" w:cs="Times New Roman"/>
          <w:sz w:val="24"/>
          <w:szCs w:val="24"/>
        </w:rPr>
        <w:t>(£900000)</w:t>
      </w:r>
      <w:r w:rsidR="00803AB3" w:rsidRPr="00791654">
        <w:rPr>
          <w:rFonts w:ascii="Times New Roman" w:eastAsia="Times New Roman" w:hAnsi="Times New Roman" w:cs="Times New Roman"/>
          <w:sz w:val="24"/>
          <w:szCs w:val="24"/>
        </w:rPr>
        <w:t xml:space="preserve"> in order to remain within the overall budget constraint of 2500000. Project A is not funded as it has a low relative return.</w:t>
      </w:r>
    </w:p>
    <w:p w14:paraId="0B52B13F" w14:textId="77777777" w:rsidR="00AC7202"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 xml:space="preserve">Capital rationing gives the management a systematic guide to undertake investment decisions on a strategic basis, considering both financial and corporate objectives. PI, combined with NPV and IRR, can help Westwood Plc to manage the limited capital and focus on high-value opportunities and stay aligned with the vision of </w:t>
      </w:r>
      <w:r w:rsidR="00895AEE" w:rsidRPr="00791654">
        <w:rPr>
          <w:rFonts w:ascii="Times New Roman" w:eastAsia="Times New Roman" w:hAnsi="Times New Roman" w:cs="Times New Roman"/>
          <w:sz w:val="24"/>
          <w:szCs w:val="24"/>
        </w:rPr>
        <w:t>maximizing</w:t>
      </w:r>
      <w:r w:rsidRPr="00791654">
        <w:rPr>
          <w:rFonts w:ascii="Times New Roman" w:eastAsia="Times New Roman" w:hAnsi="Times New Roman" w:cs="Times New Roman"/>
          <w:sz w:val="24"/>
          <w:szCs w:val="24"/>
        </w:rPr>
        <w:t xml:space="preserve"> shareholder wealth over the long term (Brealey et al., 2020; Atrill &amp; McLaney, 2023).</w:t>
      </w:r>
    </w:p>
    <w:p w14:paraId="04D44F88" w14:textId="77777777" w:rsidR="003B0AAD" w:rsidRDefault="003B0AAD" w:rsidP="00B51A41">
      <w:pPr>
        <w:spacing w:after="0" w:line="480" w:lineRule="auto"/>
        <w:rPr>
          <w:rFonts w:ascii="Times New Roman" w:eastAsia="Times New Roman" w:hAnsi="Times New Roman" w:cs="Times New Roman"/>
          <w:sz w:val="24"/>
          <w:szCs w:val="24"/>
        </w:rPr>
      </w:pPr>
    </w:p>
    <w:p w14:paraId="5B18A4C9" w14:textId="77777777" w:rsidR="003B0AAD" w:rsidRPr="00791654" w:rsidRDefault="003B0AAD" w:rsidP="00B51A41">
      <w:pPr>
        <w:spacing w:after="0" w:line="480" w:lineRule="auto"/>
        <w:rPr>
          <w:rFonts w:ascii="Times New Roman" w:eastAsia="Times New Roman" w:hAnsi="Times New Roman" w:cs="Times New Roman"/>
          <w:sz w:val="24"/>
          <w:szCs w:val="24"/>
        </w:rPr>
      </w:pPr>
    </w:p>
    <w:p w14:paraId="7E66751B" w14:textId="77777777" w:rsidR="00AC7202" w:rsidRPr="00791654" w:rsidRDefault="0063748C" w:rsidP="00B51A41">
      <w:pPr>
        <w:pStyle w:val="Heading2"/>
        <w:spacing w:before="0" w:beforeAutospacing="0" w:after="0" w:afterAutospacing="0" w:line="480" w:lineRule="auto"/>
        <w:rPr>
          <w:sz w:val="24"/>
          <w:szCs w:val="24"/>
        </w:rPr>
      </w:pPr>
      <w:bookmarkStart w:id="20" w:name="_Toc217852634"/>
      <w:r w:rsidRPr="00791654">
        <w:rPr>
          <w:sz w:val="24"/>
          <w:szCs w:val="24"/>
        </w:rPr>
        <w:lastRenderedPageBreak/>
        <w:t>8. Management Implications and Strategic Implications.</w:t>
      </w:r>
      <w:bookmarkEnd w:id="20"/>
      <w:r w:rsidRPr="00791654">
        <w:rPr>
          <w:sz w:val="24"/>
          <w:szCs w:val="24"/>
        </w:rPr>
        <w:t xml:space="preserve"> </w:t>
      </w:r>
    </w:p>
    <w:p w14:paraId="3BA787FE"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The outcome of the investment appraisal is very informative to the management in Westwood Plc about the quantitative and qualitative factors in project evaluation. The most desirable evaluation criterion is Net Present Value (NPV), as it is an evaluation criterion that takes into account all the predicted cash flows throughout the life of the project, and the time value of money, and directly relates to the increase of shareholder wealth. Positive NPVs show that a project will produce returns more than the cost of capital and thus add to long-term corporate Value (Brealey et al., 2020).</w:t>
      </w:r>
    </w:p>
    <w:p w14:paraId="2518E66E"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t xml:space="preserve">Internal rate of return (IRR) also supplements NPV, in that it gives a more intuitive understanding of the </w:t>
      </w:r>
      <w:r w:rsidR="00895AEE" w:rsidRPr="00791654">
        <w:rPr>
          <w:rFonts w:ascii="Times New Roman" w:eastAsia="Times New Roman" w:hAnsi="Times New Roman" w:cs="Times New Roman"/>
          <w:sz w:val="24"/>
          <w:szCs w:val="24"/>
        </w:rPr>
        <w:t>annualized</w:t>
      </w:r>
      <w:r w:rsidRPr="00791654">
        <w:rPr>
          <w:rFonts w:ascii="Times New Roman" w:eastAsia="Times New Roman" w:hAnsi="Times New Roman" w:cs="Times New Roman"/>
          <w:sz w:val="24"/>
          <w:szCs w:val="24"/>
        </w:rPr>
        <w:t xml:space="preserve"> rate of returns on the project, which is used to compare with the desired rate of the company. In Project C, the IRR of about 11% is higher than the cost of capital of 6%, and this justifies the decision that is based on NPV</w:t>
      </w:r>
      <w:r w:rsidR="00AB3584" w:rsidRPr="00791654">
        <w:rPr>
          <w:rFonts w:ascii="Times New Roman" w:eastAsia="Times New Roman" w:hAnsi="Times New Roman" w:cs="Times New Roman"/>
          <w:sz w:val="24"/>
          <w:szCs w:val="24"/>
        </w:rPr>
        <w:t xml:space="preserve">. </w:t>
      </w:r>
      <w:r w:rsidRPr="00791654">
        <w:rPr>
          <w:rFonts w:ascii="Times New Roman" w:eastAsia="Times New Roman" w:hAnsi="Times New Roman" w:cs="Times New Roman"/>
          <w:sz w:val="24"/>
          <w:szCs w:val="24"/>
        </w:rPr>
        <w:t>Even though Payback does not take into account the time value of money, it can still be used to help evaluate the short-term cash flow requirements (Atrill &amp; McLaney, 2023).</w:t>
      </w:r>
    </w:p>
    <w:p w14:paraId="474CC48E" w14:textId="77777777" w:rsidR="00AC7202"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r>
      <w:r w:rsidR="002C5A21" w:rsidRPr="00791654">
        <w:rPr>
          <w:rFonts w:ascii="Times New Roman" w:eastAsia="Times New Roman" w:hAnsi="Times New Roman" w:cs="Times New Roman"/>
          <w:sz w:val="24"/>
          <w:szCs w:val="24"/>
        </w:rPr>
        <w:t>In addition to the quantitative outcomes, Project C closely matches the strategic goals of Westwood Plc, its ability to operate, and its target markets.</w:t>
      </w:r>
      <w:r w:rsidR="00C80DC6" w:rsidRPr="00791654">
        <w:rPr>
          <w:rFonts w:ascii="Times New Roman" w:eastAsia="Times New Roman" w:hAnsi="Times New Roman" w:cs="Times New Roman"/>
          <w:sz w:val="24"/>
          <w:szCs w:val="24"/>
        </w:rPr>
        <w:t xml:space="preserve"> </w:t>
      </w:r>
      <w:r w:rsidRPr="00791654">
        <w:rPr>
          <w:rFonts w:ascii="Times New Roman" w:eastAsia="Times New Roman" w:hAnsi="Times New Roman" w:cs="Times New Roman"/>
          <w:sz w:val="24"/>
          <w:szCs w:val="24"/>
        </w:rPr>
        <w:t xml:space="preserve">Regarding the funding aspect, the appraisal indicates that retained earnings should be the core source of financing to eliminate the interest payable and maintain the corporate ownership. The supplementary low-cost debt can address the problem of liquidity. In contrast, the issuance of equity is not that </w:t>
      </w:r>
      <w:proofErr w:type="spellStart"/>
      <w:r w:rsidR="00895AEE" w:rsidRPr="00791654">
        <w:rPr>
          <w:rFonts w:ascii="Times New Roman" w:eastAsia="Times New Roman" w:hAnsi="Times New Roman" w:cs="Times New Roman"/>
          <w:sz w:val="24"/>
          <w:szCs w:val="24"/>
        </w:rPr>
        <w:t>favourable</w:t>
      </w:r>
      <w:proofErr w:type="spellEnd"/>
      <w:r w:rsidRPr="00791654">
        <w:rPr>
          <w:rFonts w:ascii="Times New Roman" w:eastAsia="Times New Roman" w:hAnsi="Times New Roman" w:cs="Times New Roman"/>
          <w:sz w:val="24"/>
          <w:szCs w:val="24"/>
        </w:rPr>
        <w:t xml:space="preserve"> because the shareholder value may be diluted, and the cost of capital will be increased. This financing structure has a balanced risk, cost, and flexibility to operations, and this has seen the company achieve its strategic growth without compromising its financial stability.</w:t>
      </w:r>
    </w:p>
    <w:p w14:paraId="0F479FEC" w14:textId="77777777" w:rsidR="00005F39" w:rsidRPr="00791654" w:rsidRDefault="00005F39" w:rsidP="00B51A41">
      <w:pPr>
        <w:spacing w:after="0" w:line="480" w:lineRule="auto"/>
        <w:rPr>
          <w:rFonts w:ascii="Times New Roman" w:eastAsia="Times New Roman" w:hAnsi="Times New Roman" w:cs="Times New Roman"/>
          <w:sz w:val="24"/>
          <w:szCs w:val="24"/>
        </w:rPr>
      </w:pPr>
    </w:p>
    <w:p w14:paraId="671D5712" w14:textId="77777777" w:rsidR="00AC7202" w:rsidRPr="00791654" w:rsidRDefault="0063748C" w:rsidP="00B51A41">
      <w:pPr>
        <w:pStyle w:val="Heading2"/>
        <w:spacing w:before="0" w:beforeAutospacing="0" w:after="0" w:afterAutospacing="0" w:line="480" w:lineRule="auto"/>
        <w:rPr>
          <w:sz w:val="24"/>
          <w:szCs w:val="24"/>
        </w:rPr>
      </w:pPr>
      <w:bookmarkStart w:id="21" w:name="_Toc217852635"/>
      <w:r w:rsidRPr="00791654">
        <w:rPr>
          <w:sz w:val="24"/>
          <w:szCs w:val="24"/>
        </w:rPr>
        <w:lastRenderedPageBreak/>
        <w:t>9. Conclusion</w:t>
      </w:r>
      <w:bookmarkEnd w:id="21"/>
    </w:p>
    <w:p w14:paraId="6BA2456C" w14:textId="77777777" w:rsidR="00AC7202" w:rsidRPr="00791654" w:rsidRDefault="0063748C" w:rsidP="00B51A41">
      <w:pPr>
        <w:spacing w:after="0" w:line="48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b/>
      </w:r>
      <w:r w:rsidR="006B6EDA" w:rsidRPr="00791654">
        <w:rPr>
          <w:rFonts w:ascii="Times New Roman" w:eastAsia="Times New Roman" w:hAnsi="Times New Roman" w:cs="Times New Roman"/>
          <w:sz w:val="24"/>
          <w:szCs w:val="24"/>
        </w:rPr>
        <w:t>In conclusion</w:t>
      </w:r>
      <w:r w:rsidR="00EA6CF6" w:rsidRPr="00791654">
        <w:rPr>
          <w:rFonts w:ascii="Times New Roman" w:eastAsia="Times New Roman" w:hAnsi="Times New Roman" w:cs="Times New Roman"/>
          <w:sz w:val="24"/>
          <w:szCs w:val="24"/>
        </w:rPr>
        <w:t>, the investment appraisal shows that Project C is the most financially appealing project as its NPV is the highest and its IRR is higher in comparison to the cost of capital of the company. The analysis of capital rationing also confirms that the optimum choice of Total NPV in consideration of the available constraint of 2.5 million is to prioritize Project C and partially fund Project B.</w:t>
      </w:r>
      <w:r w:rsidR="001E3A90" w:rsidRPr="00791654">
        <w:rPr>
          <w:rFonts w:ascii="Times New Roman" w:hAnsi="Times New Roman" w:cs="Times New Roman"/>
          <w:sz w:val="24"/>
          <w:szCs w:val="24"/>
        </w:rPr>
        <w:t xml:space="preserve"> </w:t>
      </w:r>
      <w:r w:rsidR="001E3A90" w:rsidRPr="00791654">
        <w:rPr>
          <w:rFonts w:ascii="Times New Roman" w:eastAsia="Times New Roman" w:hAnsi="Times New Roman" w:cs="Times New Roman"/>
          <w:sz w:val="24"/>
          <w:szCs w:val="24"/>
        </w:rPr>
        <w:t>The funding is mostly from the retained earnings, through a small amount of debt, which will keep the financial freedom and reduce the risk</w:t>
      </w:r>
      <w:r w:rsidR="00EA6CF6" w:rsidRPr="00791654">
        <w:rPr>
          <w:rFonts w:ascii="Times New Roman" w:eastAsia="Times New Roman" w:hAnsi="Times New Roman" w:cs="Times New Roman"/>
          <w:sz w:val="24"/>
          <w:szCs w:val="24"/>
        </w:rPr>
        <w:t>. In general, the proposed plan is consistent with the best practices in corporate finance and helps to create long-term shareholder value.</w:t>
      </w:r>
    </w:p>
    <w:p w14:paraId="4B4E320D" w14:textId="77777777" w:rsidR="00E65873" w:rsidRPr="00791654" w:rsidRDefault="00E65873" w:rsidP="00E65873">
      <w:pPr>
        <w:spacing w:after="0" w:line="480" w:lineRule="auto"/>
        <w:rPr>
          <w:rFonts w:ascii="Times New Roman" w:eastAsia="Times New Roman" w:hAnsi="Times New Roman" w:cs="Times New Roman"/>
          <w:sz w:val="24"/>
          <w:szCs w:val="24"/>
        </w:rPr>
      </w:pPr>
    </w:p>
    <w:p w14:paraId="11E2F345" w14:textId="77777777" w:rsidR="00791654" w:rsidRDefault="00791654">
      <w:pPr>
        <w:rPr>
          <w:rFonts w:ascii="Times New Roman" w:eastAsia="Times New Roman" w:hAnsi="Times New Roman" w:cs="Times New Roman"/>
          <w:b/>
          <w:bCs/>
          <w:kern w:val="36"/>
          <w:sz w:val="24"/>
          <w:szCs w:val="24"/>
        </w:rPr>
      </w:pPr>
      <w:r>
        <w:rPr>
          <w:kern w:val="36"/>
          <w:sz w:val="24"/>
          <w:szCs w:val="24"/>
        </w:rPr>
        <w:br w:type="page"/>
      </w:r>
    </w:p>
    <w:p w14:paraId="4A9B49AD" w14:textId="77777777" w:rsidR="001069EB" w:rsidRPr="00791654" w:rsidRDefault="0063748C" w:rsidP="00B51A41">
      <w:pPr>
        <w:pStyle w:val="Heading2"/>
        <w:spacing w:before="0" w:beforeAutospacing="0" w:after="0" w:afterAutospacing="0" w:line="480" w:lineRule="auto"/>
        <w:rPr>
          <w:sz w:val="24"/>
          <w:szCs w:val="24"/>
        </w:rPr>
      </w:pPr>
      <w:bookmarkStart w:id="22" w:name="_Toc217852636"/>
      <w:r w:rsidRPr="00791654">
        <w:rPr>
          <w:kern w:val="36"/>
          <w:sz w:val="24"/>
          <w:szCs w:val="24"/>
        </w:rPr>
        <w:lastRenderedPageBreak/>
        <w:t>10.</w:t>
      </w:r>
      <w:r w:rsidRPr="00791654">
        <w:rPr>
          <w:sz w:val="24"/>
          <w:szCs w:val="24"/>
        </w:rPr>
        <w:t xml:space="preserve"> References,</w:t>
      </w:r>
      <w:bookmarkEnd w:id="22"/>
    </w:p>
    <w:p w14:paraId="426640BF"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Arnold, G. (2023). </w:t>
      </w:r>
      <w:r w:rsidRPr="00791654">
        <w:rPr>
          <w:rFonts w:ascii="Times New Roman" w:eastAsia="Times New Roman" w:hAnsi="Times New Roman" w:cs="Times New Roman"/>
          <w:i/>
          <w:iCs/>
          <w:sz w:val="24"/>
          <w:szCs w:val="24"/>
        </w:rPr>
        <w:t>Corporate financial management</w:t>
      </w:r>
      <w:r w:rsidRPr="00791654">
        <w:rPr>
          <w:rFonts w:ascii="Times New Roman" w:eastAsia="Times New Roman" w:hAnsi="Times New Roman" w:cs="Times New Roman"/>
          <w:sz w:val="24"/>
          <w:szCs w:val="24"/>
        </w:rPr>
        <w:t xml:space="preserve"> (6th ed.). Pearson Education.</w:t>
      </w:r>
    </w:p>
    <w:p w14:paraId="67CEC37D"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Atrill, P., &amp; McLaney, E. (2023). </w:t>
      </w:r>
      <w:r w:rsidRPr="00791654">
        <w:rPr>
          <w:rFonts w:ascii="Times New Roman" w:eastAsia="Times New Roman" w:hAnsi="Times New Roman" w:cs="Times New Roman"/>
          <w:i/>
          <w:iCs/>
          <w:sz w:val="24"/>
          <w:szCs w:val="24"/>
        </w:rPr>
        <w:t>Accounting and finance for non-specialists</w:t>
      </w:r>
      <w:r w:rsidRPr="00791654">
        <w:rPr>
          <w:rFonts w:ascii="Times New Roman" w:eastAsia="Times New Roman" w:hAnsi="Times New Roman" w:cs="Times New Roman"/>
          <w:sz w:val="24"/>
          <w:szCs w:val="24"/>
        </w:rPr>
        <w:t xml:space="preserve"> (12th ed.). Pearson.</w:t>
      </w:r>
    </w:p>
    <w:p w14:paraId="022E8607"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Brealey, R. A., Myers, S. C., &amp; Allen, F. (2020). </w:t>
      </w:r>
      <w:r w:rsidRPr="00791654">
        <w:rPr>
          <w:rFonts w:ascii="Times New Roman" w:eastAsia="Times New Roman" w:hAnsi="Times New Roman" w:cs="Times New Roman"/>
          <w:i/>
          <w:iCs/>
          <w:sz w:val="24"/>
          <w:szCs w:val="24"/>
        </w:rPr>
        <w:t>Principles of corporate finance</w:t>
      </w:r>
      <w:r w:rsidRPr="00791654">
        <w:rPr>
          <w:rFonts w:ascii="Times New Roman" w:eastAsia="Times New Roman" w:hAnsi="Times New Roman" w:cs="Times New Roman"/>
          <w:sz w:val="24"/>
          <w:szCs w:val="24"/>
        </w:rPr>
        <w:t xml:space="preserve"> (13th ed.). McGraw-Hill Education.</w:t>
      </w:r>
    </w:p>
    <w:p w14:paraId="4DD8786F"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Brigham, E. F., &amp; Ehrhardt, M. C. (2021). </w:t>
      </w:r>
      <w:r w:rsidRPr="00791654">
        <w:rPr>
          <w:rFonts w:ascii="Times New Roman" w:eastAsia="Times New Roman" w:hAnsi="Times New Roman" w:cs="Times New Roman"/>
          <w:i/>
          <w:iCs/>
          <w:sz w:val="24"/>
          <w:szCs w:val="24"/>
        </w:rPr>
        <w:t>Financial management: Theory and practice</w:t>
      </w:r>
      <w:r w:rsidRPr="00791654">
        <w:rPr>
          <w:rFonts w:ascii="Times New Roman" w:eastAsia="Times New Roman" w:hAnsi="Times New Roman" w:cs="Times New Roman"/>
          <w:sz w:val="24"/>
          <w:szCs w:val="24"/>
        </w:rPr>
        <w:t xml:space="preserve"> (16th ed.). Cengage Learning.</w:t>
      </w:r>
    </w:p>
    <w:p w14:paraId="04911585"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CFA Institute. (2023). </w:t>
      </w:r>
      <w:r w:rsidRPr="00791654">
        <w:rPr>
          <w:rFonts w:ascii="Times New Roman" w:eastAsia="Times New Roman" w:hAnsi="Times New Roman" w:cs="Times New Roman"/>
          <w:i/>
          <w:iCs/>
          <w:sz w:val="24"/>
          <w:szCs w:val="24"/>
        </w:rPr>
        <w:t>Financial statement analysis</w:t>
      </w:r>
      <w:r w:rsidRPr="00791654">
        <w:rPr>
          <w:rFonts w:ascii="Times New Roman" w:eastAsia="Times New Roman" w:hAnsi="Times New Roman" w:cs="Times New Roman"/>
          <w:sz w:val="24"/>
          <w:szCs w:val="24"/>
        </w:rPr>
        <w:t>. CFA Institute.</w:t>
      </w:r>
    </w:p>
    <w:p w14:paraId="4CF3359B"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Damodaran, A. (2023). </w:t>
      </w:r>
      <w:r w:rsidRPr="00791654">
        <w:rPr>
          <w:rFonts w:ascii="Times New Roman" w:eastAsia="Times New Roman" w:hAnsi="Times New Roman" w:cs="Times New Roman"/>
          <w:i/>
          <w:iCs/>
          <w:sz w:val="24"/>
          <w:szCs w:val="24"/>
        </w:rPr>
        <w:t>Applied corporate finance</w:t>
      </w:r>
      <w:r w:rsidRPr="00791654">
        <w:rPr>
          <w:rFonts w:ascii="Times New Roman" w:eastAsia="Times New Roman" w:hAnsi="Times New Roman" w:cs="Times New Roman"/>
          <w:sz w:val="24"/>
          <w:szCs w:val="24"/>
        </w:rPr>
        <w:t xml:space="preserve"> (5th ed.). Wiley.</w:t>
      </w:r>
    </w:p>
    <w:p w14:paraId="295C4E2E"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Deloitte. (2022). </w:t>
      </w:r>
      <w:r w:rsidRPr="00791654">
        <w:rPr>
          <w:rFonts w:ascii="Times New Roman" w:eastAsia="Times New Roman" w:hAnsi="Times New Roman" w:cs="Times New Roman"/>
          <w:i/>
          <w:iCs/>
          <w:sz w:val="24"/>
          <w:szCs w:val="24"/>
        </w:rPr>
        <w:t>UK retail sector insights</w:t>
      </w:r>
      <w:r w:rsidRPr="00791654">
        <w:rPr>
          <w:rFonts w:ascii="Times New Roman" w:eastAsia="Times New Roman" w:hAnsi="Times New Roman" w:cs="Times New Roman"/>
          <w:sz w:val="24"/>
          <w:szCs w:val="24"/>
        </w:rPr>
        <w:t>. Deloitte UK.</w:t>
      </w:r>
    </w:p>
    <w:p w14:paraId="55301081"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EY. (2023). </w:t>
      </w:r>
      <w:r w:rsidRPr="00791654">
        <w:rPr>
          <w:rFonts w:ascii="Times New Roman" w:eastAsia="Times New Roman" w:hAnsi="Times New Roman" w:cs="Times New Roman"/>
          <w:i/>
          <w:iCs/>
          <w:sz w:val="24"/>
          <w:szCs w:val="24"/>
        </w:rPr>
        <w:t>Retail sector performance and margin analysis</w:t>
      </w:r>
      <w:r w:rsidRPr="00791654">
        <w:rPr>
          <w:rFonts w:ascii="Times New Roman" w:eastAsia="Times New Roman" w:hAnsi="Times New Roman" w:cs="Times New Roman"/>
          <w:sz w:val="24"/>
          <w:szCs w:val="24"/>
        </w:rPr>
        <w:t>. Ernst &amp; Young.</w:t>
      </w:r>
    </w:p>
    <w:p w14:paraId="2FF5FDE1"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Grant Thornton. (2023). </w:t>
      </w:r>
      <w:r w:rsidRPr="00791654">
        <w:rPr>
          <w:rFonts w:ascii="Times New Roman" w:eastAsia="Times New Roman" w:hAnsi="Times New Roman" w:cs="Times New Roman"/>
          <w:i/>
          <w:iCs/>
          <w:sz w:val="24"/>
          <w:szCs w:val="24"/>
        </w:rPr>
        <w:t>Financial ratios and performance benchmarking</w:t>
      </w:r>
      <w:r w:rsidRPr="00791654">
        <w:rPr>
          <w:rFonts w:ascii="Times New Roman" w:eastAsia="Times New Roman" w:hAnsi="Times New Roman" w:cs="Times New Roman"/>
          <w:sz w:val="24"/>
          <w:szCs w:val="24"/>
        </w:rPr>
        <w:t>. Grant Thornton UK.</w:t>
      </w:r>
    </w:p>
    <w:p w14:paraId="0B19727D"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Investopedia. (2024). </w:t>
      </w:r>
      <w:r w:rsidRPr="00791654">
        <w:rPr>
          <w:rFonts w:ascii="Times New Roman" w:eastAsia="Times New Roman" w:hAnsi="Times New Roman" w:cs="Times New Roman"/>
          <w:i/>
          <w:iCs/>
          <w:sz w:val="24"/>
          <w:szCs w:val="24"/>
        </w:rPr>
        <w:t>Capital budgeting techniques</w:t>
      </w:r>
      <w:r w:rsidRPr="00791654">
        <w:rPr>
          <w:rFonts w:ascii="Times New Roman" w:eastAsia="Times New Roman" w:hAnsi="Times New Roman" w:cs="Times New Roman"/>
          <w:sz w:val="24"/>
          <w:szCs w:val="24"/>
        </w:rPr>
        <w:t xml:space="preserve">. </w:t>
      </w:r>
      <w:hyperlink r:id="rId7" w:history="1">
        <w:r w:rsidRPr="00791654">
          <w:rPr>
            <w:rFonts w:ascii="Times New Roman" w:eastAsia="Times New Roman" w:hAnsi="Times New Roman" w:cs="Times New Roman"/>
            <w:color w:val="0000FF"/>
            <w:sz w:val="24"/>
            <w:szCs w:val="24"/>
            <w:u w:val="single"/>
          </w:rPr>
          <w:t>https://www.investopedia.com</w:t>
        </w:r>
      </w:hyperlink>
    </w:p>
    <w:p w14:paraId="6A49DF67"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Koller, T., Goedhart, M., &amp; Wessels, D. (2022). </w:t>
      </w:r>
      <w:r w:rsidRPr="00791654">
        <w:rPr>
          <w:rFonts w:ascii="Times New Roman" w:eastAsia="Times New Roman" w:hAnsi="Times New Roman" w:cs="Times New Roman"/>
          <w:i/>
          <w:iCs/>
          <w:sz w:val="24"/>
          <w:szCs w:val="24"/>
        </w:rPr>
        <w:t>Valuation: Measuring and managing the value of companies</w:t>
      </w:r>
      <w:r w:rsidRPr="00791654">
        <w:rPr>
          <w:rFonts w:ascii="Times New Roman" w:eastAsia="Times New Roman" w:hAnsi="Times New Roman" w:cs="Times New Roman"/>
          <w:sz w:val="24"/>
          <w:szCs w:val="24"/>
        </w:rPr>
        <w:t xml:space="preserve"> (7th ed.). McKinsey &amp; Company.</w:t>
      </w:r>
    </w:p>
    <w:p w14:paraId="2F0C62E3"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Morningstar. (2024). </w:t>
      </w:r>
      <w:r w:rsidRPr="00791654">
        <w:rPr>
          <w:rFonts w:ascii="Times New Roman" w:eastAsia="Times New Roman" w:hAnsi="Times New Roman" w:cs="Times New Roman"/>
          <w:i/>
          <w:iCs/>
          <w:sz w:val="24"/>
          <w:szCs w:val="24"/>
        </w:rPr>
        <w:t>Equity valuation and investor ratios explained</w:t>
      </w:r>
      <w:r w:rsidRPr="00791654">
        <w:rPr>
          <w:rFonts w:ascii="Times New Roman" w:eastAsia="Times New Roman" w:hAnsi="Times New Roman" w:cs="Times New Roman"/>
          <w:sz w:val="24"/>
          <w:szCs w:val="24"/>
        </w:rPr>
        <w:t>. Morningstar Research.</w:t>
      </w:r>
    </w:p>
    <w:p w14:paraId="093A6A98"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Next plc. (2023). </w:t>
      </w:r>
      <w:r w:rsidRPr="00791654">
        <w:rPr>
          <w:rFonts w:ascii="Times New Roman" w:eastAsia="Times New Roman" w:hAnsi="Times New Roman" w:cs="Times New Roman"/>
          <w:i/>
          <w:iCs/>
          <w:sz w:val="24"/>
          <w:szCs w:val="24"/>
        </w:rPr>
        <w:t>Annual report and accounts 2023</w:t>
      </w:r>
      <w:r w:rsidRPr="00791654">
        <w:rPr>
          <w:rFonts w:ascii="Times New Roman" w:eastAsia="Times New Roman" w:hAnsi="Times New Roman" w:cs="Times New Roman"/>
          <w:sz w:val="24"/>
          <w:szCs w:val="24"/>
        </w:rPr>
        <w:t xml:space="preserve">. </w:t>
      </w:r>
      <w:hyperlink r:id="rId8" w:history="1">
        <w:r w:rsidRPr="00791654">
          <w:rPr>
            <w:rFonts w:ascii="Times New Roman" w:eastAsia="Times New Roman" w:hAnsi="Times New Roman" w:cs="Times New Roman"/>
            <w:color w:val="0000FF"/>
            <w:sz w:val="24"/>
            <w:szCs w:val="24"/>
            <w:u w:val="single"/>
          </w:rPr>
          <w:t>https://www.nextplc.co.uk</w:t>
        </w:r>
      </w:hyperlink>
    </w:p>
    <w:p w14:paraId="211811AD"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Next plc. (2024). </w:t>
      </w:r>
      <w:r w:rsidRPr="00791654">
        <w:rPr>
          <w:rFonts w:ascii="Times New Roman" w:eastAsia="Times New Roman" w:hAnsi="Times New Roman" w:cs="Times New Roman"/>
          <w:i/>
          <w:iCs/>
          <w:sz w:val="24"/>
          <w:szCs w:val="24"/>
        </w:rPr>
        <w:t>Annual report and accounts 2024</w:t>
      </w:r>
      <w:r w:rsidRPr="00791654">
        <w:rPr>
          <w:rFonts w:ascii="Times New Roman" w:eastAsia="Times New Roman" w:hAnsi="Times New Roman" w:cs="Times New Roman"/>
          <w:sz w:val="24"/>
          <w:szCs w:val="24"/>
        </w:rPr>
        <w:t xml:space="preserve">. </w:t>
      </w:r>
      <w:hyperlink r:id="rId9" w:history="1">
        <w:r w:rsidRPr="00791654">
          <w:rPr>
            <w:rFonts w:ascii="Times New Roman" w:eastAsia="Times New Roman" w:hAnsi="Times New Roman" w:cs="Times New Roman"/>
            <w:color w:val="0000FF"/>
            <w:sz w:val="24"/>
            <w:szCs w:val="24"/>
            <w:u w:val="single"/>
          </w:rPr>
          <w:t>https://www.nextplc.co.uk</w:t>
        </w:r>
      </w:hyperlink>
    </w:p>
    <w:p w14:paraId="336AE620"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OECD. (2023). </w:t>
      </w:r>
      <w:r w:rsidRPr="00791654">
        <w:rPr>
          <w:rFonts w:ascii="Times New Roman" w:eastAsia="Times New Roman" w:hAnsi="Times New Roman" w:cs="Times New Roman"/>
          <w:i/>
          <w:iCs/>
          <w:sz w:val="24"/>
          <w:szCs w:val="24"/>
        </w:rPr>
        <w:t>Corporate finance, investment, and growth</w:t>
      </w:r>
      <w:r w:rsidRPr="00791654">
        <w:rPr>
          <w:rFonts w:ascii="Times New Roman" w:eastAsia="Times New Roman" w:hAnsi="Times New Roman" w:cs="Times New Roman"/>
          <w:sz w:val="24"/>
          <w:szCs w:val="24"/>
        </w:rPr>
        <w:t>. OECD Publishing.</w:t>
      </w:r>
    </w:p>
    <w:p w14:paraId="270B3005"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Palepu, K. G., Healy, P. M., &amp; Peek, E. (2021). </w:t>
      </w:r>
      <w:r w:rsidRPr="00791654">
        <w:rPr>
          <w:rFonts w:ascii="Times New Roman" w:eastAsia="Times New Roman" w:hAnsi="Times New Roman" w:cs="Times New Roman"/>
          <w:i/>
          <w:iCs/>
          <w:sz w:val="24"/>
          <w:szCs w:val="24"/>
        </w:rPr>
        <w:t>Business analysis and valuation</w:t>
      </w:r>
      <w:r w:rsidRPr="00791654">
        <w:rPr>
          <w:rFonts w:ascii="Times New Roman" w:eastAsia="Times New Roman" w:hAnsi="Times New Roman" w:cs="Times New Roman"/>
          <w:sz w:val="24"/>
          <w:szCs w:val="24"/>
        </w:rPr>
        <w:t xml:space="preserve"> (6th ed.). Cengage Learning.</w:t>
      </w:r>
    </w:p>
    <w:p w14:paraId="733DF3D9"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Penman, S. H. (2022). </w:t>
      </w:r>
      <w:r w:rsidRPr="00791654">
        <w:rPr>
          <w:rFonts w:ascii="Times New Roman" w:eastAsia="Times New Roman" w:hAnsi="Times New Roman" w:cs="Times New Roman"/>
          <w:i/>
          <w:iCs/>
          <w:sz w:val="24"/>
          <w:szCs w:val="24"/>
        </w:rPr>
        <w:t>Financial statement analysis and security valuation</w:t>
      </w:r>
      <w:r w:rsidRPr="00791654">
        <w:rPr>
          <w:rFonts w:ascii="Times New Roman" w:eastAsia="Times New Roman" w:hAnsi="Times New Roman" w:cs="Times New Roman"/>
          <w:sz w:val="24"/>
          <w:szCs w:val="24"/>
        </w:rPr>
        <w:t xml:space="preserve"> (6th ed.). McGraw-Hill Education.</w:t>
      </w:r>
    </w:p>
    <w:p w14:paraId="2AC0C957"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lastRenderedPageBreak/>
        <w:t xml:space="preserve">PwC. (2024). </w:t>
      </w:r>
      <w:r w:rsidRPr="00791654">
        <w:rPr>
          <w:rFonts w:ascii="Times New Roman" w:eastAsia="Times New Roman" w:hAnsi="Times New Roman" w:cs="Times New Roman"/>
          <w:i/>
          <w:iCs/>
          <w:sz w:val="24"/>
          <w:szCs w:val="24"/>
        </w:rPr>
        <w:t>UK retail and consumer outlook</w:t>
      </w:r>
      <w:r w:rsidRPr="00791654">
        <w:rPr>
          <w:rFonts w:ascii="Times New Roman" w:eastAsia="Times New Roman" w:hAnsi="Times New Roman" w:cs="Times New Roman"/>
          <w:sz w:val="24"/>
          <w:szCs w:val="24"/>
        </w:rPr>
        <w:t>. PwC UK.</w:t>
      </w:r>
    </w:p>
    <w:p w14:paraId="40F8CBAC"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Ross, S. A., </w:t>
      </w:r>
      <w:proofErr w:type="spellStart"/>
      <w:r w:rsidRPr="00791654">
        <w:rPr>
          <w:rFonts w:ascii="Times New Roman" w:eastAsia="Times New Roman" w:hAnsi="Times New Roman" w:cs="Times New Roman"/>
          <w:sz w:val="24"/>
          <w:szCs w:val="24"/>
        </w:rPr>
        <w:t>Westerfield</w:t>
      </w:r>
      <w:proofErr w:type="spellEnd"/>
      <w:r w:rsidRPr="00791654">
        <w:rPr>
          <w:rFonts w:ascii="Times New Roman" w:eastAsia="Times New Roman" w:hAnsi="Times New Roman" w:cs="Times New Roman"/>
          <w:sz w:val="24"/>
          <w:szCs w:val="24"/>
        </w:rPr>
        <w:t xml:space="preserve">, R. W., &amp; Jordan, B. D. (2024). </w:t>
      </w:r>
      <w:r w:rsidRPr="00791654">
        <w:rPr>
          <w:rFonts w:ascii="Times New Roman" w:eastAsia="Times New Roman" w:hAnsi="Times New Roman" w:cs="Times New Roman"/>
          <w:i/>
          <w:iCs/>
          <w:sz w:val="24"/>
          <w:szCs w:val="24"/>
        </w:rPr>
        <w:t>Fundamentals of corporate finance</w:t>
      </w:r>
      <w:r w:rsidRPr="00791654">
        <w:rPr>
          <w:rFonts w:ascii="Times New Roman" w:eastAsia="Times New Roman" w:hAnsi="Times New Roman" w:cs="Times New Roman"/>
          <w:sz w:val="24"/>
          <w:szCs w:val="24"/>
        </w:rPr>
        <w:t xml:space="preserve"> (14th ed.). McGraw-Hill Education.</w:t>
      </w:r>
    </w:p>
    <w:p w14:paraId="23AA60C0" w14:textId="77777777" w:rsidR="00791654" w:rsidRPr="00791654" w:rsidRDefault="00791654" w:rsidP="00A934D1">
      <w:pPr>
        <w:spacing w:after="0" w:line="480" w:lineRule="auto"/>
        <w:ind w:left="720" w:hanging="720"/>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 xml:space="preserve">UK Office for National Statistics. (2024). </w:t>
      </w:r>
      <w:r w:rsidRPr="00791654">
        <w:rPr>
          <w:rFonts w:ascii="Times New Roman" w:eastAsia="Times New Roman" w:hAnsi="Times New Roman" w:cs="Times New Roman"/>
          <w:i/>
          <w:iCs/>
          <w:sz w:val="24"/>
          <w:szCs w:val="24"/>
        </w:rPr>
        <w:t>UK retail economic indicators</w:t>
      </w:r>
      <w:r w:rsidRPr="00791654">
        <w:rPr>
          <w:rFonts w:ascii="Times New Roman" w:eastAsia="Times New Roman" w:hAnsi="Times New Roman" w:cs="Times New Roman"/>
          <w:sz w:val="24"/>
          <w:szCs w:val="24"/>
        </w:rPr>
        <w:t>. ONS.</w:t>
      </w:r>
    </w:p>
    <w:p w14:paraId="5A4E625E" w14:textId="77777777" w:rsidR="0009233B" w:rsidRPr="00791654" w:rsidRDefault="0063748C" w:rsidP="00A934D1">
      <w:pPr>
        <w:spacing w:after="0" w:line="480" w:lineRule="auto"/>
        <w:ind w:left="720" w:hanging="720"/>
        <w:rPr>
          <w:rFonts w:ascii="Times New Roman" w:eastAsia="Times New Roman" w:hAnsi="Times New Roman" w:cs="Times New Roman"/>
          <w:b/>
          <w:bCs/>
          <w:sz w:val="24"/>
          <w:szCs w:val="24"/>
        </w:rPr>
      </w:pPr>
      <w:r w:rsidRPr="00791654">
        <w:rPr>
          <w:rFonts w:ascii="Times New Roman" w:hAnsi="Times New Roman" w:cs="Times New Roman"/>
          <w:sz w:val="24"/>
          <w:szCs w:val="24"/>
        </w:rPr>
        <w:br w:type="page"/>
      </w:r>
    </w:p>
    <w:p w14:paraId="0C2087F8" w14:textId="77777777" w:rsidR="005D60DE" w:rsidRPr="00791654" w:rsidRDefault="0063748C" w:rsidP="005D60DE">
      <w:pPr>
        <w:pStyle w:val="Heading3"/>
        <w:rPr>
          <w:sz w:val="24"/>
          <w:szCs w:val="24"/>
        </w:rPr>
      </w:pPr>
      <w:bookmarkStart w:id="23" w:name="_Toc217852637"/>
      <w:r w:rsidRPr="00791654">
        <w:rPr>
          <w:sz w:val="24"/>
          <w:szCs w:val="24"/>
        </w:rPr>
        <w:lastRenderedPageBreak/>
        <w:t>Appendix B</w:t>
      </w:r>
      <w:bookmarkEnd w:id="23"/>
    </w:p>
    <w:p w14:paraId="570CE413" w14:textId="77777777" w:rsidR="005D60DE" w:rsidRPr="00791654" w:rsidRDefault="0063748C" w:rsidP="005D60DE">
      <w:pPr>
        <w:pStyle w:val="Heading4"/>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A1. After-Tax Cash Flows</w:t>
      </w:r>
    </w:p>
    <w:p w14:paraId="24968279" w14:textId="77777777" w:rsidR="005D60DE"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After-Tax Cash Flow = (Cash Inflow × (1- Tax Rate) + Capital Allowance.</w:t>
      </w:r>
    </w:p>
    <w:p w14:paraId="3D182011" w14:textId="77777777" w:rsidR="005D60DE"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Capital allowance = 20 per cent straight-line of the Original Investment divided by the year.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02"/>
        <w:gridCol w:w="1400"/>
        <w:gridCol w:w="1386"/>
        <w:gridCol w:w="1415"/>
      </w:tblGrid>
      <w:tr w:rsidR="008B7B16" w:rsidRPr="00791654" w14:paraId="0D17C800" w14:textId="77777777" w:rsidTr="0009233B">
        <w:trPr>
          <w:tblHeader/>
          <w:tblCellSpacing w:w="15" w:type="dxa"/>
        </w:trPr>
        <w:tc>
          <w:tcPr>
            <w:tcW w:w="0" w:type="auto"/>
            <w:vAlign w:val="center"/>
            <w:hideMark/>
          </w:tcPr>
          <w:p w14:paraId="61930A49" w14:textId="77777777" w:rsidR="008B2410" w:rsidRPr="00791654" w:rsidRDefault="0063748C" w:rsidP="008B2410">
            <w:pPr>
              <w:spacing w:after="0" w:line="24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Year</w:t>
            </w:r>
          </w:p>
        </w:tc>
        <w:tc>
          <w:tcPr>
            <w:tcW w:w="0" w:type="auto"/>
            <w:vAlign w:val="center"/>
            <w:hideMark/>
          </w:tcPr>
          <w:p w14:paraId="60FE71C0" w14:textId="77777777" w:rsidR="008B2410" w:rsidRPr="00791654" w:rsidRDefault="0063748C" w:rsidP="008B2410">
            <w:pPr>
              <w:spacing w:after="0" w:line="24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Project A (£)</w:t>
            </w:r>
          </w:p>
        </w:tc>
        <w:tc>
          <w:tcPr>
            <w:tcW w:w="0" w:type="auto"/>
            <w:vAlign w:val="center"/>
            <w:hideMark/>
          </w:tcPr>
          <w:p w14:paraId="1C5ECDC9" w14:textId="77777777" w:rsidR="008B2410" w:rsidRPr="00791654" w:rsidRDefault="0063748C" w:rsidP="008B2410">
            <w:pPr>
              <w:spacing w:after="0" w:line="24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Project B (£)</w:t>
            </w:r>
          </w:p>
        </w:tc>
        <w:tc>
          <w:tcPr>
            <w:tcW w:w="0" w:type="auto"/>
            <w:vAlign w:val="center"/>
            <w:hideMark/>
          </w:tcPr>
          <w:p w14:paraId="7C09553C" w14:textId="77777777" w:rsidR="008B2410" w:rsidRPr="00791654" w:rsidRDefault="0063748C" w:rsidP="008B2410">
            <w:pPr>
              <w:spacing w:after="0" w:line="240" w:lineRule="auto"/>
              <w:jc w:val="center"/>
              <w:rPr>
                <w:rFonts w:ascii="Times New Roman" w:eastAsia="Times New Roman" w:hAnsi="Times New Roman" w:cs="Times New Roman"/>
                <w:b/>
                <w:bCs/>
                <w:sz w:val="24"/>
                <w:szCs w:val="24"/>
              </w:rPr>
            </w:pPr>
            <w:r w:rsidRPr="00791654">
              <w:rPr>
                <w:rFonts w:ascii="Times New Roman" w:eastAsia="Times New Roman" w:hAnsi="Times New Roman" w:cs="Times New Roman"/>
                <w:b/>
                <w:bCs/>
                <w:sz w:val="24"/>
                <w:szCs w:val="24"/>
              </w:rPr>
              <w:t>Project C (£)</w:t>
            </w:r>
          </w:p>
        </w:tc>
      </w:tr>
      <w:tr w:rsidR="008B7B16" w:rsidRPr="00791654" w14:paraId="43972BBA" w14:textId="77777777" w:rsidTr="0009233B">
        <w:trPr>
          <w:tblCellSpacing w:w="15" w:type="dxa"/>
        </w:trPr>
        <w:tc>
          <w:tcPr>
            <w:tcW w:w="0" w:type="auto"/>
            <w:vAlign w:val="center"/>
            <w:hideMark/>
          </w:tcPr>
          <w:p w14:paraId="64605C5F"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w:t>
            </w:r>
          </w:p>
        </w:tc>
        <w:tc>
          <w:tcPr>
            <w:tcW w:w="0" w:type="auto"/>
            <w:vAlign w:val="center"/>
            <w:hideMark/>
          </w:tcPr>
          <w:p w14:paraId="5FC4A770"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145,000</w:t>
            </w:r>
          </w:p>
        </w:tc>
        <w:tc>
          <w:tcPr>
            <w:tcW w:w="0" w:type="auto"/>
            <w:vAlign w:val="center"/>
            <w:hideMark/>
          </w:tcPr>
          <w:p w14:paraId="1658685B"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195,000</w:t>
            </w:r>
          </w:p>
        </w:tc>
        <w:tc>
          <w:tcPr>
            <w:tcW w:w="0" w:type="auto"/>
            <w:vAlign w:val="center"/>
            <w:hideMark/>
          </w:tcPr>
          <w:p w14:paraId="58A8176A"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270,000</w:t>
            </w:r>
          </w:p>
        </w:tc>
      </w:tr>
      <w:tr w:rsidR="008B7B16" w:rsidRPr="00791654" w14:paraId="498704F3" w14:textId="77777777" w:rsidTr="0009233B">
        <w:trPr>
          <w:tblCellSpacing w:w="15" w:type="dxa"/>
        </w:trPr>
        <w:tc>
          <w:tcPr>
            <w:tcW w:w="0" w:type="auto"/>
            <w:vAlign w:val="center"/>
            <w:hideMark/>
          </w:tcPr>
          <w:p w14:paraId="19755FD4"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2</w:t>
            </w:r>
          </w:p>
        </w:tc>
        <w:tc>
          <w:tcPr>
            <w:tcW w:w="0" w:type="auto"/>
            <w:vAlign w:val="center"/>
            <w:hideMark/>
          </w:tcPr>
          <w:p w14:paraId="46EA1903"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155,000</w:t>
            </w:r>
          </w:p>
        </w:tc>
        <w:tc>
          <w:tcPr>
            <w:tcW w:w="0" w:type="auto"/>
            <w:vAlign w:val="center"/>
            <w:hideMark/>
          </w:tcPr>
          <w:p w14:paraId="1DCE6F7E"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210,000</w:t>
            </w:r>
          </w:p>
        </w:tc>
        <w:tc>
          <w:tcPr>
            <w:tcW w:w="0" w:type="auto"/>
            <w:vAlign w:val="center"/>
            <w:hideMark/>
          </w:tcPr>
          <w:p w14:paraId="139801BA"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295,000</w:t>
            </w:r>
          </w:p>
        </w:tc>
      </w:tr>
      <w:tr w:rsidR="008B7B16" w:rsidRPr="00791654" w14:paraId="232BEB03" w14:textId="77777777" w:rsidTr="0009233B">
        <w:trPr>
          <w:tblCellSpacing w:w="15" w:type="dxa"/>
        </w:trPr>
        <w:tc>
          <w:tcPr>
            <w:tcW w:w="0" w:type="auto"/>
            <w:vAlign w:val="center"/>
            <w:hideMark/>
          </w:tcPr>
          <w:p w14:paraId="5BD5C9F3"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3</w:t>
            </w:r>
          </w:p>
        </w:tc>
        <w:tc>
          <w:tcPr>
            <w:tcW w:w="0" w:type="auto"/>
            <w:vAlign w:val="center"/>
            <w:hideMark/>
          </w:tcPr>
          <w:p w14:paraId="33B149CB"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160,000</w:t>
            </w:r>
          </w:p>
        </w:tc>
        <w:tc>
          <w:tcPr>
            <w:tcW w:w="0" w:type="auto"/>
            <w:vAlign w:val="center"/>
            <w:hideMark/>
          </w:tcPr>
          <w:p w14:paraId="3368B468"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220,000</w:t>
            </w:r>
          </w:p>
        </w:tc>
        <w:tc>
          <w:tcPr>
            <w:tcW w:w="0" w:type="auto"/>
            <w:vAlign w:val="center"/>
            <w:hideMark/>
          </w:tcPr>
          <w:p w14:paraId="52DDD472"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315,000</w:t>
            </w:r>
          </w:p>
        </w:tc>
      </w:tr>
      <w:tr w:rsidR="008B7B16" w:rsidRPr="00791654" w14:paraId="6EED248B" w14:textId="77777777" w:rsidTr="0009233B">
        <w:trPr>
          <w:tblCellSpacing w:w="15" w:type="dxa"/>
        </w:trPr>
        <w:tc>
          <w:tcPr>
            <w:tcW w:w="0" w:type="auto"/>
            <w:vAlign w:val="center"/>
            <w:hideMark/>
          </w:tcPr>
          <w:p w14:paraId="66E3A482"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4</w:t>
            </w:r>
          </w:p>
        </w:tc>
        <w:tc>
          <w:tcPr>
            <w:tcW w:w="0" w:type="auto"/>
            <w:vAlign w:val="center"/>
            <w:hideMark/>
          </w:tcPr>
          <w:p w14:paraId="462B07F0"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165,000</w:t>
            </w:r>
          </w:p>
        </w:tc>
        <w:tc>
          <w:tcPr>
            <w:tcW w:w="0" w:type="auto"/>
            <w:vAlign w:val="center"/>
            <w:hideMark/>
          </w:tcPr>
          <w:p w14:paraId="7BDC4D90"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230,000</w:t>
            </w:r>
          </w:p>
        </w:tc>
        <w:tc>
          <w:tcPr>
            <w:tcW w:w="0" w:type="auto"/>
            <w:vAlign w:val="center"/>
            <w:hideMark/>
          </w:tcPr>
          <w:p w14:paraId="4D98832D" w14:textId="77777777" w:rsidR="008B2410" w:rsidRPr="00791654" w:rsidRDefault="0063748C" w:rsidP="008B2410">
            <w:pPr>
              <w:spacing w:after="0" w:line="240" w:lineRule="auto"/>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340,000</w:t>
            </w:r>
          </w:p>
        </w:tc>
      </w:tr>
    </w:tbl>
    <w:p w14:paraId="1A9FE87A" w14:textId="77777777" w:rsidR="00436987" w:rsidRPr="00791654" w:rsidRDefault="0063748C" w:rsidP="00436987">
      <w:pPr>
        <w:pStyle w:val="Heading4"/>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A2. NPV Calculations</w:t>
      </w:r>
    </w:p>
    <w:p w14:paraId="03A64D17" w14:textId="77777777" w:rsidR="00436987" w:rsidRPr="00791654" w:rsidRDefault="0063748C" w:rsidP="00436987">
      <w:pPr>
        <w:rPr>
          <w:rFonts w:ascii="Times New Roman" w:hAnsi="Times New Roman" w:cs="Times New Roman"/>
          <w:sz w:val="24"/>
          <w:szCs w:val="24"/>
        </w:rPr>
      </w:pPr>
      <w:r w:rsidRPr="00791654">
        <w:rPr>
          <w:rFonts w:ascii="Times New Roman" w:hAnsi="Times New Roman" w:cs="Times New Roman"/>
          <w:sz w:val="24"/>
          <w:szCs w:val="24"/>
        </w:rPr>
        <w:t xml:space="preserve">NPV = − I₀ + Σ [ CFₜ / (1 + </w:t>
      </w:r>
      <w:proofErr w:type="gramStart"/>
      <w:r w:rsidRPr="00791654">
        <w:rPr>
          <w:rFonts w:ascii="Times New Roman" w:hAnsi="Times New Roman" w:cs="Times New Roman"/>
          <w:sz w:val="24"/>
          <w:szCs w:val="24"/>
        </w:rPr>
        <w:t>r)ᵗ</w:t>
      </w:r>
      <w:proofErr w:type="gramEnd"/>
      <w:r w:rsidRPr="00791654">
        <w:rPr>
          <w:rFonts w:ascii="Times New Roman" w:hAnsi="Times New Roman" w:cs="Times New Roman"/>
          <w:sz w:val="24"/>
          <w:szCs w:val="24"/>
        </w:rPr>
        <w:t xml:space="preserve"> ]</w:t>
      </w:r>
    </w:p>
    <w:p w14:paraId="1DE82ABF" w14:textId="77777777" w:rsidR="00436987" w:rsidRPr="00791654" w:rsidRDefault="0063748C" w:rsidP="00436987">
      <w:pPr>
        <w:rPr>
          <w:rFonts w:ascii="Times New Roman" w:hAnsi="Times New Roman" w:cs="Times New Roman"/>
          <w:sz w:val="24"/>
          <w:szCs w:val="24"/>
        </w:rPr>
      </w:pPr>
      <w:r w:rsidRPr="00791654">
        <w:rPr>
          <w:rFonts w:ascii="Times New Roman" w:hAnsi="Times New Roman" w:cs="Times New Roman"/>
          <w:sz w:val="24"/>
          <w:szCs w:val="24"/>
        </w:rPr>
        <w:t>(Where t = 1 to n)</w:t>
      </w:r>
    </w:p>
    <w:p w14:paraId="6EBCAE7C" w14:textId="77777777" w:rsidR="00436987" w:rsidRPr="00791654" w:rsidRDefault="0063748C" w:rsidP="00436987">
      <w:pPr>
        <w:rPr>
          <w:rFonts w:ascii="Times New Roman" w:hAnsi="Times New Roman" w:cs="Times New Roman"/>
          <w:sz w:val="24"/>
          <w:szCs w:val="24"/>
        </w:rPr>
      </w:pPr>
      <w:r w:rsidRPr="00791654">
        <w:rPr>
          <w:rFonts w:ascii="Times New Roman" w:hAnsi="Times New Roman" w:cs="Times New Roman"/>
          <w:sz w:val="24"/>
          <w:szCs w:val="24"/>
        </w:rPr>
        <w:t>Where:</w:t>
      </w:r>
    </w:p>
    <w:p w14:paraId="577EC7BA" w14:textId="77777777" w:rsidR="00436987" w:rsidRPr="00791654" w:rsidRDefault="0063748C" w:rsidP="00436987">
      <w:pPr>
        <w:rPr>
          <w:rFonts w:ascii="Times New Roman" w:hAnsi="Times New Roman" w:cs="Times New Roman"/>
          <w:sz w:val="24"/>
          <w:szCs w:val="24"/>
        </w:rPr>
      </w:pPr>
      <w:r w:rsidRPr="00791654">
        <w:rPr>
          <w:rFonts w:ascii="Times New Roman" w:hAnsi="Times New Roman" w:cs="Times New Roman"/>
          <w:sz w:val="24"/>
          <w:szCs w:val="24"/>
        </w:rPr>
        <w:t>I 0 = initial Investment (cash outlay in Years 0)</w:t>
      </w:r>
    </w:p>
    <w:p w14:paraId="35C10E00" w14:textId="77777777" w:rsidR="00436987" w:rsidRPr="00791654" w:rsidRDefault="0063748C" w:rsidP="00436987">
      <w:pPr>
        <w:rPr>
          <w:rFonts w:ascii="Times New Roman" w:hAnsi="Times New Roman" w:cs="Times New Roman"/>
          <w:sz w:val="24"/>
          <w:szCs w:val="24"/>
        </w:rPr>
      </w:pPr>
      <w:proofErr w:type="spellStart"/>
      <w:r w:rsidRPr="00791654">
        <w:rPr>
          <w:rFonts w:ascii="Times New Roman" w:hAnsi="Times New Roman" w:cs="Times New Roman"/>
          <w:sz w:val="24"/>
          <w:szCs w:val="24"/>
        </w:rPr>
        <w:t>CFn</w:t>
      </w:r>
      <w:proofErr w:type="spellEnd"/>
      <w:r w:rsidRPr="00791654">
        <w:rPr>
          <w:rFonts w:ascii="Times New Roman" w:hAnsi="Times New Roman" w:cs="Times New Roman"/>
          <w:sz w:val="24"/>
          <w:szCs w:val="24"/>
        </w:rPr>
        <w:t xml:space="preserve"> = after-tax cash flow at year t.</w:t>
      </w:r>
    </w:p>
    <w:p w14:paraId="4A42F143" w14:textId="77777777" w:rsidR="00436987" w:rsidRPr="00791654" w:rsidRDefault="0063748C" w:rsidP="00436987">
      <w:pPr>
        <w:rPr>
          <w:rFonts w:ascii="Times New Roman" w:hAnsi="Times New Roman" w:cs="Times New Roman"/>
          <w:sz w:val="24"/>
          <w:szCs w:val="24"/>
        </w:rPr>
      </w:pPr>
      <w:r w:rsidRPr="00791654">
        <w:rPr>
          <w:rFonts w:ascii="Times New Roman" w:hAnsi="Times New Roman" w:cs="Times New Roman"/>
          <w:sz w:val="24"/>
          <w:szCs w:val="24"/>
        </w:rPr>
        <w:t>r = Discount rate (6% or 0.06)</w:t>
      </w:r>
    </w:p>
    <w:p w14:paraId="052E7A53" w14:textId="77777777" w:rsidR="00436987" w:rsidRPr="00791654" w:rsidRDefault="0063748C" w:rsidP="00436987">
      <w:pPr>
        <w:rPr>
          <w:rFonts w:ascii="Times New Roman" w:hAnsi="Times New Roman" w:cs="Times New Roman"/>
          <w:sz w:val="24"/>
          <w:szCs w:val="24"/>
        </w:rPr>
      </w:pPr>
      <w:r w:rsidRPr="00791654">
        <w:rPr>
          <w:rFonts w:ascii="Times New Roman" w:hAnsi="Times New Roman" w:cs="Times New Roman"/>
          <w:sz w:val="24"/>
          <w:szCs w:val="24"/>
        </w:rPr>
        <w:t>t = Time period (Year 1, 2, 3, …, n)</w:t>
      </w:r>
    </w:p>
    <w:p w14:paraId="6317739A" w14:textId="77777777" w:rsidR="005D60DE" w:rsidRPr="00791654" w:rsidRDefault="0063748C" w:rsidP="005D60DE">
      <w:pPr>
        <w:pStyle w:val="Heading5"/>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Project A NPV</w:t>
      </w:r>
    </w:p>
    <w:tbl>
      <w:tblPr>
        <w:tblStyle w:val="TableGrid"/>
        <w:tblW w:w="0" w:type="auto"/>
        <w:tblLook w:val="04A0" w:firstRow="1" w:lastRow="0" w:firstColumn="1" w:lastColumn="0" w:noHBand="0" w:noVBand="1"/>
      </w:tblPr>
      <w:tblGrid>
        <w:gridCol w:w="2394"/>
        <w:gridCol w:w="2394"/>
        <w:gridCol w:w="2394"/>
        <w:gridCol w:w="2394"/>
      </w:tblGrid>
      <w:tr w:rsidR="008B7B16" w:rsidRPr="00791654" w14:paraId="061B0896" w14:textId="77777777" w:rsidTr="0009233B">
        <w:tc>
          <w:tcPr>
            <w:tcW w:w="2394" w:type="dxa"/>
          </w:tcPr>
          <w:p w14:paraId="15BAD6A8"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Year</w:t>
            </w:r>
          </w:p>
        </w:tc>
        <w:tc>
          <w:tcPr>
            <w:tcW w:w="2394" w:type="dxa"/>
          </w:tcPr>
          <w:p w14:paraId="3BC99A3D"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Cash flow (£)</w:t>
            </w:r>
          </w:p>
        </w:tc>
        <w:tc>
          <w:tcPr>
            <w:tcW w:w="2394" w:type="dxa"/>
          </w:tcPr>
          <w:p w14:paraId="402EDA45"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Discount Factor (6 per cent)</w:t>
            </w:r>
          </w:p>
        </w:tc>
        <w:tc>
          <w:tcPr>
            <w:tcW w:w="2394" w:type="dxa"/>
          </w:tcPr>
          <w:p w14:paraId="6078672D"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Present Value (£)</w:t>
            </w:r>
          </w:p>
        </w:tc>
      </w:tr>
      <w:tr w:rsidR="008B7B16" w:rsidRPr="00791654" w14:paraId="1217F9B6" w14:textId="77777777" w:rsidTr="0009233B">
        <w:tc>
          <w:tcPr>
            <w:tcW w:w="2394" w:type="dxa"/>
          </w:tcPr>
          <w:p w14:paraId="562510CC"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w:t>
            </w:r>
          </w:p>
        </w:tc>
        <w:tc>
          <w:tcPr>
            <w:tcW w:w="2394" w:type="dxa"/>
          </w:tcPr>
          <w:p w14:paraId="670245B0"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145,000</w:t>
            </w:r>
          </w:p>
        </w:tc>
        <w:tc>
          <w:tcPr>
            <w:tcW w:w="2394" w:type="dxa"/>
          </w:tcPr>
          <w:p w14:paraId="5D385A23"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0.9434</w:t>
            </w:r>
          </w:p>
        </w:tc>
        <w:tc>
          <w:tcPr>
            <w:tcW w:w="2394" w:type="dxa"/>
          </w:tcPr>
          <w:p w14:paraId="55E6CB74"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136,793</w:t>
            </w:r>
          </w:p>
        </w:tc>
      </w:tr>
      <w:tr w:rsidR="008B7B16" w:rsidRPr="00791654" w14:paraId="3CAF31F7" w14:textId="77777777" w:rsidTr="0009233B">
        <w:tc>
          <w:tcPr>
            <w:tcW w:w="2394" w:type="dxa"/>
          </w:tcPr>
          <w:p w14:paraId="3CD3630E"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2</w:t>
            </w:r>
          </w:p>
        </w:tc>
        <w:tc>
          <w:tcPr>
            <w:tcW w:w="2394" w:type="dxa"/>
          </w:tcPr>
          <w:p w14:paraId="148BE2CF"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155,000</w:t>
            </w:r>
          </w:p>
        </w:tc>
        <w:tc>
          <w:tcPr>
            <w:tcW w:w="2394" w:type="dxa"/>
          </w:tcPr>
          <w:p w14:paraId="5588E70E"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0.8900</w:t>
            </w:r>
          </w:p>
        </w:tc>
        <w:tc>
          <w:tcPr>
            <w:tcW w:w="2394" w:type="dxa"/>
          </w:tcPr>
          <w:p w14:paraId="0014E559"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137,950</w:t>
            </w:r>
          </w:p>
        </w:tc>
      </w:tr>
      <w:tr w:rsidR="008B7B16" w:rsidRPr="00791654" w14:paraId="3B959896" w14:textId="77777777" w:rsidTr="0009233B">
        <w:tc>
          <w:tcPr>
            <w:tcW w:w="2394" w:type="dxa"/>
          </w:tcPr>
          <w:p w14:paraId="281CB822"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3</w:t>
            </w:r>
          </w:p>
        </w:tc>
        <w:tc>
          <w:tcPr>
            <w:tcW w:w="2394" w:type="dxa"/>
          </w:tcPr>
          <w:p w14:paraId="70D0CAF0"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160,000</w:t>
            </w:r>
          </w:p>
        </w:tc>
        <w:tc>
          <w:tcPr>
            <w:tcW w:w="2394" w:type="dxa"/>
          </w:tcPr>
          <w:p w14:paraId="15064A2F"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0.8396</w:t>
            </w:r>
          </w:p>
        </w:tc>
        <w:tc>
          <w:tcPr>
            <w:tcW w:w="2394" w:type="dxa"/>
          </w:tcPr>
          <w:p w14:paraId="2D589D41"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134,336</w:t>
            </w:r>
          </w:p>
        </w:tc>
      </w:tr>
      <w:tr w:rsidR="008B7B16" w:rsidRPr="00791654" w14:paraId="399D3F38" w14:textId="77777777" w:rsidTr="0009233B">
        <w:tc>
          <w:tcPr>
            <w:tcW w:w="2394" w:type="dxa"/>
          </w:tcPr>
          <w:p w14:paraId="750B8164"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4</w:t>
            </w:r>
          </w:p>
        </w:tc>
        <w:tc>
          <w:tcPr>
            <w:tcW w:w="2394" w:type="dxa"/>
          </w:tcPr>
          <w:p w14:paraId="556FBD6E"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165,000</w:t>
            </w:r>
          </w:p>
        </w:tc>
        <w:tc>
          <w:tcPr>
            <w:tcW w:w="2394" w:type="dxa"/>
          </w:tcPr>
          <w:p w14:paraId="3AC31893"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0.7921</w:t>
            </w:r>
          </w:p>
        </w:tc>
        <w:tc>
          <w:tcPr>
            <w:tcW w:w="2394" w:type="dxa"/>
          </w:tcPr>
          <w:p w14:paraId="6992A3A7"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130,695</w:t>
            </w:r>
          </w:p>
        </w:tc>
      </w:tr>
    </w:tbl>
    <w:p w14:paraId="608F235B" w14:textId="77777777" w:rsidR="0009233B" w:rsidRPr="00791654" w:rsidRDefault="0009233B" w:rsidP="005D60DE">
      <w:pPr>
        <w:spacing w:after="0" w:line="480" w:lineRule="auto"/>
        <w:rPr>
          <w:rFonts w:ascii="Times New Roman" w:eastAsia="Times New Roman" w:hAnsi="Times New Roman" w:cs="Times New Roman"/>
          <w:bCs/>
          <w:kern w:val="36"/>
          <w:sz w:val="24"/>
          <w:szCs w:val="24"/>
        </w:rPr>
      </w:pPr>
    </w:p>
    <w:p w14:paraId="6E4C35FE" w14:textId="77777777" w:rsidR="005D60DE"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Total PV=539,774</w:t>
      </w:r>
    </w:p>
    <w:p w14:paraId="7CC04C9A" w14:textId="77777777" w:rsidR="00DD165F"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lastRenderedPageBreak/>
        <w:t>Initial Investment =</w:t>
      </w:r>
      <w:r w:rsidR="005D60DE" w:rsidRPr="00791654">
        <w:rPr>
          <w:rFonts w:ascii="Times New Roman" w:eastAsia="Times New Roman" w:hAnsi="Times New Roman" w:cs="Times New Roman"/>
          <w:bCs/>
          <w:kern w:val="36"/>
          <w:sz w:val="24"/>
          <w:szCs w:val="24"/>
        </w:rPr>
        <w:t>600,000</w:t>
      </w:r>
      <w:r w:rsidR="005D60DE" w:rsidRPr="00791654">
        <w:rPr>
          <w:rFonts w:ascii="Times New Roman" w:eastAsia="Times New Roman" w:hAnsi="Times New Roman" w:cs="Times New Roman"/>
          <w:bCs/>
          <w:kern w:val="36"/>
          <w:sz w:val="24"/>
          <w:szCs w:val="24"/>
        </w:rPr>
        <w:tab/>
      </w:r>
      <w:r w:rsidR="005D60DE" w:rsidRPr="00791654">
        <w:rPr>
          <w:rFonts w:ascii="Times New Roman" w:eastAsia="Times New Roman" w:hAnsi="Times New Roman" w:cs="Times New Roman"/>
          <w:bCs/>
          <w:kern w:val="36"/>
          <w:sz w:val="24"/>
          <w:szCs w:val="24"/>
        </w:rPr>
        <w:tab/>
      </w:r>
    </w:p>
    <w:p w14:paraId="7847AF8C" w14:textId="77777777" w:rsidR="005D60DE"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NPV = 45,120</w:t>
      </w:r>
    </w:p>
    <w:p w14:paraId="71267495" w14:textId="77777777" w:rsidR="005D60DE" w:rsidRPr="00791654" w:rsidRDefault="0063748C" w:rsidP="005D60DE">
      <w:pPr>
        <w:pStyle w:val="Heading5"/>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Project B NPV</w:t>
      </w:r>
    </w:p>
    <w:tbl>
      <w:tblPr>
        <w:tblStyle w:val="TableGrid"/>
        <w:tblW w:w="0" w:type="auto"/>
        <w:tblLook w:val="04A0" w:firstRow="1" w:lastRow="0" w:firstColumn="1" w:lastColumn="0" w:noHBand="0" w:noVBand="1"/>
      </w:tblPr>
      <w:tblGrid>
        <w:gridCol w:w="2394"/>
        <w:gridCol w:w="2394"/>
        <w:gridCol w:w="2394"/>
        <w:gridCol w:w="2394"/>
      </w:tblGrid>
      <w:tr w:rsidR="008B7B16" w:rsidRPr="00791654" w14:paraId="5DA6CEF5" w14:textId="77777777" w:rsidTr="0009233B">
        <w:tc>
          <w:tcPr>
            <w:tcW w:w="2394" w:type="dxa"/>
          </w:tcPr>
          <w:p w14:paraId="6B537987"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Year</w:t>
            </w:r>
          </w:p>
        </w:tc>
        <w:tc>
          <w:tcPr>
            <w:tcW w:w="2394" w:type="dxa"/>
          </w:tcPr>
          <w:p w14:paraId="7C6A248E"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Cash Flow (£)</w:t>
            </w:r>
          </w:p>
        </w:tc>
        <w:tc>
          <w:tcPr>
            <w:tcW w:w="2394" w:type="dxa"/>
          </w:tcPr>
          <w:p w14:paraId="0F0946D0"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Discount Factor (6 per cent)</w:t>
            </w:r>
          </w:p>
        </w:tc>
        <w:tc>
          <w:tcPr>
            <w:tcW w:w="2394" w:type="dxa"/>
          </w:tcPr>
          <w:p w14:paraId="71EE4A57"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Present Value (£)</w:t>
            </w:r>
          </w:p>
        </w:tc>
      </w:tr>
      <w:tr w:rsidR="008B7B16" w:rsidRPr="00791654" w14:paraId="27395767" w14:textId="77777777" w:rsidTr="0009233B">
        <w:tc>
          <w:tcPr>
            <w:tcW w:w="2394" w:type="dxa"/>
          </w:tcPr>
          <w:p w14:paraId="635E87CF"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w:t>
            </w:r>
          </w:p>
        </w:tc>
        <w:tc>
          <w:tcPr>
            <w:tcW w:w="2394" w:type="dxa"/>
          </w:tcPr>
          <w:p w14:paraId="3C8D053D"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195,000</w:t>
            </w:r>
          </w:p>
        </w:tc>
        <w:tc>
          <w:tcPr>
            <w:tcW w:w="2394" w:type="dxa"/>
          </w:tcPr>
          <w:p w14:paraId="090EC45D"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0.9434</w:t>
            </w:r>
          </w:p>
        </w:tc>
        <w:tc>
          <w:tcPr>
            <w:tcW w:w="2394" w:type="dxa"/>
          </w:tcPr>
          <w:p w14:paraId="168FD70A"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183,963</w:t>
            </w:r>
          </w:p>
        </w:tc>
      </w:tr>
      <w:tr w:rsidR="008B7B16" w:rsidRPr="00791654" w14:paraId="07563D54" w14:textId="77777777" w:rsidTr="0009233B">
        <w:tc>
          <w:tcPr>
            <w:tcW w:w="2394" w:type="dxa"/>
          </w:tcPr>
          <w:p w14:paraId="5DDAC9CE"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2</w:t>
            </w:r>
          </w:p>
        </w:tc>
        <w:tc>
          <w:tcPr>
            <w:tcW w:w="2394" w:type="dxa"/>
          </w:tcPr>
          <w:p w14:paraId="2D7CD74D"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210,000</w:t>
            </w:r>
          </w:p>
        </w:tc>
        <w:tc>
          <w:tcPr>
            <w:tcW w:w="2394" w:type="dxa"/>
          </w:tcPr>
          <w:p w14:paraId="295C7B4B"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0.8900</w:t>
            </w:r>
          </w:p>
        </w:tc>
        <w:tc>
          <w:tcPr>
            <w:tcW w:w="2394" w:type="dxa"/>
          </w:tcPr>
          <w:p w14:paraId="5BF2A950"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186,900</w:t>
            </w:r>
          </w:p>
        </w:tc>
      </w:tr>
      <w:tr w:rsidR="008B7B16" w:rsidRPr="00791654" w14:paraId="39C80515" w14:textId="77777777" w:rsidTr="0009233B">
        <w:tc>
          <w:tcPr>
            <w:tcW w:w="2394" w:type="dxa"/>
          </w:tcPr>
          <w:p w14:paraId="127B7C23"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3</w:t>
            </w:r>
          </w:p>
        </w:tc>
        <w:tc>
          <w:tcPr>
            <w:tcW w:w="2394" w:type="dxa"/>
          </w:tcPr>
          <w:p w14:paraId="2655FC2B"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220,000</w:t>
            </w:r>
          </w:p>
        </w:tc>
        <w:tc>
          <w:tcPr>
            <w:tcW w:w="2394" w:type="dxa"/>
          </w:tcPr>
          <w:p w14:paraId="4BB7D2F7"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0.8396</w:t>
            </w:r>
          </w:p>
        </w:tc>
        <w:tc>
          <w:tcPr>
            <w:tcW w:w="2394" w:type="dxa"/>
          </w:tcPr>
          <w:p w14:paraId="6625234C"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184,712</w:t>
            </w:r>
          </w:p>
        </w:tc>
      </w:tr>
      <w:tr w:rsidR="008B7B16" w:rsidRPr="00791654" w14:paraId="54D5BCB3" w14:textId="77777777" w:rsidTr="0009233B">
        <w:tc>
          <w:tcPr>
            <w:tcW w:w="2394" w:type="dxa"/>
          </w:tcPr>
          <w:p w14:paraId="4977D4BD"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4</w:t>
            </w:r>
          </w:p>
        </w:tc>
        <w:tc>
          <w:tcPr>
            <w:tcW w:w="2394" w:type="dxa"/>
          </w:tcPr>
          <w:p w14:paraId="152935E6"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230,000</w:t>
            </w:r>
          </w:p>
        </w:tc>
        <w:tc>
          <w:tcPr>
            <w:tcW w:w="2394" w:type="dxa"/>
          </w:tcPr>
          <w:p w14:paraId="690566DC"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0.7921</w:t>
            </w:r>
          </w:p>
        </w:tc>
        <w:tc>
          <w:tcPr>
            <w:tcW w:w="2394" w:type="dxa"/>
          </w:tcPr>
          <w:p w14:paraId="0F47E981"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182,183</w:t>
            </w:r>
          </w:p>
        </w:tc>
      </w:tr>
    </w:tbl>
    <w:p w14:paraId="26B4F9C4" w14:textId="77777777" w:rsidR="0009233B" w:rsidRPr="00791654" w:rsidRDefault="0009233B" w:rsidP="005D60DE">
      <w:pPr>
        <w:spacing w:after="0" w:line="480" w:lineRule="auto"/>
        <w:rPr>
          <w:rFonts w:ascii="Times New Roman" w:eastAsia="Times New Roman" w:hAnsi="Times New Roman" w:cs="Times New Roman"/>
          <w:bCs/>
          <w:kern w:val="36"/>
          <w:sz w:val="24"/>
          <w:szCs w:val="24"/>
        </w:rPr>
      </w:pPr>
    </w:p>
    <w:p w14:paraId="07DEACC6" w14:textId="77777777" w:rsidR="005D60DE"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Total PV=737,758</w:t>
      </w:r>
    </w:p>
    <w:p w14:paraId="0496CFDF" w14:textId="77777777" w:rsidR="0009233B"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Initial Investment=</w:t>
      </w:r>
      <w:r w:rsidR="005D60DE" w:rsidRPr="00791654">
        <w:rPr>
          <w:rFonts w:ascii="Times New Roman" w:eastAsia="Times New Roman" w:hAnsi="Times New Roman" w:cs="Times New Roman"/>
          <w:bCs/>
          <w:kern w:val="36"/>
          <w:sz w:val="24"/>
          <w:szCs w:val="24"/>
        </w:rPr>
        <w:t>1,000,000</w:t>
      </w:r>
      <w:r w:rsidR="005D60DE" w:rsidRPr="00791654">
        <w:rPr>
          <w:rFonts w:ascii="Times New Roman" w:eastAsia="Times New Roman" w:hAnsi="Times New Roman" w:cs="Times New Roman"/>
          <w:bCs/>
          <w:kern w:val="36"/>
          <w:sz w:val="24"/>
          <w:szCs w:val="24"/>
        </w:rPr>
        <w:tab/>
      </w:r>
      <w:r w:rsidR="005D60DE" w:rsidRPr="00791654">
        <w:rPr>
          <w:rFonts w:ascii="Times New Roman" w:eastAsia="Times New Roman" w:hAnsi="Times New Roman" w:cs="Times New Roman"/>
          <w:bCs/>
          <w:kern w:val="36"/>
          <w:sz w:val="24"/>
          <w:szCs w:val="24"/>
        </w:rPr>
        <w:tab/>
      </w:r>
    </w:p>
    <w:p w14:paraId="28B14A5F" w14:textId="77777777" w:rsidR="005D60DE"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NPV = 75,450</w:t>
      </w:r>
    </w:p>
    <w:p w14:paraId="347EE65E" w14:textId="77777777" w:rsidR="005D60DE" w:rsidRPr="00791654" w:rsidRDefault="0063748C" w:rsidP="005D60DE">
      <w:pPr>
        <w:pStyle w:val="Heading5"/>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Project C NPV</w:t>
      </w:r>
    </w:p>
    <w:tbl>
      <w:tblPr>
        <w:tblStyle w:val="TableGrid"/>
        <w:tblW w:w="0" w:type="auto"/>
        <w:tblLook w:val="04A0" w:firstRow="1" w:lastRow="0" w:firstColumn="1" w:lastColumn="0" w:noHBand="0" w:noVBand="1"/>
      </w:tblPr>
      <w:tblGrid>
        <w:gridCol w:w="2394"/>
        <w:gridCol w:w="2394"/>
        <w:gridCol w:w="2394"/>
        <w:gridCol w:w="2394"/>
      </w:tblGrid>
      <w:tr w:rsidR="008B7B16" w:rsidRPr="00791654" w14:paraId="7C973EC7" w14:textId="77777777" w:rsidTr="0009233B">
        <w:tc>
          <w:tcPr>
            <w:tcW w:w="2394" w:type="dxa"/>
          </w:tcPr>
          <w:p w14:paraId="03588569"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Year</w:t>
            </w:r>
          </w:p>
        </w:tc>
        <w:tc>
          <w:tcPr>
            <w:tcW w:w="2394" w:type="dxa"/>
          </w:tcPr>
          <w:p w14:paraId="7602B7C7"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Cash Flow (£)</w:t>
            </w:r>
          </w:p>
        </w:tc>
        <w:tc>
          <w:tcPr>
            <w:tcW w:w="2394" w:type="dxa"/>
          </w:tcPr>
          <w:p w14:paraId="615134B1"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Discount Factor (6)</w:t>
            </w:r>
          </w:p>
        </w:tc>
        <w:tc>
          <w:tcPr>
            <w:tcW w:w="2394" w:type="dxa"/>
          </w:tcPr>
          <w:p w14:paraId="035F5D9F"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Present Value (£)</w:t>
            </w:r>
          </w:p>
        </w:tc>
      </w:tr>
      <w:tr w:rsidR="008B7B16" w:rsidRPr="00791654" w14:paraId="790D748D" w14:textId="77777777" w:rsidTr="0009233B">
        <w:tc>
          <w:tcPr>
            <w:tcW w:w="2394" w:type="dxa"/>
          </w:tcPr>
          <w:p w14:paraId="515043F7"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w:t>
            </w:r>
          </w:p>
        </w:tc>
        <w:tc>
          <w:tcPr>
            <w:tcW w:w="2394" w:type="dxa"/>
          </w:tcPr>
          <w:p w14:paraId="0F4C3552"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270,000</w:t>
            </w:r>
          </w:p>
        </w:tc>
        <w:tc>
          <w:tcPr>
            <w:tcW w:w="2394" w:type="dxa"/>
          </w:tcPr>
          <w:p w14:paraId="79A6556A"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0.9434</w:t>
            </w:r>
          </w:p>
        </w:tc>
        <w:tc>
          <w:tcPr>
            <w:tcW w:w="2394" w:type="dxa"/>
          </w:tcPr>
          <w:p w14:paraId="7D27C069"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254,718</w:t>
            </w:r>
          </w:p>
        </w:tc>
      </w:tr>
      <w:tr w:rsidR="008B7B16" w:rsidRPr="00791654" w14:paraId="140968C7" w14:textId="77777777" w:rsidTr="0009233B">
        <w:tc>
          <w:tcPr>
            <w:tcW w:w="2394" w:type="dxa"/>
          </w:tcPr>
          <w:p w14:paraId="143D4188"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2</w:t>
            </w:r>
          </w:p>
        </w:tc>
        <w:tc>
          <w:tcPr>
            <w:tcW w:w="2394" w:type="dxa"/>
          </w:tcPr>
          <w:p w14:paraId="0D07BF13"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295,000</w:t>
            </w:r>
          </w:p>
        </w:tc>
        <w:tc>
          <w:tcPr>
            <w:tcW w:w="2394" w:type="dxa"/>
          </w:tcPr>
          <w:p w14:paraId="7D39E602"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0.8900</w:t>
            </w:r>
          </w:p>
        </w:tc>
        <w:tc>
          <w:tcPr>
            <w:tcW w:w="2394" w:type="dxa"/>
          </w:tcPr>
          <w:p w14:paraId="3139DE14"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262,550</w:t>
            </w:r>
          </w:p>
        </w:tc>
      </w:tr>
      <w:tr w:rsidR="008B7B16" w:rsidRPr="00791654" w14:paraId="5BCE92E1" w14:textId="77777777" w:rsidTr="0009233B">
        <w:tc>
          <w:tcPr>
            <w:tcW w:w="2394" w:type="dxa"/>
          </w:tcPr>
          <w:p w14:paraId="48056705"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3</w:t>
            </w:r>
          </w:p>
        </w:tc>
        <w:tc>
          <w:tcPr>
            <w:tcW w:w="2394" w:type="dxa"/>
          </w:tcPr>
          <w:p w14:paraId="124E04A9"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315,000</w:t>
            </w:r>
          </w:p>
        </w:tc>
        <w:tc>
          <w:tcPr>
            <w:tcW w:w="2394" w:type="dxa"/>
          </w:tcPr>
          <w:p w14:paraId="561572B4"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0.8396</w:t>
            </w:r>
          </w:p>
        </w:tc>
        <w:tc>
          <w:tcPr>
            <w:tcW w:w="2394" w:type="dxa"/>
          </w:tcPr>
          <w:p w14:paraId="0FDE3CC9"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264,540</w:t>
            </w:r>
          </w:p>
        </w:tc>
      </w:tr>
      <w:tr w:rsidR="008B7B16" w:rsidRPr="00791654" w14:paraId="3B7451F4" w14:textId="77777777" w:rsidTr="0009233B">
        <w:tc>
          <w:tcPr>
            <w:tcW w:w="2394" w:type="dxa"/>
          </w:tcPr>
          <w:p w14:paraId="1EE5B3DB"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4</w:t>
            </w:r>
          </w:p>
        </w:tc>
        <w:tc>
          <w:tcPr>
            <w:tcW w:w="2394" w:type="dxa"/>
          </w:tcPr>
          <w:p w14:paraId="6D31A489"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340,000</w:t>
            </w:r>
          </w:p>
        </w:tc>
        <w:tc>
          <w:tcPr>
            <w:tcW w:w="2394" w:type="dxa"/>
          </w:tcPr>
          <w:p w14:paraId="2481FCA7"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0.7921</w:t>
            </w:r>
          </w:p>
        </w:tc>
        <w:tc>
          <w:tcPr>
            <w:tcW w:w="2394" w:type="dxa"/>
          </w:tcPr>
          <w:p w14:paraId="29C66744"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269,154</w:t>
            </w:r>
          </w:p>
        </w:tc>
      </w:tr>
    </w:tbl>
    <w:p w14:paraId="7878C498" w14:textId="77777777" w:rsidR="0009233B" w:rsidRPr="00791654" w:rsidRDefault="0009233B" w:rsidP="005D60DE">
      <w:pPr>
        <w:spacing w:after="0" w:line="480" w:lineRule="auto"/>
        <w:rPr>
          <w:rFonts w:ascii="Times New Roman" w:eastAsia="Times New Roman" w:hAnsi="Times New Roman" w:cs="Times New Roman"/>
          <w:bCs/>
          <w:kern w:val="36"/>
          <w:sz w:val="24"/>
          <w:szCs w:val="24"/>
        </w:rPr>
      </w:pPr>
    </w:p>
    <w:p w14:paraId="4C1AFBF2" w14:textId="77777777" w:rsidR="005D60DE"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Total PV =1,050,962</w:t>
      </w:r>
    </w:p>
    <w:p w14:paraId="42404F27" w14:textId="77777777" w:rsidR="0009233B"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 xml:space="preserve">Initial </w:t>
      </w:r>
      <w:r w:rsidRPr="00314713">
        <w:rPr>
          <w:rFonts w:ascii="Times New Roman" w:eastAsia="Times New Roman" w:hAnsi="Times New Roman" w:cs="Times New Roman"/>
          <w:bCs/>
          <w:color w:val="000000" w:themeColor="text1"/>
          <w:kern w:val="36"/>
          <w:sz w:val="24"/>
          <w:szCs w:val="24"/>
        </w:rPr>
        <w:t xml:space="preserve">Investment </w:t>
      </w:r>
      <w:r w:rsidRPr="00791654">
        <w:rPr>
          <w:rFonts w:ascii="Times New Roman" w:eastAsia="Times New Roman" w:hAnsi="Times New Roman" w:cs="Times New Roman"/>
          <w:bCs/>
          <w:kern w:val="36"/>
          <w:sz w:val="24"/>
          <w:szCs w:val="24"/>
        </w:rPr>
        <w:t>=</w:t>
      </w:r>
      <w:r w:rsidR="005D60DE" w:rsidRPr="00791654">
        <w:rPr>
          <w:rFonts w:ascii="Times New Roman" w:eastAsia="Times New Roman" w:hAnsi="Times New Roman" w:cs="Times New Roman"/>
          <w:bCs/>
          <w:kern w:val="36"/>
          <w:sz w:val="24"/>
          <w:szCs w:val="24"/>
        </w:rPr>
        <w:t>1,600,000</w:t>
      </w:r>
      <w:r w:rsidR="005D60DE" w:rsidRPr="00791654">
        <w:rPr>
          <w:rFonts w:ascii="Times New Roman" w:eastAsia="Times New Roman" w:hAnsi="Times New Roman" w:cs="Times New Roman"/>
          <w:bCs/>
          <w:kern w:val="36"/>
          <w:sz w:val="24"/>
          <w:szCs w:val="24"/>
        </w:rPr>
        <w:tab/>
      </w:r>
      <w:r w:rsidR="005D60DE" w:rsidRPr="00791654">
        <w:rPr>
          <w:rFonts w:ascii="Times New Roman" w:eastAsia="Times New Roman" w:hAnsi="Times New Roman" w:cs="Times New Roman"/>
          <w:bCs/>
          <w:kern w:val="36"/>
          <w:sz w:val="24"/>
          <w:szCs w:val="24"/>
        </w:rPr>
        <w:tab/>
      </w:r>
    </w:p>
    <w:p w14:paraId="382955A6" w14:textId="77777777" w:rsidR="005D60DE"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NPV = 130,780</w:t>
      </w:r>
    </w:p>
    <w:p w14:paraId="24C789EA" w14:textId="77777777" w:rsidR="005D60DE" w:rsidRPr="00791654" w:rsidRDefault="0063748C" w:rsidP="005D60DE">
      <w:pPr>
        <w:pStyle w:val="Heading4"/>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lastRenderedPageBreak/>
        <w:t>A3. Internal Rate of Return (IRR)</w:t>
      </w:r>
    </w:p>
    <w:p w14:paraId="160289DC" w14:textId="77777777" w:rsidR="005D60DE"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IRR= Lower discount rate + (NPV at lower rate 7/NPV at higher rate) × (Higher rate Lower rate)</w:t>
      </w:r>
    </w:p>
    <w:p w14:paraId="7A6F8B12" w14:textId="77777777" w:rsidR="005D60DE"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Project C IRR (between 6 and 12):</w:t>
      </w:r>
    </w:p>
    <w:p w14:paraId="24371CB0" w14:textId="77777777" w:rsidR="005D60DE"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NPV at 6% = £130,780</w:t>
      </w:r>
    </w:p>
    <w:p w14:paraId="71545C2F" w14:textId="77777777" w:rsidR="005D60DE"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NPV at 12% = £28,450</w:t>
      </w:r>
    </w:p>
    <w:p w14:paraId="4C616585" w14:textId="77777777" w:rsidR="005D60DE"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IRR = 6 + (130,780 ÷ (130,780 − 28,450)) × (12 − 6) = 11.0%</w:t>
      </w:r>
    </w:p>
    <w:p w14:paraId="4F806F44" w14:textId="77777777" w:rsidR="005D60DE" w:rsidRPr="00791654" w:rsidRDefault="0063748C" w:rsidP="005D60DE">
      <w:pPr>
        <w:pStyle w:val="Heading4"/>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t>A4. Payback Period</w:t>
      </w:r>
    </w:p>
    <w:p w14:paraId="0D395647" w14:textId="77777777" w:rsidR="005D60DE"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Payback Period (years):=Year before full recovery +</w:t>
      </w:r>
      <w:r w:rsidR="00E77526" w:rsidRPr="00791654">
        <w:rPr>
          <w:rFonts w:ascii="Times New Roman" w:eastAsia="Times New Roman" w:hAnsi="Times New Roman" w:cs="Times New Roman"/>
          <w:bCs/>
          <w:kern w:val="36"/>
          <w:sz w:val="24"/>
          <w:szCs w:val="24"/>
        </w:rPr>
        <w:t xml:space="preserve"> </w:t>
      </w:r>
      <w:r w:rsidRPr="00791654">
        <w:rPr>
          <w:rFonts w:ascii="Times New Roman" w:eastAsia="Times New Roman" w:hAnsi="Times New Roman" w:cs="Times New Roman"/>
          <w:bCs/>
          <w:kern w:val="36"/>
          <w:sz w:val="24"/>
          <w:szCs w:val="24"/>
        </w:rPr>
        <w:t>(Cash Flow in current/Unrecovered Investment at beginning of current year).</w:t>
      </w:r>
    </w:p>
    <w:tbl>
      <w:tblPr>
        <w:tblStyle w:val="TableGrid"/>
        <w:tblW w:w="0" w:type="auto"/>
        <w:tblLook w:val="04A0" w:firstRow="1" w:lastRow="0" w:firstColumn="1" w:lastColumn="0" w:noHBand="0" w:noVBand="1"/>
      </w:tblPr>
      <w:tblGrid>
        <w:gridCol w:w="3192"/>
        <w:gridCol w:w="3192"/>
        <w:gridCol w:w="2904"/>
      </w:tblGrid>
      <w:tr w:rsidR="008B7B16" w:rsidRPr="00791654" w14:paraId="7CBAFF62" w14:textId="77777777" w:rsidTr="00DD165F">
        <w:tc>
          <w:tcPr>
            <w:tcW w:w="3192" w:type="dxa"/>
          </w:tcPr>
          <w:p w14:paraId="6BAF9BB6"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Project</w:t>
            </w:r>
          </w:p>
        </w:tc>
        <w:tc>
          <w:tcPr>
            <w:tcW w:w="3192" w:type="dxa"/>
          </w:tcPr>
          <w:p w14:paraId="4AF57E9E"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After-Tax cumulative cash flows (£)</w:t>
            </w:r>
          </w:p>
        </w:tc>
        <w:tc>
          <w:tcPr>
            <w:tcW w:w="2904" w:type="dxa"/>
          </w:tcPr>
          <w:p w14:paraId="470743A6"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Payback period (Years)</w:t>
            </w:r>
          </w:p>
        </w:tc>
      </w:tr>
      <w:tr w:rsidR="008B7B16" w:rsidRPr="00791654" w14:paraId="33723858" w14:textId="77777777" w:rsidTr="00DD165F">
        <w:tc>
          <w:tcPr>
            <w:tcW w:w="3192" w:type="dxa"/>
          </w:tcPr>
          <w:p w14:paraId="2CE448C4"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A</w:t>
            </w:r>
          </w:p>
        </w:tc>
        <w:tc>
          <w:tcPr>
            <w:tcW w:w="3192" w:type="dxa"/>
          </w:tcPr>
          <w:p w14:paraId="4CC84BE9"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145,000 → 300,000 → 460,000 → 625,000</w:t>
            </w:r>
          </w:p>
        </w:tc>
        <w:tc>
          <w:tcPr>
            <w:tcW w:w="2904" w:type="dxa"/>
          </w:tcPr>
          <w:p w14:paraId="3B151923"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3.8</w:t>
            </w:r>
          </w:p>
        </w:tc>
      </w:tr>
      <w:tr w:rsidR="008B7B16" w:rsidRPr="00791654" w14:paraId="1418C6C4" w14:textId="77777777" w:rsidTr="00DD165F">
        <w:tc>
          <w:tcPr>
            <w:tcW w:w="3192" w:type="dxa"/>
          </w:tcPr>
          <w:p w14:paraId="3FE85FA3"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B</w:t>
            </w:r>
          </w:p>
        </w:tc>
        <w:tc>
          <w:tcPr>
            <w:tcW w:w="3192" w:type="dxa"/>
          </w:tcPr>
          <w:p w14:paraId="50A9B79F"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195,000 → 405,000 → 625,000 → 855,000</w:t>
            </w:r>
          </w:p>
        </w:tc>
        <w:tc>
          <w:tcPr>
            <w:tcW w:w="2904" w:type="dxa"/>
          </w:tcPr>
          <w:p w14:paraId="19F62C93"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4.2</w:t>
            </w:r>
          </w:p>
        </w:tc>
      </w:tr>
      <w:tr w:rsidR="008B7B16" w:rsidRPr="00791654" w14:paraId="5BE87D9D" w14:textId="77777777" w:rsidTr="00DD165F">
        <w:trPr>
          <w:trHeight w:val="998"/>
        </w:trPr>
        <w:tc>
          <w:tcPr>
            <w:tcW w:w="3192" w:type="dxa"/>
          </w:tcPr>
          <w:p w14:paraId="158E0BFF"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C</w:t>
            </w:r>
          </w:p>
        </w:tc>
        <w:tc>
          <w:tcPr>
            <w:tcW w:w="3192" w:type="dxa"/>
          </w:tcPr>
          <w:p w14:paraId="056EF15C"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270,000 → 565,000 → 880,000 → 1,220,000</w:t>
            </w:r>
          </w:p>
        </w:tc>
        <w:tc>
          <w:tcPr>
            <w:tcW w:w="2904" w:type="dxa"/>
          </w:tcPr>
          <w:p w14:paraId="0C2E00FC"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4.1</w:t>
            </w:r>
          </w:p>
        </w:tc>
      </w:tr>
    </w:tbl>
    <w:p w14:paraId="0127E77A" w14:textId="77777777" w:rsidR="0009233B" w:rsidRPr="00791654" w:rsidRDefault="0009233B" w:rsidP="005D60DE">
      <w:pPr>
        <w:pStyle w:val="Heading4"/>
        <w:rPr>
          <w:rFonts w:ascii="Times New Roman" w:eastAsia="Times New Roman" w:hAnsi="Times New Roman" w:cs="Times New Roman"/>
          <w:sz w:val="24"/>
          <w:szCs w:val="24"/>
        </w:rPr>
      </w:pPr>
    </w:p>
    <w:p w14:paraId="72E7D4F6" w14:textId="77777777" w:rsidR="0009233B" w:rsidRPr="00791654" w:rsidRDefault="0063748C">
      <w:pPr>
        <w:rPr>
          <w:rFonts w:ascii="Times New Roman" w:eastAsia="Times New Roman" w:hAnsi="Times New Roman" w:cs="Times New Roman"/>
          <w:b/>
          <w:bCs/>
          <w:i/>
          <w:iCs/>
          <w:color w:val="4F81BD" w:themeColor="accent1"/>
          <w:sz w:val="24"/>
          <w:szCs w:val="24"/>
        </w:rPr>
      </w:pPr>
      <w:r w:rsidRPr="00791654">
        <w:rPr>
          <w:rFonts w:ascii="Times New Roman" w:eastAsia="Times New Roman" w:hAnsi="Times New Roman" w:cs="Times New Roman"/>
          <w:sz w:val="24"/>
          <w:szCs w:val="24"/>
        </w:rPr>
        <w:br w:type="page"/>
      </w:r>
    </w:p>
    <w:p w14:paraId="42E1D090" w14:textId="77777777" w:rsidR="005D60DE" w:rsidRPr="00791654" w:rsidRDefault="0063748C" w:rsidP="005D60DE">
      <w:pPr>
        <w:pStyle w:val="Heading4"/>
        <w:rPr>
          <w:rFonts w:ascii="Times New Roman" w:eastAsia="Times New Roman" w:hAnsi="Times New Roman" w:cs="Times New Roman"/>
          <w:sz w:val="24"/>
          <w:szCs w:val="24"/>
        </w:rPr>
      </w:pPr>
      <w:r w:rsidRPr="00791654">
        <w:rPr>
          <w:rFonts w:ascii="Times New Roman" w:eastAsia="Times New Roman" w:hAnsi="Times New Roman" w:cs="Times New Roman"/>
          <w:sz w:val="24"/>
          <w:szCs w:val="24"/>
        </w:rPr>
        <w:lastRenderedPageBreak/>
        <w:t>A5. Capital Rationing- Profitability Index (PI)</w:t>
      </w:r>
    </w:p>
    <w:p w14:paraId="6C0AF89B" w14:textId="77777777" w:rsidR="005D60DE" w:rsidRPr="00791654" w:rsidRDefault="0063748C" w:rsidP="005D60DE">
      <w:pPr>
        <w:spacing w:after="0"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PI = NPV ÷ Investment</w:t>
      </w:r>
    </w:p>
    <w:tbl>
      <w:tblPr>
        <w:tblStyle w:val="TableGrid"/>
        <w:tblW w:w="0" w:type="auto"/>
        <w:tblLook w:val="04A0" w:firstRow="1" w:lastRow="0" w:firstColumn="1" w:lastColumn="0" w:noHBand="0" w:noVBand="1"/>
      </w:tblPr>
      <w:tblGrid>
        <w:gridCol w:w="1915"/>
        <w:gridCol w:w="1915"/>
        <w:gridCol w:w="1915"/>
        <w:gridCol w:w="1915"/>
        <w:gridCol w:w="1916"/>
      </w:tblGrid>
      <w:tr w:rsidR="008B7B16" w:rsidRPr="00791654" w14:paraId="34F54ED4" w14:textId="77777777" w:rsidTr="0009233B">
        <w:tc>
          <w:tcPr>
            <w:tcW w:w="1915" w:type="dxa"/>
          </w:tcPr>
          <w:p w14:paraId="7BF03968"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 xml:space="preserve">Project </w:t>
            </w:r>
          </w:p>
        </w:tc>
        <w:tc>
          <w:tcPr>
            <w:tcW w:w="1915" w:type="dxa"/>
          </w:tcPr>
          <w:p w14:paraId="49D74896"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 xml:space="preserve">Investment (£) </w:t>
            </w:r>
          </w:p>
        </w:tc>
        <w:tc>
          <w:tcPr>
            <w:tcW w:w="1915" w:type="dxa"/>
          </w:tcPr>
          <w:p w14:paraId="63087B6E"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 xml:space="preserve">NPV (£) </w:t>
            </w:r>
          </w:p>
        </w:tc>
        <w:tc>
          <w:tcPr>
            <w:tcW w:w="1915" w:type="dxa"/>
          </w:tcPr>
          <w:p w14:paraId="57741C1A"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 xml:space="preserve">PI </w:t>
            </w:r>
          </w:p>
        </w:tc>
        <w:tc>
          <w:tcPr>
            <w:tcW w:w="1916" w:type="dxa"/>
          </w:tcPr>
          <w:p w14:paraId="1C66F5ED"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Allocated Funds (£)</w:t>
            </w:r>
          </w:p>
        </w:tc>
      </w:tr>
      <w:tr w:rsidR="008B7B16" w:rsidRPr="00791654" w14:paraId="5775565D" w14:textId="77777777" w:rsidTr="0009233B">
        <w:tc>
          <w:tcPr>
            <w:tcW w:w="1915" w:type="dxa"/>
          </w:tcPr>
          <w:p w14:paraId="41DDEAAA"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C</w:t>
            </w:r>
          </w:p>
        </w:tc>
        <w:tc>
          <w:tcPr>
            <w:tcW w:w="1915" w:type="dxa"/>
          </w:tcPr>
          <w:p w14:paraId="798058D1"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1,600,000</w:t>
            </w:r>
          </w:p>
        </w:tc>
        <w:tc>
          <w:tcPr>
            <w:tcW w:w="1915" w:type="dxa"/>
          </w:tcPr>
          <w:p w14:paraId="4BDC3AB1"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130,780</w:t>
            </w:r>
          </w:p>
        </w:tc>
        <w:tc>
          <w:tcPr>
            <w:tcW w:w="1915" w:type="dxa"/>
          </w:tcPr>
          <w:p w14:paraId="5AC48060"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0.082</w:t>
            </w:r>
          </w:p>
        </w:tc>
        <w:tc>
          <w:tcPr>
            <w:tcW w:w="1916" w:type="dxa"/>
          </w:tcPr>
          <w:p w14:paraId="3F7DC82E"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1,600,000</w:t>
            </w:r>
          </w:p>
        </w:tc>
      </w:tr>
      <w:tr w:rsidR="008B7B16" w:rsidRPr="00791654" w14:paraId="635B7ACD" w14:textId="77777777" w:rsidTr="0009233B">
        <w:tc>
          <w:tcPr>
            <w:tcW w:w="1915" w:type="dxa"/>
          </w:tcPr>
          <w:p w14:paraId="4B7F1CD4"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B</w:t>
            </w:r>
          </w:p>
        </w:tc>
        <w:tc>
          <w:tcPr>
            <w:tcW w:w="1915" w:type="dxa"/>
          </w:tcPr>
          <w:p w14:paraId="6681D232"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1,000,000</w:t>
            </w:r>
          </w:p>
        </w:tc>
        <w:tc>
          <w:tcPr>
            <w:tcW w:w="1915" w:type="dxa"/>
          </w:tcPr>
          <w:p w14:paraId="1D69B88F"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75,450</w:t>
            </w:r>
          </w:p>
        </w:tc>
        <w:tc>
          <w:tcPr>
            <w:tcW w:w="1915" w:type="dxa"/>
          </w:tcPr>
          <w:p w14:paraId="7BDA0B1B"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0.075</w:t>
            </w:r>
          </w:p>
        </w:tc>
        <w:tc>
          <w:tcPr>
            <w:tcW w:w="1916" w:type="dxa"/>
          </w:tcPr>
          <w:p w14:paraId="76E8FDBF"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900,000</w:t>
            </w:r>
          </w:p>
        </w:tc>
      </w:tr>
      <w:tr w:rsidR="008B7B16" w:rsidRPr="00791654" w14:paraId="5AAD40F1" w14:textId="77777777" w:rsidTr="0009233B">
        <w:tc>
          <w:tcPr>
            <w:tcW w:w="1915" w:type="dxa"/>
          </w:tcPr>
          <w:p w14:paraId="4782F266"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A</w:t>
            </w:r>
          </w:p>
        </w:tc>
        <w:tc>
          <w:tcPr>
            <w:tcW w:w="1915" w:type="dxa"/>
          </w:tcPr>
          <w:p w14:paraId="059A0A6D"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600,000</w:t>
            </w:r>
          </w:p>
        </w:tc>
        <w:tc>
          <w:tcPr>
            <w:tcW w:w="1915" w:type="dxa"/>
          </w:tcPr>
          <w:p w14:paraId="018EA323"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45,120</w:t>
            </w:r>
          </w:p>
        </w:tc>
        <w:tc>
          <w:tcPr>
            <w:tcW w:w="1915" w:type="dxa"/>
          </w:tcPr>
          <w:p w14:paraId="58151748"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0.075</w:t>
            </w:r>
          </w:p>
        </w:tc>
        <w:tc>
          <w:tcPr>
            <w:tcW w:w="1916" w:type="dxa"/>
          </w:tcPr>
          <w:p w14:paraId="3C2B0D62" w14:textId="77777777" w:rsidR="0009233B" w:rsidRPr="00791654" w:rsidRDefault="0063748C" w:rsidP="00CB6B9D">
            <w:pPr>
              <w:spacing w:line="480" w:lineRule="auto"/>
              <w:rPr>
                <w:rFonts w:ascii="Times New Roman" w:eastAsia="Times New Roman" w:hAnsi="Times New Roman" w:cs="Times New Roman"/>
                <w:bCs/>
                <w:kern w:val="36"/>
                <w:sz w:val="24"/>
                <w:szCs w:val="24"/>
              </w:rPr>
            </w:pPr>
            <w:r w:rsidRPr="00791654">
              <w:rPr>
                <w:rFonts w:ascii="Times New Roman" w:eastAsia="Times New Roman" w:hAnsi="Times New Roman" w:cs="Times New Roman"/>
                <w:bCs/>
                <w:kern w:val="36"/>
                <w:sz w:val="24"/>
                <w:szCs w:val="24"/>
              </w:rPr>
              <w:t>0</w:t>
            </w:r>
          </w:p>
        </w:tc>
      </w:tr>
    </w:tbl>
    <w:p w14:paraId="43A13D4F" w14:textId="77777777" w:rsidR="005D60DE" w:rsidRPr="00791654" w:rsidRDefault="005D60DE" w:rsidP="005D60DE">
      <w:pPr>
        <w:spacing w:after="0" w:line="480" w:lineRule="auto"/>
        <w:rPr>
          <w:rFonts w:ascii="Times New Roman" w:eastAsia="Times New Roman" w:hAnsi="Times New Roman" w:cs="Times New Roman"/>
          <w:bCs/>
          <w:kern w:val="36"/>
          <w:sz w:val="24"/>
          <w:szCs w:val="24"/>
        </w:rPr>
      </w:pPr>
    </w:p>
    <w:p w14:paraId="1BB9DEC9" w14:textId="77777777" w:rsidR="0009233B" w:rsidRPr="00791654" w:rsidRDefault="0009233B" w:rsidP="00271767">
      <w:pPr>
        <w:rPr>
          <w:rFonts w:ascii="Times New Roman" w:eastAsia="Times New Roman" w:hAnsi="Times New Roman" w:cs="Times New Roman"/>
          <w:bCs/>
          <w:kern w:val="36"/>
          <w:sz w:val="24"/>
          <w:szCs w:val="24"/>
        </w:rPr>
      </w:pPr>
    </w:p>
    <w:sectPr w:rsidR="0009233B" w:rsidRPr="00791654">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89599" w14:textId="77777777" w:rsidR="00F2793F" w:rsidRDefault="00F2793F">
      <w:pPr>
        <w:spacing w:after="0" w:line="240" w:lineRule="auto"/>
      </w:pPr>
      <w:r>
        <w:separator/>
      </w:r>
    </w:p>
  </w:endnote>
  <w:endnote w:type="continuationSeparator" w:id="0">
    <w:p w14:paraId="7C1FC863" w14:textId="77777777" w:rsidR="00F2793F" w:rsidRDefault="00F27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256012"/>
      <w:docPartObj>
        <w:docPartGallery w:val="Page Numbers (Bottom of Page)"/>
        <w:docPartUnique/>
      </w:docPartObj>
    </w:sdtPr>
    <w:sdtEndPr>
      <w:rPr>
        <w:noProof/>
      </w:rPr>
    </w:sdtEndPr>
    <w:sdtContent>
      <w:p w14:paraId="1F360BC1" w14:textId="77777777" w:rsidR="005401D0" w:rsidRDefault="005401D0">
        <w:pPr>
          <w:pStyle w:val="Footer"/>
          <w:jc w:val="right"/>
        </w:pPr>
        <w:r>
          <w:fldChar w:fldCharType="begin"/>
        </w:r>
        <w:r>
          <w:instrText xml:space="preserve"> PAGE   \* MERGEFORMAT </w:instrText>
        </w:r>
        <w:r>
          <w:fldChar w:fldCharType="separate"/>
        </w:r>
        <w:r w:rsidR="00025C9C">
          <w:rPr>
            <w:noProof/>
          </w:rPr>
          <w:t>2</w:t>
        </w:r>
        <w:r>
          <w:rPr>
            <w:noProof/>
          </w:rPr>
          <w:fldChar w:fldCharType="end"/>
        </w:r>
      </w:p>
    </w:sdtContent>
  </w:sdt>
  <w:p w14:paraId="776D9CDD" w14:textId="77777777" w:rsidR="005401D0" w:rsidRDefault="005401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2117E" w14:textId="77777777" w:rsidR="00F2793F" w:rsidRDefault="00F2793F">
      <w:pPr>
        <w:spacing w:after="0" w:line="240" w:lineRule="auto"/>
      </w:pPr>
      <w:r>
        <w:separator/>
      </w:r>
    </w:p>
  </w:footnote>
  <w:footnote w:type="continuationSeparator" w:id="0">
    <w:p w14:paraId="30F187E1" w14:textId="77777777" w:rsidR="00F2793F" w:rsidRDefault="00F279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F592E" w14:textId="77777777" w:rsidR="005401D0" w:rsidRDefault="005401D0">
    <w:pPr>
      <w:pStyle w:val="Header"/>
    </w:pPr>
  </w:p>
  <w:p w14:paraId="678CF859" w14:textId="77777777" w:rsidR="005401D0" w:rsidRDefault="005401D0">
    <w:pPr>
      <w:pStyle w:val="Header"/>
    </w:pPr>
  </w:p>
  <w:p w14:paraId="262068D7" w14:textId="77777777" w:rsidR="005401D0" w:rsidRDefault="005401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62CE"/>
    <w:rsid w:val="00001EE0"/>
    <w:rsid w:val="00005F39"/>
    <w:rsid w:val="00006967"/>
    <w:rsid w:val="00025C9C"/>
    <w:rsid w:val="000267AE"/>
    <w:rsid w:val="00061CD4"/>
    <w:rsid w:val="00063E8C"/>
    <w:rsid w:val="00082427"/>
    <w:rsid w:val="00086633"/>
    <w:rsid w:val="0009233B"/>
    <w:rsid w:val="00093202"/>
    <w:rsid w:val="00093EF3"/>
    <w:rsid w:val="000D26EE"/>
    <w:rsid w:val="000D5834"/>
    <w:rsid w:val="00100930"/>
    <w:rsid w:val="001069EB"/>
    <w:rsid w:val="001214AF"/>
    <w:rsid w:val="00124D34"/>
    <w:rsid w:val="0018753E"/>
    <w:rsid w:val="001923EB"/>
    <w:rsid w:val="001944EA"/>
    <w:rsid w:val="001C0696"/>
    <w:rsid w:val="001E3A90"/>
    <w:rsid w:val="001E6C98"/>
    <w:rsid w:val="00200421"/>
    <w:rsid w:val="00217CC3"/>
    <w:rsid w:val="00232E13"/>
    <w:rsid w:val="00244DD0"/>
    <w:rsid w:val="00271767"/>
    <w:rsid w:val="0027293B"/>
    <w:rsid w:val="002736B3"/>
    <w:rsid w:val="002827E8"/>
    <w:rsid w:val="00292B03"/>
    <w:rsid w:val="002942B6"/>
    <w:rsid w:val="002A240C"/>
    <w:rsid w:val="002A36A4"/>
    <w:rsid w:val="002C5A21"/>
    <w:rsid w:val="002D7922"/>
    <w:rsid w:val="002E1651"/>
    <w:rsid w:val="002F4708"/>
    <w:rsid w:val="00301382"/>
    <w:rsid w:val="0030798D"/>
    <w:rsid w:val="00314713"/>
    <w:rsid w:val="00314F8A"/>
    <w:rsid w:val="00326299"/>
    <w:rsid w:val="003320C9"/>
    <w:rsid w:val="0037086A"/>
    <w:rsid w:val="003A5837"/>
    <w:rsid w:val="003B0651"/>
    <w:rsid w:val="003B0AAD"/>
    <w:rsid w:val="003B3BD0"/>
    <w:rsid w:val="003B7546"/>
    <w:rsid w:val="003D447D"/>
    <w:rsid w:val="003F175A"/>
    <w:rsid w:val="00402A34"/>
    <w:rsid w:val="0042065D"/>
    <w:rsid w:val="00436987"/>
    <w:rsid w:val="00452DD4"/>
    <w:rsid w:val="0045709C"/>
    <w:rsid w:val="00466C18"/>
    <w:rsid w:val="004820BD"/>
    <w:rsid w:val="004821B4"/>
    <w:rsid w:val="004911E1"/>
    <w:rsid w:val="004B2BBB"/>
    <w:rsid w:val="004B683F"/>
    <w:rsid w:val="004C1AD7"/>
    <w:rsid w:val="004C224C"/>
    <w:rsid w:val="004E3CE8"/>
    <w:rsid w:val="004F6C42"/>
    <w:rsid w:val="005141D5"/>
    <w:rsid w:val="005154F7"/>
    <w:rsid w:val="005219A0"/>
    <w:rsid w:val="00527D09"/>
    <w:rsid w:val="00535C14"/>
    <w:rsid w:val="005401D0"/>
    <w:rsid w:val="00585E4B"/>
    <w:rsid w:val="005D60DE"/>
    <w:rsid w:val="005E3D44"/>
    <w:rsid w:val="00611664"/>
    <w:rsid w:val="006142D3"/>
    <w:rsid w:val="006364E8"/>
    <w:rsid w:val="0063748C"/>
    <w:rsid w:val="00637D77"/>
    <w:rsid w:val="00644CDE"/>
    <w:rsid w:val="0068600F"/>
    <w:rsid w:val="00695EB6"/>
    <w:rsid w:val="006B5D40"/>
    <w:rsid w:val="006B6EDA"/>
    <w:rsid w:val="0070308D"/>
    <w:rsid w:val="007110FB"/>
    <w:rsid w:val="00720B1D"/>
    <w:rsid w:val="00727086"/>
    <w:rsid w:val="00735B30"/>
    <w:rsid w:val="007608AF"/>
    <w:rsid w:val="0076278B"/>
    <w:rsid w:val="0077400C"/>
    <w:rsid w:val="00791654"/>
    <w:rsid w:val="0079573F"/>
    <w:rsid w:val="00801E3C"/>
    <w:rsid w:val="00803AB3"/>
    <w:rsid w:val="00834788"/>
    <w:rsid w:val="00834D0E"/>
    <w:rsid w:val="00842207"/>
    <w:rsid w:val="008445ED"/>
    <w:rsid w:val="0084793C"/>
    <w:rsid w:val="00895AEE"/>
    <w:rsid w:val="008B2410"/>
    <w:rsid w:val="008B3A7B"/>
    <w:rsid w:val="008B7B16"/>
    <w:rsid w:val="008D15EA"/>
    <w:rsid w:val="008E2B9D"/>
    <w:rsid w:val="00905159"/>
    <w:rsid w:val="00927EA6"/>
    <w:rsid w:val="00947EBB"/>
    <w:rsid w:val="009519C4"/>
    <w:rsid w:val="00952B37"/>
    <w:rsid w:val="009573D2"/>
    <w:rsid w:val="0096440B"/>
    <w:rsid w:val="009662FA"/>
    <w:rsid w:val="009706F7"/>
    <w:rsid w:val="009929C7"/>
    <w:rsid w:val="009C5EAE"/>
    <w:rsid w:val="009D7A3E"/>
    <w:rsid w:val="009D7BC6"/>
    <w:rsid w:val="009E574C"/>
    <w:rsid w:val="009F6113"/>
    <w:rsid w:val="00A200FF"/>
    <w:rsid w:val="00A268BE"/>
    <w:rsid w:val="00A27850"/>
    <w:rsid w:val="00A27A23"/>
    <w:rsid w:val="00A459B5"/>
    <w:rsid w:val="00A51F17"/>
    <w:rsid w:val="00A7422E"/>
    <w:rsid w:val="00A81F59"/>
    <w:rsid w:val="00A934D1"/>
    <w:rsid w:val="00A96CD4"/>
    <w:rsid w:val="00AB3049"/>
    <w:rsid w:val="00AB3584"/>
    <w:rsid w:val="00AC7202"/>
    <w:rsid w:val="00AE0B02"/>
    <w:rsid w:val="00AF74C1"/>
    <w:rsid w:val="00B06749"/>
    <w:rsid w:val="00B47F44"/>
    <w:rsid w:val="00B51A41"/>
    <w:rsid w:val="00B762C8"/>
    <w:rsid w:val="00B825D3"/>
    <w:rsid w:val="00B9477E"/>
    <w:rsid w:val="00B95224"/>
    <w:rsid w:val="00BD1D75"/>
    <w:rsid w:val="00BD62CE"/>
    <w:rsid w:val="00BE3205"/>
    <w:rsid w:val="00C02A21"/>
    <w:rsid w:val="00C12349"/>
    <w:rsid w:val="00C31112"/>
    <w:rsid w:val="00C61601"/>
    <w:rsid w:val="00C76ADE"/>
    <w:rsid w:val="00C80DC6"/>
    <w:rsid w:val="00CA579B"/>
    <w:rsid w:val="00CB6B9D"/>
    <w:rsid w:val="00D055FE"/>
    <w:rsid w:val="00D07E75"/>
    <w:rsid w:val="00D1246A"/>
    <w:rsid w:val="00D17C5B"/>
    <w:rsid w:val="00D419DB"/>
    <w:rsid w:val="00D43049"/>
    <w:rsid w:val="00D50A7F"/>
    <w:rsid w:val="00DA072B"/>
    <w:rsid w:val="00DB13BC"/>
    <w:rsid w:val="00DB1755"/>
    <w:rsid w:val="00DC1E36"/>
    <w:rsid w:val="00DD165F"/>
    <w:rsid w:val="00DF4C8F"/>
    <w:rsid w:val="00DF4F66"/>
    <w:rsid w:val="00DF7DC3"/>
    <w:rsid w:val="00E118E0"/>
    <w:rsid w:val="00E371B4"/>
    <w:rsid w:val="00E43BFA"/>
    <w:rsid w:val="00E568FD"/>
    <w:rsid w:val="00E65789"/>
    <w:rsid w:val="00E65873"/>
    <w:rsid w:val="00E70204"/>
    <w:rsid w:val="00E77526"/>
    <w:rsid w:val="00E91A81"/>
    <w:rsid w:val="00EA6CF6"/>
    <w:rsid w:val="00EC1C0B"/>
    <w:rsid w:val="00ED1291"/>
    <w:rsid w:val="00ED740E"/>
    <w:rsid w:val="00EE71A1"/>
    <w:rsid w:val="00EF30AE"/>
    <w:rsid w:val="00F04D1C"/>
    <w:rsid w:val="00F1315D"/>
    <w:rsid w:val="00F2793F"/>
    <w:rsid w:val="00F42D98"/>
    <w:rsid w:val="00F70D4D"/>
    <w:rsid w:val="00F710F8"/>
    <w:rsid w:val="00F762AF"/>
    <w:rsid w:val="00F77C93"/>
    <w:rsid w:val="00F819D0"/>
    <w:rsid w:val="00F866D5"/>
    <w:rsid w:val="00FA3932"/>
    <w:rsid w:val="00FA6073"/>
    <w:rsid w:val="00FB14E4"/>
    <w:rsid w:val="00FB5B85"/>
    <w:rsid w:val="00FC3531"/>
    <w:rsid w:val="00FF6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49961"/>
  <w15:docId w15:val="{6FFFE40D-3A1F-4EC8-8FB2-558FFCF3E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767"/>
  </w:style>
  <w:style w:type="paragraph" w:styleId="Heading1">
    <w:name w:val="heading 1"/>
    <w:basedOn w:val="Normal"/>
    <w:next w:val="Normal"/>
    <w:link w:val="Heading1Char"/>
    <w:uiPriority w:val="9"/>
    <w:qFormat/>
    <w:rsid w:val="00D17C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BD62C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D62C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D17C5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D17C5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B14E4"/>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D62C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D62CE"/>
    <w:rPr>
      <w:rFonts w:ascii="Times New Roman" w:eastAsia="Times New Roman" w:hAnsi="Times New Roman" w:cs="Times New Roman"/>
      <w:b/>
      <w:bCs/>
      <w:sz w:val="27"/>
      <w:szCs w:val="27"/>
    </w:rPr>
  </w:style>
  <w:style w:type="paragraph" w:styleId="NormalWeb">
    <w:name w:val="Normal (Web)"/>
    <w:basedOn w:val="Normal"/>
    <w:uiPriority w:val="99"/>
    <w:unhideWhenUsed/>
    <w:rsid w:val="00BD62CE"/>
    <w:rPr>
      <w:rFonts w:ascii="Times New Roman" w:hAnsi="Times New Roman" w:cs="Times New Roman"/>
      <w:sz w:val="24"/>
      <w:szCs w:val="24"/>
    </w:rPr>
  </w:style>
  <w:style w:type="character" w:styleId="Strong">
    <w:name w:val="Strong"/>
    <w:basedOn w:val="DefaultParagraphFont"/>
    <w:uiPriority w:val="22"/>
    <w:qFormat/>
    <w:rsid w:val="00BD62CE"/>
    <w:rPr>
      <w:b/>
      <w:bCs/>
    </w:rPr>
  </w:style>
  <w:style w:type="character" w:customStyle="1" w:styleId="Heading1Char">
    <w:name w:val="Heading 1 Char"/>
    <w:basedOn w:val="DefaultParagraphFont"/>
    <w:link w:val="Heading1"/>
    <w:uiPriority w:val="9"/>
    <w:rsid w:val="00D17C5B"/>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rsid w:val="00D17C5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D17C5B"/>
    <w:rPr>
      <w:rFonts w:asciiTheme="majorHAnsi" w:eastAsiaTheme="majorEastAsia" w:hAnsiTheme="majorHAnsi" w:cstheme="majorBidi"/>
      <w:color w:val="243F60" w:themeColor="accent1" w:themeShade="7F"/>
    </w:rPr>
  </w:style>
  <w:style w:type="paragraph" w:styleId="TOCHeading">
    <w:name w:val="TOC Heading"/>
    <w:basedOn w:val="Heading1"/>
    <w:next w:val="Normal"/>
    <w:uiPriority w:val="39"/>
    <w:semiHidden/>
    <w:unhideWhenUsed/>
    <w:qFormat/>
    <w:rsid w:val="00727086"/>
    <w:pPr>
      <w:outlineLvl w:val="9"/>
    </w:pPr>
    <w:rPr>
      <w:lang w:eastAsia="ja-JP"/>
    </w:rPr>
  </w:style>
  <w:style w:type="paragraph" w:styleId="TOC1">
    <w:name w:val="toc 1"/>
    <w:basedOn w:val="Normal"/>
    <w:next w:val="Normal"/>
    <w:autoRedefine/>
    <w:uiPriority w:val="39"/>
    <w:unhideWhenUsed/>
    <w:qFormat/>
    <w:rsid w:val="00727086"/>
    <w:pPr>
      <w:spacing w:after="100"/>
    </w:pPr>
  </w:style>
  <w:style w:type="paragraph" w:styleId="TOC2">
    <w:name w:val="toc 2"/>
    <w:basedOn w:val="Normal"/>
    <w:next w:val="Normal"/>
    <w:autoRedefine/>
    <w:uiPriority w:val="39"/>
    <w:unhideWhenUsed/>
    <w:qFormat/>
    <w:rsid w:val="00727086"/>
    <w:pPr>
      <w:spacing w:after="100"/>
      <w:ind w:left="220"/>
    </w:pPr>
  </w:style>
  <w:style w:type="paragraph" w:styleId="TOC3">
    <w:name w:val="toc 3"/>
    <w:basedOn w:val="Normal"/>
    <w:next w:val="Normal"/>
    <w:autoRedefine/>
    <w:uiPriority w:val="39"/>
    <w:unhideWhenUsed/>
    <w:qFormat/>
    <w:rsid w:val="00727086"/>
    <w:pPr>
      <w:spacing w:after="100"/>
      <w:ind w:left="440"/>
    </w:pPr>
  </w:style>
  <w:style w:type="character" w:styleId="Hyperlink">
    <w:name w:val="Hyperlink"/>
    <w:basedOn w:val="DefaultParagraphFont"/>
    <w:uiPriority w:val="99"/>
    <w:unhideWhenUsed/>
    <w:rsid w:val="00727086"/>
    <w:rPr>
      <w:color w:val="0000FF" w:themeColor="hyperlink"/>
      <w:u w:val="single"/>
    </w:rPr>
  </w:style>
  <w:style w:type="paragraph" w:styleId="BalloonText">
    <w:name w:val="Balloon Text"/>
    <w:basedOn w:val="Normal"/>
    <w:link w:val="BalloonTextChar"/>
    <w:uiPriority w:val="99"/>
    <w:semiHidden/>
    <w:unhideWhenUsed/>
    <w:rsid w:val="007270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7086"/>
    <w:rPr>
      <w:rFonts w:ascii="Tahoma" w:hAnsi="Tahoma" w:cs="Tahoma"/>
      <w:sz w:val="16"/>
      <w:szCs w:val="16"/>
    </w:rPr>
  </w:style>
  <w:style w:type="paragraph" w:styleId="Header">
    <w:name w:val="header"/>
    <w:basedOn w:val="Normal"/>
    <w:link w:val="HeaderChar"/>
    <w:uiPriority w:val="99"/>
    <w:unhideWhenUsed/>
    <w:rsid w:val="00B47F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7F44"/>
  </w:style>
  <w:style w:type="paragraph" w:styleId="Footer">
    <w:name w:val="footer"/>
    <w:basedOn w:val="Normal"/>
    <w:link w:val="FooterChar"/>
    <w:uiPriority w:val="99"/>
    <w:unhideWhenUsed/>
    <w:rsid w:val="00B47F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7F44"/>
  </w:style>
  <w:style w:type="paragraph" w:styleId="NoSpacing">
    <w:name w:val="No Spacing"/>
    <w:uiPriority w:val="1"/>
    <w:qFormat/>
    <w:rsid w:val="00DB1755"/>
    <w:pPr>
      <w:spacing w:after="0" w:line="240" w:lineRule="auto"/>
    </w:pPr>
  </w:style>
  <w:style w:type="character" w:styleId="Emphasis">
    <w:name w:val="Emphasis"/>
    <w:basedOn w:val="DefaultParagraphFont"/>
    <w:uiPriority w:val="20"/>
    <w:qFormat/>
    <w:rsid w:val="00AC7202"/>
    <w:rPr>
      <w:i/>
      <w:iCs/>
    </w:rPr>
  </w:style>
  <w:style w:type="character" w:customStyle="1" w:styleId="mord">
    <w:name w:val="mord"/>
    <w:basedOn w:val="DefaultParagraphFont"/>
    <w:rsid w:val="00AC7202"/>
  </w:style>
  <w:style w:type="character" w:customStyle="1" w:styleId="vlist-s">
    <w:name w:val="vlist-s"/>
    <w:basedOn w:val="DefaultParagraphFont"/>
    <w:rsid w:val="00AC7202"/>
  </w:style>
  <w:style w:type="character" w:customStyle="1" w:styleId="mbin">
    <w:name w:val="mbin"/>
    <w:basedOn w:val="DefaultParagraphFont"/>
    <w:rsid w:val="00AC7202"/>
  </w:style>
  <w:style w:type="character" w:customStyle="1" w:styleId="mrel">
    <w:name w:val="mrel"/>
    <w:basedOn w:val="DefaultParagraphFont"/>
    <w:rsid w:val="00AC7202"/>
  </w:style>
  <w:style w:type="table" w:styleId="TableGrid">
    <w:name w:val="Table Grid"/>
    <w:basedOn w:val="TableNormal"/>
    <w:uiPriority w:val="59"/>
    <w:rsid w:val="00092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FB14E4"/>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842819">
      <w:bodyDiv w:val="1"/>
      <w:marLeft w:val="0"/>
      <w:marRight w:val="0"/>
      <w:marTop w:val="0"/>
      <w:marBottom w:val="0"/>
      <w:divBdr>
        <w:top w:val="none" w:sz="0" w:space="0" w:color="auto"/>
        <w:left w:val="none" w:sz="0" w:space="0" w:color="auto"/>
        <w:bottom w:val="none" w:sz="0" w:space="0" w:color="auto"/>
        <w:right w:val="none" w:sz="0" w:space="0" w:color="auto"/>
      </w:divBdr>
      <w:divsChild>
        <w:div w:id="19805379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3263127">
          <w:blockQuote w:val="1"/>
          <w:marLeft w:val="720"/>
          <w:marRight w:val="720"/>
          <w:marTop w:val="100"/>
          <w:marBottom w:val="100"/>
          <w:divBdr>
            <w:top w:val="none" w:sz="0" w:space="0" w:color="auto"/>
            <w:left w:val="none" w:sz="0" w:space="0" w:color="auto"/>
            <w:bottom w:val="none" w:sz="0" w:space="0" w:color="auto"/>
            <w:right w:val="none" w:sz="0" w:space="0" w:color="auto"/>
          </w:divBdr>
        </w:div>
        <w:div w:id="1596937227">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09698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9353355">
          <w:blockQuote w:val="1"/>
          <w:marLeft w:val="720"/>
          <w:marRight w:val="720"/>
          <w:marTop w:val="100"/>
          <w:marBottom w:val="100"/>
          <w:divBdr>
            <w:top w:val="none" w:sz="0" w:space="0" w:color="auto"/>
            <w:left w:val="none" w:sz="0" w:space="0" w:color="auto"/>
            <w:bottom w:val="none" w:sz="0" w:space="0" w:color="auto"/>
            <w:right w:val="none" w:sz="0" w:space="0" w:color="auto"/>
          </w:divBdr>
        </w:div>
        <w:div w:id="1678923220">
          <w:blockQuote w:val="1"/>
          <w:marLeft w:val="720"/>
          <w:marRight w:val="720"/>
          <w:marTop w:val="100"/>
          <w:marBottom w:val="100"/>
          <w:divBdr>
            <w:top w:val="none" w:sz="0" w:space="0" w:color="auto"/>
            <w:left w:val="none" w:sz="0" w:space="0" w:color="auto"/>
            <w:bottom w:val="none" w:sz="0" w:space="0" w:color="auto"/>
            <w:right w:val="none" w:sz="0" w:space="0" w:color="auto"/>
          </w:divBdr>
        </w:div>
        <w:div w:id="1072585348">
          <w:blockQuote w:val="1"/>
          <w:marLeft w:val="720"/>
          <w:marRight w:val="720"/>
          <w:marTop w:val="100"/>
          <w:marBottom w:val="100"/>
          <w:divBdr>
            <w:top w:val="none" w:sz="0" w:space="0" w:color="auto"/>
            <w:left w:val="none" w:sz="0" w:space="0" w:color="auto"/>
            <w:bottom w:val="none" w:sz="0" w:space="0" w:color="auto"/>
            <w:right w:val="none" w:sz="0" w:space="0" w:color="auto"/>
          </w:divBdr>
        </w:div>
        <w:div w:id="434599500">
          <w:blockQuote w:val="1"/>
          <w:marLeft w:val="720"/>
          <w:marRight w:val="720"/>
          <w:marTop w:val="100"/>
          <w:marBottom w:val="100"/>
          <w:divBdr>
            <w:top w:val="none" w:sz="0" w:space="0" w:color="auto"/>
            <w:left w:val="none" w:sz="0" w:space="0" w:color="auto"/>
            <w:bottom w:val="none" w:sz="0" w:space="0" w:color="auto"/>
            <w:right w:val="none" w:sz="0" w:space="0" w:color="auto"/>
          </w:divBdr>
        </w:div>
        <w:div w:id="1973050789">
          <w:blockQuote w:val="1"/>
          <w:marLeft w:val="720"/>
          <w:marRight w:val="720"/>
          <w:marTop w:val="100"/>
          <w:marBottom w:val="100"/>
          <w:divBdr>
            <w:top w:val="none" w:sz="0" w:space="0" w:color="auto"/>
            <w:left w:val="none" w:sz="0" w:space="0" w:color="auto"/>
            <w:bottom w:val="none" w:sz="0" w:space="0" w:color="auto"/>
            <w:right w:val="none" w:sz="0" w:space="0" w:color="auto"/>
          </w:divBdr>
        </w:div>
        <w:div w:id="554201377">
          <w:blockQuote w:val="1"/>
          <w:marLeft w:val="720"/>
          <w:marRight w:val="720"/>
          <w:marTop w:val="100"/>
          <w:marBottom w:val="100"/>
          <w:divBdr>
            <w:top w:val="none" w:sz="0" w:space="0" w:color="auto"/>
            <w:left w:val="none" w:sz="0" w:space="0" w:color="auto"/>
            <w:bottom w:val="none" w:sz="0" w:space="0" w:color="auto"/>
            <w:right w:val="none" w:sz="0" w:space="0" w:color="auto"/>
          </w:divBdr>
        </w:div>
        <w:div w:id="4826236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0708895">
      <w:bodyDiv w:val="1"/>
      <w:marLeft w:val="0"/>
      <w:marRight w:val="0"/>
      <w:marTop w:val="0"/>
      <w:marBottom w:val="0"/>
      <w:divBdr>
        <w:top w:val="none" w:sz="0" w:space="0" w:color="auto"/>
        <w:left w:val="none" w:sz="0" w:space="0" w:color="auto"/>
        <w:bottom w:val="none" w:sz="0" w:space="0" w:color="auto"/>
        <w:right w:val="none" w:sz="0" w:space="0" w:color="auto"/>
      </w:divBdr>
    </w:div>
    <w:div w:id="941837289">
      <w:bodyDiv w:val="1"/>
      <w:marLeft w:val="0"/>
      <w:marRight w:val="0"/>
      <w:marTop w:val="0"/>
      <w:marBottom w:val="0"/>
      <w:divBdr>
        <w:top w:val="none" w:sz="0" w:space="0" w:color="auto"/>
        <w:left w:val="none" w:sz="0" w:space="0" w:color="auto"/>
        <w:bottom w:val="none" w:sz="0" w:space="0" w:color="auto"/>
        <w:right w:val="none" w:sz="0" w:space="0" w:color="auto"/>
      </w:divBdr>
    </w:div>
    <w:div w:id="1354264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xtplc.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vestopedia.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extpl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BB51B-2189-4B84-A849-8C1D8E927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31</Pages>
  <Words>5832</Words>
  <Characters>33249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Essar Telecom Kenya</Company>
  <LinksUpToDate>false</LinksUpToDate>
  <CharactersWithSpaces>39003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Muhammad Shaheryar (2507012)</cp:lastModifiedBy>
  <cp:revision>28</cp:revision>
  <dcterms:created xsi:type="dcterms:W3CDTF">2025-12-20T21:20:00Z</dcterms:created>
  <dcterms:modified xsi:type="dcterms:W3CDTF">2026-01-09T12:52:00Z</dcterms:modified>
</cp:coreProperties>
</file>