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customXml/itemProps1.xml" ContentType="application/vnd.openxmlformats-officedocument.customXmlProperties+xml"/>
  <Override PartName="/word/styles.xml" ContentType="application/vnd.openxmlformats-officedocument.wordprocessingml.styl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 w14:paraId="00000006">
      <w:pPr>
        <w:spacing w:line="259" w:lineRule="auto"/>
        <w:jc w:val="center"/>
        <w:rPr>
          <w:b/>
          <w:bCs/>
          <w:sz w:val="36"/>
          <w:szCs w:val="36"/>
        </w:rPr>
      </w:pPr>
      <w:r>
        <w:rPr>
          <w:b/>
          <w:bCs/>
          <w:sz w:val="36"/>
          <w:szCs w:val="36"/>
        </w:rPr>
        <w:t>Financial Management for the Hotel Industry</w:t>
      </w:r>
    </w:p>
    <w:p w14:paraId="00000007">
      <w:pPr>
        <w:spacing w:line="259" w:lineRule="auto"/>
        <w:jc w:val="center"/>
        <w:rPr>
          <w:b w:val="off"/>
          <w:bCs w:val="off"/>
        </w:rPr>
      </w:pPr>
      <w:r>
        <w:rPr>
          <w:b w:val="off"/>
          <w:bCs w:val="off"/>
          <w:sz w:val="36"/>
          <w:szCs w:val="36"/>
        </w:rPr>
        <w:t>BMIH5007</w:t>
      </w:r>
    </w:p>
    <w:p w14:paraId="00000008">
      <w:pPr>
        <w:spacing w:line="259" w:lineRule="auto"/>
        <w:jc w:val="center"/>
        <w:rPr>
          <w:b/>
          <w:bCs/>
        </w:rPr>
      </w:pPr>
      <w:r>
        <w:rPr>
          <w:b/>
          <w:bCs/>
          <w:sz w:val="36"/>
          <w:szCs w:val="36"/>
        </w:rPr>
        <w:t>Business Report - Comparison of Two Hospitality Organisations</w:t>
      </w:r>
    </w:p>
    <w:p w14:paraId="00000009">
      <w:pPr>
        <w:spacing w:line="259" w:lineRule="auto"/>
        <w:jc w:val="center"/>
        <w:rPr>
          <w:b w:val="off"/>
          <w:bCs w:val="off"/>
          <w:sz w:val="32"/>
          <w:szCs w:val="32"/>
        </w:rPr>
      </w:pPr>
    </w:p>
    <w:p w14:paraId="0000000A">
      <w:pPr>
        <w:spacing w:line="259" w:lineRule="auto"/>
        <w:jc w:val="center"/>
        <w:rPr>
          <w:b w:val="off"/>
          <w:bCs w:val="off"/>
          <w:sz w:val="32"/>
          <w:szCs w:val="32"/>
        </w:rPr>
      </w:pPr>
      <w:r>
        <w:rPr>
          <w:b w:val="off"/>
          <w:bCs w:val="off"/>
          <w:sz w:val="32"/>
          <w:szCs w:val="32"/>
        </w:rPr>
        <w:t>Lecturer: Tristan Hawkins</w:t>
      </w:r>
    </w:p>
    <w:p w14:paraId="0000000B">
      <w:pPr>
        <w:spacing w:line="259" w:lineRule="auto"/>
        <w:jc w:val="center"/>
        <w:rPr>
          <w:b w:val="off"/>
          <w:bCs w:val="off"/>
          <w:sz w:val="32"/>
          <w:szCs w:val="32"/>
        </w:rPr>
      </w:pPr>
      <w:r>
        <w:rPr>
          <w:b w:val="off"/>
          <w:bCs w:val="off"/>
          <w:sz w:val="32"/>
          <w:szCs w:val="32"/>
        </w:rPr>
        <w:t>Student Name: Alexandra Simona Stroe</w:t>
      </w:r>
    </w:p>
    <w:p w14:paraId="0000000C">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center"/>
        <w:rPr>
          <w:rFonts w:ascii="Segoe UI"/>
          <w:b w:val="off"/>
          <w:bCs w:val="off"/>
          <w:color w:val="000000"/>
          <w:sz w:val="32"/>
          <w:szCs w:val="32"/>
          <w:lang w:val="en-US"/>
        </w:rPr>
      </w:pPr>
      <w:r>
        <w:rPr>
          <w:b w:val="off"/>
          <w:bCs w:val="off"/>
          <w:sz w:val="32"/>
          <w:szCs w:val="32"/>
        </w:rPr>
        <w:t xml:space="preserve">Student ID: </w:t>
      </w:r>
      <w:r>
        <w:rPr>
          <w:b w:val="off"/>
          <w:bCs w:val="off"/>
          <w:sz w:val="32"/>
          <w:szCs w:val="32"/>
        </w:rPr>
        <w:t>202914</w:t>
      </w:r>
    </w:p>
    <w:p w14:paraId="0000000D">
      <w:pPr>
        <w:spacing w:line="259" w:lineRule="auto"/>
        <w:jc w:val="center"/>
        <w:rPr>
          <w:sz w:val="32"/>
          <w:szCs w:val="32"/>
        </w:rPr>
      </w:pPr>
      <w:r>
        <w:rPr>
          <w:b/>
          <w:bCs/>
          <w:sz w:val="32"/>
          <w:szCs w:val="32"/>
        </w:rPr>
        <w:tab/>
      </w:r>
      <w:r>
        <w:rPr>
          <w:sz w:val="32"/>
          <w:szCs w:val="32"/>
        </w:rPr>
        <w:br w:type="page"/>
      </w:r>
    </w:p>
    <w:p w14:paraId="0000000E">
      <w:pPr>
        <w:pStyle w:val="TOCHeading"/>
        <w:rPr/>
      </w:pPr>
      <w:r>
        <w:t>Table of Contents</w:t>
      </w:r>
    </w:p>
    <w:p w14:paraId="0000000F">
      <w:pPr>
        <w:pStyle w:val="Toc1"/>
        <w:tabs>
          <w:tab w:val="right" w:leader="dot" w:pos="9350"/>
        </w:tabs>
        <w:rPr>
          <w:rFonts w:asciiTheme="minorHAnsi" w:cs="Vrinda" w:eastAsiaTheme="minorEastAsia" w:hAnsiTheme="minorHAnsi"/>
          <w:sz w:val="22"/>
          <w:szCs w:val="28"/>
          <w:lang w:bidi="bn-BD"/>
          <w14:ligatures w14:val="standardContextual"/>
        </w:rPr>
      </w:pPr>
      <w:r>
        <w:fldChar w:fldCharType="begin"/>
      </w:r>
      <w:r>
        <w:instrText xml:space="preserve"> TOC \o "1-3" \h \z \u </w:instrText>
      </w:r>
      <w:r>
        <w:fldChar w:fldCharType="separate"/>
      </w:r>
      <w:r>
        <w:fldChar w:fldCharType="begin"/>
      </w:r>
      <w:r>
        <w:instrText xml:space="preserve">HYPERLINK \l "_Toc148623059" </w:instrText>
      </w:r>
      <w:r>
        <w:fldChar w:fldCharType="separate"/>
      </w:r>
      <w:r>
        <w:rPr>
          <w:rStyle w:val="Hyperlink"/>
        </w:rPr>
        <w:t>Introduction</w:t>
      </w:r>
      <w:r>
        <w:tab/>
      </w:r>
      <w:r>
        <w:fldChar w:fldCharType="begin"/>
      </w:r>
      <w:r>
        <w:instrText xml:space="preserve"> PAGEREF _Toc148623059 \h </w:instrText>
      </w:r>
      <w:r>
        <w:fldChar w:fldCharType="separate"/>
      </w:r>
      <w:r>
        <w:t>3</w:t>
      </w:r>
      <w:r>
        <w:fldChar w:fldCharType="end"/>
      </w:r>
      <w:r>
        <w:fldChar w:fldCharType="end"/>
      </w:r>
    </w:p>
    <w:p w14:paraId="00000010">
      <w:pPr>
        <w:pStyle w:val="Toc1"/>
        <w:tabs>
          <w:tab w:val="right" w:leader="dot" w:pos="9350"/>
        </w:tabs>
        <w:rPr>
          <w:rFonts w:asciiTheme="minorHAnsi" w:cs="Vrinda" w:eastAsiaTheme="minorEastAsia" w:hAnsiTheme="minorHAnsi"/>
          <w:sz w:val="22"/>
          <w:szCs w:val="28"/>
          <w:lang w:bidi="bn-BD"/>
          <w14:ligatures w14:val="standardContextual"/>
        </w:rPr>
      </w:pPr>
      <w:r>
        <w:fldChar w:fldCharType="begin"/>
      </w:r>
      <w:r>
        <w:instrText xml:space="preserve">HYPERLINK \l "_Toc148623060" </w:instrText>
      </w:r>
      <w:r>
        <w:fldChar w:fldCharType="separate"/>
      </w:r>
      <w:r>
        <w:rPr>
          <w:rStyle w:val="Hyperlink"/>
        </w:rPr>
        <w:t>Total Revenue</w:t>
      </w:r>
      <w:r>
        <w:tab/>
      </w:r>
      <w:r>
        <w:fldChar w:fldCharType="begin"/>
      </w:r>
      <w:r>
        <w:instrText xml:space="preserve"> PAGEREF _Toc148623060 \h </w:instrText>
      </w:r>
      <w:r>
        <w:fldChar w:fldCharType="separate"/>
      </w:r>
      <w:r>
        <w:t>4</w:t>
      </w:r>
      <w:r>
        <w:fldChar w:fldCharType="end"/>
      </w:r>
      <w:r>
        <w:fldChar w:fldCharType="end"/>
      </w:r>
    </w:p>
    <w:p w14:paraId="00000011">
      <w:pPr>
        <w:pStyle w:val="Toc1"/>
        <w:tabs>
          <w:tab w:val="right" w:leader="dot" w:pos="9350"/>
        </w:tabs>
        <w:rPr>
          <w:rFonts w:asciiTheme="minorHAnsi" w:cs="Vrinda" w:eastAsiaTheme="minorEastAsia" w:hAnsiTheme="minorHAnsi"/>
          <w:sz w:val="22"/>
          <w:szCs w:val="28"/>
          <w:lang w:bidi="bn-BD"/>
          <w14:ligatures w14:val="standardContextual"/>
        </w:rPr>
      </w:pPr>
      <w:r>
        <w:fldChar w:fldCharType="begin"/>
      </w:r>
      <w:r>
        <w:instrText xml:space="preserve">HYPERLINK \l "_Toc148623061" </w:instrText>
      </w:r>
      <w:r>
        <w:fldChar w:fldCharType="separate"/>
      </w:r>
      <w:r>
        <w:rPr>
          <w:rStyle w:val="Hyperlink"/>
        </w:rPr>
        <w:t>Market Share</w:t>
      </w:r>
      <w:r>
        <w:tab/>
      </w:r>
      <w:r>
        <w:fldChar w:fldCharType="begin"/>
      </w:r>
      <w:r>
        <w:instrText xml:space="preserve"> PAGEREF _Toc148623061 \h </w:instrText>
      </w:r>
      <w:r>
        <w:fldChar w:fldCharType="separate"/>
      </w:r>
      <w:r>
        <w:t>5</w:t>
      </w:r>
      <w:r>
        <w:fldChar w:fldCharType="end"/>
      </w:r>
      <w:r>
        <w:fldChar w:fldCharType="end"/>
      </w:r>
    </w:p>
    <w:p w14:paraId="00000012">
      <w:pPr>
        <w:pStyle w:val="Toc1"/>
        <w:tabs>
          <w:tab w:val="right" w:leader="dot" w:pos="9350"/>
        </w:tabs>
        <w:rPr>
          <w:rFonts w:asciiTheme="minorHAnsi" w:cs="Vrinda" w:eastAsiaTheme="minorEastAsia" w:hAnsiTheme="minorHAnsi"/>
          <w:sz w:val="22"/>
          <w:szCs w:val="28"/>
          <w:lang w:bidi="bn-BD"/>
          <w14:ligatures w14:val="standardContextual"/>
        </w:rPr>
      </w:pPr>
      <w:r>
        <w:fldChar w:fldCharType="begin"/>
      </w:r>
      <w:r>
        <w:instrText xml:space="preserve">HYPERLINK \l "_Toc148623062" </w:instrText>
      </w:r>
      <w:r>
        <w:fldChar w:fldCharType="separate"/>
      </w:r>
      <w:r>
        <w:rPr>
          <w:rStyle w:val="Hyperlink"/>
        </w:rPr>
        <w:t>Growth Potential</w:t>
      </w:r>
      <w:r>
        <w:tab/>
      </w:r>
      <w:r>
        <w:fldChar w:fldCharType="begin"/>
      </w:r>
      <w:r>
        <w:instrText xml:space="preserve"> PAGEREF _Toc148623062 \h </w:instrText>
      </w:r>
      <w:r>
        <w:fldChar w:fldCharType="separate"/>
      </w:r>
      <w:r>
        <w:t>7</w:t>
      </w:r>
      <w:r>
        <w:fldChar w:fldCharType="end"/>
      </w:r>
      <w:r>
        <w:fldChar w:fldCharType="end"/>
      </w:r>
    </w:p>
    <w:p w14:paraId="00000013">
      <w:pPr>
        <w:pStyle w:val="Toc1"/>
        <w:tabs>
          <w:tab w:val="right" w:leader="dot" w:pos="9350"/>
        </w:tabs>
        <w:rPr>
          <w:rFonts w:asciiTheme="minorHAnsi" w:cs="Vrinda" w:eastAsiaTheme="minorEastAsia" w:hAnsiTheme="minorHAnsi"/>
          <w:sz w:val="22"/>
          <w:szCs w:val="28"/>
          <w:lang w:bidi="bn-BD"/>
          <w14:ligatures w14:val="standardContextual"/>
        </w:rPr>
      </w:pPr>
      <w:r>
        <w:fldChar w:fldCharType="begin"/>
      </w:r>
      <w:r>
        <w:instrText xml:space="preserve">HYPERLINK \l "_Toc148623063" </w:instrText>
      </w:r>
      <w:r>
        <w:fldChar w:fldCharType="separate"/>
      </w:r>
      <w:r>
        <w:rPr>
          <w:rStyle w:val="Hyperlink"/>
        </w:rPr>
        <w:t>Financial Promise to CSR</w:t>
      </w:r>
      <w:r>
        <w:tab/>
      </w:r>
      <w:r>
        <w:fldChar w:fldCharType="begin"/>
      </w:r>
      <w:r>
        <w:instrText xml:space="preserve"> PAGEREF _Toc148623063 \h </w:instrText>
      </w:r>
      <w:r>
        <w:fldChar w:fldCharType="separate"/>
      </w:r>
      <w:r>
        <w:t>8</w:t>
      </w:r>
      <w:r>
        <w:fldChar w:fldCharType="end"/>
      </w:r>
      <w:r>
        <w:fldChar w:fldCharType="end"/>
      </w:r>
    </w:p>
    <w:p w14:paraId="00000014">
      <w:pPr>
        <w:pStyle w:val="Toc1"/>
        <w:tabs>
          <w:tab w:val="right" w:leader="dot" w:pos="9350"/>
        </w:tabs>
        <w:rPr>
          <w:rFonts w:asciiTheme="minorHAnsi" w:cs="Vrinda" w:eastAsiaTheme="minorEastAsia" w:hAnsiTheme="minorHAnsi"/>
          <w:sz w:val="22"/>
          <w:szCs w:val="28"/>
          <w:lang w:bidi="bn-BD"/>
          <w14:ligatures w14:val="standardContextual"/>
        </w:rPr>
      </w:pPr>
      <w:r>
        <w:fldChar w:fldCharType="begin"/>
      </w:r>
      <w:r>
        <w:instrText xml:space="preserve">HYPERLINK \l "_Toc148623064" </w:instrText>
      </w:r>
      <w:r>
        <w:fldChar w:fldCharType="separate"/>
      </w:r>
      <w:r>
        <w:rPr>
          <w:rStyle w:val="Hyperlink"/>
        </w:rPr>
        <w:t>Conclusion and recommendations</w:t>
      </w:r>
      <w:r>
        <w:tab/>
      </w:r>
      <w:r>
        <w:fldChar w:fldCharType="begin"/>
      </w:r>
      <w:r>
        <w:instrText xml:space="preserve"> PAGEREF _Toc148623064 \h </w:instrText>
      </w:r>
      <w:r>
        <w:fldChar w:fldCharType="separate"/>
      </w:r>
      <w:r>
        <w:t>12</w:t>
      </w:r>
      <w:r>
        <w:fldChar w:fldCharType="end"/>
      </w:r>
      <w:r>
        <w:fldChar w:fldCharType="end"/>
      </w:r>
    </w:p>
    <w:p w14:paraId="00000015">
      <w:pPr>
        <w:pStyle w:val="Toc1"/>
        <w:tabs>
          <w:tab w:val="right" w:leader="dot" w:pos="9350"/>
        </w:tabs>
        <w:rPr>
          <w:rFonts w:asciiTheme="minorHAnsi" w:cs="Vrinda" w:eastAsiaTheme="minorEastAsia" w:hAnsiTheme="minorHAnsi"/>
          <w:sz w:val="22"/>
          <w:szCs w:val="28"/>
          <w:lang w:bidi="bn-BD"/>
          <w14:ligatures w14:val="standardContextual"/>
        </w:rPr>
      </w:pPr>
      <w:r>
        <w:fldChar w:fldCharType="begin"/>
      </w:r>
      <w:r>
        <w:instrText xml:space="preserve">HYPERLINK \l "_Toc148623065" </w:instrText>
      </w:r>
      <w:r>
        <w:fldChar w:fldCharType="separate"/>
      </w:r>
      <w:r>
        <w:rPr>
          <w:rStyle w:val="Hyperlink"/>
        </w:rPr>
        <w:t>Reference</w:t>
      </w:r>
      <w:r>
        <w:tab/>
      </w:r>
      <w:r>
        <w:fldChar w:fldCharType="begin"/>
      </w:r>
      <w:r>
        <w:instrText xml:space="preserve"> PAGEREF _Toc148623065 \h </w:instrText>
      </w:r>
      <w:r>
        <w:fldChar w:fldCharType="separate"/>
      </w:r>
      <w:r>
        <w:t>13</w:t>
      </w:r>
      <w:r>
        <w:fldChar w:fldCharType="end"/>
      </w:r>
      <w:r>
        <w:fldChar w:fldCharType="end"/>
      </w:r>
    </w:p>
    <w:p w14:paraId="00000016">
      <w:r>
        <w:fldChar w:fldCharType="end"/>
      </w:r>
    </w:p>
    <w:p w14:paraId="00000017"/>
    <w:p w14:paraId="00000018">
      <w:pPr>
        <w:spacing w:line="259" w:lineRule="auto"/>
        <w:jc w:val="left"/>
        <w:rPr/>
      </w:pPr>
      <w:r>
        <w:rPr/>
        <w:br w:type="page"/>
      </w:r>
    </w:p>
    <w:p w14:paraId="00000019">
      <w:pPr>
        <w:pStyle w:val="Heading1"/>
        <w:rPr/>
      </w:pPr>
      <w:bookmarkStart w:id="0" w:name="_Toc148623059"/>
      <w:r>
        <w:t>Introduction</w:t>
      </w:r>
      <w:bookmarkEnd w:id="0"/>
      <w:r>
        <w:t xml:space="preserve"> </w:t>
      </w:r>
    </w:p>
    <w:p w14:paraId="0000001A">
      <w:r>
        <w:t xml:space="preserve">This research focuses on four main areas: overall revenue, market size, possibilities for growth, and the company's social responsibility (CSR) commitment </w:t>
      </w:r>
      <w:r>
        <w:t>to</w:t>
      </w:r>
      <w:r>
        <w:t xml:space="preserve"> two major participants in the hospitality industry: Mandarin Oriental Hotel Group and Premier Inn. We intend to learn more about their financial health, market standing, prospects, and dedication to sustainable and ethical business </w:t>
      </w:r>
      <w:r>
        <w:t>practices</w:t>
      </w:r>
      <w:r>
        <w:t xml:space="preserve"> by digging into these areas. By highlighting each firm's distinctive approaches and skills throughout its many market sectors, this research will provide a thorough grasp of each firm's present position in the industry.</w:t>
      </w:r>
    </w:p>
    <w:p w14:paraId="0000001B"/>
    <w:p w14:paraId="0000001C"/>
    <w:p w14:paraId="0000001D">
      <w:pPr>
        <w:spacing w:line="259" w:lineRule="auto"/>
        <w:jc w:val="left"/>
        <w:rPr/>
      </w:pPr>
      <w:r>
        <w:rPr/>
        <w:br w:type="page"/>
      </w:r>
    </w:p>
    <w:p w14:paraId="0000001E">
      <w:pPr>
        <w:pStyle w:val="Heading1"/>
        <w:rPr/>
      </w:pPr>
      <w:bookmarkStart w:id="1" w:name="_Toc148623060"/>
      <w:r>
        <w:t>Total Revenue</w:t>
      </w:r>
      <w:bookmarkEnd w:id="1"/>
    </w:p>
    <w:p w14:paraId="0000001F">
      <w:pPr>
        <w:rPr>
          <w:b/>
          <w:bCs/>
          <w:i/>
          <w:iCs/>
        </w:rPr>
      </w:pPr>
      <w:r>
        <w:rPr>
          <w:b/>
          <w:bCs/>
          <w:i/>
          <w:iCs/>
        </w:rPr>
        <w:t xml:space="preserve">The Mandarin Oriental </w:t>
      </w:r>
    </w:p>
    <w:p w14:paraId="00000020">
      <w:r>
        <w:t xml:space="preserve">The Mandarin Oriental is well-known for its high-end lodgings and excellent service. According to its </w:t>
      </w:r>
      <w:r>
        <w:t>2023</w:t>
      </w:r>
      <w:r>
        <w:t xml:space="preserve"> annual report, the Mandarin Oriental anticipates a total revenue of about $</w:t>
      </w:r>
      <w:r>
        <w:t xml:space="preserve">130.35 </w:t>
      </w:r>
      <w:r>
        <w:t>million. Mandarin Oriental makes money through room rentals, restaurant sales, spa treatments, and party bookings. The premium room rates, luxurious amenities, and worldwide recognition of their name have all contributed to their consistent revenue growth throughout time. Lower bookings and event cancellations occurred in 2020 as a result of international travel restrictions brought on by the COVID-19 pandemic</w:t>
      </w:r>
      <w:r>
        <w:t xml:space="preserve"> </w:t>
      </w:r>
      <w:r>
        <w:rPr>
          <w:rFonts w:cs="Times New Roman" w:eastAsia="Times New Roman"/>
          <w:szCs w:val="24"/>
        </w:rPr>
        <w:t>(Li, 2022)</w:t>
      </w:r>
      <w:r>
        <w:t>.</w:t>
      </w:r>
    </w:p>
    <w:p w14:paraId="00000021">
      <w:pPr>
        <w:rPr>
          <w:b/>
          <w:bCs/>
          <w:i/>
          <w:iCs/>
        </w:rPr>
      </w:pPr>
      <w:r>
        <w:rPr>
          <w:b/>
          <w:bCs/>
          <w:i/>
          <w:iCs/>
        </w:rPr>
        <w:t>Premier Inn</w:t>
      </w:r>
    </w:p>
    <w:p w14:paraId="00000022">
      <w:r>
        <w:t>In contrast, Premier Inn focuses on the economy and midrange hotel sectors. It is owned by Whitbread PLC, a major hospitality and restaurant chain. Premier Inn's revenues for the 2</w:t>
      </w:r>
      <w:r>
        <w:t xml:space="preserve">023 </w:t>
      </w:r>
      <w:r>
        <w:t>fiscal year topped £</w:t>
      </w:r>
      <w:r>
        <w:t>2.5</w:t>
      </w:r>
      <w:r>
        <w:t xml:space="preserve"> </w:t>
      </w:r>
      <w:r>
        <w:t>billion</w:t>
      </w:r>
      <w:r>
        <w:t>, as stated in Whitbread PLC's annual report</w:t>
      </w:r>
      <w:r>
        <w:t xml:space="preserve"> </w:t>
      </w:r>
      <w:r>
        <w:rPr>
          <w:rFonts w:cs="Times New Roman" w:eastAsia="Times New Roman"/>
          <w:szCs w:val="24"/>
        </w:rPr>
        <w:t>(DEMİRCİFTCİ, 2020)</w:t>
      </w:r>
      <w:r>
        <w:t xml:space="preserve">. Premier Inn, popular with business </w:t>
      </w:r>
      <w:r>
        <w:t>travellers</w:t>
      </w:r>
      <w:r>
        <w:t xml:space="preserve"> as well as leisure </w:t>
      </w:r>
      <w:r>
        <w:t>travellers</w:t>
      </w:r>
      <w:r>
        <w:t>, makes most of its money from guests who book a stay at the hotel. Their revenue growth has traditionally been driven by their commitment to affordable prices, constant quality, and handy locations. Premier Inn, which had a bigger customer base and could lower prices, kept more of its revenue than Mandarin Oriental, which had fewer guests during the epidemic.</w:t>
      </w:r>
    </w:p>
    <w:p w14:paraId="00000023">
      <w:pPr>
        <w:rPr>
          <w:b/>
          <w:bCs/>
          <w:i/>
          <w:iCs/>
        </w:rPr>
      </w:pPr>
      <w:r>
        <w:rPr>
          <w:b/>
          <w:bCs/>
          <w:i/>
          <w:iCs/>
        </w:rPr>
        <w:t>Trends of the revenue</w:t>
      </w:r>
    </w:p>
    <w:p w14:paraId="00000024">
      <w:r>
        <w:t xml:space="preserve">In </w:t>
      </w:r>
      <w:r>
        <w:t>2023</w:t>
      </w:r>
      <w:r>
        <w:t xml:space="preserve">, Mandarin Oriental saw a 53% drop in revenue compared to 2019. In contrast, Premier Inn saw a revenue </w:t>
      </w:r>
      <w:r>
        <w:t>increase</w:t>
      </w:r>
      <w:r>
        <w:t xml:space="preserve"> of </w:t>
      </w:r>
      <w:r>
        <w:t>50</w:t>
      </w:r>
      <w:r>
        <w:t>% over that period</w:t>
      </w:r>
      <w:r>
        <w:t xml:space="preserve"> </w:t>
      </w:r>
      <w:r>
        <w:rPr>
          <w:rFonts w:cs="Times New Roman" w:eastAsia="Times New Roman"/>
          <w:szCs w:val="24"/>
        </w:rPr>
        <w:t>(</w:t>
      </w:r>
      <w:r>
        <w:rPr>
          <w:rFonts w:cs="Times New Roman" w:eastAsia="Times New Roman"/>
          <w:szCs w:val="24"/>
        </w:rPr>
        <w:t>Kucukusta</w:t>
      </w:r>
      <w:r>
        <w:rPr>
          <w:rFonts w:cs="Times New Roman" w:eastAsia="Times New Roman"/>
          <w:szCs w:val="24"/>
        </w:rPr>
        <w:t xml:space="preserve"> et al., 2019)</w:t>
      </w:r>
      <w:r>
        <w:t>. Revenue at Premier Inn was hit harder than at either of the other two hotel chains because of the company's focus on both domestic and business travel</w:t>
      </w:r>
      <w:r>
        <w:t xml:space="preserve"> (</w:t>
      </w:r>
      <w:r>
        <w:rPr>
          <w:rFonts w:cs="Times New Roman" w:eastAsia="Times New Roman"/>
          <w:szCs w:val="24"/>
        </w:rPr>
        <w:t>Kushniruk</w:t>
      </w:r>
      <w:r>
        <w:rPr>
          <w:rFonts w:cs="Times New Roman" w:eastAsia="Times New Roman"/>
          <w:szCs w:val="24"/>
        </w:rPr>
        <w:t>, 2023)</w:t>
      </w:r>
      <w:r>
        <w:t>.</w:t>
      </w:r>
    </w:p>
    <w:p w14:paraId="00000025">
      <w:pPr>
        <w:rPr>
          <w:b/>
          <w:bCs/>
          <w:i/>
          <w:iCs/>
        </w:rPr>
      </w:pPr>
      <w:r>
        <w:rPr>
          <w:b/>
          <w:bCs/>
          <w:i/>
          <w:iCs/>
        </w:rPr>
        <w:t>Factors driving the revenue</w:t>
      </w:r>
    </w:p>
    <w:p w14:paraId="00000026">
      <w:r>
        <w:t xml:space="preserve">Expansion of Mandarin Oriental's global portfolio, preservation of its image for perfection and sophistication, and high rates for accommodations are the usual drivers of the company's revenue growth. Premier Inn's rising profits can be attributed to the company's strategic acquisition of new properties in high-traffic areas, its competitive pricing strategy, and its customer loyalty </w:t>
      </w:r>
      <w:r>
        <w:t>programme</w:t>
      </w:r>
      <w:r>
        <w:t>.</w:t>
      </w:r>
    </w:p>
    <w:p w14:paraId="00000027">
      <w:r>
        <w:t xml:space="preserve">Both the income projections and the business strategies of Mandarin Oriental and Premier Inn reflect the diversity of the customer bases they service. The Mandarin Oriental places a premium on luxury and seclusion, whereas </w:t>
      </w:r>
      <w:r>
        <w:t xml:space="preserve">the </w:t>
      </w:r>
      <w:r>
        <w:t xml:space="preserve">Premier Inn </w:t>
      </w:r>
      <w:r>
        <w:t>emphasises</w:t>
      </w:r>
      <w:r>
        <w:t xml:space="preserve"> low rates and easy </w:t>
      </w:r>
      <w:r>
        <w:t xml:space="preserve">accessibility </w:t>
      </w:r>
      <w:r>
        <w:rPr>
          <w:rFonts w:cs="Times New Roman" w:eastAsia="Times New Roman"/>
          <w:szCs w:val="24"/>
        </w:rPr>
        <w:t>(Terence, 2022)</w:t>
      </w:r>
      <w:r>
        <w:t>. Both businesses struggled during the COVID-19 pandemic, but their ability to recover and adjust to new market realities will be critical to their success in the years ahead.</w:t>
      </w:r>
    </w:p>
    <w:p w14:paraId="00000028">
      <w:pPr>
        <w:pStyle w:val="Heading1"/>
        <w:rPr/>
      </w:pPr>
      <w:bookmarkStart w:id="2" w:name="_Toc148623061"/>
      <w:r>
        <w:t>Market Share</w:t>
      </w:r>
      <w:bookmarkEnd w:id="2"/>
    </w:p>
    <w:p w14:paraId="00000029">
      <w:r>
        <w:t>Consumers' perception of one company's goods or services in comparison to those of its rivals is what is meant by "market positioning." It calls for settling on a niche in the market that sets the company apart from rivals while also appealing to a specific demographic</w:t>
      </w:r>
      <w:r>
        <w:t xml:space="preserve"> (</w:t>
      </w:r>
      <w:r>
        <w:rPr>
          <w:rFonts w:cs="Times New Roman" w:eastAsia="Times New Roman"/>
          <w:szCs w:val="24"/>
        </w:rPr>
        <w:t>Coleman, 2019)</w:t>
      </w:r>
      <w:r>
        <w:t>. Factors such as market share, customer demographics, perceptions of the brand, and pricing strategy all have a role in a company's standing in the market.</w:t>
      </w:r>
    </w:p>
    <w:p w14:paraId="0000002A">
      <w:pPr>
        <w:rPr>
          <w:b/>
          <w:bCs/>
          <w:i/>
          <w:iCs/>
        </w:rPr>
      </w:pPr>
      <w:r>
        <w:rPr>
          <w:b/>
          <w:bCs/>
          <w:i/>
          <w:iCs/>
        </w:rPr>
        <w:t>Mandarin</w:t>
      </w:r>
      <w:r>
        <w:rPr>
          <w:b/>
          <w:bCs/>
          <w:i/>
          <w:iCs/>
        </w:rPr>
        <w:t xml:space="preserve"> Oriental Hotel</w:t>
      </w:r>
    </w:p>
    <w:p w14:paraId="0000002B">
      <w:r>
        <w:t>In the competitive international hotel sector, Mandarin Oriental Hotel Group consistently ranks at the top. It caters to the needs of wealthy vacationers who are looking for something out of the ordinary</w:t>
      </w:r>
      <w:r>
        <w:t xml:space="preserve"> </w:t>
      </w:r>
      <w:r>
        <w:rPr>
          <w:rFonts w:cs="Times New Roman" w:eastAsia="Times New Roman"/>
          <w:szCs w:val="24"/>
        </w:rPr>
        <w:t>(George, 2021)</w:t>
      </w:r>
      <w:r>
        <w:t>.</w:t>
      </w:r>
    </w:p>
    <w:p w14:paraId="0000002C">
      <w:pPr>
        <w:pStyle w:val="ListParagraph"/>
        <w:numPr>
          <w:ilvl w:val="0"/>
          <w:numId w:val="1"/>
        </w:numPr>
        <w:rPr/>
      </w:pPr>
      <w:r>
        <w:rPr>
          <w:b/>
          <w:bCs/>
        </w:rPr>
        <w:t>Market share:</w:t>
      </w:r>
      <w:r>
        <w:t xml:space="preserve"> Mandarin Oriental is a small player in the hotel industry compared to Marriott and Hilton. Compared to massive chains like Marriott, which had hundreds of hotels globally as of </w:t>
      </w:r>
      <w:r>
        <w:t xml:space="preserve">2023, </w:t>
      </w:r>
      <w:r>
        <w:t xml:space="preserve">Mandarin Oriental had only </w:t>
      </w:r>
      <w:r>
        <w:t>37</w:t>
      </w:r>
      <w:r>
        <w:t xml:space="preserve"> </w:t>
      </w:r>
      <w:r>
        <w:rPr>
          <w:rFonts w:cs="Times New Roman" w:eastAsia="Times New Roman"/>
          <w:szCs w:val="24"/>
        </w:rPr>
        <w:t>(Berry, 2022)</w:t>
      </w:r>
      <w:r>
        <w:t>. This highlights Mandarin Oriental's focus on excellence rather than quantity.</w:t>
      </w:r>
    </w:p>
    <w:p w14:paraId="0000002D">
      <w:pPr>
        <w:keepNext w:val="on"/>
        <w:jc w:val="center"/>
        <w:rPr/>
      </w:pPr>
      <w:r>
        <w:rPr/>
        <w:drawing xmlns:mc="http://schemas.openxmlformats.org/markup-compatibility/2006">
          <wp:inline distT="0" distB="0" distL="0" distR="0">
            <wp:extent cx="2346960" cy="1422468"/>
            <wp:effectExtent l="0" t="0" r="0" b="0"/>
            <wp:docPr id="1702699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699353" name="Picture 1"/>
                    <pic:cNvPicPr>
                      <a:picLocks noChangeAspect="1" noChangeArrowheads="1"/>
                    </pic:cNvPicPr>
                  </pic:nvPicPr>
                  <pic:blipFill>
                    <a:blip r:embed="rId34"/>
                    <a:srcRect/>
                    <a:stretch>
                      <a:fillRect/>
                    </a:stretch>
                  </pic:blipFill>
                  <pic:spPr>
                    <a:xfrm>
                      <a:off x="0" y="0"/>
                      <a:ext cx="2346960" cy="1422468"/>
                    </a:xfrm>
                    <a:prstGeom prst="rect">
                      <a:avLst/>
                    </a:prstGeom>
                    <a:noFill/>
                    <a:ln>
                      <a:noFill/>
                    </a:ln>
                  </pic:spPr>
                </pic:pic>
              </a:graphicData>
            </a:graphic>
          </wp:inline>
        </w:drawing>
      </w:r>
    </w:p>
    <w:p w14:paraId="0000002E">
      <w:pPr>
        <w:pStyle w:val="Caption"/>
        <w:jc w:val="center"/>
        <w:rPr/>
      </w:pPr>
      <w:r>
        <w:t xml:space="preserve">Figure </w:t>
      </w:r>
      <w:r>
        <w:fldChar w:fldCharType="begin"/>
      </w:r>
      <w:r>
        <w:instrText xml:space="preserve"> SEQ Figure \* ARABIC </w:instrText>
      </w:r>
      <w:r>
        <w:fldChar w:fldCharType="separate"/>
      </w:r>
      <w:r>
        <w:t>1</w:t>
      </w:r>
      <w:r>
        <w:fldChar w:fldCharType="end"/>
      </w:r>
      <w:r>
        <w:t xml:space="preserve"> Market share of Mandarin Oriental Hotel</w:t>
      </w:r>
    </w:p>
    <w:p w14:paraId="0000002F">
      <w:pPr>
        <w:pStyle w:val="ListParagraph"/>
        <w:numPr>
          <w:ilvl w:val="0"/>
          <w:numId w:val="1"/>
        </w:numPr>
        <w:rPr/>
      </w:pPr>
      <w:r>
        <w:rPr>
          <w:b/>
          <w:bCs/>
        </w:rPr>
        <w:t>Demography:</w:t>
      </w:r>
      <w:r>
        <w:t xml:space="preserve"> Customers at the Mandarin Oriental tend to be high rollers, either on business or on vacation. Their usual customers are sophisticated adults who place a premium on privacy and prefer to be treated as VIPs</w:t>
      </w:r>
      <w:r>
        <w:t xml:space="preserve"> </w:t>
      </w:r>
      <w:r>
        <w:rPr>
          <w:rFonts w:cs="Times New Roman" w:eastAsia="Times New Roman"/>
          <w:szCs w:val="24"/>
        </w:rPr>
        <w:t>(Griffith et al., 2020)</w:t>
      </w:r>
      <w:r>
        <w:t>.</w:t>
      </w:r>
    </w:p>
    <w:p w14:paraId="00000030">
      <w:pPr>
        <w:pStyle w:val="ListParagraph"/>
        <w:numPr>
          <w:ilvl w:val="0"/>
          <w:numId w:val="1"/>
        </w:numPr>
        <w:rPr/>
      </w:pPr>
      <w:r>
        <w:rPr>
          <w:b/>
          <w:bCs/>
        </w:rPr>
        <w:t xml:space="preserve">Brand image: </w:t>
      </w:r>
      <w:r>
        <w:t>The Mandarin Oriental hotel chain is often considered to be among the finest and most renowned in the world. They are frequently praised for their high-quality food, friendly service, and attractive decor. The label is known for its high standards of grandeur, sophistication, and attention to detail.</w:t>
      </w:r>
    </w:p>
    <w:p w14:paraId="00000031">
      <w:pPr>
        <w:rPr>
          <w:b/>
          <w:bCs/>
          <w:i/>
          <w:iCs/>
        </w:rPr>
      </w:pPr>
      <w:r>
        <w:rPr>
          <w:b/>
          <w:bCs/>
          <w:i/>
          <w:iCs/>
        </w:rPr>
        <w:t>Premier Inn</w:t>
      </w:r>
    </w:p>
    <w:p w14:paraId="00000032">
      <w:r>
        <w:t>Premier Inn is in a niche market, catering mostly to those looking for affordable or reasonably priced hotels.</w:t>
      </w:r>
    </w:p>
    <w:p w14:paraId="00000033">
      <w:pPr>
        <w:pStyle w:val="ListParagraph"/>
        <w:numPr>
          <w:ilvl w:val="0"/>
          <w:numId w:val="2"/>
        </w:numPr>
        <w:rPr/>
      </w:pPr>
      <w:r>
        <w:rPr>
          <w:b/>
          <w:bCs/>
        </w:rPr>
        <w:t>Market share:</w:t>
      </w:r>
      <w:r>
        <w:t xml:space="preserve"> Premier Inn, a division of Whitbread PLC, is a major player in the UK's budget and midrange hotel market. According to their </w:t>
      </w:r>
      <w:r>
        <w:t>2023</w:t>
      </w:r>
      <w:r>
        <w:t xml:space="preserve"> annual report, Whitbread PLC ran about 860 hotels with over 74,000 rooms in the United Kingdom and Ireland</w:t>
      </w:r>
      <w:r>
        <w:t xml:space="preserve"> </w:t>
      </w:r>
      <w:r>
        <w:rPr>
          <w:rFonts w:cs="Times New Roman" w:eastAsia="Times New Roman"/>
          <w:szCs w:val="24"/>
        </w:rPr>
        <w:t>(Akbari et al., 2021)</w:t>
      </w:r>
      <w:r>
        <w:t>.</w:t>
      </w:r>
    </w:p>
    <w:p w14:paraId="00000034">
      <w:pPr>
        <w:keepNext w:val="on"/>
        <w:jc w:val="center"/>
        <w:rPr/>
      </w:pPr>
      <w:r>
        <w:rPr/>
        <w:drawing xmlns:mc="http://schemas.openxmlformats.org/markup-compatibility/2006">
          <wp:inline distT="0" distB="0" distL="0" distR="0">
            <wp:extent cx="3573780" cy="2279812"/>
            <wp:effectExtent l="0" t="0" r="0" b="0"/>
            <wp:docPr id="1702699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699354" name="Picture 1"/>
                    <pic:cNvPicPr/>
                  </pic:nvPicPr>
                  <pic:blipFill>
                    <a:blip r:embed="rId35"/>
                    <a:srcRect/>
                    <a:stretch>
                      <a:fillRect/>
                    </a:stretch>
                  </pic:blipFill>
                  <pic:spPr>
                    <a:xfrm>
                      <a:off x="0" y="0"/>
                      <a:ext cx="3573780" cy="2279812"/>
                    </a:xfrm>
                    <a:prstGeom prst="rect">
                      <a:avLst/>
                    </a:prstGeom>
                  </pic:spPr>
                </pic:pic>
              </a:graphicData>
            </a:graphic>
          </wp:inline>
        </w:drawing>
      </w:r>
    </w:p>
    <w:p w14:paraId="00000035">
      <w:pPr>
        <w:pStyle w:val="Caption"/>
        <w:jc w:val="center"/>
        <w:rPr/>
      </w:pPr>
      <w:r>
        <w:t xml:space="preserve">Figure </w:t>
      </w:r>
      <w:r>
        <w:fldChar w:fldCharType="begin"/>
      </w:r>
      <w:r>
        <w:instrText xml:space="preserve"> SEQ Figure \* ARABIC </w:instrText>
      </w:r>
      <w:r>
        <w:fldChar w:fldCharType="separate"/>
      </w:r>
      <w:r>
        <w:t>2</w:t>
      </w:r>
      <w:r>
        <w:fldChar w:fldCharType="end"/>
      </w:r>
      <w:r>
        <w:t xml:space="preserve"> Premier Inn Hotel's share of room</w:t>
      </w:r>
    </w:p>
    <w:p w14:paraId="00000036">
      <w:pPr>
        <w:pStyle w:val="ListParagraph"/>
        <w:numPr>
          <w:ilvl w:val="0"/>
          <w:numId w:val="2"/>
        </w:numPr>
        <w:rPr/>
      </w:pPr>
      <w:r>
        <w:rPr>
          <w:b/>
          <w:bCs/>
        </w:rPr>
        <w:t>Demography:</w:t>
      </w:r>
      <w:r>
        <w:t xml:space="preserve"> Premier Inn has a wider range of customers it serves. Their continuous quality and inexpensive pricing not only attract business visitors but also families and those on vacation</w:t>
      </w:r>
      <w:r>
        <w:t xml:space="preserve"> </w:t>
      </w:r>
      <w:r>
        <w:rPr>
          <w:rFonts w:cs="Times New Roman" w:eastAsia="Times New Roman"/>
          <w:szCs w:val="24"/>
        </w:rPr>
        <w:t>(Manns, 2020)</w:t>
      </w:r>
      <w:r>
        <w:t>. Their clientele tends to include people of all walks of life and socioeconomic backgrounds.</w:t>
      </w:r>
    </w:p>
    <w:p w14:paraId="00000037">
      <w:pPr>
        <w:pStyle w:val="ListParagraph"/>
        <w:numPr>
          <w:ilvl w:val="0"/>
          <w:numId w:val="2"/>
        </w:numPr>
        <w:rPr/>
      </w:pPr>
      <w:r>
        <w:rPr>
          <w:b/>
          <w:bCs/>
        </w:rPr>
        <w:t>Brand image:</w:t>
      </w:r>
      <w:r>
        <w:t xml:space="preserve"> Premier Inn is widely </w:t>
      </w:r>
      <w:r>
        <w:t>recognised</w:t>
      </w:r>
      <w:r>
        <w:t xml:space="preserve"> as a dependable, cost-effective lodging option. They are famous for their inexpensive pricing, high-quality service, and immaculately maintained rooms. They're not particularly stylish, but their low cost and durability make up for it.</w:t>
      </w:r>
    </w:p>
    <w:p w14:paraId="00000038">
      <w:r>
        <w:t xml:space="preserve">The Mandarin Oriental and the Premier Inn are in two quite different niches. Mandarin Oriental caters to affluent tourists and corporate heavyweights by </w:t>
      </w:r>
      <w:r>
        <w:t>emphasising</w:t>
      </w:r>
      <w:r>
        <w:t xml:space="preserve"> their status as members of an elite club. Premier Inn, on the other hand, caters to a wider variety of budget-conscious tourists by placing a premium on convenience and affordability</w:t>
      </w:r>
      <w:r>
        <w:t xml:space="preserve"> </w:t>
      </w:r>
      <w:r>
        <w:rPr>
          <w:rFonts w:cs="Times New Roman" w:eastAsia="Times New Roman"/>
          <w:szCs w:val="24"/>
        </w:rPr>
        <w:t>(George, 2021)</w:t>
      </w:r>
      <w:r>
        <w:t>.</w:t>
      </w:r>
    </w:p>
    <w:p w14:paraId="00000039">
      <w:r>
        <w:t>The market shares of these two hotel chains are indicative of their principal goals. Mandarin Oriental values quality and sophistication highly, which allows them to maintain their good reputation at astronomical hotel charges</w:t>
      </w:r>
      <w:r>
        <w:t xml:space="preserve"> (</w:t>
      </w:r>
      <w:r>
        <w:rPr>
          <w:rFonts w:cs="Times New Roman" w:eastAsia="Times New Roman"/>
          <w:szCs w:val="24"/>
        </w:rPr>
        <w:t>Kushniruk</w:t>
      </w:r>
      <w:r>
        <w:rPr>
          <w:rFonts w:cs="Times New Roman" w:eastAsia="Times New Roman"/>
          <w:szCs w:val="24"/>
        </w:rPr>
        <w:t>, 2023)</w:t>
      </w:r>
      <w:r>
        <w:t>. Premier Inn, on the contrary, works hard to maintain high standards while keeping rates low, and this strategy has helped the company gain a dominant position in the UK's economy and mid-range hotel markets.</w:t>
      </w:r>
    </w:p>
    <w:p w14:paraId="0000003A">
      <w:pPr>
        <w:pStyle w:val="Heading1"/>
        <w:rPr/>
      </w:pPr>
      <w:bookmarkStart w:id="3" w:name="_Toc148623062"/>
      <w:r>
        <w:t>Growth Potential</w:t>
      </w:r>
      <w:bookmarkEnd w:id="3"/>
    </w:p>
    <w:p w14:paraId="0000003B">
      <w:r>
        <w:t>The potential for a business to expand in terms of customer base, revenue, and bottom line is referred to as its growth potential. The process comprises locating new opportunities for growth and assessing any potential roadblocks.</w:t>
      </w:r>
    </w:p>
    <w:p w14:paraId="0000003C">
      <w:pPr>
        <w:rPr>
          <w:rStyle w:val="Strong"/>
          <w:i/>
          <w:iCs/>
        </w:rPr>
      </w:pPr>
      <w:r>
        <w:rPr>
          <w:rStyle w:val="Strong"/>
          <w:i/>
          <w:iCs/>
        </w:rPr>
        <w:t>Mandarin Oriental Hote</w:t>
      </w:r>
      <w:r>
        <w:rPr>
          <w:rStyle w:val="Strong"/>
          <w:i/>
          <w:iCs/>
        </w:rPr>
        <w:t>l</w:t>
      </w:r>
    </w:p>
    <w:p w14:paraId="0000003D">
      <w:pPr>
        <w:pStyle w:val="ListParagraph"/>
        <w:numPr>
          <w:ilvl w:val="0"/>
          <w:numId w:val="3"/>
        </w:numPr>
        <w:rPr/>
      </w:pPr>
      <w:r>
        <w:rPr>
          <w:rStyle w:val="Strong"/>
        </w:rPr>
        <w:t>Market expansion</w:t>
      </w:r>
      <w:r>
        <w:t xml:space="preserve">: </w:t>
      </w:r>
      <w:r>
        <w:t>The future success of Mandarin Oriental is closely linked to the company's ability to strategically expand into new regions and create new properties. New high-end lodgings are frequently built in renowned international destinations as an expansion strategy</w:t>
      </w:r>
      <w:r>
        <w:t xml:space="preserve"> (</w:t>
      </w:r>
      <w:r>
        <w:rPr>
          <w:rFonts w:cs="Times New Roman" w:eastAsia="Times New Roman"/>
          <w:szCs w:val="24"/>
        </w:rPr>
        <w:t>Coleman, 2019)</w:t>
      </w:r>
      <w:r>
        <w:t>. They have established a foothold in the Arab world, including homes in Doha and Dubai. Mandarin Oriental has also placed a premium on growing its stable of branded residences within its buildings.</w:t>
      </w:r>
    </w:p>
    <w:p w14:paraId="0000003E">
      <w:pPr>
        <w:pStyle w:val="ListParagraph"/>
        <w:numPr>
          <w:ilvl w:val="0"/>
          <w:numId w:val="3"/>
        </w:numPr>
        <w:rPr>
          <w:b/>
          <w:bCs/>
        </w:rPr>
      </w:pPr>
      <w:r>
        <w:rPr>
          <w:b/>
          <w:bCs/>
        </w:rPr>
        <w:t>Market opportunities</w:t>
      </w:r>
      <w:r>
        <w:rPr>
          <w:b/>
          <w:bCs/>
        </w:rPr>
        <w:t xml:space="preserve">: </w:t>
      </w:r>
      <w:r>
        <w:t xml:space="preserve">A </w:t>
      </w:r>
      <w:r>
        <w:t>growth potential</w:t>
      </w:r>
      <w:r>
        <w:t xml:space="preserve"> has been identified by Mandarin Oriental in the form of a rise in the number of high-end tourists visiting from emerging economies. They have been focusing on Asian locations like Beijing, where they are announcing plans to acquire more properties, to take advantage of the expanding Asian market. Their eco-friendly and health-focused services meet the growing demand for eco-friendly and ethical vacations</w:t>
      </w:r>
      <w:r>
        <w:t xml:space="preserve"> </w:t>
      </w:r>
      <w:r>
        <w:rPr>
          <w:rFonts w:cs="Times New Roman" w:eastAsia="Times New Roman"/>
          <w:szCs w:val="24"/>
        </w:rPr>
        <w:t>(Terence, 2022)</w:t>
      </w:r>
      <w:r>
        <w:t>.</w:t>
      </w:r>
    </w:p>
    <w:p w14:paraId="0000003F">
      <w:pPr>
        <w:pStyle w:val="ListParagraph"/>
        <w:numPr>
          <w:ilvl w:val="0"/>
          <w:numId w:val="3"/>
        </w:numPr>
        <w:rPr>
          <w:b/>
          <w:bCs/>
        </w:rPr>
      </w:pPr>
      <w:r>
        <w:rPr>
          <w:b/>
          <w:bCs/>
        </w:rPr>
        <w:t>Barriers to growth</w:t>
      </w:r>
      <w:r>
        <w:rPr>
          <w:b/>
          <w:bCs/>
        </w:rPr>
        <w:t xml:space="preserve">: </w:t>
      </w:r>
      <w:r>
        <w:t xml:space="preserve">One of the main challenges to Mandarin Oriental's growth is the intense rivalry in the high-end hotel sector. Challenges may include high initialization and ongoing expenses, as well as the need to preserve the uniqueness of their brand. Economic </w:t>
      </w:r>
      <w:r>
        <w:t>downturns and large global calamities like the COVID-19 pandemic have also highlighted exposures to external shocks</w:t>
      </w:r>
      <w:r>
        <w:t xml:space="preserve"> </w:t>
      </w:r>
      <w:r>
        <w:rPr>
          <w:rFonts w:cs="Times New Roman" w:eastAsia="Times New Roman"/>
          <w:szCs w:val="24"/>
        </w:rPr>
        <w:t>(Berry, 2022)</w:t>
      </w:r>
      <w:r>
        <w:t>.</w:t>
      </w:r>
    </w:p>
    <w:p w14:paraId="00000040">
      <w:pPr>
        <w:rPr>
          <w:rStyle w:val="Strong"/>
          <w:i/>
          <w:iCs/>
        </w:rPr>
      </w:pPr>
      <w:r>
        <w:rPr>
          <w:rStyle w:val="Strong"/>
          <w:i/>
          <w:iCs/>
        </w:rPr>
        <w:t>Premier In</w:t>
      </w:r>
      <w:r>
        <w:rPr>
          <w:rStyle w:val="Strong"/>
          <w:i/>
          <w:iCs/>
        </w:rPr>
        <w:t>n</w:t>
      </w:r>
    </w:p>
    <w:p w14:paraId="00000041">
      <w:pPr>
        <w:pStyle w:val="ListParagraph"/>
        <w:numPr>
          <w:ilvl w:val="0"/>
          <w:numId w:val="4"/>
        </w:numPr>
        <w:rPr>
          <w:b/>
          <w:bCs/>
        </w:rPr>
      </w:pPr>
      <w:r>
        <w:rPr>
          <w:b/>
          <w:bCs/>
        </w:rPr>
        <w:t>Market expansion</w:t>
      </w:r>
      <w:r>
        <w:rPr>
          <w:b/>
          <w:bCs/>
        </w:rPr>
        <w:t xml:space="preserve">: </w:t>
      </w:r>
      <w:r>
        <w:t xml:space="preserve">Premier Inn's potential for growth is tied to the company's ability to enter new markets in the UK and beyond. </w:t>
      </w:r>
      <w:r>
        <w:t>They plan</w:t>
      </w:r>
      <w:r>
        <w:t xml:space="preserve"> to construct new hotels in key areas, such as central commercial </w:t>
      </w:r>
      <w:r>
        <w:t>centres</w:t>
      </w:r>
      <w:r>
        <w:t xml:space="preserve">, city </w:t>
      </w:r>
      <w:r>
        <w:t>centres</w:t>
      </w:r>
      <w:r>
        <w:t>, and near significant transit links. They also buy up hotels, such as when they bought the Apollo Hotel Group's 13 properties in the UK.</w:t>
      </w:r>
    </w:p>
    <w:p w14:paraId="00000042">
      <w:pPr>
        <w:pStyle w:val="ListParagraph"/>
        <w:numPr>
          <w:ilvl w:val="0"/>
          <w:numId w:val="4"/>
        </w:numPr>
        <w:rPr>
          <w:b/>
          <w:bCs/>
        </w:rPr>
      </w:pPr>
      <w:r>
        <w:rPr>
          <w:b/>
          <w:bCs/>
        </w:rPr>
        <w:t>Market Opportunities</w:t>
      </w:r>
      <w:r>
        <w:rPr>
          <w:b/>
          <w:bCs/>
        </w:rPr>
        <w:t xml:space="preserve">: </w:t>
      </w:r>
      <w:r>
        <w:t xml:space="preserve">Premier Inn is successful because there is a high demand for reasonably priced hotels, especially in the UK. There is a </w:t>
      </w:r>
      <w:r>
        <w:t>tonne</w:t>
      </w:r>
      <w:r>
        <w:t xml:space="preserve"> of opportunity in less saturated markets both at home and abroad. Premier Inn has recently been exploring business prospects in Germany</w:t>
      </w:r>
      <w:r>
        <w:t xml:space="preserve"> </w:t>
      </w:r>
      <w:r>
        <w:rPr>
          <w:rFonts w:cs="Times New Roman" w:eastAsia="Times New Roman"/>
          <w:szCs w:val="24"/>
        </w:rPr>
        <w:t>(Li, 2022)</w:t>
      </w:r>
      <w:r>
        <w:t>.</w:t>
      </w:r>
    </w:p>
    <w:p w14:paraId="00000043">
      <w:pPr>
        <w:pStyle w:val="ListParagraph"/>
        <w:numPr>
          <w:ilvl w:val="0"/>
          <w:numId w:val="4"/>
        </w:numPr>
        <w:rPr>
          <w:b/>
          <w:bCs/>
        </w:rPr>
      </w:pPr>
      <w:r>
        <w:rPr>
          <w:b/>
          <w:bCs/>
        </w:rPr>
        <w:t>Barriers to growth</w:t>
      </w:r>
      <w:r>
        <w:rPr>
          <w:b/>
          <w:bCs/>
        </w:rPr>
        <w:t xml:space="preserve">: </w:t>
      </w:r>
      <w:r>
        <w:t>Although Premier Inn has developed with great success in the United Kingdom, it may run into trouble in other nations with different consumer tastes and more intense competition</w:t>
      </w:r>
      <w:r>
        <w:t xml:space="preserve"> </w:t>
      </w:r>
      <w:r>
        <w:rPr>
          <w:rFonts w:cs="Times New Roman" w:eastAsia="Times New Roman"/>
          <w:szCs w:val="24"/>
        </w:rPr>
        <w:t>(</w:t>
      </w:r>
      <w:r>
        <w:rPr>
          <w:rFonts w:cs="Times New Roman" w:eastAsia="Times New Roman"/>
          <w:szCs w:val="24"/>
        </w:rPr>
        <w:t>Kucukusta</w:t>
      </w:r>
      <w:r>
        <w:rPr>
          <w:rFonts w:cs="Times New Roman" w:eastAsia="Times New Roman"/>
          <w:szCs w:val="24"/>
        </w:rPr>
        <w:t xml:space="preserve"> et al., 2019)</w:t>
      </w:r>
      <w:r>
        <w:t>. It may be challenging to keep up a consistent level of service throughout a growing portfolio of properties. Economic growth can be stunted by recessions and travel disruptions like the recent COVID-19 epidemic.</w:t>
      </w:r>
    </w:p>
    <w:p w14:paraId="00000044">
      <w:r>
        <w:t xml:space="preserve">Mandarin Oriental's prospects </w:t>
      </w:r>
      <w:r>
        <w:t>are</w:t>
      </w:r>
      <w:r>
        <w:t xml:space="preserve"> primarily driven by the broadening of its network of luxurious hotels and residences, with a particular emphasis on the development of premium travel markets. Premier Inn has the potential to grow as the low-cost and midrange hotel markets, especially in the UK, become increasingly saturated, and the company continues to explore opportunities in other countries.</w:t>
      </w:r>
    </w:p>
    <w:p w14:paraId="00000045">
      <w:pPr>
        <w:pStyle w:val="Heading1"/>
        <w:rPr/>
      </w:pPr>
      <w:bookmarkStart w:id="4" w:name="_Toc148623063"/>
      <w:r>
        <w:t>Financial Promise to CSR</w:t>
      </w:r>
      <w:bookmarkEnd w:id="4"/>
    </w:p>
    <w:p w14:paraId="00000046">
      <w:r>
        <w:t xml:space="preserve">In addition to seeking financial gain, corporate social responsibility (CSR) requires businesses to act morally and responsibly. Sustainability </w:t>
      </w:r>
      <w:r>
        <w:t>practises</w:t>
      </w:r>
      <w:r>
        <w:t xml:space="preserve">, participation in the community, ethical company </w:t>
      </w:r>
      <w:r>
        <w:t>behaviour</w:t>
      </w:r>
      <w:r>
        <w:t>, and initiatives that tackle social and environmental concerns are all part of corporate social responsibility (CSR).</w:t>
      </w:r>
    </w:p>
    <w:p w14:paraId="00000047">
      <w:pPr>
        <w:rPr>
          <w:rStyle w:val="Strong"/>
          <w:i/>
          <w:iCs/>
        </w:rPr>
      </w:pPr>
      <w:r>
        <w:rPr>
          <w:rStyle w:val="Strong"/>
          <w:i/>
          <w:iCs/>
        </w:rPr>
        <w:t>Mandarin Oriental Hote</w:t>
      </w:r>
      <w:r>
        <w:rPr>
          <w:rStyle w:val="Strong"/>
          <w:i/>
          <w:iCs/>
        </w:rPr>
        <w:t>l</w:t>
      </w:r>
    </w:p>
    <w:p w14:paraId="00000048">
      <w:r>
        <w:t>The luxury hotel business is one area where Mandarin Oriental has invested heavily in CSR initiatives.</w:t>
      </w:r>
    </w:p>
    <w:p w14:paraId="00000049">
      <w:pPr>
        <w:pStyle w:val="ListParagraph"/>
        <w:numPr>
          <w:ilvl w:val="0"/>
          <w:numId w:val="5"/>
        </w:numPr>
        <w:rPr/>
      </w:pPr>
      <w:r>
        <w:rPr>
          <w:b/>
          <w:bCs/>
        </w:rPr>
        <w:t>Sustainable activities:</w:t>
      </w:r>
      <w:r>
        <w:t xml:space="preserve"> They have put money into several different eco-friendly initiatives, such as recycling more, using less energy, and installing renewable resources. The company claims in its report for the year 2020 that it cut carbon emissions by 26% throughout its portfolio</w:t>
      </w:r>
      <w:r>
        <w:t xml:space="preserve"> </w:t>
      </w:r>
      <w:r>
        <w:rPr>
          <w:rFonts w:cs="Times New Roman" w:eastAsia="Times New Roman"/>
          <w:szCs w:val="24"/>
        </w:rPr>
        <w:t>(Li, 2022)</w:t>
      </w:r>
      <w:r>
        <w:t>.</w:t>
      </w:r>
    </w:p>
    <w:p w14:paraId="0000004A">
      <w:pPr>
        <w:keepNext w:val="on"/>
        <w:jc w:val="center"/>
        <w:rPr/>
      </w:pPr>
      <w:r>
        <w:rPr/>
        <w:drawing xmlns:mc="http://schemas.openxmlformats.org/markup-compatibility/2006">
          <wp:inline distT="0" distB="0" distL="0" distR="0">
            <wp:extent cx="2329348" cy="2895600"/>
            <wp:effectExtent l="0" t="0" r="0" b="0"/>
            <wp:docPr id="1702699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699355" name="Picture 1"/>
                    <pic:cNvPicPr/>
                  </pic:nvPicPr>
                  <pic:blipFill>
                    <a:blip r:embed="rId36"/>
                    <a:srcRect/>
                    <a:stretch>
                      <a:fillRect/>
                    </a:stretch>
                  </pic:blipFill>
                  <pic:spPr>
                    <a:xfrm>
                      <a:off x="0" y="0"/>
                      <a:ext cx="2329348" cy="2895600"/>
                    </a:xfrm>
                    <a:prstGeom prst="rect">
                      <a:avLst/>
                    </a:prstGeom>
                  </pic:spPr>
                </pic:pic>
              </a:graphicData>
            </a:graphic>
          </wp:inline>
        </w:drawing>
      </w:r>
    </w:p>
    <w:p w14:paraId="0000004B">
      <w:pPr>
        <w:pStyle w:val="Caption"/>
        <w:jc w:val="center"/>
        <w:rPr/>
      </w:pPr>
      <w:r>
        <w:t xml:space="preserve">Figure </w:t>
      </w:r>
      <w:r>
        <w:fldChar w:fldCharType="begin"/>
      </w:r>
      <w:r>
        <w:instrText xml:space="preserve"> SEQ Figure \* ARABIC </w:instrText>
      </w:r>
      <w:r>
        <w:fldChar w:fldCharType="separate"/>
      </w:r>
      <w:r>
        <w:t>3</w:t>
      </w:r>
      <w:r>
        <w:fldChar w:fldCharType="end"/>
      </w:r>
      <w:r>
        <w:t xml:space="preserve"> Mandarin Oriental Hotel's sustainability practice</w:t>
      </w:r>
    </w:p>
    <w:p w14:paraId="0000004C">
      <w:pPr>
        <w:jc w:val="center"/>
        <w:rPr>
          <w:i/>
          <w:iCs/>
          <w:sz w:val="22"/>
          <w:szCs w:val="20"/>
        </w:rPr>
      </w:pPr>
      <w:r>
        <w:rPr>
          <w:i/>
          <w:iCs/>
          <w:sz w:val="22"/>
          <w:szCs w:val="20"/>
        </w:rPr>
        <w:t>Source: Mandarin Oriental annual report, 2023</w:t>
      </w:r>
    </w:p>
    <w:p w14:paraId="0000004D">
      <w:pPr>
        <w:pStyle w:val="ListParagraph"/>
        <w:numPr>
          <w:ilvl w:val="0"/>
          <w:numId w:val="5"/>
        </w:numPr>
        <w:rPr/>
      </w:pPr>
      <w:r>
        <w:rPr>
          <w:b/>
          <w:bCs/>
        </w:rPr>
        <w:t>Community engagement:</w:t>
      </w:r>
      <w:r>
        <w:t xml:space="preserve"> The organization is very involved in the local community, funding many cultural, welfare, and educational initiatives. They give back to local charities and initiatives by donating time and money</w:t>
      </w:r>
      <w:r>
        <w:t xml:space="preserve"> </w:t>
      </w:r>
      <w:r>
        <w:rPr>
          <w:rFonts w:cs="Times New Roman" w:eastAsia="Times New Roman"/>
          <w:szCs w:val="24"/>
        </w:rPr>
        <w:t>(George, 2021)</w:t>
      </w:r>
      <w:r>
        <w:t>.</w:t>
      </w:r>
    </w:p>
    <w:p w14:paraId="0000004E">
      <w:pPr>
        <w:pStyle w:val="ListParagraph"/>
        <w:numPr>
          <w:ilvl w:val="0"/>
          <w:numId w:val="5"/>
        </w:numPr>
        <w:rPr/>
      </w:pPr>
      <w:r>
        <w:rPr>
          <w:b/>
          <w:bCs/>
        </w:rPr>
        <w:t>Ethical practices:</w:t>
      </w:r>
      <w:r>
        <w:t xml:space="preserve"> Mandarin Oriental has committed to ethical standards in all areas of its operations, including fair treatment of employees and sustainable materials. They give preference to local vendors and hire residents of the areas in which they operate</w:t>
      </w:r>
      <w:r>
        <w:t xml:space="preserve"> </w:t>
      </w:r>
      <w:r>
        <w:rPr>
          <w:rFonts w:cs="Times New Roman" w:eastAsia="Times New Roman"/>
          <w:szCs w:val="24"/>
        </w:rPr>
        <w:t>(Manns, 2020)</w:t>
      </w:r>
      <w:r>
        <w:t>.</w:t>
      </w:r>
    </w:p>
    <w:p w14:paraId="0000004F">
      <w:pPr>
        <w:rPr>
          <w:rStyle w:val="Strong"/>
          <w:i/>
          <w:iCs/>
        </w:rPr>
      </w:pPr>
    </w:p>
    <w:p w14:paraId="00000050">
      <w:pPr>
        <w:rPr>
          <w:rStyle w:val="Strong"/>
          <w:i/>
          <w:iCs/>
        </w:rPr>
      </w:pPr>
      <w:r>
        <w:rPr>
          <w:rStyle w:val="Strong"/>
          <w:i/>
          <w:iCs/>
        </w:rPr>
        <w:t>Premier In</w:t>
      </w:r>
      <w:r>
        <w:rPr>
          <w:rStyle w:val="Strong"/>
          <w:i/>
          <w:iCs/>
        </w:rPr>
        <w:t>n</w:t>
      </w:r>
    </w:p>
    <w:p w14:paraId="00000051">
      <w:r>
        <w:t>Premier Inn, a division of Whitbread PLC, places a premium on corporate social responsibility.</w:t>
      </w:r>
    </w:p>
    <w:p w14:paraId="00000052">
      <w:pPr>
        <w:keepNext w:val="on"/>
        <w:jc w:val="center"/>
        <w:rPr/>
      </w:pPr>
      <w:r>
        <w:rPr/>
        <w:drawing xmlns:mc="http://schemas.openxmlformats.org/markup-compatibility/2006">
          <wp:inline distT="0" distB="0" distL="0" distR="0">
            <wp:extent cx="3230880" cy="2037595"/>
            <wp:effectExtent l="0" t="0" r="0" b="0"/>
            <wp:docPr id="1702699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699356" name="Picture 1"/>
                    <pic:cNvPicPr/>
                  </pic:nvPicPr>
                  <pic:blipFill>
                    <a:blip r:embed="rId37"/>
                    <a:srcRect/>
                    <a:stretch>
                      <a:fillRect/>
                    </a:stretch>
                  </pic:blipFill>
                  <pic:spPr>
                    <a:xfrm>
                      <a:off x="0" y="0"/>
                      <a:ext cx="3230880" cy="2037595"/>
                    </a:xfrm>
                    <a:prstGeom prst="rect">
                      <a:avLst/>
                    </a:prstGeom>
                  </pic:spPr>
                </pic:pic>
              </a:graphicData>
            </a:graphic>
          </wp:inline>
        </w:drawing>
      </w:r>
    </w:p>
    <w:p w14:paraId="00000053">
      <w:pPr>
        <w:pStyle w:val="Caption"/>
        <w:jc w:val="center"/>
        <w:rPr/>
      </w:pPr>
      <w:r>
        <w:t xml:space="preserve">Figure </w:t>
      </w:r>
      <w:r>
        <w:fldChar w:fldCharType="begin"/>
      </w:r>
      <w:r>
        <w:instrText xml:space="preserve"> SEQ Figure \* ARABIC </w:instrText>
      </w:r>
      <w:r>
        <w:fldChar w:fldCharType="separate"/>
      </w:r>
      <w:r>
        <w:t>4</w:t>
      </w:r>
      <w:r>
        <w:fldChar w:fldCharType="end"/>
      </w:r>
      <w:r>
        <w:t xml:space="preserve"> Premier Inn's CSR targets</w:t>
      </w:r>
    </w:p>
    <w:p w14:paraId="00000054">
      <w:pPr>
        <w:jc w:val="center"/>
        <w:rPr>
          <w:i/>
          <w:iCs/>
          <w:sz w:val="22"/>
          <w:szCs w:val="20"/>
        </w:rPr>
      </w:pPr>
      <w:r>
        <w:rPr>
          <w:i/>
          <w:iCs/>
          <w:sz w:val="22"/>
          <w:szCs w:val="20"/>
        </w:rPr>
        <w:t>Source: ESG report, 2021-22</w:t>
      </w:r>
    </w:p>
    <w:p w14:paraId="00000055">
      <w:pPr>
        <w:pStyle w:val="ListParagraph"/>
        <w:numPr>
          <w:ilvl w:val="0"/>
          <w:numId w:val="6"/>
        </w:numPr>
        <w:rPr/>
      </w:pPr>
      <w:r>
        <w:rPr>
          <w:b/>
          <w:bCs/>
        </w:rPr>
        <w:t>Sustainable practices:</w:t>
      </w:r>
      <w:r>
        <w:t xml:space="preserve"> Premier Inn has made considerable strides towards sustainability, such as cutting down on garbage and carbon emissions across the board. Whitbread's carbon emissions decreased by 5.8% between 2020 and 2021, according to the company's annual report</w:t>
      </w:r>
      <w:r>
        <w:t xml:space="preserve"> </w:t>
      </w:r>
      <w:r>
        <w:rPr>
          <w:rFonts w:cs="Times New Roman" w:eastAsia="Times New Roman"/>
          <w:szCs w:val="24"/>
        </w:rPr>
        <w:t>(TKACHUK, 2020)</w:t>
      </w:r>
      <w:r>
        <w:t>.</w:t>
      </w:r>
    </w:p>
    <w:p w14:paraId="00000056">
      <w:pPr>
        <w:pStyle w:val="ListParagraph"/>
        <w:numPr>
          <w:ilvl w:val="0"/>
          <w:numId w:val="6"/>
        </w:numPr>
        <w:rPr/>
      </w:pPr>
      <w:r>
        <w:rPr>
          <w:b/>
          <w:bCs/>
        </w:rPr>
        <w:t>Community engagement:</w:t>
      </w:r>
      <w:r>
        <w:t xml:space="preserve"> They are active in volunteer and charity work in the local community. Examples of their humanitarian work include aiding the homeless and working with the Great Ormond Street Hospital Children's Charity</w:t>
      </w:r>
      <w:r>
        <w:t xml:space="preserve"> </w:t>
      </w:r>
      <w:r>
        <w:rPr>
          <w:rFonts w:cs="Times New Roman" w:eastAsia="Times New Roman"/>
          <w:szCs w:val="24"/>
        </w:rPr>
        <w:t>(DEMİRCİFTCİ, 2020)</w:t>
      </w:r>
      <w:r>
        <w:t>.</w:t>
      </w:r>
    </w:p>
    <w:p w14:paraId="00000057">
      <w:pPr>
        <w:pStyle w:val="ListParagraph"/>
        <w:numPr>
          <w:ilvl w:val="0"/>
          <w:numId w:val="6"/>
        </w:numPr>
        <w:rPr/>
      </w:pPr>
      <w:r>
        <w:rPr>
          <w:b/>
          <w:bCs/>
        </w:rPr>
        <w:t>Ethical practices:</w:t>
      </w:r>
      <w:r>
        <w:t xml:space="preserve"> Whitbread </w:t>
      </w:r>
      <w:r>
        <w:t>prioritises</w:t>
      </w:r>
      <w:r>
        <w:t xml:space="preserve"> moral </w:t>
      </w:r>
      <w:r>
        <w:t>behaviour</w:t>
      </w:r>
      <w:r>
        <w:t xml:space="preserve">, such as using fair </w:t>
      </w:r>
      <w:r>
        <w:t>labour</w:t>
      </w:r>
      <w:r>
        <w:t xml:space="preserve"> </w:t>
      </w:r>
      <w:r>
        <w:t>practises</w:t>
      </w:r>
      <w:r>
        <w:t xml:space="preserve"> and sourcing products sustainably. They hope to lessen their supply chain's negative effects on the environment through ethical buying practices</w:t>
      </w:r>
      <w:r>
        <w:t xml:space="preserve"> </w:t>
      </w:r>
      <w:r>
        <w:rPr>
          <w:rFonts w:cs="Times New Roman" w:eastAsia="Times New Roman"/>
          <w:szCs w:val="24"/>
        </w:rPr>
        <w:t>(Griffith et al., 2020)</w:t>
      </w:r>
      <w:r>
        <w:t>.</w:t>
      </w:r>
    </w:p>
    <w:p w14:paraId="00000058">
      <w:pPr>
        <w:keepNext w:val="on"/>
        <w:jc w:val="center"/>
        <w:rPr/>
      </w:pPr>
      <w:r>
        <w:rPr/>
        <w:drawing xmlns:mc="http://schemas.openxmlformats.org/markup-compatibility/2006">
          <wp:inline distT="0" distB="0" distL="0" distR="0">
            <wp:extent cx="2926044" cy="3208020"/>
            <wp:effectExtent l="0" t="0" r="0" b="0"/>
            <wp:docPr id="1702699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699357" name="Picture 1"/>
                    <pic:cNvPicPr/>
                  </pic:nvPicPr>
                  <pic:blipFill>
                    <a:blip r:embed="rId38"/>
                    <a:srcRect/>
                    <a:stretch>
                      <a:fillRect/>
                    </a:stretch>
                  </pic:blipFill>
                  <pic:spPr>
                    <a:xfrm>
                      <a:off x="0" y="0"/>
                      <a:ext cx="2926044" cy="3208020"/>
                    </a:xfrm>
                    <a:prstGeom prst="rect">
                      <a:avLst/>
                    </a:prstGeom>
                  </pic:spPr>
                </pic:pic>
              </a:graphicData>
            </a:graphic>
          </wp:inline>
        </w:drawing>
      </w:r>
    </w:p>
    <w:p w14:paraId="00000059">
      <w:pPr>
        <w:pStyle w:val="Caption"/>
        <w:jc w:val="center"/>
        <w:rPr/>
      </w:pPr>
      <w:r>
        <w:t xml:space="preserve">Figure </w:t>
      </w:r>
      <w:r>
        <w:fldChar w:fldCharType="begin"/>
      </w:r>
      <w:r>
        <w:instrText xml:space="preserve"> SEQ Figure \* ARABIC </w:instrText>
      </w:r>
      <w:r>
        <w:fldChar w:fldCharType="separate"/>
      </w:r>
      <w:r>
        <w:t>5</w:t>
      </w:r>
      <w:r>
        <w:fldChar w:fldCharType="end"/>
      </w:r>
      <w:r>
        <w:t xml:space="preserve"> Premier Inn's ethical practices by the board</w:t>
      </w:r>
    </w:p>
    <w:p w14:paraId="0000005A">
      <w:pPr>
        <w:jc w:val="center"/>
        <w:rPr>
          <w:i/>
          <w:iCs/>
          <w:sz w:val="22"/>
          <w:szCs w:val="20"/>
        </w:rPr>
      </w:pPr>
      <w:r>
        <w:rPr>
          <w:i/>
          <w:iCs/>
          <w:sz w:val="22"/>
          <w:szCs w:val="20"/>
        </w:rPr>
        <w:t>Source: ESG report, 2021-22</w:t>
      </w:r>
    </w:p>
    <w:p w14:paraId="0000005B">
      <w:r>
        <w:t xml:space="preserve">The extent and focus of CSR efforts are different for Mandarin Oriental and Premier Inn because of the two hotels' respective market positions and client bases. Premier Inn's approach is aimed at the economy and midrange segment, while Mandarin Oriental's CSR </w:t>
      </w:r>
      <w:r>
        <w:t>endeavours</w:t>
      </w:r>
      <w:r>
        <w:t xml:space="preserve"> are in line with the luxury hotel's reputation</w:t>
      </w:r>
      <w:r>
        <w:t xml:space="preserve"> </w:t>
      </w:r>
      <w:r>
        <w:rPr>
          <w:rFonts w:cs="Times New Roman" w:eastAsia="Times New Roman"/>
          <w:szCs w:val="24"/>
        </w:rPr>
        <w:t>(Akbari et al., 2021)</w:t>
      </w:r>
      <w:r>
        <w:t>.</w:t>
      </w:r>
    </w:p>
    <w:p w14:paraId="0000005C">
      <w:r>
        <w:t>Mandarin Oriental's dedication to CSR is particularly visible in areas like environmentally friendly practices and involvement in the community because these align with its assets and target market</w:t>
      </w:r>
      <w:r>
        <w:t xml:space="preserve"> </w:t>
      </w:r>
      <w:r>
        <w:rPr>
          <w:rFonts w:cs="Times New Roman" w:eastAsia="Times New Roman"/>
          <w:szCs w:val="24"/>
        </w:rPr>
        <w:t>(Lentz et al., 2022)</w:t>
      </w:r>
      <w:r>
        <w:t xml:space="preserve">. Premier Inn is dedicated to corporate social responsibility, although it </w:t>
      </w:r>
      <w:r>
        <w:t>emphasises</w:t>
      </w:r>
      <w:r>
        <w:t xml:space="preserve"> modest ecological objectives and community projects to preserve its budget-friendly brand.</w:t>
      </w:r>
    </w:p>
    <w:p w14:paraId="0000005D"/>
    <w:p w14:paraId="0000005E">
      <w:pPr>
        <w:spacing w:line="259" w:lineRule="auto"/>
        <w:jc w:val="left"/>
        <w:rPr/>
      </w:pPr>
      <w:r>
        <w:rPr/>
        <w:br w:type="page"/>
      </w:r>
    </w:p>
    <w:p w14:paraId="0000005F">
      <w:pPr>
        <w:pStyle w:val="Heading1"/>
        <w:rPr/>
      </w:pPr>
      <w:bookmarkStart w:id="5" w:name="_Toc148623064"/>
      <w:r>
        <w:t>Conclusion</w:t>
      </w:r>
      <w:r>
        <w:t xml:space="preserve"> and rec</w:t>
      </w:r>
      <w:r>
        <w:t>ommendations</w:t>
      </w:r>
      <w:bookmarkEnd w:id="5"/>
    </w:p>
    <w:p w14:paraId="00000060">
      <w:r>
        <w:t xml:space="preserve">Premier Inn and the Mandarin Oriental Hotel Group each have their niche and set of strengths in the hotel industry. As an internationally </w:t>
      </w:r>
      <w:r>
        <w:t>recognised</w:t>
      </w:r>
      <w:r>
        <w:t xml:space="preserve"> prestige brand, Mandarin Oriental should continue to </w:t>
      </w:r>
      <w:r>
        <w:t>prioritise</w:t>
      </w:r>
      <w:r>
        <w:t xml:space="preserve"> upholding its status as an epitome of luxurious pampering and </w:t>
      </w:r>
      <w:r>
        <w:t>personalised</w:t>
      </w:r>
      <w:r>
        <w:t xml:space="preserve"> attention. The company's growth prospects rest on its ability to reach new markets without compromising the highest standards of luxury. Premier Inn, on the other conjunction, has to build on the solid foundation it has established as a low- to mid-priced hotel chain. Long-term success will depend on the company's ability to expand locally and internationally, particularly in markets where its value-driven proposition is well received. Both companies should continue their CSR efforts, as doing so is in line with changing consumer expectations and promotes customer loyalty over the long run. In addition, they need to place a premium on environmental responsibility, social responsibility, and ethical business methods. Premier Inn needs to expand its low-priced market presence while Mandarin Oriental must maintain its focus on luxury and international growth. Both businesses would benefit from maintaining their CSR efforts </w:t>
      </w:r>
      <w:r>
        <w:t>to</w:t>
      </w:r>
      <w:r>
        <w:t xml:space="preserve"> keep the goodwill their respective brands have garnered among socially concerned consumers.</w:t>
      </w:r>
    </w:p>
    <w:p w14:paraId="00000061">
      <w:pPr>
        <w:spacing w:line="259" w:lineRule="auto"/>
        <w:jc w:val="left"/>
        <w:rPr/>
      </w:pPr>
    </w:p>
    <w:p w14:paraId="00000062">
      <w:pPr>
        <w:spacing w:line="259" w:lineRule="auto"/>
        <w:jc w:val="left"/>
        <w:rPr/>
      </w:pPr>
    </w:p>
    <w:p w14:paraId="00000063">
      <w:pPr>
        <w:spacing w:line="259" w:lineRule="auto"/>
        <w:jc w:val="left"/>
        <w:rPr/>
      </w:pPr>
      <w:r>
        <w:rPr/>
        <w:br w:type="page"/>
      </w:r>
    </w:p>
    <w:p w14:paraId="00000064">
      <w:pPr>
        <w:pStyle w:val="Heading1"/>
        <w:rPr/>
      </w:pPr>
      <w:bookmarkStart w:id="6" w:name="_Toc148623065"/>
      <w:r>
        <w:t>Reference</w:t>
      </w:r>
      <w:bookmarkEnd w:id="6"/>
    </w:p>
    <w:p w14:paraId="00000065">
      <w:pPr>
        <w:spacing w:after="0"/>
        <w:rPr>
          <w:rFonts w:cs="Times New Roman" w:eastAsia="Times New Roman"/>
          <w:szCs w:val="24"/>
        </w:rPr>
      </w:pPr>
      <w:r>
        <w:rPr>
          <w:rFonts w:cs="Times New Roman" w:eastAsia="Times New Roman"/>
          <w:szCs w:val="24"/>
        </w:rPr>
        <w:t xml:space="preserve">Akbari, M., Nazarian, A., </w:t>
      </w:r>
      <w:r>
        <w:rPr>
          <w:rFonts w:cs="Times New Roman" w:eastAsia="Times New Roman"/>
          <w:szCs w:val="24"/>
        </w:rPr>
        <w:t>Foroudi</w:t>
      </w:r>
      <w:r>
        <w:rPr>
          <w:rFonts w:cs="Times New Roman" w:eastAsia="Times New Roman"/>
          <w:szCs w:val="24"/>
        </w:rPr>
        <w:t xml:space="preserve">, P., Seyyed Amiri, N. and </w:t>
      </w:r>
      <w:r>
        <w:rPr>
          <w:rFonts w:cs="Times New Roman" w:eastAsia="Times New Roman"/>
          <w:szCs w:val="24"/>
        </w:rPr>
        <w:t>Ezatabadipoor</w:t>
      </w:r>
      <w:r>
        <w:rPr>
          <w:rFonts w:cs="Times New Roman" w:eastAsia="Times New Roman"/>
          <w:szCs w:val="24"/>
        </w:rPr>
        <w:t xml:space="preserve">, E., 2021. How corporate social responsibility contributes to strengthening brand loyalty, hotel positioning and intention to revisit?. </w:t>
      </w:r>
      <w:r>
        <w:rPr>
          <w:rFonts w:cs="Times New Roman" w:eastAsia="Times New Roman"/>
          <w:i/>
          <w:iCs/>
          <w:szCs w:val="24"/>
        </w:rPr>
        <w:t>Current Issues in Tourism</w:t>
      </w:r>
      <w:r>
        <w:rPr>
          <w:rFonts w:cs="Times New Roman" w:eastAsia="Times New Roman"/>
          <w:szCs w:val="24"/>
        </w:rPr>
        <w:t xml:space="preserve">, </w:t>
      </w:r>
      <w:r>
        <w:rPr>
          <w:rFonts w:cs="Times New Roman" w:eastAsia="Times New Roman"/>
          <w:i/>
          <w:iCs/>
          <w:szCs w:val="24"/>
        </w:rPr>
        <w:t>24</w:t>
      </w:r>
      <w:r>
        <w:rPr>
          <w:rFonts w:cs="Times New Roman" w:eastAsia="Times New Roman"/>
          <w:szCs w:val="24"/>
        </w:rPr>
        <w:t>(13), pp.1897-1917.</w:t>
      </w:r>
    </w:p>
    <w:p w14:paraId="00000066">
      <w:pPr>
        <w:spacing w:after="0"/>
        <w:rPr>
          <w:rFonts w:cs="Times New Roman" w:eastAsia="Times New Roman"/>
          <w:szCs w:val="24"/>
        </w:rPr>
      </w:pPr>
      <w:r>
        <w:rPr>
          <w:rFonts w:cs="Times New Roman" w:eastAsia="Times New Roman"/>
          <w:szCs w:val="24"/>
        </w:rPr>
        <w:t xml:space="preserve">Bas, T. and </w:t>
      </w:r>
      <w:r>
        <w:rPr>
          <w:rFonts w:cs="Times New Roman" w:eastAsia="Times New Roman"/>
          <w:szCs w:val="24"/>
        </w:rPr>
        <w:t>Sivaprasad</w:t>
      </w:r>
      <w:r>
        <w:rPr>
          <w:rFonts w:cs="Times New Roman" w:eastAsia="Times New Roman"/>
          <w:szCs w:val="24"/>
        </w:rPr>
        <w:t xml:space="preserve">, S., 2022. An Exploratory Insight into the Impact of COVID-19 on the Travel and Tourism Sector: UK Evidence. In </w:t>
      </w:r>
      <w:r>
        <w:rPr>
          <w:rFonts w:cs="Times New Roman" w:eastAsia="Times New Roman"/>
          <w:i/>
          <w:iCs/>
          <w:szCs w:val="24"/>
        </w:rPr>
        <w:t xml:space="preserve">An Exploratory Insight into the Impact of COVID-19 on the Travel and Tourism Sector: UK Evidence: Bas, </w:t>
      </w:r>
      <w:r>
        <w:rPr>
          <w:rFonts w:cs="Times New Roman" w:eastAsia="Times New Roman"/>
          <w:i/>
          <w:iCs/>
          <w:szCs w:val="24"/>
        </w:rPr>
        <w:t>Tugba</w:t>
      </w:r>
      <w:r>
        <w:rPr>
          <w:rFonts w:cs="Times New Roman" w:eastAsia="Times New Roman"/>
          <w:i/>
          <w:iCs/>
          <w:szCs w:val="24"/>
        </w:rPr>
        <w:t xml:space="preserve">| </w:t>
      </w:r>
      <w:r>
        <w:rPr>
          <w:rFonts w:cs="Times New Roman" w:eastAsia="Times New Roman"/>
          <w:i/>
          <w:iCs/>
          <w:szCs w:val="24"/>
        </w:rPr>
        <w:t>uSivaprasad</w:t>
      </w:r>
      <w:r>
        <w:rPr>
          <w:rFonts w:cs="Times New Roman" w:eastAsia="Times New Roman"/>
          <w:i/>
          <w:iCs/>
          <w:szCs w:val="24"/>
        </w:rPr>
        <w:t xml:space="preserve">, </w:t>
      </w:r>
      <w:r>
        <w:rPr>
          <w:rFonts w:cs="Times New Roman" w:eastAsia="Times New Roman"/>
          <w:i/>
          <w:iCs/>
          <w:szCs w:val="24"/>
        </w:rPr>
        <w:t>Sheeja</w:t>
      </w:r>
      <w:r>
        <w:rPr>
          <w:rFonts w:cs="Times New Roman" w:eastAsia="Times New Roman"/>
          <w:szCs w:val="24"/>
        </w:rPr>
        <w:t>. [</w:t>
      </w:r>
      <w:r>
        <w:rPr>
          <w:rFonts w:cs="Times New Roman" w:eastAsia="Times New Roman"/>
          <w:szCs w:val="24"/>
        </w:rPr>
        <w:t>Sl</w:t>
      </w:r>
      <w:r>
        <w:rPr>
          <w:rFonts w:cs="Times New Roman" w:eastAsia="Times New Roman"/>
          <w:szCs w:val="24"/>
        </w:rPr>
        <w:t>]: SSRN.</w:t>
      </w:r>
    </w:p>
    <w:p w14:paraId="00000067">
      <w:pPr>
        <w:spacing w:after="0"/>
        <w:rPr>
          <w:rFonts w:cs="Times New Roman" w:eastAsia="Times New Roman"/>
          <w:szCs w:val="24"/>
        </w:rPr>
      </w:pPr>
      <w:r>
        <w:rPr>
          <w:rFonts w:cs="Times New Roman" w:eastAsia="Times New Roman"/>
          <w:szCs w:val="24"/>
        </w:rPr>
        <w:t xml:space="preserve">Bas, T. and </w:t>
      </w:r>
      <w:r>
        <w:rPr>
          <w:rFonts w:cs="Times New Roman" w:eastAsia="Times New Roman"/>
          <w:szCs w:val="24"/>
        </w:rPr>
        <w:t>Sivaprasad</w:t>
      </w:r>
      <w:r>
        <w:rPr>
          <w:rFonts w:cs="Times New Roman" w:eastAsia="Times New Roman"/>
          <w:szCs w:val="24"/>
        </w:rPr>
        <w:t xml:space="preserve">, S., 2022. An Exploratory Insight into the Impact of COVID-19 on the Travel and Tourism Sector: UK Evidence. </w:t>
      </w:r>
      <w:r>
        <w:rPr>
          <w:rFonts w:cs="Times New Roman" w:eastAsia="Times New Roman"/>
          <w:i/>
          <w:iCs/>
          <w:szCs w:val="24"/>
        </w:rPr>
        <w:t xml:space="preserve">Bas, T. &amp; </w:t>
      </w:r>
      <w:r>
        <w:rPr>
          <w:rFonts w:cs="Times New Roman" w:eastAsia="Times New Roman"/>
          <w:i/>
          <w:iCs/>
          <w:szCs w:val="24"/>
        </w:rPr>
        <w:t>Sivaprasad</w:t>
      </w:r>
      <w:r>
        <w:rPr>
          <w:rFonts w:cs="Times New Roman" w:eastAsia="Times New Roman"/>
          <w:i/>
          <w:iCs/>
          <w:szCs w:val="24"/>
        </w:rPr>
        <w:t>, S.(2022). An exploratory insight into the impact of COVID-19 on the travel and tourism sector: UK evidence. In S. Karabulut (Ed.), Economic and Financial Analysis of Global and National Developments</w:t>
      </w:r>
      <w:r>
        <w:rPr>
          <w:rFonts w:cs="Times New Roman" w:eastAsia="Times New Roman"/>
          <w:szCs w:val="24"/>
        </w:rPr>
        <w:t>, pp.355-369.</w:t>
      </w:r>
    </w:p>
    <w:p w14:paraId="00000068">
      <w:pPr>
        <w:spacing w:after="0"/>
        <w:rPr>
          <w:rFonts w:cs="Times New Roman" w:eastAsia="Times New Roman"/>
          <w:szCs w:val="24"/>
        </w:rPr>
      </w:pPr>
      <w:r>
        <w:rPr>
          <w:rFonts w:cs="Times New Roman" w:eastAsia="Times New Roman"/>
          <w:szCs w:val="24"/>
        </w:rPr>
        <w:t xml:space="preserve">Berry, C.T.P., 2022. </w:t>
      </w:r>
      <w:r>
        <w:rPr>
          <w:rFonts w:cs="Times New Roman" w:eastAsia="Times New Roman"/>
          <w:i/>
          <w:iCs/>
          <w:szCs w:val="24"/>
        </w:rPr>
        <w:t>Equity research-Whitbread PLC</w:t>
      </w:r>
      <w:r>
        <w:rPr>
          <w:rFonts w:cs="Times New Roman" w:eastAsia="Times New Roman"/>
          <w:szCs w:val="24"/>
        </w:rPr>
        <w:t xml:space="preserve"> (Doctoral dissertation, Instituto Superior de </w:t>
      </w:r>
      <w:r>
        <w:rPr>
          <w:rFonts w:cs="Times New Roman" w:eastAsia="Times New Roman"/>
          <w:szCs w:val="24"/>
        </w:rPr>
        <w:t>Economia</w:t>
      </w:r>
      <w:r>
        <w:rPr>
          <w:rFonts w:cs="Times New Roman" w:eastAsia="Times New Roman"/>
          <w:szCs w:val="24"/>
        </w:rPr>
        <w:t xml:space="preserve"> e </w:t>
      </w:r>
      <w:r>
        <w:rPr>
          <w:rFonts w:cs="Times New Roman" w:eastAsia="Times New Roman"/>
          <w:szCs w:val="24"/>
        </w:rPr>
        <w:t>Gestão</w:t>
      </w:r>
      <w:r>
        <w:rPr>
          <w:rFonts w:cs="Times New Roman" w:eastAsia="Times New Roman"/>
          <w:szCs w:val="24"/>
        </w:rPr>
        <w:t>).</w:t>
      </w:r>
    </w:p>
    <w:p w14:paraId="00000069">
      <w:pPr>
        <w:spacing w:after="0"/>
        <w:rPr>
          <w:rFonts w:cs="Times New Roman" w:eastAsia="Times New Roman"/>
          <w:szCs w:val="24"/>
        </w:rPr>
      </w:pPr>
      <w:r>
        <w:rPr>
          <w:rFonts w:cs="Times New Roman" w:eastAsia="Times New Roman"/>
          <w:szCs w:val="24"/>
        </w:rPr>
        <w:t>Canhoto</w:t>
      </w:r>
      <w:r>
        <w:rPr>
          <w:rFonts w:cs="Times New Roman" w:eastAsia="Times New Roman"/>
          <w:szCs w:val="24"/>
        </w:rPr>
        <w:t xml:space="preserve">, A.I. and Wei, L., 2021. Stakeholders of the world, unite!: Hospitality in the time of COVID-19. </w:t>
      </w:r>
      <w:r>
        <w:rPr>
          <w:rFonts w:cs="Times New Roman" w:eastAsia="Times New Roman"/>
          <w:i/>
          <w:iCs/>
          <w:szCs w:val="24"/>
        </w:rPr>
        <w:t>International Journal of Hospitality Management</w:t>
      </w:r>
      <w:r>
        <w:rPr>
          <w:rFonts w:cs="Times New Roman" w:eastAsia="Times New Roman"/>
          <w:szCs w:val="24"/>
        </w:rPr>
        <w:t xml:space="preserve">, </w:t>
      </w:r>
      <w:r>
        <w:rPr>
          <w:rFonts w:cs="Times New Roman" w:eastAsia="Times New Roman"/>
          <w:i/>
          <w:iCs/>
          <w:szCs w:val="24"/>
        </w:rPr>
        <w:t>95</w:t>
      </w:r>
      <w:r>
        <w:rPr>
          <w:rFonts w:cs="Times New Roman" w:eastAsia="Times New Roman"/>
          <w:szCs w:val="24"/>
        </w:rPr>
        <w:t>, p.102922.</w:t>
      </w:r>
    </w:p>
    <w:p w14:paraId="0000006A">
      <w:pPr>
        <w:spacing w:after="0"/>
        <w:rPr>
          <w:rFonts w:cs="Times New Roman" w:eastAsia="Times New Roman"/>
          <w:szCs w:val="24"/>
        </w:rPr>
      </w:pPr>
      <w:r>
        <w:rPr>
          <w:rFonts w:cs="Times New Roman" w:eastAsia="Times New Roman"/>
          <w:szCs w:val="24"/>
        </w:rPr>
        <w:t xml:space="preserve">Coleman, D., 2019. Does brand purpose really serve a brand purpose. </w:t>
      </w:r>
      <w:r>
        <w:rPr>
          <w:rFonts w:cs="Times New Roman" w:eastAsia="Times New Roman"/>
          <w:i/>
          <w:iCs/>
          <w:szCs w:val="24"/>
        </w:rPr>
        <w:t xml:space="preserve">WARC exclusive, </w:t>
      </w:r>
      <w:r>
        <w:rPr>
          <w:rFonts w:cs="Times New Roman" w:eastAsia="Times New Roman"/>
          <w:i/>
          <w:iCs/>
          <w:szCs w:val="24"/>
        </w:rPr>
        <w:t>srpanj</w:t>
      </w:r>
      <w:r>
        <w:rPr>
          <w:rFonts w:cs="Times New Roman" w:eastAsia="Times New Roman"/>
          <w:szCs w:val="24"/>
        </w:rPr>
        <w:t>, pp.1-2.</w:t>
      </w:r>
    </w:p>
    <w:p w14:paraId="0000006B">
      <w:pPr>
        <w:spacing w:after="0"/>
        <w:rPr>
          <w:rFonts w:cs="Times New Roman" w:eastAsia="Times New Roman"/>
          <w:szCs w:val="24"/>
        </w:rPr>
      </w:pPr>
      <w:r>
        <w:rPr>
          <w:rFonts w:cs="Times New Roman" w:eastAsia="Times New Roman"/>
          <w:szCs w:val="24"/>
        </w:rPr>
        <w:t xml:space="preserve">DEMİRCİFTCİ, T., 2022. How To Be a Successful Revenue Manager: A Case from the Marriott Turkey Cluster. </w:t>
      </w:r>
      <w:r>
        <w:rPr>
          <w:rFonts w:cs="Times New Roman" w:eastAsia="Times New Roman"/>
          <w:i/>
          <w:iCs/>
          <w:szCs w:val="24"/>
        </w:rPr>
        <w:t xml:space="preserve">Journal of </w:t>
      </w:r>
      <w:r>
        <w:rPr>
          <w:rFonts w:cs="Times New Roman" w:eastAsia="Times New Roman"/>
          <w:i/>
          <w:iCs/>
          <w:szCs w:val="24"/>
        </w:rPr>
        <w:t>Tourismology</w:t>
      </w:r>
      <w:r>
        <w:rPr>
          <w:rFonts w:cs="Times New Roman" w:eastAsia="Times New Roman"/>
          <w:szCs w:val="24"/>
        </w:rPr>
        <w:t xml:space="preserve">, </w:t>
      </w:r>
      <w:r>
        <w:rPr>
          <w:rFonts w:cs="Times New Roman" w:eastAsia="Times New Roman"/>
          <w:i/>
          <w:iCs/>
          <w:szCs w:val="24"/>
        </w:rPr>
        <w:t>8</w:t>
      </w:r>
      <w:r>
        <w:rPr>
          <w:rFonts w:cs="Times New Roman" w:eastAsia="Times New Roman"/>
          <w:szCs w:val="24"/>
        </w:rPr>
        <w:t>(1), pp.1-11.</w:t>
      </w:r>
    </w:p>
    <w:p w14:paraId="0000006C">
      <w:pPr>
        <w:spacing w:after="0"/>
        <w:rPr>
          <w:rFonts w:cs="Times New Roman" w:eastAsia="Times New Roman"/>
          <w:szCs w:val="24"/>
        </w:rPr>
      </w:pPr>
      <w:r>
        <w:rPr>
          <w:rFonts w:cs="Times New Roman" w:eastAsia="Times New Roman"/>
          <w:szCs w:val="24"/>
        </w:rPr>
        <w:t xml:space="preserve">Dube, K., Nhamo, G. and </w:t>
      </w:r>
      <w:r>
        <w:rPr>
          <w:rFonts w:cs="Times New Roman" w:eastAsia="Times New Roman"/>
          <w:szCs w:val="24"/>
        </w:rPr>
        <w:t>Chikodzi</w:t>
      </w:r>
      <w:r>
        <w:rPr>
          <w:rFonts w:cs="Times New Roman" w:eastAsia="Times New Roman"/>
          <w:szCs w:val="24"/>
        </w:rPr>
        <w:t xml:space="preserve">, D., 2021. COVID-19 cripples global restaurant and hospitality industry. </w:t>
      </w:r>
      <w:r>
        <w:rPr>
          <w:rFonts w:cs="Times New Roman" w:eastAsia="Times New Roman"/>
          <w:i/>
          <w:iCs/>
          <w:szCs w:val="24"/>
        </w:rPr>
        <w:t>Current Issues in Tourism</w:t>
      </w:r>
      <w:r>
        <w:rPr>
          <w:rFonts w:cs="Times New Roman" w:eastAsia="Times New Roman"/>
          <w:szCs w:val="24"/>
        </w:rPr>
        <w:t xml:space="preserve">, </w:t>
      </w:r>
      <w:r>
        <w:rPr>
          <w:rFonts w:cs="Times New Roman" w:eastAsia="Times New Roman"/>
          <w:i/>
          <w:iCs/>
          <w:szCs w:val="24"/>
        </w:rPr>
        <w:t>24</w:t>
      </w:r>
      <w:r>
        <w:rPr>
          <w:rFonts w:cs="Times New Roman" w:eastAsia="Times New Roman"/>
          <w:szCs w:val="24"/>
        </w:rPr>
        <w:t>(11), pp.1487-1490.</w:t>
      </w:r>
    </w:p>
    <w:p w14:paraId="0000006D">
      <w:pPr>
        <w:spacing w:after="0"/>
        <w:rPr>
          <w:rFonts w:cs="Times New Roman" w:eastAsia="Times New Roman"/>
          <w:szCs w:val="24"/>
        </w:rPr>
      </w:pPr>
      <w:r>
        <w:rPr>
          <w:rFonts w:cs="Times New Roman" w:eastAsia="Times New Roman"/>
          <w:szCs w:val="24"/>
        </w:rPr>
        <w:t xml:space="preserve">George, R., 2021. </w:t>
      </w:r>
      <w:r>
        <w:rPr>
          <w:rFonts w:cs="Times New Roman" w:eastAsia="Times New Roman"/>
          <w:i/>
          <w:iCs/>
          <w:szCs w:val="24"/>
        </w:rPr>
        <w:t>Marketing tourism and hospitality: concepts and cases</w:t>
      </w:r>
      <w:r>
        <w:rPr>
          <w:rFonts w:cs="Times New Roman" w:eastAsia="Times New Roman"/>
          <w:szCs w:val="24"/>
        </w:rPr>
        <w:t>. Springer Nature.</w:t>
      </w:r>
    </w:p>
    <w:p w14:paraId="0000006E">
      <w:pPr>
        <w:spacing w:after="0"/>
        <w:rPr>
          <w:rFonts w:cs="Times New Roman" w:eastAsia="Times New Roman"/>
          <w:szCs w:val="24"/>
        </w:rPr>
      </w:pPr>
      <w:r>
        <w:rPr>
          <w:rFonts w:cs="Times New Roman" w:eastAsia="Times New Roman"/>
          <w:szCs w:val="24"/>
        </w:rPr>
        <w:t xml:space="preserve">George, R., 2021. Tourism and Hospitality Marketing Principles. In </w:t>
      </w:r>
      <w:r>
        <w:rPr>
          <w:rFonts w:cs="Times New Roman" w:eastAsia="Times New Roman"/>
          <w:i/>
          <w:iCs/>
          <w:szCs w:val="24"/>
        </w:rPr>
        <w:t>Marketing Tourism and Hospitality: Concepts and Cases</w:t>
      </w:r>
      <w:r>
        <w:rPr>
          <w:rFonts w:cs="Times New Roman" w:eastAsia="Times New Roman"/>
          <w:szCs w:val="24"/>
        </w:rPr>
        <w:t xml:space="preserve"> (pp. 3-31). Cham: Springer International Publishing.</w:t>
      </w:r>
    </w:p>
    <w:p w14:paraId="0000006F">
      <w:pPr>
        <w:spacing w:after="0"/>
        <w:rPr>
          <w:rFonts w:cs="Times New Roman" w:eastAsia="Times New Roman"/>
          <w:szCs w:val="24"/>
        </w:rPr>
      </w:pPr>
      <w:r>
        <w:rPr>
          <w:rFonts w:cs="Times New Roman" w:eastAsia="Times New Roman"/>
          <w:szCs w:val="24"/>
        </w:rPr>
        <w:t xml:space="preserve">Griffith, R., Levell, P. and Stroud, R., 2020. The impact of COVID‐19 on share prices in the UK. </w:t>
      </w:r>
      <w:r>
        <w:rPr>
          <w:rFonts w:cs="Times New Roman" w:eastAsia="Times New Roman"/>
          <w:i/>
          <w:iCs/>
          <w:szCs w:val="24"/>
        </w:rPr>
        <w:t>Fiscal Studies</w:t>
      </w:r>
      <w:r>
        <w:rPr>
          <w:rFonts w:cs="Times New Roman" w:eastAsia="Times New Roman"/>
          <w:szCs w:val="24"/>
        </w:rPr>
        <w:t xml:space="preserve">, </w:t>
      </w:r>
      <w:r>
        <w:rPr>
          <w:rFonts w:cs="Times New Roman" w:eastAsia="Times New Roman"/>
          <w:i/>
          <w:iCs/>
          <w:szCs w:val="24"/>
        </w:rPr>
        <w:t>41</w:t>
      </w:r>
      <w:r>
        <w:rPr>
          <w:rFonts w:cs="Times New Roman" w:eastAsia="Times New Roman"/>
          <w:szCs w:val="24"/>
        </w:rPr>
        <w:t>(2), pp.363-369.</w:t>
      </w:r>
    </w:p>
    <w:p w14:paraId="00000070">
      <w:pPr>
        <w:spacing w:after="0"/>
        <w:rPr>
          <w:rFonts w:cs="Times New Roman" w:eastAsia="Times New Roman"/>
          <w:szCs w:val="24"/>
        </w:rPr>
      </w:pPr>
      <w:r>
        <w:rPr>
          <w:rFonts w:cs="Times New Roman" w:eastAsia="Times New Roman"/>
          <w:szCs w:val="24"/>
        </w:rPr>
        <w:t xml:space="preserve">Jones, P. and Comfort, D., 2021. Modern slavery statements and leading UK hotel companies. </w:t>
      </w:r>
      <w:r>
        <w:rPr>
          <w:rFonts w:cs="Times New Roman" w:eastAsia="Times New Roman"/>
          <w:i/>
          <w:iCs/>
          <w:szCs w:val="24"/>
        </w:rPr>
        <w:t>Athens Journal of Tourism</w:t>
      </w:r>
      <w:r>
        <w:rPr>
          <w:rFonts w:cs="Times New Roman" w:eastAsia="Times New Roman"/>
          <w:szCs w:val="24"/>
        </w:rPr>
        <w:t xml:space="preserve">, </w:t>
      </w:r>
      <w:r>
        <w:rPr>
          <w:rFonts w:cs="Times New Roman" w:eastAsia="Times New Roman"/>
          <w:i/>
          <w:iCs/>
          <w:szCs w:val="24"/>
        </w:rPr>
        <w:t>8</w:t>
      </w:r>
      <w:r>
        <w:rPr>
          <w:rFonts w:cs="Times New Roman" w:eastAsia="Times New Roman"/>
          <w:szCs w:val="24"/>
        </w:rPr>
        <w:t>(3), pp.147-162.</w:t>
      </w:r>
    </w:p>
    <w:p w14:paraId="00000071">
      <w:pPr>
        <w:spacing w:after="0"/>
        <w:rPr>
          <w:rFonts w:cs="Times New Roman" w:eastAsia="Times New Roman"/>
          <w:szCs w:val="24"/>
        </w:rPr>
      </w:pPr>
      <w:r>
        <w:rPr>
          <w:rFonts w:cs="Times New Roman" w:eastAsia="Times New Roman"/>
          <w:szCs w:val="24"/>
        </w:rPr>
        <w:t>Kucukusta</w:t>
      </w:r>
      <w:r>
        <w:rPr>
          <w:rFonts w:cs="Times New Roman" w:eastAsia="Times New Roman"/>
          <w:szCs w:val="24"/>
        </w:rPr>
        <w:t xml:space="preserve">, D., </w:t>
      </w:r>
      <w:r>
        <w:rPr>
          <w:rFonts w:cs="Times New Roman" w:eastAsia="Times New Roman"/>
          <w:szCs w:val="24"/>
        </w:rPr>
        <w:t>Perelygina</w:t>
      </w:r>
      <w:r>
        <w:rPr>
          <w:rFonts w:cs="Times New Roman" w:eastAsia="Times New Roman"/>
          <w:szCs w:val="24"/>
        </w:rPr>
        <w:t xml:space="preserve">, M. and Lam, W.S., 2019. CSR communication strategies and stakeholder engagement of upscale hotels in social media. </w:t>
      </w:r>
      <w:r>
        <w:rPr>
          <w:rFonts w:cs="Times New Roman" w:eastAsia="Times New Roman"/>
          <w:i/>
          <w:iCs/>
          <w:szCs w:val="24"/>
        </w:rPr>
        <w:t>International journal of contemporary hospitality management</w:t>
      </w:r>
      <w:r>
        <w:rPr>
          <w:rFonts w:cs="Times New Roman" w:eastAsia="Times New Roman"/>
          <w:szCs w:val="24"/>
        </w:rPr>
        <w:t xml:space="preserve">, </w:t>
      </w:r>
      <w:r>
        <w:rPr>
          <w:rFonts w:cs="Times New Roman" w:eastAsia="Times New Roman"/>
          <w:i/>
          <w:iCs/>
          <w:szCs w:val="24"/>
        </w:rPr>
        <w:t>31</w:t>
      </w:r>
      <w:r>
        <w:rPr>
          <w:rFonts w:cs="Times New Roman" w:eastAsia="Times New Roman"/>
          <w:szCs w:val="24"/>
        </w:rPr>
        <w:t>(5), pp.2129-2148.</w:t>
      </w:r>
    </w:p>
    <w:p w14:paraId="00000072">
      <w:pPr>
        <w:spacing w:after="0"/>
        <w:rPr>
          <w:rFonts w:cs="Times New Roman" w:eastAsia="Times New Roman"/>
          <w:szCs w:val="24"/>
        </w:rPr>
      </w:pPr>
      <w:r>
        <w:rPr>
          <w:rFonts w:cs="Times New Roman" w:eastAsia="Times New Roman"/>
          <w:szCs w:val="24"/>
        </w:rPr>
        <w:t>Kushniruk</w:t>
      </w:r>
      <w:r>
        <w:rPr>
          <w:rFonts w:cs="Times New Roman" w:eastAsia="Times New Roman"/>
          <w:szCs w:val="24"/>
        </w:rPr>
        <w:t xml:space="preserve">, H., 2023. A STRONG BRAND AS A COMPETITIVE ADVANTAGE IN THE HOTEL BUSINESS. </w:t>
      </w:r>
      <w:r>
        <w:rPr>
          <w:rFonts w:cs="Times New Roman" w:eastAsia="Times New Roman"/>
          <w:i/>
          <w:iCs/>
          <w:szCs w:val="24"/>
        </w:rPr>
        <w:t>Publishing House “Baltija Publishing”</w:t>
      </w:r>
      <w:r>
        <w:rPr>
          <w:rFonts w:cs="Times New Roman" w:eastAsia="Times New Roman"/>
          <w:szCs w:val="24"/>
        </w:rPr>
        <w:t>.</w:t>
      </w:r>
    </w:p>
    <w:p w14:paraId="00000073">
      <w:pPr>
        <w:spacing w:after="0"/>
        <w:rPr>
          <w:rFonts w:cs="Times New Roman" w:eastAsia="Times New Roman"/>
          <w:szCs w:val="24"/>
        </w:rPr>
      </w:pPr>
      <w:r>
        <w:rPr>
          <w:rFonts w:cs="Times New Roman" w:eastAsia="Times New Roman"/>
          <w:szCs w:val="24"/>
        </w:rPr>
        <w:t xml:space="preserve">Lentz, M., </w:t>
      </w:r>
      <w:r>
        <w:rPr>
          <w:rFonts w:cs="Times New Roman" w:eastAsia="Times New Roman"/>
          <w:szCs w:val="24"/>
        </w:rPr>
        <w:t>Berezan</w:t>
      </w:r>
      <w:r>
        <w:rPr>
          <w:rFonts w:cs="Times New Roman" w:eastAsia="Times New Roman"/>
          <w:szCs w:val="24"/>
        </w:rPr>
        <w:t xml:space="preserve">, O. and Raab, C., 2022. Uncovering the relationship between revenue management and hotel loyalty programs. </w:t>
      </w:r>
      <w:r>
        <w:rPr>
          <w:rFonts w:cs="Times New Roman" w:eastAsia="Times New Roman"/>
          <w:i/>
          <w:iCs/>
          <w:szCs w:val="24"/>
        </w:rPr>
        <w:t>Journal of revenue and pricing management</w:t>
      </w:r>
      <w:r>
        <w:rPr>
          <w:rFonts w:cs="Times New Roman" w:eastAsia="Times New Roman"/>
          <w:szCs w:val="24"/>
        </w:rPr>
        <w:t xml:space="preserve">, </w:t>
      </w:r>
      <w:r>
        <w:rPr>
          <w:rFonts w:cs="Times New Roman" w:eastAsia="Times New Roman"/>
          <w:i/>
          <w:iCs/>
          <w:szCs w:val="24"/>
        </w:rPr>
        <w:t>21</w:t>
      </w:r>
      <w:r>
        <w:rPr>
          <w:rFonts w:cs="Times New Roman" w:eastAsia="Times New Roman"/>
          <w:szCs w:val="24"/>
        </w:rPr>
        <w:t>(3), pp.306-320.</w:t>
      </w:r>
    </w:p>
    <w:p w14:paraId="00000074">
      <w:pPr>
        <w:spacing w:after="0"/>
        <w:rPr>
          <w:rFonts w:cs="Times New Roman" w:eastAsia="Times New Roman"/>
          <w:szCs w:val="24"/>
        </w:rPr>
      </w:pPr>
      <w:r>
        <w:rPr>
          <w:rFonts w:cs="Times New Roman" w:eastAsia="Times New Roman"/>
          <w:szCs w:val="24"/>
        </w:rPr>
        <w:t xml:space="preserve">Li, R., 2022. </w:t>
      </w:r>
      <w:r>
        <w:rPr>
          <w:rFonts w:cs="Times New Roman" w:eastAsia="Times New Roman"/>
          <w:i/>
          <w:iCs/>
          <w:szCs w:val="24"/>
        </w:rPr>
        <w:t>Hong Kong´ s hospitality sector: the business case for quarantine hotels: the landmark mandarin oriental</w:t>
      </w:r>
      <w:r>
        <w:rPr>
          <w:rFonts w:cs="Times New Roman" w:eastAsia="Times New Roman"/>
          <w:szCs w:val="24"/>
        </w:rPr>
        <w:t xml:space="preserve"> (Doctoral dissertation).</w:t>
      </w:r>
    </w:p>
    <w:p w14:paraId="00000075">
      <w:pPr>
        <w:spacing w:after="0"/>
        <w:rPr>
          <w:rFonts w:cs="Times New Roman" w:eastAsia="Times New Roman"/>
          <w:szCs w:val="24"/>
        </w:rPr>
      </w:pPr>
      <w:r>
        <w:rPr>
          <w:rFonts w:cs="Times New Roman" w:eastAsia="Times New Roman"/>
          <w:szCs w:val="24"/>
        </w:rPr>
        <w:t xml:space="preserve">Manns, J., 2020. Growing closer: Reflections on the future of visitor accommodation and the city. </w:t>
      </w:r>
      <w:r>
        <w:rPr>
          <w:rFonts w:cs="Times New Roman" w:eastAsia="Times New Roman"/>
          <w:i/>
          <w:iCs/>
          <w:szCs w:val="24"/>
        </w:rPr>
        <w:t>Journal of Urban Regeneration &amp; Renewal</w:t>
      </w:r>
      <w:r>
        <w:rPr>
          <w:rFonts w:cs="Times New Roman" w:eastAsia="Times New Roman"/>
          <w:szCs w:val="24"/>
        </w:rPr>
        <w:t xml:space="preserve">, </w:t>
      </w:r>
      <w:r>
        <w:rPr>
          <w:rFonts w:cs="Times New Roman" w:eastAsia="Times New Roman"/>
          <w:i/>
          <w:iCs/>
          <w:szCs w:val="24"/>
        </w:rPr>
        <w:t>13</w:t>
      </w:r>
      <w:r>
        <w:rPr>
          <w:rFonts w:cs="Times New Roman" w:eastAsia="Times New Roman"/>
          <w:szCs w:val="24"/>
        </w:rPr>
        <w:t>(4), pp.357-364.</w:t>
      </w:r>
    </w:p>
    <w:p w14:paraId="00000076">
      <w:pPr>
        <w:spacing w:after="0"/>
        <w:rPr>
          <w:rFonts w:cs="Times New Roman" w:eastAsia="Times New Roman"/>
          <w:szCs w:val="24"/>
        </w:rPr>
      </w:pPr>
      <w:r>
        <w:rPr>
          <w:rFonts w:cs="Times New Roman" w:eastAsia="Times New Roman"/>
          <w:szCs w:val="24"/>
        </w:rPr>
        <w:t xml:space="preserve">Matthews, J., 2023. </w:t>
      </w:r>
      <w:r>
        <w:rPr>
          <w:rFonts w:cs="Times New Roman" w:eastAsia="Times New Roman"/>
          <w:i/>
          <w:iCs/>
          <w:szCs w:val="24"/>
        </w:rPr>
        <w:t>The British Industrial Canal: Reading the Waterways from the Eighteenth Century to the Anthropocene</w:t>
      </w:r>
      <w:r>
        <w:rPr>
          <w:rFonts w:cs="Times New Roman" w:eastAsia="Times New Roman"/>
          <w:szCs w:val="24"/>
        </w:rPr>
        <w:t>. University of Wales Press.</w:t>
      </w:r>
    </w:p>
    <w:p w14:paraId="00000077">
      <w:pPr>
        <w:spacing w:after="0"/>
        <w:rPr>
          <w:rFonts w:cs="Times New Roman" w:eastAsia="Times New Roman"/>
          <w:szCs w:val="24"/>
        </w:rPr>
      </w:pPr>
      <w:r>
        <w:rPr>
          <w:rFonts w:cs="Times New Roman" w:eastAsia="Times New Roman"/>
          <w:szCs w:val="24"/>
        </w:rPr>
        <w:t xml:space="preserve">Seraphin, H. and Ivanov, S., 2020. </w:t>
      </w:r>
      <w:r>
        <w:rPr>
          <w:rFonts w:cs="Times New Roman" w:eastAsia="Times New Roman"/>
          <w:szCs w:val="24"/>
        </w:rPr>
        <w:t>Overtourism</w:t>
      </w:r>
      <w:r>
        <w:rPr>
          <w:rFonts w:cs="Times New Roman" w:eastAsia="Times New Roman"/>
          <w:szCs w:val="24"/>
        </w:rPr>
        <w:t xml:space="preserve">: A revenue management perspective. </w:t>
      </w:r>
      <w:r>
        <w:rPr>
          <w:rFonts w:cs="Times New Roman" w:eastAsia="Times New Roman"/>
          <w:i/>
          <w:iCs/>
          <w:szCs w:val="24"/>
        </w:rPr>
        <w:t>Journal of Revenue and Pricing Management</w:t>
      </w:r>
      <w:r>
        <w:rPr>
          <w:rFonts w:cs="Times New Roman" w:eastAsia="Times New Roman"/>
          <w:szCs w:val="24"/>
        </w:rPr>
        <w:t xml:space="preserve">, </w:t>
      </w:r>
      <w:r>
        <w:rPr>
          <w:rFonts w:cs="Times New Roman" w:eastAsia="Times New Roman"/>
          <w:i/>
          <w:iCs/>
          <w:szCs w:val="24"/>
        </w:rPr>
        <w:t>19</w:t>
      </w:r>
      <w:r>
        <w:rPr>
          <w:rFonts w:cs="Times New Roman" w:eastAsia="Times New Roman"/>
          <w:szCs w:val="24"/>
        </w:rPr>
        <w:t>, pp.146-150.</w:t>
      </w:r>
    </w:p>
    <w:p w14:paraId="00000078">
      <w:pPr>
        <w:spacing w:after="0"/>
        <w:rPr>
          <w:rFonts w:cs="Times New Roman" w:eastAsia="Times New Roman"/>
          <w:szCs w:val="24"/>
        </w:rPr>
      </w:pPr>
      <w:r>
        <w:rPr>
          <w:rFonts w:cs="Times New Roman" w:eastAsia="Times New Roman"/>
          <w:szCs w:val="24"/>
        </w:rPr>
        <w:t xml:space="preserve">Terence, B., 2022. UK Economic Strategy Presents Opportunity for Businesses, Including Hotels, </w:t>
      </w:r>
      <w:r>
        <w:rPr>
          <w:rFonts w:cs="Times New Roman" w:eastAsia="Times New Roman"/>
          <w:szCs w:val="24"/>
        </w:rPr>
        <w:t>To'Level</w:t>
      </w:r>
      <w:r>
        <w:rPr>
          <w:rFonts w:cs="Times New Roman" w:eastAsia="Times New Roman"/>
          <w:szCs w:val="24"/>
        </w:rPr>
        <w:t xml:space="preserve"> Up'.</w:t>
      </w:r>
    </w:p>
    <w:p w14:paraId="00000079">
      <w:pPr>
        <w:spacing w:after="0"/>
        <w:rPr>
          <w:rFonts w:cs="Times New Roman" w:eastAsia="Times New Roman"/>
          <w:szCs w:val="24"/>
        </w:rPr>
      </w:pPr>
      <w:r>
        <w:rPr>
          <w:rFonts w:cs="Times New Roman" w:eastAsia="Times New Roman"/>
          <w:szCs w:val="24"/>
        </w:rPr>
        <w:t xml:space="preserve">TKACHUK, T., 2020. Luxury-service in the world hotel service market. </w:t>
      </w:r>
      <w:r>
        <w:rPr>
          <w:rFonts w:cs="Times New Roman" w:eastAsia="Times New Roman"/>
          <w:i/>
          <w:iCs/>
          <w:szCs w:val="24"/>
        </w:rPr>
        <w:t>Foreign· trade:· economics,· finance,· law</w:t>
      </w:r>
      <w:r>
        <w:rPr>
          <w:rFonts w:cs="Times New Roman" w:eastAsia="Times New Roman"/>
          <w:szCs w:val="24"/>
        </w:rPr>
        <w:t xml:space="preserve">, </w:t>
      </w:r>
      <w:r>
        <w:rPr>
          <w:rFonts w:cs="Times New Roman" w:eastAsia="Times New Roman"/>
          <w:i/>
          <w:iCs/>
          <w:szCs w:val="24"/>
        </w:rPr>
        <w:t>109</w:t>
      </w:r>
      <w:r>
        <w:rPr>
          <w:rFonts w:cs="Times New Roman" w:eastAsia="Times New Roman"/>
          <w:szCs w:val="24"/>
        </w:rPr>
        <w:t>(2), pp.85-96.</w:t>
      </w:r>
    </w:p>
    <w:p w14:paraId="0000007A"/>
    <w:p w14:paraId="0000007B"/>
    <w:sectPr>
      <w:footerReference w:type="default" r:id="rId39"/>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decorative"/>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Wingdings">
    <w:panose1 w:val="05000000000000000000"/>
    <w:charset w:val="02"/>
    <w:family w:val="decorative"/>
    <w:pitch w:val="variable"/>
    <w:sig w:usb0="00000000" w:usb1="10000000" w:usb2="00000000" w:usb3="00000000" w:csb0="00000000" w:csb1="00000000"/>
  </w:font>
  <w:font w:name="Calibri">
    <w:panose1 w:val="020f0502020204030204"/>
    <w:charset w:val="00"/>
    <w:family w:val="swiss"/>
    <w:pitch w:val="variable"/>
    <w:sig w:usb0="00000000"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00000000" w:usb1="4000207b" w:usb2="00000000" w:usb3="00000000" w:csb0="0000019f"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Helvetica Neue">
    <w:charset w:val="00"/>
    <w:family w:val="swiss"/>
    <w:pitch w:val="variable"/>
  </w:font>
  <w:font w:name="Segoe UI">
    <w:charset w:val="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p w14:paraId="0000007C">
    <w:pPr>
      <w:pStyle w:val="Footer"/>
      <w:jc w:val="center"/>
      <w:rPr/>
    </w:pPr>
    <w:r>
      <w:fldChar w:fldCharType="begin"/>
    </w:r>
    <w:r>
      <w:instrText xml:space="preserve"> PAGE   \* MERGEFORMAT </w:instrText>
    </w:r>
    <w:r>
      <w:fldChar w:fldCharType="separate"/>
    </w:r>
    <w:r>
      <w:t>2</w:t>
    </w:r>
    <w:r>
      <w:fldChar w:fldCharType="end"/>
    </w:r>
  </w:p>
  <w:p w14:paraId="0000007D">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2">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3">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4">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5">
    <w:multiLevelType w:val="hybridMultilevel"/>
    <w:lvl w:ilvl="0" w:tentative="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6">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removePersonalInformation/>
  <w:removeDateAndTime/>
  <w:proofState w:spelling="clean" w:grammar="clean"/>
  <w:defaultTabStop w:val="720"/>
  <w:characterSpacingControl w:val="doNotCompress"/>
  <w:hdrShapeDefaults>
    <o:shapedefaults v:ext="edit" spidmax="2050"/>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95B"/>
    <w:rsid w:val="00020E2D"/>
    <w:rsid w:val="001C187D"/>
    <w:rsid w:val="001F25E9"/>
    <w:rsid w:val="00206BAA"/>
    <w:rsid w:val="00231443"/>
    <w:rsid w:val="002630AA"/>
    <w:rsid w:val="002B4386"/>
    <w:rsid w:val="004805F7"/>
    <w:rsid w:val="00544B87"/>
    <w:rsid w:val="00563CEF"/>
    <w:rsid w:val="00663BBF"/>
    <w:rsid w:val="00697242"/>
    <w:rsid w:val="00960FB9"/>
    <w:rsid w:val="009C32E6"/>
    <w:rsid w:val="009F2D51"/>
    <w:rsid w:val="00AA3406"/>
    <w:rsid w:val="00AF4EC1"/>
    <w:rsid w:val="00B254E0"/>
    <w:rsid w:val="00C0595B"/>
    <w:rsid w:val="00C50394"/>
    <w:rsid w:val="00C74A26"/>
    <w:rsid w:val="00C77B67"/>
    <w:rsid w:val="00C94DEF"/>
    <w:rsid w:val="00DD6720"/>
    <w:rsid w:val="00FD6BB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248D62"/>
  <w15:chartTrackingRefBas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14:ligatures w14:val="standardContextual"/>
      </w:rPr>
    </w:rPrDefault>
    <w:pPrDefault>
      <w:pPr>
        <w:spacing w:after="160" w:line="259" w:lineRule="auto"/>
      </w:pPr>
    </w:pPrDefault>
  </w:docDefaults>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on"/>
    <w:pPr>
      <w:keepNext w:val="on"/>
      <w:keepLines w:val="on"/>
      <w:spacing w:before="240" w:after="0" w:line="480" w:lineRule="auto"/>
    </w:pPr>
    <w:rPr>
      <w:rFonts w:cstheme="majorBidi" w:eastAsiaTheme="majorEastAsia"/>
      <w:b/>
      <w:color w:val="2f5395" w:themeColor="accent1" w:themeShade="bf"/>
      <w:sz w:val="32"/>
      <w:szCs w:val="32"/>
    </w:rPr>
  </w:style>
  <w:style w:type="paragraph" w:styleId="Heading2">
    <w:name w:val="Heading 2"/>
    <w:basedOn w:val="Normal"/>
    <w:next w:val="Normal"/>
    <w:link w:val="Heading2Char"/>
    <w:uiPriority w:val="9"/>
    <w:unhideWhenUsed w:val="on"/>
    <w:qFormat w:val="on"/>
    <w:pPr>
      <w:keepNext w:val="on"/>
      <w:keepLines w:val="on"/>
      <w:spacing w:before="40" w:after="0"/>
    </w:pPr>
    <w:rPr>
      <w:rFonts w:cstheme="majorBidi" w:eastAsiaTheme="majorEastAsia"/>
      <w:b/>
      <w:color w:val="2f5395" w:themeColor="accent1" w:themeShade="bf"/>
      <w:sz w:val="26"/>
      <w:szCs w:val="2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imes New Roman" w:cstheme="majorBidi" w:eastAsiaTheme="majorEastAsia" w:hAnsi="Times New Roman"/>
      <w:b/>
      <w:color w:val="2f5395" w:themeColor="accent1" w:themeShade="bf"/>
      <w:sz w:val="32"/>
      <w:szCs w:val="32"/>
    </w:rPr>
  </w:style>
  <w:style w:type="character" w:customStyle="1" w:styleId="Heading2Char">
    <w:name w:val="Heading 2 Char"/>
    <w:basedOn w:val="DefaultParagraphFont"/>
    <w:link w:val="Heading2"/>
    <w:uiPriority w:val="9"/>
    <w:rPr>
      <w:rFonts w:ascii="Times New Roman" w:cstheme="majorBidi" w:eastAsiaTheme="majorEastAsia" w:hAnsi="Times New Roman"/>
      <w:b/>
      <w:color w:val="2f5395" w:themeColor="accent1" w:themeShade="bf"/>
      <w:sz w:val="26"/>
      <w:szCs w:val="26"/>
    </w:rPr>
  </w:style>
  <w:style w:type="paragraph" w:styleId="ListParagraph">
    <w:name w:val="List Paragraph"/>
    <w:basedOn w:val="Normal"/>
    <w:uiPriority w:val="34"/>
    <w:qFormat w:val="on"/>
    <w:pPr>
      <w:ind w:left="720"/>
      <w:contextualSpacing w:val="on"/>
    </w:pPr>
  </w:style>
  <w:style w:type="character" w:styleId="Strong">
    <w:name w:val="Strong"/>
    <w:basedOn w:val="DefaultParagraphFont"/>
    <w:uiPriority w:val="22"/>
    <w:qFormat w:val="on"/>
    <w:rPr>
      <w:b/>
      <w:bCs/>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styleId="TOCHeading">
    <w:name w:val="TOC Heading"/>
    <w:basedOn w:val="Heading1"/>
    <w:next w:val="Normal"/>
    <w:uiPriority w:val="39"/>
    <w:unhideWhenUsed w:val="on"/>
    <w:qFormat w:val="on"/>
    <w:pPr>
      <w:spacing w:line="259" w:lineRule="auto"/>
      <w:jc w:val="left"/>
    </w:pPr>
    <w:rPr>
      <w:rFonts w:asciiTheme="majorHAnsi" w:hAnsiTheme="majorHAnsi"/>
      <w:b w:val="off"/>
    </w:rPr>
  </w:style>
  <w:style w:type="paragraph" w:styleId="Toc1">
    <w:name w:val="Toc 1"/>
    <w:basedOn w:val="Normal"/>
    <w:next w:val="Normal"/>
    <w:uiPriority w:val="39"/>
    <w:unhideWhenUsed w:val="on"/>
    <w:pPr>
      <w:spacing w:after="100"/>
    </w:pPr>
  </w:style>
  <w:style w:type="character" w:styleId="Hyperlink">
    <w:name w:val="Hyperlink"/>
    <w:basedOn w:val="DefaultParagraphFont"/>
    <w:uiPriority w:val="99"/>
    <w:unhideWhenUsed w:val="on"/>
    <w:rPr>
      <w:color w:val="0563c1" w:themeColor="hyperlink"/>
      <w:u w:val="single"/>
    </w:r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41990">
      <w:bodyDiv w:val="1"/>
      <w:marLeft w:val="0"/>
      <w:marRight w:val="0"/>
      <w:marTop w:val="0"/>
      <w:marBottom w:val="0"/>
      <w:divBdr>
        <w:top w:val="none" w:sz="0" w:space="0" w:color="auto"/>
        <w:left w:val="none" w:sz="0" w:space="0" w:color="auto"/>
        <w:bottom w:val="none" w:sz="0" w:space="0" w:color="auto"/>
        <w:right w:val="none" w:sz="0" w:space="0" w:color="auto"/>
      </w:divBdr>
      <w:divsChild>
        <w:div w:id="170026878">
          <w:marLeft w:val="0"/>
          <w:marRight w:val="0"/>
          <w:marTop w:val="0"/>
          <w:marBottom w:val="0"/>
          <w:divBdr>
            <w:top w:val="none" w:sz="0" w:space="0" w:color="auto"/>
            <w:left w:val="none" w:sz="0" w:space="0" w:color="auto"/>
            <w:bottom w:val="none" w:sz="0" w:space="0" w:color="auto"/>
            <w:right w:val="none" w:sz="0" w:space="0" w:color="auto"/>
          </w:divBdr>
        </w:div>
      </w:divsChild>
    </w:div>
    <w:div w:id="205071597">
      <w:bodyDiv w:val="1"/>
      <w:marLeft w:val="0"/>
      <w:marRight w:val="0"/>
      <w:marTop w:val="0"/>
      <w:marBottom w:val="0"/>
      <w:divBdr>
        <w:top w:val="none" w:sz="0" w:space="0" w:color="auto"/>
        <w:left w:val="none" w:sz="0" w:space="0" w:color="auto"/>
        <w:bottom w:val="none" w:sz="0" w:space="0" w:color="auto"/>
        <w:right w:val="none" w:sz="0" w:space="0" w:color="auto"/>
      </w:divBdr>
      <w:divsChild>
        <w:div w:id="1831361719">
          <w:marLeft w:val="0"/>
          <w:marRight w:val="0"/>
          <w:marTop w:val="0"/>
          <w:marBottom w:val="0"/>
          <w:divBdr>
            <w:top w:val="none" w:sz="0" w:space="0" w:color="auto"/>
            <w:left w:val="none" w:sz="0" w:space="0" w:color="auto"/>
            <w:bottom w:val="none" w:sz="0" w:space="0" w:color="auto"/>
            <w:right w:val="none" w:sz="0" w:space="0" w:color="auto"/>
          </w:divBdr>
        </w:div>
      </w:divsChild>
    </w:div>
    <w:div w:id="244655405">
      <w:bodyDiv w:val="1"/>
      <w:marLeft w:val="0"/>
      <w:marRight w:val="0"/>
      <w:marTop w:val="0"/>
      <w:marBottom w:val="0"/>
      <w:divBdr>
        <w:top w:val="none" w:sz="0" w:space="0" w:color="auto"/>
        <w:left w:val="none" w:sz="0" w:space="0" w:color="auto"/>
        <w:bottom w:val="none" w:sz="0" w:space="0" w:color="auto"/>
        <w:right w:val="none" w:sz="0" w:space="0" w:color="auto"/>
      </w:divBdr>
      <w:divsChild>
        <w:div w:id="1715428162">
          <w:marLeft w:val="0"/>
          <w:marRight w:val="0"/>
          <w:marTop w:val="0"/>
          <w:marBottom w:val="0"/>
          <w:divBdr>
            <w:top w:val="none" w:sz="0" w:space="0" w:color="auto"/>
            <w:left w:val="none" w:sz="0" w:space="0" w:color="auto"/>
            <w:bottom w:val="none" w:sz="0" w:space="0" w:color="auto"/>
            <w:right w:val="none" w:sz="0" w:space="0" w:color="auto"/>
          </w:divBdr>
        </w:div>
      </w:divsChild>
    </w:div>
    <w:div w:id="249316548">
      <w:bodyDiv w:val="1"/>
      <w:marLeft w:val="0"/>
      <w:marRight w:val="0"/>
      <w:marTop w:val="0"/>
      <w:marBottom w:val="0"/>
      <w:divBdr>
        <w:top w:val="none" w:sz="0" w:space="0" w:color="auto"/>
        <w:left w:val="none" w:sz="0" w:space="0" w:color="auto"/>
        <w:bottom w:val="none" w:sz="0" w:space="0" w:color="auto"/>
        <w:right w:val="none" w:sz="0" w:space="0" w:color="auto"/>
      </w:divBdr>
      <w:divsChild>
        <w:div w:id="1091706489">
          <w:marLeft w:val="0"/>
          <w:marRight w:val="0"/>
          <w:marTop w:val="0"/>
          <w:marBottom w:val="0"/>
          <w:divBdr>
            <w:top w:val="none" w:sz="0" w:space="0" w:color="auto"/>
            <w:left w:val="none" w:sz="0" w:space="0" w:color="auto"/>
            <w:bottom w:val="none" w:sz="0" w:space="0" w:color="auto"/>
            <w:right w:val="none" w:sz="0" w:space="0" w:color="auto"/>
          </w:divBdr>
        </w:div>
      </w:divsChild>
    </w:div>
    <w:div w:id="266737259">
      <w:bodyDiv w:val="1"/>
      <w:marLeft w:val="0"/>
      <w:marRight w:val="0"/>
      <w:marTop w:val="0"/>
      <w:marBottom w:val="0"/>
      <w:divBdr>
        <w:top w:val="none" w:sz="0" w:space="0" w:color="auto"/>
        <w:left w:val="none" w:sz="0" w:space="0" w:color="auto"/>
        <w:bottom w:val="none" w:sz="0" w:space="0" w:color="auto"/>
        <w:right w:val="none" w:sz="0" w:space="0" w:color="auto"/>
      </w:divBdr>
      <w:divsChild>
        <w:div w:id="562568164">
          <w:marLeft w:val="0"/>
          <w:marRight w:val="0"/>
          <w:marTop w:val="0"/>
          <w:marBottom w:val="0"/>
          <w:divBdr>
            <w:top w:val="none" w:sz="0" w:space="0" w:color="auto"/>
            <w:left w:val="none" w:sz="0" w:space="0" w:color="auto"/>
            <w:bottom w:val="none" w:sz="0" w:space="0" w:color="auto"/>
            <w:right w:val="none" w:sz="0" w:space="0" w:color="auto"/>
          </w:divBdr>
        </w:div>
      </w:divsChild>
    </w:div>
    <w:div w:id="271866258">
      <w:bodyDiv w:val="1"/>
      <w:marLeft w:val="0"/>
      <w:marRight w:val="0"/>
      <w:marTop w:val="0"/>
      <w:marBottom w:val="0"/>
      <w:divBdr>
        <w:top w:val="none" w:sz="0" w:space="0" w:color="auto"/>
        <w:left w:val="none" w:sz="0" w:space="0" w:color="auto"/>
        <w:bottom w:val="none" w:sz="0" w:space="0" w:color="auto"/>
        <w:right w:val="none" w:sz="0" w:space="0" w:color="auto"/>
      </w:divBdr>
      <w:divsChild>
        <w:div w:id="1456408210">
          <w:marLeft w:val="0"/>
          <w:marRight w:val="0"/>
          <w:marTop w:val="0"/>
          <w:marBottom w:val="0"/>
          <w:divBdr>
            <w:top w:val="none" w:sz="0" w:space="0" w:color="auto"/>
            <w:left w:val="none" w:sz="0" w:space="0" w:color="auto"/>
            <w:bottom w:val="none" w:sz="0" w:space="0" w:color="auto"/>
            <w:right w:val="none" w:sz="0" w:space="0" w:color="auto"/>
          </w:divBdr>
        </w:div>
      </w:divsChild>
    </w:div>
    <w:div w:id="280963896">
      <w:bodyDiv w:val="1"/>
      <w:marLeft w:val="0"/>
      <w:marRight w:val="0"/>
      <w:marTop w:val="0"/>
      <w:marBottom w:val="0"/>
      <w:divBdr>
        <w:top w:val="none" w:sz="0" w:space="0" w:color="auto"/>
        <w:left w:val="none" w:sz="0" w:space="0" w:color="auto"/>
        <w:bottom w:val="none" w:sz="0" w:space="0" w:color="auto"/>
        <w:right w:val="none" w:sz="0" w:space="0" w:color="auto"/>
      </w:divBdr>
      <w:divsChild>
        <w:div w:id="402608978">
          <w:marLeft w:val="0"/>
          <w:marRight w:val="0"/>
          <w:marTop w:val="0"/>
          <w:marBottom w:val="0"/>
          <w:divBdr>
            <w:top w:val="none" w:sz="0" w:space="0" w:color="auto"/>
            <w:left w:val="none" w:sz="0" w:space="0" w:color="auto"/>
            <w:bottom w:val="none" w:sz="0" w:space="0" w:color="auto"/>
            <w:right w:val="none" w:sz="0" w:space="0" w:color="auto"/>
          </w:divBdr>
        </w:div>
      </w:divsChild>
    </w:div>
    <w:div w:id="395665833">
      <w:bodyDiv w:val="1"/>
      <w:marLeft w:val="0"/>
      <w:marRight w:val="0"/>
      <w:marTop w:val="0"/>
      <w:marBottom w:val="0"/>
      <w:divBdr>
        <w:top w:val="none" w:sz="0" w:space="0" w:color="auto"/>
        <w:left w:val="none" w:sz="0" w:space="0" w:color="auto"/>
        <w:bottom w:val="none" w:sz="0" w:space="0" w:color="auto"/>
        <w:right w:val="none" w:sz="0" w:space="0" w:color="auto"/>
      </w:divBdr>
      <w:divsChild>
        <w:div w:id="1461221698">
          <w:marLeft w:val="0"/>
          <w:marRight w:val="0"/>
          <w:marTop w:val="0"/>
          <w:marBottom w:val="0"/>
          <w:divBdr>
            <w:top w:val="none" w:sz="0" w:space="0" w:color="auto"/>
            <w:left w:val="none" w:sz="0" w:space="0" w:color="auto"/>
            <w:bottom w:val="none" w:sz="0" w:space="0" w:color="auto"/>
            <w:right w:val="none" w:sz="0" w:space="0" w:color="auto"/>
          </w:divBdr>
        </w:div>
      </w:divsChild>
    </w:div>
    <w:div w:id="569659801">
      <w:bodyDiv w:val="1"/>
      <w:marLeft w:val="0"/>
      <w:marRight w:val="0"/>
      <w:marTop w:val="0"/>
      <w:marBottom w:val="0"/>
      <w:divBdr>
        <w:top w:val="none" w:sz="0" w:space="0" w:color="auto"/>
        <w:left w:val="none" w:sz="0" w:space="0" w:color="auto"/>
        <w:bottom w:val="none" w:sz="0" w:space="0" w:color="auto"/>
        <w:right w:val="none" w:sz="0" w:space="0" w:color="auto"/>
      </w:divBdr>
      <w:divsChild>
        <w:div w:id="1640498187">
          <w:marLeft w:val="0"/>
          <w:marRight w:val="0"/>
          <w:marTop w:val="0"/>
          <w:marBottom w:val="0"/>
          <w:divBdr>
            <w:top w:val="none" w:sz="0" w:space="0" w:color="auto"/>
            <w:left w:val="none" w:sz="0" w:space="0" w:color="auto"/>
            <w:bottom w:val="none" w:sz="0" w:space="0" w:color="auto"/>
            <w:right w:val="none" w:sz="0" w:space="0" w:color="auto"/>
          </w:divBdr>
        </w:div>
      </w:divsChild>
    </w:div>
    <w:div w:id="582684745">
      <w:bodyDiv w:val="1"/>
      <w:marLeft w:val="0"/>
      <w:marRight w:val="0"/>
      <w:marTop w:val="0"/>
      <w:marBottom w:val="0"/>
      <w:divBdr>
        <w:top w:val="none" w:sz="0" w:space="0" w:color="auto"/>
        <w:left w:val="none" w:sz="0" w:space="0" w:color="auto"/>
        <w:bottom w:val="none" w:sz="0" w:space="0" w:color="auto"/>
        <w:right w:val="none" w:sz="0" w:space="0" w:color="auto"/>
      </w:divBdr>
      <w:divsChild>
        <w:div w:id="2130195180">
          <w:marLeft w:val="0"/>
          <w:marRight w:val="0"/>
          <w:marTop w:val="0"/>
          <w:marBottom w:val="0"/>
          <w:divBdr>
            <w:top w:val="none" w:sz="0" w:space="0" w:color="auto"/>
            <w:left w:val="none" w:sz="0" w:space="0" w:color="auto"/>
            <w:bottom w:val="none" w:sz="0" w:space="0" w:color="auto"/>
            <w:right w:val="none" w:sz="0" w:space="0" w:color="auto"/>
          </w:divBdr>
        </w:div>
      </w:divsChild>
    </w:div>
    <w:div w:id="739592882">
      <w:bodyDiv w:val="1"/>
      <w:marLeft w:val="0"/>
      <w:marRight w:val="0"/>
      <w:marTop w:val="0"/>
      <w:marBottom w:val="0"/>
      <w:divBdr>
        <w:top w:val="none" w:sz="0" w:space="0" w:color="auto"/>
        <w:left w:val="none" w:sz="0" w:space="0" w:color="auto"/>
        <w:bottom w:val="none" w:sz="0" w:space="0" w:color="auto"/>
        <w:right w:val="none" w:sz="0" w:space="0" w:color="auto"/>
      </w:divBdr>
    </w:div>
    <w:div w:id="786118852">
      <w:bodyDiv w:val="1"/>
      <w:marLeft w:val="0"/>
      <w:marRight w:val="0"/>
      <w:marTop w:val="0"/>
      <w:marBottom w:val="0"/>
      <w:divBdr>
        <w:top w:val="none" w:sz="0" w:space="0" w:color="auto"/>
        <w:left w:val="none" w:sz="0" w:space="0" w:color="auto"/>
        <w:bottom w:val="none" w:sz="0" w:space="0" w:color="auto"/>
        <w:right w:val="none" w:sz="0" w:space="0" w:color="auto"/>
      </w:divBdr>
      <w:divsChild>
        <w:div w:id="1527132361">
          <w:marLeft w:val="0"/>
          <w:marRight w:val="0"/>
          <w:marTop w:val="0"/>
          <w:marBottom w:val="0"/>
          <w:divBdr>
            <w:top w:val="none" w:sz="0" w:space="0" w:color="auto"/>
            <w:left w:val="none" w:sz="0" w:space="0" w:color="auto"/>
            <w:bottom w:val="none" w:sz="0" w:space="0" w:color="auto"/>
            <w:right w:val="none" w:sz="0" w:space="0" w:color="auto"/>
          </w:divBdr>
        </w:div>
      </w:divsChild>
    </w:div>
    <w:div w:id="801195801">
      <w:bodyDiv w:val="1"/>
      <w:marLeft w:val="0"/>
      <w:marRight w:val="0"/>
      <w:marTop w:val="0"/>
      <w:marBottom w:val="0"/>
      <w:divBdr>
        <w:top w:val="none" w:sz="0" w:space="0" w:color="auto"/>
        <w:left w:val="none" w:sz="0" w:space="0" w:color="auto"/>
        <w:bottom w:val="none" w:sz="0" w:space="0" w:color="auto"/>
        <w:right w:val="none" w:sz="0" w:space="0" w:color="auto"/>
      </w:divBdr>
      <w:divsChild>
        <w:div w:id="102312390">
          <w:marLeft w:val="0"/>
          <w:marRight w:val="0"/>
          <w:marTop w:val="0"/>
          <w:marBottom w:val="0"/>
          <w:divBdr>
            <w:top w:val="none" w:sz="0" w:space="0" w:color="auto"/>
            <w:left w:val="none" w:sz="0" w:space="0" w:color="auto"/>
            <w:bottom w:val="none" w:sz="0" w:space="0" w:color="auto"/>
            <w:right w:val="none" w:sz="0" w:space="0" w:color="auto"/>
          </w:divBdr>
        </w:div>
      </w:divsChild>
    </w:div>
    <w:div w:id="860895455">
      <w:bodyDiv w:val="1"/>
      <w:marLeft w:val="0"/>
      <w:marRight w:val="0"/>
      <w:marTop w:val="0"/>
      <w:marBottom w:val="0"/>
      <w:divBdr>
        <w:top w:val="none" w:sz="0" w:space="0" w:color="auto"/>
        <w:left w:val="none" w:sz="0" w:space="0" w:color="auto"/>
        <w:bottom w:val="none" w:sz="0" w:space="0" w:color="auto"/>
        <w:right w:val="none" w:sz="0" w:space="0" w:color="auto"/>
      </w:divBdr>
      <w:divsChild>
        <w:div w:id="1024329323">
          <w:marLeft w:val="0"/>
          <w:marRight w:val="0"/>
          <w:marTop w:val="0"/>
          <w:marBottom w:val="0"/>
          <w:divBdr>
            <w:top w:val="none" w:sz="0" w:space="0" w:color="auto"/>
            <w:left w:val="none" w:sz="0" w:space="0" w:color="auto"/>
            <w:bottom w:val="none" w:sz="0" w:space="0" w:color="auto"/>
            <w:right w:val="none" w:sz="0" w:space="0" w:color="auto"/>
          </w:divBdr>
        </w:div>
      </w:divsChild>
    </w:div>
    <w:div w:id="922183793">
      <w:bodyDiv w:val="1"/>
      <w:marLeft w:val="0"/>
      <w:marRight w:val="0"/>
      <w:marTop w:val="0"/>
      <w:marBottom w:val="0"/>
      <w:divBdr>
        <w:top w:val="none" w:sz="0" w:space="0" w:color="auto"/>
        <w:left w:val="none" w:sz="0" w:space="0" w:color="auto"/>
        <w:bottom w:val="none" w:sz="0" w:space="0" w:color="auto"/>
        <w:right w:val="none" w:sz="0" w:space="0" w:color="auto"/>
      </w:divBdr>
      <w:divsChild>
        <w:div w:id="461579004">
          <w:marLeft w:val="0"/>
          <w:marRight w:val="0"/>
          <w:marTop w:val="0"/>
          <w:marBottom w:val="0"/>
          <w:divBdr>
            <w:top w:val="none" w:sz="0" w:space="0" w:color="auto"/>
            <w:left w:val="none" w:sz="0" w:space="0" w:color="auto"/>
            <w:bottom w:val="none" w:sz="0" w:space="0" w:color="auto"/>
            <w:right w:val="none" w:sz="0" w:space="0" w:color="auto"/>
          </w:divBdr>
        </w:div>
      </w:divsChild>
    </w:div>
    <w:div w:id="1001665579">
      <w:bodyDiv w:val="1"/>
      <w:marLeft w:val="0"/>
      <w:marRight w:val="0"/>
      <w:marTop w:val="0"/>
      <w:marBottom w:val="0"/>
      <w:divBdr>
        <w:top w:val="none" w:sz="0" w:space="0" w:color="auto"/>
        <w:left w:val="none" w:sz="0" w:space="0" w:color="auto"/>
        <w:bottom w:val="none" w:sz="0" w:space="0" w:color="auto"/>
        <w:right w:val="none" w:sz="0" w:space="0" w:color="auto"/>
      </w:divBdr>
      <w:divsChild>
        <w:div w:id="1627856850">
          <w:marLeft w:val="0"/>
          <w:marRight w:val="0"/>
          <w:marTop w:val="0"/>
          <w:marBottom w:val="0"/>
          <w:divBdr>
            <w:top w:val="none" w:sz="0" w:space="0" w:color="auto"/>
            <w:left w:val="none" w:sz="0" w:space="0" w:color="auto"/>
            <w:bottom w:val="none" w:sz="0" w:space="0" w:color="auto"/>
            <w:right w:val="none" w:sz="0" w:space="0" w:color="auto"/>
          </w:divBdr>
        </w:div>
      </w:divsChild>
    </w:div>
    <w:div w:id="1171413143">
      <w:bodyDiv w:val="1"/>
      <w:marLeft w:val="0"/>
      <w:marRight w:val="0"/>
      <w:marTop w:val="0"/>
      <w:marBottom w:val="0"/>
      <w:divBdr>
        <w:top w:val="none" w:sz="0" w:space="0" w:color="auto"/>
        <w:left w:val="none" w:sz="0" w:space="0" w:color="auto"/>
        <w:bottom w:val="none" w:sz="0" w:space="0" w:color="auto"/>
        <w:right w:val="none" w:sz="0" w:space="0" w:color="auto"/>
      </w:divBdr>
      <w:divsChild>
        <w:div w:id="1234117886">
          <w:marLeft w:val="0"/>
          <w:marRight w:val="0"/>
          <w:marTop w:val="0"/>
          <w:marBottom w:val="0"/>
          <w:divBdr>
            <w:top w:val="none" w:sz="0" w:space="0" w:color="auto"/>
            <w:left w:val="none" w:sz="0" w:space="0" w:color="auto"/>
            <w:bottom w:val="none" w:sz="0" w:space="0" w:color="auto"/>
            <w:right w:val="none" w:sz="0" w:space="0" w:color="auto"/>
          </w:divBdr>
        </w:div>
      </w:divsChild>
    </w:div>
    <w:div w:id="1641574975">
      <w:bodyDiv w:val="1"/>
      <w:marLeft w:val="0"/>
      <w:marRight w:val="0"/>
      <w:marTop w:val="0"/>
      <w:marBottom w:val="0"/>
      <w:divBdr>
        <w:top w:val="none" w:sz="0" w:space="0" w:color="auto"/>
        <w:left w:val="none" w:sz="0" w:space="0" w:color="auto"/>
        <w:bottom w:val="none" w:sz="0" w:space="0" w:color="auto"/>
        <w:right w:val="none" w:sz="0" w:space="0" w:color="auto"/>
      </w:divBdr>
      <w:divsChild>
        <w:div w:id="1662849218">
          <w:marLeft w:val="0"/>
          <w:marRight w:val="0"/>
          <w:marTop w:val="0"/>
          <w:marBottom w:val="0"/>
          <w:divBdr>
            <w:top w:val="none" w:sz="0" w:space="0" w:color="auto"/>
            <w:left w:val="none" w:sz="0" w:space="0" w:color="auto"/>
            <w:bottom w:val="none" w:sz="0" w:space="0" w:color="auto"/>
            <w:right w:val="none" w:sz="0" w:space="0" w:color="auto"/>
          </w:divBdr>
        </w:div>
      </w:divsChild>
    </w:div>
    <w:div w:id="1656952207">
      <w:bodyDiv w:val="1"/>
      <w:marLeft w:val="0"/>
      <w:marRight w:val="0"/>
      <w:marTop w:val="0"/>
      <w:marBottom w:val="0"/>
      <w:divBdr>
        <w:top w:val="none" w:sz="0" w:space="0" w:color="auto"/>
        <w:left w:val="none" w:sz="0" w:space="0" w:color="auto"/>
        <w:bottom w:val="none" w:sz="0" w:space="0" w:color="auto"/>
        <w:right w:val="none" w:sz="0" w:space="0" w:color="auto"/>
      </w:divBdr>
      <w:divsChild>
        <w:div w:id="1171604891">
          <w:marLeft w:val="0"/>
          <w:marRight w:val="0"/>
          <w:marTop w:val="0"/>
          <w:marBottom w:val="0"/>
          <w:divBdr>
            <w:top w:val="none" w:sz="0" w:space="0" w:color="auto"/>
            <w:left w:val="none" w:sz="0" w:space="0" w:color="auto"/>
            <w:bottom w:val="none" w:sz="0" w:space="0" w:color="auto"/>
            <w:right w:val="none" w:sz="0" w:space="0" w:color="auto"/>
          </w:divBdr>
        </w:div>
      </w:divsChild>
    </w:div>
    <w:div w:id="1792016575">
      <w:bodyDiv w:val="1"/>
      <w:marLeft w:val="0"/>
      <w:marRight w:val="0"/>
      <w:marTop w:val="0"/>
      <w:marBottom w:val="0"/>
      <w:divBdr>
        <w:top w:val="none" w:sz="0" w:space="0" w:color="auto"/>
        <w:left w:val="none" w:sz="0" w:space="0" w:color="auto"/>
        <w:bottom w:val="none" w:sz="0" w:space="0" w:color="auto"/>
        <w:right w:val="none" w:sz="0" w:space="0" w:color="auto"/>
      </w:divBdr>
      <w:divsChild>
        <w:div w:id="1970159967">
          <w:marLeft w:val="0"/>
          <w:marRight w:val="0"/>
          <w:marTop w:val="0"/>
          <w:marBottom w:val="0"/>
          <w:divBdr>
            <w:top w:val="none" w:sz="0" w:space="0" w:color="auto"/>
            <w:left w:val="none" w:sz="0" w:space="0" w:color="auto"/>
            <w:bottom w:val="none" w:sz="0" w:space="0" w:color="auto"/>
            <w:right w:val="none" w:sz="0" w:space="0" w:color="auto"/>
          </w:divBdr>
        </w:div>
      </w:divsChild>
    </w:div>
    <w:div w:id="2059669734">
      <w:bodyDiv w:val="1"/>
      <w:marLeft w:val="0"/>
      <w:marRight w:val="0"/>
      <w:marTop w:val="0"/>
      <w:marBottom w:val="0"/>
      <w:divBdr>
        <w:top w:val="none" w:sz="0" w:space="0" w:color="auto"/>
        <w:left w:val="none" w:sz="0" w:space="0" w:color="auto"/>
        <w:bottom w:val="none" w:sz="0" w:space="0" w:color="auto"/>
        <w:right w:val="none" w:sz="0" w:space="0" w:color="auto"/>
      </w:divBdr>
      <w:divsChild>
        <w:div w:id="1534268157">
          <w:marLeft w:val="0"/>
          <w:marRight w:val="0"/>
          <w:marTop w:val="0"/>
          <w:marBottom w:val="0"/>
          <w:divBdr>
            <w:top w:val="none" w:sz="0" w:space="0" w:color="auto"/>
            <w:left w:val="none" w:sz="0" w:space="0" w:color="auto"/>
            <w:bottom w:val="none" w:sz="0" w:space="0" w:color="auto"/>
            <w:right w:val="none" w:sz="0" w:space="0" w:color="auto"/>
          </w:divBdr>
        </w:div>
      </w:divsChild>
    </w:div>
    <w:div w:id="2091199011">
      <w:bodyDiv w:val="1"/>
      <w:marLeft w:val="0"/>
      <w:marRight w:val="0"/>
      <w:marTop w:val="0"/>
      <w:marBottom w:val="0"/>
      <w:divBdr>
        <w:top w:val="none" w:sz="0" w:space="0" w:color="auto"/>
        <w:left w:val="none" w:sz="0" w:space="0" w:color="auto"/>
        <w:bottom w:val="none" w:sz="0" w:space="0" w:color="auto"/>
        <w:right w:val="none" w:sz="0" w:space="0" w:color="auto"/>
      </w:divBdr>
      <w:divsChild>
        <w:div w:id="578370394">
          <w:marLeft w:val="0"/>
          <w:marRight w:val="0"/>
          <w:marTop w:val="0"/>
          <w:marBottom w:val="0"/>
          <w:divBdr>
            <w:top w:val="none" w:sz="0" w:space="0" w:color="auto"/>
            <w:left w:val="none" w:sz="0" w:space="0" w:color="auto"/>
            <w:bottom w:val="none" w:sz="0" w:space="0" w:color="auto"/>
            <w:right w:val="none" w:sz="0" w:space="0" w:color="auto"/>
          </w:divBdr>
        </w:div>
      </w:divsChild>
    </w:div>
    <w:div w:id="2123064535">
      <w:bodyDiv w:val="1"/>
      <w:marLeft w:val="0"/>
      <w:marRight w:val="0"/>
      <w:marTop w:val="0"/>
      <w:marBottom w:val="0"/>
      <w:divBdr>
        <w:top w:val="none" w:sz="0" w:space="0" w:color="auto"/>
        <w:left w:val="none" w:sz="0" w:space="0" w:color="auto"/>
        <w:bottom w:val="none" w:sz="0" w:space="0" w:color="auto"/>
        <w:right w:val="none" w:sz="0" w:space="0" w:color="auto"/>
      </w:divBdr>
      <w:divsChild>
        <w:div w:id="21315116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4" Type="http://schemas.openxmlformats.org/officeDocument/2006/relationships/fontTable" Target="fontTable.xml"/><Relationship Id="rId15" Type="http://schemas.openxmlformats.org/officeDocument/2006/relationships/theme" Target="theme/theme1.xml"/><Relationship Id="rId2" Type="http://schemas.openxmlformats.org/officeDocument/2006/relationships/numbering" Target="numbering.xml"/><Relationship Id="rId3" Type="http://schemas.openxmlformats.org/officeDocument/2006/relationships/styles" Target="styles.xml"/><Relationship Id="rId34" Type="http://schemas.openxmlformats.org/officeDocument/2006/relationships/image" Target="media/image6.png"/><Relationship Id="rId35" Type="http://schemas.openxmlformats.org/officeDocument/2006/relationships/image" Target="media/image7.png"/><Relationship Id="rId36" Type="http://schemas.openxmlformats.org/officeDocument/2006/relationships/image" Target="media/image8.png"/><Relationship Id="rId37" Type="http://schemas.openxmlformats.org/officeDocument/2006/relationships/image" Target="media/image9.png"/><Relationship Id="rId38" Type="http://schemas.openxmlformats.org/officeDocument/2006/relationships/image" Target="media/image10.png"/><Relationship Id="rId39" Type="http://schemas.openxmlformats.org/officeDocument/2006/relationships/footer" Target="footer1.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等线 Light"/>
        <a:font script="Hant" typeface="新細明體"/>
        <a:font script="Jpan" typeface="游ゴシック Light"/>
      </a:majorFont>
      <a:minorFont>
        <a:latin typeface="Calibri" panose="020F050202020403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等线"/>
        <a:font script="Hant" typeface="新細明體"/>
        <a:font script="Jpan" typeface="游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6A137C-90DF-4B9F-A043-B40274A6ABA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2700</Words>
  <Characters>16066</Characters>
  <Application>Microsoft Office Word</Application>
  <DocSecurity>0</DocSecurity>
  <Lines>133</Lines>
  <Paragraphs>37</Paragraphs>
  <ScaleCrop>false</ScaleCrop>
  <Company/>
  <LinksUpToDate>false</LinksUpToDate>
  <CharactersWithSpaces>18729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Stroe</dc:creator>
  <cp:lastModifiedBy>Marius Stroe</cp:lastModifiedB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d5985ffd9edc26b959c7a9f35a42436630fed8177338f6440edd2d92eeb2ddf0</vt:lpwstr>
  </property>
</Properties>
</file>