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0A751" w14:textId="77777777" w:rsidR="00CF19AB" w:rsidRPr="00CF19AB" w:rsidRDefault="00CF19AB" w:rsidP="00CF19AB">
      <w:pPr>
        <w:spacing w:line="360" w:lineRule="auto"/>
        <w:jc w:val="both"/>
        <w:rPr>
          <w:rFonts w:ascii="Arial" w:hAnsi="Arial" w:cs="Arial"/>
          <w:sz w:val="40"/>
          <w:szCs w:val="40"/>
        </w:rPr>
      </w:pPr>
    </w:p>
    <w:p w14:paraId="4438BB93" w14:textId="77777777" w:rsidR="00CF19AB" w:rsidRPr="00CF19AB" w:rsidRDefault="00CF19AB" w:rsidP="00CF19AB">
      <w:pPr>
        <w:spacing w:line="360" w:lineRule="auto"/>
        <w:rPr>
          <w:rFonts w:ascii="Arial" w:hAnsi="Arial" w:cs="Arial"/>
          <w:sz w:val="40"/>
          <w:szCs w:val="40"/>
        </w:rPr>
      </w:pPr>
    </w:p>
    <w:p w14:paraId="676F228E" w14:textId="246D6CD5" w:rsidR="00CF19AB" w:rsidRPr="00CF19AB" w:rsidRDefault="00CF19AB" w:rsidP="00CF19AB">
      <w:pPr>
        <w:spacing w:line="360" w:lineRule="auto"/>
        <w:jc w:val="center"/>
        <w:rPr>
          <w:rFonts w:ascii="Arial" w:eastAsia="Times New Roman" w:hAnsi="Arial" w:cs="Arial"/>
          <w:b/>
          <w:bCs/>
          <w:color w:val="000000"/>
          <w:sz w:val="36"/>
          <w:szCs w:val="36"/>
        </w:rPr>
      </w:pPr>
      <w:r w:rsidRPr="00CF19AB">
        <w:rPr>
          <w:rFonts w:ascii="Arial" w:eastAsia="Times New Roman" w:hAnsi="Arial" w:cs="Arial"/>
          <w:b/>
          <w:bCs/>
          <w:color w:val="000000"/>
          <w:sz w:val="36"/>
          <w:szCs w:val="36"/>
        </w:rPr>
        <w:t>LCBB5005</w:t>
      </w:r>
    </w:p>
    <w:p w14:paraId="1BC011A2" w14:textId="574740B8" w:rsidR="00CF19AB" w:rsidRDefault="00CF19AB" w:rsidP="00CF19AB">
      <w:pPr>
        <w:spacing w:after="0" w:line="360" w:lineRule="auto"/>
        <w:jc w:val="center"/>
        <w:rPr>
          <w:rFonts w:ascii="Arial" w:eastAsia="Times New Roman" w:hAnsi="Arial" w:cs="Arial"/>
          <w:b/>
          <w:bCs/>
          <w:color w:val="000000"/>
          <w:sz w:val="36"/>
          <w:szCs w:val="36"/>
        </w:rPr>
      </w:pPr>
      <w:r w:rsidRPr="00CF19AB">
        <w:rPr>
          <w:rFonts w:ascii="Arial" w:eastAsia="Times New Roman" w:hAnsi="Arial" w:cs="Arial"/>
          <w:b/>
          <w:bCs/>
          <w:color w:val="000000"/>
          <w:sz w:val="36"/>
          <w:szCs w:val="36"/>
        </w:rPr>
        <w:t>Project Management</w:t>
      </w:r>
    </w:p>
    <w:p w14:paraId="638AA663" w14:textId="77777777" w:rsidR="00CF19AB" w:rsidRPr="00CF19AB" w:rsidRDefault="00CF19AB" w:rsidP="00CF19AB">
      <w:pPr>
        <w:spacing w:after="0" w:line="360" w:lineRule="auto"/>
        <w:jc w:val="center"/>
        <w:rPr>
          <w:rFonts w:ascii="Arial" w:eastAsia="Times New Roman" w:hAnsi="Arial" w:cs="Arial"/>
          <w:sz w:val="40"/>
          <w:szCs w:val="40"/>
        </w:rPr>
      </w:pPr>
    </w:p>
    <w:p w14:paraId="6F2C2D63" w14:textId="77777777" w:rsidR="00CF19AB" w:rsidRPr="00CF19AB" w:rsidRDefault="00CF19AB" w:rsidP="00CF19AB">
      <w:pPr>
        <w:spacing w:after="0" w:line="360" w:lineRule="auto"/>
        <w:jc w:val="center"/>
        <w:rPr>
          <w:rFonts w:ascii="Arial" w:eastAsia="Times New Roman" w:hAnsi="Arial" w:cs="Arial"/>
          <w:sz w:val="40"/>
          <w:szCs w:val="40"/>
        </w:rPr>
      </w:pPr>
      <w:r w:rsidRPr="00CF19AB">
        <w:rPr>
          <w:rFonts w:ascii="Arial" w:eastAsia="Times New Roman" w:hAnsi="Arial" w:cs="Arial"/>
          <w:b/>
          <w:bCs/>
          <w:color w:val="000000"/>
          <w:sz w:val="36"/>
          <w:szCs w:val="36"/>
        </w:rPr>
        <w:t>Component 1: Essay</w:t>
      </w:r>
    </w:p>
    <w:p w14:paraId="3C7F9659" w14:textId="77777777" w:rsidR="00CF19AB" w:rsidRPr="00CF19AB" w:rsidRDefault="00CF19AB" w:rsidP="00CF19AB">
      <w:pPr>
        <w:jc w:val="center"/>
        <w:rPr>
          <w:rFonts w:ascii="Times New Roman" w:eastAsia="Times New Roman" w:hAnsi="Times New Roman" w:cs="Times New Roman"/>
          <w:sz w:val="24"/>
          <w:szCs w:val="24"/>
        </w:rPr>
      </w:pPr>
    </w:p>
    <w:p w14:paraId="1D59D9D5" w14:textId="1CD27596" w:rsidR="00CF19AB" w:rsidRDefault="00CF19AB" w:rsidP="00CF19AB">
      <w:pPr>
        <w:tabs>
          <w:tab w:val="left" w:pos="3435"/>
        </w:tabs>
        <w:rPr>
          <w:rFonts w:ascii="Times New Roman" w:hAnsi="Times New Roman" w:cs="Times New Roman"/>
          <w:sz w:val="24"/>
          <w:szCs w:val="24"/>
        </w:rPr>
      </w:pPr>
    </w:p>
    <w:p w14:paraId="7770D391" w14:textId="1B069008" w:rsidR="00CF19AB" w:rsidRPr="00CF19AB" w:rsidRDefault="00CF19AB" w:rsidP="00CF19AB">
      <w:pPr>
        <w:tabs>
          <w:tab w:val="left" w:pos="3435"/>
        </w:tabs>
        <w:rPr>
          <w:rFonts w:ascii="Times New Roman" w:hAnsi="Times New Roman" w:cs="Times New Roman"/>
          <w:sz w:val="24"/>
          <w:szCs w:val="24"/>
        </w:rPr>
        <w:sectPr w:rsidR="00CF19AB" w:rsidRPr="00CF19AB" w:rsidSect="003967C5">
          <w:footerReference w:type="default" r:id="rId6"/>
          <w:pgSz w:w="11906" w:h="16838" w:code="9"/>
          <w:pgMar w:top="1440" w:right="1440" w:bottom="1440" w:left="1440" w:header="720" w:footer="720" w:gutter="0"/>
          <w:cols w:space="720"/>
          <w:titlePg/>
          <w:docGrid w:linePitch="360"/>
        </w:sectPr>
      </w:pPr>
      <w:r>
        <w:rPr>
          <w:rFonts w:ascii="Times New Roman" w:hAnsi="Times New Roman" w:cs="Times New Roman"/>
          <w:sz w:val="24"/>
          <w:szCs w:val="24"/>
        </w:rPr>
        <w:tab/>
      </w:r>
    </w:p>
    <w:p w14:paraId="61021E19" w14:textId="0483536C" w:rsidR="00192446" w:rsidRDefault="00F30308" w:rsidP="00F30308">
      <w:pPr>
        <w:spacing w:line="360" w:lineRule="auto"/>
        <w:jc w:val="both"/>
        <w:rPr>
          <w:rFonts w:ascii="Times New Roman" w:hAnsi="Times New Roman" w:cs="Times New Roman"/>
          <w:sz w:val="24"/>
          <w:szCs w:val="24"/>
        </w:rPr>
      </w:pPr>
      <w:r w:rsidRPr="00F30308">
        <w:rPr>
          <w:rFonts w:ascii="Times New Roman" w:hAnsi="Times New Roman" w:cs="Times New Roman"/>
          <w:sz w:val="24"/>
          <w:szCs w:val="24"/>
        </w:rPr>
        <w:lastRenderedPageBreak/>
        <w:t>A major undertaking in Google's growth plan, the building of its new headquarters in King's Cross, London signifies a significant leap beyond the company's conventional bases. Over 60,400 sqm of excellent office space spread across 11 stories makes up this massive building, which costs one billion pounds and is located next to King's Cross Station. This massive skyscraper, which is the first Google-owned building outside the US, can house up to 4,500 people and offers more than just office space. Cafés, a fitness center, a multi-use gaming area, and pool amenities are all part of the complex, which helps to create a welcoming and well-rounded workplace setting. Also, Google really cares about its employees' happiness and health, because they included manicured terraces, a running track and other leisure areas on top of the building. Located in the heart of the Knowledge Quarter and just a stone's throw away from King's Cross, this architectural wonder does double duty as an operational hub for Google and a catalyst for the local knowledge-based economy. This essay aims to thoroughly evaluate important aspects of the project, including how it was funded, how well it was executed, what quality standards were expected, how stakeholders were involved, and what dangers were identified. This analysis seeks to contribute to a more nuanced understanding of this massive enterprise by methodically examining it in order to reveal its strengths and areas that require strategic focus.</w:t>
      </w:r>
    </w:p>
    <w:p w14:paraId="6D5DF05A" w14:textId="33F8D60E" w:rsidR="00F30308" w:rsidRDefault="00DA257C" w:rsidP="0041087A">
      <w:pPr>
        <w:spacing w:line="360" w:lineRule="auto"/>
        <w:jc w:val="both"/>
        <w:rPr>
          <w:rFonts w:ascii="Times New Roman" w:hAnsi="Times New Roman" w:cs="Times New Roman"/>
          <w:sz w:val="24"/>
          <w:szCs w:val="24"/>
        </w:rPr>
      </w:pPr>
      <w:r w:rsidRPr="00DA257C">
        <w:rPr>
          <w:rFonts w:ascii="Times New Roman" w:hAnsi="Times New Roman" w:cs="Times New Roman"/>
          <w:sz w:val="24"/>
          <w:szCs w:val="24"/>
        </w:rPr>
        <w:t xml:space="preserve">The Google Headquarters project in King's Cross, London, is a great example of how companies can grow and how architects can come up with new ideas. There will be 11 floors of state-of-the-art office space in this building. The room will be 60,400 square </w:t>
      </w:r>
      <w:r w:rsidR="004D089B" w:rsidRPr="00DA257C">
        <w:rPr>
          <w:rFonts w:ascii="Times New Roman" w:hAnsi="Times New Roman" w:cs="Times New Roman"/>
          <w:sz w:val="24"/>
          <w:szCs w:val="24"/>
        </w:rPr>
        <w:t>meters</w:t>
      </w:r>
      <w:r w:rsidRPr="00DA257C">
        <w:rPr>
          <w:rFonts w:ascii="Times New Roman" w:hAnsi="Times New Roman" w:cs="Times New Roman"/>
          <w:sz w:val="24"/>
          <w:szCs w:val="24"/>
        </w:rPr>
        <w:t xml:space="preserve">. It was built so that it can house up to 4,500 workers. </w:t>
      </w:r>
      <w:r w:rsidR="0041087A" w:rsidRPr="0041087A">
        <w:rPr>
          <w:rFonts w:ascii="Times New Roman" w:hAnsi="Times New Roman" w:cs="Times New Roman"/>
          <w:sz w:val="24"/>
          <w:szCs w:val="24"/>
        </w:rPr>
        <w:t>The building is a reflection of Google's dedication to creating a creative work environment by incorporating state-of-the-art amenities like cafes, a gym, multi-use sports spaces and pool facilities into the building design. It also serves as a monument to Google's strategic global footprint. These spaces are not seen as add-ons, but rather as essential parts of the puzzle that boost morale and output in the workplace.</w:t>
      </w:r>
      <w:r w:rsidR="0041087A">
        <w:rPr>
          <w:rFonts w:ascii="Times New Roman" w:hAnsi="Times New Roman" w:cs="Times New Roman"/>
          <w:sz w:val="24"/>
          <w:szCs w:val="24"/>
        </w:rPr>
        <w:t xml:space="preserve"> </w:t>
      </w:r>
      <w:r w:rsidR="0041087A" w:rsidRPr="0041087A">
        <w:rPr>
          <w:rFonts w:ascii="Times New Roman" w:hAnsi="Times New Roman" w:cs="Times New Roman"/>
          <w:sz w:val="24"/>
          <w:szCs w:val="24"/>
        </w:rPr>
        <w:t>This initiative is extremely important for Google's future growth. In line with Google's goal of creating an environment that is favorable for acquiring and retaining talent,</w:t>
      </w:r>
      <w:r w:rsidR="00C86132">
        <w:rPr>
          <w:rFonts w:ascii="Times New Roman" w:hAnsi="Times New Roman" w:cs="Times New Roman"/>
          <w:sz w:val="24"/>
          <w:szCs w:val="24"/>
        </w:rPr>
        <w:t xml:space="preserve"> Luo and Tung (2007</w:t>
      </w:r>
      <w:r w:rsidR="0041087A" w:rsidRPr="0041087A">
        <w:rPr>
          <w:rFonts w:ascii="Times New Roman" w:hAnsi="Times New Roman" w:cs="Times New Roman"/>
          <w:sz w:val="24"/>
          <w:szCs w:val="24"/>
        </w:rPr>
        <w:t>) explain that in order to expand into new markets, one must make strategic investments in infrastructure and people. On top of that, this endeavor is crucial to the local economy. According to</w:t>
      </w:r>
      <w:r w:rsidR="00C86132">
        <w:rPr>
          <w:rFonts w:ascii="Times New Roman" w:hAnsi="Times New Roman" w:cs="Times New Roman"/>
          <w:sz w:val="24"/>
          <w:szCs w:val="24"/>
        </w:rPr>
        <w:t xml:space="preserve"> </w:t>
      </w:r>
      <w:r w:rsidR="00860370">
        <w:rPr>
          <w:rFonts w:ascii="Times New Roman" w:hAnsi="Times New Roman" w:cs="Times New Roman"/>
          <w:sz w:val="24"/>
          <w:szCs w:val="24"/>
        </w:rPr>
        <w:t xml:space="preserve">Stimson et al. </w:t>
      </w:r>
      <w:r w:rsidR="00C86132">
        <w:rPr>
          <w:rFonts w:ascii="Times New Roman" w:hAnsi="Times New Roman" w:cs="Times New Roman"/>
          <w:sz w:val="24"/>
          <w:szCs w:val="24"/>
        </w:rPr>
        <w:t>(</w:t>
      </w:r>
      <w:r w:rsidR="00860370">
        <w:rPr>
          <w:rFonts w:ascii="Times New Roman" w:hAnsi="Times New Roman" w:cs="Times New Roman"/>
          <w:sz w:val="24"/>
          <w:szCs w:val="24"/>
        </w:rPr>
        <w:t>2006</w:t>
      </w:r>
      <w:r w:rsidR="0041087A" w:rsidRPr="0041087A">
        <w:rPr>
          <w:rFonts w:ascii="Times New Roman" w:hAnsi="Times New Roman" w:cs="Times New Roman"/>
          <w:sz w:val="24"/>
          <w:szCs w:val="24"/>
        </w:rPr>
        <w:t xml:space="preserve">), regional economic development is typically sped up by large-scale corporate investments, which create jobs and support related sectors. Thus, the Google Headquarters project at King's Cross is a cornerstone of the Knowledge Quarter and the developing knowledge-based economy in King's Cross; it promotes the area's image as a </w:t>
      </w:r>
      <w:r w:rsidR="0041087A" w:rsidRPr="0041087A">
        <w:rPr>
          <w:rFonts w:ascii="Times New Roman" w:hAnsi="Times New Roman" w:cs="Times New Roman"/>
          <w:sz w:val="24"/>
          <w:szCs w:val="24"/>
        </w:rPr>
        <w:lastRenderedPageBreak/>
        <w:t>center for intellectual capital and innovation.</w:t>
      </w:r>
      <w:r w:rsidR="00A4162B">
        <w:rPr>
          <w:rFonts w:ascii="Times New Roman" w:hAnsi="Times New Roman" w:cs="Times New Roman"/>
          <w:sz w:val="24"/>
          <w:szCs w:val="24"/>
        </w:rPr>
        <w:t xml:space="preserve"> </w:t>
      </w:r>
      <w:r w:rsidR="0041087A" w:rsidRPr="0041087A">
        <w:rPr>
          <w:rFonts w:ascii="Times New Roman" w:hAnsi="Times New Roman" w:cs="Times New Roman"/>
          <w:sz w:val="24"/>
          <w:szCs w:val="24"/>
        </w:rPr>
        <w:t xml:space="preserve">Aiming to diversify and expand internationally, Google has decided to construct its first skyscraper outside of the US that is entirely owned and designed by the company. </w:t>
      </w:r>
      <w:r w:rsidR="00A4162B">
        <w:rPr>
          <w:rFonts w:ascii="Times New Roman" w:hAnsi="Times New Roman" w:cs="Times New Roman"/>
          <w:sz w:val="24"/>
          <w:szCs w:val="24"/>
        </w:rPr>
        <w:t>T</w:t>
      </w:r>
      <w:r w:rsidR="0041087A" w:rsidRPr="0041087A">
        <w:rPr>
          <w:rFonts w:ascii="Times New Roman" w:hAnsi="Times New Roman" w:cs="Times New Roman"/>
          <w:sz w:val="24"/>
          <w:szCs w:val="24"/>
        </w:rPr>
        <w:t>his move shows that Google is trying to use its special skills and resources to get an advantage in international markets. This project is important for two reasons: first, it will help the local economy and society, and second, it will serve as evidence of Google's changing strategy.</w:t>
      </w:r>
    </w:p>
    <w:p w14:paraId="04F378D5" w14:textId="0356733E" w:rsidR="009B65B8" w:rsidRPr="009B65B8" w:rsidRDefault="009B65B8" w:rsidP="009B65B8">
      <w:pPr>
        <w:spacing w:line="360" w:lineRule="auto"/>
        <w:jc w:val="both"/>
        <w:rPr>
          <w:rFonts w:ascii="Times New Roman" w:hAnsi="Times New Roman" w:cs="Times New Roman"/>
          <w:sz w:val="24"/>
          <w:szCs w:val="24"/>
        </w:rPr>
      </w:pPr>
      <w:r w:rsidRPr="009B65B8">
        <w:rPr>
          <w:rFonts w:ascii="Times New Roman" w:hAnsi="Times New Roman" w:cs="Times New Roman"/>
          <w:sz w:val="24"/>
          <w:szCs w:val="24"/>
        </w:rPr>
        <w:t>A massive expenditure in infrastructure and property is the one billion pounds set aside for the Google Headquarters project in King's Cross, London. With this investment, Google is making it clear that it intends to create a state-of-the-art workplace and make a substantial impact on the local economy. Allocating such a massive sum is in line with the ideas of strategic resource allocation put out by Kaplan and Norton (</w:t>
      </w:r>
      <w:r w:rsidR="008570A2">
        <w:rPr>
          <w:rFonts w:ascii="Times New Roman" w:hAnsi="Times New Roman" w:cs="Times New Roman"/>
          <w:sz w:val="24"/>
          <w:szCs w:val="24"/>
        </w:rPr>
        <w:t>2004</w:t>
      </w:r>
      <w:r w:rsidRPr="009B65B8">
        <w:rPr>
          <w:rFonts w:ascii="Times New Roman" w:hAnsi="Times New Roman" w:cs="Times New Roman"/>
          <w:sz w:val="24"/>
          <w:szCs w:val="24"/>
        </w:rPr>
        <w:t>), according to which long-term competitive advantages can be achieved through the use of large financial investments.</w:t>
      </w:r>
      <w:r>
        <w:rPr>
          <w:rFonts w:ascii="Times New Roman" w:hAnsi="Times New Roman" w:cs="Times New Roman"/>
          <w:sz w:val="24"/>
          <w:szCs w:val="24"/>
        </w:rPr>
        <w:t xml:space="preserve"> </w:t>
      </w:r>
      <w:r w:rsidRPr="009B65B8">
        <w:rPr>
          <w:rFonts w:ascii="Times New Roman" w:hAnsi="Times New Roman" w:cs="Times New Roman"/>
          <w:sz w:val="24"/>
          <w:szCs w:val="24"/>
        </w:rPr>
        <w:t xml:space="preserve">Analyzing how funds were distributed across the different parts of the project is an essential part of evaluating the budget. Major factors include building expenses, architectural plans, technology integrations, and infrastructure development. </w:t>
      </w:r>
      <w:r w:rsidR="008570A2" w:rsidRPr="008570A2">
        <w:rPr>
          <w:rFonts w:ascii="Times New Roman" w:hAnsi="Times New Roman" w:cs="Times New Roman"/>
          <w:sz w:val="24"/>
          <w:szCs w:val="24"/>
        </w:rPr>
        <w:t>Kavadias and Chao (2007</w:t>
      </w:r>
      <w:r w:rsidRPr="009B65B8">
        <w:rPr>
          <w:rFonts w:ascii="Times New Roman" w:hAnsi="Times New Roman" w:cs="Times New Roman"/>
          <w:sz w:val="24"/>
          <w:szCs w:val="24"/>
        </w:rPr>
        <w:t>) assert that in order to maximize utilization and maintain quality standards, it is necessary to distribute monies wisely among these aspects. Due to the extensive nature of this project, it is essential to thoroughly examine all possible financial factors and their consequences. Unexpected costs, according to</w:t>
      </w:r>
      <w:r w:rsidR="008570A2">
        <w:rPr>
          <w:rFonts w:ascii="Times New Roman" w:hAnsi="Times New Roman" w:cs="Times New Roman"/>
          <w:sz w:val="24"/>
          <w:szCs w:val="24"/>
        </w:rPr>
        <w:t xml:space="preserve"> </w:t>
      </w:r>
      <w:r w:rsidR="0001560C" w:rsidRPr="0001560C">
        <w:rPr>
          <w:rFonts w:ascii="Times New Roman" w:hAnsi="Times New Roman" w:cs="Times New Roman"/>
          <w:sz w:val="24"/>
          <w:szCs w:val="24"/>
        </w:rPr>
        <w:t>Wudhikarn (2016</w:t>
      </w:r>
      <w:r w:rsidRPr="009B65B8">
        <w:rPr>
          <w:rFonts w:ascii="Times New Roman" w:hAnsi="Times New Roman" w:cs="Times New Roman"/>
          <w:sz w:val="24"/>
          <w:szCs w:val="24"/>
        </w:rPr>
        <w:t>), might crop up in large-scale projects as a result of things like shifting regulations, unpredictable material pricing, or unexpected structural complications.</w:t>
      </w:r>
    </w:p>
    <w:p w14:paraId="421A1DF1" w14:textId="57EDF135" w:rsidR="009B65B8" w:rsidRPr="009B65B8" w:rsidRDefault="009B65B8" w:rsidP="009B65B8">
      <w:pPr>
        <w:spacing w:line="360" w:lineRule="auto"/>
        <w:jc w:val="both"/>
        <w:rPr>
          <w:rFonts w:ascii="Times New Roman" w:hAnsi="Times New Roman" w:cs="Times New Roman"/>
          <w:sz w:val="24"/>
          <w:szCs w:val="24"/>
        </w:rPr>
      </w:pPr>
      <w:r w:rsidRPr="009B65B8">
        <w:rPr>
          <w:rFonts w:ascii="Times New Roman" w:hAnsi="Times New Roman" w:cs="Times New Roman"/>
          <w:sz w:val="24"/>
          <w:szCs w:val="24"/>
        </w:rPr>
        <w:t>In addition, knowing the ins and outs of the construction and IT industries' competitive markets is crucial for making realistic budget allocation decisions.</w:t>
      </w:r>
      <w:r w:rsidR="0001560C">
        <w:rPr>
          <w:rFonts w:ascii="Times New Roman" w:hAnsi="Times New Roman" w:cs="Times New Roman"/>
          <w:sz w:val="24"/>
          <w:szCs w:val="24"/>
        </w:rPr>
        <w:t xml:space="preserve"> </w:t>
      </w:r>
      <w:r w:rsidR="00B7502E">
        <w:rPr>
          <w:rFonts w:ascii="Times New Roman" w:hAnsi="Times New Roman" w:cs="Times New Roman"/>
          <w:sz w:val="24"/>
          <w:szCs w:val="24"/>
        </w:rPr>
        <w:t xml:space="preserve">Larson and Gary </w:t>
      </w:r>
      <w:r w:rsidR="0001560C">
        <w:rPr>
          <w:rFonts w:ascii="Times New Roman" w:hAnsi="Times New Roman" w:cs="Times New Roman"/>
          <w:sz w:val="24"/>
          <w:szCs w:val="24"/>
        </w:rPr>
        <w:t>(</w:t>
      </w:r>
      <w:r w:rsidR="00B7502E">
        <w:rPr>
          <w:rFonts w:ascii="Times New Roman" w:hAnsi="Times New Roman" w:cs="Times New Roman"/>
          <w:sz w:val="24"/>
          <w:szCs w:val="24"/>
        </w:rPr>
        <w:t>2011</w:t>
      </w:r>
      <w:r w:rsidRPr="009B65B8">
        <w:rPr>
          <w:rFonts w:ascii="Times New Roman" w:hAnsi="Times New Roman" w:cs="Times New Roman"/>
          <w:sz w:val="24"/>
          <w:szCs w:val="24"/>
        </w:rPr>
        <w:t>) noted that one of the biggest obstacles to sticking to budgets is the increasing cost of building in big cities, particularly in London. The complex architectural design and integration of state-of-the-art technical features highlight the possibility of increased costs even more. To avoid going over budget, these factors necessitate tight cost control measures and constant monitoring.</w:t>
      </w:r>
    </w:p>
    <w:p w14:paraId="67B84BF6" w14:textId="7944B9B2" w:rsidR="002267A4" w:rsidRDefault="009B65B8" w:rsidP="009B65B8">
      <w:pPr>
        <w:spacing w:line="360" w:lineRule="auto"/>
        <w:jc w:val="both"/>
        <w:rPr>
          <w:rFonts w:ascii="Times New Roman" w:hAnsi="Times New Roman" w:cs="Times New Roman"/>
          <w:sz w:val="24"/>
          <w:szCs w:val="24"/>
        </w:rPr>
      </w:pPr>
      <w:r w:rsidRPr="009B65B8">
        <w:rPr>
          <w:rFonts w:ascii="Times New Roman" w:hAnsi="Times New Roman" w:cs="Times New Roman"/>
          <w:sz w:val="24"/>
          <w:szCs w:val="24"/>
        </w:rPr>
        <w:t>Taking precautions to keep costs in check is an important part of budget evaluation. In order to anticipate and prepare for possible cost overruns,</w:t>
      </w:r>
      <w:r w:rsidR="0017299C">
        <w:rPr>
          <w:rFonts w:ascii="Times New Roman" w:hAnsi="Times New Roman" w:cs="Times New Roman"/>
          <w:sz w:val="24"/>
          <w:szCs w:val="24"/>
        </w:rPr>
        <w:t xml:space="preserve"> Kerzner (2017</w:t>
      </w:r>
      <w:r w:rsidRPr="009B65B8">
        <w:rPr>
          <w:rFonts w:ascii="Times New Roman" w:hAnsi="Times New Roman" w:cs="Times New Roman"/>
          <w:sz w:val="24"/>
          <w:szCs w:val="24"/>
        </w:rPr>
        <w:t>) stress</w:t>
      </w:r>
      <w:r w:rsidR="0017299C">
        <w:rPr>
          <w:rFonts w:ascii="Times New Roman" w:hAnsi="Times New Roman" w:cs="Times New Roman"/>
          <w:sz w:val="24"/>
          <w:szCs w:val="24"/>
        </w:rPr>
        <w:t>es</w:t>
      </w:r>
      <w:r w:rsidRPr="009B65B8">
        <w:rPr>
          <w:rFonts w:ascii="Times New Roman" w:hAnsi="Times New Roman" w:cs="Times New Roman"/>
          <w:sz w:val="24"/>
          <w:szCs w:val="24"/>
        </w:rPr>
        <w:t xml:space="preserve"> the significance of risk analysis and proactive risk management. The financial success of the project depends on carefully evaluating the risks linked to budget deviations, which means strict controls and backup plans need to be put in place.</w:t>
      </w:r>
      <w:r>
        <w:rPr>
          <w:rFonts w:ascii="Times New Roman" w:hAnsi="Times New Roman" w:cs="Times New Roman"/>
          <w:sz w:val="24"/>
          <w:szCs w:val="24"/>
        </w:rPr>
        <w:t xml:space="preserve"> </w:t>
      </w:r>
      <w:r w:rsidRPr="009B65B8">
        <w:rPr>
          <w:rFonts w:ascii="Times New Roman" w:hAnsi="Times New Roman" w:cs="Times New Roman"/>
          <w:sz w:val="24"/>
          <w:szCs w:val="24"/>
        </w:rPr>
        <w:t xml:space="preserve">Effective resource utilization also requires that the budget be in sync with project milestones and deliverables. To avoid delays and bottlenecks, it is </w:t>
      </w:r>
      <w:r w:rsidRPr="009B65B8">
        <w:rPr>
          <w:rFonts w:ascii="Times New Roman" w:hAnsi="Times New Roman" w:cs="Times New Roman"/>
          <w:sz w:val="24"/>
          <w:szCs w:val="24"/>
        </w:rPr>
        <w:lastRenderedPageBreak/>
        <w:t>important to allocate funds in a consistent manner that is connected to project timeframes (Kerzner, 201</w:t>
      </w:r>
      <w:r w:rsidR="00926917">
        <w:rPr>
          <w:rFonts w:ascii="Times New Roman" w:hAnsi="Times New Roman" w:cs="Times New Roman"/>
          <w:sz w:val="24"/>
          <w:szCs w:val="24"/>
        </w:rPr>
        <w:t>7</w:t>
      </w:r>
      <w:r w:rsidRPr="009B65B8">
        <w:rPr>
          <w:rFonts w:ascii="Times New Roman" w:hAnsi="Times New Roman" w:cs="Times New Roman"/>
          <w:sz w:val="24"/>
          <w:szCs w:val="24"/>
        </w:rPr>
        <w:t>).</w:t>
      </w:r>
      <w:r w:rsidR="00F17DA2">
        <w:rPr>
          <w:rFonts w:ascii="Times New Roman" w:hAnsi="Times New Roman" w:cs="Times New Roman"/>
          <w:sz w:val="24"/>
          <w:szCs w:val="24"/>
        </w:rPr>
        <w:t xml:space="preserve"> </w:t>
      </w:r>
      <w:r w:rsidRPr="009B65B8">
        <w:rPr>
          <w:rFonts w:ascii="Times New Roman" w:hAnsi="Times New Roman" w:cs="Times New Roman"/>
          <w:sz w:val="24"/>
          <w:szCs w:val="24"/>
        </w:rPr>
        <w:t>The examination of the one billion pounds budget for the Google Headquarters project concludes that careful financial management is complex. In order to ensure fiscal responsibility and the successful completion of the project, it is necessary to have a thorough grasp of cost considerations, risk mitigation techniques, and alignment with project milestones.</w:t>
      </w:r>
    </w:p>
    <w:p w14:paraId="7697CFE9" w14:textId="7A31690B" w:rsidR="00571D20" w:rsidRPr="003F237F" w:rsidRDefault="00571D20" w:rsidP="003F237F">
      <w:pPr>
        <w:spacing w:line="360" w:lineRule="auto"/>
        <w:jc w:val="both"/>
        <w:rPr>
          <w:rFonts w:ascii="Times New Roman" w:hAnsi="Times New Roman" w:cs="Times New Roman"/>
          <w:sz w:val="24"/>
          <w:szCs w:val="24"/>
        </w:rPr>
      </w:pPr>
      <w:r w:rsidRPr="00571D20">
        <w:rPr>
          <w:rFonts w:ascii="Times New Roman" w:hAnsi="Times New Roman" w:cs="Times New Roman"/>
          <w:sz w:val="24"/>
          <w:szCs w:val="24"/>
        </w:rPr>
        <w:t>Throughout every phase of the entire procedure, the timetable and milestones of the project serve as the guiding framework, creating an environment that is conducive to the smooth progression of tasks towards the completion of the task in question.  As a result of conducting an exhaustive investigation into the time frame of Google's project, it was found that the business had diligently developed a schedule that encompassed all aspects of the project, starting with the basic planning stages and ending with the readiness for operational usage. In line with the principles of effective project management that were emphasized by Kerzner (2017), this strategy is very consistent. The importance of having well-defined milestones and deadlines is emphasized by these concepts, which are designed to ensure that a project is completed successfully. It is important to note that even when the schedule is articulated in a clear manner, there are always potential risks that are associated with time. Unforeseen delays that are brought on by external factors, such as governmental approvals, poor weather conditions, or disruptions in the supply chain, have the potential to significantly impede the progression of the project that is currently being worked on. According to Chan et al. (2022), these threats are in line with the findings that they uncovered, which emphasize the significance of proactive risk management in order to lessen the possibility that disruptions will take place.</w:t>
      </w:r>
    </w:p>
    <w:p w14:paraId="58E77CF2" w14:textId="433EAB73" w:rsidR="003F237F" w:rsidRPr="003F237F" w:rsidRDefault="003F237F" w:rsidP="003F237F">
      <w:pPr>
        <w:spacing w:line="360" w:lineRule="auto"/>
        <w:jc w:val="both"/>
        <w:rPr>
          <w:rFonts w:ascii="Times New Roman" w:hAnsi="Times New Roman" w:cs="Times New Roman"/>
          <w:sz w:val="24"/>
          <w:szCs w:val="24"/>
        </w:rPr>
      </w:pPr>
      <w:r w:rsidRPr="003F237F">
        <w:rPr>
          <w:rFonts w:ascii="Times New Roman" w:hAnsi="Times New Roman" w:cs="Times New Roman"/>
          <w:sz w:val="24"/>
          <w:szCs w:val="24"/>
        </w:rPr>
        <w:t xml:space="preserve">It is quite likely that Google implements intensive risk management measures that are in accordance with the best practices in order to mitigate risks connected to time. Continuous monitoring, frequent reevaluation of timeframes, and agile project management approaches are some examples of the strategies that could be utilized in order to react to changing circumstances. It is Google's intention to minimize the impact of any potential delays and to ensure that the project's timeframe is adhered to by taking a proactive posture towards the discovery and mitigation of </w:t>
      </w:r>
      <w:r w:rsidR="006C0018" w:rsidRPr="003F237F">
        <w:rPr>
          <w:rFonts w:ascii="Times New Roman" w:hAnsi="Times New Roman" w:cs="Times New Roman"/>
          <w:sz w:val="24"/>
          <w:szCs w:val="24"/>
        </w:rPr>
        <w:t>risks. The</w:t>
      </w:r>
      <w:r w:rsidRPr="003F237F">
        <w:rPr>
          <w:rFonts w:ascii="Times New Roman" w:hAnsi="Times New Roman" w:cs="Times New Roman"/>
          <w:sz w:val="24"/>
          <w:szCs w:val="24"/>
        </w:rPr>
        <w:t xml:space="preserve"> quality standards that are anticipated for the Google Headquarters project in King's Cross, London, are in accordance with the requirements applicable to the industry as well as the concepts of sustainability. According to</w:t>
      </w:r>
      <w:r w:rsidR="006D39A0">
        <w:rPr>
          <w:rFonts w:ascii="Times New Roman" w:hAnsi="Times New Roman" w:cs="Times New Roman"/>
          <w:sz w:val="24"/>
          <w:szCs w:val="24"/>
        </w:rPr>
        <w:t xml:space="preserve"> Chan et al. (2022</w:t>
      </w:r>
      <w:r w:rsidRPr="003F237F">
        <w:rPr>
          <w:rFonts w:ascii="Times New Roman" w:hAnsi="Times New Roman" w:cs="Times New Roman"/>
          <w:sz w:val="24"/>
          <w:szCs w:val="24"/>
        </w:rPr>
        <w:t xml:space="preserve">), the construction industry places a large amount of significance on the maintenance of </w:t>
      </w:r>
      <w:r w:rsidRPr="003F237F">
        <w:rPr>
          <w:rFonts w:ascii="Times New Roman" w:hAnsi="Times New Roman" w:cs="Times New Roman"/>
          <w:sz w:val="24"/>
          <w:szCs w:val="24"/>
        </w:rPr>
        <w:lastRenderedPageBreak/>
        <w:t>stringent quality standards. These standards play a crucial role in assuring structural integrity, ensure safety, and ensure long-term sustainability.</w:t>
      </w:r>
    </w:p>
    <w:p w14:paraId="02FB2DE2" w14:textId="726D30F9" w:rsidR="00BA10E4" w:rsidRDefault="003F237F" w:rsidP="003F237F">
      <w:pPr>
        <w:spacing w:line="360" w:lineRule="auto"/>
        <w:jc w:val="both"/>
        <w:rPr>
          <w:rFonts w:ascii="Times New Roman" w:hAnsi="Times New Roman" w:cs="Times New Roman"/>
          <w:sz w:val="24"/>
          <w:szCs w:val="24"/>
        </w:rPr>
      </w:pPr>
      <w:r w:rsidRPr="003F237F">
        <w:rPr>
          <w:rFonts w:ascii="Times New Roman" w:hAnsi="Times New Roman" w:cs="Times New Roman"/>
          <w:sz w:val="24"/>
          <w:szCs w:val="24"/>
        </w:rPr>
        <w:t>The fact that Google adheres to environmentally responsible building standards and implements thorough quality control systems demonstrates the company's dedication to constructing a building of superior quality. According to Koskela (2000), the company's commitment to achieving superior quality standards is demonstrated by the incorporation of environmentally friendly and sustainable materials, the adherence to green building regulations, and the application of new construction processes.</w:t>
      </w:r>
      <w:r>
        <w:rPr>
          <w:rFonts w:ascii="Times New Roman" w:hAnsi="Times New Roman" w:cs="Times New Roman"/>
          <w:sz w:val="24"/>
          <w:szCs w:val="24"/>
        </w:rPr>
        <w:t xml:space="preserve"> </w:t>
      </w:r>
      <w:r w:rsidRPr="003F237F">
        <w:rPr>
          <w:rFonts w:ascii="Times New Roman" w:hAnsi="Times New Roman" w:cs="Times New Roman"/>
          <w:sz w:val="24"/>
          <w:szCs w:val="24"/>
        </w:rPr>
        <w:t>In addition, the comprehensive quality audits and inspections that are carried out at various phases of construction are included in the procedures that are done to guarantee high-quality production. These findings are consistent with the recommendations made by Akintoye and Fitzgerald (2000), who advocated for ongoing quality monitoring throughout the whole lifecycle of the project. In addition, Google may employ specialized quality assurance teams in order to ensure that quality parameters and certifications are adhered to, with the objective of meeting or exceeding industry standards.</w:t>
      </w:r>
      <w:r>
        <w:rPr>
          <w:rFonts w:ascii="Times New Roman" w:hAnsi="Times New Roman" w:cs="Times New Roman"/>
          <w:sz w:val="24"/>
          <w:szCs w:val="24"/>
        </w:rPr>
        <w:t xml:space="preserve"> </w:t>
      </w:r>
      <w:r w:rsidRPr="003F237F">
        <w:rPr>
          <w:rFonts w:ascii="Times New Roman" w:hAnsi="Times New Roman" w:cs="Times New Roman"/>
          <w:sz w:val="24"/>
          <w:szCs w:val="24"/>
        </w:rPr>
        <w:t>Google demonstrates its commitment to delivering a building that not only meets but potentially surpasses industry-defined quality standards by incorporating sustainable practices, stringent quality control, and continuous monitoring. This reflects the company's ethos of innovation and excellence in infrastructure development at the time of the building's construction.</w:t>
      </w:r>
    </w:p>
    <w:p w14:paraId="00BEAC74" w14:textId="24DF0746" w:rsidR="00FE16A5" w:rsidRPr="00FE16A5" w:rsidRDefault="00FE16A5" w:rsidP="00FE16A5">
      <w:pPr>
        <w:spacing w:line="360" w:lineRule="auto"/>
        <w:jc w:val="both"/>
        <w:rPr>
          <w:rFonts w:ascii="Times New Roman" w:hAnsi="Times New Roman" w:cs="Times New Roman"/>
          <w:sz w:val="24"/>
          <w:szCs w:val="24"/>
        </w:rPr>
      </w:pPr>
      <w:r w:rsidRPr="00FE16A5">
        <w:rPr>
          <w:rFonts w:ascii="Times New Roman" w:hAnsi="Times New Roman" w:cs="Times New Roman"/>
          <w:sz w:val="24"/>
          <w:szCs w:val="24"/>
        </w:rPr>
        <w:t>It is possible to have a better understanding of the many roles, vested interests, and potential consequences that important stakeholders have on the results of the Google Headquarters project by conducting a comprehensive analysis of these stakeholders. There is a diverse range of stakeholders involved in this initiative, including local regulatory organizations, architectural and construction businesses, officials from Google, and members of the general population.</w:t>
      </w:r>
      <w:r>
        <w:rPr>
          <w:rFonts w:ascii="Times New Roman" w:hAnsi="Times New Roman" w:cs="Times New Roman"/>
          <w:sz w:val="24"/>
          <w:szCs w:val="24"/>
        </w:rPr>
        <w:t xml:space="preserve"> </w:t>
      </w:r>
      <w:r w:rsidRPr="00FE16A5">
        <w:rPr>
          <w:rFonts w:ascii="Times New Roman" w:hAnsi="Times New Roman" w:cs="Times New Roman"/>
          <w:sz w:val="24"/>
          <w:szCs w:val="24"/>
        </w:rPr>
        <w:t xml:space="preserve">The issuing of appropriate approvals and the ensuring of conformity with zoning regulations and building codes are both activities that are primarily the responsibility of local regulatory agencies. According </w:t>
      </w:r>
      <w:r w:rsidR="00700F54" w:rsidRPr="00FE16A5">
        <w:rPr>
          <w:rFonts w:ascii="Times New Roman" w:hAnsi="Times New Roman" w:cs="Times New Roman"/>
          <w:sz w:val="24"/>
          <w:szCs w:val="24"/>
        </w:rPr>
        <w:t>to Larson</w:t>
      </w:r>
      <w:r w:rsidR="00803DD6">
        <w:rPr>
          <w:rFonts w:ascii="Times New Roman" w:hAnsi="Times New Roman" w:cs="Times New Roman"/>
          <w:sz w:val="24"/>
          <w:szCs w:val="24"/>
        </w:rPr>
        <w:t xml:space="preserve"> and Gray</w:t>
      </w:r>
      <w:r w:rsidRPr="00FE16A5">
        <w:rPr>
          <w:rFonts w:ascii="Times New Roman" w:hAnsi="Times New Roman" w:cs="Times New Roman"/>
          <w:sz w:val="24"/>
          <w:szCs w:val="24"/>
        </w:rPr>
        <w:t xml:space="preserve"> (201</w:t>
      </w:r>
      <w:r w:rsidR="00803DD6">
        <w:rPr>
          <w:rFonts w:ascii="Times New Roman" w:hAnsi="Times New Roman" w:cs="Times New Roman"/>
          <w:sz w:val="24"/>
          <w:szCs w:val="24"/>
        </w:rPr>
        <w:t>1</w:t>
      </w:r>
      <w:r w:rsidRPr="00FE16A5">
        <w:rPr>
          <w:rFonts w:ascii="Times New Roman" w:hAnsi="Times New Roman" w:cs="Times New Roman"/>
          <w:sz w:val="24"/>
          <w:szCs w:val="24"/>
        </w:rPr>
        <w:t>), their function is essential in steering the project through the various legal and regulatory frameworks that require it to be approved.</w:t>
      </w:r>
      <w:r>
        <w:rPr>
          <w:rFonts w:ascii="Times New Roman" w:hAnsi="Times New Roman" w:cs="Times New Roman"/>
          <w:sz w:val="24"/>
          <w:szCs w:val="24"/>
        </w:rPr>
        <w:t xml:space="preserve"> </w:t>
      </w:r>
      <w:r w:rsidRPr="00FE16A5">
        <w:rPr>
          <w:rFonts w:ascii="Times New Roman" w:hAnsi="Times New Roman" w:cs="Times New Roman"/>
          <w:sz w:val="24"/>
          <w:szCs w:val="24"/>
        </w:rPr>
        <w:t>In their capacity as major execution partners, architectural and construction firms have the ability to exert influence over design aesthetics, construction processes, and the adherence to quality standards. According to</w:t>
      </w:r>
      <w:r w:rsidR="00700F54">
        <w:rPr>
          <w:rFonts w:ascii="Times New Roman" w:hAnsi="Times New Roman" w:cs="Times New Roman"/>
          <w:sz w:val="24"/>
          <w:szCs w:val="24"/>
        </w:rPr>
        <w:t xml:space="preserve"> </w:t>
      </w:r>
      <w:r w:rsidR="00F12C32">
        <w:rPr>
          <w:rFonts w:ascii="Times New Roman" w:hAnsi="Times New Roman" w:cs="Times New Roman"/>
          <w:sz w:val="24"/>
          <w:szCs w:val="24"/>
        </w:rPr>
        <w:t xml:space="preserve">Beringer et al. </w:t>
      </w:r>
      <w:r w:rsidR="00700F54">
        <w:rPr>
          <w:rFonts w:ascii="Times New Roman" w:hAnsi="Times New Roman" w:cs="Times New Roman"/>
          <w:sz w:val="24"/>
          <w:szCs w:val="24"/>
        </w:rPr>
        <w:t>(</w:t>
      </w:r>
      <w:r w:rsidR="00F12C32">
        <w:rPr>
          <w:rFonts w:ascii="Times New Roman" w:hAnsi="Times New Roman" w:cs="Times New Roman"/>
          <w:sz w:val="24"/>
          <w:szCs w:val="24"/>
        </w:rPr>
        <w:t>2013</w:t>
      </w:r>
      <w:r w:rsidRPr="00FE16A5">
        <w:rPr>
          <w:rFonts w:ascii="Times New Roman" w:hAnsi="Times New Roman" w:cs="Times New Roman"/>
          <w:sz w:val="24"/>
          <w:szCs w:val="24"/>
        </w:rPr>
        <w:t>), their active participation in the project is an essential component of the successful implementation of the project.</w:t>
      </w:r>
      <w:r>
        <w:rPr>
          <w:rFonts w:ascii="Times New Roman" w:hAnsi="Times New Roman" w:cs="Times New Roman"/>
          <w:sz w:val="24"/>
          <w:szCs w:val="24"/>
        </w:rPr>
        <w:t xml:space="preserve"> </w:t>
      </w:r>
      <w:r w:rsidRPr="00FE16A5">
        <w:rPr>
          <w:rFonts w:ascii="Times New Roman" w:hAnsi="Times New Roman" w:cs="Times New Roman"/>
          <w:sz w:val="24"/>
          <w:szCs w:val="24"/>
        </w:rPr>
        <w:t xml:space="preserve">The executives of Google, who are representing the client and the visionaries of the project, have strategic </w:t>
      </w:r>
      <w:r w:rsidRPr="00FE16A5">
        <w:rPr>
          <w:rFonts w:ascii="Times New Roman" w:hAnsi="Times New Roman" w:cs="Times New Roman"/>
          <w:sz w:val="24"/>
          <w:szCs w:val="24"/>
        </w:rPr>
        <w:lastRenderedPageBreak/>
        <w:t xml:space="preserve">interests in the success of the project, alignment with the aims of the corporation, and the establishment of a work atmosphere that is both inventive and favorable to productivity. </w:t>
      </w:r>
      <w:r w:rsidR="00BB4DCA">
        <w:rPr>
          <w:rFonts w:ascii="Times New Roman" w:hAnsi="Times New Roman" w:cs="Times New Roman"/>
          <w:sz w:val="24"/>
          <w:szCs w:val="24"/>
        </w:rPr>
        <w:t>T</w:t>
      </w:r>
      <w:r w:rsidRPr="00FE16A5">
        <w:rPr>
          <w:rFonts w:ascii="Times New Roman" w:hAnsi="Times New Roman" w:cs="Times New Roman"/>
          <w:sz w:val="24"/>
          <w:szCs w:val="24"/>
        </w:rPr>
        <w:t>heir responsibility encompasses not just financial investments but also active participation and decision-making in the process of project development.</w:t>
      </w:r>
    </w:p>
    <w:p w14:paraId="56DDE4A9" w14:textId="760D884B" w:rsidR="0041087A" w:rsidRDefault="00FE16A5" w:rsidP="00FE16A5">
      <w:pPr>
        <w:spacing w:line="360" w:lineRule="auto"/>
        <w:jc w:val="both"/>
        <w:rPr>
          <w:rFonts w:ascii="Times New Roman" w:hAnsi="Times New Roman" w:cs="Times New Roman"/>
          <w:sz w:val="24"/>
          <w:szCs w:val="24"/>
        </w:rPr>
      </w:pPr>
      <w:r w:rsidRPr="00FE16A5">
        <w:rPr>
          <w:rFonts w:ascii="Times New Roman" w:hAnsi="Times New Roman" w:cs="Times New Roman"/>
          <w:sz w:val="24"/>
          <w:szCs w:val="24"/>
        </w:rPr>
        <w:t>Stakeholders include the larger community as well as the people who will eventually live in the building. Their interests revolve around the building's impact on the environment, its use, and its integration into the surrounding landscape. For the purpose of encouraging community acceptance and maintaining a positive relationship between the project and its surroundings, their participation, as is supported by Akintoye and Fitzgerald (2000), is crucial.</w:t>
      </w:r>
      <w:r>
        <w:rPr>
          <w:rFonts w:ascii="Times New Roman" w:hAnsi="Times New Roman" w:cs="Times New Roman"/>
          <w:sz w:val="24"/>
          <w:szCs w:val="24"/>
        </w:rPr>
        <w:t xml:space="preserve"> </w:t>
      </w:r>
      <w:r w:rsidRPr="00FE16A5">
        <w:rPr>
          <w:rFonts w:ascii="Times New Roman" w:hAnsi="Times New Roman" w:cs="Times New Roman"/>
          <w:sz w:val="24"/>
          <w:szCs w:val="24"/>
        </w:rPr>
        <w:t>It is of the utmost importance to identify and analyze the potential risks that are linked with the Google Headquarters project in order to proactively reduce the implications of such risks. According to</w:t>
      </w:r>
      <w:r w:rsidR="00B90C49">
        <w:rPr>
          <w:rFonts w:ascii="Times New Roman" w:hAnsi="Times New Roman" w:cs="Times New Roman"/>
          <w:sz w:val="24"/>
          <w:szCs w:val="24"/>
        </w:rPr>
        <w:t xml:space="preserve"> (</w:t>
      </w:r>
      <w:r w:rsidRPr="00FE16A5">
        <w:rPr>
          <w:rFonts w:ascii="Times New Roman" w:hAnsi="Times New Roman" w:cs="Times New Roman"/>
          <w:sz w:val="24"/>
          <w:szCs w:val="24"/>
        </w:rPr>
        <w:t>), the project is subject to a number of intrinsic risks, some of which include, but are not limited to, changes in regulations, changes in environmental consequences that were not anticipated, disruptions in supply chain operations, and budget overruns.</w:t>
      </w:r>
      <w:r>
        <w:rPr>
          <w:rFonts w:ascii="Times New Roman" w:hAnsi="Times New Roman" w:cs="Times New Roman"/>
          <w:sz w:val="24"/>
          <w:szCs w:val="24"/>
        </w:rPr>
        <w:t xml:space="preserve"> </w:t>
      </w:r>
      <w:r w:rsidRPr="00FE16A5">
        <w:rPr>
          <w:rFonts w:ascii="Times New Roman" w:hAnsi="Times New Roman" w:cs="Times New Roman"/>
          <w:sz w:val="24"/>
          <w:szCs w:val="24"/>
        </w:rPr>
        <w:t>To reduce the impact of these dangers, Google most likely uses a risk management strategy that incorporates multiple facets. According to</w:t>
      </w:r>
      <w:r w:rsidR="00017054">
        <w:rPr>
          <w:rFonts w:ascii="Times New Roman" w:hAnsi="Times New Roman" w:cs="Times New Roman"/>
          <w:sz w:val="24"/>
          <w:szCs w:val="24"/>
        </w:rPr>
        <w:t xml:space="preserve"> </w:t>
      </w:r>
      <w:r w:rsidR="008515B3">
        <w:rPr>
          <w:rFonts w:ascii="Times New Roman" w:hAnsi="Times New Roman" w:cs="Times New Roman"/>
          <w:sz w:val="24"/>
          <w:szCs w:val="24"/>
        </w:rPr>
        <w:t xml:space="preserve">Besner and Hobbs </w:t>
      </w:r>
      <w:r w:rsidR="00017054">
        <w:rPr>
          <w:rFonts w:ascii="Times New Roman" w:hAnsi="Times New Roman" w:cs="Times New Roman"/>
          <w:sz w:val="24"/>
          <w:szCs w:val="24"/>
        </w:rPr>
        <w:t>(</w:t>
      </w:r>
      <w:r w:rsidR="008515B3">
        <w:rPr>
          <w:rFonts w:ascii="Times New Roman" w:hAnsi="Times New Roman" w:cs="Times New Roman"/>
          <w:sz w:val="24"/>
          <w:szCs w:val="24"/>
        </w:rPr>
        <w:t>2012</w:t>
      </w:r>
      <w:r w:rsidRPr="00FE16A5">
        <w:rPr>
          <w:rFonts w:ascii="Times New Roman" w:hAnsi="Times New Roman" w:cs="Times New Roman"/>
          <w:sz w:val="24"/>
          <w:szCs w:val="24"/>
        </w:rPr>
        <w:t>), it is essential to conduct continuous risk identification and analysis in order to predict and respond to future risks. According to</w:t>
      </w:r>
      <w:r w:rsidR="00017054">
        <w:rPr>
          <w:rFonts w:ascii="Times New Roman" w:hAnsi="Times New Roman" w:cs="Times New Roman"/>
          <w:sz w:val="24"/>
          <w:szCs w:val="24"/>
        </w:rPr>
        <w:t xml:space="preserve"> </w:t>
      </w:r>
      <w:r w:rsidR="00A61726" w:rsidRPr="00665957">
        <w:rPr>
          <w:rFonts w:ascii="Times New Roman" w:hAnsi="Times New Roman" w:cs="Times New Roman"/>
          <w:sz w:val="24"/>
          <w:szCs w:val="24"/>
        </w:rPr>
        <w:t xml:space="preserve">Willumsen et al. </w:t>
      </w:r>
      <w:r w:rsidR="00017054">
        <w:rPr>
          <w:rFonts w:ascii="Times New Roman" w:hAnsi="Times New Roman" w:cs="Times New Roman"/>
          <w:sz w:val="24"/>
          <w:szCs w:val="24"/>
        </w:rPr>
        <w:t>(</w:t>
      </w:r>
      <w:r w:rsidR="00A61726">
        <w:rPr>
          <w:rFonts w:ascii="Times New Roman" w:hAnsi="Times New Roman" w:cs="Times New Roman"/>
          <w:sz w:val="24"/>
          <w:szCs w:val="24"/>
        </w:rPr>
        <w:t>2019</w:t>
      </w:r>
      <w:r w:rsidRPr="00FE16A5">
        <w:rPr>
          <w:rFonts w:ascii="Times New Roman" w:hAnsi="Times New Roman" w:cs="Times New Roman"/>
          <w:sz w:val="24"/>
          <w:szCs w:val="24"/>
        </w:rPr>
        <w:t>), strategies consist of contingency planning, contract negotiations, and the construction of fallback mechanisms. These strategies are aligned with best practices in risk management.</w:t>
      </w:r>
      <w:r>
        <w:rPr>
          <w:rFonts w:ascii="Times New Roman" w:hAnsi="Times New Roman" w:cs="Times New Roman"/>
          <w:sz w:val="24"/>
          <w:szCs w:val="24"/>
        </w:rPr>
        <w:t xml:space="preserve"> </w:t>
      </w:r>
      <w:r w:rsidRPr="00FE16A5">
        <w:rPr>
          <w:rFonts w:ascii="Times New Roman" w:hAnsi="Times New Roman" w:cs="Times New Roman"/>
          <w:sz w:val="24"/>
          <w:szCs w:val="24"/>
        </w:rPr>
        <w:t xml:space="preserve">Furthermore, the adaptability and agility of risk mitigation techniques in responding to changing conditions is a critical factor in determining the effectiveness of these strategies. The strategy that </w:t>
      </w:r>
      <w:r w:rsidR="00BE0AC5" w:rsidRPr="00FE16A5">
        <w:rPr>
          <w:rFonts w:ascii="Times New Roman" w:hAnsi="Times New Roman" w:cs="Times New Roman"/>
          <w:sz w:val="24"/>
          <w:szCs w:val="24"/>
        </w:rPr>
        <w:t>Google</w:t>
      </w:r>
      <w:r w:rsidRPr="00FE16A5">
        <w:rPr>
          <w:rFonts w:ascii="Times New Roman" w:hAnsi="Times New Roman" w:cs="Times New Roman"/>
          <w:sz w:val="24"/>
          <w:szCs w:val="24"/>
        </w:rPr>
        <w:t xml:space="preserve"> takes may involve conducting periodic reassessments of risk factors. This is done to guarantee that risk mitigation strategies continue to be applicable and efficient over the entirety of the project lifespan (Kerzner, 201</w:t>
      </w:r>
      <w:r w:rsidR="00017054">
        <w:rPr>
          <w:rFonts w:ascii="Times New Roman" w:hAnsi="Times New Roman" w:cs="Times New Roman"/>
          <w:sz w:val="24"/>
          <w:szCs w:val="24"/>
        </w:rPr>
        <w:t>7</w:t>
      </w:r>
      <w:r w:rsidRPr="00FE16A5">
        <w:rPr>
          <w:rFonts w:ascii="Times New Roman" w:hAnsi="Times New Roman" w:cs="Times New Roman"/>
          <w:sz w:val="24"/>
          <w:szCs w:val="24"/>
        </w:rPr>
        <w:t>).</w:t>
      </w:r>
      <w:r>
        <w:rPr>
          <w:rFonts w:ascii="Times New Roman" w:hAnsi="Times New Roman" w:cs="Times New Roman"/>
          <w:sz w:val="24"/>
          <w:szCs w:val="24"/>
        </w:rPr>
        <w:t xml:space="preserve"> </w:t>
      </w:r>
      <w:r w:rsidRPr="00FE16A5">
        <w:rPr>
          <w:rFonts w:ascii="Times New Roman" w:hAnsi="Times New Roman" w:cs="Times New Roman"/>
          <w:sz w:val="24"/>
          <w:szCs w:val="24"/>
        </w:rPr>
        <w:t>Google's goal is to reduce the impact of potential threats by adopting a proactive posture toward risk management. This will ensure that the project is resilient and that it is successfully completed while following to set quality standards and schedules.</w:t>
      </w:r>
    </w:p>
    <w:p w14:paraId="5632728F" w14:textId="77777777" w:rsidR="00571D20" w:rsidRPr="00571D20" w:rsidRDefault="00571D20" w:rsidP="00571D20">
      <w:pPr>
        <w:spacing w:line="360" w:lineRule="auto"/>
        <w:jc w:val="both"/>
        <w:rPr>
          <w:rFonts w:ascii="Times New Roman" w:hAnsi="Times New Roman" w:cs="Times New Roman"/>
          <w:sz w:val="24"/>
          <w:szCs w:val="24"/>
        </w:rPr>
      </w:pPr>
      <w:r w:rsidRPr="00571D20">
        <w:rPr>
          <w:rFonts w:ascii="Times New Roman" w:hAnsi="Times New Roman" w:cs="Times New Roman"/>
          <w:sz w:val="24"/>
          <w:szCs w:val="24"/>
        </w:rPr>
        <w:t xml:space="preserve">Technology, the rise of businesses, and the advancement of society and the economy all coexist in a way that is harmonious, as demonstrated by the Google Headquarters project at King's Cross, London. The complexity of the project and the strategic consequences it has can be uncovered by a comprehensive analysis of its essential components, which include time, money, quality, stakeholders, and risk factors. By setting aside one billion pounds for the project, Google has shown its dedication to the realization of its vision of a cutting-edge </w:t>
      </w:r>
      <w:r w:rsidRPr="00571D20">
        <w:rPr>
          <w:rFonts w:ascii="Times New Roman" w:hAnsi="Times New Roman" w:cs="Times New Roman"/>
          <w:sz w:val="24"/>
          <w:szCs w:val="24"/>
        </w:rPr>
        <w:lastRenderedPageBreak/>
        <w:t>workplace. The observance of a clearly outlined schedule and the maintenance of high quality standards are both indicators of a strong goal that is on the verge of being accomplished. Presented here is a thorough project management approach that incorporates methods for risk reduction and stakeholder interaction that are in line with the most successful approaches that are currently being utilized in the industry. The provision of adaptable project management approaches, the inclusion of stakeholders, and the consistent assessment of risks are all important in order to maintain success. The project of Google Headquarters acts as a reflection of the expansion of the company, while also playing a vital part in the advancement of the regional economy of King's Cross. This is accomplished through the introduction of ideas that are innovative and the strengthening of the knowledge-based economy.</w:t>
      </w:r>
    </w:p>
    <w:p w14:paraId="3A6E45DF" w14:textId="77777777" w:rsidR="000562C3" w:rsidRDefault="000562C3" w:rsidP="00F94266">
      <w:pPr>
        <w:spacing w:line="360" w:lineRule="auto"/>
        <w:jc w:val="both"/>
        <w:rPr>
          <w:rFonts w:ascii="Times New Roman" w:hAnsi="Times New Roman" w:cs="Times New Roman"/>
          <w:sz w:val="24"/>
          <w:szCs w:val="24"/>
        </w:rPr>
        <w:sectPr w:rsidR="000562C3" w:rsidSect="003967C5">
          <w:pgSz w:w="11906" w:h="16838" w:code="9"/>
          <w:pgMar w:top="1440" w:right="1440" w:bottom="1440" w:left="1440" w:header="720" w:footer="720" w:gutter="0"/>
          <w:pgNumType w:start="1"/>
          <w:cols w:space="720"/>
          <w:docGrid w:linePitch="360"/>
        </w:sectPr>
      </w:pPr>
    </w:p>
    <w:p w14:paraId="0935F03A" w14:textId="00DEAC5C" w:rsidR="000562C3" w:rsidRDefault="000562C3" w:rsidP="00F94266">
      <w:pPr>
        <w:spacing w:line="360" w:lineRule="auto"/>
        <w:jc w:val="both"/>
        <w:rPr>
          <w:rFonts w:ascii="Times New Roman" w:hAnsi="Times New Roman" w:cs="Times New Roman"/>
          <w:b/>
          <w:bCs/>
          <w:sz w:val="28"/>
          <w:szCs w:val="28"/>
        </w:rPr>
      </w:pPr>
      <w:r w:rsidRPr="000562C3">
        <w:rPr>
          <w:rFonts w:ascii="Times New Roman" w:hAnsi="Times New Roman" w:cs="Times New Roman"/>
          <w:b/>
          <w:bCs/>
          <w:sz w:val="28"/>
          <w:szCs w:val="28"/>
        </w:rPr>
        <w:lastRenderedPageBreak/>
        <w:t>References</w:t>
      </w:r>
    </w:p>
    <w:p w14:paraId="43B22A88"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Akintoye, A. and Fitzgerald, E. (2000) A survey of current cost estimating practices in the UK. </w:t>
      </w:r>
      <w:r w:rsidRPr="00763B3F">
        <w:rPr>
          <w:rFonts w:ascii="Times New Roman" w:hAnsi="Times New Roman" w:cs="Times New Roman"/>
          <w:i/>
          <w:iCs/>
          <w:color w:val="222222"/>
          <w:sz w:val="24"/>
          <w:szCs w:val="24"/>
          <w:shd w:val="clear" w:color="auto" w:fill="FFFFFF"/>
        </w:rPr>
        <w:t>Construction Management &amp; Economics</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18</w:t>
      </w:r>
      <w:r w:rsidRPr="00763B3F">
        <w:rPr>
          <w:rFonts w:ascii="Times New Roman" w:hAnsi="Times New Roman" w:cs="Times New Roman"/>
          <w:color w:val="222222"/>
          <w:sz w:val="24"/>
          <w:szCs w:val="24"/>
          <w:shd w:val="clear" w:color="auto" w:fill="FFFFFF"/>
        </w:rPr>
        <w:t>(2), pp.161-172.</w:t>
      </w:r>
    </w:p>
    <w:p w14:paraId="2516699E"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Beringer, C., Jonas, D. and Kock, A. (2013) Behavior of internal stakeholders in project portfolio management and its impact on success. </w:t>
      </w:r>
      <w:r w:rsidRPr="00763B3F">
        <w:rPr>
          <w:rFonts w:ascii="Times New Roman" w:hAnsi="Times New Roman" w:cs="Times New Roman"/>
          <w:i/>
          <w:iCs/>
          <w:color w:val="222222"/>
          <w:sz w:val="24"/>
          <w:szCs w:val="24"/>
          <w:shd w:val="clear" w:color="auto" w:fill="FFFFFF"/>
        </w:rPr>
        <w:t>International journal of project management</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31</w:t>
      </w:r>
      <w:r w:rsidRPr="00763B3F">
        <w:rPr>
          <w:rFonts w:ascii="Times New Roman" w:hAnsi="Times New Roman" w:cs="Times New Roman"/>
          <w:color w:val="222222"/>
          <w:sz w:val="24"/>
          <w:szCs w:val="24"/>
          <w:shd w:val="clear" w:color="auto" w:fill="FFFFFF"/>
        </w:rPr>
        <w:t>(6), pp.830-846.</w:t>
      </w:r>
    </w:p>
    <w:p w14:paraId="67DE8D71"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Besner, C. and Hobbs, B. (2012) The paradox of risk management; a project management practice perspective. </w:t>
      </w:r>
      <w:r w:rsidRPr="00763B3F">
        <w:rPr>
          <w:rFonts w:ascii="Times New Roman" w:hAnsi="Times New Roman" w:cs="Times New Roman"/>
          <w:i/>
          <w:iCs/>
          <w:color w:val="222222"/>
          <w:sz w:val="24"/>
          <w:szCs w:val="24"/>
          <w:shd w:val="clear" w:color="auto" w:fill="FFFFFF"/>
        </w:rPr>
        <w:t>International journal of managing projects in business</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5</w:t>
      </w:r>
      <w:r w:rsidRPr="00763B3F">
        <w:rPr>
          <w:rFonts w:ascii="Times New Roman" w:hAnsi="Times New Roman" w:cs="Times New Roman"/>
          <w:color w:val="222222"/>
          <w:sz w:val="24"/>
          <w:szCs w:val="24"/>
          <w:shd w:val="clear" w:color="auto" w:fill="FFFFFF"/>
        </w:rPr>
        <w:t>(2), pp.230-247.</w:t>
      </w:r>
    </w:p>
    <w:p w14:paraId="5FE506FC"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Chan, A.P., Tetteh, M.O. and Nani, G. (2022) Drivers for international construction joint ventures adoption: A systematic literature review. </w:t>
      </w:r>
      <w:r w:rsidRPr="00763B3F">
        <w:rPr>
          <w:rFonts w:ascii="Times New Roman" w:hAnsi="Times New Roman" w:cs="Times New Roman"/>
          <w:i/>
          <w:iCs/>
          <w:color w:val="222222"/>
          <w:sz w:val="24"/>
          <w:szCs w:val="24"/>
          <w:shd w:val="clear" w:color="auto" w:fill="FFFFFF"/>
        </w:rPr>
        <w:t>International Journal of Construction Management</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22</w:t>
      </w:r>
      <w:r w:rsidRPr="00763B3F">
        <w:rPr>
          <w:rFonts w:ascii="Times New Roman" w:hAnsi="Times New Roman" w:cs="Times New Roman"/>
          <w:color w:val="222222"/>
          <w:sz w:val="24"/>
          <w:szCs w:val="24"/>
          <w:shd w:val="clear" w:color="auto" w:fill="FFFFFF"/>
        </w:rPr>
        <w:t>(8), pp.1571-1583.</w:t>
      </w:r>
    </w:p>
    <w:p w14:paraId="7049D0B4"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Kaplan, R.S. and Norton, D.P. (2004) </w:t>
      </w:r>
      <w:r w:rsidRPr="00763B3F">
        <w:rPr>
          <w:rFonts w:ascii="Times New Roman" w:hAnsi="Times New Roman" w:cs="Times New Roman"/>
          <w:i/>
          <w:iCs/>
          <w:color w:val="222222"/>
          <w:sz w:val="24"/>
          <w:szCs w:val="24"/>
          <w:shd w:val="clear" w:color="auto" w:fill="FFFFFF"/>
        </w:rPr>
        <w:t>Strategy maps: Converting intangible assets into tangible outcomes</w:t>
      </w:r>
      <w:r w:rsidRPr="00763B3F">
        <w:rPr>
          <w:rFonts w:ascii="Times New Roman" w:hAnsi="Times New Roman" w:cs="Times New Roman"/>
          <w:color w:val="222222"/>
          <w:sz w:val="24"/>
          <w:szCs w:val="24"/>
          <w:shd w:val="clear" w:color="auto" w:fill="FFFFFF"/>
        </w:rPr>
        <w:t>. Harvard Business Press.</w:t>
      </w:r>
    </w:p>
    <w:p w14:paraId="5AD87D74"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Kavadias, S. and Chao, R.O. (2007) Resource allocation and new product development portfolio management. </w:t>
      </w:r>
      <w:r w:rsidRPr="00763B3F">
        <w:rPr>
          <w:rFonts w:ascii="Times New Roman" w:hAnsi="Times New Roman" w:cs="Times New Roman"/>
          <w:i/>
          <w:iCs/>
          <w:color w:val="222222"/>
          <w:sz w:val="24"/>
          <w:szCs w:val="24"/>
          <w:shd w:val="clear" w:color="auto" w:fill="FFFFFF"/>
        </w:rPr>
        <w:t>Handbook of new product development management</w:t>
      </w:r>
      <w:r w:rsidRPr="00763B3F">
        <w:rPr>
          <w:rFonts w:ascii="Times New Roman" w:hAnsi="Times New Roman" w:cs="Times New Roman"/>
          <w:color w:val="222222"/>
          <w:sz w:val="24"/>
          <w:szCs w:val="24"/>
          <w:shd w:val="clear" w:color="auto" w:fill="FFFFFF"/>
        </w:rPr>
        <w:t>, pp.135-163.</w:t>
      </w:r>
    </w:p>
    <w:p w14:paraId="3E51B2EB"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Kerzner, H. (2017) </w:t>
      </w:r>
      <w:r w:rsidRPr="00763B3F">
        <w:rPr>
          <w:rFonts w:ascii="Times New Roman" w:hAnsi="Times New Roman" w:cs="Times New Roman"/>
          <w:i/>
          <w:iCs/>
          <w:color w:val="222222"/>
          <w:sz w:val="24"/>
          <w:szCs w:val="24"/>
          <w:shd w:val="clear" w:color="auto" w:fill="FFFFFF"/>
        </w:rPr>
        <w:t>Project management: a systems approach to planning, scheduling, and controlling</w:t>
      </w:r>
      <w:r w:rsidRPr="00763B3F">
        <w:rPr>
          <w:rFonts w:ascii="Times New Roman" w:hAnsi="Times New Roman" w:cs="Times New Roman"/>
          <w:color w:val="222222"/>
          <w:sz w:val="24"/>
          <w:szCs w:val="24"/>
          <w:shd w:val="clear" w:color="auto" w:fill="FFFFFF"/>
        </w:rPr>
        <w:t>. John Wiley &amp; Sons.</w:t>
      </w:r>
    </w:p>
    <w:p w14:paraId="5F49AACD"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Koskela, L. (2000) </w:t>
      </w:r>
      <w:r w:rsidRPr="00763B3F">
        <w:rPr>
          <w:rFonts w:ascii="Times New Roman" w:hAnsi="Times New Roman" w:cs="Times New Roman"/>
          <w:i/>
          <w:iCs/>
          <w:color w:val="222222"/>
          <w:sz w:val="24"/>
          <w:szCs w:val="24"/>
          <w:shd w:val="clear" w:color="auto" w:fill="FFFFFF"/>
        </w:rPr>
        <w:t>An exploration towards a production theory and its application to construction</w:t>
      </w:r>
      <w:r w:rsidRPr="00763B3F">
        <w:rPr>
          <w:rFonts w:ascii="Times New Roman" w:hAnsi="Times New Roman" w:cs="Times New Roman"/>
          <w:color w:val="222222"/>
          <w:sz w:val="24"/>
          <w:szCs w:val="24"/>
          <w:shd w:val="clear" w:color="auto" w:fill="FFFFFF"/>
        </w:rPr>
        <w:t>. VTT Technical Research Centre of Finland.</w:t>
      </w:r>
    </w:p>
    <w:p w14:paraId="282A549D"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Larson, E.W. and Gray, C.F. (2011) </w:t>
      </w:r>
      <w:r w:rsidRPr="00763B3F">
        <w:rPr>
          <w:rFonts w:ascii="Times New Roman" w:hAnsi="Times New Roman" w:cs="Times New Roman"/>
          <w:i/>
          <w:iCs/>
          <w:color w:val="222222"/>
          <w:sz w:val="24"/>
          <w:szCs w:val="24"/>
          <w:shd w:val="clear" w:color="auto" w:fill="FFFFFF"/>
        </w:rPr>
        <w:t>Project management the managerial process</w:t>
      </w:r>
      <w:r w:rsidRPr="00763B3F">
        <w:rPr>
          <w:rFonts w:ascii="Times New Roman" w:hAnsi="Times New Roman" w:cs="Times New Roman"/>
          <w:color w:val="222222"/>
          <w:sz w:val="24"/>
          <w:szCs w:val="24"/>
          <w:shd w:val="clear" w:color="auto" w:fill="FFFFFF"/>
        </w:rPr>
        <w:t> (No. 5). Mc Graw Hill.</w:t>
      </w:r>
    </w:p>
    <w:p w14:paraId="7AFCD237"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Luo, Y. and Tung, R.L. (2007) International expansion of emerging market enterprises: A springboard perspective. </w:t>
      </w:r>
      <w:r w:rsidRPr="00763B3F">
        <w:rPr>
          <w:rFonts w:ascii="Times New Roman" w:hAnsi="Times New Roman" w:cs="Times New Roman"/>
          <w:i/>
          <w:iCs/>
          <w:color w:val="222222"/>
          <w:sz w:val="24"/>
          <w:szCs w:val="24"/>
          <w:shd w:val="clear" w:color="auto" w:fill="FFFFFF"/>
        </w:rPr>
        <w:t>Journal of international business studies</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38</w:t>
      </w:r>
      <w:r w:rsidRPr="00763B3F">
        <w:rPr>
          <w:rFonts w:ascii="Times New Roman" w:hAnsi="Times New Roman" w:cs="Times New Roman"/>
          <w:color w:val="222222"/>
          <w:sz w:val="24"/>
          <w:szCs w:val="24"/>
          <w:shd w:val="clear" w:color="auto" w:fill="FFFFFF"/>
        </w:rPr>
        <w:t>, pp.481-498.</w:t>
      </w:r>
    </w:p>
    <w:p w14:paraId="50197740"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t>Stimson, R.J., Stough, R.R. and Roberts, B.H. (2006) </w:t>
      </w:r>
      <w:r w:rsidRPr="00763B3F">
        <w:rPr>
          <w:rFonts w:ascii="Times New Roman" w:hAnsi="Times New Roman" w:cs="Times New Roman"/>
          <w:i/>
          <w:iCs/>
          <w:color w:val="222222"/>
          <w:sz w:val="24"/>
          <w:szCs w:val="24"/>
          <w:shd w:val="clear" w:color="auto" w:fill="FFFFFF"/>
        </w:rPr>
        <w:t>Regional economic development: analysis and planning strategy</w:t>
      </w:r>
      <w:r w:rsidRPr="00763B3F">
        <w:rPr>
          <w:rFonts w:ascii="Times New Roman" w:hAnsi="Times New Roman" w:cs="Times New Roman"/>
          <w:color w:val="222222"/>
          <w:sz w:val="24"/>
          <w:szCs w:val="24"/>
          <w:shd w:val="clear" w:color="auto" w:fill="FFFFFF"/>
        </w:rPr>
        <w:t>. Springer Science &amp; Business Media.</w:t>
      </w:r>
    </w:p>
    <w:p w14:paraId="7C00A20C" w14:textId="77777777" w:rsidR="00763B3F" w:rsidRPr="00763B3F" w:rsidRDefault="00763B3F" w:rsidP="00763B3F">
      <w:pPr>
        <w:spacing w:line="360" w:lineRule="auto"/>
        <w:jc w:val="both"/>
        <w:rPr>
          <w:rFonts w:ascii="Times New Roman" w:hAnsi="Times New Roman" w:cs="Times New Roman"/>
          <w:sz w:val="24"/>
          <w:szCs w:val="24"/>
        </w:rPr>
      </w:pPr>
      <w:bookmarkStart w:id="0" w:name="_Hlk152449312"/>
      <w:r w:rsidRPr="00763B3F">
        <w:rPr>
          <w:rFonts w:ascii="Times New Roman" w:hAnsi="Times New Roman" w:cs="Times New Roman"/>
          <w:color w:val="222222"/>
          <w:sz w:val="24"/>
          <w:szCs w:val="24"/>
          <w:shd w:val="clear" w:color="auto" w:fill="FFFFFF"/>
        </w:rPr>
        <w:t xml:space="preserve">Willumsen, </w:t>
      </w:r>
      <w:bookmarkEnd w:id="0"/>
      <w:r w:rsidRPr="00763B3F">
        <w:rPr>
          <w:rFonts w:ascii="Times New Roman" w:hAnsi="Times New Roman" w:cs="Times New Roman"/>
          <w:color w:val="222222"/>
          <w:sz w:val="24"/>
          <w:szCs w:val="24"/>
          <w:shd w:val="clear" w:color="auto" w:fill="FFFFFF"/>
        </w:rPr>
        <w:t>P., Oehmen, J., Stingl, V. and Geraldi, J. (2019) Value creation through project risk management. </w:t>
      </w:r>
      <w:r w:rsidRPr="00763B3F">
        <w:rPr>
          <w:rFonts w:ascii="Times New Roman" w:hAnsi="Times New Roman" w:cs="Times New Roman"/>
          <w:i/>
          <w:iCs/>
          <w:color w:val="222222"/>
          <w:sz w:val="24"/>
          <w:szCs w:val="24"/>
          <w:shd w:val="clear" w:color="auto" w:fill="FFFFFF"/>
        </w:rPr>
        <w:t>International Journal of Project Management</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37</w:t>
      </w:r>
      <w:r w:rsidRPr="00763B3F">
        <w:rPr>
          <w:rFonts w:ascii="Times New Roman" w:hAnsi="Times New Roman" w:cs="Times New Roman"/>
          <w:color w:val="222222"/>
          <w:sz w:val="24"/>
          <w:szCs w:val="24"/>
          <w:shd w:val="clear" w:color="auto" w:fill="FFFFFF"/>
        </w:rPr>
        <w:t>(5), pp.731-749.</w:t>
      </w:r>
    </w:p>
    <w:p w14:paraId="3F55915B" w14:textId="77777777" w:rsidR="00763B3F" w:rsidRPr="00763B3F" w:rsidRDefault="00763B3F" w:rsidP="00763B3F">
      <w:pPr>
        <w:spacing w:line="360" w:lineRule="auto"/>
        <w:jc w:val="both"/>
        <w:rPr>
          <w:rFonts w:ascii="Times New Roman" w:hAnsi="Times New Roman" w:cs="Times New Roman"/>
          <w:color w:val="222222"/>
          <w:sz w:val="24"/>
          <w:szCs w:val="24"/>
          <w:shd w:val="clear" w:color="auto" w:fill="FFFFFF"/>
        </w:rPr>
      </w:pPr>
      <w:r w:rsidRPr="00763B3F">
        <w:rPr>
          <w:rFonts w:ascii="Times New Roman" w:hAnsi="Times New Roman" w:cs="Times New Roman"/>
          <w:color w:val="222222"/>
          <w:sz w:val="24"/>
          <w:szCs w:val="24"/>
          <w:shd w:val="clear" w:color="auto" w:fill="FFFFFF"/>
        </w:rPr>
        <w:lastRenderedPageBreak/>
        <w:t>Wudhikarn, R. (2016) An efficient resource allocation in strategic management using a novel hybrid method. </w:t>
      </w:r>
      <w:r w:rsidRPr="00763B3F">
        <w:rPr>
          <w:rFonts w:ascii="Times New Roman" w:hAnsi="Times New Roman" w:cs="Times New Roman"/>
          <w:i/>
          <w:iCs/>
          <w:color w:val="222222"/>
          <w:sz w:val="24"/>
          <w:szCs w:val="24"/>
          <w:shd w:val="clear" w:color="auto" w:fill="FFFFFF"/>
        </w:rPr>
        <w:t>Management Decision</w:t>
      </w:r>
      <w:r w:rsidRPr="00763B3F">
        <w:rPr>
          <w:rFonts w:ascii="Times New Roman" w:hAnsi="Times New Roman" w:cs="Times New Roman"/>
          <w:color w:val="222222"/>
          <w:sz w:val="24"/>
          <w:szCs w:val="24"/>
          <w:shd w:val="clear" w:color="auto" w:fill="FFFFFF"/>
        </w:rPr>
        <w:t>, </w:t>
      </w:r>
      <w:r w:rsidRPr="00763B3F">
        <w:rPr>
          <w:rFonts w:ascii="Times New Roman" w:hAnsi="Times New Roman" w:cs="Times New Roman"/>
          <w:i/>
          <w:iCs/>
          <w:color w:val="222222"/>
          <w:sz w:val="24"/>
          <w:szCs w:val="24"/>
          <w:shd w:val="clear" w:color="auto" w:fill="FFFFFF"/>
        </w:rPr>
        <w:t>54</w:t>
      </w:r>
      <w:r w:rsidRPr="00763B3F">
        <w:rPr>
          <w:rFonts w:ascii="Times New Roman" w:hAnsi="Times New Roman" w:cs="Times New Roman"/>
          <w:color w:val="222222"/>
          <w:sz w:val="24"/>
          <w:szCs w:val="24"/>
          <w:shd w:val="clear" w:color="auto" w:fill="FFFFFF"/>
        </w:rPr>
        <w:t>(7), pp.1702-1731.</w:t>
      </w:r>
    </w:p>
    <w:p w14:paraId="7986E989" w14:textId="77777777" w:rsidR="000562C3" w:rsidRPr="000562C3" w:rsidRDefault="000562C3" w:rsidP="00F94266">
      <w:pPr>
        <w:spacing w:line="360" w:lineRule="auto"/>
        <w:jc w:val="both"/>
        <w:rPr>
          <w:rFonts w:ascii="Times New Roman" w:hAnsi="Times New Roman" w:cs="Times New Roman"/>
          <w:sz w:val="24"/>
          <w:szCs w:val="24"/>
        </w:rPr>
      </w:pPr>
    </w:p>
    <w:sectPr w:rsidR="000562C3" w:rsidRPr="000562C3" w:rsidSect="00F3030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56F45" w14:textId="77777777" w:rsidR="001268CF" w:rsidRDefault="001268CF" w:rsidP="003967C5">
      <w:pPr>
        <w:spacing w:after="0" w:line="240" w:lineRule="auto"/>
      </w:pPr>
      <w:r>
        <w:separator/>
      </w:r>
    </w:p>
  </w:endnote>
  <w:endnote w:type="continuationSeparator" w:id="0">
    <w:p w14:paraId="35E8DC37" w14:textId="77777777" w:rsidR="001268CF" w:rsidRDefault="001268CF" w:rsidP="00396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496079"/>
      <w:docPartObj>
        <w:docPartGallery w:val="Page Numbers (Bottom of Page)"/>
        <w:docPartUnique/>
      </w:docPartObj>
    </w:sdtPr>
    <w:sdtEndPr>
      <w:rPr>
        <w:noProof/>
      </w:rPr>
    </w:sdtEndPr>
    <w:sdtContent>
      <w:p w14:paraId="54D6B862" w14:textId="75D472DB" w:rsidR="003967C5" w:rsidRDefault="003967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C0EA05" w14:textId="77777777" w:rsidR="003967C5" w:rsidRDefault="00396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AF866" w14:textId="77777777" w:rsidR="001268CF" w:rsidRDefault="001268CF" w:rsidP="003967C5">
      <w:pPr>
        <w:spacing w:after="0" w:line="240" w:lineRule="auto"/>
      </w:pPr>
      <w:r>
        <w:separator/>
      </w:r>
    </w:p>
  </w:footnote>
  <w:footnote w:type="continuationSeparator" w:id="0">
    <w:p w14:paraId="3A669A5E" w14:textId="77777777" w:rsidR="001268CF" w:rsidRDefault="001268CF" w:rsidP="003967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08"/>
    <w:rsid w:val="0001560C"/>
    <w:rsid w:val="00017054"/>
    <w:rsid w:val="000562C3"/>
    <w:rsid w:val="0005649A"/>
    <w:rsid w:val="001268CF"/>
    <w:rsid w:val="0017299C"/>
    <w:rsid w:val="00192446"/>
    <w:rsid w:val="002267A4"/>
    <w:rsid w:val="002B5817"/>
    <w:rsid w:val="003967C5"/>
    <w:rsid w:val="003F237F"/>
    <w:rsid w:val="0041087A"/>
    <w:rsid w:val="004C1177"/>
    <w:rsid w:val="004C52EF"/>
    <w:rsid w:val="004D089B"/>
    <w:rsid w:val="00571D20"/>
    <w:rsid w:val="00611F73"/>
    <w:rsid w:val="00665957"/>
    <w:rsid w:val="006C0018"/>
    <w:rsid w:val="006D39A0"/>
    <w:rsid w:val="00700F54"/>
    <w:rsid w:val="00763B3F"/>
    <w:rsid w:val="007B44F8"/>
    <w:rsid w:val="00803DD6"/>
    <w:rsid w:val="008515B3"/>
    <w:rsid w:val="008570A2"/>
    <w:rsid w:val="00860370"/>
    <w:rsid w:val="00926917"/>
    <w:rsid w:val="009B65B8"/>
    <w:rsid w:val="00A4162B"/>
    <w:rsid w:val="00A61726"/>
    <w:rsid w:val="00B327ED"/>
    <w:rsid w:val="00B7502E"/>
    <w:rsid w:val="00B90C49"/>
    <w:rsid w:val="00B979D6"/>
    <w:rsid w:val="00BA10E4"/>
    <w:rsid w:val="00BB2B4F"/>
    <w:rsid w:val="00BB4DCA"/>
    <w:rsid w:val="00BD2CFF"/>
    <w:rsid w:val="00BE0AC5"/>
    <w:rsid w:val="00C86132"/>
    <w:rsid w:val="00CB6330"/>
    <w:rsid w:val="00CF0B4B"/>
    <w:rsid w:val="00CF19AB"/>
    <w:rsid w:val="00D53288"/>
    <w:rsid w:val="00DA257C"/>
    <w:rsid w:val="00DA34E1"/>
    <w:rsid w:val="00EB338E"/>
    <w:rsid w:val="00EE6907"/>
    <w:rsid w:val="00F12C32"/>
    <w:rsid w:val="00F17DA2"/>
    <w:rsid w:val="00F30308"/>
    <w:rsid w:val="00F94266"/>
    <w:rsid w:val="00FD589E"/>
    <w:rsid w:val="00FE16A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3AF4"/>
  <w15:chartTrackingRefBased/>
  <w15:docId w15:val="{3990E344-6075-43A0-9E0A-174FD911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CF19AB"/>
    <w:rPr>
      <w:rFonts w:ascii="Arial-BoldMT" w:hAnsi="Arial-BoldMT" w:hint="default"/>
      <w:b/>
      <w:bCs/>
      <w:i w:val="0"/>
      <w:iCs w:val="0"/>
      <w:color w:val="000000"/>
      <w:sz w:val="22"/>
      <w:szCs w:val="22"/>
    </w:rPr>
  </w:style>
  <w:style w:type="paragraph" w:styleId="Header">
    <w:name w:val="header"/>
    <w:basedOn w:val="Normal"/>
    <w:link w:val="HeaderChar"/>
    <w:uiPriority w:val="99"/>
    <w:unhideWhenUsed/>
    <w:rsid w:val="003967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7C5"/>
  </w:style>
  <w:style w:type="paragraph" w:styleId="Footer">
    <w:name w:val="footer"/>
    <w:basedOn w:val="Normal"/>
    <w:link w:val="FooterChar"/>
    <w:uiPriority w:val="99"/>
    <w:unhideWhenUsed/>
    <w:rsid w:val="003967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393603">
      <w:bodyDiv w:val="1"/>
      <w:marLeft w:val="0"/>
      <w:marRight w:val="0"/>
      <w:marTop w:val="0"/>
      <w:marBottom w:val="0"/>
      <w:divBdr>
        <w:top w:val="none" w:sz="0" w:space="0" w:color="auto"/>
        <w:left w:val="none" w:sz="0" w:space="0" w:color="auto"/>
        <w:bottom w:val="none" w:sz="0" w:space="0" w:color="auto"/>
        <w:right w:val="none" w:sz="0" w:space="0" w:color="auto"/>
      </w:divBdr>
    </w:div>
    <w:div w:id="1227497106">
      <w:bodyDiv w:val="1"/>
      <w:marLeft w:val="0"/>
      <w:marRight w:val="0"/>
      <w:marTop w:val="0"/>
      <w:marBottom w:val="0"/>
      <w:divBdr>
        <w:top w:val="none" w:sz="0" w:space="0" w:color="auto"/>
        <w:left w:val="none" w:sz="0" w:space="0" w:color="auto"/>
        <w:bottom w:val="none" w:sz="0" w:space="0" w:color="auto"/>
        <w:right w:val="none" w:sz="0" w:space="0" w:color="auto"/>
      </w:divBdr>
    </w:div>
    <w:div w:id="13330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2625</Words>
  <Characters>15095</Characters>
  <Application>Microsoft Office Word</Application>
  <DocSecurity>0</DocSecurity>
  <Lines>213</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2023-12-02T16:47:00Z</dcterms:created>
  <dcterms:modified xsi:type="dcterms:W3CDTF">2023-12-03T12:14:00Z</dcterms:modified>
  <cp:category/>
</cp:coreProperties>
</file>