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bookmarkStart w:colFirst="0" w:colLast="0" w:name="_kupejyhmumz6" w:id="0"/>
      <w:bookmarkEnd w:id="0"/>
      <w:r w:rsidDel="00000000" w:rsidR="00000000" w:rsidRPr="00000000">
        <w:rPr>
          <w:rtl w:val="0"/>
        </w:rPr>
        <w:t xml:space="preserve">Final Draft Sacred Geography Essay 1</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Heading2"/>
        <w:rPr/>
      </w:pPr>
      <w:bookmarkStart w:colFirst="0" w:colLast="0" w:name="_h08f51j14b8t" w:id="1"/>
      <w:bookmarkEnd w:id="1"/>
      <w:r w:rsidDel="00000000" w:rsidR="00000000" w:rsidRPr="00000000">
        <w:rPr>
          <w:rtl w:val="0"/>
        </w:rPr>
        <w:t xml:space="preserve">Introduction </w:t>
      </w:r>
    </w:p>
    <w:p w:rsidR="00000000" w:rsidDel="00000000" w:rsidP="00000000" w:rsidRDefault="00000000" w:rsidRPr="00000000" w14:paraId="00000004">
      <w:pPr>
        <w:ind w:firstLine="720"/>
        <w:rPr/>
      </w:pPr>
      <w:r w:rsidDel="00000000" w:rsidR="00000000" w:rsidRPr="00000000">
        <w:rPr>
          <w:rtl w:val="0"/>
        </w:rPr>
        <w:t xml:space="preserve">This essay compares and contrasts two academic sources. The chosen papers are Mircea Eliade’s ‘Sacred and the Profane’, 1957, primarily focusing on chapter 1, with Emile Durkheim’s ‘The Elementary Forms of Religious Life’, 1912, primarily focusing on chapter 1. While Eliade work approaches sacred space through a phenomenological and metaphysical lens, arguing for its intrinsic and universal qualities, suited to scholars and students in religious studies, phenomenology, and comparative mythology, particularly those interested in the symbolic and archetypal dimensions of sacredness that transcend individual cultures and historical contexts. In contrast, Durkheim’s analysis is firmly rooted in a sociological framework, presenting sacred space as a construct of collective practices that reinforce social cohesion and reflect shared values, directed toward sociologists, anthropologists, and those exploring the functional role of religion in shaping communal identity. While their methodologies and intended audiences differ, both Eliade and Durkheim contribute significantly to the discourse on sacred space, offering complementary yet distinct perspectives that enrich the field of sacred geography. This essay goes beyond content analysis, aiming to dissect their writing styles, methodologies, philosophical underpinnings, and use of sources. Secondary sources will support the comparative analysis, broadening the discussion. Ultimately, this essay seeks to achieve a deeper understanding of how these seminal thinkers present their dynamic perspectives on sacred spaces, contributing to the evolving academic discourse on this complex and multifaceted concept.</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Heading2"/>
        <w:rPr/>
      </w:pPr>
      <w:bookmarkStart w:colFirst="0" w:colLast="0" w:name="_iol19cd9mupl" w:id="2"/>
      <w:bookmarkEnd w:id="2"/>
      <w:r w:rsidDel="00000000" w:rsidR="00000000" w:rsidRPr="00000000">
        <w:rPr>
          <w:rtl w:val="0"/>
        </w:rPr>
        <w:t xml:space="preserve">Contextualise</w:t>
      </w:r>
    </w:p>
    <w:p w:rsidR="00000000" w:rsidDel="00000000" w:rsidP="00000000" w:rsidRDefault="00000000" w:rsidRPr="00000000" w14:paraId="00000007">
      <w:pPr>
        <w:ind w:firstLine="720"/>
        <w:rPr/>
      </w:pPr>
      <w:r w:rsidDel="00000000" w:rsidR="00000000" w:rsidRPr="00000000">
        <w:rPr>
          <w:rtl w:val="0"/>
        </w:rPr>
        <w:t xml:space="preserve">To effectively assess these two papers, it is vital to situate and understand them in their respective temporal and academic contexts as well as the meaning of the word ‘sacred’. Anthony Thorley in the Sacred Sites report for Gaia notes, </w:t>
      </w:r>
      <w:r w:rsidDel="00000000" w:rsidR="00000000" w:rsidRPr="00000000">
        <w:rPr>
          <w:rtl w:val="0"/>
        </w:rPr>
        <w:t xml:space="preserve">"The English word ‘sacred’ derives from the Latin word sacer, often taken to mean ‘set apart to, or for, some religious purpose.’ However, it also carries a related meaning: ‘accursed, execrable, horrible, infamous.’ Today, the modern use of the word sacred seems to imply a more certain, positive, beneficent quality of the holy, but the older meanings hint at its unpredictability and complexity."</w:t>
      </w:r>
      <w:r w:rsidDel="00000000" w:rsidR="00000000" w:rsidRPr="00000000">
        <w:rPr>
          <w:vertAlign w:val="superscript"/>
        </w:rPr>
        <w:footnoteReference w:customMarkFollows="0" w:id="0"/>
      </w:r>
      <w:r w:rsidDel="00000000" w:rsidR="00000000" w:rsidRPr="00000000">
        <w:rPr>
          <w:rtl w:val="0"/>
        </w:rPr>
        <w:t xml:space="preserve">. Durkheim’s 1912 work on the ‘Elementary Forms of Religious Life’ discusses the social and collective origins of religious beliefs and practices, using totemism among Australian Aboriginal societies as a case study to demonstrate how sacredness functions to maintain social cohesion and reinforce collective identity. This work attracts readers of sociology, anthropology, and social sciences, particularly those interested in the structuralist and functionalist paradigms of the early 20th century. Durkheim was a pioneering sociologist and philosopher, holding academic posts including at the University of Paris, he developed his theories during the foundational phase of sociology as a scientific discipline</w:t>
      </w:r>
      <w:r w:rsidDel="00000000" w:rsidR="00000000" w:rsidRPr="00000000">
        <w:rPr>
          <w:vertAlign w:val="superscript"/>
        </w:rPr>
        <w:footnoteReference w:customMarkFollows="0" w:id="1"/>
      </w:r>
      <w:r w:rsidDel="00000000" w:rsidR="00000000" w:rsidRPr="00000000">
        <w:rPr>
          <w:rtl w:val="0"/>
        </w:rPr>
        <w:t xml:space="preserve">. Conversely, Eliade’s 1957 work on the ‘Sacred and the Profane’ reflects on the universal and metaphysical aspects of sacred space, emphasising its symbolic and archetypal dimensions as intrinsic to human spirituality, appealing to those who studied comparative religion, phenomenology, and the history of religions. Eliade was an historian of religion and professor at the University of Chicago, from which he significantly shaped the field of comparative religion, marking a time of increased interest in identifying universal archetypes and shared spiritual patterns in the post-war intellectual climate</w:t>
      </w:r>
      <w:r w:rsidDel="00000000" w:rsidR="00000000" w:rsidRPr="00000000">
        <w:rPr>
          <w:vertAlign w:val="superscript"/>
        </w:rPr>
        <w:footnoteReference w:customMarkFollows="0" w:id="2"/>
      </w:r>
      <w:r w:rsidDel="00000000" w:rsidR="00000000" w:rsidRPr="00000000">
        <w:rPr>
          <w:rtl w:val="0"/>
        </w:rPr>
        <w:t xml:space="preserve">. Published in 1957, Eliade’s work reflects a post-war intellectual focus on universal archetypes and shared spiritual patterns across cultures, aligning with contemporary trends in comparative religion and mythology, whereas Durkheim’s structured 1912 work reflects the early 20th-century focus on positivism, emphasising empirical validation over symbolic or experiential dimensions.</w:t>
      </w:r>
    </w:p>
    <w:p w:rsidR="00000000" w:rsidDel="00000000" w:rsidP="00000000" w:rsidRDefault="00000000" w:rsidRPr="00000000" w14:paraId="00000008">
      <w:pPr>
        <w:pStyle w:val="Heading2"/>
        <w:rPr/>
      </w:pPr>
      <w:bookmarkStart w:colFirst="0" w:colLast="0" w:name="_yfuu47i0omlf" w:id="3"/>
      <w:bookmarkEnd w:id="3"/>
      <w:r w:rsidDel="00000000" w:rsidR="00000000" w:rsidRPr="00000000">
        <w:rPr>
          <w:rtl w:val="0"/>
        </w:rPr>
        <w:t xml:space="preserve">Summarise </w:t>
      </w:r>
    </w:p>
    <w:p w:rsidR="00000000" w:rsidDel="00000000" w:rsidP="00000000" w:rsidRDefault="00000000" w:rsidRPr="00000000" w14:paraId="00000009">
      <w:pPr>
        <w:ind w:firstLine="720"/>
        <w:rPr/>
      </w:pPr>
      <w:r w:rsidDel="00000000" w:rsidR="00000000" w:rsidRPr="00000000">
        <w:rPr>
          <w:rtl w:val="0"/>
        </w:rPr>
        <w:t xml:space="preserve">Mircea Eliade’s ‘Sacred and the Profane’ explores the dichotomy between sacred and profane space, arguing that sacredness is an intrinsic and universal aspect of human experience. His central thesis is that sacred space manifests as a qualitatively distinct phenomenon, providing orientation and a connection to divine reality. Eliade emphasises that sacred space serves as a bridge between humanity and the cosmos, often symbolised by archetypes such as the ‘axis mundi’, similar to Cassirer’s perspective that </w:t>
      </w:r>
      <w:r w:rsidDel="00000000" w:rsidR="00000000" w:rsidRPr="00000000">
        <w:rPr>
          <w:rtl w:val="0"/>
        </w:rPr>
        <w:t xml:space="preserve">"Spatial orientation is not just practical but symbolic; it structures human understanding of the cosmos, dividing sacred and profane worlds"</w:t>
      </w:r>
      <w:r w:rsidDel="00000000" w:rsidR="00000000" w:rsidRPr="00000000">
        <w:rPr>
          <w:rtl w:val="0"/>
        </w:rPr>
        <w:t xml:space="preserve"> and Campion's notion that “</w:t>
      </w:r>
      <w:r w:rsidDel="00000000" w:rsidR="00000000" w:rsidRPr="00000000">
        <w:rPr>
          <w:rtl w:val="0"/>
        </w:rPr>
        <w:t xml:space="preserve">Equally important is the concept of relationship - that the cosmos is alive and that everything in it exists in a series of relationships with all other things.”</w:t>
      </w:r>
      <w:r w:rsidDel="00000000" w:rsidR="00000000" w:rsidRPr="00000000">
        <w:rPr>
          <w:vertAlign w:val="superscript"/>
        </w:rPr>
        <w:footnoteReference w:customMarkFollows="0" w:id="3"/>
      </w:r>
      <w:r w:rsidDel="00000000" w:rsidR="00000000" w:rsidRPr="00000000">
        <w:rPr>
          <w:vertAlign w:val="superscript"/>
        </w:rPr>
        <w:footnoteReference w:customMarkFollows="0" w:id="4"/>
      </w:r>
      <w:r w:rsidDel="00000000" w:rsidR="00000000" w:rsidRPr="00000000">
        <w:rPr>
          <w:rtl w:val="0"/>
        </w:rPr>
        <w:t xml:space="preserve">. Eliade’s concept of sacred space emphasises its role in connecting humanity to cosmic significance, described as ‘hierophanic’ and qualitatively distinct. However, his universalist framing often overlooks the specific cultural contexts that shape such spaces. In contrast, Durkheim’s ‘The Elementary Forms of Religious Life’ conceptualises sacred space as a social construct arising from collective practices and shared beliefs. Similarly Brady and Gubzberg note that, </w:t>
      </w:r>
      <w:r w:rsidDel="00000000" w:rsidR="00000000" w:rsidRPr="00000000">
        <w:rPr>
          <w:rtl w:val="0"/>
        </w:rPr>
        <w:t xml:space="preserve">"As an area becomes entwined with cultural layers, so its potential to influence human activity increases, and thus humanity increasingly seeks to maintain the place names and stories of the location."</w:t>
      </w:r>
      <w:r w:rsidDel="00000000" w:rsidR="00000000" w:rsidRPr="00000000">
        <w:rPr>
          <w:vertAlign w:val="superscript"/>
        </w:rPr>
        <w:footnoteReference w:customMarkFollows="0" w:id="5"/>
      </w:r>
      <w:r w:rsidDel="00000000" w:rsidR="00000000" w:rsidRPr="00000000">
        <w:rPr>
          <w:rtl w:val="0"/>
        </w:rPr>
        <w:t xml:space="preserve">. Durkheim’s primary argument is that sacredness emerges not from intrinsic qualities but from communal agreement, serving to reinforce social cohesion and collective identity. He uses totemic practices among Australian Aboriginal societies as a case study, arguing that sacred symbols and rituals function to embody and maintain societal values. Field explains how Durkheim states that,  religion is “...above all, a system of ideas by which men imagine the society of which they are members and the obscure yet intimate relations they have with it”</w:t>
      </w:r>
      <w:r w:rsidDel="00000000" w:rsidR="00000000" w:rsidRPr="00000000">
        <w:rPr>
          <w:vertAlign w:val="superscript"/>
        </w:rPr>
        <w:footnoteReference w:customMarkFollows="0" w:id="6"/>
      </w:r>
      <w:r w:rsidDel="00000000" w:rsidR="00000000" w:rsidRPr="00000000">
        <w:rPr>
          <w:rtl w:val="0"/>
        </w:rPr>
        <w:t xml:space="preserve">.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pStyle w:val="Heading2"/>
        <w:rPr/>
      </w:pPr>
      <w:bookmarkStart w:colFirst="0" w:colLast="0" w:name="_8m4nhbt7kcgs" w:id="4"/>
      <w:bookmarkEnd w:id="4"/>
      <w:r w:rsidDel="00000000" w:rsidR="00000000" w:rsidRPr="00000000">
        <w:rPr>
          <w:rtl w:val="0"/>
        </w:rPr>
        <w:t xml:space="preserve">Analysis</w:t>
      </w:r>
    </w:p>
    <w:p w:rsidR="00000000" w:rsidDel="00000000" w:rsidP="00000000" w:rsidRDefault="00000000" w:rsidRPr="00000000" w14:paraId="0000000C">
      <w:pPr>
        <w:pStyle w:val="Heading3"/>
        <w:rPr/>
      </w:pPr>
      <w:bookmarkStart w:colFirst="0" w:colLast="0" w:name="_6ga6qprrts4q" w:id="5"/>
      <w:bookmarkEnd w:id="5"/>
      <w:r w:rsidDel="00000000" w:rsidR="00000000" w:rsidRPr="00000000">
        <w:rPr>
          <w:rtl w:val="0"/>
        </w:rPr>
        <w:t xml:space="preserve">Writing Style and Accessibility</w:t>
      </w:r>
    </w:p>
    <w:p w:rsidR="00000000" w:rsidDel="00000000" w:rsidP="00000000" w:rsidRDefault="00000000" w:rsidRPr="00000000" w14:paraId="0000000D">
      <w:pPr>
        <w:ind w:firstLine="720"/>
        <w:rPr/>
      </w:pPr>
      <w:r w:rsidDel="00000000" w:rsidR="00000000" w:rsidRPr="00000000">
        <w:rPr>
          <w:rtl w:val="0"/>
        </w:rPr>
        <w:t xml:space="preserve">The stylistic differences between the two authors reflect their methodological priorities and broader academic movements.  Eliade’s symbolic language, exemplified by terms like ‘hierophany’ and ‘axis mundi’,  and  his poetic style enhances the philosophical resonance of his arguments, such as, “Every sacred space implies a hierophany, an irruption of the sacred that results in detaching a territory from the surrounding cosmic milieu and making it qualitatively different”</w:t>
      </w:r>
      <w:r w:rsidDel="00000000" w:rsidR="00000000" w:rsidRPr="00000000">
        <w:rPr>
          <w:vertAlign w:val="superscript"/>
        </w:rPr>
        <w:footnoteReference w:customMarkFollows="0" w:id="7"/>
      </w:r>
      <w:r w:rsidDel="00000000" w:rsidR="00000000" w:rsidRPr="00000000">
        <w:rPr>
          <w:rtl w:val="0"/>
        </w:rPr>
        <w:t xml:space="preserve">. Eliade’s poetic style enhances the philosophical resonance of his arguments, however, the density of Eliade’s language and his reliance on metaphysical terminology may alienate readers unfamiliar with phenomenological discourse. Furthermore, it could be argued his universalist rhetoric risks introducing speculative bias, as it often assumes archetypal similarities without fully addressing cultural nuances. In contrast, Emile </w:t>
      </w:r>
      <w:r w:rsidDel="00000000" w:rsidR="00000000" w:rsidRPr="00000000">
        <w:rPr>
          <w:b w:val="1"/>
          <w:rtl w:val="0"/>
        </w:rPr>
        <w:t xml:space="preserve">Durkheim’s</w:t>
      </w:r>
      <w:r w:rsidDel="00000000" w:rsidR="00000000" w:rsidRPr="00000000">
        <w:rPr>
          <w:rtl w:val="0"/>
        </w:rPr>
        <w:t xml:space="preserve"> systematic and precise prose does ensure clarity and coherence, for example, “There cannot be a rational interpretation of religion which is fundamentally irreligious; and irreligious interpretation of religion would be an interpretation which denied the phenomenon it was trying to explain”</w:t>
      </w:r>
      <w:r w:rsidDel="00000000" w:rsidR="00000000" w:rsidRPr="00000000">
        <w:rPr>
          <w:vertAlign w:val="superscript"/>
        </w:rPr>
        <w:footnoteReference w:customMarkFollows="0" w:id="8"/>
      </w:r>
      <w:r w:rsidDel="00000000" w:rsidR="00000000" w:rsidRPr="00000000">
        <w:rPr>
          <w:rtl w:val="0"/>
        </w:rPr>
        <w:t xml:space="preserve">. However, use of technical jargon such as ‘collective conscience’ reflects his sociological focus, making his work accessible to academic audiences particularly in sociology and anthropology, but less engaging for readers seeking symbolic depth or unfamiliar with such terms. Eliade’s speculative language may feel inaccessible or overly abstract, while Durkheim’s structured prose, though clear, can lack the philosophical depth that Eliade provides.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pStyle w:val="Heading3"/>
        <w:rPr/>
      </w:pPr>
      <w:bookmarkStart w:colFirst="0" w:colLast="0" w:name="_pdtztf1scfgy" w:id="6"/>
      <w:bookmarkEnd w:id="6"/>
      <w:r w:rsidDel="00000000" w:rsidR="00000000" w:rsidRPr="00000000">
        <w:rPr>
          <w:rtl w:val="0"/>
        </w:rPr>
        <w:t xml:space="preserve">Theoretical and Methodological Approaches</w:t>
      </w:r>
    </w:p>
    <w:p w:rsidR="00000000" w:rsidDel="00000000" w:rsidP="00000000" w:rsidRDefault="00000000" w:rsidRPr="00000000" w14:paraId="00000010">
      <w:pPr>
        <w:ind w:firstLine="720"/>
        <w:rPr/>
      </w:pPr>
      <w:r w:rsidDel="00000000" w:rsidR="00000000" w:rsidRPr="00000000">
        <w:rPr>
          <w:rtl w:val="0"/>
        </w:rPr>
        <w:t xml:space="preserve">Eliade’s phenomenological framework treats sacredness as an intrinsic quality, exploring its metaphysical essence through symbolic archetypes, something which Campion may note as being a  </w:t>
      </w:r>
      <w:r w:rsidDel="00000000" w:rsidR="00000000" w:rsidRPr="00000000">
        <w:rPr>
          <w:rtl w:val="0"/>
        </w:rPr>
        <w:t xml:space="preserve">“meaning-system”</w:t>
      </w:r>
      <w:r w:rsidDel="00000000" w:rsidR="00000000" w:rsidRPr="00000000">
        <w:rPr>
          <w:rtl w:val="0"/>
        </w:rPr>
        <w:t xml:space="preserve">, this focus on universal patterns leads to a style that prioritises spiritual and symbolic dimensions over empirical detail</w:t>
      </w:r>
      <w:r w:rsidDel="00000000" w:rsidR="00000000" w:rsidRPr="00000000">
        <w:rPr>
          <w:vertAlign w:val="superscript"/>
        </w:rPr>
        <w:footnoteReference w:customMarkFollows="0" w:id="9"/>
      </w:r>
      <w:r w:rsidDel="00000000" w:rsidR="00000000" w:rsidRPr="00000000">
        <w:rPr>
          <w:rtl w:val="0"/>
        </w:rPr>
        <w:t xml:space="preserve">. Eliade’s underlying philosophy is rooted in the idea that sacred space is qualitatively distinct from profane space, symbolising humanity’s connection to the cosmos. Eliade’s methodology revolves around comparative analysis, drawing on cross-cultural examples to illustrate shared archetypes. Although, he could be critiqued for favouring metaphysical abstraction over empirical precision. As  Alan Bryman notes</w:t>
      </w:r>
      <w:r w:rsidDel="00000000" w:rsidR="00000000" w:rsidRPr="00000000">
        <w:rPr>
          <w:rtl w:val="0"/>
        </w:rPr>
        <w:t xml:space="preserve"> “The assumption that an interpretive approach to the study of social action is feasible often goes unexamined”</w:t>
      </w:r>
      <w:r w:rsidDel="00000000" w:rsidR="00000000" w:rsidRPr="00000000">
        <w:rPr>
          <w:rtl w:val="0"/>
        </w:rPr>
        <w:t xml:space="preserve">, showing how this qualitative approach can open more room for bias</w:t>
      </w:r>
      <w:r w:rsidDel="00000000" w:rsidR="00000000" w:rsidRPr="00000000">
        <w:rPr>
          <w:vertAlign w:val="superscript"/>
        </w:rPr>
        <w:footnoteReference w:customMarkFollows="0" w:id="10"/>
      </w:r>
      <w:r w:rsidDel="00000000" w:rsidR="00000000" w:rsidRPr="00000000">
        <w:rPr>
          <w:rtl w:val="0"/>
        </w:rPr>
        <w:t xml:space="preserve">. Durkheim’s sociological approach, on the other hand, conceptualises sacredness as a societal construct, grounded in collective practices and empirical data; this functionalist perspective shapes his treatment of information, emphasising observable rituals and their role in maintaining social order, similar to how Kim Knott notes that </w:t>
      </w:r>
      <w:r w:rsidDel="00000000" w:rsidR="00000000" w:rsidRPr="00000000">
        <w:rPr>
          <w:rtl w:val="0"/>
        </w:rPr>
        <w:t xml:space="preserve">"The body is at times the place where a cultural order plays itself out; it may become a representation of that order, and will certainly be conditioned and disciplined by it."</w:t>
      </w:r>
      <w:r w:rsidDel="00000000" w:rsidR="00000000" w:rsidRPr="00000000">
        <w:rPr>
          <w:rtl w:val="0"/>
        </w:rPr>
        <w:t xml:space="preserve">, and that </w:t>
      </w:r>
      <w:r w:rsidDel="00000000" w:rsidR="00000000" w:rsidRPr="00000000">
        <w:rPr>
          <w:rtl w:val="0"/>
        </w:rPr>
        <w:t xml:space="preserve">"Human beings are not placed, they bring place into being”</w:t>
      </w:r>
      <w:r w:rsidDel="00000000" w:rsidR="00000000" w:rsidRPr="00000000">
        <w:rPr>
          <w:vertAlign w:val="superscript"/>
        </w:rPr>
        <w:footnoteReference w:customMarkFollows="0" w:id="11"/>
      </w:r>
      <w:r w:rsidDel="00000000" w:rsidR="00000000" w:rsidRPr="00000000">
        <w:rPr>
          <w:rtl w:val="0"/>
        </w:rPr>
        <w:t xml:space="preserve">. He adopts a sociological methodology grounded in positivism with an underlying philosophy that views sacredness as a product of collective representations, emerging through communal practices and beliefs, noting that </w:t>
      </w:r>
      <w:r w:rsidDel="00000000" w:rsidR="00000000" w:rsidRPr="00000000">
        <w:rPr>
          <w:rtl w:val="0"/>
        </w:rPr>
        <w:t xml:space="preserve">Religious representations are collective representations that express collective realities</w:t>
      </w:r>
      <w:r w:rsidDel="00000000" w:rsidR="00000000" w:rsidRPr="00000000">
        <w:rPr>
          <w:vertAlign w:val="superscript"/>
        </w:rPr>
        <w:footnoteReference w:customMarkFollows="0" w:id="12"/>
      </w:r>
      <w:r w:rsidDel="00000000" w:rsidR="00000000" w:rsidRPr="00000000">
        <w:rPr>
          <w:rtl w:val="0"/>
        </w:rPr>
        <w:t xml:space="preserve">. Durkheim’s reliance on empirical evidence strengthens the objectivity of his conclusions, his methodology thus shapes how he handles information, presenting sacredness primarily as a social construct rather than a metaphysical reality.</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pStyle w:val="Heading3"/>
        <w:rPr/>
      </w:pPr>
      <w:bookmarkStart w:colFirst="0" w:colLast="0" w:name="_r8yygm8p3tc7" w:id="7"/>
      <w:bookmarkEnd w:id="7"/>
      <w:r w:rsidDel="00000000" w:rsidR="00000000" w:rsidRPr="00000000">
        <w:rPr>
          <w:rtl w:val="0"/>
        </w:rPr>
        <w:t xml:space="preserve">Use of Sources and Evidence</w:t>
      </w:r>
    </w:p>
    <w:p w:rsidR="00000000" w:rsidDel="00000000" w:rsidP="00000000" w:rsidRDefault="00000000" w:rsidRPr="00000000" w14:paraId="00000013">
      <w:pPr>
        <w:ind w:firstLine="720"/>
        <w:rPr/>
      </w:pPr>
      <w:r w:rsidDel="00000000" w:rsidR="00000000" w:rsidRPr="00000000">
        <w:rPr>
          <w:rtl w:val="0"/>
        </w:rPr>
        <w:t xml:space="preserve">Eliade’s exploration of sacred space relies on a diverse range of sources, including primary texts like the Bible and the Rig Veda, as well as myths, rituals, and secondary ethnographic studies. These sources support his argument for universal archetypes, such as the ‘axis mundi’, which symbolises humanity’s connection to the cosmos. His cross-cultural approach draws on examples like the Achilpa’s sacred pole and Babylonian ziggurats to illustrate the universal significance of sacred geography. However, Eliade’s interpretations often prioritise symbolic parallels over cultural specificity, risking oversimplification of complex traditions. Furthermore, his reliance on sacred texts lacks deeper scientific or sociological context. In contrast, Durkheim’s analysis is grounded in ethnographic accounts of Australian Aboriginal societies, which he uses to examine the "elementary" forms of religious life. His reliance on detailed observations, such as totemic rituals, provides an empirical basis for his theory that sacredness emerges from collective practices. Durkheim also incorporates broader comparative studies and philosophical works by scholars like Tylor and Kant to situate his arguments within a wider intellectual framework. While meticulously referenced, Durkheim’s reliance on secondhand accounts raises concerns about potential biases and overgeneralization. His framing of totemism as representative of early religious forms could be critiqued for its limited cultural scope. Together, Eliade’s symbolic universality and Durkheim’s empirical rigour offer complementary insights into sacred space, highlighting both its transcendental and sociological dimensions.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pStyle w:val="Heading3"/>
        <w:rPr/>
      </w:pPr>
      <w:bookmarkStart w:colFirst="0" w:colLast="0" w:name="_e2ytzoeowt5s" w:id="8"/>
      <w:bookmarkEnd w:id="8"/>
      <w:r w:rsidDel="00000000" w:rsidR="00000000" w:rsidRPr="00000000">
        <w:rPr>
          <w:rtl w:val="0"/>
        </w:rPr>
        <w:t xml:space="preserve">Strengths and Weaknesses </w:t>
      </w:r>
    </w:p>
    <w:p w:rsidR="00000000" w:rsidDel="00000000" w:rsidP="00000000" w:rsidRDefault="00000000" w:rsidRPr="00000000" w14:paraId="00000016">
      <w:pPr>
        <w:ind w:firstLine="720"/>
        <w:rPr/>
      </w:pPr>
      <w:r w:rsidDel="00000000" w:rsidR="00000000" w:rsidRPr="00000000">
        <w:rPr>
          <w:rtl w:val="0"/>
        </w:rPr>
        <w:t xml:space="preserve">Mircea Eliade’s ‘Sacred and the Profane’ demonstrates significant strengths in its ability to universalize sacred space, offering a compelling vision of shared spiritual archetypes across cultures. His focus on phenomenology allows readers to appreciate the metaphysical dimensions of sacredness, as seen in his analysis of the ‘axis mundi’. Eliade states, the ‘axis mundi’ is a cosmic pillar that unites and supports the three cosmic zones: heaven, earth, and the underworld; This metaphor captures the centrality of sacred space in orienting human existence. This has had a lasting impact on future thought, as Kim Knott notes that </w:t>
      </w:r>
      <w:r w:rsidDel="00000000" w:rsidR="00000000" w:rsidRPr="00000000">
        <w:rPr>
          <w:rtl w:val="0"/>
        </w:rPr>
        <w:t xml:space="preserve">"Eliade’s axioms – of sacred space as </w:t>
      </w:r>
      <w:r w:rsidDel="00000000" w:rsidR="00000000" w:rsidRPr="00000000">
        <w:rPr>
          <w:rtl w:val="0"/>
        </w:rPr>
        <w:t xml:space="preserve">other</w:t>
      </w:r>
      <w:r w:rsidDel="00000000" w:rsidR="00000000" w:rsidRPr="00000000">
        <w:rPr>
          <w:rtl w:val="0"/>
        </w:rPr>
        <w:t xml:space="preserve">… have become foundational for scholarly articulations of the meaning and power of the sacred in space and time.” </w:t>
      </w:r>
      <w:r w:rsidDel="00000000" w:rsidR="00000000" w:rsidRPr="00000000">
        <w:rPr>
          <w:vertAlign w:val="superscript"/>
        </w:rPr>
        <w:footnoteReference w:customMarkFollows="0" w:id="13"/>
      </w:r>
      <w:r w:rsidDel="00000000" w:rsidR="00000000" w:rsidRPr="00000000">
        <w:rPr>
          <w:rtl w:val="0"/>
        </w:rPr>
        <w:t xml:space="preserve">. </w:t>
      </w:r>
      <w:r w:rsidDel="00000000" w:rsidR="00000000" w:rsidRPr="00000000">
        <w:rPr>
          <w:rtl w:val="0"/>
        </w:rPr>
        <w:t xml:space="preserve">However, Eliade’s universalist claims are also a key weakness. It could be argued that his selective use of examples often overlooks cultural specificity, as his interpretations are shaped by his phenomenological lens rather than rigorous empirical evidence. Additionally, his lack of detailed references to primary sources leaves his arguments vulnerable to accusations of speculation. Amy Whitehead notes that</w:t>
      </w:r>
      <w:r w:rsidDel="00000000" w:rsidR="00000000" w:rsidRPr="00000000">
        <w:rPr>
          <w:highlight w:val="yellow"/>
          <w:rtl w:val="0"/>
        </w:rPr>
        <w:t xml:space="preserve"> </w:t>
      </w:r>
      <w:r w:rsidDel="00000000" w:rsidR="00000000" w:rsidRPr="00000000">
        <w:rPr>
          <w:rtl w:val="0"/>
        </w:rPr>
        <w:t xml:space="preserve">"Human beings are not placed; they bring place into being. Ritual...creates the sacred"</w:t>
      </w:r>
      <w:r w:rsidDel="00000000" w:rsidR="00000000" w:rsidRPr="00000000">
        <w:rPr>
          <w:rtl w:val="0"/>
        </w:rPr>
        <w:t xml:space="preserve"> which would actively critique Eliade’s inherent sacredness whilst aligning with Durkheim’s constructivist approach</w:t>
      </w:r>
      <w:r w:rsidDel="00000000" w:rsidR="00000000" w:rsidRPr="00000000">
        <w:rPr>
          <w:vertAlign w:val="superscript"/>
        </w:rPr>
        <w:footnoteReference w:customMarkFollows="0" w:id="14"/>
      </w:r>
      <w:r w:rsidDel="00000000" w:rsidR="00000000" w:rsidRPr="00000000">
        <w:rPr>
          <w:rtl w:val="0"/>
        </w:rPr>
        <w:t xml:space="preserve">. Emile Durkheim’s ‘The Elementary Forms of Religious Life’ excels in grounding its analysis in empirical data, particularly ethnographic studies of Australian Aboriginal societies. This reliance on fieldwork lends credibility to Durkheim’s argument that sacredness is a social construct, emerging from collective practices. As Field’s breaks down that, “Totemism qualifies as a religion; furthermore, all religions are “true after their own fashion”, and all including totemism, meet “needs” (besoins) that are part and parcel of human life”</w:t>
      </w:r>
      <w:r w:rsidDel="00000000" w:rsidR="00000000" w:rsidRPr="00000000">
        <w:rPr>
          <w:vertAlign w:val="superscript"/>
        </w:rPr>
        <w:footnoteReference w:customMarkFollows="0" w:id="15"/>
      </w:r>
      <w:r w:rsidDel="00000000" w:rsidR="00000000" w:rsidRPr="00000000">
        <w:rPr>
          <w:rtl w:val="0"/>
        </w:rPr>
        <w:t xml:space="preserve">.  His emphasis on societal functions, such as maintaining cohesion and reinforcing shared values, highlights the pragmatic significance of sacred spaces. However, Durkheim’s narrow focus on a single cultural context could be critiqued for its limited scope, moreover, his conclusions may not be universally applicable, particularly to societies with differing religious frameworks. Furthermore, his empirical approach, while methodical, often neglects the symbolic and experiential dimensions of sacredness that Eliade explores. Both academics take different approaches to the topic and together could bring a wider perspective on it, just as Brink notes that </w:t>
      </w:r>
      <w:r w:rsidDel="00000000" w:rsidR="00000000" w:rsidRPr="00000000">
        <w:rPr>
          <w:rtl w:val="0"/>
        </w:rPr>
        <w:t xml:space="preserve"> “Beliefs which could not fit together in the structure of the same logical system, nevertheless, may serve similar functions as different means to the same end”</w:t>
      </w:r>
      <w:r w:rsidDel="00000000" w:rsidR="00000000" w:rsidRPr="00000000">
        <w:rPr>
          <w:vertAlign w:val="superscript"/>
        </w:rPr>
        <w:footnoteReference w:customMarkFollows="0" w:id="16"/>
      </w:r>
      <w:r w:rsidDel="00000000" w:rsidR="00000000" w:rsidRPr="00000000">
        <w:rPr>
          <w:rtl w:val="0"/>
        </w:rPr>
        <w:t xml:space="preserve">. </w:t>
      </w:r>
    </w:p>
    <w:p w:rsidR="00000000" w:rsidDel="00000000" w:rsidP="00000000" w:rsidRDefault="00000000" w:rsidRPr="00000000" w14:paraId="00000017">
      <w:pPr>
        <w:ind w:firstLine="720"/>
        <w:rPr/>
      </w:pPr>
      <w:r w:rsidDel="00000000" w:rsidR="00000000" w:rsidRPr="00000000">
        <w:rPr>
          <w:rtl w:val="0"/>
        </w:rPr>
      </w:r>
    </w:p>
    <w:p w:rsidR="00000000" w:rsidDel="00000000" w:rsidP="00000000" w:rsidRDefault="00000000" w:rsidRPr="00000000" w14:paraId="00000018">
      <w:pPr>
        <w:pStyle w:val="Heading3"/>
        <w:rPr/>
      </w:pPr>
      <w:bookmarkStart w:colFirst="0" w:colLast="0" w:name="_pm2fl4nk8fs9" w:id="9"/>
      <w:bookmarkEnd w:id="9"/>
      <w:r w:rsidDel="00000000" w:rsidR="00000000" w:rsidRPr="00000000">
        <w:rPr>
          <w:rtl w:val="0"/>
        </w:rPr>
        <w:t xml:space="preserve">Conclusion analysis </w:t>
      </w:r>
    </w:p>
    <w:p w:rsidR="00000000" w:rsidDel="00000000" w:rsidP="00000000" w:rsidRDefault="00000000" w:rsidRPr="00000000" w14:paraId="00000019">
      <w:pPr>
        <w:ind w:firstLine="720"/>
        <w:rPr/>
      </w:pPr>
      <w:r w:rsidDel="00000000" w:rsidR="00000000" w:rsidRPr="00000000">
        <w:rPr>
          <w:rtl w:val="0"/>
        </w:rPr>
        <w:t xml:space="preserve">Eliade’s conclusion effectively synthesises the chapter’s key themes, emphasising the universality of sacred space and its role in structuring human experience. By highlighting archetypes like the ‘axis mundi’ and presenting examples from cultures such as the Achilpa and Mesopotamians, Eliade reinforces his thesis that sacred space transcends cultural boundaries. His symbolic interpretation, which frames sacred space as a cosmogonic act that transforms chaos into cosmos, is philosophically compelling and thematically coherent. However, the conclusion reflects Eliade’s broader tendency toward abstraction, as it lacks detailed cultural analysis and empirical rigour. While persuasive within a phenomenological framework, its universalist claims are speculative, highlighting the need for greater specificity to strengthen its scholarly reliability. While Fields’ text lacks a formal conclusion, it effectively engages with Durkheim’s core arguments and their relevance to sociology. The section emphasises Durkheim’s exploration of collective consciousness and the sacred/profane dichotomy, framing these ideas within broader intellectual debates. Fields acknowledges critiques of Durkheim’s reliance on Australian ethnography and early English translations, noting the challenges these pose to understanding his work. However, Fields also highlights the enduring significance of Durkheim’s ideas, particularly their contribution to understanding collective life and shared beliefs. The absence of a formal conclusion leaves the analysis feeling unfinished, as it does not synthesise the arguments or explicitly state their implications. Nonetheless, Fields’ nuanced critique underscores the intellectual provocation and continued relevance of Durkheim’s work, aligning well with his sociological framework and reinforcing his exploration of the functional role of religion in society.</w:t>
      </w:r>
    </w:p>
    <w:p w:rsidR="00000000" w:rsidDel="00000000" w:rsidP="00000000" w:rsidRDefault="00000000" w:rsidRPr="00000000" w14:paraId="0000001A">
      <w:pPr>
        <w:ind w:left="0" w:firstLine="0"/>
        <w:rPr/>
      </w:pPr>
      <w:r w:rsidDel="00000000" w:rsidR="00000000" w:rsidRPr="00000000">
        <w:rPr>
          <w:rtl w:val="0"/>
        </w:rPr>
      </w:r>
    </w:p>
    <w:p w:rsidR="00000000" w:rsidDel="00000000" w:rsidP="00000000" w:rsidRDefault="00000000" w:rsidRPr="00000000" w14:paraId="0000001B">
      <w:pPr>
        <w:pStyle w:val="Heading2"/>
        <w:rPr/>
      </w:pPr>
      <w:bookmarkStart w:colFirst="0" w:colLast="0" w:name="_rwifdnnfq41b" w:id="10"/>
      <w:bookmarkEnd w:id="10"/>
      <w:r w:rsidDel="00000000" w:rsidR="00000000" w:rsidRPr="00000000">
        <w:rPr>
          <w:rtl w:val="0"/>
        </w:rPr>
        <w:t xml:space="preserve">Conclusion </w:t>
      </w:r>
    </w:p>
    <w:p w:rsidR="00000000" w:rsidDel="00000000" w:rsidP="00000000" w:rsidRDefault="00000000" w:rsidRPr="00000000" w14:paraId="0000001C">
      <w:pPr>
        <w:spacing w:after="240" w:before="240" w:lineRule="auto"/>
        <w:ind w:firstLine="720"/>
        <w:rPr/>
      </w:pPr>
      <w:r w:rsidDel="00000000" w:rsidR="00000000" w:rsidRPr="00000000">
        <w:rPr>
          <w:rtl w:val="0"/>
        </w:rPr>
        <w:t xml:space="preserve">This essay critically compared Mircea Eliade’s and Emile Durkheim’s contrasting theories of sacred space, focusing on their methodologies, use of evidence, and underlying philosophies. Eliade’s phenomenological approach emphasises the universal and intrinsic qualities of sacred space, presenting it as a timeless connection between humanity and the divine. In contrast, Durkheim’s sociological framework interprets sacred space as a social construct, created through communal practices that reinforce social cohesion and reflect collective values. These perspectives raise a central question in sacred geography: is sacredness an inherent quality, or is it a symbolic designation shaped by communities? Eliade’s strength lies in his ability to connect diverse cultural traditions through shared symbols, offering profound insights into the symbolic dimensions of sacredness. However, his universalist approach risks oversimplifying cultural specificity and lacks empirical rigour. Conversely, Durkheim’s reliance on empirical data provides a systematic understanding of sacred space as a tool for community building, yet it often overlooks the personal and experiential dimensions that Eliade explores. Together, their theories offer complementary frameworks, Eliade’s focus on spiritual transcendence enriches the metaphysical aspects of sacred space, while Durkheim’s emphasis on collective practices grounds it in tangible societal contexts. By integrating their insights, sacred geography emerges as a multidimensional field that bridges the transcendental and social dimensions of sacredness; this dual perspective invites further exploration into how sacred spaces function across cultures, showing the evolving relationship between individual spirituality and communal identity.</w:t>
      </w:r>
    </w:p>
    <w:p w:rsidR="00000000" w:rsidDel="00000000" w:rsidP="00000000" w:rsidRDefault="00000000" w:rsidRPr="00000000" w14:paraId="0000001D">
      <w:pPr>
        <w:ind w:firstLine="720"/>
        <w:rPr/>
      </w:pPr>
      <w:r w:rsidDel="00000000" w:rsidR="00000000" w:rsidRPr="00000000">
        <w:rPr>
          <w:rtl w:val="0"/>
        </w:rPr>
        <w:t xml:space="preserve">2471</w:t>
      </w:r>
    </w:p>
    <w:p w:rsidR="00000000" w:rsidDel="00000000" w:rsidP="00000000" w:rsidRDefault="00000000" w:rsidRPr="00000000" w14:paraId="0000001E">
      <w:pPr>
        <w:pStyle w:val="Heading2"/>
        <w:rPr/>
      </w:pPr>
      <w:bookmarkStart w:colFirst="0" w:colLast="0" w:name="_m6vm94u8n9ym" w:id="11"/>
      <w:bookmarkEnd w:id="11"/>
      <w:r w:rsidDel="00000000" w:rsidR="00000000" w:rsidRPr="00000000">
        <w:rPr>
          <w:rtl w:val="0"/>
        </w:rPr>
        <w:t xml:space="preserve">Bibliography </w:t>
      </w:r>
    </w:p>
    <w:p w:rsidR="00000000" w:rsidDel="00000000" w:rsidP="00000000" w:rsidRDefault="00000000" w:rsidRPr="00000000" w14:paraId="0000001F">
      <w:pPr>
        <w:spacing w:after="240" w:before="240" w:lineRule="auto"/>
        <w:ind w:left="580" w:hanging="20"/>
        <w:rPr/>
      </w:pPr>
      <w:r w:rsidDel="00000000" w:rsidR="00000000" w:rsidRPr="00000000">
        <w:rPr>
          <w:rtl w:val="0"/>
        </w:rPr>
        <w:t xml:space="preserve">Brink, T.L. (1978) ‘Inconsistency of belief among Roman Catholic girls: Concerning religion, astrology, reincarnation’, </w:t>
      </w:r>
      <w:r w:rsidDel="00000000" w:rsidR="00000000" w:rsidRPr="00000000">
        <w:rPr>
          <w:i w:val="1"/>
          <w:rtl w:val="0"/>
        </w:rPr>
        <w:t xml:space="preserve">Review of Religious Research</w:t>
      </w:r>
      <w:r w:rsidDel="00000000" w:rsidR="00000000" w:rsidRPr="00000000">
        <w:rPr>
          <w:rtl w:val="0"/>
        </w:rPr>
        <w:t xml:space="preserve">, 20(1), p. 85.</w:t>
      </w:r>
    </w:p>
    <w:p w:rsidR="00000000" w:rsidDel="00000000" w:rsidP="00000000" w:rsidRDefault="00000000" w:rsidRPr="00000000" w14:paraId="00000020">
      <w:pPr>
        <w:spacing w:after="240" w:before="240" w:lineRule="auto"/>
        <w:ind w:left="580" w:hanging="20"/>
        <w:rPr/>
      </w:pPr>
      <w:r w:rsidDel="00000000" w:rsidR="00000000" w:rsidRPr="00000000">
        <w:rPr>
          <w:rtl w:val="0"/>
        </w:rPr>
        <w:t xml:space="preserve">Bryman, A. (2016) </w:t>
      </w:r>
      <w:r w:rsidDel="00000000" w:rsidR="00000000" w:rsidRPr="00000000">
        <w:rPr>
          <w:i w:val="1"/>
          <w:rtl w:val="0"/>
        </w:rPr>
        <w:t xml:space="preserve">Quantity and quality in Social Research</w:t>
      </w:r>
      <w:r w:rsidDel="00000000" w:rsidR="00000000" w:rsidRPr="00000000">
        <w:rPr>
          <w:rtl w:val="0"/>
        </w:rPr>
        <w:t xml:space="preserve">. London: Routledge. </w:t>
      </w:r>
    </w:p>
    <w:p w:rsidR="00000000" w:rsidDel="00000000" w:rsidP="00000000" w:rsidRDefault="00000000" w:rsidRPr="00000000" w14:paraId="00000021">
      <w:pPr>
        <w:spacing w:after="240" w:before="240" w:lineRule="auto"/>
        <w:ind w:left="580" w:hanging="20"/>
        <w:rPr/>
      </w:pPr>
      <w:r w:rsidDel="00000000" w:rsidR="00000000" w:rsidRPr="00000000">
        <w:rPr>
          <w:rtl w:val="0"/>
        </w:rPr>
        <w:t xml:space="preserve">Campion, N. (2012a) ‘Chapter 1: Cosmology and Religion ’, in </w:t>
      </w:r>
      <w:r w:rsidDel="00000000" w:rsidR="00000000" w:rsidRPr="00000000">
        <w:rPr>
          <w:i w:val="1"/>
          <w:rtl w:val="0"/>
        </w:rPr>
        <w:t xml:space="preserve">Astrology and Cosmology in World Religions</w:t>
      </w:r>
      <w:r w:rsidDel="00000000" w:rsidR="00000000" w:rsidRPr="00000000">
        <w:rPr>
          <w:rtl w:val="0"/>
        </w:rPr>
        <w:t xml:space="preserve">. NYU Press, pp. 1–10. </w:t>
      </w:r>
    </w:p>
    <w:p w:rsidR="00000000" w:rsidDel="00000000" w:rsidP="00000000" w:rsidRDefault="00000000" w:rsidRPr="00000000" w14:paraId="00000022">
      <w:pPr>
        <w:spacing w:after="240" w:before="240" w:lineRule="auto"/>
        <w:ind w:left="580" w:hanging="20"/>
        <w:rPr/>
      </w:pPr>
      <w:r w:rsidDel="00000000" w:rsidR="00000000" w:rsidRPr="00000000">
        <w:rPr>
          <w:rtl w:val="0"/>
        </w:rPr>
        <w:t xml:space="preserve">Campion, N. (2012b) ‘Chapter 2: Astrology ’, in </w:t>
      </w:r>
      <w:r w:rsidDel="00000000" w:rsidR="00000000" w:rsidRPr="00000000">
        <w:rPr>
          <w:i w:val="1"/>
          <w:rtl w:val="0"/>
        </w:rPr>
        <w:t xml:space="preserve">Astrology and Cosmology in World Religions</w:t>
      </w:r>
      <w:r w:rsidDel="00000000" w:rsidR="00000000" w:rsidRPr="00000000">
        <w:rPr>
          <w:rtl w:val="0"/>
        </w:rPr>
        <w:t xml:space="preserve">. NYU Press, pp. 11–23. </w:t>
      </w:r>
    </w:p>
    <w:p w:rsidR="00000000" w:rsidDel="00000000" w:rsidP="00000000" w:rsidRDefault="00000000" w:rsidRPr="00000000" w14:paraId="00000023">
      <w:pPr>
        <w:spacing w:after="240" w:before="240" w:lineRule="auto"/>
        <w:ind w:left="580" w:hanging="20"/>
        <w:rPr/>
      </w:pPr>
      <w:r w:rsidDel="00000000" w:rsidR="00000000" w:rsidRPr="00000000">
        <w:rPr>
          <w:rtl w:val="0"/>
        </w:rPr>
        <w:t xml:space="preserve">Cassirer, E. (1971) ‘Foundations of a Theory of Mystical Forms. Space, Time, and Number’, </w:t>
      </w:r>
      <w:r w:rsidDel="00000000" w:rsidR="00000000" w:rsidRPr="00000000">
        <w:rPr>
          <w:i w:val="1"/>
          <w:rtl w:val="0"/>
        </w:rPr>
        <w:t xml:space="preserve">The philosophy of symbolic forms </w:t>
      </w:r>
      <w:r w:rsidDel="00000000" w:rsidR="00000000" w:rsidRPr="00000000">
        <w:rPr>
          <w:rtl w:val="0"/>
        </w:rPr>
        <w:t xml:space="preserve">, 2, pp. 83–105. </w:t>
      </w:r>
    </w:p>
    <w:p w:rsidR="00000000" w:rsidDel="00000000" w:rsidP="00000000" w:rsidRDefault="00000000" w:rsidRPr="00000000" w14:paraId="00000024">
      <w:pPr>
        <w:spacing w:after="240" w:before="240" w:lineRule="auto"/>
        <w:ind w:left="580" w:hanging="20"/>
        <w:rPr/>
      </w:pP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 </w:t>
      </w:r>
    </w:p>
    <w:p w:rsidR="00000000" w:rsidDel="00000000" w:rsidP="00000000" w:rsidRDefault="00000000" w:rsidRPr="00000000" w14:paraId="00000025">
      <w:pPr>
        <w:spacing w:after="240" w:before="240" w:lineRule="auto"/>
        <w:ind w:left="580" w:hanging="20"/>
        <w:rPr/>
      </w:pP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 </w:t>
      </w:r>
    </w:p>
    <w:p w:rsidR="00000000" w:rsidDel="00000000" w:rsidP="00000000" w:rsidRDefault="00000000" w:rsidRPr="00000000" w14:paraId="00000026">
      <w:pPr>
        <w:spacing w:after="240" w:before="240" w:lineRule="auto"/>
        <w:ind w:left="580" w:hanging="20"/>
        <w:rPr/>
      </w:pP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 </w:t>
      </w:r>
    </w:p>
    <w:p w:rsidR="00000000" w:rsidDel="00000000" w:rsidP="00000000" w:rsidRDefault="00000000" w:rsidRPr="00000000" w14:paraId="00000027">
      <w:pPr>
        <w:spacing w:after="240" w:before="240" w:lineRule="auto"/>
        <w:ind w:left="580" w:hanging="20"/>
        <w:rPr/>
      </w:pPr>
      <w:r w:rsidDel="00000000" w:rsidR="00000000" w:rsidRPr="00000000">
        <w:rPr>
          <w:rtl w:val="0"/>
        </w:rPr>
        <w:t xml:space="preserve">Knott, K. (2015) </w:t>
      </w:r>
      <w:r w:rsidDel="00000000" w:rsidR="00000000" w:rsidRPr="00000000">
        <w:rPr>
          <w:i w:val="1"/>
          <w:rtl w:val="0"/>
        </w:rPr>
        <w:t xml:space="preserve">The location of religion: A spatial analysis</w:t>
      </w:r>
      <w:r w:rsidDel="00000000" w:rsidR="00000000" w:rsidRPr="00000000">
        <w:rPr>
          <w:rtl w:val="0"/>
        </w:rPr>
        <w:t xml:space="preserve">. London: Routledge. </w:t>
      </w:r>
    </w:p>
    <w:p w:rsidR="00000000" w:rsidDel="00000000" w:rsidP="00000000" w:rsidRDefault="00000000" w:rsidRPr="00000000" w14:paraId="00000028">
      <w:pPr>
        <w:spacing w:after="240" w:before="240" w:lineRule="auto"/>
        <w:ind w:left="580" w:hanging="20"/>
        <w:rPr/>
      </w:pPr>
      <w:r w:rsidDel="00000000" w:rsidR="00000000" w:rsidRPr="00000000">
        <w:rPr>
          <w:rtl w:val="0"/>
        </w:rPr>
        <w:t xml:space="preserve">Thorley, A. and Gunn, C.M. (2008) </w:t>
      </w:r>
      <w:r w:rsidDel="00000000" w:rsidR="00000000" w:rsidRPr="00000000">
        <w:rPr>
          <w:i w:val="1"/>
          <w:rtl w:val="0"/>
        </w:rPr>
        <w:t xml:space="preserve">Sacred Sites: An Overview</w:t>
      </w:r>
      <w:r w:rsidDel="00000000" w:rsidR="00000000" w:rsidRPr="00000000">
        <w:rPr>
          <w:rtl w:val="0"/>
        </w:rPr>
        <w:t xml:space="preserve">. rep. Gaia Foundation, pp. 7–31. </w:t>
      </w:r>
    </w:p>
    <w:p w:rsidR="00000000" w:rsidDel="00000000" w:rsidP="00000000" w:rsidRDefault="00000000" w:rsidRPr="00000000" w14:paraId="00000029">
      <w:pPr>
        <w:spacing w:after="240" w:before="240" w:lineRule="auto"/>
        <w:ind w:left="580" w:hanging="20"/>
        <w:rPr/>
      </w:pPr>
      <w:r w:rsidDel="00000000" w:rsidR="00000000" w:rsidRPr="00000000">
        <w:rPr>
          <w:rtl w:val="0"/>
        </w:rPr>
        <w:t xml:space="preserve">Whitehead, A.R. (2013) </w:t>
      </w:r>
      <w:r w:rsidDel="00000000" w:rsidR="00000000" w:rsidRPr="00000000">
        <w:rPr>
          <w:i w:val="1"/>
          <w:rtl w:val="0"/>
        </w:rPr>
        <w:t xml:space="preserve">Religious statues and personhood: Testing the role of Materiality</w:t>
      </w:r>
      <w:r w:rsidDel="00000000" w:rsidR="00000000" w:rsidRPr="00000000">
        <w:rPr>
          <w:rtl w:val="0"/>
        </w:rPr>
        <w:t xml:space="preserve">. London: Bloomsbury. </w:t>
      </w:r>
    </w:p>
    <w:p w:rsidR="00000000" w:rsidDel="00000000" w:rsidP="00000000" w:rsidRDefault="00000000" w:rsidRPr="00000000" w14:paraId="0000002A">
      <w:pPr>
        <w:spacing w:after="240" w:before="240" w:lineRule="auto"/>
        <w:ind w:left="580" w:hanging="20"/>
        <w:rPr/>
      </w:pPr>
      <w:r w:rsidDel="00000000" w:rsidR="00000000" w:rsidRPr="00000000">
        <w:rPr>
          <w:i w:val="1"/>
          <w:rtl w:val="0"/>
        </w:rPr>
        <w:t xml:space="preserve">Émile Durkheim</w:t>
      </w:r>
      <w:r w:rsidDel="00000000" w:rsidR="00000000" w:rsidRPr="00000000">
        <w:rPr>
          <w:rtl w:val="0"/>
        </w:rPr>
        <w:t xml:space="preserve"> (2024) </w:t>
      </w:r>
      <w:r w:rsidDel="00000000" w:rsidR="00000000" w:rsidRPr="00000000">
        <w:rPr>
          <w:i w:val="1"/>
          <w:rtl w:val="0"/>
        </w:rPr>
        <w:t xml:space="preserve">Encyclopædia Britannica</w:t>
      </w:r>
      <w:r w:rsidDel="00000000" w:rsidR="00000000" w:rsidRPr="00000000">
        <w:rPr>
          <w:rtl w:val="0"/>
        </w:rPr>
        <w:t xml:space="preserve">. Available at: https://www.britannica.com/biography/Emile-Durkheim (Accessed: 19 November 2024). </w:t>
      </w:r>
    </w:p>
    <w:p w:rsidR="00000000" w:rsidDel="00000000" w:rsidP="00000000" w:rsidRDefault="00000000" w:rsidRPr="00000000" w14:paraId="0000002B">
      <w:pPr>
        <w:spacing w:after="240" w:before="240" w:lineRule="auto"/>
        <w:ind w:left="580" w:hanging="20"/>
        <w:rPr/>
      </w:pPr>
      <w:r w:rsidDel="00000000" w:rsidR="00000000" w:rsidRPr="00000000">
        <w:rPr>
          <w:i w:val="1"/>
          <w:rtl w:val="0"/>
        </w:rPr>
        <w:t xml:space="preserve">Mircea Eliade</w:t>
      </w:r>
      <w:r w:rsidDel="00000000" w:rsidR="00000000" w:rsidRPr="00000000">
        <w:rPr>
          <w:rtl w:val="0"/>
        </w:rPr>
        <w:t xml:space="preserve"> (2024) </w:t>
      </w:r>
      <w:r w:rsidDel="00000000" w:rsidR="00000000" w:rsidRPr="00000000">
        <w:rPr>
          <w:i w:val="1"/>
          <w:rtl w:val="0"/>
        </w:rPr>
        <w:t xml:space="preserve">Encyclopædia Britannica</w:t>
      </w:r>
      <w:r w:rsidDel="00000000" w:rsidR="00000000" w:rsidRPr="00000000">
        <w:rPr>
          <w:rtl w:val="0"/>
        </w:rPr>
        <w:t xml:space="preserve">. Available at: https://www.britannica.com/biography/Mircea-Eliade (Accessed: 19 November 2024). </w:t>
      </w:r>
    </w:p>
    <w:p w:rsidR="00000000" w:rsidDel="00000000" w:rsidP="00000000" w:rsidRDefault="00000000" w:rsidRPr="00000000" w14:paraId="0000002C">
      <w:pPr>
        <w:ind w:left="0" w:firstLine="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2D">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Thorley, A. and Gunn, C.M. (2008) </w:t>
      </w:r>
      <w:r w:rsidDel="00000000" w:rsidR="00000000" w:rsidRPr="00000000">
        <w:rPr>
          <w:i w:val="1"/>
          <w:rtl w:val="0"/>
        </w:rPr>
        <w:t xml:space="preserve">Sacred Sites: An Overview</w:t>
      </w:r>
      <w:r w:rsidDel="00000000" w:rsidR="00000000" w:rsidRPr="00000000">
        <w:rPr>
          <w:rtl w:val="0"/>
        </w:rPr>
        <w:t xml:space="preserve">. rep. Gaia Foundation, pp. 9. </w:t>
      </w:r>
    </w:p>
    <w:p w:rsidR="00000000" w:rsidDel="00000000" w:rsidP="00000000" w:rsidRDefault="00000000" w:rsidRPr="00000000" w14:paraId="0000002E">
      <w:pPr>
        <w:spacing w:line="240" w:lineRule="auto"/>
        <w:rPr>
          <w:sz w:val="20"/>
          <w:szCs w:val="20"/>
        </w:rPr>
      </w:pPr>
      <w:r w:rsidDel="00000000" w:rsidR="00000000" w:rsidRPr="00000000">
        <w:rPr>
          <w:rtl w:val="0"/>
        </w:rPr>
      </w:r>
    </w:p>
  </w:footnote>
  <w:footnote w:id="3">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Cassirer, E. (1971) ‘Foundations of a Theory of Mystical Forms. Space, Time, and Number’, </w:t>
      </w:r>
      <w:r w:rsidDel="00000000" w:rsidR="00000000" w:rsidRPr="00000000">
        <w:rPr>
          <w:i w:val="1"/>
          <w:rtl w:val="0"/>
        </w:rPr>
        <w:t xml:space="preserve">The philosophy of symbolic forms </w:t>
      </w:r>
      <w:r w:rsidDel="00000000" w:rsidR="00000000" w:rsidRPr="00000000">
        <w:rPr>
          <w:rtl w:val="0"/>
        </w:rPr>
        <w:t xml:space="preserve">, 2, pp. 83–105. </w:t>
      </w:r>
      <w:r w:rsidDel="00000000" w:rsidR="00000000" w:rsidRPr="00000000">
        <w:rPr>
          <w:rtl w:val="0"/>
        </w:rPr>
      </w:r>
    </w:p>
  </w:footnote>
  <w:footnote w:id="4">
    <w:p w:rsidR="00000000" w:rsidDel="00000000" w:rsidP="00000000" w:rsidRDefault="00000000" w:rsidRPr="00000000" w14:paraId="00000030">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Campion, N. (2012b) ‘Chapter 2: Astrology ’, in </w:t>
      </w:r>
      <w:r w:rsidDel="00000000" w:rsidR="00000000" w:rsidRPr="00000000">
        <w:rPr>
          <w:i w:val="1"/>
          <w:rtl w:val="0"/>
        </w:rPr>
        <w:t xml:space="preserve">Astrology and Cosmology in World Religions</w:t>
      </w:r>
      <w:r w:rsidDel="00000000" w:rsidR="00000000" w:rsidRPr="00000000">
        <w:rPr>
          <w:rtl w:val="0"/>
        </w:rPr>
        <w:t xml:space="preserve">. NYU Press, pp. 11–23. </w:t>
      </w:r>
    </w:p>
    <w:p w:rsidR="00000000" w:rsidDel="00000000" w:rsidP="00000000" w:rsidRDefault="00000000" w:rsidRPr="00000000" w14:paraId="00000031">
      <w:pPr>
        <w:spacing w:line="240" w:lineRule="auto"/>
        <w:rPr>
          <w:sz w:val="20"/>
          <w:szCs w:val="20"/>
        </w:rPr>
      </w:pPr>
      <w:r w:rsidDel="00000000" w:rsidR="00000000" w:rsidRPr="00000000">
        <w:rPr>
          <w:rtl w:val="0"/>
        </w:rPr>
      </w:r>
    </w:p>
  </w:footnote>
  <w:footnote w:id="5">
    <w:p w:rsidR="00000000" w:rsidDel="00000000" w:rsidP="00000000" w:rsidRDefault="00000000" w:rsidRPr="00000000" w14:paraId="00000032">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 </w:t>
      </w:r>
    </w:p>
    <w:p w:rsidR="00000000" w:rsidDel="00000000" w:rsidP="00000000" w:rsidRDefault="00000000" w:rsidRPr="00000000" w14:paraId="00000033">
      <w:pPr>
        <w:spacing w:line="240" w:lineRule="auto"/>
        <w:rPr>
          <w:sz w:val="20"/>
          <w:szCs w:val="20"/>
        </w:rPr>
      </w:pPr>
      <w:r w:rsidDel="00000000" w:rsidR="00000000" w:rsidRPr="00000000">
        <w:rPr>
          <w:rtl w:val="0"/>
        </w:rPr>
      </w:r>
    </w:p>
  </w:footnote>
  <w:footnote w:id="9">
    <w:p w:rsidR="00000000" w:rsidDel="00000000" w:rsidP="00000000" w:rsidRDefault="00000000" w:rsidRPr="00000000" w14:paraId="00000034">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Campion, N. (2012a) ‘Chapter 1: Cosmology and Religion ’, in </w:t>
      </w:r>
      <w:r w:rsidDel="00000000" w:rsidR="00000000" w:rsidRPr="00000000">
        <w:rPr>
          <w:i w:val="1"/>
          <w:rtl w:val="0"/>
        </w:rPr>
        <w:t xml:space="preserve">Astrology and Cosmology in World Religions</w:t>
      </w:r>
      <w:r w:rsidDel="00000000" w:rsidR="00000000" w:rsidRPr="00000000">
        <w:rPr>
          <w:rtl w:val="0"/>
        </w:rPr>
        <w:t xml:space="preserve">. NYU Press, pp. 1.</w:t>
      </w:r>
    </w:p>
    <w:p w:rsidR="00000000" w:rsidDel="00000000" w:rsidP="00000000" w:rsidRDefault="00000000" w:rsidRPr="00000000" w14:paraId="00000035">
      <w:pPr>
        <w:spacing w:line="240" w:lineRule="auto"/>
        <w:rPr>
          <w:sz w:val="20"/>
          <w:szCs w:val="20"/>
        </w:rPr>
      </w:pPr>
      <w:r w:rsidDel="00000000" w:rsidR="00000000" w:rsidRPr="00000000">
        <w:rPr>
          <w:rtl w:val="0"/>
        </w:rPr>
        <w:t xml:space="preserve"> </w:t>
      </w:r>
      <w:r w:rsidDel="00000000" w:rsidR="00000000" w:rsidRPr="00000000">
        <w:rPr>
          <w:rtl w:val="0"/>
        </w:rPr>
      </w:r>
    </w:p>
  </w:footnote>
  <w:footnote w:id="10">
    <w:p w:rsidR="00000000" w:rsidDel="00000000" w:rsidP="00000000" w:rsidRDefault="00000000" w:rsidRPr="00000000" w14:paraId="00000036">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Bryman, A. (2016) </w:t>
      </w:r>
      <w:r w:rsidDel="00000000" w:rsidR="00000000" w:rsidRPr="00000000">
        <w:rPr>
          <w:i w:val="1"/>
          <w:rtl w:val="0"/>
        </w:rPr>
        <w:t xml:space="preserve">Quantity and quality in Social Research</w:t>
      </w:r>
      <w:r w:rsidDel="00000000" w:rsidR="00000000" w:rsidRPr="00000000">
        <w:rPr>
          <w:rtl w:val="0"/>
        </w:rPr>
        <w:t xml:space="preserve">. London: Routledge, pp 72.</w:t>
      </w:r>
    </w:p>
    <w:p w:rsidR="00000000" w:rsidDel="00000000" w:rsidP="00000000" w:rsidRDefault="00000000" w:rsidRPr="00000000" w14:paraId="00000037">
      <w:pPr>
        <w:spacing w:line="240" w:lineRule="auto"/>
        <w:rPr/>
      </w:pPr>
      <w:r w:rsidDel="00000000" w:rsidR="00000000" w:rsidRPr="00000000">
        <w:rPr>
          <w:rtl w:val="0"/>
        </w:rPr>
      </w:r>
    </w:p>
  </w:footnote>
  <w:footnote w:id="11">
    <w:p w:rsidR="00000000" w:rsidDel="00000000" w:rsidP="00000000" w:rsidRDefault="00000000" w:rsidRPr="00000000" w14:paraId="00000038">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Knott, K. (2015) </w:t>
      </w:r>
      <w:r w:rsidDel="00000000" w:rsidR="00000000" w:rsidRPr="00000000">
        <w:rPr>
          <w:i w:val="1"/>
          <w:rtl w:val="0"/>
        </w:rPr>
        <w:t xml:space="preserve">The location of religion: A spatial analysis</w:t>
      </w:r>
      <w:r w:rsidDel="00000000" w:rsidR="00000000" w:rsidRPr="00000000">
        <w:rPr>
          <w:rtl w:val="0"/>
        </w:rPr>
        <w:t xml:space="preserve">. London: Routledge. Pp. 6, 20.</w:t>
      </w:r>
    </w:p>
    <w:p w:rsidR="00000000" w:rsidDel="00000000" w:rsidP="00000000" w:rsidRDefault="00000000" w:rsidRPr="00000000" w14:paraId="00000039">
      <w:pPr>
        <w:spacing w:line="240" w:lineRule="auto"/>
        <w:rPr>
          <w:sz w:val="20"/>
          <w:szCs w:val="20"/>
        </w:rPr>
      </w:pPr>
      <w:r w:rsidDel="00000000" w:rsidR="00000000" w:rsidRPr="00000000">
        <w:rPr>
          <w:rtl w:val="0"/>
        </w:rPr>
      </w:r>
    </w:p>
  </w:footnote>
  <w:footnote w:id="13">
    <w:p w:rsidR="00000000" w:rsidDel="00000000" w:rsidP="00000000" w:rsidRDefault="00000000" w:rsidRPr="00000000" w14:paraId="0000003A">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Knott, K. (2015) </w:t>
      </w:r>
      <w:r w:rsidDel="00000000" w:rsidR="00000000" w:rsidRPr="00000000">
        <w:rPr>
          <w:i w:val="1"/>
          <w:rtl w:val="0"/>
        </w:rPr>
        <w:t xml:space="preserve">The location of religion: A spatial analysis</w:t>
      </w:r>
      <w:r w:rsidDel="00000000" w:rsidR="00000000" w:rsidRPr="00000000">
        <w:rPr>
          <w:rtl w:val="0"/>
        </w:rPr>
        <w:t xml:space="preserve">. London: Routledge. Pp 18</w:t>
      </w:r>
    </w:p>
    <w:p w:rsidR="00000000" w:rsidDel="00000000" w:rsidP="00000000" w:rsidRDefault="00000000" w:rsidRPr="00000000" w14:paraId="0000003B">
      <w:pPr>
        <w:spacing w:line="240" w:lineRule="auto"/>
        <w:rPr>
          <w:sz w:val="20"/>
          <w:szCs w:val="20"/>
        </w:rPr>
      </w:pPr>
      <w:r w:rsidDel="00000000" w:rsidR="00000000" w:rsidRPr="00000000">
        <w:rPr>
          <w:rtl w:val="0"/>
        </w:rPr>
      </w:r>
    </w:p>
  </w:footnote>
  <w:footnote w:id="14">
    <w:p w:rsidR="00000000" w:rsidDel="00000000" w:rsidP="00000000" w:rsidRDefault="00000000" w:rsidRPr="00000000" w14:paraId="0000003C">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Whitehead, A.R. (2013) </w:t>
      </w:r>
      <w:r w:rsidDel="00000000" w:rsidR="00000000" w:rsidRPr="00000000">
        <w:rPr>
          <w:i w:val="1"/>
          <w:rtl w:val="0"/>
        </w:rPr>
        <w:t xml:space="preserve">Religious statues and personhood: Testing the role of Materiality</w:t>
      </w:r>
      <w:r w:rsidDel="00000000" w:rsidR="00000000" w:rsidRPr="00000000">
        <w:rPr>
          <w:rtl w:val="0"/>
        </w:rPr>
        <w:t xml:space="preserve">. London: Bloomsbury. </w:t>
      </w:r>
    </w:p>
    <w:p w:rsidR="00000000" w:rsidDel="00000000" w:rsidP="00000000" w:rsidRDefault="00000000" w:rsidRPr="00000000" w14:paraId="0000003D">
      <w:pPr>
        <w:spacing w:line="240" w:lineRule="auto"/>
        <w:rPr>
          <w:sz w:val="20"/>
          <w:szCs w:val="20"/>
        </w:rPr>
      </w:pPr>
      <w:r w:rsidDel="00000000" w:rsidR="00000000" w:rsidRPr="00000000">
        <w:rPr>
          <w:rtl w:val="0"/>
        </w:rPr>
      </w:r>
    </w:p>
  </w:footnote>
  <w:footnote w:id="16">
    <w:p w:rsidR="00000000" w:rsidDel="00000000" w:rsidP="00000000" w:rsidRDefault="00000000" w:rsidRPr="00000000" w14:paraId="0000003E">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Brink, T.L. (1978) ‘Inconsistency of belief among Roman Catholic girls: Concerning religion, astrology, reincarnation’, </w:t>
      </w:r>
      <w:r w:rsidDel="00000000" w:rsidR="00000000" w:rsidRPr="00000000">
        <w:rPr>
          <w:i w:val="1"/>
          <w:rtl w:val="0"/>
        </w:rPr>
        <w:t xml:space="preserve">Review of Religious Research</w:t>
      </w:r>
      <w:r w:rsidDel="00000000" w:rsidR="00000000" w:rsidRPr="00000000">
        <w:rPr>
          <w:rtl w:val="0"/>
        </w:rPr>
        <w:t xml:space="preserve">, 20(1), p. 85.</w:t>
      </w:r>
    </w:p>
    <w:p w:rsidR="00000000" w:rsidDel="00000000" w:rsidP="00000000" w:rsidRDefault="00000000" w:rsidRPr="00000000" w14:paraId="0000003F">
      <w:pPr>
        <w:spacing w:line="240" w:lineRule="auto"/>
        <w:rPr>
          <w:sz w:val="20"/>
          <w:szCs w:val="20"/>
        </w:rPr>
      </w:pPr>
      <w:r w:rsidDel="00000000" w:rsidR="00000000" w:rsidRPr="00000000">
        <w:rPr>
          <w:rtl w:val="0"/>
        </w:rPr>
      </w:r>
    </w:p>
  </w:footnote>
  <w:footnote w:id="1">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Émile Durkheim</w:t>
      </w:r>
      <w:r w:rsidDel="00000000" w:rsidR="00000000" w:rsidRPr="00000000">
        <w:rPr>
          <w:sz w:val="20"/>
          <w:szCs w:val="20"/>
          <w:rtl w:val="0"/>
        </w:rPr>
        <w:t xml:space="preserve"> (2024) </w:t>
      </w:r>
      <w:r w:rsidDel="00000000" w:rsidR="00000000" w:rsidRPr="00000000">
        <w:rPr>
          <w:i w:val="1"/>
          <w:sz w:val="20"/>
          <w:szCs w:val="20"/>
          <w:rtl w:val="0"/>
        </w:rPr>
        <w:t xml:space="preserve">Encyclopædia Britannica</w:t>
      </w:r>
      <w:r w:rsidDel="00000000" w:rsidR="00000000" w:rsidRPr="00000000">
        <w:rPr>
          <w:sz w:val="20"/>
          <w:szCs w:val="20"/>
          <w:rtl w:val="0"/>
        </w:rPr>
        <w:t xml:space="preserve">. Available at: https://www.britannica.com/biography/Emile-Durkheim (Accessed: 19 November 2024). </w:t>
      </w:r>
    </w:p>
    <w:p w:rsidR="00000000" w:rsidDel="00000000" w:rsidP="00000000" w:rsidRDefault="00000000" w:rsidRPr="00000000" w14:paraId="00000041">
      <w:pPr>
        <w:spacing w:line="240" w:lineRule="auto"/>
        <w:rPr>
          <w:sz w:val="20"/>
          <w:szCs w:val="20"/>
        </w:rPr>
      </w:pPr>
      <w:r w:rsidDel="00000000" w:rsidR="00000000" w:rsidRPr="00000000">
        <w:rPr>
          <w:rtl w:val="0"/>
        </w:rPr>
      </w:r>
    </w:p>
  </w:footnote>
  <w:footnote w:id="2">
    <w:p w:rsidR="00000000" w:rsidDel="00000000" w:rsidP="00000000" w:rsidRDefault="00000000" w:rsidRPr="00000000" w14:paraId="00000042">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rtl w:val="0"/>
        </w:rPr>
        <w:t xml:space="preserve">Mircea Eliade</w:t>
      </w:r>
      <w:r w:rsidDel="00000000" w:rsidR="00000000" w:rsidRPr="00000000">
        <w:rPr>
          <w:rtl w:val="0"/>
        </w:rPr>
        <w:t xml:space="preserve"> (2024) </w:t>
      </w:r>
      <w:r w:rsidDel="00000000" w:rsidR="00000000" w:rsidRPr="00000000">
        <w:rPr>
          <w:i w:val="1"/>
          <w:rtl w:val="0"/>
        </w:rPr>
        <w:t xml:space="preserve">Encyclopædia Britannica</w:t>
      </w:r>
      <w:r w:rsidDel="00000000" w:rsidR="00000000" w:rsidRPr="00000000">
        <w:rPr>
          <w:rtl w:val="0"/>
        </w:rPr>
        <w:t xml:space="preserve">. Available at: https://www.britannica.com/biography/Mircea-Eliade (Accessed: 19 November 2024). </w:t>
      </w:r>
    </w:p>
    <w:p w:rsidR="00000000" w:rsidDel="00000000" w:rsidP="00000000" w:rsidRDefault="00000000" w:rsidRPr="00000000" w14:paraId="00000043">
      <w:pPr>
        <w:spacing w:line="240" w:lineRule="auto"/>
        <w:rPr/>
      </w:pPr>
      <w:r w:rsidDel="00000000" w:rsidR="00000000" w:rsidRPr="00000000">
        <w:rPr>
          <w:rtl w:val="0"/>
        </w:rPr>
      </w:r>
    </w:p>
  </w:footnote>
  <w:footnote w:id="7">
    <w:p w:rsidR="00000000" w:rsidDel="00000000" w:rsidP="00000000" w:rsidRDefault="00000000" w:rsidRPr="00000000" w14:paraId="00000044">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26</w:t>
      </w:r>
    </w:p>
    <w:p w:rsidR="00000000" w:rsidDel="00000000" w:rsidP="00000000" w:rsidRDefault="00000000" w:rsidRPr="00000000" w14:paraId="00000045">
      <w:pPr>
        <w:spacing w:line="240" w:lineRule="auto"/>
        <w:rPr/>
      </w:pPr>
      <w:r w:rsidDel="00000000" w:rsidR="00000000" w:rsidRPr="00000000">
        <w:rPr>
          <w:rtl w:val="0"/>
        </w:rPr>
      </w:r>
    </w:p>
  </w:footnote>
  <w:footnote w:id="6">
    <w:p w:rsidR="00000000" w:rsidDel="00000000" w:rsidP="00000000" w:rsidRDefault="00000000" w:rsidRPr="00000000" w14:paraId="00000046">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XX </w:t>
      </w:r>
    </w:p>
    <w:p w:rsidR="00000000" w:rsidDel="00000000" w:rsidP="00000000" w:rsidRDefault="00000000" w:rsidRPr="00000000" w14:paraId="00000047">
      <w:pPr>
        <w:spacing w:line="240" w:lineRule="auto"/>
        <w:rPr/>
      </w:pPr>
      <w:r w:rsidDel="00000000" w:rsidR="00000000" w:rsidRPr="00000000">
        <w:rPr>
          <w:rtl w:val="0"/>
        </w:rPr>
      </w:r>
    </w:p>
  </w:footnote>
  <w:footnote w:id="8">
    <w:p w:rsidR="00000000" w:rsidDel="00000000" w:rsidP="00000000" w:rsidRDefault="00000000" w:rsidRPr="00000000" w14:paraId="00000048">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w:t>
      </w:r>
    </w:p>
    <w:p w:rsidR="00000000" w:rsidDel="00000000" w:rsidP="00000000" w:rsidRDefault="00000000" w:rsidRPr="00000000" w14:paraId="00000049">
      <w:pPr>
        <w:spacing w:line="240" w:lineRule="auto"/>
        <w:rPr/>
      </w:pPr>
      <w:r w:rsidDel="00000000" w:rsidR="00000000" w:rsidRPr="00000000">
        <w:rPr>
          <w:rtl w:val="0"/>
        </w:rPr>
      </w:r>
    </w:p>
  </w:footnote>
  <w:footnote w:id="12">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pp.  XVII–XXXIII. </w:t>
      </w:r>
      <w:r w:rsidDel="00000000" w:rsidR="00000000" w:rsidRPr="00000000">
        <w:rPr>
          <w:rtl w:val="0"/>
        </w:rPr>
      </w:r>
    </w:p>
  </w:footnote>
  <w:footnote w:id="15">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pp. XVIII</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