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DD76E" w14:textId="77777777" w:rsidR="00A3434D" w:rsidRPr="00F96E78" w:rsidRDefault="00A3434D" w:rsidP="00A3434D">
      <w:pPr>
        <w:rPr>
          <w:rFonts w:ascii="Arial" w:hAnsi="Arial" w:cs="Arial"/>
          <w:b/>
          <w:bCs/>
          <w:sz w:val="20"/>
          <w:szCs w:val="20"/>
        </w:rPr>
      </w:pPr>
      <w:r w:rsidRPr="00F96E78">
        <w:rPr>
          <w:rFonts w:ascii="Arial" w:hAnsi="Arial" w:cs="Arial"/>
          <w:b/>
          <w:bCs/>
          <w:sz w:val="20"/>
          <w:szCs w:val="20"/>
        </w:rPr>
        <w:t>Student Name – Ismaeel Arshad</w:t>
      </w:r>
    </w:p>
    <w:p w14:paraId="313E8149" w14:textId="77777777" w:rsidR="00A3434D" w:rsidRPr="00F96E78" w:rsidRDefault="00A3434D" w:rsidP="00A3434D">
      <w:pPr>
        <w:rPr>
          <w:rFonts w:ascii="Arial" w:hAnsi="Arial" w:cs="Arial"/>
          <w:b/>
          <w:bCs/>
          <w:sz w:val="20"/>
          <w:szCs w:val="20"/>
        </w:rPr>
      </w:pPr>
      <w:r w:rsidRPr="00F96E78">
        <w:rPr>
          <w:rFonts w:ascii="Arial" w:hAnsi="Arial" w:cs="Arial"/>
          <w:b/>
          <w:bCs/>
          <w:sz w:val="20"/>
          <w:szCs w:val="20"/>
        </w:rPr>
        <w:t>Student number – 2316134</w:t>
      </w:r>
      <w:r w:rsidRPr="00F96E78">
        <w:rPr>
          <w:rFonts w:ascii="Arial" w:hAnsi="Arial" w:cs="Arial"/>
          <w:b/>
          <w:bCs/>
          <w:sz w:val="20"/>
          <w:szCs w:val="20"/>
        </w:rPr>
        <w:tab/>
      </w:r>
    </w:p>
    <w:p w14:paraId="45F29DC5" w14:textId="7CAD143A" w:rsidR="00A3434D" w:rsidRPr="00A3434D" w:rsidRDefault="00A3434D" w:rsidP="00A3434D">
      <w:pPr>
        <w:spacing w:before="120" w:after="120"/>
        <w:rPr>
          <w:rFonts w:ascii="Arial" w:hAnsi="Arial" w:cs="Arial"/>
          <w:b/>
        </w:rPr>
      </w:pPr>
      <w:r w:rsidRPr="00F96E78">
        <w:rPr>
          <w:rFonts w:ascii="Arial" w:hAnsi="Arial" w:cs="Arial"/>
          <w:b/>
          <w:bCs/>
          <w:sz w:val="20"/>
          <w:szCs w:val="20"/>
        </w:rPr>
        <w:t xml:space="preserve">Module - </w:t>
      </w:r>
      <w:r>
        <w:rPr>
          <w:rFonts w:ascii="Arial" w:eastAsia="Arial" w:hAnsi="Arial" w:cs="Arial"/>
          <w:b/>
        </w:rPr>
        <w:t xml:space="preserve">Project Management </w:t>
      </w:r>
      <w:r w:rsidRPr="001A03AA">
        <w:rPr>
          <w:rFonts w:ascii="Arial" w:eastAsia="Arial" w:hAnsi="Arial" w:cs="Arial"/>
          <w:b/>
        </w:rPr>
        <w:t xml:space="preserve"> </w:t>
      </w:r>
    </w:p>
    <w:p w14:paraId="079B56A7" w14:textId="2C1A791E" w:rsidR="00A3434D" w:rsidRDefault="00A3434D" w:rsidP="00A3434D">
      <w:pPr>
        <w:rPr>
          <w:b/>
          <w:bCs/>
          <w:sz w:val="24"/>
          <w:szCs w:val="24"/>
        </w:rPr>
      </w:pPr>
      <w:r w:rsidRPr="00F96E78">
        <w:rPr>
          <w:rFonts w:ascii="Arial" w:hAnsi="Arial" w:cs="Arial"/>
          <w:b/>
          <w:bCs/>
          <w:color w:val="000000" w:themeColor="text1"/>
          <w:sz w:val="20"/>
          <w:szCs w:val="20"/>
        </w:rPr>
        <w:t xml:space="preserve">Module Code - </w:t>
      </w:r>
      <w:r w:rsidRPr="002749C1">
        <w:rPr>
          <w:b/>
          <w:bCs/>
          <w:sz w:val="24"/>
          <w:szCs w:val="24"/>
        </w:rPr>
        <w:t>LCLM5003</w:t>
      </w:r>
    </w:p>
    <w:p w14:paraId="34BA99E2" w14:textId="77777777" w:rsidR="00A3434D" w:rsidRDefault="00A3434D" w:rsidP="00A3434D">
      <w:pPr>
        <w:rPr>
          <w:b/>
          <w:bCs/>
          <w:sz w:val="24"/>
          <w:szCs w:val="24"/>
        </w:rPr>
      </w:pPr>
    </w:p>
    <w:p w14:paraId="381B8A22" w14:textId="77777777" w:rsidR="00A3434D" w:rsidRDefault="00A3434D" w:rsidP="00A3434D">
      <w:pPr>
        <w:rPr>
          <w:b/>
          <w:bCs/>
          <w:sz w:val="24"/>
          <w:szCs w:val="24"/>
        </w:rPr>
      </w:pPr>
    </w:p>
    <w:p w14:paraId="711803B7" w14:textId="77777777" w:rsidR="00A3434D" w:rsidRDefault="00A3434D" w:rsidP="00A3434D">
      <w:pPr>
        <w:rPr>
          <w:b/>
          <w:bCs/>
          <w:sz w:val="24"/>
          <w:szCs w:val="24"/>
        </w:rPr>
      </w:pPr>
    </w:p>
    <w:p w14:paraId="38DC05C2" w14:textId="77777777" w:rsidR="00A3434D" w:rsidRDefault="00A3434D" w:rsidP="00A3434D">
      <w:pPr>
        <w:rPr>
          <w:b/>
          <w:bCs/>
          <w:sz w:val="24"/>
          <w:szCs w:val="24"/>
        </w:rPr>
      </w:pPr>
    </w:p>
    <w:p w14:paraId="7F851859" w14:textId="77777777" w:rsidR="00A3434D" w:rsidRDefault="00A3434D" w:rsidP="00A3434D">
      <w:pPr>
        <w:rPr>
          <w:b/>
          <w:bCs/>
          <w:sz w:val="24"/>
          <w:szCs w:val="24"/>
        </w:rPr>
      </w:pPr>
    </w:p>
    <w:p w14:paraId="25837CF8" w14:textId="77777777" w:rsidR="00A3434D" w:rsidRDefault="00A3434D" w:rsidP="00A3434D">
      <w:pPr>
        <w:rPr>
          <w:b/>
          <w:bCs/>
          <w:sz w:val="24"/>
          <w:szCs w:val="24"/>
        </w:rPr>
      </w:pPr>
    </w:p>
    <w:p w14:paraId="6FCD6114" w14:textId="77777777" w:rsidR="00A3434D" w:rsidRDefault="00A3434D" w:rsidP="00A3434D">
      <w:pPr>
        <w:rPr>
          <w:b/>
          <w:bCs/>
          <w:sz w:val="24"/>
          <w:szCs w:val="24"/>
        </w:rPr>
      </w:pPr>
    </w:p>
    <w:p w14:paraId="12FDAEF0" w14:textId="77777777" w:rsidR="00A3434D" w:rsidRDefault="00A3434D" w:rsidP="00A3434D">
      <w:pPr>
        <w:rPr>
          <w:b/>
          <w:bCs/>
          <w:sz w:val="24"/>
          <w:szCs w:val="24"/>
        </w:rPr>
      </w:pPr>
    </w:p>
    <w:p w14:paraId="3CF825CC" w14:textId="77777777" w:rsidR="00A3434D" w:rsidRDefault="00A3434D" w:rsidP="00A3434D">
      <w:pPr>
        <w:rPr>
          <w:b/>
          <w:bCs/>
          <w:sz w:val="24"/>
          <w:szCs w:val="24"/>
        </w:rPr>
      </w:pPr>
    </w:p>
    <w:p w14:paraId="176F99EE" w14:textId="77777777" w:rsidR="00A3434D" w:rsidRDefault="00A3434D" w:rsidP="00A3434D">
      <w:pPr>
        <w:rPr>
          <w:b/>
          <w:bCs/>
          <w:sz w:val="24"/>
          <w:szCs w:val="24"/>
        </w:rPr>
      </w:pPr>
    </w:p>
    <w:p w14:paraId="1AAED82A" w14:textId="77777777" w:rsidR="00A3434D" w:rsidRDefault="00A3434D" w:rsidP="00A3434D">
      <w:pPr>
        <w:rPr>
          <w:b/>
          <w:bCs/>
          <w:sz w:val="24"/>
          <w:szCs w:val="24"/>
        </w:rPr>
      </w:pPr>
    </w:p>
    <w:p w14:paraId="75C4A1F9" w14:textId="77777777" w:rsidR="00A3434D" w:rsidRDefault="00A3434D" w:rsidP="00A3434D">
      <w:pPr>
        <w:rPr>
          <w:b/>
          <w:bCs/>
          <w:sz w:val="24"/>
          <w:szCs w:val="24"/>
        </w:rPr>
      </w:pPr>
    </w:p>
    <w:p w14:paraId="3214662E" w14:textId="77777777" w:rsidR="00A3434D" w:rsidRDefault="00A3434D" w:rsidP="00A3434D">
      <w:pPr>
        <w:rPr>
          <w:b/>
          <w:bCs/>
          <w:sz w:val="24"/>
          <w:szCs w:val="24"/>
        </w:rPr>
      </w:pPr>
    </w:p>
    <w:p w14:paraId="58364D07" w14:textId="77777777" w:rsidR="00A3434D" w:rsidRDefault="00A3434D" w:rsidP="00A3434D">
      <w:pPr>
        <w:rPr>
          <w:b/>
          <w:bCs/>
          <w:sz w:val="24"/>
          <w:szCs w:val="24"/>
        </w:rPr>
      </w:pPr>
    </w:p>
    <w:p w14:paraId="4BE1631C" w14:textId="77777777" w:rsidR="00A3434D" w:rsidRDefault="00A3434D" w:rsidP="00A3434D">
      <w:pPr>
        <w:rPr>
          <w:b/>
          <w:bCs/>
          <w:sz w:val="24"/>
          <w:szCs w:val="24"/>
        </w:rPr>
      </w:pPr>
    </w:p>
    <w:p w14:paraId="4F33FA57" w14:textId="77777777" w:rsidR="00A3434D" w:rsidRDefault="00A3434D" w:rsidP="00A3434D">
      <w:pPr>
        <w:rPr>
          <w:b/>
          <w:bCs/>
          <w:sz w:val="24"/>
          <w:szCs w:val="24"/>
        </w:rPr>
      </w:pPr>
    </w:p>
    <w:p w14:paraId="5F7C14E3" w14:textId="77777777" w:rsidR="00A3434D" w:rsidRDefault="00A3434D" w:rsidP="00A3434D">
      <w:pPr>
        <w:rPr>
          <w:b/>
          <w:bCs/>
          <w:sz w:val="24"/>
          <w:szCs w:val="24"/>
        </w:rPr>
      </w:pPr>
    </w:p>
    <w:p w14:paraId="72D7D2C0" w14:textId="77777777" w:rsidR="00A3434D" w:rsidRDefault="00A3434D" w:rsidP="00A3434D">
      <w:pPr>
        <w:rPr>
          <w:b/>
          <w:bCs/>
          <w:sz w:val="24"/>
          <w:szCs w:val="24"/>
        </w:rPr>
      </w:pPr>
    </w:p>
    <w:p w14:paraId="5A7EC7CE" w14:textId="77777777" w:rsidR="00A3434D" w:rsidRDefault="00A3434D" w:rsidP="00A3434D">
      <w:pPr>
        <w:rPr>
          <w:b/>
          <w:bCs/>
          <w:sz w:val="24"/>
          <w:szCs w:val="24"/>
        </w:rPr>
      </w:pPr>
    </w:p>
    <w:p w14:paraId="18D05E5F" w14:textId="77777777" w:rsidR="00A3434D" w:rsidRDefault="00A3434D" w:rsidP="00A3434D">
      <w:pPr>
        <w:rPr>
          <w:b/>
          <w:bCs/>
          <w:sz w:val="24"/>
          <w:szCs w:val="24"/>
        </w:rPr>
      </w:pPr>
    </w:p>
    <w:p w14:paraId="6AD38A46" w14:textId="77777777" w:rsidR="00A3434D" w:rsidRDefault="00A3434D" w:rsidP="00A3434D">
      <w:pPr>
        <w:rPr>
          <w:b/>
          <w:bCs/>
          <w:sz w:val="24"/>
          <w:szCs w:val="24"/>
        </w:rPr>
      </w:pPr>
    </w:p>
    <w:p w14:paraId="6D9D3091" w14:textId="77777777" w:rsidR="00A3434D" w:rsidRDefault="00A3434D" w:rsidP="00A3434D">
      <w:pPr>
        <w:rPr>
          <w:b/>
          <w:bCs/>
          <w:sz w:val="24"/>
          <w:szCs w:val="24"/>
        </w:rPr>
      </w:pPr>
    </w:p>
    <w:p w14:paraId="07299AC5" w14:textId="77777777" w:rsidR="00A3434D" w:rsidRDefault="00A3434D" w:rsidP="00A3434D">
      <w:pPr>
        <w:rPr>
          <w:b/>
          <w:bCs/>
          <w:sz w:val="24"/>
          <w:szCs w:val="24"/>
        </w:rPr>
      </w:pPr>
    </w:p>
    <w:p w14:paraId="77B053C3" w14:textId="77777777" w:rsidR="00A3434D" w:rsidRDefault="00A3434D" w:rsidP="00A3434D">
      <w:pPr>
        <w:rPr>
          <w:b/>
          <w:bCs/>
          <w:sz w:val="24"/>
          <w:szCs w:val="24"/>
        </w:rPr>
      </w:pPr>
    </w:p>
    <w:p w14:paraId="527C2D31" w14:textId="77777777" w:rsidR="00A3434D" w:rsidRDefault="00A3434D" w:rsidP="00A3434D">
      <w:pPr>
        <w:rPr>
          <w:b/>
          <w:bCs/>
          <w:sz w:val="24"/>
          <w:szCs w:val="24"/>
        </w:rPr>
      </w:pPr>
    </w:p>
    <w:p w14:paraId="52DA484C" w14:textId="77777777" w:rsidR="00A3434D" w:rsidRDefault="00A3434D" w:rsidP="00A3434D">
      <w:pPr>
        <w:rPr>
          <w:b/>
          <w:bCs/>
          <w:sz w:val="24"/>
          <w:szCs w:val="24"/>
        </w:rPr>
      </w:pPr>
    </w:p>
    <w:p w14:paraId="61278052" w14:textId="2173A58F" w:rsidR="00A3434D" w:rsidRPr="00A3434D" w:rsidRDefault="00A3434D" w:rsidP="00A3434D">
      <w:pPr>
        <w:rPr>
          <w:rFonts w:cstheme="minorHAnsi"/>
          <w:b/>
          <w:sz w:val="24"/>
          <w:szCs w:val="24"/>
        </w:rPr>
      </w:pPr>
      <w:r w:rsidRPr="00A3434D">
        <w:rPr>
          <w:rFonts w:cstheme="minorHAnsi"/>
          <w:b/>
          <w:sz w:val="24"/>
          <w:szCs w:val="24"/>
        </w:rPr>
        <w:lastRenderedPageBreak/>
        <w:t>Part A- Project proposal poster</w:t>
      </w:r>
    </w:p>
    <w:p w14:paraId="1BF10E8D" w14:textId="77777777" w:rsidR="00A3434D" w:rsidRDefault="00A3434D" w:rsidP="00A3434D">
      <w:pPr>
        <w:rPr>
          <w:rFonts w:ascii="Arial" w:hAnsi="Arial" w:cs="Arial"/>
          <w:b/>
          <w:bCs/>
          <w:sz w:val="20"/>
          <w:szCs w:val="20"/>
        </w:rPr>
      </w:pPr>
    </w:p>
    <w:p w14:paraId="1F1FB790" w14:textId="1069D2B9" w:rsidR="007A6FA0" w:rsidRDefault="00A3434D">
      <w:r w:rsidRPr="00A3434D">
        <w:drawing>
          <wp:inline distT="0" distB="0" distL="0" distR="0" wp14:anchorId="46C5AC1E" wp14:editId="4C0D398E">
            <wp:extent cx="5731510" cy="7981315"/>
            <wp:effectExtent l="0" t="0" r="0" b="0"/>
            <wp:docPr id="98021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12279" name=""/>
                    <pic:cNvPicPr/>
                  </pic:nvPicPr>
                  <pic:blipFill>
                    <a:blip r:embed="rId5"/>
                    <a:stretch>
                      <a:fillRect/>
                    </a:stretch>
                  </pic:blipFill>
                  <pic:spPr>
                    <a:xfrm>
                      <a:off x="0" y="0"/>
                      <a:ext cx="5731510" cy="7981315"/>
                    </a:xfrm>
                    <a:prstGeom prst="rect">
                      <a:avLst/>
                    </a:prstGeom>
                  </pic:spPr>
                </pic:pic>
              </a:graphicData>
            </a:graphic>
          </wp:inline>
        </w:drawing>
      </w:r>
    </w:p>
    <w:p w14:paraId="0B32BEFE" w14:textId="77777777" w:rsidR="00A3434D" w:rsidRDefault="00A3434D"/>
    <w:p w14:paraId="205AC46A" w14:textId="6164E542" w:rsidR="00A3434D" w:rsidRPr="00A3434D" w:rsidRDefault="00A3434D" w:rsidP="00A3434D">
      <w:pPr>
        <w:jc w:val="both"/>
        <w:rPr>
          <w:rFonts w:cstheme="minorHAnsi"/>
          <w:b/>
          <w:sz w:val="24"/>
          <w:szCs w:val="24"/>
        </w:rPr>
      </w:pPr>
      <w:r w:rsidRPr="00A3434D">
        <w:rPr>
          <w:rFonts w:cstheme="minorHAnsi"/>
          <w:b/>
          <w:sz w:val="24"/>
          <w:szCs w:val="24"/>
        </w:rPr>
        <w:lastRenderedPageBreak/>
        <w:t>Part B</w:t>
      </w:r>
      <w:r w:rsidRPr="00A3434D">
        <w:rPr>
          <w:rFonts w:cstheme="minorHAnsi"/>
          <w:b/>
          <w:sz w:val="24"/>
          <w:szCs w:val="24"/>
        </w:rPr>
        <w:t>:</w:t>
      </w:r>
      <w:r w:rsidRPr="00A3434D">
        <w:rPr>
          <w:rFonts w:cstheme="minorHAnsi"/>
          <w:b/>
          <w:sz w:val="24"/>
          <w:szCs w:val="24"/>
        </w:rPr>
        <w:t xml:space="preserve"> </w:t>
      </w:r>
    </w:p>
    <w:p w14:paraId="6732B935" w14:textId="77777777" w:rsidR="00A3434D" w:rsidRPr="00A3434D" w:rsidRDefault="00A3434D" w:rsidP="00A3434D">
      <w:r w:rsidRPr="00A3434D">
        <w:t xml:space="preserve">The project proposal poster was presented to tutors and peers to obtain constructive feedback before developing the final project management plan. Receiving feedback is an essential stage of project planning because it enables ideas to be critically evaluated and improved before implementation. Reflecting on this process using </w:t>
      </w:r>
      <w:r w:rsidRPr="00A3434D">
        <w:rPr>
          <w:b/>
          <w:bCs/>
        </w:rPr>
        <w:t>Gibbs' Reflective Cycle (1988)</w:t>
      </w:r>
      <w:r w:rsidRPr="00A3434D">
        <w:t xml:space="preserve"> allowed me to evaluate the effectiveness of my initial proposal and identify areas requiring further development.</w:t>
      </w:r>
    </w:p>
    <w:p w14:paraId="1FF82629" w14:textId="77777777" w:rsidR="00A3434D" w:rsidRPr="00A3434D" w:rsidRDefault="00A3434D" w:rsidP="00A3434D">
      <w:r w:rsidRPr="00A3434D">
        <w:t>One of the main strengths identified by both the tutor and my peers was the clarity of the project rationale and objectives. The redevelopment of the central transport hub was considered an appropriate project choice because it directly addressed the scenario by responding to issues of public safety, accessibility, sustainability and economic regeneration. The poster was also praised for its logical structure and professional appearance, with information organised into clearly defined sections that were easy to follow. Furthermore, the strategic value of the project, particularly its links to environmental sustainability and improved transport infrastructure, demonstrated a good understanding of contemporary project management challenges. This positive feedback increased my confidence that the proposed project aligned well with stakeholder expectations and organisational priorities.</w:t>
      </w:r>
    </w:p>
    <w:p w14:paraId="0DDCA8B2" w14:textId="77777777" w:rsidR="00A3434D" w:rsidRPr="00A3434D" w:rsidRDefault="00A3434D" w:rsidP="00A3434D">
      <w:r w:rsidRPr="00A3434D">
        <w:t xml:space="preserve">Despite these strengths, valuable suggestions were made to improve the proposal further. The tutor noted that although the project objectives were relevant, they would benefit from being written as </w:t>
      </w:r>
      <w:r w:rsidRPr="00A3434D">
        <w:rPr>
          <w:b/>
          <w:bCs/>
        </w:rPr>
        <w:t>SMART objectives</w:t>
      </w:r>
      <w:r w:rsidRPr="00A3434D">
        <w:t xml:space="preserve"> (Specific, Measurable, Achievable, Relevant and Time-bound). This would provide clearer measures of project success and make performance monitoring more effective. In addition, peers commented that the stakeholder section identified the main stakeholders but did not demonstrate the level of influence or interest each stakeholder would have throughout the project lifecycle. They suggested incorporating a stakeholder matrix to show how communication and engagement strategies would differ depending on stakeholder power and interest.</w:t>
      </w:r>
    </w:p>
    <w:p w14:paraId="6540782C" w14:textId="77777777" w:rsidR="00A3434D" w:rsidRPr="00A3434D" w:rsidRDefault="00A3434D" w:rsidP="00A3434D">
      <w:r w:rsidRPr="00A3434D">
        <w:t>Further feedback highlighted that the risk section was too brief and focused primarily on identifying risks rather than explaining how they would be managed. The tutor recommended expanding this into a formal risk analysis using likelihood and impact assessments alongside mitigation strategies. This recommendation reinforced the importance of proactive risk management within successful project delivery. It also became clear that the poster provided only a broad overview of project planning tools without explaining how they would be applied during project execution.</w:t>
      </w:r>
    </w:p>
    <w:p w14:paraId="754F2312" w14:textId="77777777" w:rsidR="00A3434D" w:rsidRPr="00A3434D" w:rsidRDefault="00A3434D" w:rsidP="00A3434D">
      <w:r w:rsidRPr="00A3434D">
        <w:t>The feedback has significantly influenced the development of my final project management plan. The project objectives will be rewritten using the SMART framework to provide measurable outcomes that can be evaluated throughout the project lifecycle. A comprehensive stakeholder analysis, including a power-interest matrix and communication plan, will be incorporated to demonstrate effective stakeholder engagement. In addition, the final report will include a detailed Work Breakdown Structure (WBS), Gantt Chart, Quad Chart, resource allocation plan and comprehensive risk register. These additions will demonstrate the practical application of recognised project management methodologies, including PRINCE2 principles and the PMBOK framework, providing greater evidence of planning, monitoring and control.</w:t>
      </w:r>
    </w:p>
    <w:p w14:paraId="780169BD" w14:textId="77777777" w:rsidR="00A3434D" w:rsidRDefault="00A3434D" w:rsidP="00A3434D">
      <w:r w:rsidRPr="00A3434D">
        <w:t xml:space="preserve">Overall, the feedback process highlighted that effective project management depends upon continuous evaluation and improvement. The comments received enabled weaknesses within the original proposal to be identified before completing the final project plan. Consequently, the revised project management plan will be more detailed, evidence-based and aligned with recognised project </w:t>
      </w:r>
      <w:r w:rsidRPr="00A3434D">
        <w:lastRenderedPageBreak/>
        <w:t>management best practice, increasing its likelihood of delivering a successful transport hub redevelopment project.</w:t>
      </w:r>
    </w:p>
    <w:p w14:paraId="673DB511" w14:textId="77777777" w:rsidR="00507156" w:rsidRDefault="00507156" w:rsidP="00A3434D">
      <w:pPr>
        <w:rPr>
          <w:b/>
          <w:bCs/>
          <w:sz w:val="28"/>
          <w:szCs w:val="28"/>
        </w:rPr>
      </w:pPr>
    </w:p>
    <w:p w14:paraId="62D4CB00" w14:textId="77777777" w:rsidR="00507156" w:rsidRDefault="00507156" w:rsidP="00A3434D">
      <w:pPr>
        <w:rPr>
          <w:b/>
          <w:bCs/>
          <w:sz w:val="28"/>
          <w:szCs w:val="28"/>
        </w:rPr>
      </w:pPr>
    </w:p>
    <w:p w14:paraId="5BDDA596" w14:textId="45582D75" w:rsidR="00507156" w:rsidRPr="00507156" w:rsidRDefault="00507156" w:rsidP="00A3434D">
      <w:pPr>
        <w:rPr>
          <w:b/>
          <w:bCs/>
          <w:sz w:val="28"/>
          <w:szCs w:val="28"/>
        </w:rPr>
      </w:pPr>
      <w:r w:rsidRPr="00507156">
        <w:rPr>
          <w:b/>
          <w:bCs/>
          <w:sz w:val="28"/>
          <w:szCs w:val="28"/>
        </w:rPr>
        <w:t>Part C:</w:t>
      </w:r>
    </w:p>
    <w:p w14:paraId="706EE038" w14:textId="67ED9FC8" w:rsidR="00A3434D" w:rsidRDefault="00A3434D">
      <w:pPr>
        <w:rPr>
          <w:b/>
          <w:bCs/>
        </w:rPr>
      </w:pPr>
      <w:r>
        <w:rPr>
          <w:b/>
          <w:bCs/>
        </w:rPr>
        <w:t>Introduction:</w:t>
      </w:r>
    </w:p>
    <w:p w14:paraId="0C7C6997" w14:textId="77777777" w:rsidR="00A3434D" w:rsidRPr="00A3434D" w:rsidRDefault="00A3434D" w:rsidP="00A3434D">
      <w:r w:rsidRPr="00A3434D">
        <w:t>Project management is a systematic process that enables organisations to plan, coordinate and control projects to achieve specific objectives within agreed time, cost and quality constraints (Project Management Institute (PMI), 2021). Effective project management is particularly important in large-scale infrastructure projects, where multiple stakeholders, complex risks and significant financial investment require careful planning and governance. The use of recognised project management methodologies helps ensure that projects are delivered efficiently while meeting organisational objectives and stakeholder expectations.</w:t>
      </w:r>
    </w:p>
    <w:p w14:paraId="1BEB8207" w14:textId="77777777" w:rsidR="00A3434D" w:rsidRPr="00A3434D" w:rsidRDefault="00A3434D" w:rsidP="00A3434D">
      <w:r w:rsidRPr="00A3434D">
        <w:t>This project management plan has been developed in response to the urgent redevelopment of a central transport hub in a major UK metropolitan city following its closure due to structural safety concerns. The closure has caused widespread disruption to public transport services, freight logistics and local businesses, highlighting the need for a modern, safe and sustainable transport interchange. The proposed redevelopment aims to restore transport capacity while incorporating digital technologies, improving accessibility and supporting the UK's environmental commitments.</w:t>
      </w:r>
    </w:p>
    <w:p w14:paraId="34E7F48D" w14:textId="77777777" w:rsidR="00A3434D" w:rsidRPr="00A3434D" w:rsidRDefault="00A3434D" w:rsidP="00A3434D">
      <w:r w:rsidRPr="00A3434D">
        <w:t>The purpose of this report is to present a comprehensive project management plan for the redevelopment of the transport hub using recognised project management approaches, including PRINCE2 and the PMBOK framework. The report outlines the project scope, Work Breakdown Structure (WBS), Quad Chart, Gantt Chart, stakeholder involvement, resource allocation and risk analysis to demonstrate how the project can be successfully planned, managed and delivered. Together, these tools provide a structured approach to achieving project objectives while ensuring value for stakeholders and supporting long-term urban regeneration.</w:t>
      </w:r>
    </w:p>
    <w:p w14:paraId="14996DAD" w14:textId="5C0300DB" w:rsidR="00A3434D" w:rsidRPr="00A3434D" w:rsidRDefault="00A3434D" w:rsidP="00A3434D">
      <w:pPr>
        <w:rPr>
          <w:b/>
          <w:bCs/>
        </w:rPr>
      </w:pPr>
      <w:r w:rsidRPr="00A3434D">
        <w:rPr>
          <w:b/>
          <w:bCs/>
        </w:rPr>
        <w:t>Project Description</w:t>
      </w:r>
    </w:p>
    <w:p w14:paraId="5D113FFE" w14:textId="77777777" w:rsidR="00A3434D" w:rsidRPr="00A3434D" w:rsidRDefault="00A3434D" w:rsidP="00A3434D">
      <w:r w:rsidRPr="00A3434D">
        <w:t>The proposed project involves the redevelopment of the central transport hub within a major metropolitan city in the United Kingdom. The project has been initiated following the closure of the existing transport interchange after structural inspections identified significant safety concerns. Having served the city for over 40 years, the transport hub no longer complies with current safety regulations, accessibility standards or sustainability requirements. The closure has created considerable disruption to public transport services, freight logistics and local businesses, resulting in economic losses and reduced public confidence. Consequently, the local authority has prioritised the redevelopment of the transport hub to restore essential transport services while supporting future urban growth and environmental sustainability.</w:t>
      </w:r>
    </w:p>
    <w:p w14:paraId="79D0CB50" w14:textId="77777777" w:rsidR="00A3434D" w:rsidRPr="00A3434D" w:rsidRDefault="00A3434D" w:rsidP="00A3434D">
      <w:r w:rsidRPr="00A3434D">
        <w:t xml:space="preserve">The redevelopment project aims to transform the existing facility into a modern, safe and technologically advanced transport interchange that meets the needs of passengers, businesses and the wider community. The project will integrate rail, bus and freight services while incorporating digital technologies such as smart ticketing, real-time passenger information systems and intelligent traffic management. Sustainability is also a key priority, with the design including renewable energy </w:t>
      </w:r>
      <w:r w:rsidRPr="00A3434D">
        <w:lastRenderedPageBreak/>
        <w:t>technologies, electric vehicle charging points, energy-efficient infrastructure and environmentally responsible construction practices. Furthermore, the project will ensure full compliance with the Equality Act 2010 by providing step-free access, improved wayfinding, accessible facilities and inclusive design features for all users.</w:t>
      </w:r>
    </w:p>
    <w:p w14:paraId="5A14A64F" w14:textId="77777777" w:rsidR="00A3434D" w:rsidRPr="00A3434D" w:rsidRDefault="00A3434D" w:rsidP="00A3434D">
      <w:r w:rsidRPr="00A3434D">
        <w:t>The primary aim of the project is to successfully deliver a transport hub that restores transport capacity while enhancing safety, accessibility and operational efficiency. To achieve this, the project has established several SMART objectives. These include completing the redevelopment within the agreed project timescale and budget, achieving full compliance with health and safety legislation, reducing operational carbon emissions, improving passenger satisfaction and implementing integrated digital transport systems before the facility becomes operational.</w:t>
      </w:r>
    </w:p>
    <w:p w14:paraId="653D146A" w14:textId="77777777" w:rsidR="00A3434D" w:rsidRPr="00A3434D" w:rsidRDefault="00A3434D" w:rsidP="00A3434D">
      <w:r w:rsidRPr="00A3434D">
        <w:t xml:space="preserve">The redevelopment will generate significant benefits for a wide range of stakeholders. </w:t>
      </w:r>
      <w:proofErr w:type="gramStart"/>
      <w:r w:rsidRPr="00A3434D">
        <w:t>Local residents</w:t>
      </w:r>
      <w:proofErr w:type="gramEnd"/>
      <w:r w:rsidRPr="00A3434D">
        <w:t xml:space="preserve"> and commuters will benefit from safer and more reliable transport services, while businesses will experience improved freight movement and increased customer accessibility. The local authority will achieve its strategic objective of supporting economic regeneration, improving public infrastructure and contributing towards the UK's Net Zero commitments. In addition, the project will strengthen the city's transport network, attract future investment and improve resilience against increasing passenger demand.</w:t>
      </w:r>
    </w:p>
    <w:p w14:paraId="3DEB114D" w14:textId="3A221AB0" w:rsidR="00A3434D" w:rsidRPr="00A3434D" w:rsidRDefault="00A3434D" w:rsidP="00A3434D">
      <w:r w:rsidRPr="00A3434D">
        <w:t>To ensure effective governance, the project will follow recognised project management principles based on the PRINCE2 methodology and the Project Management Body of Knowledge (PMBOK® Guide). These frameworks provide structured processes for planning, monitoring, risk management, quality assurance and stakeholder engagement throughout the project lifecycle. By adopting these recognised approaches, the project aims to deliver measurable value while maintaining effective control over cost, time, quality and project risks.</w:t>
      </w:r>
    </w:p>
    <w:p w14:paraId="67422AFA" w14:textId="50ECA6BE" w:rsidR="00A3434D" w:rsidRPr="00A3434D" w:rsidRDefault="00A3434D" w:rsidP="00A3434D">
      <w:pPr>
        <w:rPr>
          <w:b/>
          <w:bCs/>
        </w:rPr>
      </w:pPr>
      <w:r w:rsidRPr="00A3434D">
        <w:rPr>
          <w:b/>
          <w:bCs/>
        </w:rPr>
        <w:t>P</w:t>
      </w:r>
      <w:r w:rsidRPr="00A3434D">
        <w:rPr>
          <w:b/>
          <w:bCs/>
        </w:rPr>
        <w:t>roject Scope</w:t>
      </w:r>
      <w:r w:rsidRPr="00A3434D">
        <w:rPr>
          <w:b/>
          <w:bCs/>
        </w:rPr>
        <w:t>:</w:t>
      </w:r>
    </w:p>
    <w:p w14:paraId="7077AD55" w14:textId="77777777" w:rsidR="00A3434D" w:rsidRPr="00A3434D" w:rsidRDefault="00A3434D" w:rsidP="00A3434D">
      <w:r w:rsidRPr="00A3434D">
        <w:t>Project scope defines the work required to deliver the agreed project objectives while clearly identifying the activities that fall within and outside the project's boundaries. Establishing a well-defined scope is essential for preventing scope creep, controlling project costs and ensuring that all stakeholders have a shared understanding of the project's expected outcomes (Project Management Institute, 2021). For a complex infrastructure project such as the redevelopment of the central transport hub, effective scope management is critical to maintaining project performance throughout the project lifecycle.</w:t>
      </w:r>
    </w:p>
    <w:p w14:paraId="3A418107" w14:textId="21C5ABCE" w:rsidR="00A3434D" w:rsidRPr="00A3434D" w:rsidRDefault="00A3434D" w:rsidP="00A3434D">
      <w:r w:rsidRPr="00A3434D">
        <w:t>In Scope</w:t>
      </w:r>
      <w:r>
        <w:t>:</w:t>
      </w:r>
    </w:p>
    <w:p w14:paraId="7DFFB9CA" w14:textId="77777777" w:rsidR="00A3434D" w:rsidRPr="00A3434D" w:rsidRDefault="00A3434D" w:rsidP="00A3434D">
      <w:r w:rsidRPr="00A3434D">
        <w:t>The project will include the complete demolition of the structurally unsafe transport hub and the construction of a new multimodal transport interchange capable of supporting rail, bus and freight services. Modern passenger facilities will be developed, including waiting areas, ticket offices, retail space, public toilets and improved customer information services. The redevelopment will also introduce digital technologies such as integrated smart ticketing systems, real-time passenger information displays, intelligent traffic management systems and enhanced CCTV security.</w:t>
      </w:r>
    </w:p>
    <w:p w14:paraId="568768D3" w14:textId="77777777" w:rsidR="00A3434D" w:rsidRPr="00A3434D" w:rsidRDefault="00A3434D" w:rsidP="00A3434D">
      <w:r w:rsidRPr="00A3434D">
        <w:t xml:space="preserve">Accessibility improvements form a major component of the project scope and will include step-free access, lifts, escalators, tactile paving, accessible toilets, hearing loop systems and improved pedestrian routes to ensure compliance with the Equality Act 2010. Sustainability measures will include the installation of solar panels, energy-efficient lighting, electric vehicle charging stations, </w:t>
      </w:r>
      <w:r w:rsidRPr="00A3434D">
        <w:lastRenderedPageBreak/>
        <w:t>sustainable drainage systems, green landscaping and environmentally responsible construction materials to support the UK's Net Zero strategy.</w:t>
      </w:r>
    </w:p>
    <w:p w14:paraId="23CD5CF7" w14:textId="375CBD14" w:rsidR="00A3434D" w:rsidRPr="00A3434D" w:rsidRDefault="00A3434D" w:rsidP="00A3434D">
      <w:r w:rsidRPr="00A3434D">
        <w:t>Out of Scope</w:t>
      </w:r>
      <w:r>
        <w:t>:</w:t>
      </w:r>
    </w:p>
    <w:p w14:paraId="1874424E" w14:textId="77777777" w:rsidR="00A3434D" w:rsidRPr="00A3434D" w:rsidRDefault="00A3434D" w:rsidP="00A3434D">
      <w:r w:rsidRPr="00A3434D">
        <w:t>The project will not include the construction of residential housing, commercial shopping centres or future transport network expansions beyond the transport hub itself. Routine maintenance following project completion and the development of surrounding road infrastructure will also fall outside the project scope, as these activities will be managed through separate operational programmes.</w:t>
      </w:r>
    </w:p>
    <w:p w14:paraId="3F206442" w14:textId="7BCE676D" w:rsidR="00A3434D" w:rsidRPr="00A3434D" w:rsidRDefault="00A3434D" w:rsidP="00A3434D">
      <w:r w:rsidRPr="00A3434D">
        <w:t>Project Constraints</w:t>
      </w:r>
      <w:r>
        <w:t>:</w:t>
      </w:r>
    </w:p>
    <w:p w14:paraId="58B2FB1C" w14:textId="77777777" w:rsidR="00A3434D" w:rsidRPr="00A3434D" w:rsidRDefault="00A3434D" w:rsidP="00A3434D">
      <w:r w:rsidRPr="00A3434D">
        <w:t>Several constraints may influence project delivery. These include the approved project budget, fixed completion deadlines, government procurement regulations, planning approval requirements, environmental legislation, availability of skilled labour and potential disruptions within construction supply chains. These constraints require careful planning and continuous monitoring throughout the project.</w:t>
      </w:r>
    </w:p>
    <w:p w14:paraId="655857C8" w14:textId="3862C585" w:rsidR="00A3434D" w:rsidRPr="00A3434D" w:rsidRDefault="00A3434D" w:rsidP="00A3434D">
      <w:r w:rsidRPr="00A3434D">
        <w:t>Project Assumptions</w:t>
      </w:r>
      <w:r>
        <w:t>:</w:t>
      </w:r>
    </w:p>
    <w:p w14:paraId="092C821B" w14:textId="77777777" w:rsidR="00A3434D" w:rsidRPr="00A3434D" w:rsidRDefault="00A3434D" w:rsidP="00A3434D">
      <w:r w:rsidRPr="00A3434D">
        <w:t>The project assumes that sufficient funding will remain available throughout construction, planning permission will be granted within expected timescales and specialist contractors will be available when required. It is also assumed that key stakeholders will continue supporting the redevelopment and that no significant external factors, such as major economic downturns or legislative changes, will substantially affect project delivery.</w:t>
      </w:r>
    </w:p>
    <w:p w14:paraId="0B87EF3F" w14:textId="77777777" w:rsidR="00A3434D" w:rsidRDefault="00A3434D" w:rsidP="00A3434D">
      <w:r w:rsidRPr="00A3434D">
        <w:t xml:space="preserve">Clearly defining the project scope establishes realistic expectations for stakeholders, supports effective resource planning and provides a strong foundation for successful project execution while </w:t>
      </w:r>
      <w:r w:rsidRPr="00507156">
        <w:t>ensuring that project objectives remain achievable and aligned with organisational priorities.</w:t>
      </w:r>
    </w:p>
    <w:p w14:paraId="30FDA1C0" w14:textId="0D33134D" w:rsidR="00507156" w:rsidRDefault="00507156" w:rsidP="00507156">
      <w:pPr>
        <w:spacing w:after="0" w:line="240" w:lineRule="auto"/>
        <w:jc w:val="both"/>
        <w:rPr>
          <w:rFonts w:cstheme="minorHAnsi"/>
          <w:b/>
          <w:bCs/>
          <w:sz w:val="24"/>
          <w:szCs w:val="24"/>
          <w:lang w:val="en-US"/>
        </w:rPr>
      </w:pPr>
      <w:r w:rsidRPr="00507156">
        <w:rPr>
          <w:rFonts w:cstheme="minorHAnsi"/>
          <w:b/>
          <w:bCs/>
          <w:sz w:val="24"/>
          <w:szCs w:val="24"/>
          <w:lang w:val="en-US"/>
        </w:rPr>
        <w:t>Work breakdown structure (WBS)</w:t>
      </w:r>
      <w:r>
        <w:rPr>
          <w:rFonts w:cstheme="minorHAnsi"/>
          <w:b/>
          <w:bCs/>
          <w:sz w:val="24"/>
          <w:szCs w:val="24"/>
          <w:lang w:val="en-US"/>
        </w:rPr>
        <w:t>:</w:t>
      </w:r>
    </w:p>
    <w:p w14:paraId="4C9F2FFD" w14:textId="77777777" w:rsidR="00507156" w:rsidRPr="00507156" w:rsidRDefault="00507156" w:rsidP="00507156">
      <w:pPr>
        <w:spacing w:after="0" w:line="240" w:lineRule="auto"/>
        <w:jc w:val="both"/>
        <w:rPr>
          <w:rFonts w:cstheme="minorHAnsi"/>
          <w:b/>
          <w:bCs/>
          <w:sz w:val="24"/>
          <w:szCs w:val="24"/>
          <w:lang w:val="en-US"/>
        </w:rPr>
      </w:pPr>
    </w:p>
    <w:p w14:paraId="73A9AD6B" w14:textId="759C3298" w:rsidR="00507156" w:rsidRPr="00507156" w:rsidRDefault="00507156" w:rsidP="00507156">
      <w:r w:rsidRPr="00507156">
        <w:t>A Work Breakdown Structure (WBS) is a project management tool that divides a project into smaller, manageable work packages. It provides a structured framework for organising project activities, ensuring that all tasks are identified, resources are allocated effectively and progress can be monitored throughout the project lifecycle (Project Management Institute (PMI), 2021). By breaking the redevelopment project into logical phases, the project team can improve planning, scheduling and cost control while reducing the risk of overlooking essential activities.</w:t>
      </w:r>
    </w:p>
    <w:p w14:paraId="4F6ED82F" w14:textId="77777777" w:rsidR="00507156" w:rsidRPr="00507156" w:rsidRDefault="00507156" w:rsidP="00507156">
      <w:r w:rsidRPr="00507156">
        <w:t>The WBS for the redevelopment of the central transport hub is organised into six key phases, each containing the principal activities required to successfully complete the project.</w:t>
      </w:r>
    </w:p>
    <w:p w14:paraId="6A6855B8" w14:textId="1200E97C" w:rsidR="00507156" w:rsidRPr="00507156" w:rsidRDefault="00507156" w:rsidP="00507156">
      <w:pPr>
        <w:rPr>
          <w:b/>
          <w:bCs/>
        </w:rPr>
      </w:pPr>
      <w:r w:rsidRPr="00507156">
        <w:rPr>
          <w:b/>
          <w:bCs/>
        </w:rPr>
        <w:t xml:space="preserve">Table 1: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
        <w:gridCol w:w="1963"/>
        <w:gridCol w:w="6292"/>
      </w:tblGrid>
      <w:tr w:rsidR="00507156" w:rsidRPr="00507156" w14:paraId="02D98C51" w14:textId="77777777">
        <w:trPr>
          <w:tblHeader/>
          <w:tblCellSpacing w:w="15" w:type="dxa"/>
        </w:trPr>
        <w:tc>
          <w:tcPr>
            <w:tcW w:w="0" w:type="auto"/>
            <w:vAlign w:val="center"/>
            <w:hideMark/>
          </w:tcPr>
          <w:p w14:paraId="3FAD5B18" w14:textId="77777777" w:rsidR="00507156" w:rsidRPr="00507156" w:rsidRDefault="00507156" w:rsidP="00507156">
            <w:pPr>
              <w:rPr>
                <w:b/>
                <w:bCs/>
              </w:rPr>
            </w:pPr>
            <w:r w:rsidRPr="00507156">
              <w:rPr>
                <w:b/>
                <w:bCs/>
              </w:rPr>
              <w:t>WBS Level</w:t>
            </w:r>
          </w:p>
        </w:tc>
        <w:tc>
          <w:tcPr>
            <w:tcW w:w="0" w:type="auto"/>
            <w:vAlign w:val="center"/>
            <w:hideMark/>
          </w:tcPr>
          <w:p w14:paraId="788C8D18" w14:textId="77777777" w:rsidR="00507156" w:rsidRPr="00507156" w:rsidRDefault="00507156" w:rsidP="00507156">
            <w:pPr>
              <w:rPr>
                <w:b/>
                <w:bCs/>
              </w:rPr>
            </w:pPr>
            <w:r w:rsidRPr="00507156">
              <w:rPr>
                <w:b/>
                <w:bCs/>
              </w:rPr>
              <w:t>Project Phase</w:t>
            </w:r>
          </w:p>
        </w:tc>
        <w:tc>
          <w:tcPr>
            <w:tcW w:w="0" w:type="auto"/>
            <w:vAlign w:val="center"/>
            <w:hideMark/>
          </w:tcPr>
          <w:p w14:paraId="430DC8B4" w14:textId="77777777" w:rsidR="00507156" w:rsidRPr="00507156" w:rsidRDefault="00507156" w:rsidP="00507156">
            <w:pPr>
              <w:rPr>
                <w:b/>
                <w:bCs/>
              </w:rPr>
            </w:pPr>
            <w:r w:rsidRPr="00507156">
              <w:rPr>
                <w:b/>
                <w:bCs/>
              </w:rPr>
              <w:t>Key Activities</w:t>
            </w:r>
          </w:p>
        </w:tc>
      </w:tr>
      <w:tr w:rsidR="00507156" w:rsidRPr="00507156" w14:paraId="6C08EF5E" w14:textId="77777777">
        <w:trPr>
          <w:tblCellSpacing w:w="15" w:type="dxa"/>
        </w:trPr>
        <w:tc>
          <w:tcPr>
            <w:tcW w:w="0" w:type="auto"/>
            <w:vAlign w:val="center"/>
            <w:hideMark/>
          </w:tcPr>
          <w:p w14:paraId="6EE8BA9E" w14:textId="77777777" w:rsidR="00507156" w:rsidRPr="00507156" w:rsidRDefault="00507156" w:rsidP="00507156">
            <w:pPr>
              <w:rPr>
                <w:b/>
                <w:bCs/>
              </w:rPr>
            </w:pPr>
            <w:r w:rsidRPr="00507156">
              <w:rPr>
                <w:b/>
                <w:bCs/>
              </w:rPr>
              <w:t>1.0</w:t>
            </w:r>
          </w:p>
        </w:tc>
        <w:tc>
          <w:tcPr>
            <w:tcW w:w="0" w:type="auto"/>
            <w:vAlign w:val="center"/>
            <w:hideMark/>
          </w:tcPr>
          <w:p w14:paraId="714C2C45" w14:textId="77777777" w:rsidR="00507156" w:rsidRPr="00507156" w:rsidRDefault="00507156" w:rsidP="00507156">
            <w:pPr>
              <w:rPr>
                <w:b/>
                <w:bCs/>
              </w:rPr>
            </w:pPr>
            <w:r w:rsidRPr="00507156">
              <w:rPr>
                <w:b/>
                <w:bCs/>
              </w:rPr>
              <w:t>Project Initiation</w:t>
            </w:r>
          </w:p>
        </w:tc>
        <w:tc>
          <w:tcPr>
            <w:tcW w:w="0" w:type="auto"/>
            <w:vAlign w:val="center"/>
            <w:hideMark/>
          </w:tcPr>
          <w:p w14:paraId="124B40FD" w14:textId="77777777" w:rsidR="00507156" w:rsidRPr="00507156" w:rsidRDefault="00507156" w:rsidP="00507156">
            <w:pPr>
              <w:rPr>
                <w:b/>
                <w:bCs/>
              </w:rPr>
            </w:pPr>
            <w:r w:rsidRPr="00507156">
              <w:rPr>
                <w:b/>
                <w:bCs/>
              </w:rPr>
              <w:t>Develop business case, identify stakeholders, appoint project team, obtain project approval</w:t>
            </w:r>
          </w:p>
        </w:tc>
      </w:tr>
      <w:tr w:rsidR="00507156" w:rsidRPr="00507156" w14:paraId="1DDA9DDD" w14:textId="77777777">
        <w:trPr>
          <w:tblCellSpacing w:w="15" w:type="dxa"/>
        </w:trPr>
        <w:tc>
          <w:tcPr>
            <w:tcW w:w="0" w:type="auto"/>
            <w:vAlign w:val="center"/>
            <w:hideMark/>
          </w:tcPr>
          <w:p w14:paraId="2DD3D19A" w14:textId="77777777" w:rsidR="00507156" w:rsidRPr="00507156" w:rsidRDefault="00507156" w:rsidP="00507156">
            <w:pPr>
              <w:rPr>
                <w:b/>
                <w:bCs/>
              </w:rPr>
            </w:pPr>
            <w:r w:rsidRPr="00507156">
              <w:rPr>
                <w:b/>
                <w:bCs/>
              </w:rPr>
              <w:t>2.0</w:t>
            </w:r>
          </w:p>
        </w:tc>
        <w:tc>
          <w:tcPr>
            <w:tcW w:w="0" w:type="auto"/>
            <w:vAlign w:val="center"/>
            <w:hideMark/>
          </w:tcPr>
          <w:p w14:paraId="321CBC84" w14:textId="77777777" w:rsidR="00507156" w:rsidRPr="00507156" w:rsidRDefault="00507156" w:rsidP="00507156">
            <w:pPr>
              <w:rPr>
                <w:b/>
                <w:bCs/>
              </w:rPr>
            </w:pPr>
            <w:r w:rsidRPr="00507156">
              <w:rPr>
                <w:b/>
                <w:bCs/>
              </w:rPr>
              <w:t>Planning and Design</w:t>
            </w:r>
          </w:p>
        </w:tc>
        <w:tc>
          <w:tcPr>
            <w:tcW w:w="0" w:type="auto"/>
            <w:vAlign w:val="center"/>
            <w:hideMark/>
          </w:tcPr>
          <w:p w14:paraId="1378D6F1" w14:textId="77777777" w:rsidR="00507156" w:rsidRPr="00507156" w:rsidRDefault="00507156" w:rsidP="00507156">
            <w:pPr>
              <w:rPr>
                <w:b/>
                <w:bCs/>
              </w:rPr>
            </w:pPr>
            <w:r w:rsidRPr="00507156">
              <w:rPr>
                <w:b/>
                <w:bCs/>
              </w:rPr>
              <w:t>Site surveys, architectural design, environmental assessment, planning permission, budget development</w:t>
            </w:r>
          </w:p>
        </w:tc>
      </w:tr>
      <w:tr w:rsidR="00507156" w:rsidRPr="00507156" w14:paraId="1C15777A" w14:textId="77777777">
        <w:trPr>
          <w:tblCellSpacing w:w="15" w:type="dxa"/>
        </w:trPr>
        <w:tc>
          <w:tcPr>
            <w:tcW w:w="0" w:type="auto"/>
            <w:vAlign w:val="center"/>
            <w:hideMark/>
          </w:tcPr>
          <w:p w14:paraId="66E6F79B" w14:textId="77777777" w:rsidR="00507156" w:rsidRPr="00507156" w:rsidRDefault="00507156" w:rsidP="00507156">
            <w:pPr>
              <w:rPr>
                <w:b/>
                <w:bCs/>
              </w:rPr>
            </w:pPr>
            <w:r w:rsidRPr="00507156">
              <w:rPr>
                <w:b/>
                <w:bCs/>
              </w:rPr>
              <w:lastRenderedPageBreak/>
              <w:t>3.0</w:t>
            </w:r>
          </w:p>
        </w:tc>
        <w:tc>
          <w:tcPr>
            <w:tcW w:w="0" w:type="auto"/>
            <w:vAlign w:val="center"/>
            <w:hideMark/>
          </w:tcPr>
          <w:p w14:paraId="45B5EAB9" w14:textId="77777777" w:rsidR="00507156" w:rsidRPr="00507156" w:rsidRDefault="00507156" w:rsidP="00507156">
            <w:pPr>
              <w:rPr>
                <w:b/>
                <w:bCs/>
              </w:rPr>
            </w:pPr>
            <w:r w:rsidRPr="00507156">
              <w:rPr>
                <w:b/>
                <w:bCs/>
              </w:rPr>
              <w:t>Procurement</w:t>
            </w:r>
          </w:p>
        </w:tc>
        <w:tc>
          <w:tcPr>
            <w:tcW w:w="0" w:type="auto"/>
            <w:vAlign w:val="center"/>
            <w:hideMark/>
          </w:tcPr>
          <w:p w14:paraId="6EFA86E2" w14:textId="77777777" w:rsidR="00507156" w:rsidRPr="00507156" w:rsidRDefault="00507156" w:rsidP="00507156">
            <w:pPr>
              <w:rPr>
                <w:b/>
                <w:bCs/>
              </w:rPr>
            </w:pPr>
            <w:r w:rsidRPr="00507156">
              <w:rPr>
                <w:b/>
                <w:bCs/>
              </w:rPr>
              <w:t>Prepare tender documents, appoint contractors, purchase materials and equipment</w:t>
            </w:r>
          </w:p>
        </w:tc>
      </w:tr>
      <w:tr w:rsidR="00507156" w:rsidRPr="00507156" w14:paraId="0AC1AC01" w14:textId="77777777">
        <w:trPr>
          <w:tblCellSpacing w:w="15" w:type="dxa"/>
        </w:trPr>
        <w:tc>
          <w:tcPr>
            <w:tcW w:w="0" w:type="auto"/>
            <w:vAlign w:val="center"/>
            <w:hideMark/>
          </w:tcPr>
          <w:p w14:paraId="7E954208" w14:textId="77777777" w:rsidR="00507156" w:rsidRPr="00507156" w:rsidRDefault="00507156" w:rsidP="00507156">
            <w:pPr>
              <w:rPr>
                <w:b/>
                <w:bCs/>
              </w:rPr>
            </w:pPr>
            <w:r w:rsidRPr="00507156">
              <w:rPr>
                <w:b/>
                <w:bCs/>
              </w:rPr>
              <w:t>4.0</w:t>
            </w:r>
          </w:p>
        </w:tc>
        <w:tc>
          <w:tcPr>
            <w:tcW w:w="0" w:type="auto"/>
            <w:vAlign w:val="center"/>
            <w:hideMark/>
          </w:tcPr>
          <w:p w14:paraId="3F132E62" w14:textId="77777777" w:rsidR="00507156" w:rsidRPr="00507156" w:rsidRDefault="00507156" w:rsidP="00507156">
            <w:pPr>
              <w:rPr>
                <w:b/>
                <w:bCs/>
              </w:rPr>
            </w:pPr>
            <w:r w:rsidRPr="00507156">
              <w:rPr>
                <w:b/>
                <w:bCs/>
              </w:rPr>
              <w:t>Construction</w:t>
            </w:r>
          </w:p>
        </w:tc>
        <w:tc>
          <w:tcPr>
            <w:tcW w:w="0" w:type="auto"/>
            <w:vAlign w:val="center"/>
            <w:hideMark/>
          </w:tcPr>
          <w:p w14:paraId="5DE73AA5" w14:textId="77777777" w:rsidR="00507156" w:rsidRPr="00507156" w:rsidRDefault="00507156" w:rsidP="00507156">
            <w:pPr>
              <w:rPr>
                <w:b/>
                <w:bCs/>
              </w:rPr>
            </w:pPr>
            <w:r w:rsidRPr="00507156">
              <w:rPr>
                <w:b/>
                <w:bCs/>
              </w:rPr>
              <w:t>Demolition of existing hub, infrastructure construction, installation of digital systems, accessibility improvements, landscaping</w:t>
            </w:r>
          </w:p>
        </w:tc>
      </w:tr>
      <w:tr w:rsidR="00507156" w:rsidRPr="00507156" w14:paraId="5545F29B" w14:textId="77777777">
        <w:trPr>
          <w:tblCellSpacing w:w="15" w:type="dxa"/>
        </w:trPr>
        <w:tc>
          <w:tcPr>
            <w:tcW w:w="0" w:type="auto"/>
            <w:vAlign w:val="center"/>
            <w:hideMark/>
          </w:tcPr>
          <w:p w14:paraId="42F05098" w14:textId="77777777" w:rsidR="00507156" w:rsidRPr="00507156" w:rsidRDefault="00507156" w:rsidP="00507156">
            <w:pPr>
              <w:rPr>
                <w:b/>
                <w:bCs/>
              </w:rPr>
            </w:pPr>
            <w:r w:rsidRPr="00507156">
              <w:rPr>
                <w:b/>
                <w:bCs/>
              </w:rPr>
              <w:t>5.0</w:t>
            </w:r>
          </w:p>
        </w:tc>
        <w:tc>
          <w:tcPr>
            <w:tcW w:w="0" w:type="auto"/>
            <w:vAlign w:val="center"/>
            <w:hideMark/>
          </w:tcPr>
          <w:p w14:paraId="1850B3D5" w14:textId="77777777" w:rsidR="00507156" w:rsidRPr="00507156" w:rsidRDefault="00507156" w:rsidP="00507156">
            <w:pPr>
              <w:rPr>
                <w:b/>
                <w:bCs/>
              </w:rPr>
            </w:pPr>
            <w:r w:rsidRPr="00507156">
              <w:rPr>
                <w:b/>
                <w:bCs/>
              </w:rPr>
              <w:t>Testing and Commissioning</w:t>
            </w:r>
          </w:p>
        </w:tc>
        <w:tc>
          <w:tcPr>
            <w:tcW w:w="0" w:type="auto"/>
            <w:vAlign w:val="center"/>
            <w:hideMark/>
          </w:tcPr>
          <w:p w14:paraId="6B0FB955" w14:textId="77777777" w:rsidR="00507156" w:rsidRPr="00507156" w:rsidRDefault="00507156" w:rsidP="00507156">
            <w:pPr>
              <w:rPr>
                <w:b/>
                <w:bCs/>
              </w:rPr>
            </w:pPr>
            <w:r w:rsidRPr="00507156">
              <w:rPr>
                <w:b/>
                <w:bCs/>
              </w:rPr>
              <w:t>Safety inspections, quality assurance, operational testing, staff training and final handover</w:t>
            </w:r>
          </w:p>
        </w:tc>
      </w:tr>
      <w:tr w:rsidR="00507156" w:rsidRPr="00507156" w14:paraId="5CF9A8A5" w14:textId="77777777">
        <w:trPr>
          <w:tblCellSpacing w:w="15" w:type="dxa"/>
        </w:trPr>
        <w:tc>
          <w:tcPr>
            <w:tcW w:w="0" w:type="auto"/>
            <w:vAlign w:val="center"/>
            <w:hideMark/>
          </w:tcPr>
          <w:p w14:paraId="7779008B" w14:textId="77777777" w:rsidR="00507156" w:rsidRPr="00507156" w:rsidRDefault="00507156" w:rsidP="00507156">
            <w:pPr>
              <w:rPr>
                <w:b/>
                <w:bCs/>
              </w:rPr>
            </w:pPr>
            <w:r w:rsidRPr="00507156">
              <w:rPr>
                <w:b/>
                <w:bCs/>
              </w:rPr>
              <w:t>6.0</w:t>
            </w:r>
          </w:p>
        </w:tc>
        <w:tc>
          <w:tcPr>
            <w:tcW w:w="0" w:type="auto"/>
            <w:vAlign w:val="center"/>
            <w:hideMark/>
          </w:tcPr>
          <w:p w14:paraId="7816C556" w14:textId="77777777" w:rsidR="00507156" w:rsidRPr="00507156" w:rsidRDefault="00507156" w:rsidP="00507156">
            <w:pPr>
              <w:rPr>
                <w:b/>
                <w:bCs/>
              </w:rPr>
            </w:pPr>
            <w:r w:rsidRPr="00507156">
              <w:rPr>
                <w:b/>
                <w:bCs/>
              </w:rPr>
              <w:t>Project Closure</w:t>
            </w:r>
          </w:p>
        </w:tc>
        <w:tc>
          <w:tcPr>
            <w:tcW w:w="0" w:type="auto"/>
            <w:vAlign w:val="center"/>
            <w:hideMark/>
          </w:tcPr>
          <w:p w14:paraId="1C9D635D" w14:textId="77777777" w:rsidR="00507156" w:rsidRPr="00507156" w:rsidRDefault="00507156" w:rsidP="00507156">
            <w:pPr>
              <w:rPr>
                <w:b/>
                <w:bCs/>
              </w:rPr>
            </w:pPr>
            <w:r w:rsidRPr="00507156">
              <w:rPr>
                <w:b/>
                <w:bCs/>
              </w:rPr>
              <w:t>Final evaluation, client approval, project documentation, lessons learned and project completion</w:t>
            </w:r>
          </w:p>
        </w:tc>
      </w:tr>
    </w:tbl>
    <w:p w14:paraId="70C7B52E" w14:textId="77777777" w:rsidR="00507156" w:rsidRPr="00507156" w:rsidRDefault="00507156" w:rsidP="00507156">
      <w:r w:rsidRPr="00507156">
        <w:t>The Work Breakdown Structure provides a clear overview of the project's major deliverables and activities. It establishes the foundation for developing the Gantt Chart, allocating resources and monitoring project progress throughout each stage of the redevelopment. By defining work packages at an early stage, the project manager can improve coordination between contractors, stakeholders and project teams while maintaining effective control over project time, cost and quality.</w:t>
      </w:r>
    </w:p>
    <w:p w14:paraId="755E41AF" w14:textId="391365FF" w:rsidR="00507156" w:rsidRPr="00507156" w:rsidRDefault="00507156" w:rsidP="00507156">
      <w:pPr>
        <w:rPr>
          <w:b/>
          <w:bCs/>
          <w:sz w:val="24"/>
          <w:szCs w:val="24"/>
        </w:rPr>
      </w:pPr>
      <w:r w:rsidRPr="00507156">
        <w:rPr>
          <w:b/>
          <w:bCs/>
          <w:sz w:val="24"/>
          <w:szCs w:val="24"/>
        </w:rPr>
        <w:t>Quad Chart</w:t>
      </w:r>
      <w:r w:rsidRPr="00507156">
        <w:rPr>
          <w:b/>
          <w:bCs/>
          <w:sz w:val="24"/>
          <w:szCs w:val="24"/>
        </w:rPr>
        <w:t>:</w:t>
      </w:r>
    </w:p>
    <w:p w14:paraId="3C0ABFA0" w14:textId="77777777" w:rsidR="00507156" w:rsidRPr="00507156" w:rsidRDefault="00507156" w:rsidP="00507156">
      <w:r w:rsidRPr="00507156">
        <w:t>A Quad Chart provides a concise overview of the project by summarising its objectives, schedule, resources and key risks in a single format. It enables stakeholders to quickly understand the project's priorities and supports effective communication throughout the project lifecycle (PMI, 2021). For the redevelopment of the central transport hub, the Quad Chart highlights the project's strategic aims, estimated duration, required resources and major risks. This overview supports decision-making by presenting the most important project information clearly and concisely.</w:t>
      </w:r>
    </w:p>
    <w:p w14:paraId="03662A15" w14:textId="77777777" w:rsidR="00507156" w:rsidRPr="00507156" w:rsidRDefault="00507156" w:rsidP="00507156">
      <w:r w:rsidRPr="00507156">
        <w:t>Table 2: Quad Chart – Redevelopment of the Central Transport Hub</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59"/>
        <w:gridCol w:w="5897"/>
      </w:tblGrid>
      <w:tr w:rsidR="00507156" w:rsidRPr="00507156" w14:paraId="6C6C638C" w14:textId="77777777">
        <w:trPr>
          <w:tblHeader/>
          <w:tblCellSpacing w:w="15" w:type="dxa"/>
        </w:trPr>
        <w:tc>
          <w:tcPr>
            <w:tcW w:w="0" w:type="auto"/>
            <w:vAlign w:val="center"/>
            <w:hideMark/>
          </w:tcPr>
          <w:p w14:paraId="016909A7" w14:textId="77777777" w:rsidR="00507156" w:rsidRPr="00507156" w:rsidRDefault="00507156" w:rsidP="00507156">
            <w:r w:rsidRPr="00507156">
              <w:t>Objectives</w:t>
            </w:r>
          </w:p>
        </w:tc>
        <w:tc>
          <w:tcPr>
            <w:tcW w:w="0" w:type="auto"/>
            <w:vAlign w:val="center"/>
            <w:hideMark/>
          </w:tcPr>
          <w:p w14:paraId="35A3EA9D" w14:textId="1D8D342B" w:rsidR="00507156" w:rsidRPr="00507156" w:rsidRDefault="00507156" w:rsidP="00507156">
            <w:r>
              <w:t xml:space="preserve"> </w:t>
            </w:r>
            <w:r w:rsidRPr="00507156">
              <w:t>Schedule</w:t>
            </w:r>
          </w:p>
        </w:tc>
      </w:tr>
      <w:tr w:rsidR="00507156" w:rsidRPr="00507156" w14:paraId="25EE4513" w14:textId="77777777">
        <w:trPr>
          <w:tblCellSpacing w:w="15" w:type="dxa"/>
        </w:trPr>
        <w:tc>
          <w:tcPr>
            <w:tcW w:w="0" w:type="auto"/>
            <w:vAlign w:val="center"/>
            <w:hideMark/>
          </w:tcPr>
          <w:p w14:paraId="1533E75A" w14:textId="77777777" w:rsidR="00507156" w:rsidRPr="00507156" w:rsidRDefault="00507156" w:rsidP="00507156">
            <w:r w:rsidRPr="00507156">
              <w:t>• Redevelop the transport hub</w:t>
            </w:r>
            <w:r w:rsidRPr="00507156">
              <w:br/>
              <w:t>• Improve safety and accessibility</w:t>
            </w:r>
            <w:r w:rsidRPr="00507156">
              <w:br/>
              <w:t>• Introduce digital technology</w:t>
            </w:r>
            <w:r w:rsidRPr="00507156">
              <w:br/>
              <w:t>• Support Net Zero objectives</w:t>
            </w:r>
          </w:p>
        </w:tc>
        <w:tc>
          <w:tcPr>
            <w:tcW w:w="0" w:type="auto"/>
            <w:vAlign w:val="center"/>
            <w:hideMark/>
          </w:tcPr>
          <w:p w14:paraId="033F13FB" w14:textId="3B2535C9" w:rsidR="00507156" w:rsidRPr="00507156" w:rsidRDefault="00507156" w:rsidP="00507156">
            <w:r>
              <w:t xml:space="preserve"> </w:t>
            </w:r>
            <w:r w:rsidRPr="00507156">
              <w:t>Duration: 30 months</w:t>
            </w:r>
            <w:r w:rsidRPr="00507156">
              <w:br/>
            </w:r>
            <w:r>
              <w:t xml:space="preserve"> </w:t>
            </w:r>
            <w:r w:rsidRPr="00507156">
              <w:t>Planning → Procurement → Construction → Testing → Handover</w:t>
            </w:r>
          </w:p>
        </w:tc>
      </w:tr>
    </w:tbl>
    <w:p w14:paraId="40DCA8EB" w14:textId="77777777" w:rsidR="00507156" w:rsidRPr="00507156" w:rsidRDefault="00507156" w:rsidP="00507156">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9"/>
        <w:gridCol w:w="2325"/>
      </w:tblGrid>
      <w:tr w:rsidR="00507156" w:rsidRPr="00507156" w14:paraId="72BC524D" w14:textId="77777777">
        <w:trPr>
          <w:tblHeader/>
          <w:tblCellSpacing w:w="15" w:type="dxa"/>
        </w:trPr>
        <w:tc>
          <w:tcPr>
            <w:tcW w:w="0" w:type="auto"/>
            <w:vAlign w:val="center"/>
            <w:hideMark/>
          </w:tcPr>
          <w:p w14:paraId="6C4926FF" w14:textId="77777777" w:rsidR="00507156" w:rsidRPr="00507156" w:rsidRDefault="00507156" w:rsidP="00507156">
            <w:r w:rsidRPr="00507156">
              <w:t>Resources</w:t>
            </w:r>
          </w:p>
        </w:tc>
        <w:tc>
          <w:tcPr>
            <w:tcW w:w="0" w:type="auto"/>
            <w:vAlign w:val="center"/>
            <w:hideMark/>
          </w:tcPr>
          <w:p w14:paraId="4D69E67E" w14:textId="77777777" w:rsidR="00507156" w:rsidRPr="00507156" w:rsidRDefault="00507156" w:rsidP="00507156">
            <w:r w:rsidRPr="00507156">
              <w:t>Key Risks</w:t>
            </w:r>
          </w:p>
        </w:tc>
      </w:tr>
      <w:tr w:rsidR="00507156" w:rsidRPr="00507156" w14:paraId="345E6AEE" w14:textId="77777777">
        <w:trPr>
          <w:tblCellSpacing w:w="15" w:type="dxa"/>
        </w:trPr>
        <w:tc>
          <w:tcPr>
            <w:tcW w:w="0" w:type="auto"/>
            <w:vAlign w:val="center"/>
            <w:hideMark/>
          </w:tcPr>
          <w:p w14:paraId="3DAE4EB5" w14:textId="77777777" w:rsidR="00507156" w:rsidRPr="00507156" w:rsidRDefault="00507156" w:rsidP="00507156">
            <w:r w:rsidRPr="00507156">
              <w:t>• Project Manager</w:t>
            </w:r>
            <w:r w:rsidRPr="00507156">
              <w:br/>
              <w:t>• Engineers</w:t>
            </w:r>
            <w:r w:rsidRPr="00507156">
              <w:br/>
              <w:t>• Contractors</w:t>
            </w:r>
            <w:r w:rsidRPr="00507156">
              <w:br/>
              <w:t>• Funding</w:t>
            </w:r>
            <w:r w:rsidRPr="00507156">
              <w:br/>
              <w:t>• Construction materials</w:t>
            </w:r>
          </w:p>
        </w:tc>
        <w:tc>
          <w:tcPr>
            <w:tcW w:w="0" w:type="auto"/>
            <w:vAlign w:val="center"/>
            <w:hideMark/>
          </w:tcPr>
          <w:p w14:paraId="630E3D9C" w14:textId="77777777" w:rsidR="00507156" w:rsidRPr="00507156" w:rsidRDefault="00507156" w:rsidP="00507156">
            <w:r w:rsidRPr="00507156">
              <w:t>• Budget overruns</w:t>
            </w:r>
            <w:r w:rsidRPr="00507156">
              <w:br/>
              <w:t>• Construction delays</w:t>
            </w:r>
            <w:r w:rsidRPr="00507156">
              <w:br/>
              <w:t>• Supply chain disruption</w:t>
            </w:r>
            <w:r w:rsidRPr="00507156">
              <w:br/>
              <w:t>• Health and safety risks</w:t>
            </w:r>
          </w:p>
        </w:tc>
      </w:tr>
    </w:tbl>
    <w:p w14:paraId="538C5A87" w14:textId="216887A3" w:rsidR="00507156" w:rsidRPr="00507156" w:rsidRDefault="00507156" w:rsidP="00507156">
      <w:pPr>
        <w:rPr>
          <w:b/>
          <w:bCs/>
          <w:sz w:val="24"/>
          <w:szCs w:val="24"/>
        </w:rPr>
      </w:pPr>
      <w:r w:rsidRPr="00507156">
        <w:rPr>
          <w:b/>
          <w:bCs/>
          <w:sz w:val="24"/>
          <w:szCs w:val="24"/>
        </w:rPr>
        <w:t>Gantt Chart</w:t>
      </w:r>
      <w:r w:rsidRPr="00507156">
        <w:rPr>
          <w:b/>
          <w:bCs/>
          <w:sz w:val="24"/>
          <w:szCs w:val="24"/>
        </w:rPr>
        <w:t>:</w:t>
      </w:r>
    </w:p>
    <w:p w14:paraId="4A79C682" w14:textId="77777777" w:rsidR="00507156" w:rsidRPr="00507156" w:rsidRDefault="00507156" w:rsidP="00507156">
      <w:r w:rsidRPr="00507156">
        <w:t xml:space="preserve">A </w:t>
      </w:r>
      <w:r w:rsidRPr="00507156">
        <w:rPr>
          <w:b/>
          <w:bCs/>
        </w:rPr>
        <w:t>Gantt Chart</w:t>
      </w:r>
      <w:r w:rsidRPr="00507156">
        <w:t xml:space="preserve"> is a project scheduling tool that shows the timeline and sequence of activities required to complete the project. It helps the project manager monitor progress, coordinate tasks and ensure the project is completed on time (PMI, 2021).</w:t>
      </w:r>
    </w:p>
    <w:p w14:paraId="3CC13E6C" w14:textId="77777777" w:rsidR="00507156" w:rsidRPr="00507156" w:rsidRDefault="00507156" w:rsidP="00507156">
      <w:pPr>
        <w:rPr>
          <w:b/>
          <w:bCs/>
        </w:rPr>
      </w:pPr>
      <w:r w:rsidRPr="00507156">
        <w:rPr>
          <w:b/>
          <w:bCs/>
        </w:rPr>
        <w:lastRenderedPageBreak/>
        <w:t>Table 3: Gantt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6"/>
        <w:gridCol w:w="585"/>
        <w:gridCol w:w="585"/>
        <w:gridCol w:w="585"/>
        <w:gridCol w:w="808"/>
        <w:gridCol w:w="808"/>
        <w:gridCol w:w="823"/>
      </w:tblGrid>
      <w:tr w:rsidR="00507156" w:rsidRPr="00507156" w14:paraId="2D95A2A7" w14:textId="77777777">
        <w:trPr>
          <w:tblHeader/>
          <w:tblCellSpacing w:w="15" w:type="dxa"/>
        </w:trPr>
        <w:tc>
          <w:tcPr>
            <w:tcW w:w="0" w:type="auto"/>
            <w:vAlign w:val="center"/>
            <w:hideMark/>
          </w:tcPr>
          <w:p w14:paraId="5C847CDD" w14:textId="77777777" w:rsidR="00507156" w:rsidRPr="00507156" w:rsidRDefault="00507156" w:rsidP="00507156">
            <w:pPr>
              <w:rPr>
                <w:b/>
                <w:bCs/>
              </w:rPr>
            </w:pPr>
            <w:r w:rsidRPr="00507156">
              <w:rPr>
                <w:b/>
                <w:bCs/>
              </w:rPr>
              <w:t>Activity</w:t>
            </w:r>
          </w:p>
        </w:tc>
        <w:tc>
          <w:tcPr>
            <w:tcW w:w="0" w:type="auto"/>
            <w:vAlign w:val="center"/>
            <w:hideMark/>
          </w:tcPr>
          <w:p w14:paraId="61B71D00" w14:textId="77777777" w:rsidR="00507156" w:rsidRPr="00507156" w:rsidRDefault="00507156" w:rsidP="00507156">
            <w:pPr>
              <w:rPr>
                <w:b/>
                <w:bCs/>
              </w:rPr>
            </w:pPr>
            <w:r w:rsidRPr="00507156">
              <w:rPr>
                <w:b/>
                <w:bCs/>
              </w:rPr>
              <w:t>M1–3</w:t>
            </w:r>
          </w:p>
        </w:tc>
        <w:tc>
          <w:tcPr>
            <w:tcW w:w="0" w:type="auto"/>
            <w:vAlign w:val="center"/>
            <w:hideMark/>
          </w:tcPr>
          <w:p w14:paraId="48E0665C" w14:textId="77777777" w:rsidR="00507156" w:rsidRPr="00507156" w:rsidRDefault="00507156" w:rsidP="00507156">
            <w:pPr>
              <w:rPr>
                <w:b/>
                <w:bCs/>
              </w:rPr>
            </w:pPr>
            <w:r w:rsidRPr="00507156">
              <w:rPr>
                <w:b/>
                <w:bCs/>
              </w:rPr>
              <w:t>M4–6</w:t>
            </w:r>
          </w:p>
        </w:tc>
        <w:tc>
          <w:tcPr>
            <w:tcW w:w="0" w:type="auto"/>
            <w:vAlign w:val="center"/>
            <w:hideMark/>
          </w:tcPr>
          <w:p w14:paraId="63C3BDB2" w14:textId="77777777" w:rsidR="00507156" w:rsidRPr="00507156" w:rsidRDefault="00507156" w:rsidP="00507156">
            <w:pPr>
              <w:rPr>
                <w:b/>
                <w:bCs/>
              </w:rPr>
            </w:pPr>
            <w:r w:rsidRPr="00507156">
              <w:rPr>
                <w:b/>
                <w:bCs/>
              </w:rPr>
              <w:t>M7–9</w:t>
            </w:r>
          </w:p>
        </w:tc>
        <w:tc>
          <w:tcPr>
            <w:tcW w:w="0" w:type="auto"/>
            <w:vAlign w:val="center"/>
            <w:hideMark/>
          </w:tcPr>
          <w:p w14:paraId="6751538B" w14:textId="77777777" w:rsidR="00507156" w:rsidRPr="00507156" w:rsidRDefault="00507156" w:rsidP="00507156">
            <w:pPr>
              <w:rPr>
                <w:b/>
                <w:bCs/>
              </w:rPr>
            </w:pPr>
            <w:r w:rsidRPr="00507156">
              <w:rPr>
                <w:b/>
                <w:bCs/>
              </w:rPr>
              <w:t>M10–18</w:t>
            </w:r>
          </w:p>
        </w:tc>
        <w:tc>
          <w:tcPr>
            <w:tcW w:w="0" w:type="auto"/>
            <w:vAlign w:val="center"/>
            <w:hideMark/>
          </w:tcPr>
          <w:p w14:paraId="35FEDB55" w14:textId="77777777" w:rsidR="00507156" w:rsidRPr="00507156" w:rsidRDefault="00507156" w:rsidP="00507156">
            <w:pPr>
              <w:rPr>
                <w:b/>
                <w:bCs/>
              </w:rPr>
            </w:pPr>
            <w:r w:rsidRPr="00507156">
              <w:rPr>
                <w:b/>
                <w:bCs/>
              </w:rPr>
              <w:t>M19–24</w:t>
            </w:r>
          </w:p>
        </w:tc>
        <w:tc>
          <w:tcPr>
            <w:tcW w:w="0" w:type="auto"/>
            <w:vAlign w:val="center"/>
            <w:hideMark/>
          </w:tcPr>
          <w:p w14:paraId="0D310B92" w14:textId="77777777" w:rsidR="00507156" w:rsidRPr="00507156" w:rsidRDefault="00507156" w:rsidP="00507156">
            <w:pPr>
              <w:rPr>
                <w:b/>
                <w:bCs/>
              </w:rPr>
            </w:pPr>
            <w:r w:rsidRPr="00507156">
              <w:rPr>
                <w:b/>
                <w:bCs/>
              </w:rPr>
              <w:t>M25–30</w:t>
            </w:r>
          </w:p>
        </w:tc>
      </w:tr>
      <w:tr w:rsidR="00507156" w:rsidRPr="00507156" w14:paraId="4F118DCE" w14:textId="77777777">
        <w:trPr>
          <w:tblCellSpacing w:w="15" w:type="dxa"/>
        </w:trPr>
        <w:tc>
          <w:tcPr>
            <w:tcW w:w="0" w:type="auto"/>
            <w:vAlign w:val="center"/>
            <w:hideMark/>
          </w:tcPr>
          <w:p w14:paraId="608DA680" w14:textId="77777777" w:rsidR="00507156" w:rsidRPr="00507156" w:rsidRDefault="00507156" w:rsidP="00507156">
            <w:r w:rsidRPr="00507156">
              <w:t>Project Initiation</w:t>
            </w:r>
          </w:p>
        </w:tc>
        <w:tc>
          <w:tcPr>
            <w:tcW w:w="0" w:type="auto"/>
            <w:vAlign w:val="center"/>
            <w:hideMark/>
          </w:tcPr>
          <w:p w14:paraId="3539616E"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755B8622" w14:textId="77777777" w:rsidR="00507156" w:rsidRPr="00507156" w:rsidRDefault="00507156" w:rsidP="00507156"/>
        </w:tc>
        <w:tc>
          <w:tcPr>
            <w:tcW w:w="0" w:type="auto"/>
            <w:vAlign w:val="center"/>
            <w:hideMark/>
          </w:tcPr>
          <w:p w14:paraId="5335CA00" w14:textId="77777777" w:rsidR="00507156" w:rsidRPr="00507156" w:rsidRDefault="00507156" w:rsidP="00507156"/>
        </w:tc>
        <w:tc>
          <w:tcPr>
            <w:tcW w:w="0" w:type="auto"/>
            <w:vAlign w:val="center"/>
            <w:hideMark/>
          </w:tcPr>
          <w:p w14:paraId="51934162" w14:textId="77777777" w:rsidR="00507156" w:rsidRPr="00507156" w:rsidRDefault="00507156" w:rsidP="00507156"/>
        </w:tc>
        <w:tc>
          <w:tcPr>
            <w:tcW w:w="0" w:type="auto"/>
            <w:vAlign w:val="center"/>
            <w:hideMark/>
          </w:tcPr>
          <w:p w14:paraId="19402F36" w14:textId="77777777" w:rsidR="00507156" w:rsidRPr="00507156" w:rsidRDefault="00507156" w:rsidP="00507156"/>
        </w:tc>
        <w:tc>
          <w:tcPr>
            <w:tcW w:w="0" w:type="auto"/>
            <w:vAlign w:val="center"/>
            <w:hideMark/>
          </w:tcPr>
          <w:p w14:paraId="4E5FDF97" w14:textId="77777777" w:rsidR="00507156" w:rsidRPr="00507156" w:rsidRDefault="00507156" w:rsidP="00507156"/>
        </w:tc>
      </w:tr>
      <w:tr w:rsidR="00507156" w:rsidRPr="00507156" w14:paraId="20FFFFE8" w14:textId="77777777">
        <w:trPr>
          <w:tblCellSpacing w:w="15" w:type="dxa"/>
        </w:trPr>
        <w:tc>
          <w:tcPr>
            <w:tcW w:w="0" w:type="auto"/>
            <w:vAlign w:val="center"/>
            <w:hideMark/>
          </w:tcPr>
          <w:p w14:paraId="6F79EB87" w14:textId="77777777" w:rsidR="00507156" w:rsidRPr="00507156" w:rsidRDefault="00507156" w:rsidP="00507156">
            <w:r w:rsidRPr="00507156">
              <w:t>Planning &amp; Design</w:t>
            </w:r>
          </w:p>
        </w:tc>
        <w:tc>
          <w:tcPr>
            <w:tcW w:w="0" w:type="auto"/>
            <w:vAlign w:val="center"/>
            <w:hideMark/>
          </w:tcPr>
          <w:p w14:paraId="334D9620"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42851BAC"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07836B5B" w14:textId="77777777" w:rsidR="00507156" w:rsidRPr="00507156" w:rsidRDefault="00507156" w:rsidP="00507156"/>
        </w:tc>
        <w:tc>
          <w:tcPr>
            <w:tcW w:w="0" w:type="auto"/>
            <w:vAlign w:val="center"/>
            <w:hideMark/>
          </w:tcPr>
          <w:p w14:paraId="57BA3BAD" w14:textId="77777777" w:rsidR="00507156" w:rsidRPr="00507156" w:rsidRDefault="00507156" w:rsidP="00507156"/>
        </w:tc>
        <w:tc>
          <w:tcPr>
            <w:tcW w:w="0" w:type="auto"/>
            <w:vAlign w:val="center"/>
            <w:hideMark/>
          </w:tcPr>
          <w:p w14:paraId="1E904FD7" w14:textId="77777777" w:rsidR="00507156" w:rsidRPr="00507156" w:rsidRDefault="00507156" w:rsidP="00507156"/>
        </w:tc>
        <w:tc>
          <w:tcPr>
            <w:tcW w:w="0" w:type="auto"/>
            <w:vAlign w:val="center"/>
            <w:hideMark/>
          </w:tcPr>
          <w:p w14:paraId="2153A57A" w14:textId="77777777" w:rsidR="00507156" w:rsidRPr="00507156" w:rsidRDefault="00507156" w:rsidP="00507156"/>
        </w:tc>
      </w:tr>
      <w:tr w:rsidR="00507156" w:rsidRPr="00507156" w14:paraId="70D85792" w14:textId="77777777">
        <w:trPr>
          <w:tblCellSpacing w:w="15" w:type="dxa"/>
        </w:trPr>
        <w:tc>
          <w:tcPr>
            <w:tcW w:w="0" w:type="auto"/>
            <w:vAlign w:val="center"/>
            <w:hideMark/>
          </w:tcPr>
          <w:p w14:paraId="18091ECE" w14:textId="77777777" w:rsidR="00507156" w:rsidRPr="00507156" w:rsidRDefault="00507156" w:rsidP="00507156">
            <w:r w:rsidRPr="00507156">
              <w:t>Procurement</w:t>
            </w:r>
          </w:p>
        </w:tc>
        <w:tc>
          <w:tcPr>
            <w:tcW w:w="0" w:type="auto"/>
            <w:vAlign w:val="center"/>
            <w:hideMark/>
          </w:tcPr>
          <w:p w14:paraId="30EF8F2B" w14:textId="77777777" w:rsidR="00507156" w:rsidRPr="00507156" w:rsidRDefault="00507156" w:rsidP="00507156"/>
        </w:tc>
        <w:tc>
          <w:tcPr>
            <w:tcW w:w="0" w:type="auto"/>
            <w:vAlign w:val="center"/>
            <w:hideMark/>
          </w:tcPr>
          <w:p w14:paraId="71541F4A"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43413C57"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38B4A328" w14:textId="77777777" w:rsidR="00507156" w:rsidRPr="00507156" w:rsidRDefault="00507156" w:rsidP="00507156"/>
        </w:tc>
        <w:tc>
          <w:tcPr>
            <w:tcW w:w="0" w:type="auto"/>
            <w:vAlign w:val="center"/>
            <w:hideMark/>
          </w:tcPr>
          <w:p w14:paraId="04E40F4D" w14:textId="77777777" w:rsidR="00507156" w:rsidRPr="00507156" w:rsidRDefault="00507156" w:rsidP="00507156"/>
        </w:tc>
        <w:tc>
          <w:tcPr>
            <w:tcW w:w="0" w:type="auto"/>
            <w:vAlign w:val="center"/>
            <w:hideMark/>
          </w:tcPr>
          <w:p w14:paraId="3C2BA150" w14:textId="77777777" w:rsidR="00507156" w:rsidRPr="00507156" w:rsidRDefault="00507156" w:rsidP="00507156"/>
        </w:tc>
      </w:tr>
      <w:tr w:rsidR="00507156" w:rsidRPr="00507156" w14:paraId="360E2CF3" w14:textId="77777777">
        <w:trPr>
          <w:tblCellSpacing w:w="15" w:type="dxa"/>
        </w:trPr>
        <w:tc>
          <w:tcPr>
            <w:tcW w:w="0" w:type="auto"/>
            <w:vAlign w:val="center"/>
            <w:hideMark/>
          </w:tcPr>
          <w:p w14:paraId="36A47041" w14:textId="77777777" w:rsidR="00507156" w:rsidRPr="00507156" w:rsidRDefault="00507156" w:rsidP="00507156">
            <w:r w:rsidRPr="00507156">
              <w:t>Construction</w:t>
            </w:r>
          </w:p>
        </w:tc>
        <w:tc>
          <w:tcPr>
            <w:tcW w:w="0" w:type="auto"/>
            <w:vAlign w:val="center"/>
            <w:hideMark/>
          </w:tcPr>
          <w:p w14:paraId="5D733CF6" w14:textId="77777777" w:rsidR="00507156" w:rsidRPr="00507156" w:rsidRDefault="00507156" w:rsidP="00507156"/>
        </w:tc>
        <w:tc>
          <w:tcPr>
            <w:tcW w:w="0" w:type="auto"/>
            <w:vAlign w:val="center"/>
            <w:hideMark/>
          </w:tcPr>
          <w:p w14:paraId="28F690EB" w14:textId="77777777" w:rsidR="00507156" w:rsidRPr="00507156" w:rsidRDefault="00507156" w:rsidP="00507156"/>
        </w:tc>
        <w:tc>
          <w:tcPr>
            <w:tcW w:w="0" w:type="auto"/>
            <w:vAlign w:val="center"/>
            <w:hideMark/>
          </w:tcPr>
          <w:p w14:paraId="16226243"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4020647B"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35BB88BE"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7679B47E" w14:textId="77777777" w:rsidR="00507156" w:rsidRPr="00507156" w:rsidRDefault="00507156" w:rsidP="00507156"/>
        </w:tc>
      </w:tr>
      <w:tr w:rsidR="00507156" w:rsidRPr="00507156" w14:paraId="13D5931A" w14:textId="77777777">
        <w:trPr>
          <w:tblCellSpacing w:w="15" w:type="dxa"/>
        </w:trPr>
        <w:tc>
          <w:tcPr>
            <w:tcW w:w="0" w:type="auto"/>
            <w:vAlign w:val="center"/>
            <w:hideMark/>
          </w:tcPr>
          <w:p w14:paraId="58DF44C3" w14:textId="77777777" w:rsidR="00507156" w:rsidRPr="00507156" w:rsidRDefault="00507156" w:rsidP="00507156">
            <w:r w:rsidRPr="00507156">
              <w:t>Testing</w:t>
            </w:r>
          </w:p>
        </w:tc>
        <w:tc>
          <w:tcPr>
            <w:tcW w:w="0" w:type="auto"/>
            <w:vAlign w:val="center"/>
            <w:hideMark/>
          </w:tcPr>
          <w:p w14:paraId="085DC88E" w14:textId="77777777" w:rsidR="00507156" w:rsidRPr="00507156" w:rsidRDefault="00507156" w:rsidP="00507156"/>
        </w:tc>
        <w:tc>
          <w:tcPr>
            <w:tcW w:w="0" w:type="auto"/>
            <w:vAlign w:val="center"/>
            <w:hideMark/>
          </w:tcPr>
          <w:p w14:paraId="10E3AFA7" w14:textId="77777777" w:rsidR="00507156" w:rsidRPr="00507156" w:rsidRDefault="00507156" w:rsidP="00507156"/>
        </w:tc>
        <w:tc>
          <w:tcPr>
            <w:tcW w:w="0" w:type="auto"/>
            <w:vAlign w:val="center"/>
            <w:hideMark/>
          </w:tcPr>
          <w:p w14:paraId="09D658C3" w14:textId="77777777" w:rsidR="00507156" w:rsidRPr="00507156" w:rsidRDefault="00507156" w:rsidP="00507156"/>
        </w:tc>
        <w:tc>
          <w:tcPr>
            <w:tcW w:w="0" w:type="auto"/>
            <w:vAlign w:val="center"/>
            <w:hideMark/>
          </w:tcPr>
          <w:p w14:paraId="7F17E210" w14:textId="77777777" w:rsidR="00507156" w:rsidRPr="00507156" w:rsidRDefault="00507156" w:rsidP="00507156"/>
        </w:tc>
        <w:tc>
          <w:tcPr>
            <w:tcW w:w="0" w:type="auto"/>
            <w:vAlign w:val="center"/>
            <w:hideMark/>
          </w:tcPr>
          <w:p w14:paraId="52488CFA" w14:textId="77777777" w:rsidR="00507156" w:rsidRPr="00507156" w:rsidRDefault="00507156" w:rsidP="00507156">
            <w:r w:rsidRPr="00507156">
              <w:rPr>
                <w:rFonts w:ascii="Segoe UI Symbol" w:hAnsi="Segoe UI Symbol" w:cs="Segoe UI Symbol"/>
              </w:rPr>
              <w:t>✓</w:t>
            </w:r>
          </w:p>
        </w:tc>
        <w:tc>
          <w:tcPr>
            <w:tcW w:w="0" w:type="auto"/>
            <w:vAlign w:val="center"/>
            <w:hideMark/>
          </w:tcPr>
          <w:p w14:paraId="445534C0" w14:textId="77777777" w:rsidR="00507156" w:rsidRPr="00507156" w:rsidRDefault="00507156" w:rsidP="00507156"/>
        </w:tc>
      </w:tr>
      <w:tr w:rsidR="00507156" w:rsidRPr="00507156" w14:paraId="383D286E" w14:textId="77777777">
        <w:trPr>
          <w:tblCellSpacing w:w="15" w:type="dxa"/>
        </w:trPr>
        <w:tc>
          <w:tcPr>
            <w:tcW w:w="0" w:type="auto"/>
            <w:vAlign w:val="center"/>
            <w:hideMark/>
          </w:tcPr>
          <w:p w14:paraId="03790EC3" w14:textId="77777777" w:rsidR="00507156" w:rsidRPr="00507156" w:rsidRDefault="00507156" w:rsidP="00507156">
            <w:r w:rsidRPr="00507156">
              <w:t>Project Closure</w:t>
            </w:r>
          </w:p>
        </w:tc>
        <w:tc>
          <w:tcPr>
            <w:tcW w:w="0" w:type="auto"/>
            <w:vAlign w:val="center"/>
            <w:hideMark/>
          </w:tcPr>
          <w:p w14:paraId="5637F8CC" w14:textId="77777777" w:rsidR="00507156" w:rsidRPr="00507156" w:rsidRDefault="00507156" w:rsidP="00507156"/>
        </w:tc>
        <w:tc>
          <w:tcPr>
            <w:tcW w:w="0" w:type="auto"/>
            <w:vAlign w:val="center"/>
            <w:hideMark/>
          </w:tcPr>
          <w:p w14:paraId="3C509F86" w14:textId="77777777" w:rsidR="00507156" w:rsidRPr="00507156" w:rsidRDefault="00507156" w:rsidP="00507156"/>
        </w:tc>
        <w:tc>
          <w:tcPr>
            <w:tcW w:w="0" w:type="auto"/>
            <w:vAlign w:val="center"/>
            <w:hideMark/>
          </w:tcPr>
          <w:p w14:paraId="7C04A35B" w14:textId="77777777" w:rsidR="00507156" w:rsidRPr="00507156" w:rsidRDefault="00507156" w:rsidP="00507156"/>
        </w:tc>
        <w:tc>
          <w:tcPr>
            <w:tcW w:w="0" w:type="auto"/>
            <w:vAlign w:val="center"/>
            <w:hideMark/>
          </w:tcPr>
          <w:p w14:paraId="58FBC56E" w14:textId="77777777" w:rsidR="00507156" w:rsidRPr="00507156" w:rsidRDefault="00507156" w:rsidP="00507156"/>
        </w:tc>
        <w:tc>
          <w:tcPr>
            <w:tcW w:w="0" w:type="auto"/>
            <w:vAlign w:val="center"/>
            <w:hideMark/>
          </w:tcPr>
          <w:p w14:paraId="4DD1F20A" w14:textId="77777777" w:rsidR="00507156" w:rsidRPr="00507156" w:rsidRDefault="00507156" w:rsidP="00507156"/>
        </w:tc>
        <w:tc>
          <w:tcPr>
            <w:tcW w:w="0" w:type="auto"/>
            <w:vAlign w:val="center"/>
            <w:hideMark/>
          </w:tcPr>
          <w:p w14:paraId="0A3F44C0" w14:textId="77777777" w:rsidR="00507156" w:rsidRPr="00507156" w:rsidRDefault="00507156" w:rsidP="00507156">
            <w:r w:rsidRPr="00507156">
              <w:rPr>
                <w:rFonts w:ascii="Segoe UI Symbol" w:hAnsi="Segoe UI Symbol" w:cs="Segoe UI Symbol"/>
              </w:rPr>
              <w:t>✓</w:t>
            </w:r>
          </w:p>
        </w:tc>
      </w:tr>
    </w:tbl>
    <w:p w14:paraId="02414799" w14:textId="77777777" w:rsidR="00A3434D" w:rsidRDefault="00A3434D"/>
    <w:p w14:paraId="2A8FFE2A" w14:textId="0D85F886" w:rsidR="00507156" w:rsidRPr="00507156" w:rsidRDefault="00507156" w:rsidP="00507156">
      <w:pPr>
        <w:rPr>
          <w:b/>
          <w:bCs/>
          <w:sz w:val="24"/>
          <w:szCs w:val="24"/>
        </w:rPr>
      </w:pPr>
      <w:r w:rsidRPr="00507156">
        <w:rPr>
          <w:b/>
          <w:bCs/>
          <w:sz w:val="24"/>
          <w:szCs w:val="24"/>
        </w:rPr>
        <w:t>Stakeholders' Involvement</w:t>
      </w:r>
      <w:r w:rsidRPr="00507156">
        <w:rPr>
          <w:b/>
          <w:bCs/>
          <w:sz w:val="24"/>
          <w:szCs w:val="24"/>
        </w:rPr>
        <w:t>:</w:t>
      </w:r>
    </w:p>
    <w:p w14:paraId="71164A33" w14:textId="77777777" w:rsidR="00507156" w:rsidRPr="00507156" w:rsidRDefault="00507156" w:rsidP="00507156">
      <w:r w:rsidRPr="00507156">
        <w:t xml:space="preserve">Stakeholder involvement is essential to the successful delivery of the redevelopment of the central transport hub, as it promotes effective communication, collaboration and informed decision-making throughout the project lifecycle (Project Management Institute (PMI), 2021). The </w:t>
      </w:r>
      <w:r w:rsidRPr="00507156">
        <w:rPr>
          <w:b/>
          <w:bCs/>
        </w:rPr>
        <w:t>Local Authority</w:t>
      </w:r>
      <w:r w:rsidRPr="00507156">
        <w:t xml:space="preserve"> will act as the project sponsor, providing strategic direction, approving major decisions and ensuring that the project aligns with local development objectives. The </w:t>
      </w:r>
      <w:r w:rsidRPr="00507156">
        <w:rPr>
          <w:b/>
          <w:bCs/>
        </w:rPr>
        <w:t>Project Manager</w:t>
      </w:r>
      <w:r w:rsidRPr="00507156">
        <w:t xml:space="preserve"> will oversee the planning, coordination and delivery of the project while managing communication between all stakeholders. </w:t>
      </w:r>
      <w:r w:rsidRPr="00507156">
        <w:rPr>
          <w:b/>
          <w:bCs/>
        </w:rPr>
        <w:t>Architects, engineers and contractors</w:t>
      </w:r>
      <w:r w:rsidRPr="00507156">
        <w:t xml:space="preserve"> will be responsible for designing and constructing the new transport hub in accordance with project specifications, safety standards and regulatory requirements. </w:t>
      </w:r>
      <w:r w:rsidRPr="00507156">
        <w:rPr>
          <w:b/>
          <w:bCs/>
        </w:rPr>
        <w:t>Transport operators</w:t>
      </w:r>
      <w:r w:rsidRPr="00507156">
        <w:t xml:space="preserve"> will contribute operational expertise to ensure that the completed hub supports efficient passenger and freight services. In addition, </w:t>
      </w:r>
      <w:r w:rsidRPr="00507156">
        <w:rPr>
          <w:b/>
          <w:bCs/>
        </w:rPr>
        <w:t>local businesses, residents and commuters</w:t>
      </w:r>
      <w:r w:rsidRPr="00507156">
        <w:t xml:space="preserve"> will be consulted throughout the project to minimise disruption and ensure that community needs are considered. Regular stakeholder meetings, progress reports and public consultations will be used to maintain transparency, manage expectations and resolve issues promptly, helping to build stakeholder confidence and support successful project delivery.</w:t>
      </w:r>
    </w:p>
    <w:p w14:paraId="77678293" w14:textId="46EACD42" w:rsidR="00507156" w:rsidRPr="00507156" w:rsidRDefault="00507156" w:rsidP="00507156">
      <w:pPr>
        <w:rPr>
          <w:b/>
          <w:bCs/>
          <w:sz w:val="24"/>
          <w:szCs w:val="24"/>
        </w:rPr>
      </w:pPr>
      <w:r w:rsidRPr="00507156">
        <w:rPr>
          <w:b/>
          <w:bCs/>
          <w:sz w:val="24"/>
          <w:szCs w:val="24"/>
        </w:rPr>
        <w:t>Allocation of Resources</w:t>
      </w:r>
      <w:r w:rsidRPr="00507156">
        <w:rPr>
          <w:b/>
          <w:bCs/>
          <w:sz w:val="24"/>
          <w:szCs w:val="24"/>
        </w:rPr>
        <w:t>:</w:t>
      </w:r>
    </w:p>
    <w:p w14:paraId="59093205" w14:textId="77777777" w:rsidR="00507156" w:rsidRPr="00507156" w:rsidRDefault="00507156" w:rsidP="00507156">
      <w:r w:rsidRPr="00507156">
        <w:t xml:space="preserve">Effective resource allocation is critical to ensuring that the project is delivered efficiently, within budget and to the required quality standards (Kerzner, 2022). Human resources will include the </w:t>
      </w:r>
      <w:r w:rsidRPr="00507156">
        <w:rPr>
          <w:b/>
          <w:bCs/>
        </w:rPr>
        <w:t>Project Manager</w:t>
      </w:r>
      <w:r w:rsidRPr="00507156">
        <w:t>, architects, civil engineers, construction contractors, health and safety officers and digital technology specialists, each responsible for delivering specific aspects of the redevelopment. Financial resources will be allocated to design, procurement, construction, labour, technology installation and contingency planning to manage unforeseen costs. Physical resources, including construction materials, heavy machinery, specialist equipment and digital infrastructure, will be scheduled carefully to ensure that activities are completed without unnecessary delays. Resource allocation will be monitored throughout the project to maximise productivity, minimise waste and ensure that resources are available when required. Regular reviews of resource utilisation will enable the Project Manager to respond quickly to changing project demands, reduce the risk of delays and maintain progress against the agreed project schedule.</w:t>
      </w:r>
    </w:p>
    <w:p w14:paraId="237DDE69" w14:textId="77777777" w:rsidR="00507156" w:rsidRDefault="00507156" w:rsidP="00507156">
      <w:pPr>
        <w:rPr>
          <w:b/>
          <w:bCs/>
        </w:rPr>
      </w:pPr>
    </w:p>
    <w:p w14:paraId="1D222B49" w14:textId="2ECA2714" w:rsidR="00507156" w:rsidRPr="00507156" w:rsidRDefault="00507156" w:rsidP="00507156">
      <w:pPr>
        <w:rPr>
          <w:b/>
          <w:bCs/>
          <w:sz w:val="24"/>
          <w:szCs w:val="24"/>
        </w:rPr>
      </w:pPr>
      <w:r w:rsidRPr="00507156">
        <w:rPr>
          <w:b/>
          <w:bCs/>
          <w:sz w:val="24"/>
          <w:szCs w:val="24"/>
        </w:rPr>
        <w:lastRenderedPageBreak/>
        <w:t>Risk Analysis</w:t>
      </w:r>
      <w:r w:rsidRPr="00507156">
        <w:rPr>
          <w:b/>
          <w:bCs/>
          <w:sz w:val="24"/>
          <w:szCs w:val="24"/>
        </w:rPr>
        <w:t>:</w:t>
      </w:r>
    </w:p>
    <w:p w14:paraId="7948236C" w14:textId="77777777" w:rsidR="00507156" w:rsidRPr="00507156" w:rsidRDefault="00507156" w:rsidP="00507156">
      <w:r w:rsidRPr="00507156">
        <w:t>Risk analysis is a fundamental element of project management as it enables project managers to identify, assess and respond to uncertainties that could affect project objectives. Effective risk management helps minimise the likelihood of project failure by ensuring that appropriate mitigation strategies are implemented before problems occur (Project Management Institute (PMI), 2021). Throughout the redevelopment of the central transport hub, risks will be monitored continuously to ensure that they do not significantly impact project performance.</w:t>
      </w:r>
    </w:p>
    <w:p w14:paraId="5F83EA8E" w14:textId="77777777" w:rsidR="00507156" w:rsidRPr="00507156" w:rsidRDefault="00507156" w:rsidP="00507156">
      <w:r w:rsidRPr="00507156">
        <w:t xml:space="preserve">One of the most significant risks is </w:t>
      </w:r>
      <w:r w:rsidRPr="00507156">
        <w:rPr>
          <w:b/>
          <w:bCs/>
        </w:rPr>
        <w:t>budget overruns</w:t>
      </w:r>
      <w:r w:rsidRPr="00507156">
        <w:t>, which may arise due to inflation, increases in material costs or unexpected construction work. If not managed effectively, increased expenditure could affect project quality and completion. This risk will be mitigated through regular financial monitoring, accurate cost forecasting and the use of a contingency budget to accommodate unforeseen expenses.</w:t>
      </w:r>
    </w:p>
    <w:p w14:paraId="62CA4165" w14:textId="77777777" w:rsidR="00507156" w:rsidRPr="00507156" w:rsidRDefault="00507156" w:rsidP="00507156">
      <w:r w:rsidRPr="00507156">
        <w:t xml:space="preserve">A further risk is </w:t>
      </w:r>
      <w:r w:rsidRPr="00507156">
        <w:rPr>
          <w:b/>
          <w:bCs/>
        </w:rPr>
        <w:t>construction delays</w:t>
      </w:r>
      <w:r w:rsidRPr="00507156">
        <w:t>, which may result from poor weather conditions, supply chain disruption or contractor performance. Delays could impact project milestones and increase overall costs. To reduce this risk, realistic project scheduling, regular progress reviews and effective supplier management will be implemented throughout the construction phase.</w:t>
      </w:r>
    </w:p>
    <w:p w14:paraId="043BAA8B" w14:textId="77777777" w:rsidR="00507156" w:rsidRPr="00507156" w:rsidRDefault="00507156" w:rsidP="00507156">
      <w:r w:rsidRPr="00507156">
        <w:t>Health and safety also represent a major project risk due to the scale and complexity of construction activities. Failure to comply with health and safety legislation could result in accidents, legal action and project delays. This risk will be managed by carrying out regular site inspections, providing staff training and ensuring compliance with the Construction (Design and Management) Regulations 2015.</w:t>
      </w:r>
    </w:p>
    <w:p w14:paraId="000A4ABA" w14:textId="77777777" w:rsidR="00507156" w:rsidRDefault="00507156" w:rsidP="00507156">
      <w:r w:rsidRPr="00507156">
        <w:t>Finally, stakeholder concerns and planning approval delays could affect project delivery if communication is not managed effectively. Regular stakeholder meetings, public consultations and transparent communication will help maintain stakeholder confidence and reduce resistance to the redevelopment. By continuously identifying, assessing and reviewing project risks, the project team will be better positioned to deliver the redevelopment successfully while protecting project objectives relating to time, cost and quality.</w:t>
      </w:r>
    </w:p>
    <w:p w14:paraId="13CB1630" w14:textId="5C4BD4A9" w:rsidR="00507156" w:rsidRPr="00507156" w:rsidRDefault="00507156" w:rsidP="00507156">
      <w:pPr>
        <w:rPr>
          <w:b/>
          <w:bCs/>
        </w:rPr>
      </w:pPr>
      <w:r>
        <w:rPr>
          <w:b/>
          <w:bCs/>
        </w:rPr>
        <w:t>Conclusion:</w:t>
      </w:r>
    </w:p>
    <w:p w14:paraId="25616521" w14:textId="77777777" w:rsidR="00507156" w:rsidRPr="00507156" w:rsidRDefault="00507156" w:rsidP="00507156">
      <w:r w:rsidRPr="00507156">
        <w:t>This project management plan has demonstrated how recognised project management approaches and techniques can be applied to support the successful redevelopment of the central transport hub. The report has outlined the project's objectives, scope, Work Breakdown Structure, Quad Chart, Gantt Chart, stakeholder involvement, resource allocation and risk management strategy. Together, these elements provide a structured framework for planning, coordinating and monitoring project activities throughout the project lifecycle.</w:t>
      </w:r>
    </w:p>
    <w:p w14:paraId="24717423" w14:textId="77777777" w:rsidR="00507156" w:rsidRPr="00507156" w:rsidRDefault="00507156" w:rsidP="00507156">
      <w:r w:rsidRPr="00507156">
        <w:t xml:space="preserve">The application of recognised methodologies, including </w:t>
      </w:r>
      <w:r w:rsidRPr="00507156">
        <w:rPr>
          <w:b/>
          <w:bCs/>
        </w:rPr>
        <w:t>PRINCE2</w:t>
      </w:r>
      <w:r w:rsidRPr="00507156">
        <w:t xml:space="preserve"> and the </w:t>
      </w:r>
      <w:r w:rsidRPr="00507156">
        <w:rPr>
          <w:b/>
          <w:bCs/>
        </w:rPr>
        <w:t>PMBOK Guide</w:t>
      </w:r>
      <w:r w:rsidRPr="00507156">
        <w:t>, will support effective decision-making, improve communication between stakeholders and ensure that project risks are managed proactively. Careful planning and resource management will enable the project team to deliver the redevelopment within the agreed budget and timescale while maintaining high standards of quality, safety and sustainability.</w:t>
      </w:r>
    </w:p>
    <w:p w14:paraId="2F8131B1" w14:textId="77777777" w:rsidR="00507156" w:rsidRPr="00507156" w:rsidRDefault="00507156" w:rsidP="00507156">
      <w:r w:rsidRPr="00507156">
        <w:t>Overall, the proposed project management plan provides a practical and systematic approach to delivering a modern, accessible and environmentally sustainable transport hub. By balancing project scope, cost, time and quality, the redevelopment will improve transport infrastructure, enhance passenger experience and contribute to the long-term economic regeneration of the city, while supporting the UK's commitment to sustainable urban development.</w:t>
      </w:r>
    </w:p>
    <w:p w14:paraId="0A9B056E" w14:textId="1C78BD5A" w:rsidR="00507156" w:rsidRPr="00507156" w:rsidRDefault="00507156" w:rsidP="00507156">
      <w:pPr>
        <w:rPr>
          <w:b/>
          <w:bCs/>
        </w:rPr>
      </w:pPr>
      <w:r w:rsidRPr="00507156">
        <w:rPr>
          <w:b/>
          <w:bCs/>
        </w:rPr>
        <w:lastRenderedPageBreak/>
        <w:t xml:space="preserve">References </w:t>
      </w:r>
    </w:p>
    <w:p w14:paraId="782C06F4" w14:textId="77777777" w:rsidR="00507156" w:rsidRPr="00507156" w:rsidRDefault="00507156" w:rsidP="00507156">
      <w:r w:rsidRPr="00507156">
        <w:t xml:space="preserve">Association for Project Management (2021) </w:t>
      </w:r>
      <w:r w:rsidRPr="00507156">
        <w:rPr>
          <w:i/>
          <w:iCs/>
        </w:rPr>
        <w:t>APM Body of Knowledge</w:t>
      </w:r>
      <w:r w:rsidRPr="00507156">
        <w:t>. 7th ed. Princes Risborough: Association for Project Management.</w:t>
      </w:r>
    </w:p>
    <w:p w14:paraId="4C13AF1C" w14:textId="77777777" w:rsidR="00507156" w:rsidRPr="00507156" w:rsidRDefault="00507156" w:rsidP="00507156">
      <w:r w:rsidRPr="00507156">
        <w:t xml:space="preserve">Department for Transport (2023) </w:t>
      </w:r>
      <w:r w:rsidRPr="00507156">
        <w:rPr>
          <w:i/>
          <w:iCs/>
        </w:rPr>
        <w:t>Transport Infrastructure Strategy</w:t>
      </w:r>
      <w:r w:rsidRPr="00507156">
        <w:t>. London: Department for Transport.</w:t>
      </w:r>
    </w:p>
    <w:p w14:paraId="2A319160" w14:textId="77777777" w:rsidR="00507156" w:rsidRPr="00507156" w:rsidRDefault="00507156" w:rsidP="00507156">
      <w:r w:rsidRPr="00507156">
        <w:t xml:space="preserve">Equality Act 2010. (2010) </w:t>
      </w:r>
      <w:r w:rsidRPr="00507156">
        <w:rPr>
          <w:i/>
          <w:iCs/>
        </w:rPr>
        <w:t>Chapter 15</w:t>
      </w:r>
      <w:r w:rsidRPr="00507156">
        <w:t>. London: The Stationery Office.</w:t>
      </w:r>
    </w:p>
    <w:p w14:paraId="4AA2DF4C" w14:textId="77777777" w:rsidR="00507156" w:rsidRPr="00507156" w:rsidRDefault="00507156" w:rsidP="00507156">
      <w:r w:rsidRPr="00507156">
        <w:t xml:space="preserve">HM Government (2021) </w:t>
      </w:r>
      <w:r w:rsidRPr="00507156">
        <w:rPr>
          <w:i/>
          <w:iCs/>
        </w:rPr>
        <w:t>Net Zero Strategy: Build Back Greener</w:t>
      </w:r>
      <w:r w:rsidRPr="00507156">
        <w:t>. London: HM Government.</w:t>
      </w:r>
    </w:p>
    <w:p w14:paraId="655D5520" w14:textId="77777777" w:rsidR="00507156" w:rsidRPr="00507156" w:rsidRDefault="00507156" w:rsidP="00507156">
      <w:r w:rsidRPr="00507156">
        <w:t xml:space="preserve">Kerzner, H. (2022) </w:t>
      </w:r>
      <w:r w:rsidRPr="00507156">
        <w:rPr>
          <w:i/>
          <w:iCs/>
        </w:rPr>
        <w:t>Project Management: A Systems Approach to Planning, Scheduling, and Controlling</w:t>
      </w:r>
      <w:r w:rsidRPr="00507156">
        <w:t>. 13th ed. Hoboken, NJ: John Wiley &amp; Sons.</w:t>
      </w:r>
    </w:p>
    <w:p w14:paraId="4897A9C1" w14:textId="77777777" w:rsidR="00507156" w:rsidRPr="00507156" w:rsidRDefault="00507156" w:rsidP="00507156">
      <w:r w:rsidRPr="00507156">
        <w:t xml:space="preserve">Maylor, H. (2017) </w:t>
      </w:r>
      <w:r w:rsidRPr="00507156">
        <w:rPr>
          <w:i/>
          <w:iCs/>
        </w:rPr>
        <w:t>Project Management</w:t>
      </w:r>
      <w:r w:rsidRPr="00507156">
        <w:t>. 5th ed. Harlow: Pearson Education.</w:t>
      </w:r>
    </w:p>
    <w:p w14:paraId="7D5837FD" w14:textId="77777777" w:rsidR="00507156" w:rsidRPr="00507156" w:rsidRDefault="00507156" w:rsidP="00507156">
      <w:r w:rsidRPr="00507156">
        <w:t xml:space="preserve">Office for National Statistics (2024) </w:t>
      </w:r>
      <w:r w:rsidRPr="00507156">
        <w:rPr>
          <w:i/>
          <w:iCs/>
        </w:rPr>
        <w:t>Transport and Infrastructure Statistics</w:t>
      </w:r>
      <w:r w:rsidRPr="00507156">
        <w:t>. Newport: Office for National Statistics.</w:t>
      </w:r>
    </w:p>
    <w:p w14:paraId="3C68CDCF" w14:textId="77777777" w:rsidR="00507156" w:rsidRPr="00507156" w:rsidRDefault="00507156" w:rsidP="00507156">
      <w:r w:rsidRPr="00507156">
        <w:t xml:space="preserve">Project Management Institute (PMI) (2021) </w:t>
      </w:r>
      <w:r w:rsidRPr="00507156">
        <w:rPr>
          <w:i/>
          <w:iCs/>
        </w:rPr>
        <w:t>A Guide to the Project Management Body of Knowledge (PMBOK® Guide)</w:t>
      </w:r>
      <w:r w:rsidRPr="00507156">
        <w:t>. 7th ed. Newtown Square, PA: Project Management Institute.</w:t>
      </w:r>
    </w:p>
    <w:p w14:paraId="1AB67040" w14:textId="77777777" w:rsidR="00507156" w:rsidRPr="00507156" w:rsidRDefault="00507156"/>
    <w:sectPr w:rsidR="00507156" w:rsidRPr="00507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num w:numId="1" w16cid:durableId="847719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34D"/>
    <w:rsid w:val="002F0625"/>
    <w:rsid w:val="00507156"/>
    <w:rsid w:val="007A6FA0"/>
    <w:rsid w:val="00815CAB"/>
    <w:rsid w:val="008C088A"/>
    <w:rsid w:val="00A3434D"/>
    <w:rsid w:val="00A607A8"/>
    <w:rsid w:val="00BC2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9B7C3"/>
  <w15:chartTrackingRefBased/>
  <w15:docId w15:val="{907CA0CB-76B3-48C7-9D5A-7289218C1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34D"/>
  </w:style>
  <w:style w:type="paragraph" w:styleId="Heading1">
    <w:name w:val="heading 1"/>
    <w:basedOn w:val="Normal"/>
    <w:next w:val="Normal"/>
    <w:link w:val="Heading1Char"/>
    <w:uiPriority w:val="9"/>
    <w:qFormat/>
    <w:rsid w:val="00A343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43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43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43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43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4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3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43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43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43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43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4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34D"/>
    <w:rPr>
      <w:rFonts w:eastAsiaTheme="majorEastAsia" w:cstheme="majorBidi"/>
      <w:color w:val="272727" w:themeColor="text1" w:themeTint="D8"/>
    </w:rPr>
  </w:style>
  <w:style w:type="paragraph" w:styleId="Title">
    <w:name w:val="Title"/>
    <w:basedOn w:val="Normal"/>
    <w:next w:val="Normal"/>
    <w:link w:val="TitleChar"/>
    <w:uiPriority w:val="10"/>
    <w:qFormat/>
    <w:rsid w:val="00A34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34D"/>
    <w:pPr>
      <w:spacing w:before="160"/>
      <w:jc w:val="center"/>
    </w:pPr>
    <w:rPr>
      <w:i/>
      <w:iCs/>
      <w:color w:val="404040" w:themeColor="text1" w:themeTint="BF"/>
    </w:rPr>
  </w:style>
  <w:style w:type="character" w:customStyle="1" w:styleId="QuoteChar">
    <w:name w:val="Quote Char"/>
    <w:basedOn w:val="DefaultParagraphFont"/>
    <w:link w:val="Quote"/>
    <w:uiPriority w:val="29"/>
    <w:rsid w:val="00A3434D"/>
    <w:rPr>
      <w:i/>
      <w:iCs/>
      <w:color w:val="404040" w:themeColor="text1" w:themeTint="BF"/>
    </w:rPr>
  </w:style>
  <w:style w:type="paragraph" w:styleId="ListParagraph">
    <w:name w:val="List Paragraph"/>
    <w:basedOn w:val="Normal"/>
    <w:uiPriority w:val="34"/>
    <w:qFormat/>
    <w:rsid w:val="00A3434D"/>
    <w:pPr>
      <w:ind w:left="720"/>
      <w:contextualSpacing/>
    </w:pPr>
  </w:style>
  <w:style w:type="character" w:styleId="IntenseEmphasis">
    <w:name w:val="Intense Emphasis"/>
    <w:basedOn w:val="DefaultParagraphFont"/>
    <w:uiPriority w:val="21"/>
    <w:qFormat/>
    <w:rsid w:val="00A3434D"/>
    <w:rPr>
      <w:i/>
      <w:iCs/>
      <w:color w:val="2F5496" w:themeColor="accent1" w:themeShade="BF"/>
    </w:rPr>
  </w:style>
  <w:style w:type="paragraph" w:styleId="IntenseQuote">
    <w:name w:val="Intense Quote"/>
    <w:basedOn w:val="Normal"/>
    <w:next w:val="Normal"/>
    <w:link w:val="IntenseQuoteChar"/>
    <w:uiPriority w:val="30"/>
    <w:qFormat/>
    <w:rsid w:val="00A343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434D"/>
    <w:rPr>
      <w:i/>
      <w:iCs/>
      <w:color w:val="2F5496" w:themeColor="accent1" w:themeShade="BF"/>
    </w:rPr>
  </w:style>
  <w:style w:type="character" w:styleId="IntenseReference">
    <w:name w:val="Intense Reference"/>
    <w:basedOn w:val="DefaultParagraphFont"/>
    <w:uiPriority w:val="32"/>
    <w:qFormat/>
    <w:rsid w:val="00A3434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3505</Words>
  <Characters>19985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Dunnion (2309623)</dc:creator>
  <cp:keywords/>
  <dc:description/>
  <cp:lastModifiedBy>Melissa Dunnion (2309623)</cp:lastModifiedBy>
  <cp:revision>1</cp:revision>
  <dcterms:created xsi:type="dcterms:W3CDTF">2026-07-16T17:29:00Z</dcterms:created>
  <dcterms:modified xsi:type="dcterms:W3CDTF">2026-07-16T17:48:00Z</dcterms:modified>
</cp:coreProperties>
</file>