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3"/>
        <w:keepNext w:val="0"/>
        <w:keepLines w:val="0"/>
        <w:spacing w:before="280" w:lineRule="auto"/>
        <w:jc w:val="both"/>
        <w:rPr>
          <w:color w:val="000000"/>
          <w:sz w:val="14"/>
          <w:szCs w:val="14"/>
        </w:rPr>
      </w:pPr>
      <w:bookmarkStart w:colFirst="0" w:colLast="0" w:name="_gfvu8xx00nlc" w:id="0"/>
      <w:bookmarkEnd w:id="0"/>
      <w:r w:rsidDel="00000000" w:rsidR="00000000" w:rsidRPr="00000000">
        <w:rPr>
          <w:b w:val="1"/>
          <w:bCs w:val="1"/>
          <w:color w:val="000000"/>
          <w:sz w:val="14"/>
          <w:szCs w:val="14"/>
          <w:rtl w:val="0"/>
        </w:rPr>
        <w:t xml:space="preserve">Kelechi ANSWER 1  PESTLE Analysis :</w:t>
      </w:r>
      <w:r w:rsidDel="00000000" w:rsidR="00000000" w:rsidRPr="00000000">
        <w:rPr>
          <w:color w:val="000000"/>
          <w:sz w:val="14"/>
          <w:szCs w:val="14"/>
          <w:rtl w:val="0"/>
        </w:rPr>
        <w:t xml:space="preserve">Strategic models are essential tools that enable organisations to understand complex and uncertain external environments. One widely used framework is PESTLE Analysis, which examines the macro-environmental factors affecting an organisation’s strategic decisions.PESTLE analysis considers six key dimensions: political, economic, social, technological, legal, and environmental factors. These elements allow organisations to identify external opportunities and threats that may influence long-term strategy. Political factors include government policies and regulation, while economic factors relate to inflation, interest rates, and economic growth. Social factors capture demographic and lifestyle changes, whereas technological factors focus on innovation and digital transformation. Legal and environmental factors address compliance requirements and sustainability pressures.A clear example of the application of PESTLE analysis can be seen in Dangote Group. </w:t>
      </w:r>
    </w:p>
    <w:p w:rsidR="00000000" w:rsidDel="00000000" w:rsidP="00000000" w:rsidRDefault="00000000" w:rsidRPr="00000000" w14:paraId="00000002">
      <w:pPr>
        <w:pStyle w:val="Heading3"/>
        <w:keepNext w:val="0"/>
        <w:keepLines w:val="0"/>
        <w:spacing w:before="280" w:lineRule="auto"/>
        <w:jc w:val="both"/>
        <w:rPr>
          <w:color w:val="000000"/>
          <w:sz w:val="14"/>
          <w:szCs w:val="14"/>
        </w:rPr>
      </w:pPr>
      <w:bookmarkStart w:colFirst="0" w:colLast="0" w:name="_lgx6awdwzgv7" w:id="1"/>
      <w:bookmarkEnd w:id="1"/>
      <w:r w:rsidDel="00000000" w:rsidR="00000000" w:rsidRPr="00000000">
        <w:rPr>
          <w:color w:val="000000"/>
          <w:sz w:val="14"/>
          <w:szCs w:val="14"/>
          <w:rtl w:val="0"/>
        </w:rPr>
        <w:t xml:space="preserve">The company operates across several industries including cement, sugar, salt, oil refining, and agriculture within a highly challenging and dynamic business environment in Nigeria and across Africa. Political factors such as government industrialisation policies, import restrictions, and infrastructure development programmes have created opportunities for the company’s expansion. Economically, inflation, exchange rate fluctuations, and fuel price instability significantly affect production costs and consumer demand. Social factors such as rapid population growth and urbanisation in Africa continue to increase demand for housing, cement, food products, and energy.Technological factors also influence the organisation’s strategy. Dangote Group has invested heavily in modern manufacturing facilities and large-scale refinery technology to improve efficiency and competitiveness. Legal factors, including taxation policies, environmental regulations, and trade laws, affect how the company operates in different markets. Environmental pressures, particularly concerns about pollution and climate change, have encouraged the company to improve sustainability practices and invest in cleaner production systems.Through PESTLE analysis, decision-makers within Dangote Group gain valuable insight into external opportunities and threats that may affect long-term strategic decisions. For example, the framework helps the organisation understand why investing in the Dangote Refinery and expanding cement production across Africa could provide competitive advantages in response to growing regional demand and import dependency. </w:t>
      </w:r>
    </w:p>
    <w:p w:rsidR="00000000" w:rsidDel="00000000" w:rsidP="00000000" w:rsidRDefault="00000000" w:rsidRPr="00000000" w14:paraId="00000003">
      <w:pPr>
        <w:pStyle w:val="Heading3"/>
        <w:keepNext w:val="0"/>
        <w:keepLines w:val="0"/>
        <w:spacing w:before="280" w:lineRule="auto"/>
        <w:jc w:val="both"/>
        <w:rPr>
          <w:color w:val="000000"/>
          <w:sz w:val="14"/>
          <w:szCs w:val="14"/>
        </w:rPr>
      </w:pPr>
      <w:bookmarkStart w:colFirst="0" w:colLast="0" w:name="_gxs2zbngvbdo" w:id="2"/>
      <w:bookmarkEnd w:id="2"/>
      <w:r w:rsidDel="00000000" w:rsidR="00000000" w:rsidRPr="00000000">
        <w:rPr>
          <w:color w:val="000000"/>
          <w:sz w:val="14"/>
          <w:szCs w:val="14"/>
          <w:rtl w:val="0"/>
        </w:rPr>
        <w:t xml:space="preserve">The model supports strategic planning by helping managers align organisational goals with changes in the external environment.However, while PESTLE analysis is highly useful, it also has limitations. The framework does not indicate which external factors are most important, meaning managers may struggle to prioritise issues effectively. In addition, PESTLE focuses only on the external environment and does not consider the organisation’s internal strengths and weaknesses, which are also important for successful strategy implementation. Furthermore, external conditions can change rapidly, making some analysis outdated if not regularly updated.In conclusion, PESTLE analysis is a valuable strategic tool that helps organisations such as Dangote Group understand external environmental factors and support major strategic decisions. Nevertheless, the framework should be used together with other strategic models to provide a more comprehensive understanding of both internal and external business conditions.</w:t>
      </w:r>
    </w:p>
    <w:p w:rsidR="00000000" w:rsidDel="00000000" w:rsidP="00000000" w:rsidRDefault="00000000" w:rsidRPr="00000000" w14:paraId="00000004">
      <w:pPr>
        <w:pStyle w:val="Heading3"/>
        <w:keepNext w:val="0"/>
        <w:keepLines w:val="0"/>
        <w:spacing w:before="280" w:lineRule="auto"/>
        <w:jc w:val="both"/>
        <w:rPr>
          <w:color w:val="000000"/>
          <w:sz w:val="14"/>
          <w:szCs w:val="14"/>
        </w:rPr>
      </w:pPr>
      <w:bookmarkStart w:colFirst="0" w:colLast="0" w:name="_amavlu6nf7o6" w:id="3"/>
      <w:bookmarkEnd w:id="3"/>
      <w:r w:rsidDel="00000000" w:rsidR="00000000" w:rsidRPr="00000000">
        <w:rPr>
          <w:b w:val="1"/>
          <w:bCs w:val="1"/>
          <w:color w:val="000000"/>
          <w:sz w:val="16"/>
          <w:szCs w:val="16"/>
          <w:rtl w:val="0"/>
        </w:rPr>
        <w:t xml:space="preserve">ANSWER 2 VRIO Framework</w:t>
      </w:r>
      <w:r w:rsidDel="00000000" w:rsidR="00000000" w:rsidRPr="00000000">
        <w:rPr>
          <w:color w:val="000000"/>
          <w:sz w:val="16"/>
          <w:szCs w:val="16"/>
          <w:rtl w:val="0"/>
        </w:rPr>
        <w:t xml:space="preserve"> and </w:t>
      </w:r>
      <w:r w:rsidDel="00000000" w:rsidR="00000000" w:rsidRPr="00000000">
        <w:rPr>
          <w:b w:val="1"/>
          <w:bCs w:val="1"/>
          <w:color w:val="000000"/>
          <w:sz w:val="16"/>
          <w:szCs w:val="16"/>
          <w:rtl w:val="0"/>
        </w:rPr>
        <w:t xml:space="preserve">Value Chain Analysis</w:t>
      </w:r>
      <w:r w:rsidDel="00000000" w:rsidR="00000000" w:rsidRPr="00000000">
        <w:rPr>
          <w:color w:val="000000"/>
          <w:sz w:val="14"/>
          <w:szCs w:val="14"/>
          <w:rtl w:val="0"/>
        </w:rPr>
        <w:t xml:space="preserve">.</w:t>
      </w:r>
      <w:r w:rsidDel="00000000" w:rsidR="00000000" w:rsidRPr="00000000">
        <w:rPr>
          <w:b w:val="1"/>
          <w:bCs w:val="1"/>
          <w:color w:val="000000"/>
          <w:sz w:val="14"/>
          <w:szCs w:val="14"/>
          <w:rtl w:val="0"/>
        </w:rPr>
        <w:t xml:space="preserve"> :</w:t>
      </w:r>
      <w:r w:rsidDel="00000000" w:rsidR="00000000" w:rsidRPr="00000000">
        <w:rPr>
          <w:color w:val="000000"/>
          <w:sz w:val="14"/>
          <w:szCs w:val="14"/>
          <w:rtl w:val="0"/>
        </w:rPr>
        <w:t xml:space="preserve">An organisation’s ability to achieve long-term success depends largely on how effectively it utilises its internal capabilities. Two important frameworks used to assess internal strengths are the </w:t>
      </w:r>
      <w:r w:rsidDel="00000000" w:rsidR="00000000" w:rsidRPr="00000000">
        <w:rPr>
          <w:b w:val="1"/>
          <w:bCs w:val="1"/>
          <w:color w:val="000000"/>
          <w:sz w:val="14"/>
          <w:szCs w:val="14"/>
          <w:rtl w:val="0"/>
        </w:rPr>
        <w:t xml:space="preserve">VRIO Framework</w:t>
      </w:r>
      <w:r w:rsidDel="00000000" w:rsidR="00000000" w:rsidRPr="00000000">
        <w:rPr>
          <w:color w:val="000000"/>
          <w:sz w:val="14"/>
          <w:szCs w:val="14"/>
          <w:rtl w:val="0"/>
        </w:rPr>
        <w:t xml:space="preserve"> and </w:t>
      </w:r>
      <w:r w:rsidDel="00000000" w:rsidR="00000000" w:rsidRPr="00000000">
        <w:rPr>
          <w:b w:val="1"/>
          <w:bCs w:val="1"/>
          <w:color w:val="000000"/>
          <w:sz w:val="14"/>
          <w:szCs w:val="14"/>
          <w:rtl w:val="0"/>
        </w:rPr>
        <w:t xml:space="preserve">Value Chain Analysis</w:t>
      </w:r>
      <w:r w:rsidDel="00000000" w:rsidR="00000000" w:rsidRPr="00000000">
        <w:rPr>
          <w:color w:val="000000"/>
          <w:sz w:val="14"/>
          <w:szCs w:val="14"/>
          <w:rtl w:val="0"/>
        </w:rPr>
        <w:t xml:space="preserve">.The VRIO framework evaluates organisational resources based on four criteria: value, rarity, imitability, and organisation. Resources that are valuable, rare, difficult to imitate, and well-organised provide a sustained competitive advantage. A strong example is Apple, which possesses a highly valuable and globally recognised brand. Its integrated ecosystem of products and services is difficult for competitors to replicate, and its organisational structure allows it to fully exploit these advantages.In contrast, Value Chain Analysis, developed by Michael Porter, focuses on how organisational activities contribute to value creation. It distinguishes between primary activities, such as operations and marketing, and support activities like human resources and technology development. For example, Amazon has developed an efficient logistics and distribution system, enabling fast delivery and enhancing customer satisfaction. This operational efficiency provides a strong competitive advantage.When used together, these frameworks provide a comprehensive understanding of internal capabilities. VRIO identifies the sources of competitive advantage, while Value Chain Analysis explains how value is created and delivered.In conclusion, businesses that effectively analyse and utilise their internal resources are better positioned to achieve and sustain competitive advantage.   </w:t>
      </w:r>
    </w:p>
    <w:p w:rsidR="00000000" w:rsidDel="00000000" w:rsidP="00000000" w:rsidRDefault="00000000" w:rsidRPr="00000000" w14:paraId="00000005">
      <w:pPr>
        <w:pStyle w:val="Heading3"/>
        <w:keepNext w:val="0"/>
        <w:keepLines w:val="0"/>
        <w:spacing w:before="280" w:lineRule="auto"/>
        <w:jc w:val="both"/>
        <w:rPr>
          <w:color w:val="000000"/>
          <w:sz w:val="14"/>
          <w:szCs w:val="14"/>
        </w:rPr>
      </w:pPr>
      <w:bookmarkStart w:colFirst="0" w:colLast="0" w:name="_woajvg8kuk8p" w:id="4"/>
      <w:bookmarkEnd w:id="4"/>
      <w:r w:rsidDel="00000000" w:rsidR="00000000" w:rsidRPr="00000000">
        <w:rPr>
          <w:b w:val="1"/>
          <w:bCs w:val="1"/>
          <w:color w:val="000000"/>
          <w:sz w:val="16"/>
          <w:szCs w:val="16"/>
          <w:rtl w:val="0"/>
        </w:rPr>
        <w:t xml:space="preserve">ANSWER 3 market position and customer understanding</w:t>
      </w:r>
      <w:r w:rsidDel="00000000" w:rsidR="00000000" w:rsidRPr="00000000">
        <w:rPr>
          <w:color w:val="000000"/>
          <w:sz w:val="16"/>
          <w:szCs w:val="16"/>
          <w:rtl w:val="0"/>
        </w:rPr>
        <w:t xml:space="preserve">:</w:t>
      </w:r>
      <w:r w:rsidDel="00000000" w:rsidR="00000000" w:rsidRPr="00000000">
        <w:rPr>
          <w:b w:val="1"/>
          <w:bCs w:val="1"/>
          <w:color w:val="000000"/>
          <w:sz w:val="14"/>
          <w:szCs w:val="14"/>
          <w:rtl w:val="0"/>
        </w:rPr>
        <w:t xml:space="preserve"> </w:t>
      </w:r>
      <w:r w:rsidDel="00000000" w:rsidR="00000000" w:rsidRPr="00000000">
        <w:rPr>
          <w:color w:val="000000"/>
          <w:sz w:val="14"/>
          <w:szCs w:val="14"/>
          <w:rtl w:val="0"/>
        </w:rPr>
        <w:t xml:space="preserve">In today’s competitive business environment, organisations must go beyond strategy formulation and focus on understanding customer behaviour to strengthen their market position. This can be achieved through a combination of customer insight, pricing strategies, innovation, and communication.Understanding customer preferences is critical. For example, Netflix uses advanced data analytics to analyse viewing behaviour and recommend personalised content. This enhances customer satisfaction and increases customer retention.Pricing strategy also plays a significant role. Organisations may adopt penetration pricing to attract customers or premium pricing to signal quality. Apple, for instance, uses premium pricing to position its products as high-quality and exclusive.Innovation is another key factor. Companies such as Dyson differentiate themselves through continuous product innovation, creating unique offerings that competitors find difficult to replicate.Finally, communication strategy helps build strong brand identity. Nike effectively uses emotional marketing and storytelling to connect with consumers, strengthening brand loyalty.In conclusion, organisations that integrate customer understanding with effective pricing, innovation, and communication strategies are more likely to achieve a strong and sustainable market position. </w:t>
      </w:r>
    </w:p>
    <w:p w:rsidR="00000000" w:rsidDel="00000000" w:rsidP="00000000" w:rsidRDefault="00000000" w:rsidRPr="00000000" w14:paraId="00000006">
      <w:pPr>
        <w:pStyle w:val="Heading3"/>
        <w:keepNext w:val="0"/>
        <w:keepLines w:val="0"/>
        <w:spacing w:before="280" w:lineRule="auto"/>
        <w:jc w:val="both"/>
        <w:rPr>
          <w:color w:val="000000"/>
          <w:sz w:val="14"/>
          <w:szCs w:val="14"/>
        </w:rPr>
      </w:pPr>
      <w:bookmarkStart w:colFirst="0" w:colLast="0" w:name="_5dxm2n62yzsf" w:id="5"/>
      <w:bookmarkEnd w:id="5"/>
      <w:r w:rsidDel="00000000" w:rsidR="00000000" w:rsidRPr="00000000">
        <w:rPr>
          <w:b w:val="1"/>
          <w:bCs w:val="1"/>
          <w:color w:val="000000"/>
          <w:sz w:val="16"/>
          <w:szCs w:val="16"/>
          <w:rtl w:val="0"/>
        </w:rPr>
        <w:t xml:space="preserve">ANSWER 4 shareholder and stakeholder perspectives </w:t>
      </w:r>
      <w:r w:rsidDel="00000000" w:rsidR="00000000" w:rsidRPr="00000000">
        <w:rPr>
          <w:color w:val="000000"/>
          <w:sz w:val="14"/>
          <w:szCs w:val="14"/>
          <w:rtl w:val="0"/>
        </w:rPr>
        <w:t xml:space="preserve">Modern organisations operate in an environment where there is increasing pressure to consider social responsibility and sustainability alongside financial performance. This raises the question of whether businesses should prioritise stakeholder value over shareholder profit.Traditional views, such as those proposed by Milton Friedman, argue that the primary responsibility of a business is to maximise shareholder wealth. However, stakeholder theory suggests that organisations must consider the interests of a wider group, including employees, customers, suppliers, and society.Corporate Social Responsibility (CSR) reflects this broader perspective. Companies such as Unilever have integrated sustainability into their business models by promoting ethical sourcing and environmental responsibility. These practices enhance brand reputation and build long-term trust.Organisational culture also plays a critical role. A culture that prioritises ethics and sustainability encourages responsible behaviour and improves employee engagement.Focusing solely on profit may lead to short-term gains but can damage reputation and sustainability in the long run. In contrast, organisations that balance financial performance with social and environmental responsibility are more likely to achieve long-term success.In conclusion, businesses should not focus exclusively on profit. Instead, they should adopt a stakeholder-oriented approach that integrates sustainability and social responsibility into their core strategy.</w:t>
      </w:r>
    </w:p>
    <w:p w:rsidR="00000000" w:rsidDel="00000000" w:rsidP="00000000" w:rsidRDefault="00000000" w:rsidRPr="00000000" w14:paraId="00000007">
      <w:pPr>
        <w:pStyle w:val="Heading3"/>
        <w:keepNext w:val="0"/>
        <w:keepLines w:val="0"/>
        <w:spacing w:before="280" w:lineRule="auto"/>
        <w:jc w:val="both"/>
        <w:rPr>
          <w:b w:val="1"/>
          <w:bCs w:val="1"/>
          <w:color w:val="000000"/>
          <w:sz w:val="34"/>
          <w:szCs w:val="34"/>
        </w:rPr>
      </w:pPr>
      <w:bookmarkStart w:colFirst="0" w:colLast="0" w:name="_lb1w8nvrfmia" w:id="6"/>
      <w:bookmarkEnd w:id="6"/>
      <w:r w:rsidDel="00000000" w:rsidR="00000000" w:rsidRPr="00000000">
        <w:rPr>
          <w:b w:val="1"/>
          <w:bCs w:val="1"/>
          <w:color w:val="000000"/>
          <w:sz w:val="34"/>
          <w:szCs w:val="34"/>
          <w:rtl w:val="0"/>
        </w:rPr>
        <w:t xml:space="preserve">References</w:t>
      </w:r>
    </w:p>
    <w:p w:rsidR="00000000" w:rsidDel="00000000" w:rsidP="00000000" w:rsidRDefault="00000000" w:rsidRPr="00000000" w14:paraId="00000008">
      <w:pPr>
        <w:numPr>
          <w:ilvl w:val="0"/>
          <w:numId w:val="1"/>
        </w:numPr>
        <w:spacing w:after="0" w:afterAutospacing="0" w:before="240" w:lineRule="auto"/>
        <w:ind w:left="720" w:hanging="360"/>
        <w:rPr>
          <w:sz w:val="14"/>
          <w:szCs w:val="14"/>
        </w:rPr>
      </w:pPr>
      <w:r w:rsidDel="00000000" w:rsidR="00000000" w:rsidRPr="00000000">
        <w:rPr>
          <w:sz w:val="14"/>
          <w:szCs w:val="14"/>
          <w:rtl w:val="0"/>
        </w:rPr>
        <w:t xml:space="preserve">Michael Porter (1985) </w:t>
      </w:r>
      <w:r w:rsidDel="00000000" w:rsidR="00000000" w:rsidRPr="00000000">
        <w:rPr>
          <w:i w:val="1"/>
          <w:iCs w:val="1"/>
          <w:sz w:val="14"/>
          <w:szCs w:val="14"/>
          <w:rtl w:val="0"/>
        </w:rPr>
        <w:t xml:space="preserve">Competitive Advantage: Creating and Sustaining Superior Performance</w:t>
      </w:r>
      <w:r w:rsidDel="00000000" w:rsidR="00000000" w:rsidRPr="00000000">
        <w:rPr>
          <w:sz w:val="14"/>
          <w:szCs w:val="14"/>
          <w:rtl w:val="0"/>
        </w:rPr>
        <w:t xml:space="preserve">. New York: Free Press.</w:t>
      </w:r>
    </w:p>
    <w:p w:rsidR="00000000" w:rsidDel="00000000" w:rsidP="00000000" w:rsidRDefault="00000000" w:rsidRPr="00000000" w14:paraId="00000009">
      <w:pPr>
        <w:numPr>
          <w:ilvl w:val="0"/>
          <w:numId w:val="1"/>
        </w:numPr>
        <w:spacing w:after="0" w:afterAutospacing="0" w:before="0" w:beforeAutospacing="0" w:lineRule="auto"/>
        <w:ind w:left="720" w:hanging="360"/>
        <w:rPr>
          <w:sz w:val="14"/>
          <w:szCs w:val="14"/>
        </w:rPr>
      </w:pPr>
      <w:r w:rsidDel="00000000" w:rsidR="00000000" w:rsidRPr="00000000">
        <w:rPr>
          <w:sz w:val="14"/>
          <w:szCs w:val="14"/>
          <w:rtl w:val="0"/>
        </w:rPr>
        <w:t xml:space="preserve">Jay Barney (1991) ‘Firm Resources and Sustained Competitive Advantage’, </w:t>
      </w:r>
      <w:r w:rsidDel="00000000" w:rsidR="00000000" w:rsidRPr="00000000">
        <w:rPr>
          <w:i w:val="1"/>
          <w:iCs w:val="1"/>
          <w:sz w:val="14"/>
          <w:szCs w:val="14"/>
          <w:rtl w:val="0"/>
        </w:rPr>
        <w:t xml:space="preserve">Journal of Management</w:t>
      </w:r>
      <w:r w:rsidDel="00000000" w:rsidR="00000000" w:rsidRPr="00000000">
        <w:rPr>
          <w:sz w:val="14"/>
          <w:szCs w:val="14"/>
          <w:rtl w:val="0"/>
        </w:rPr>
        <w:t xml:space="preserve">, 17(1), pp. 99–120.</w:t>
      </w:r>
    </w:p>
    <w:p w:rsidR="00000000" w:rsidDel="00000000" w:rsidP="00000000" w:rsidRDefault="00000000" w:rsidRPr="00000000" w14:paraId="0000000A">
      <w:pPr>
        <w:numPr>
          <w:ilvl w:val="0"/>
          <w:numId w:val="1"/>
        </w:numPr>
        <w:spacing w:after="0" w:afterAutospacing="0" w:before="0" w:beforeAutospacing="0" w:lineRule="auto"/>
        <w:ind w:left="720" w:hanging="360"/>
        <w:rPr>
          <w:sz w:val="14"/>
          <w:szCs w:val="14"/>
        </w:rPr>
      </w:pPr>
      <w:r w:rsidDel="00000000" w:rsidR="00000000" w:rsidRPr="00000000">
        <w:rPr>
          <w:sz w:val="14"/>
          <w:szCs w:val="14"/>
          <w:rtl w:val="0"/>
        </w:rPr>
        <w:t xml:space="preserve">Johnson, G., Scholes, K. and Whittington, R. (2020) </w:t>
      </w:r>
      <w:r w:rsidDel="00000000" w:rsidR="00000000" w:rsidRPr="00000000">
        <w:rPr>
          <w:i w:val="1"/>
          <w:iCs w:val="1"/>
          <w:sz w:val="14"/>
          <w:szCs w:val="14"/>
          <w:rtl w:val="0"/>
        </w:rPr>
        <w:t xml:space="preserve">Exploring Strategy</w:t>
      </w:r>
      <w:r w:rsidDel="00000000" w:rsidR="00000000" w:rsidRPr="00000000">
        <w:rPr>
          <w:sz w:val="14"/>
          <w:szCs w:val="14"/>
          <w:rtl w:val="0"/>
        </w:rPr>
        <w:t xml:space="preserve">. 12th edn. Harlow: Pearson Education.</w:t>
      </w:r>
    </w:p>
    <w:p w:rsidR="00000000" w:rsidDel="00000000" w:rsidP="00000000" w:rsidRDefault="00000000" w:rsidRPr="00000000" w14:paraId="0000000B">
      <w:pPr>
        <w:numPr>
          <w:ilvl w:val="0"/>
          <w:numId w:val="1"/>
        </w:numPr>
        <w:spacing w:after="0" w:afterAutospacing="0" w:before="0" w:beforeAutospacing="0" w:lineRule="auto"/>
        <w:ind w:left="720" w:hanging="360"/>
        <w:rPr>
          <w:sz w:val="14"/>
          <w:szCs w:val="14"/>
        </w:rPr>
      </w:pPr>
      <w:r w:rsidDel="00000000" w:rsidR="00000000" w:rsidRPr="00000000">
        <w:rPr>
          <w:sz w:val="14"/>
          <w:szCs w:val="14"/>
          <w:rtl w:val="0"/>
        </w:rPr>
        <w:t xml:space="preserve">Grant, R. M. (2022) </w:t>
      </w:r>
      <w:r w:rsidDel="00000000" w:rsidR="00000000" w:rsidRPr="00000000">
        <w:rPr>
          <w:i w:val="1"/>
          <w:iCs w:val="1"/>
          <w:sz w:val="14"/>
          <w:szCs w:val="14"/>
          <w:rtl w:val="0"/>
        </w:rPr>
        <w:t xml:space="preserve">Contemporary Strategy Analysis</w:t>
      </w:r>
      <w:r w:rsidDel="00000000" w:rsidR="00000000" w:rsidRPr="00000000">
        <w:rPr>
          <w:sz w:val="14"/>
          <w:szCs w:val="14"/>
          <w:rtl w:val="0"/>
        </w:rPr>
        <w:t xml:space="preserve">. 11th edn. Hoboken: Wiley.</w:t>
      </w:r>
    </w:p>
    <w:p w:rsidR="00000000" w:rsidDel="00000000" w:rsidP="00000000" w:rsidRDefault="00000000" w:rsidRPr="00000000" w14:paraId="0000000C">
      <w:pPr>
        <w:numPr>
          <w:ilvl w:val="0"/>
          <w:numId w:val="1"/>
        </w:numPr>
        <w:spacing w:after="0" w:afterAutospacing="0" w:before="0" w:beforeAutospacing="0" w:lineRule="auto"/>
        <w:ind w:left="720" w:hanging="360"/>
        <w:rPr>
          <w:sz w:val="14"/>
          <w:szCs w:val="14"/>
        </w:rPr>
      </w:pPr>
      <w:r w:rsidDel="00000000" w:rsidR="00000000" w:rsidRPr="00000000">
        <w:rPr>
          <w:sz w:val="14"/>
          <w:szCs w:val="14"/>
          <w:rtl w:val="0"/>
        </w:rPr>
        <w:t xml:space="preserve">Philip Kotler and Keller, K. L. (2016) </w:t>
      </w:r>
      <w:r w:rsidDel="00000000" w:rsidR="00000000" w:rsidRPr="00000000">
        <w:rPr>
          <w:i w:val="1"/>
          <w:iCs w:val="1"/>
          <w:sz w:val="14"/>
          <w:szCs w:val="14"/>
          <w:rtl w:val="0"/>
        </w:rPr>
        <w:t xml:space="preserve">Marketing Management</w:t>
      </w:r>
      <w:r w:rsidDel="00000000" w:rsidR="00000000" w:rsidRPr="00000000">
        <w:rPr>
          <w:sz w:val="14"/>
          <w:szCs w:val="14"/>
          <w:rtl w:val="0"/>
        </w:rPr>
        <w:t xml:space="preserve">. 15th edn. Harlow: Pearson.</w:t>
      </w:r>
    </w:p>
    <w:p w:rsidR="00000000" w:rsidDel="00000000" w:rsidP="00000000" w:rsidRDefault="00000000" w:rsidRPr="00000000" w14:paraId="0000000D">
      <w:pPr>
        <w:numPr>
          <w:ilvl w:val="0"/>
          <w:numId w:val="1"/>
        </w:numPr>
        <w:spacing w:after="0" w:afterAutospacing="0" w:before="0" w:beforeAutospacing="0" w:lineRule="auto"/>
        <w:ind w:left="720" w:hanging="360"/>
        <w:rPr>
          <w:sz w:val="14"/>
          <w:szCs w:val="14"/>
        </w:rPr>
      </w:pPr>
      <w:r w:rsidDel="00000000" w:rsidR="00000000" w:rsidRPr="00000000">
        <w:rPr>
          <w:sz w:val="14"/>
          <w:szCs w:val="14"/>
          <w:rtl w:val="0"/>
        </w:rPr>
        <w:t xml:space="preserve">Milton Friedman (1970) ‘The Social Responsibility of Business is to Increase its Profits’, </w:t>
      </w:r>
      <w:r w:rsidDel="00000000" w:rsidR="00000000" w:rsidRPr="00000000">
        <w:rPr>
          <w:i w:val="1"/>
          <w:iCs w:val="1"/>
          <w:sz w:val="14"/>
          <w:szCs w:val="14"/>
          <w:rtl w:val="0"/>
        </w:rPr>
        <w:t xml:space="preserve">The New York Times Magazine</w:t>
      </w:r>
      <w:r w:rsidDel="00000000" w:rsidR="00000000" w:rsidRPr="00000000">
        <w:rPr>
          <w:sz w:val="14"/>
          <w:szCs w:val="14"/>
          <w:rtl w:val="0"/>
        </w:rPr>
        <w:t xml:space="preserve">, 13 September.</w:t>
      </w:r>
    </w:p>
    <w:p w:rsidR="00000000" w:rsidDel="00000000" w:rsidP="00000000" w:rsidRDefault="00000000" w:rsidRPr="00000000" w14:paraId="0000000E">
      <w:pPr>
        <w:numPr>
          <w:ilvl w:val="0"/>
          <w:numId w:val="1"/>
        </w:numPr>
        <w:spacing w:after="0" w:afterAutospacing="0" w:before="0" w:beforeAutospacing="0" w:lineRule="auto"/>
        <w:ind w:left="720" w:hanging="360"/>
        <w:rPr>
          <w:sz w:val="14"/>
          <w:szCs w:val="14"/>
        </w:rPr>
      </w:pPr>
      <w:r w:rsidDel="00000000" w:rsidR="00000000" w:rsidRPr="00000000">
        <w:rPr>
          <w:sz w:val="14"/>
          <w:szCs w:val="14"/>
          <w:rtl w:val="0"/>
        </w:rPr>
        <w:t xml:space="preserve">Edward Freeman (1984) </w:t>
      </w:r>
      <w:r w:rsidDel="00000000" w:rsidR="00000000" w:rsidRPr="00000000">
        <w:rPr>
          <w:i w:val="1"/>
          <w:iCs w:val="1"/>
          <w:sz w:val="14"/>
          <w:szCs w:val="14"/>
          <w:rtl w:val="0"/>
        </w:rPr>
        <w:t xml:space="preserve">Strategic Management: A Stakeholder Approach</w:t>
      </w:r>
      <w:r w:rsidDel="00000000" w:rsidR="00000000" w:rsidRPr="00000000">
        <w:rPr>
          <w:sz w:val="14"/>
          <w:szCs w:val="14"/>
          <w:rtl w:val="0"/>
        </w:rPr>
        <w:t xml:space="preserve">. Boston: Pitman Publishing.</w:t>
      </w:r>
    </w:p>
    <w:p w:rsidR="00000000" w:rsidDel="00000000" w:rsidP="00000000" w:rsidRDefault="00000000" w:rsidRPr="00000000" w14:paraId="0000000F">
      <w:pPr>
        <w:numPr>
          <w:ilvl w:val="0"/>
          <w:numId w:val="1"/>
        </w:numPr>
        <w:spacing w:after="0" w:afterAutospacing="0" w:before="0" w:beforeAutospacing="0" w:lineRule="auto"/>
        <w:ind w:left="720" w:hanging="360"/>
        <w:rPr>
          <w:sz w:val="14"/>
          <w:szCs w:val="14"/>
        </w:rPr>
      </w:pPr>
      <w:r w:rsidDel="00000000" w:rsidR="00000000" w:rsidRPr="00000000">
        <w:rPr>
          <w:sz w:val="14"/>
          <w:szCs w:val="14"/>
          <w:rtl w:val="0"/>
        </w:rPr>
        <w:t xml:space="preserve">Igor Ansoff (1987) </w:t>
      </w:r>
      <w:r w:rsidDel="00000000" w:rsidR="00000000" w:rsidRPr="00000000">
        <w:rPr>
          <w:i w:val="1"/>
          <w:iCs w:val="1"/>
          <w:sz w:val="14"/>
          <w:szCs w:val="14"/>
          <w:rtl w:val="0"/>
        </w:rPr>
        <w:t xml:space="preserve">Corporate Strategy</w:t>
      </w:r>
      <w:r w:rsidDel="00000000" w:rsidR="00000000" w:rsidRPr="00000000">
        <w:rPr>
          <w:sz w:val="14"/>
          <w:szCs w:val="14"/>
          <w:rtl w:val="0"/>
        </w:rPr>
        <w:t xml:space="preserve">. London: Penguin Books.</w:t>
      </w:r>
    </w:p>
    <w:p w:rsidR="00000000" w:rsidDel="00000000" w:rsidP="00000000" w:rsidRDefault="00000000" w:rsidRPr="00000000" w14:paraId="00000010">
      <w:pPr>
        <w:numPr>
          <w:ilvl w:val="0"/>
          <w:numId w:val="1"/>
        </w:numPr>
        <w:spacing w:after="0" w:afterAutospacing="0" w:before="0" w:beforeAutospacing="0" w:lineRule="auto"/>
        <w:ind w:left="720" w:hanging="360"/>
        <w:rPr>
          <w:sz w:val="14"/>
          <w:szCs w:val="14"/>
        </w:rPr>
      </w:pPr>
      <w:r w:rsidDel="00000000" w:rsidR="00000000" w:rsidRPr="00000000">
        <w:rPr>
          <w:sz w:val="14"/>
          <w:szCs w:val="14"/>
          <w:rtl w:val="0"/>
        </w:rPr>
        <w:t xml:space="preserve">Henry Mintzberg (1994) </w:t>
      </w:r>
      <w:r w:rsidDel="00000000" w:rsidR="00000000" w:rsidRPr="00000000">
        <w:rPr>
          <w:i w:val="1"/>
          <w:iCs w:val="1"/>
          <w:sz w:val="14"/>
          <w:szCs w:val="14"/>
          <w:rtl w:val="0"/>
        </w:rPr>
        <w:t xml:space="preserve">The Rise and Fall of Strategic Planning</w:t>
      </w:r>
      <w:r w:rsidDel="00000000" w:rsidR="00000000" w:rsidRPr="00000000">
        <w:rPr>
          <w:sz w:val="14"/>
          <w:szCs w:val="14"/>
          <w:rtl w:val="0"/>
        </w:rPr>
        <w:t xml:space="preserve">. New York: Free Press.</w:t>
      </w:r>
    </w:p>
    <w:p w:rsidR="00000000" w:rsidDel="00000000" w:rsidP="00000000" w:rsidRDefault="00000000" w:rsidRPr="00000000" w14:paraId="00000011">
      <w:pPr>
        <w:numPr>
          <w:ilvl w:val="0"/>
          <w:numId w:val="1"/>
        </w:numPr>
        <w:spacing w:after="0" w:afterAutospacing="0" w:before="0" w:beforeAutospacing="0" w:lineRule="auto"/>
        <w:ind w:left="720" w:hanging="360"/>
        <w:rPr>
          <w:sz w:val="14"/>
          <w:szCs w:val="14"/>
        </w:rPr>
      </w:pPr>
      <w:r w:rsidDel="00000000" w:rsidR="00000000" w:rsidRPr="00000000">
        <w:rPr>
          <w:sz w:val="14"/>
          <w:szCs w:val="14"/>
          <w:rtl w:val="0"/>
        </w:rPr>
        <w:t xml:space="preserve">Dangote Group (2024) </w:t>
      </w:r>
      <w:r w:rsidDel="00000000" w:rsidR="00000000" w:rsidRPr="00000000">
        <w:rPr>
          <w:i w:val="1"/>
          <w:iCs w:val="1"/>
          <w:sz w:val="14"/>
          <w:szCs w:val="14"/>
          <w:rtl w:val="0"/>
        </w:rPr>
        <w:t xml:space="preserve">Corporate Information and Business Operations</w:t>
      </w:r>
      <w:r w:rsidDel="00000000" w:rsidR="00000000" w:rsidRPr="00000000">
        <w:rPr>
          <w:sz w:val="14"/>
          <w:szCs w:val="14"/>
          <w:rtl w:val="0"/>
        </w:rPr>
        <w:t xml:space="preserve">. Available at:</w:t>
      </w:r>
      <w:hyperlink r:id="rId6">
        <w:r w:rsidDel="00000000" w:rsidR="00000000" w:rsidRPr="00000000">
          <w:rPr>
            <w:sz w:val="14"/>
            <w:szCs w:val="14"/>
            <w:rtl w:val="0"/>
          </w:rPr>
          <w:t xml:space="preserve"> </w:t>
        </w:r>
      </w:hyperlink>
      <w:hyperlink r:id="rId7">
        <w:r w:rsidDel="00000000" w:rsidR="00000000" w:rsidRPr="00000000">
          <w:rPr>
            <w:sz w:val="14"/>
            <w:szCs w:val="14"/>
            <w:u w:val="single"/>
            <w:rtl w:val="0"/>
          </w:rPr>
          <w:t xml:space="preserve">Dangote Group Official Website</w:t>
        </w:r>
      </w:hyperlink>
      <w:r w:rsidDel="00000000" w:rsidR="00000000" w:rsidRPr="00000000">
        <w:rPr>
          <w:rtl w:val="0"/>
        </w:rPr>
      </w:r>
    </w:p>
    <w:p w:rsidR="00000000" w:rsidDel="00000000" w:rsidP="00000000" w:rsidRDefault="00000000" w:rsidRPr="00000000" w14:paraId="00000012">
      <w:pPr>
        <w:numPr>
          <w:ilvl w:val="0"/>
          <w:numId w:val="1"/>
        </w:numPr>
        <w:spacing w:after="0" w:afterAutospacing="0" w:before="0" w:beforeAutospacing="0" w:lineRule="auto"/>
        <w:ind w:left="720" w:hanging="360"/>
        <w:rPr>
          <w:sz w:val="14"/>
          <w:szCs w:val="14"/>
        </w:rPr>
      </w:pPr>
      <w:r w:rsidDel="00000000" w:rsidR="00000000" w:rsidRPr="00000000">
        <w:rPr>
          <w:sz w:val="14"/>
          <w:szCs w:val="14"/>
          <w:rtl w:val="0"/>
        </w:rPr>
        <w:t xml:space="preserve">Apple (2024) </w:t>
      </w:r>
      <w:r w:rsidDel="00000000" w:rsidR="00000000" w:rsidRPr="00000000">
        <w:rPr>
          <w:i w:val="1"/>
          <w:iCs w:val="1"/>
          <w:sz w:val="14"/>
          <w:szCs w:val="14"/>
          <w:rtl w:val="0"/>
        </w:rPr>
        <w:t xml:space="preserve">Annual Report</w:t>
      </w:r>
      <w:r w:rsidDel="00000000" w:rsidR="00000000" w:rsidRPr="00000000">
        <w:rPr>
          <w:sz w:val="14"/>
          <w:szCs w:val="14"/>
          <w:rtl w:val="0"/>
        </w:rPr>
        <w:t xml:space="preserve">. Available at:</w:t>
      </w:r>
      <w:hyperlink r:id="rId8">
        <w:r w:rsidDel="00000000" w:rsidR="00000000" w:rsidRPr="00000000">
          <w:rPr>
            <w:sz w:val="14"/>
            <w:szCs w:val="14"/>
            <w:rtl w:val="0"/>
          </w:rPr>
          <w:t xml:space="preserve"> </w:t>
        </w:r>
      </w:hyperlink>
      <w:hyperlink r:id="rId9">
        <w:r w:rsidDel="00000000" w:rsidR="00000000" w:rsidRPr="00000000">
          <w:rPr>
            <w:sz w:val="14"/>
            <w:szCs w:val="14"/>
            <w:u w:val="single"/>
            <w:rtl w:val="0"/>
          </w:rPr>
          <w:t xml:space="preserve">Apple Investor Relations</w:t>
        </w:r>
      </w:hyperlink>
      <w:r w:rsidDel="00000000" w:rsidR="00000000" w:rsidRPr="00000000">
        <w:rPr>
          <w:rtl w:val="0"/>
        </w:rPr>
      </w:r>
    </w:p>
    <w:p w:rsidR="00000000" w:rsidDel="00000000" w:rsidP="00000000" w:rsidRDefault="00000000" w:rsidRPr="00000000" w14:paraId="00000013">
      <w:pPr>
        <w:numPr>
          <w:ilvl w:val="0"/>
          <w:numId w:val="1"/>
        </w:numPr>
        <w:spacing w:after="0" w:afterAutospacing="0" w:before="0" w:beforeAutospacing="0" w:lineRule="auto"/>
        <w:ind w:left="720" w:hanging="360"/>
        <w:rPr>
          <w:sz w:val="14"/>
          <w:szCs w:val="14"/>
        </w:rPr>
      </w:pPr>
      <w:r w:rsidDel="00000000" w:rsidR="00000000" w:rsidRPr="00000000">
        <w:rPr>
          <w:sz w:val="14"/>
          <w:szCs w:val="14"/>
          <w:rtl w:val="0"/>
        </w:rPr>
        <w:t xml:space="preserve">Amazon (2024) </w:t>
      </w:r>
      <w:r w:rsidDel="00000000" w:rsidR="00000000" w:rsidRPr="00000000">
        <w:rPr>
          <w:i w:val="1"/>
          <w:iCs w:val="1"/>
          <w:sz w:val="14"/>
          <w:szCs w:val="14"/>
          <w:rtl w:val="0"/>
        </w:rPr>
        <w:t xml:space="preserve">Annual Report</w:t>
      </w:r>
      <w:r w:rsidDel="00000000" w:rsidR="00000000" w:rsidRPr="00000000">
        <w:rPr>
          <w:sz w:val="14"/>
          <w:szCs w:val="14"/>
          <w:rtl w:val="0"/>
        </w:rPr>
        <w:t xml:space="preserve">. Available at:</w:t>
      </w:r>
      <w:hyperlink r:id="rId10">
        <w:r w:rsidDel="00000000" w:rsidR="00000000" w:rsidRPr="00000000">
          <w:rPr>
            <w:sz w:val="14"/>
            <w:szCs w:val="14"/>
            <w:rtl w:val="0"/>
          </w:rPr>
          <w:t xml:space="preserve"> </w:t>
        </w:r>
      </w:hyperlink>
      <w:hyperlink r:id="rId11">
        <w:r w:rsidDel="00000000" w:rsidR="00000000" w:rsidRPr="00000000">
          <w:rPr>
            <w:sz w:val="14"/>
            <w:szCs w:val="14"/>
            <w:u w:val="single"/>
            <w:rtl w:val="0"/>
          </w:rPr>
          <w:t xml:space="preserve">Amazon Investor Relations</w:t>
        </w:r>
      </w:hyperlink>
      <w:r w:rsidDel="00000000" w:rsidR="00000000" w:rsidRPr="00000000">
        <w:rPr>
          <w:rtl w:val="0"/>
        </w:rPr>
      </w:r>
    </w:p>
    <w:p w:rsidR="00000000" w:rsidDel="00000000" w:rsidP="00000000" w:rsidRDefault="00000000" w:rsidRPr="00000000" w14:paraId="00000014">
      <w:pPr>
        <w:numPr>
          <w:ilvl w:val="0"/>
          <w:numId w:val="1"/>
        </w:numPr>
        <w:spacing w:after="0" w:afterAutospacing="0" w:before="0" w:beforeAutospacing="0" w:lineRule="auto"/>
        <w:ind w:left="720" w:hanging="360"/>
        <w:rPr>
          <w:sz w:val="14"/>
          <w:szCs w:val="14"/>
        </w:rPr>
      </w:pPr>
      <w:r w:rsidDel="00000000" w:rsidR="00000000" w:rsidRPr="00000000">
        <w:rPr>
          <w:sz w:val="14"/>
          <w:szCs w:val="14"/>
          <w:rtl w:val="0"/>
        </w:rPr>
        <w:t xml:space="preserve">Netflix (2024) </w:t>
      </w:r>
      <w:r w:rsidDel="00000000" w:rsidR="00000000" w:rsidRPr="00000000">
        <w:rPr>
          <w:i w:val="1"/>
          <w:iCs w:val="1"/>
          <w:sz w:val="14"/>
          <w:szCs w:val="14"/>
          <w:rtl w:val="0"/>
        </w:rPr>
        <w:t xml:space="preserve">Annual Report</w:t>
      </w:r>
      <w:r w:rsidDel="00000000" w:rsidR="00000000" w:rsidRPr="00000000">
        <w:rPr>
          <w:sz w:val="14"/>
          <w:szCs w:val="14"/>
          <w:rtl w:val="0"/>
        </w:rPr>
        <w:t xml:space="preserve">. Available at:</w:t>
      </w:r>
      <w:hyperlink r:id="rId12">
        <w:r w:rsidDel="00000000" w:rsidR="00000000" w:rsidRPr="00000000">
          <w:rPr>
            <w:sz w:val="14"/>
            <w:szCs w:val="14"/>
            <w:rtl w:val="0"/>
          </w:rPr>
          <w:t xml:space="preserve"> </w:t>
        </w:r>
      </w:hyperlink>
      <w:hyperlink r:id="rId13">
        <w:r w:rsidDel="00000000" w:rsidR="00000000" w:rsidRPr="00000000">
          <w:rPr>
            <w:sz w:val="14"/>
            <w:szCs w:val="14"/>
            <w:u w:val="single"/>
            <w:rtl w:val="0"/>
          </w:rPr>
          <w:t xml:space="preserve">Netflix Investor Relations</w:t>
        </w:r>
      </w:hyperlink>
      <w:r w:rsidDel="00000000" w:rsidR="00000000" w:rsidRPr="00000000">
        <w:rPr>
          <w:rtl w:val="0"/>
        </w:rPr>
      </w:r>
    </w:p>
    <w:p w:rsidR="00000000" w:rsidDel="00000000" w:rsidP="00000000" w:rsidRDefault="00000000" w:rsidRPr="00000000" w14:paraId="00000015">
      <w:pPr>
        <w:numPr>
          <w:ilvl w:val="0"/>
          <w:numId w:val="1"/>
        </w:numPr>
        <w:spacing w:after="0" w:afterAutospacing="0" w:before="0" w:beforeAutospacing="0" w:lineRule="auto"/>
        <w:ind w:left="720" w:hanging="360"/>
        <w:rPr>
          <w:sz w:val="14"/>
          <w:szCs w:val="14"/>
        </w:rPr>
      </w:pPr>
      <w:r w:rsidDel="00000000" w:rsidR="00000000" w:rsidRPr="00000000">
        <w:rPr>
          <w:sz w:val="14"/>
          <w:szCs w:val="14"/>
          <w:rtl w:val="0"/>
        </w:rPr>
        <w:t xml:space="preserve">Nike (2024) </w:t>
      </w:r>
      <w:r w:rsidDel="00000000" w:rsidR="00000000" w:rsidRPr="00000000">
        <w:rPr>
          <w:i w:val="1"/>
          <w:iCs w:val="1"/>
          <w:sz w:val="14"/>
          <w:szCs w:val="14"/>
          <w:rtl w:val="0"/>
        </w:rPr>
        <w:t xml:space="preserve">Corporate Responsibility Report</w:t>
      </w:r>
      <w:r w:rsidDel="00000000" w:rsidR="00000000" w:rsidRPr="00000000">
        <w:rPr>
          <w:sz w:val="14"/>
          <w:szCs w:val="14"/>
          <w:rtl w:val="0"/>
        </w:rPr>
        <w:t xml:space="preserve">. Available at:</w:t>
      </w:r>
      <w:hyperlink r:id="rId14">
        <w:r w:rsidDel="00000000" w:rsidR="00000000" w:rsidRPr="00000000">
          <w:rPr>
            <w:sz w:val="14"/>
            <w:szCs w:val="14"/>
            <w:rtl w:val="0"/>
          </w:rPr>
          <w:t xml:space="preserve"> </w:t>
        </w:r>
      </w:hyperlink>
      <w:hyperlink r:id="rId15">
        <w:r w:rsidDel="00000000" w:rsidR="00000000" w:rsidRPr="00000000">
          <w:rPr>
            <w:sz w:val="14"/>
            <w:szCs w:val="14"/>
            <w:u w:val="single"/>
            <w:rtl w:val="0"/>
          </w:rPr>
          <w:t xml:space="preserve">Nike Purpose and Impact</w:t>
        </w:r>
      </w:hyperlink>
      <w:r w:rsidDel="00000000" w:rsidR="00000000" w:rsidRPr="00000000">
        <w:rPr>
          <w:rtl w:val="0"/>
        </w:rPr>
      </w:r>
    </w:p>
    <w:p w:rsidR="00000000" w:rsidDel="00000000" w:rsidP="00000000" w:rsidRDefault="00000000" w:rsidRPr="00000000" w14:paraId="00000016">
      <w:pPr>
        <w:numPr>
          <w:ilvl w:val="0"/>
          <w:numId w:val="1"/>
        </w:numPr>
        <w:spacing w:after="240" w:before="0" w:beforeAutospacing="0" w:lineRule="auto"/>
        <w:ind w:left="720" w:hanging="360"/>
        <w:rPr>
          <w:sz w:val="14"/>
          <w:szCs w:val="14"/>
        </w:rPr>
      </w:pPr>
      <w:r w:rsidDel="00000000" w:rsidR="00000000" w:rsidRPr="00000000">
        <w:rPr>
          <w:sz w:val="14"/>
          <w:szCs w:val="14"/>
          <w:rtl w:val="0"/>
        </w:rPr>
        <w:t xml:space="preserve">Unilever (2024) </w:t>
      </w:r>
      <w:r w:rsidDel="00000000" w:rsidR="00000000" w:rsidRPr="00000000">
        <w:rPr>
          <w:i w:val="1"/>
          <w:iCs w:val="1"/>
          <w:sz w:val="14"/>
          <w:szCs w:val="14"/>
          <w:rtl w:val="0"/>
        </w:rPr>
        <w:t xml:space="preserve">Sustainability Report</w:t>
      </w:r>
      <w:r w:rsidDel="00000000" w:rsidR="00000000" w:rsidRPr="00000000">
        <w:rPr>
          <w:sz w:val="14"/>
          <w:szCs w:val="14"/>
          <w:rtl w:val="0"/>
        </w:rPr>
        <w:t xml:space="preserve">. Available at:</w:t>
      </w:r>
      <w:hyperlink r:id="rId16">
        <w:r w:rsidDel="00000000" w:rsidR="00000000" w:rsidRPr="00000000">
          <w:rPr>
            <w:sz w:val="14"/>
            <w:szCs w:val="14"/>
            <w:rtl w:val="0"/>
          </w:rPr>
          <w:t xml:space="preserve"> </w:t>
        </w:r>
      </w:hyperlink>
      <w:hyperlink r:id="rId17">
        <w:r w:rsidDel="00000000" w:rsidR="00000000" w:rsidRPr="00000000">
          <w:rPr>
            <w:sz w:val="14"/>
            <w:szCs w:val="14"/>
            <w:u w:val="single"/>
            <w:rtl w:val="0"/>
          </w:rPr>
          <w:t xml:space="preserve">Unilever Sustainability</w:t>
        </w:r>
      </w:hyperlink>
      <w:r w:rsidDel="00000000" w:rsidR="00000000" w:rsidRPr="00000000">
        <w:rPr>
          <w:rtl w:val="0"/>
        </w:rPr>
      </w:r>
    </w:p>
    <w:p w:rsidR="00000000" w:rsidDel="00000000" w:rsidP="00000000" w:rsidRDefault="00000000" w:rsidRPr="00000000" w14:paraId="00000017">
      <w:pPr>
        <w:spacing w:after="240" w:before="240" w:lineRule="auto"/>
        <w:jc w:val="both"/>
        <w:rPr>
          <w:sz w:val="14"/>
          <w:szCs w:val="14"/>
        </w:rPr>
      </w:pPr>
      <w:r w:rsidDel="00000000" w:rsidR="00000000" w:rsidRPr="00000000">
        <w:rPr>
          <w:rtl w:val="0"/>
        </w:rPr>
      </w:r>
    </w:p>
    <w:p w:rsidR="00000000" w:rsidDel="00000000" w:rsidP="00000000" w:rsidRDefault="00000000" w:rsidRPr="00000000" w14:paraId="00000018">
      <w:pPr>
        <w:spacing w:after="240" w:before="240" w:lineRule="auto"/>
        <w:jc w:val="both"/>
        <w:rPr>
          <w:sz w:val="14"/>
          <w:szCs w:val="14"/>
        </w:rPr>
      </w:pPr>
      <w:r w:rsidDel="00000000" w:rsidR="00000000" w:rsidRPr="00000000">
        <w:rPr>
          <w:rtl w:val="0"/>
        </w:rPr>
      </w:r>
    </w:p>
    <w:p w:rsidR="00000000" w:rsidDel="00000000" w:rsidP="00000000" w:rsidRDefault="00000000" w:rsidRPr="00000000" w14:paraId="00000019">
      <w:pPr>
        <w:jc w:val="both"/>
        <w:rPr>
          <w:sz w:val="14"/>
          <w:szCs w:val="14"/>
        </w:rPr>
      </w:pPr>
      <w:r w:rsidDel="00000000" w:rsidR="00000000" w:rsidRPr="00000000">
        <w:rPr>
          <w:rtl w:val="0"/>
        </w:rPr>
      </w:r>
    </w:p>
    <w:sectPr>
      <w:footerReference r:id="rId1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A">
    <w:pPr>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amazon.com/ir?utm_source=chatgpt.com" TargetMode="External"/><Relationship Id="rId10" Type="http://schemas.openxmlformats.org/officeDocument/2006/relationships/hyperlink" Target="https://www.amazon.com/ir?utm_source=chatgpt.com" TargetMode="External"/><Relationship Id="rId13" Type="http://schemas.openxmlformats.org/officeDocument/2006/relationships/hyperlink" Target="https://ir.netflix.net/?utm_source=chatgpt.com" TargetMode="External"/><Relationship Id="rId12" Type="http://schemas.openxmlformats.org/officeDocument/2006/relationships/hyperlink" Target="https://ir.netflix.net/?utm_source=chatgpt.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investor.apple.com/?utm_source=chatgpt.com" TargetMode="External"/><Relationship Id="rId15" Type="http://schemas.openxmlformats.org/officeDocument/2006/relationships/hyperlink" Target="https://purpose.nike.com/?utm_source=chatgpt.com" TargetMode="External"/><Relationship Id="rId14" Type="http://schemas.openxmlformats.org/officeDocument/2006/relationships/hyperlink" Target="https://purpose.nike.com/?utm_source=chatgpt.com" TargetMode="External"/><Relationship Id="rId17" Type="http://schemas.openxmlformats.org/officeDocument/2006/relationships/hyperlink" Target="https://www.unilever.com/planet-and-society/?utm_source=chatgpt.com" TargetMode="External"/><Relationship Id="rId16" Type="http://schemas.openxmlformats.org/officeDocument/2006/relationships/hyperlink" Target="https://www.unilever.com/planet-and-society/?utm_source=chatgpt.com" TargetMode="External"/><Relationship Id="rId5" Type="http://schemas.openxmlformats.org/officeDocument/2006/relationships/styles" Target="styles.xml"/><Relationship Id="rId6" Type="http://schemas.openxmlformats.org/officeDocument/2006/relationships/hyperlink" Target="https://www.dangote.com/?utm_source=chatgpt.com" TargetMode="External"/><Relationship Id="rId18" Type="http://schemas.openxmlformats.org/officeDocument/2006/relationships/footer" Target="footer1.xml"/><Relationship Id="rId7" Type="http://schemas.openxmlformats.org/officeDocument/2006/relationships/hyperlink" Target="https://www.dangote.com/?utm_source=chatgpt.com" TargetMode="External"/><Relationship Id="rId8" Type="http://schemas.openxmlformats.org/officeDocument/2006/relationships/hyperlink" Target="https://investor.apple.com/?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