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19E7" w:rsidRDefault="0041214C">
      <w:pPr>
        <w:rPr>
          <w:b/>
          <w:u w:val="single"/>
        </w:rPr>
      </w:pPr>
      <w:r>
        <w:rPr>
          <w:b/>
          <w:u w:val="single"/>
        </w:rPr>
        <w:t>Laura James</w:t>
      </w:r>
    </w:p>
    <w:p w:rsidR="0041214C" w:rsidRDefault="0041214C">
      <w:pPr>
        <w:rPr>
          <w:b/>
          <w:u w:val="single"/>
        </w:rPr>
      </w:pPr>
      <w:r>
        <w:rPr>
          <w:b/>
          <w:u w:val="single"/>
        </w:rPr>
        <w:t>Professional Development Portfolio</w:t>
      </w:r>
    </w:p>
    <w:p w:rsidR="0041214C" w:rsidRDefault="0041214C">
      <w:pPr>
        <w:rPr>
          <w:b/>
          <w:u w:val="single"/>
        </w:rPr>
      </w:pPr>
    </w:p>
    <w:p w:rsidR="0041214C" w:rsidRDefault="0041214C">
      <w:pPr>
        <w:rPr>
          <w:b/>
          <w:u w:val="single"/>
        </w:rPr>
      </w:pPr>
      <w:r>
        <w:rPr>
          <w:b/>
          <w:u w:val="single"/>
        </w:rPr>
        <w:t>Written Elements</w:t>
      </w:r>
    </w:p>
    <w:p w:rsidR="0041214C" w:rsidRDefault="0041214C">
      <w:pPr>
        <w:rPr>
          <w:b/>
          <w:u w:val="single"/>
        </w:rPr>
      </w:pPr>
    </w:p>
    <w:p w:rsidR="0041214C" w:rsidRDefault="0041214C">
      <w:pPr>
        <w:rPr>
          <w:b/>
          <w:u w:val="single"/>
        </w:rPr>
      </w:pPr>
      <w:r>
        <w:rPr>
          <w:b/>
          <w:u w:val="single"/>
        </w:rPr>
        <w:t>PTE</w:t>
      </w:r>
    </w:p>
    <w:p w:rsidR="0041214C" w:rsidRDefault="0041214C">
      <w:pPr>
        <w:rPr>
          <w:b/>
          <w:u w:val="single"/>
        </w:rPr>
      </w:pP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The Professional Teaching Experience Placement was completed at the University of Wales Trinity Saint David within the Business Faculty. More specifically the placement took place within Carmarthen Business School on the Carmarthen Campus, although a number of excursions and external visits took place within this time, as discussed below.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As a previous Undergraduate student of Carmarthen Business School, I was familiar with the educational structure and already had a good foundational relationship with the other lecturers. This made the transition from student to student lecturer a comfortable one within the </w:t>
      </w:r>
      <w:proofErr w:type="gramStart"/>
      <w:r w:rsidRPr="0041214C">
        <w:rPr>
          <w:rFonts w:ascii="Calibri" w:hAnsi="Calibri" w:cs="Times New Roman"/>
          <w:sz w:val="22"/>
          <w:szCs w:val="22"/>
          <w:lang w:val="en-US"/>
        </w:rPr>
        <w:t>staff</w:t>
      </w:r>
      <w:proofErr w:type="gramEnd"/>
      <w:r w:rsidRPr="0041214C">
        <w:rPr>
          <w:rFonts w:ascii="Calibri" w:hAnsi="Calibri" w:cs="Times New Roman"/>
          <w:sz w:val="22"/>
          <w:szCs w:val="22"/>
          <w:lang w:val="en-US"/>
        </w:rPr>
        <w:t xml:space="preserve"> as they were all supportive of this course and the opportunity it presented.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During my placement, I taught a range of levels including Level 4, 5 and 6. There was a period of settling in at the beginning of the placement as the Level 5 and 6 students previously knew me as a student. It was crucial that they understood that I was now to be seen as a Student Lecturer and it was important to me personally to ensure that they were confident with my level of knowledge and understanding of the topics that I was teaching.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The Undergraduate degree that I taught on was BA Business and </w:t>
      </w:r>
      <w:proofErr w:type="gramStart"/>
      <w:r w:rsidRPr="0041214C">
        <w:rPr>
          <w:rFonts w:ascii="Calibri" w:hAnsi="Calibri" w:cs="Times New Roman"/>
          <w:sz w:val="22"/>
          <w:szCs w:val="22"/>
          <w:lang w:val="en-US"/>
        </w:rPr>
        <w:t>Management which</w:t>
      </w:r>
      <w:proofErr w:type="gramEnd"/>
      <w:r w:rsidRPr="0041214C">
        <w:rPr>
          <w:rFonts w:ascii="Calibri" w:hAnsi="Calibri" w:cs="Times New Roman"/>
          <w:sz w:val="22"/>
          <w:szCs w:val="22"/>
          <w:lang w:val="en-US"/>
        </w:rPr>
        <w:t xml:space="preserve"> evidently included two different degree </w:t>
      </w:r>
      <w:proofErr w:type="spellStart"/>
      <w:r w:rsidRPr="0041214C">
        <w:rPr>
          <w:rFonts w:ascii="Calibri" w:hAnsi="Calibri" w:cs="Times New Roman"/>
          <w:sz w:val="22"/>
          <w:szCs w:val="22"/>
          <w:lang w:val="en-US"/>
        </w:rPr>
        <w:t>programmes</w:t>
      </w:r>
      <w:proofErr w:type="spellEnd"/>
      <w:r w:rsidRPr="0041214C">
        <w:rPr>
          <w:rFonts w:ascii="Calibri" w:hAnsi="Calibri" w:cs="Times New Roman"/>
          <w:sz w:val="22"/>
          <w:szCs w:val="22"/>
          <w:lang w:val="en-US"/>
        </w:rPr>
        <w:t xml:space="preserve"> based on the Level. This is due to the fact that a new </w:t>
      </w:r>
      <w:proofErr w:type="spell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was run from academic year 2017 which included all new modules and saw sustainability at the heart of the </w:t>
      </w:r>
      <w:proofErr w:type="spell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I was asked to teach within both the new </w:t>
      </w:r>
      <w:proofErr w:type="spell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and old </w:t>
      </w:r>
      <w:proofErr w:type="spellStart"/>
      <w:proofErr w:type="gram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which</w:t>
      </w:r>
      <w:proofErr w:type="gramEnd"/>
      <w:r w:rsidRPr="0041214C">
        <w:rPr>
          <w:rFonts w:ascii="Calibri" w:hAnsi="Calibri" w:cs="Times New Roman"/>
          <w:sz w:val="22"/>
          <w:szCs w:val="22"/>
          <w:lang w:val="en-US"/>
        </w:rPr>
        <w:t xml:space="preserve"> was still being run for levels 5 and 6. The modules and </w:t>
      </w:r>
      <w:proofErr w:type="gramStart"/>
      <w:r w:rsidRPr="0041214C">
        <w:rPr>
          <w:rFonts w:ascii="Calibri" w:hAnsi="Calibri" w:cs="Times New Roman"/>
          <w:sz w:val="22"/>
          <w:szCs w:val="22"/>
          <w:lang w:val="en-US"/>
        </w:rPr>
        <w:t>cross-cutting</w:t>
      </w:r>
      <w:proofErr w:type="gramEnd"/>
      <w:r w:rsidRPr="0041214C">
        <w:rPr>
          <w:rFonts w:ascii="Calibri" w:hAnsi="Calibri" w:cs="Times New Roman"/>
          <w:sz w:val="22"/>
          <w:szCs w:val="22"/>
          <w:lang w:val="en-US"/>
        </w:rPr>
        <w:t xml:space="preserve"> themes were not the only changes between the levels. The number of students enrolled and indeed attending each lecture differed between levels and looked like this</w:t>
      </w:r>
      <w:proofErr w:type="gramStart"/>
      <w:r w:rsidRPr="0041214C">
        <w:rPr>
          <w:rFonts w:ascii="Calibri" w:hAnsi="Calibri" w:cs="Times New Roman"/>
          <w:sz w:val="22"/>
          <w:szCs w:val="22"/>
          <w:lang w:val="en-US"/>
        </w:rPr>
        <w:t>;</w:t>
      </w:r>
      <w:proofErr w:type="gramEnd"/>
      <w:r w:rsidRPr="0041214C">
        <w:rPr>
          <w:rFonts w:ascii="Calibri" w:hAnsi="Calibri" w:cs="Times New Roman"/>
          <w:sz w:val="22"/>
          <w:szCs w:val="22"/>
          <w:lang w:val="en-US"/>
        </w:rPr>
        <w: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8"/>
        <w:gridCol w:w="4137"/>
        <w:gridCol w:w="3641"/>
      </w:tblGrid>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b/>
                <w:bCs/>
                <w:sz w:val="22"/>
                <w:szCs w:val="22"/>
                <w:lang w:val="en-US"/>
              </w:rPr>
              <w:t>Level</w:t>
            </w:r>
            <w:r w:rsidRPr="0041214C">
              <w:rPr>
                <w:rFonts w:ascii="Calibri" w:hAnsi="Calibri" w:cs="Times New Roman"/>
                <w:sz w:val="22"/>
                <w:szCs w:val="22"/>
                <w:lang w:val="en-US"/>
              </w:rPr>
              <w:t>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b/>
                <w:bCs/>
                <w:sz w:val="22"/>
                <w:szCs w:val="22"/>
                <w:lang w:val="en-US"/>
              </w:rPr>
              <w:t>Number of students registered on the course</w:t>
            </w:r>
            <w:r w:rsidRPr="0041214C">
              <w:rPr>
                <w:rFonts w:ascii="Calibri" w:hAnsi="Calibri" w:cs="Times New Roman"/>
                <w:sz w:val="22"/>
                <w:szCs w:val="22"/>
                <w:lang w:val="en-US"/>
              </w:rPr>
              <w:t>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b/>
                <w:bCs/>
                <w:sz w:val="22"/>
                <w:szCs w:val="22"/>
                <w:lang w:val="en-US"/>
              </w:rPr>
              <w:t>Average number of student attendance</w:t>
            </w:r>
            <w:r w:rsidRPr="0041214C">
              <w:rPr>
                <w:rFonts w:ascii="Calibri" w:hAnsi="Calibri" w:cs="Times New Roman"/>
                <w:sz w:val="22"/>
                <w:szCs w:val="22"/>
                <w:lang w:val="en-US"/>
              </w:rPr>
              <w:t> </w:t>
            </w:r>
          </w:p>
        </w:tc>
      </w:tr>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4 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33 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28 </w:t>
            </w:r>
          </w:p>
        </w:tc>
      </w:tr>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5 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10 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3 </w:t>
            </w:r>
          </w:p>
        </w:tc>
      </w:tr>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6 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15 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8 </w:t>
            </w:r>
          </w:p>
        </w:tc>
      </w:tr>
    </w:tbl>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As the above table highlights, there is a huge variance in numbers of student’s </w:t>
      </w:r>
      <w:proofErr w:type="spellStart"/>
      <w:r w:rsidRPr="0041214C">
        <w:rPr>
          <w:rFonts w:ascii="Calibri" w:hAnsi="Calibri" w:cs="Times New Roman"/>
          <w:sz w:val="22"/>
          <w:szCs w:val="22"/>
          <w:lang w:val="en-US"/>
        </w:rPr>
        <w:t>dependant</w:t>
      </w:r>
      <w:proofErr w:type="spellEnd"/>
      <w:r w:rsidRPr="0041214C">
        <w:rPr>
          <w:rFonts w:ascii="Calibri" w:hAnsi="Calibri" w:cs="Times New Roman"/>
          <w:sz w:val="22"/>
          <w:szCs w:val="22"/>
          <w:lang w:val="en-US"/>
        </w:rPr>
        <w:t xml:space="preserve"> on the level. It is also evident that there is an issue with attendance for both level 5 and level 6 which proved difficult when designing and planning lesson content. During some Level 5 lessons, there </w:t>
      </w:r>
      <w:proofErr w:type="gramStart"/>
      <w:r w:rsidRPr="0041214C">
        <w:rPr>
          <w:rFonts w:ascii="Calibri" w:hAnsi="Calibri" w:cs="Times New Roman"/>
          <w:sz w:val="22"/>
          <w:szCs w:val="22"/>
          <w:lang w:val="en-US"/>
        </w:rPr>
        <w:t>were</w:t>
      </w:r>
      <w:proofErr w:type="gramEnd"/>
      <w:r w:rsidRPr="0041214C">
        <w:rPr>
          <w:rFonts w:ascii="Calibri" w:hAnsi="Calibri" w:cs="Times New Roman"/>
          <w:sz w:val="22"/>
          <w:szCs w:val="22"/>
          <w:lang w:val="en-US"/>
        </w:rPr>
        <w:t xml:space="preserve"> often only one student. It was important that as a lecturer, I ensured that the lesson plans that I wrote included </w:t>
      </w:r>
      <w:proofErr w:type="gramStart"/>
      <w:r w:rsidRPr="0041214C">
        <w:rPr>
          <w:rFonts w:ascii="Calibri" w:hAnsi="Calibri" w:cs="Times New Roman"/>
          <w:sz w:val="22"/>
          <w:szCs w:val="22"/>
          <w:lang w:val="en-US"/>
        </w:rPr>
        <w:t>activities which</w:t>
      </w:r>
      <w:proofErr w:type="gramEnd"/>
      <w:r w:rsidRPr="0041214C">
        <w:rPr>
          <w:rFonts w:ascii="Calibri" w:hAnsi="Calibri" w:cs="Times New Roman"/>
          <w:sz w:val="22"/>
          <w:szCs w:val="22"/>
          <w:lang w:val="en-US"/>
        </w:rPr>
        <w:t xml:space="preserve"> would suit both large and very small class sizes. I also </w:t>
      </w:r>
      <w:proofErr w:type="spellStart"/>
      <w:r w:rsidRPr="0041214C">
        <w:rPr>
          <w:rFonts w:ascii="Calibri" w:hAnsi="Calibri" w:cs="Times New Roman"/>
          <w:sz w:val="22"/>
          <w:szCs w:val="22"/>
          <w:lang w:val="en-US"/>
        </w:rPr>
        <w:t>realised</w:t>
      </w:r>
      <w:proofErr w:type="spellEnd"/>
      <w:r w:rsidRPr="0041214C">
        <w:rPr>
          <w:rFonts w:ascii="Calibri" w:hAnsi="Calibri" w:cs="Times New Roman"/>
          <w:sz w:val="22"/>
          <w:szCs w:val="22"/>
          <w:lang w:val="en-US"/>
        </w:rPr>
        <w:t xml:space="preserve"> that it was crucial for me to plan extra activities on top of my planned activities as a number of the group working took less time to complete due to lack of student numbers.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The difference between levels did not end at attendance and student numbers, however.  The new </w:t>
      </w:r>
      <w:proofErr w:type="spell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for the level 4 students is to be taught using a variation of Flipped Learning approach where the format of each lesson is as follows</w:t>
      </w:r>
      <w:proofErr w:type="gramStart"/>
      <w:r w:rsidRPr="0041214C">
        <w:rPr>
          <w:rFonts w:ascii="Calibri" w:hAnsi="Calibri" w:cs="Times New Roman"/>
          <w:sz w:val="22"/>
          <w:szCs w:val="22"/>
          <w:lang w:val="en-US"/>
        </w:rPr>
        <w:t>;</w:t>
      </w:r>
      <w:proofErr w:type="gramEnd"/>
      <w:r w:rsidRPr="0041214C">
        <w:rPr>
          <w:rFonts w:ascii="Calibri" w:hAnsi="Calibri" w:cs="Times New Roman"/>
          <w:sz w:val="22"/>
          <w:szCs w:val="22"/>
          <w:lang w:val="en-US"/>
        </w:rPr>
        <w: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8"/>
        <w:gridCol w:w="758"/>
      </w:tblGrid>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b/>
                <w:bCs/>
                <w:sz w:val="22"/>
                <w:szCs w:val="22"/>
                <w:lang w:val="en-US"/>
              </w:rPr>
              <w:t>Activity</w:t>
            </w:r>
            <w:r w:rsidRPr="0041214C">
              <w:rPr>
                <w:rFonts w:ascii="Calibri" w:hAnsi="Calibri" w:cs="Times New Roman"/>
                <w:sz w:val="22"/>
                <w:szCs w:val="22"/>
                <w:lang w:val="en-US"/>
              </w:rPr>
              <w:t>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b/>
                <w:bCs/>
                <w:sz w:val="22"/>
                <w:szCs w:val="22"/>
                <w:lang w:val="en-US"/>
              </w:rPr>
              <w:t>Hours</w:t>
            </w:r>
            <w:r w:rsidRPr="0041214C">
              <w:rPr>
                <w:rFonts w:ascii="Calibri" w:hAnsi="Calibri" w:cs="Times New Roman"/>
                <w:sz w:val="22"/>
                <w:szCs w:val="22"/>
                <w:lang w:val="en-US"/>
              </w:rPr>
              <w:t> </w:t>
            </w:r>
          </w:p>
        </w:tc>
      </w:tr>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Pre-lesson activity including a variety of the following;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lastRenderedPageBreak/>
              <w:t>Reading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Research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Video’s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Live PowerPoint’s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Activity on the group forum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lastRenderedPageBreak/>
              <w:t>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lastRenderedPageBreak/>
              <w:t>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1 Hour </w:t>
            </w:r>
          </w:p>
        </w:tc>
      </w:tr>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lastRenderedPageBreak/>
              <w:t>Lecture including the following;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Group work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Debate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Flipped Learning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Video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2 Hours </w:t>
            </w:r>
          </w:p>
        </w:tc>
      </w:tr>
      <w:tr w:rsidR="0041214C" w:rsidRPr="0041214C" w:rsidTr="0041214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Tutorial;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Analysis of work done </w:t>
            </w:r>
          </w:p>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Discussion on conclusions and findings </w:t>
            </w:r>
          </w:p>
        </w:tc>
        <w:tc>
          <w:tcPr>
            <w:tcW w:w="0" w:type="auto"/>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rsidR="0041214C" w:rsidRPr="0041214C" w:rsidRDefault="0041214C" w:rsidP="0041214C">
            <w:pPr>
              <w:textAlignment w:val="baseline"/>
              <w:rPr>
                <w:rFonts w:ascii="Times" w:hAnsi="Times" w:cs="Times New Roman"/>
                <w:sz w:val="20"/>
                <w:szCs w:val="20"/>
                <w:lang w:val="en-US"/>
              </w:rPr>
            </w:pPr>
            <w:r w:rsidRPr="0041214C">
              <w:rPr>
                <w:rFonts w:ascii="Calibri" w:hAnsi="Calibri" w:cs="Times New Roman"/>
                <w:sz w:val="22"/>
                <w:szCs w:val="22"/>
                <w:lang w:val="en-US"/>
              </w:rPr>
              <w:t>1 Hour </w:t>
            </w:r>
          </w:p>
        </w:tc>
      </w:tr>
    </w:tbl>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All of the level 4 modules were to be conducted in this manner with large emphasis on the student led activities to enhance critical thinking.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Level 5 and 6’s structure is based around a four hour lecture with no pre-lesson activity to be arranged. These lectures are in a long </w:t>
      </w:r>
      <w:proofErr w:type="gramStart"/>
      <w:r w:rsidRPr="0041214C">
        <w:rPr>
          <w:rFonts w:ascii="Calibri" w:hAnsi="Calibri" w:cs="Times New Roman"/>
          <w:sz w:val="22"/>
          <w:szCs w:val="22"/>
          <w:lang w:val="en-US"/>
        </w:rPr>
        <w:t>four hour</w:t>
      </w:r>
      <w:proofErr w:type="gramEnd"/>
      <w:r w:rsidRPr="0041214C">
        <w:rPr>
          <w:rFonts w:ascii="Calibri" w:hAnsi="Calibri" w:cs="Times New Roman"/>
          <w:sz w:val="22"/>
          <w:szCs w:val="22"/>
          <w:lang w:val="en-US"/>
        </w:rPr>
        <w:t xml:space="preserve"> block, so it was important to ensure that there was an assortment of activities to maintain engagement from the students as well as a structured break for the students. This was often hard to deliver when there were only three students attending.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The </w:t>
      </w:r>
      <w:proofErr w:type="gramStart"/>
      <w:r w:rsidRPr="0041214C">
        <w:rPr>
          <w:rFonts w:ascii="Calibri" w:hAnsi="Calibri" w:cs="Times New Roman"/>
          <w:sz w:val="22"/>
          <w:szCs w:val="22"/>
          <w:lang w:val="en-US"/>
        </w:rPr>
        <w:t>range of modules that I covered were</w:t>
      </w:r>
      <w:proofErr w:type="gramEnd"/>
      <w:r w:rsidRPr="0041214C">
        <w:rPr>
          <w:rFonts w:ascii="Calibri" w:hAnsi="Calibri" w:cs="Times New Roman"/>
          <w:sz w:val="22"/>
          <w:szCs w:val="22"/>
          <w:lang w:val="en-US"/>
        </w:rPr>
        <w:t xml:space="preserve"> vast and included the following;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p w:rsidR="0041214C" w:rsidRPr="0041214C" w:rsidRDefault="0041214C" w:rsidP="0041214C">
      <w:pPr>
        <w:numPr>
          <w:ilvl w:val="0"/>
          <w:numId w:val="1"/>
        </w:numPr>
        <w:ind w:left="360"/>
        <w:textAlignment w:val="baseline"/>
        <w:rPr>
          <w:rFonts w:ascii="Calibri" w:hAnsi="Calibri" w:cs="Times New Roman"/>
          <w:sz w:val="22"/>
          <w:szCs w:val="22"/>
          <w:lang w:val="en-US"/>
        </w:rPr>
      </w:pPr>
      <w:r w:rsidRPr="0041214C">
        <w:rPr>
          <w:rFonts w:ascii="Calibri" w:hAnsi="Calibri" w:cs="Times New Roman"/>
          <w:sz w:val="22"/>
          <w:szCs w:val="22"/>
          <w:lang w:val="en-US"/>
        </w:rPr>
        <w:t>Dissertation </w:t>
      </w:r>
    </w:p>
    <w:p w:rsidR="0041214C" w:rsidRPr="0041214C" w:rsidRDefault="0041214C" w:rsidP="0041214C">
      <w:pPr>
        <w:numPr>
          <w:ilvl w:val="0"/>
          <w:numId w:val="1"/>
        </w:numPr>
        <w:ind w:left="360"/>
        <w:textAlignment w:val="baseline"/>
        <w:rPr>
          <w:rFonts w:ascii="Calibri" w:hAnsi="Calibri" w:cs="Times New Roman"/>
          <w:sz w:val="22"/>
          <w:szCs w:val="22"/>
          <w:lang w:val="en-US"/>
        </w:rPr>
      </w:pPr>
      <w:r w:rsidRPr="0041214C">
        <w:rPr>
          <w:rFonts w:ascii="Calibri" w:hAnsi="Calibri" w:cs="Times New Roman"/>
          <w:sz w:val="22"/>
          <w:szCs w:val="22"/>
          <w:lang w:val="en-US"/>
        </w:rPr>
        <w:t>Management Ethics </w:t>
      </w:r>
    </w:p>
    <w:p w:rsidR="0041214C" w:rsidRPr="0041214C" w:rsidRDefault="0041214C" w:rsidP="0041214C">
      <w:pPr>
        <w:numPr>
          <w:ilvl w:val="0"/>
          <w:numId w:val="1"/>
        </w:numPr>
        <w:ind w:left="360"/>
        <w:textAlignment w:val="baseline"/>
        <w:rPr>
          <w:rFonts w:ascii="Calibri" w:hAnsi="Calibri" w:cs="Times New Roman"/>
          <w:sz w:val="22"/>
          <w:szCs w:val="22"/>
          <w:lang w:val="en-US"/>
        </w:rPr>
      </w:pPr>
      <w:r w:rsidRPr="0041214C">
        <w:rPr>
          <w:rFonts w:ascii="Calibri" w:hAnsi="Calibri" w:cs="Times New Roman"/>
          <w:sz w:val="22"/>
          <w:szCs w:val="22"/>
          <w:lang w:val="en-US"/>
        </w:rPr>
        <w:t>Managing People </w:t>
      </w:r>
    </w:p>
    <w:p w:rsidR="0041214C" w:rsidRPr="0041214C" w:rsidRDefault="0041214C" w:rsidP="0041214C">
      <w:pPr>
        <w:numPr>
          <w:ilvl w:val="0"/>
          <w:numId w:val="1"/>
        </w:numPr>
        <w:ind w:left="360"/>
        <w:textAlignment w:val="baseline"/>
        <w:rPr>
          <w:rFonts w:ascii="Calibri" w:hAnsi="Calibri" w:cs="Times New Roman"/>
          <w:sz w:val="22"/>
          <w:szCs w:val="22"/>
          <w:lang w:val="en-US"/>
        </w:rPr>
      </w:pPr>
      <w:r w:rsidRPr="0041214C">
        <w:rPr>
          <w:rFonts w:ascii="Calibri" w:hAnsi="Calibri" w:cs="Times New Roman"/>
          <w:sz w:val="22"/>
          <w:szCs w:val="22"/>
          <w:lang w:val="en-US"/>
        </w:rPr>
        <w:t xml:space="preserve">Leadership and Management Theory and </w:t>
      </w:r>
      <w:proofErr w:type="spellStart"/>
      <w:r w:rsidRPr="0041214C">
        <w:rPr>
          <w:rFonts w:ascii="Calibri" w:hAnsi="Calibri" w:cs="Times New Roman"/>
          <w:sz w:val="22"/>
          <w:szCs w:val="22"/>
          <w:lang w:val="en-US"/>
        </w:rPr>
        <w:t>Practise</w:t>
      </w:r>
      <w:proofErr w:type="spellEnd"/>
      <w:r w:rsidRPr="0041214C">
        <w:rPr>
          <w:rFonts w:ascii="Calibri" w:hAnsi="Calibri" w:cs="Times New Roman"/>
          <w:sz w:val="22"/>
          <w:szCs w:val="22"/>
          <w:lang w:val="en-US"/>
        </w:rPr>
        <w:t> </w:t>
      </w:r>
    </w:p>
    <w:p w:rsidR="0041214C" w:rsidRPr="0041214C" w:rsidRDefault="0041214C" w:rsidP="0041214C">
      <w:pPr>
        <w:numPr>
          <w:ilvl w:val="0"/>
          <w:numId w:val="1"/>
        </w:numPr>
        <w:ind w:left="360"/>
        <w:textAlignment w:val="baseline"/>
        <w:rPr>
          <w:rFonts w:ascii="Calibri" w:hAnsi="Calibri" w:cs="Times New Roman"/>
          <w:sz w:val="22"/>
          <w:szCs w:val="22"/>
          <w:lang w:val="en-US"/>
        </w:rPr>
      </w:pPr>
      <w:r w:rsidRPr="0041214C">
        <w:rPr>
          <w:rFonts w:ascii="Calibri" w:hAnsi="Calibri" w:cs="Times New Roman"/>
          <w:sz w:val="22"/>
          <w:szCs w:val="22"/>
          <w:lang w:val="en-US"/>
        </w:rPr>
        <w:t>Financial Management and Accounting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The fact that such a diverse range of subjects were covered within this Professional Teaching Experience ensured that a variety of experiences were achieved in both the planning of lessons and the delivery. When teaching the Financial Management and Accounting module, the </w:t>
      </w:r>
      <w:proofErr w:type="spell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Director was keen on it being delivered in a collaborative and visual environment to fit in with the overall ethos of the </w:t>
      </w:r>
      <w:proofErr w:type="spellStart"/>
      <w:r w:rsidRPr="0041214C">
        <w:rPr>
          <w:rFonts w:ascii="Calibri" w:hAnsi="Calibri" w:cs="Times New Roman"/>
          <w:sz w:val="22"/>
          <w:szCs w:val="22"/>
          <w:lang w:val="en-US"/>
        </w:rPr>
        <w:t>programme</w:t>
      </w:r>
      <w:proofErr w:type="spellEnd"/>
      <w:r w:rsidRPr="0041214C">
        <w:rPr>
          <w:rFonts w:ascii="Calibri" w:hAnsi="Calibri" w:cs="Times New Roman"/>
          <w:sz w:val="22"/>
          <w:szCs w:val="22"/>
          <w:lang w:val="en-US"/>
        </w:rPr>
        <w:t xml:space="preserve">. </w:t>
      </w:r>
      <w:proofErr w:type="gramStart"/>
      <w:r w:rsidRPr="0041214C">
        <w:rPr>
          <w:rFonts w:ascii="Calibri" w:hAnsi="Calibri" w:cs="Times New Roman"/>
          <w:sz w:val="22"/>
          <w:szCs w:val="22"/>
          <w:lang w:val="en-US"/>
        </w:rPr>
        <w:t>This was deemed a challenged by the accounting lecturer and some other members of staff</w:t>
      </w:r>
      <w:proofErr w:type="gramEnd"/>
      <w:r w:rsidRPr="0041214C">
        <w:rPr>
          <w:rFonts w:ascii="Calibri" w:hAnsi="Calibri" w:cs="Times New Roman"/>
          <w:sz w:val="22"/>
          <w:szCs w:val="22"/>
          <w:lang w:val="en-US"/>
        </w:rPr>
        <w:t>, however the feedback was extremely positive and the outcome was effective for the lesson.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Level 4 also included a mix of students admitted to the BA Business Management course and also students from </w:t>
      </w:r>
      <w:proofErr w:type="spellStart"/>
      <w:r w:rsidRPr="0041214C">
        <w:rPr>
          <w:rFonts w:ascii="Calibri" w:hAnsi="Calibri" w:cs="Times New Roman"/>
          <w:sz w:val="22"/>
          <w:szCs w:val="22"/>
          <w:lang w:val="en-US"/>
        </w:rPr>
        <w:t>Coleg</w:t>
      </w:r>
      <w:proofErr w:type="spellEnd"/>
      <w:r w:rsidRPr="0041214C">
        <w:rPr>
          <w:rFonts w:ascii="Calibri" w:hAnsi="Calibri" w:cs="Times New Roman"/>
          <w:sz w:val="22"/>
          <w:szCs w:val="22"/>
          <w:lang w:val="en-US"/>
        </w:rPr>
        <w:t xml:space="preserve"> Sir Gar who many have later transferred to the full BA course in Carmarthen Business School.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Level 6 classes also included International Students who speak English as a second language. This was particularly important when planning and designing the lessons as they often required longer periods of time to translate before taking part </w:t>
      </w:r>
      <w:proofErr w:type="gramStart"/>
      <w:r w:rsidRPr="0041214C">
        <w:rPr>
          <w:rFonts w:ascii="Calibri" w:hAnsi="Calibri" w:cs="Times New Roman"/>
          <w:sz w:val="22"/>
          <w:szCs w:val="22"/>
          <w:lang w:val="en-US"/>
        </w:rPr>
        <w:t>in group</w:t>
      </w:r>
      <w:proofErr w:type="gramEnd"/>
      <w:r w:rsidRPr="0041214C">
        <w:rPr>
          <w:rFonts w:ascii="Calibri" w:hAnsi="Calibri" w:cs="Times New Roman"/>
          <w:sz w:val="22"/>
          <w:szCs w:val="22"/>
          <w:lang w:val="en-US"/>
        </w:rPr>
        <w:t xml:space="preserve"> work etc. It was also important to ensure that I engaged with the International students during the lessons to draw on their experiences and creating an inclusive learning environment.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In addition to teaching in Carmarthen, there were a number of trips and </w:t>
      </w:r>
      <w:proofErr w:type="gramStart"/>
      <w:r w:rsidRPr="0041214C">
        <w:rPr>
          <w:rFonts w:ascii="Calibri" w:hAnsi="Calibri" w:cs="Times New Roman"/>
          <w:sz w:val="22"/>
          <w:szCs w:val="22"/>
          <w:lang w:val="en-US"/>
        </w:rPr>
        <w:t>excursions which</w:t>
      </w:r>
      <w:proofErr w:type="gramEnd"/>
      <w:r w:rsidRPr="0041214C">
        <w:rPr>
          <w:rFonts w:ascii="Calibri" w:hAnsi="Calibri" w:cs="Times New Roman"/>
          <w:sz w:val="22"/>
          <w:szCs w:val="22"/>
          <w:lang w:val="en-US"/>
        </w:rPr>
        <w:t xml:space="preserve"> took place which demanded a different form of teaching. The Level 4 and 5 students were taking to the Centre for Alternative technology in </w:t>
      </w:r>
      <w:proofErr w:type="spellStart"/>
      <w:r w:rsidRPr="0041214C">
        <w:rPr>
          <w:rFonts w:ascii="Calibri" w:hAnsi="Calibri" w:cs="Times New Roman"/>
          <w:sz w:val="22"/>
          <w:szCs w:val="22"/>
          <w:lang w:val="en-US"/>
        </w:rPr>
        <w:t>Machynlleth</w:t>
      </w:r>
      <w:proofErr w:type="spellEnd"/>
      <w:r w:rsidRPr="0041214C">
        <w:rPr>
          <w:rFonts w:ascii="Calibri" w:hAnsi="Calibri" w:cs="Times New Roman"/>
          <w:sz w:val="22"/>
          <w:szCs w:val="22"/>
          <w:lang w:val="en-US"/>
        </w:rPr>
        <w:t xml:space="preserve"> in induction week for a </w:t>
      </w:r>
      <w:proofErr w:type="gramStart"/>
      <w:r w:rsidRPr="0041214C">
        <w:rPr>
          <w:rFonts w:ascii="Calibri" w:hAnsi="Calibri" w:cs="Times New Roman"/>
          <w:sz w:val="22"/>
          <w:szCs w:val="22"/>
          <w:lang w:val="en-US"/>
        </w:rPr>
        <w:t>one night</w:t>
      </w:r>
      <w:proofErr w:type="gramEnd"/>
      <w:r w:rsidRPr="0041214C">
        <w:rPr>
          <w:rFonts w:ascii="Calibri" w:hAnsi="Calibri" w:cs="Times New Roman"/>
          <w:sz w:val="22"/>
          <w:szCs w:val="22"/>
          <w:lang w:val="en-US"/>
        </w:rPr>
        <w:t xml:space="preserve"> stay. In addition, the Level 4 students attended the </w:t>
      </w:r>
      <w:proofErr w:type="spellStart"/>
      <w:r w:rsidRPr="0041214C">
        <w:rPr>
          <w:rFonts w:ascii="Calibri" w:hAnsi="Calibri" w:cs="Times New Roman"/>
          <w:sz w:val="22"/>
          <w:szCs w:val="22"/>
          <w:lang w:val="en-US"/>
        </w:rPr>
        <w:t>Lampeter</w:t>
      </w:r>
      <w:proofErr w:type="spellEnd"/>
      <w:r w:rsidRPr="0041214C">
        <w:rPr>
          <w:rFonts w:ascii="Calibri" w:hAnsi="Calibri" w:cs="Times New Roman"/>
          <w:sz w:val="22"/>
          <w:szCs w:val="22"/>
          <w:lang w:val="en-US"/>
        </w:rPr>
        <w:t xml:space="preserve"> Harmony Conference for the </w:t>
      </w:r>
      <w:proofErr w:type="gramStart"/>
      <w:r w:rsidRPr="0041214C">
        <w:rPr>
          <w:rFonts w:ascii="Calibri" w:hAnsi="Calibri" w:cs="Times New Roman"/>
          <w:sz w:val="22"/>
          <w:szCs w:val="22"/>
          <w:lang w:val="en-US"/>
        </w:rPr>
        <w:t>day which</w:t>
      </w:r>
      <w:proofErr w:type="gramEnd"/>
      <w:r w:rsidRPr="0041214C">
        <w:rPr>
          <w:rFonts w:ascii="Calibri" w:hAnsi="Calibri" w:cs="Times New Roman"/>
          <w:sz w:val="22"/>
          <w:szCs w:val="22"/>
          <w:lang w:val="en-US"/>
        </w:rPr>
        <w:t xml:space="preserve"> was attended during the professional teaching experience.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During the Professional Teaching Experience there were also a number of times where presentations had to be marked and feedback in order to assist the lecturer in order to gain relevant experience in marking against a set grading criteria.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xml:space="preserve">Overall, the Professional Teaching Experience was an extremely positive </w:t>
      </w:r>
      <w:proofErr w:type="gramStart"/>
      <w:r w:rsidRPr="0041214C">
        <w:rPr>
          <w:rFonts w:ascii="Calibri" w:hAnsi="Calibri" w:cs="Times New Roman"/>
          <w:sz w:val="22"/>
          <w:szCs w:val="22"/>
          <w:lang w:val="en-US"/>
        </w:rPr>
        <w:t>one which</w:t>
      </w:r>
      <w:proofErr w:type="gramEnd"/>
      <w:r w:rsidRPr="0041214C">
        <w:rPr>
          <w:rFonts w:ascii="Calibri" w:hAnsi="Calibri" w:cs="Times New Roman"/>
          <w:sz w:val="22"/>
          <w:szCs w:val="22"/>
          <w:lang w:val="en-US"/>
        </w:rPr>
        <w:t xml:space="preserve"> was thoroughly enjoyed and supported by all members of staff.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p w:rsidR="0041214C" w:rsidRPr="0041214C" w:rsidRDefault="0041214C" w:rsidP="0041214C">
      <w:pPr>
        <w:textAlignment w:val="baseline"/>
        <w:rPr>
          <w:rFonts w:ascii="Arial" w:hAnsi="Arial" w:cs="Times New Roman"/>
          <w:sz w:val="18"/>
          <w:szCs w:val="18"/>
          <w:lang w:val="en-US"/>
        </w:rPr>
      </w:pPr>
      <w:r w:rsidRPr="0041214C">
        <w:rPr>
          <w:rFonts w:ascii="Calibri" w:hAnsi="Calibri" w:cs="Times New Roman"/>
          <w:sz w:val="22"/>
          <w:szCs w:val="22"/>
          <w:lang w:val="en-US"/>
        </w:rPr>
        <w:t> </w:t>
      </w:r>
    </w:p>
    <w:p w:rsidR="0041214C" w:rsidRDefault="0041214C">
      <w:pPr>
        <w:rPr>
          <w:b/>
          <w:u w:val="single"/>
        </w:rPr>
      </w:pPr>
      <w:r>
        <w:rPr>
          <w:b/>
          <w:u w:val="single"/>
        </w:rPr>
        <w:t>Critical Reflective Evaluation</w:t>
      </w:r>
    </w:p>
    <w:p w:rsidR="0041214C" w:rsidRDefault="0041214C">
      <w:pPr>
        <w:rPr>
          <w:b/>
          <w:u w:val="single"/>
        </w:rPr>
      </w:pPr>
    </w:p>
    <w:p w:rsidR="0041214C" w:rsidRPr="00D106A8" w:rsidRDefault="0041214C" w:rsidP="0041214C">
      <w:pPr>
        <w:spacing w:line="360" w:lineRule="auto"/>
        <w:rPr>
          <w:rFonts w:cstheme="minorHAnsi"/>
        </w:rPr>
      </w:pPr>
      <w:r w:rsidRPr="00D106A8">
        <w:rPr>
          <w:rFonts w:cstheme="minorHAnsi"/>
        </w:rPr>
        <w:t>The following offers a critical reflective evaluation of the Professional Teaching Experience within Carmarthen Business School.</w:t>
      </w:r>
    </w:p>
    <w:p w:rsidR="0041214C" w:rsidRPr="00D106A8" w:rsidRDefault="0041214C" w:rsidP="0041214C">
      <w:pPr>
        <w:spacing w:line="360" w:lineRule="auto"/>
        <w:rPr>
          <w:rFonts w:cstheme="minorHAnsi"/>
          <w:b/>
          <w:u w:val="single"/>
        </w:rPr>
      </w:pPr>
      <w:r w:rsidRPr="00D106A8">
        <w:rPr>
          <w:rFonts w:cstheme="minorHAnsi"/>
          <w:b/>
          <w:u w:val="single"/>
        </w:rPr>
        <w:t>Subject Knowledge</w:t>
      </w:r>
    </w:p>
    <w:p w:rsidR="0041214C" w:rsidRPr="00D106A8" w:rsidRDefault="0041214C" w:rsidP="0041214C">
      <w:pPr>
        <w:spacing w:line="360" w:lineRule="auto"/>
        <w:jc w:val="both"/>
        <w:rPr>
          <w:rFonts w:cstheme="minorHAnsi"/>
        </w:rPr>
      </w:pPr>
      <w:r w:rsidRPr="00D106A8">
        <w:rPr>
          <w:rFonts w:cstheme="minorHAnsi"/>
        </w:rPr>
        <w:t>Having started the PCET directly following graduation of my Undergraduate degree in Business Management, I was fortunate enough to be familiar with the modules in Level 5 and 6. Not only were the modules within these levels familiar to me, but the knowledge of these topics were fresh in my mind having only completed them a few years prior. This offered me an advantage to extend my confidence when delivering them and made the process of planning and designing the lectures easier. As is expected, my knowledge of some modules was deeper than that of others as I have personal experience within certain fields, i.e. Managing People and Leadership. Upon reflection, it is evident that my knowledge of subjects that I was lacking experience in has certainly improved and all in all, my general knowledge of Business and Management has elevated greatly. This increase in knowledge has not only been a direct output from ensuring a deep level of knowledge for designing and planning the lessons, but also the act of delivering and teaching the subject helps to embed knowledge in an individual (</w:t>
      </w:r>
      <w:proofErr w:type="spellStart"/>
      <w:r w:rsidRPr="00D106A8">
        <w:rPr>
          <w:rFonts w:cstheme="minorHAnsi"/>
        </w:rPr>
        <w:t>Moyles</w:t>
      </w:r>
      <w:proofErr w:type="spellEnd"/>
      <w:r w:rsidRPr="00D106A8">
        <w:rPr>
          <w:rFonts w:cstheme="minorHAnsi"/>
        </w:rPr>
        <w:t xml:space="preserve">, 2007). Having to think of ways in which to explain a concept to others has helped me to gain a deeper understanding of the subjects that I have taught and has also encouraged me to reflect upon it in a different way. The students that attend Carmarthen Business School are encouraged to think critically and to explore a topic in all directions. The affect that this had on my own knowledge of the subject has been crucial as I have witnessed and developed a variety of opinions and </w:t>
      </w:r>
      <w:proofErr w:type="gramStart"/>
      <w:r w:rsidRPr="00D106A8">
        <w:rPr>
          <w:rFonts w:cstheme="minorHAnsi"/>
        </w:rPr>
        <w:t>questions which</w:t>
      </w:r>
      <w:proofErr w:type="gramEnd"/>
      <w:r w:rsidRPr="00D106A8">
        <w:rPr>
          <w:rFonts w:cstheme="minorHAnsi"/>
        </w:rPr>
        <w:t xml:space="preserve"> have helped me to develop my own knowledge. </w:t>
      </w:r>
    </w:p>
    <w:p w:rsidR="0041214C" w:rsidRPr="00D106A8" w:rsidRDefault="0041214C" w:rsidP="0041214C">
      <w:pPr>
        <w:spacing w:line="360" w:lineRule="auto"/>
        <w:jc w:val="both"/>
        <w:rPr>
          <w:rFonts w:cstheme="minorHAnsi"/>
        </w:rPr>
      </w:pPr>
      <w:r w:rsidRPr="00D106A8">
        <w:rPr>
          <w:rFonts w:cstheme="minorHAnsi"/>
        </w:rPr>
        <w:t xml:space="preserve">In addition to the core modules that I taught for levels 5 and 6, Level 4 were delivered a whole new sweep of modules based on the new undergraduate degree programme. Although these modules include a number of key themes that are present in the older programme, there were a number of topic areas that I had not had the chance to delve into previously. This further deepened my knowledge of business management and allowed me to diversify my learning and teaching to include more contemporary approaches and themes. </w:t>
      </w:r>
    </w:p>
    <w:p w:rsidR="0041214C" w:rsidRPr="00D106A8" w:rsidRDefault="0041214C" w:rsidP="0041214C">
      <w:pPr>
        <w:spacing w:line="360" w:lineRule="auto"/>
        <w:rPr>
          <w:rFonts w:cstheme="minorHAnsi"/>
          <w:u w:val="single"/>
        </w:rPr>
      </w:pPr>
    </w:p>
    <w:p w:rsidR="0041214C" w:rsidRPr="00D106A8" w:rsidRDefault="0041214C" w:rsidP="0041214C">
      <w:pPr>
        <w:spacing w:line="360" w:lineRule="auto"/>
        <w:rPr>
          <w:rFonts w:cstheme="minorHAnsi"/>
          <w:b/>
          <w:u w:val="single"/>
        </w:rPr>
      </w:pPr>
      <w:r w:rsidRPr="00D106A8">
        <w:rPr>
          <w:rFonts w:cstheme="minorHAnsi"/>
          <w:b/>
          <w:u w:val="single"/>
        </w:rPr>
        <w:t>Planning and Preparation</w:t>
      </w:r>
    </w:p>
    <w:p w:rsidR="0041214C" w:rsidRPr="00D106A8" w:rsidRDefault="0041214C" w:rsidP="0041214C">
      <w:pPr>
        <w:spacing w:line="360" w:lineRule="auto"/>
        <w:jc w:val="both"/>
        <w:rPr>
          <w:rFonts w:cstheme="minorHAnsi"/>
        </w:rPr>
      </w:pPr>
      <w:r w:rsidRPr="00D106A8">
        <w:rPr>
          <w:rFonts w:cstheme="minorHAnsi"/>
        </w:rPr>
        <w:t xml:space="preserve">My own research and observations prepared me for a high level of planning and preparation </w:t>
      </w:r>
      <w:proofErr w:type="gramStart"/>
      <w:r w:rsidRPr="00D106A8">
        <w:rPr>
          <w:rFonts w:cstheme="minorHAnsi"/>
        </w:rPr>
        <w:t>as the activity of planning for teachers is well documented and often highlighted regularly in the media</w:t>
      </w:r>
      <w:proofErr w:type="gramEnd"/>
      <w:r w:rsidRPr="00D106A8">
        <w:rPr>
          <w:rFonts w:cstheme="minorHAnsi"/>
        </w:rPr>
        <w:t xml:space="preserve"> (Tapper, 2018) (Harris, 2017) (Stokes, 2017). However, it still surprised me as to how long the preparation for each lecture took. At first, the lesson planning took me longer as I was not experienced in writing them out and wasn’t familiar with the structure of them. Kimmel (2012) describes teachers planning as a chaotic activity that demands creativity, organisation and research. In the beginning this echoed the somewhat overwhelming task that was planning. However, as with most structured activities, the more </w:t>
      </w:r>
      <w:proofErr w:type="gramStart"/>
      <w:r w:rsidRPr="00D106A8">
        <w:rPr>
          <w:rFonts w:cstheme="minorHAnsi"/>
        </w:rPr>
        <w:t>lesson</w:t>
      </w:r>
      <w:proofErr w:type="gramEnd"/>
      <w:r w:rsidRPr="00D106A8">
        <w:rPr>
          <w:rFonts w:cstheme="minorHAnsi"/>
        </w:rPr>
        <w:t xml:space="preserve"> plans created there was a distinct increase in confidence. An obvious shift took </w:t>
      </w:r>
      <w:proofErr w:type="gramStart"/>
      <w:r w:rsidRPr="00D106A8">
        <w:rPr>
          <w:rFonts w:cstheme="minorHAnsi"/>
        </w:rPr>
        <w:t>place which</w:t>
      </w:r>
      <w:proofErr w:type="gramEnd"/>
      <w:r w:rsidRPr="00D106A8">
        <w:rPr>
          <w:rFonts w:cstheme="minorHAnsi"/>
        </w:rPr>
        <w:t xml:space="preserve"> developed the activity of planning to be an enjoyable and creative session which allowed me to embrace my creativity, a notion supported by </w:t>
      </w:r>
      <w:proofErr w:type="spellStart"/>
      <w:r w:rsidRPr="00D106A8">
        <w:rPr>
          <w:rFonts w:cstheme="minorHAnsi"/>
        </w:rPr>
        <w:t>Schreck</w:t>
      </w:r>
      <w:proofErr w:type="spellEnd"/>
      <w:r w:rsidRPr="00D106A8">
        <w:rPr>
          <w:rFonts w:cstheme="minorHAnsi"/>
        </w:rPr>
        <w:t xml:space="preserve"> (2009). I gained a deeper level of understanding of how writing lesson plans and engaging in the act of planning enabled me to offer a solid lesson steeped in relevant research. The fact that the lessons were all planned according to activity, time and creativity meant that I could spend the lesson fully focussed on the students and the learning, thus allowing me more time to engage in formative assessment and quality delivery. As the planning has been accounted for, there is no need to be concerned with timings, with length of activities </w:t>
      </w:r>
      <w:proofErr w:type="spellStart"/>
      <w:r w:rsidRPr="00D106A8">
        <w:rPr>
          <w:rFonts w:cstheme="minorHAnsi"/>
        </w:rPr>
        <w:t>etc</w:t>
      </w:r>
      <w:proofErr w:type="spellEnd"/>
      <w:r w:rsidRPr="00D106A8">
        <w:rPr>
          <w:rFonts w:cstheme="minorHAnsi"/>
        </w:rPr>
        <w:t xml:space="preserve"> as they have all been taken into consideration and accounted for within the planning. </w:t>
      </w:r>
    </w:p>
    <w:p w:rsidR="0041214C" w:rsidRPr="00D106A8" w:rsidRDefault="0041214C" w:rsidP="0041214C">
      <w:pPr>
        <w:spacing w:line="360" w:lineRule="auto"/>
        <w:jc w:val="both"/>
        <w:rPr>
          <w:rFonts w:cstheme="minorHAnsi"/>
        </w:rPr>
      </w:pPr>
      <w:r w:rsidRPr="00D106A8">
        <w:rPr>
          <w:rFonts w:cstheme="minorHAnsi"/>
        </w:rPr>
        <w:t xml:space="preserve">However, planning lessons in this much detail often bring about some concerns. It could be argued that strict planning fails to allow room for student creativity and restricts students from going off agenda. This, in the context of Carmarthen Business School, would therefore fail to adhere to the variation on Flipped Learning and emphasis on critical thinking that is encouraged throughout. Wisdom (2015) disagrees with this notion, arguing that critical thinking can be included within lesson planning by allowing room and time to develop these skills. This resonates with the experience that I have had within my Teaching Practise as within my planning, sufficient time is allocated for freedom for students to develop these skills within collaborative activities. In addition, students are encouraged to go off the agenda in order to develop creativity. My observations of Dr Louise Emanuel have also given me confidence to change the plan when necessary by reading the students well. </w:t>
      </w:r>
    </w:p>
    <w:p w:rsidR="0041214C" w:rsidRPr="00D106A8" w:rsidRDefault="0041214C" w:rsidP="0041214C">
      <w:pPr>
        <w:spacing w:line="360" w:lineRule="auto"/>
        <w:jc w:val="both"/>
        <w:rPr>
          <w:rFonts w:cstheme="minorHAnsi"/>
        </w:rPr>
      </w:pPr>
      <w:r w:rsidRPr="00D106A8">
        <w:rPr>
          <w:rFonts w:cstheme="minorHAnsi"/>
        </w:rPr>
        <w:t xml:space="preserve">One issue that became apparent throughout the teaching experience was the way that lessons would often deviate away from the lesson and time would be apportioned in a </w:t>
      </w:r>
      <w:proofErr w:type="gramStart"/>
      <w:r w:rsidRPr="00D106A8">
        <w:rPr>
          <w:rFonts w:cstheme="minorHAnsi"/>
        </w:rPr>
        <w:t>way which</w:t>
      </w:r>
      <w:proofErr w:type="gramEnd"/>
      <w:r w:rsidRPr="00D106A8">
        <w:rPr>
          <w:rFonts w:cstheme="minorHAnsi"/>
        </w:rPr>
        <w:t xml:space="preserve"> did not reflect the pace of the students. This is reflective of the nature of how humans learn and to structure a lesson so rigidly may not be the most effective method for planning learning environments (Mishra, 2009). However, in criticism of this, effective lesson planning can offer a basis for the lesson to be delivered from. From experience, it appears that the content and activities can be pre-planned, and timings considered efficiently but can also be used as a guideline and an aid and the ability and confidence to deviate away from the plan and to often allow students to lead the pace. </w:t>
      </w:r>
    </w:p>
    <w:p w:rsidR="0041214C" w:rsidRPr="00D106A8" w:rsidRDefault="0041214C" w:rsidP="0041214C">
      <w:pPr>
        <w:spacing w:line="360" w:lineRule="auto"/>
        <w:rPr>
          <w:rFonts w:cstheme="minorHAnsi"/>
        </w:rPr>
      </w:pPr>
    </w:p>
    <w:p w:rsidR="0041214C" w:rsidRPr="00D106A8" w:rsidRDefault="0041214C" w:rsidP="0041214C">
      <w:pPr>
        <w:spacing w:line="360" w:lineRule="auto"/>
        <w:rPr>
          <w:rFonts w:cstheme="minorHAnsi"/>
          <w:b/>
          <w:u w:val="single"/>
        </w:rPr>
      </w:pPr>
      <w:r w:rsidRPr="00D106A8">
        <w:rPr>
          <w:rFonts w:cstheme="minorHAnsi"/>
          <w:b/>
          <w:u w:val="single"/>
        </w:rPr>
        <w:t>Teaching</w:t>
      </w:r>
    </w:p>
    <w:p w:rsidR="0041214C" w:rsidRPr="00D106A8" w:rsidRDefault="0041214C" w:rsidP="0041214C">
      <w:pPr>
        <w:spacing w:line="360" w:lineRule="auto"/>
        <w:jc w:val="both"/>
        <w:rPr>
          <w:rFonts w:cstheme="minorHAnsi"/>
        </w:rPr>
      </w:pPr>
      <w:r w:rsidRPr="00D106A8">
        <w:rPr>
          <w:rFonts w:cstheme="minorHAnsi"/>
        </w:rPr>
        <w:t xml:space="preserve">Having had experience over the last three years of delivering PASS (Peer Assisted Support Sessions) sessions to level four and five students within Carmarthen Business School, I had a degree of confidence in delivering lessons. The all-round experience of teaching offers more than just the physical delivery of the lessons, however. It is extremely interesting to see the transition from the lesson that has been designed and planned and the actual delivery and participation within the lesson. Interestingly, the </w:t>
      </w:r>
      <w:proofErr w:type="gramStart"/>
      <w:r w:rsidRPr="00D106A8">
        <w:rPr>
          <w:rFonts w:cstheme="minorHAnsi"/>
        </w:rPr>
        <w:t>lesson which has been designed and written with a clear vision in mind rarely</w:t>
      </w:r>
      <w:proofErr w:type="gramEnd"/>
      <w:r w:rsidRPr="00D106A8">
        <w:rPr>
          <w:rFonts w:cstheme="minorHAnsi"/>
        </w:rPr>
        <w:t xml:space="preserve"> transitions to directly reflect this. This is not a negative realisation, however. During the Teaching Experience, students often engaged with the lesson so much so that they began to think critically and often considered content more deeply than intended. Arguably, this is a positive notion that reflects good teaching delivery and student engagement. It is fair to say that as my teaching hours increased, so did my confidence in my teaching abilities and when feedback started coming through from both observations by members of staff and from student feedback, this elevated my confidence more. </w:t>
      </w:r>
    </w:p>
    <w:p w:rsidR="0041214C" w:rsidRPr="00D106A8" w:rsidRDefault="0041214C" w:rsidP="0041214C">
      <w:pPr>
        <w:spacing w:line="360" w:lineRule="auto"/>
        <w:jc w:val="both"/>
        <w:rPr>
          <w:rFonts w:cstheme="minorHAnsi"/>
        </w:rPr>
      </w:pPr>
      <w:r w:rsidRPr="00D106A8">
        <w:rPr>
          <w:rFonts w:cstheme="minorHAnsi"/>
        </w:rPr>
        <w:t xml:space="preserve">A number of teaching and learning strategies were used to reflect the overall Business schools philosophy of a more student-led collaborative learning environment. In the majority of the modules, students were familiar with this method of teaching and welcomed the participative learning approach. A number of technologies were used in order to enhance student collaboration such as </w:t>
      </w:r>
      <w:proofErr w:type="spellStart"/>
      <w:r w:rsidRPr="00D106A8">
        <w:rPr>
          <w:rFonts w:cstheme="minorHAnsi"/>
        </w:rPr>
        <w:t>NearPod</w:t>
      </w:r>
      <w:proofErr w:type="spellEnd"/>
      <w:r w:rsidRPr="00D106A8">
        <w:rPr>
          <w:rFonts w:cstheme="minorHAnsi"/>
        </w:rPr>
        <w:t xml:space="preserve">, </w:t>
      </w:r>
      <w:proofErr w:type="spellStart"/>
      <w:r w:rsidRPr="00D106A8">
        <w:rPr>
          <w:rFonts w:cstheme="minorHAnsi"/>
        </w:rPr>
        <w:t>Kahoot</w:t>
      </w:r>
      <w:proofErr w:type="spellEnd"/>
      <w:r w:rsidRPr="00D106A8">
        <w:rPr>
          <w:rFonts w:cstheme="minorHAnsi"/>
        </w:rPr>
        <w:t xml:space="preserve"> Quiz and the creation of video, a notion supported by </w:t>
      </w:r>
      <w:proofErr w:type="spellStart"/>
      <w:r w:rsidRPr="00D106A8">
        <w:rPr>
          <w:rFonts w:cstheme="minorHAnsi"/>
        </w:rPr>
        <w:t>Pacansky</w:t>
      </w:r>
      <w:proofErr w:type="spellEnd"/>
      <w:r w:rsidRPr="00D106A8">
        <w:rPr>
          <w:rFonts w:cstheme="minorHAnsi"/>
        </w:rPr>
        <w:t xml:space="preserve">-Brook (2017) and </w:t>
      </w:r>
      <w:proofErr w:type="spellStart"/>
      <w:r w:rsidRPr="00D106A8">
        <w:rPr>
          <w:rFonts w:cstheme="minorHAnsi"/>
        </w:rPr>
        <w:t>Mouza</w:t>
      </w:r>
      <w:proofErr w:type="spellEnd"/>
      <w:r w:rsidRPr="00D106A8">
        <w:rPr>
          <w:rFonts w:cstheme="minorHAnsi"/>
        </w:rPr>
        <w:t xml:space="preserve"> and </w:t>
      </w:r>
      <w:proofErr w:type="spellStart"/>
      <w:r w:rsidRPr="00D106A8">
        <w:rPr>
          <w:rFonts w:cstheme="minorHAnsi"/>
        </w:rPr>
        <w:t>Lavigne</w:t>
      </w:r>
      <w:proofErr w:type="spellEnd"/>
      <w:r w:rsidRPr="00D106A8">
        <w:rPr>
          <w:rFonts w:cstheme="minorHAnsi"/>
        </w:rPr>
        <w:t xml:space="preserve"> (2012). The direct feedback from students within these lessons were all positive and many offered feedback which stated that they learnt more when engaged in participative environments and felt that the sessions were fun and creative. This first-hand feedback from the students echoes the theory that many academics familiarise with which suggests that adult learners learn more within this environment (Armstrong and </w:t>
      </w:r>
      <w:proofErr w:type="spellStart"/>
      <w:r w:rsidRPr="00D106A8">
        <w:rPr>
          <w:rFonts w:cstheme="minorHAnsi"/>
        </w:rPr>
        <w:t>Hyslop-Margison</w:t>
      </w:r>
      <w:proofErr w:type="spellEnd"/>
      <w:r w:rsidRPr="00D106A8">
        <w:rPr>
          <w:rFonts w:cstheme="minorHAnsi"/>
        </w:rPr>
        <w:t>, 2006). The experience when teaching accounting to the level four students, however, differed greatly. The students were used to being taught in a collaborative and participative environment for all of their other modules, however, accounting was delivered in a more didactic teaching style which accounting traditionally is (</w:t>
      </w:r>
      <w:proofErr w:type="spellStart"/>
      <w:r w:rsidRPr="00D106A8">
        <w:rPr>
          <w:rFonts w:cstheme="minorHAnsi"/>
        </w:rPr>
        <w:t>Feldmann</w:t>
      </w:r>
      <w:proofErr w:type="spellEnd"/>
      <w:r w:rsidRPr="00D106A8">
        <w:rPr>
          <w:rFonts w:cstheme="minorHAnsi"/>
        </w:rPr>
        <w:t xml:space="preserve"> and Rupert, 2013). The Programme Director (and consequently, my Mentor) asked me to teach my accounting lessons using participative and activity-led designs. This, although a challenge, was an exciting prospect increasingly so when I was told by a number of other experienced lecturers that this was not possible. Having researched and discussed the possibilities of using participative strategies within accounting education for my Independent Study assignment, I tried to arm myself with some grounded background knowledge. The accounting lecturers that I taught were all activity led and used visual techniques to embed the learning instead of a more </w:t>
      </w:r>
      <w:r w:rsidRPr="00D106A8">
        <w:rPr>
          <w:rFonts w:cstheme="minorHAnsi"/>
          <w:i/>
        </w:rPr>
        <w:t xml:space="preserve">Chalk and Talk </w:t>
      </w:r>
      <w:r w:rsidRPr="00D106A8">
        <w:rPr>
          <w:rFonts w:cstheme="minorHAnsi"/>
        </w:rPr>
        <w:t xml:space="preserve">direction. The results of this lesson were pleasing with all 30 students fully understanding the learning and even offering positive feedback on how they understand a subject that they have never understood before. This further stabilised my already favourable use of collaborative teaching and learning strategies. </w:t>
      </w:r>
    </w:p>
    <w:p w:rsidR="0041214C" w:rsidRPr="00D106A8" w:rsidRDefault="0041214C" w:rsidP="0041214C">
      <w:pPr>
        <w:spacing w:line="360" w:lineRule="auto"/>
        <w:rPr>
          <w:rFonts w:cstheme="minorHAnsi"/>
          <w:b/>
          <w:u w:val="single"/>
        </w:rPr>
      </w:pPr>
      <w:r w:rsidRPr="00D106A8">
        <w:rPr>
          <w:rFonts w:cstheme="minorHAnsi"/>
          <w:b/>
          <w:u w:val="single"/>
        </w:rPr>
        <w:t>Class Management and Control</w:t>
      </w:r>
    </w:p>
    <w:p w:rsidR="0041214C" w:rsidRPr="00D106A8" w:rsidRDefault="0041214C" w:rsidP="0041214C">
      <w:pPr>
        <w:spacing w:line="360" w:lineRule="auto"/>
        <w:rPr>
          <w:rFonts w:cstheme="minorHAnsi"/>
        </w:rPr>
      </w:pPr>
    </w:p>
    <w:p w:rsidR="0041214C" w:rsidRPr="00D106A8" w:rsidRDefault="0041214C" w:rsidP="0041214C">
      <w:pPr>
        <w:spacing w:line="360" w:lineRule="auto"/>
        <w:jc w:val="both"/>
        <w:rPr>
          <w:rFonts w:cstheme="minorHAnsi"/>
        </w:rPr>
      </w:pPr>
      <w:r w:rsidRPr="00D106A8">
        <w:rPr>
          <w:rFonts w:cstheme="minorHAnsi"/>
        </w:rPr>
        <w:t>From experience during the Teaching Practise, class management and control has varied greatly depending on a number of factors including</w:t>
      </w:r>
      <w:proofErr w:type="gramStart"/>
      <w:r w:rsidRPr="00D106A8">
        <w:rPr>
          <w:rFonts w:cstheme="minorHAnsi"/>
        </w:rPr>
        <w:t>;</w:t>
      </w:r>
      <w:proofErr w:type="gramEnd"/>
    </w:p>
    <w:p w:rsidR="0041214C" w:rsidRPr="00D106A8" w:rsidRDefault="0041214C" w:rsidP="0041214C">
      <w:pPr>
        <w:pStyle w:val="ListParagraph"/>
        <w:numPr>
          <w:ilvl w:val="0"/>
          <w:numId w:val="2"/>
        </w:numPr>
        <w:spacing w:line="360" w:lineRule="auto"/>
        <w:rPr>
          <w:rFonts w:cstheme="minorHAnsi"/>
          <w:sz w:val="24"/>
          <w:szCs w:val="24"/>
        </w:rPr>
      </w:pPr>
      <w:r w:rsidRPr="00D106A8">
        <w:rPr>
          <w:rFonts w:cstheme="minorHAnsi"/>
          <w:sz w:val="24"/>
          <w:szCs w:val="24"/>
        </w:rPr>
        <w:t>Number of students within the class</w:t>
      </w:r>
    </w:p>
    <w:p w:rsidR="0041214C" w:rsidRPr="00D106A8" w:rsidRDefault="0041214C" w:rsidP="0041214C">
      <w:pPr>
        <w:pStyle w:val="ListParagraph"/>
        <w:numPr>
          <w:ilvl w:val="0"/>
          <w:numId w:val="2"/>
        </w:numPr>
        <w:spacing w:line="360" w:lineRule="auto"/>
        <w:rPr>
          <w:rFonts w:cstheme="minorHAnsi"/>
          <w:sz w:val="24"/>
          <w:szCs w:val="24"/>
        </w:rPr>
      </w:pPr>
      <w:r w:rsidRPr="00D106A8">
        <w:rPr>
          <w:rFonts w:cstheme="minorHAnsi"/>
          <w:sz w:val="24"/>
          <w:szCs w:val="24"/>
        </w:rPr>
        <w:t>Level of Students</w:t>
      </w:r>
    </w:p>
    <w:p w:rsidR="0041214C" w:rsidRPr="00D106A8" w:rsidRDefault="0041214C" w:rsidP="0041214C">
      <w:pPr>
        <w:pStyle w:val="ListParagraph"/>
        <w:numPr>
          <w:ilvl w:val="0"/>
          <w:numId w:val="2"/>
        </w:numPr>
        <w:spacing w:line="360" w:lineRule="auto"/>
        <w:rPr>
          <w:rFonts w:cstheme="minorHAnsi"/>
          <w:sz w:val="24"/>
          <w:szCs w:val="24"/>
        </w:rPr>
      </w:pPr>
      <w:r w:rsidRPr="00D106A8">
        <w:rPr>
          <w:rFonts w:cstheme="minorHAnsi"/>
          <w:sz w:val="24"/>
          <w:szCs w:val="24"/>
        </w:rPr>
        <w:t>Module Topic</w:t>
      </w:r>
    </w:p>
    <w:p w:rsidR="0041214C" w:rsidRPr="00D106A8" w:rsidRDefault="0041214C" w:rsidP="0041214C">
      <w:pPr>
        <w:pStyle w:val="ListParagraph"/>
        <w:numPr>
          <w:ilvl w:val="0"/>
          <w:numId w:val="2"/>
        </w:numPr>
        <w:spacing w:line="360" w:lineRule="auto"/>
        <w:rPr>
          <w:rFonts w:cstheme="minorHAnsi"/>
          <w:sz w:val="24"/>
          <w:szCs w:val="24"/>
        </w:rPr>
      </w:pPr>
      <w:r w:rsidRPr="00D106A8">
        <w:rPr>
          <w:rFonts w:cstheme="minorHAnsi"/>
          <w:sz w:val="24"/>
          <w:szCs w:val="24"/>
        </w:rPr>
        <w:t>Teaching and Learning strategies used</w:t>
      </w:r>
    </w:p>
    <w:p w:rsidR="0041214C" w:rsidRPr="00D106A8" w:rsidRDefault="0041214C" w:rsidP="0041214C">
      <w:pPr>
        <w:spacing w:line="360" w:lineRule="auto"/>
        <w:rPr>
          <w:rFonts w:cstheme="minorHAnsi"/>
          <w:i/>
          <w:u w:val="single"/>
        </w:rPr>
      </w:pPr>
      <w:r w:rsidRPr="00D106A8">
        <w:rPr>
          <w:rFonts w:cstheme="minorHAnsi"/>
          <w:i/>
          <w:u w:val="single"/>
        </w:rPr>
        <w:t>Number of Students</w:t>
      </w:r>
    </w:p>
    <w:p w:rsidR="0041214C" w:rsidRPr="00D106A8" w:rsidRDefault="0041214C" w:rsidP="0041214C">
      <w:pPr>
        <w:spacing w:line="360" w:lineRule="auto"/>
        <w:jc w:val="both"/>
        <w:rPr>
          <w:rFonts w:cstheme="minorHAnsi"/>
        </w:rPr>
      </w:pPr>
      <w:r w:rsidRPr="00D106A8">
        <w:rPr>
          <w:rFonts w:cstheme="minorHAnsi"/>
        </w:rPr>
        <w:t xml:space="preserve">The number of students within the class had a big influence on the class management and control within all levels of the undergraduate degree (Hornsby </w:t>
      </w:r>
      <w:r w:rsidRPr="00D106A8">
        <w:rPr>
          <w:rFonts w:cstheme="minorHAnsi"/>
          <w:i/>
        </w:rPr>
        <w:t xml:space="preserve">et al, </w:t>
      </w:r>
      <w:r w:rsidRPr="00D106A8">
        <w:rPr>
          <w:rFonts w:cstheme="minorHAnsi"/>
        </w:rPr>
        <w:t xml:space="preserve">2013). On one end of the spectrum, the Level 4 classes averaged 30 students. The mere fact that there are 30 students participating in the class meant that a greater level of control was </w:t>
      </w:r>
      <w:proofErr w:type="gramStart"/>
      <w:r w:rsidRPr="00D106A8">
        <w:rPr>
          <w:rFonts w:cstheme="minorHAnsi"/>
        </w:rPr>
        <w:t>needed</w:t>
      </w:r>
      <w:proofErr w:type="gramEnd"/>
      <w:r w:rsidRPr="00D106A8">
        <w:rPr>
          <w:rFonts w:cstheme="minorHAnsi"/>
        </w:rPr>
        <w:t xml:space="preserve"> as the students are more likely to divert away from the learning and engage in conversation instead. This was, however, not the case in the majority of the lessons as effective planning meant that they were often working in smaller </w:t>
      </w:r>
      <w:proofErr w:type="gramStart"/>
      <w:r w:rsidRPr="00D106A8">
        <w:rPr>
          <w:rFonts w:cstheme="minorHAnsi"/>
        </w:rPr>
        <w:t>groups which</w:t>
      </w:r>
      <w:proofErr w:type="gramEnd"/>
      <w:r w:rsidRPr="00D106A8">
        <w:rPr>
          <w:rFonts w:cstheme="minorHAnsi"/>
        </w:rPr>
        <w:t xml:space="preserve"> kept the students engagement and level of participation at a good level. However, the level of students in the Level 5 lessons that were taught </w:t>
      </w:r>
      <w:proofErr w:type="gramStart"/>
      <w:r w:rsidRPr="00D106A8">
        <w:rPr>
          <w:rFonts w:cstheme="minorHAnsi"/>
        </w:rPr>
        <w:t>were</w:t>
      </w:r>
      <w:proofErr w:type="gramEnd"/>
      <w:r w:rsidRPr="00D106A8">
        <w:rPr>
          <w:rFonts w:cstheme="minorHAnsi"/>
        </w:rPr>
        <w:t xml:space="preserve"> completely different. The level 5 students averaged 3 per lesson, often with only one student attending. This meant that class control and management looked very different. Instead of trying to manage the level of noise and engagement levels within activities, it was now more important and relevant to engage with the low level of students and ensure that they were offered an alternative and critical analysis (which is required for Level 5) which would have been missing due to the low numbers of students. Importantly, this again linked to the design and planning of the lesson ensuring that the average attendance of students was taken into consideration (McLeod </w:t>
      </w:r>
      <w:r w:rsidRPr="00D106A8">
        <w:rPr>
          <w:rFonts w:cstheme="minorHAnsi"/>
          <w:i/>
        </w:rPr>
        <w:t xml:space="preserve">et al, </w:t>
      </w:r>
      <w:r w:rsidRPr="00D106A8">
        <w:rPr>
          <w:rFonts w:cstheme="minorHAnsi"/>
        </w:rPr>
        <w:t>2003).</w:t>
      </w:r>
    </w:p>
    <w:p w:rsidR="0041214C" w:rsidRPr="00D106A8" w:rsidRDefault="0041214C" w:rsidP="0041214C">
      <w:pPr>
        <w:spacing w:line="360" w:lineRule="auto"/>
        <w:rPr>
          <w:rFonts w:cstheme="minorHAnsi"/>
        </w:rPr>
      </w:pPr>
    </w:p>
    <w:p w:rsidR="0041214C" w:rsidRPr="00D106A8" w:rsidRDefault="0041214C" w:rsidP="0041214C">
      <w:pPr>
        <w:spacing w:line="360" w:lineRule="auto"/>
        <w:rPr>
          <w:rFonts w:cstheme="minorHAnsi"/>
          <w:i/>
          <w:u w:val="single"/>
        </w:rPr>
      </w:pPr>
      <w:r w:rsidRPr="00D106A8">
        <w:rPr>
          <w:rFonts w:cstheme="minorHAnsi"/>
          <w:i/>
          <w:u w:val="single"/>
        </w:rPr>
        <w:t>Level of Students</w:t>
      </w:r>
    </w:p>
    <w:p w:rsidR="0041214C" w:rsidRPr="00D106A8" w:rsidRDefault="0041214C" w:rsidP="0041214C">
      <w:pPr>
        <w:spacing w:line="360" w:lineRule="auto"/>
        <w:rPr>
          <w:rFonts w:cstheme="minorHAnsi"/>
          <w:i/>
          <w:u w:val="single"/>
        </w:rPr>
      </w:pPr>
    </w:p>
    <w:p w:rsidR="0041214C" w:rsidRPr="00D106A8" w:rsidRDefault="0041214C" w:rsidP="0041214C">
      <w:pPr>
        <w:spacing w:line="360" w:lineRule="auto"/>
        <w:jc w:val="both"/>
        <w:rPr>
          <w:rFonts w:cstheme="minorHAnsi"/>
        </w:rPr>
      </w:pPr>
      <w:r w:rsidRPr="00D106A8">
        <w:rPr>
          <w:rFonts w:cstheme="minorHAnsi"/>
        </w:rPr>
        <w:t xml:space="preserve">The students level was also crucial for class management and control during this teaching experience as they were taught using different Teaching and Learning strategies and so their own experiences of the learning environment were different. Level 4’s were taught through a Flipped Learning approach and so were experienced in class participation and reflection. The Level 5 and 6 students, however, were taught using a variety of strategies and so they needed to be drawn out of their comfort zone often in order to participate in the class. This was particularly difficult during the Leadership and Management Module with level 6 as they did not want to participate in a collaborative environment and were not as open about activities and student-led learning. The difference between the Level 4 and Level 6 students was astonishing and always had to be taken into consideration when lesson planning. However, I believe that although I struggled to engage them and get them to participate as much as I would have liked within the lesson, if I had been teaching them more often then they would have become accustomed to the methods that I use and would have increased their collaborative learning. </w:t>
      </w:r>
    </w:p>
    <w:p w:rsidR="0041214C" w:rsidRPr="00D106A8" w:rsidRDefault="0041214C" w:rsidP="0041214C">
      <w:pPr>
        <w:spacing w:line="360" w:lineRule="auto"/>
        <w:rPr>
          <w:rFonts w:cstheme="minorHAnsi"/>
        </w:rPr>
      </w:pPr>
    </w:p>
    <w:p w:rsidR="0041214C" w:rsidRPr="00D106A8" w:rsidRDefault="0041214C" w:rsidP="0041214C">
      <w:pPr>
        <w:spacing w:line="360" w:lineRule="auto"/>
        <w:rPr>
          <w:rFonts w:cstheme="minorHAnsi"/>
          <w:i/>
          <w:u w:val="single"/>
        </w:rPr>
      </w:pPr>
      <w:r w:rsidRPr="00D106A8">
        <w:rPr>
          <w:rFonts w:cstheme="minorHAnsi"/>
          <w:i/>
          <w:u w:val="single"/>
        </w:rPr>
        <w:t>Module Topic</w:t>
      </w:r>
    </w:p>
    <w:p w:rsidR="0041214C" w:rsidRPr="00D106A8" w:rsidRDefault="0041214C" w:rsidP="0041214C">
      <w:pPr>
        <w:spacing w:line="360" w:lineRule="auto"/>
        <w:rPr>
          <w:rFonts w:cstheme="minorHAnsi"/>
          <w:i/>
          <w:u w:val="single"/>
        </w:rPr>
      </w:pPr>
    </w:p>
    <w:p w:rsidR="0041214C" w:rsidRPr="00D106A8" w:rsidRDefault="0041214C" w:rsidP="0041214C">
      <w:pPr>
        <w:spacing w:line="360" w:lineRule="auto"/>
        <w:jc w:val="both"/>
        <w:rPr>
          <w:rFonts w:cstheme="minorHAnsi"/>
        </w:rPr>
      </w:pPr>
      <w:r w:rsidRPr="00D106A8">
        <w:rPr>
          <w:rFonts w:cstheme="minorHAnsi"/>
        </w:rPr>
        <w:t xml:space="preserve">As discussed previously, the module and subject have a great influence on how a lesson is run. However, this is not the only consideration for class management and control. Some of the subjects that I taught were considered to be more theory-heavy and consequently I saw the engagement levels drop within the students during these lessons. There was a distinct correlation between theory content and </w:t>
      </w:r>
      <w:proofErr w:type="gramStart"/>
      <w:r w:rsidRPr="00D106A8">
        <w:rPr>
          <w:rFonts w:cstheme="minorHAnsi"/>
        </w:rPr>
        <w:t>engagement which had a knock-on effect on the level of class management and control that</w:t>
      </w:r>
      <w:proofErr w:type="gramEnd"/>
      <w:r w:rsidRPr="00D106A8">
        <w:rPr>
          <w:rFonts w:cstheme="minorHAnsi"/>
        </w:rPr>
        <w:t xml:space="preserve"> was needed. Davis </w:t>
      </w:r>
      <w:r w:rsidRPr="00D106A8">
        <w:rPr>
          <w:rFonts w:cstheme="minorHAnsi"/>
          <w:i/>
        </w:rPr>
        <w:t xml:space="preserve">et al </w:t>
      </w:r>
      <w:r w:rsidRPr="00D106A8">
        <w:rPr>
          <w:rFonts w:cstheme="minorHAnsi"/>
        </w:rPr>
        <w:t xml:space="preserve">(2012) echo this sentiment and support the theory that improving student engagement within as subject can have a positive affect on classroom management. Going forward, this is a crucial personal development point going forward as many modules within Higher Education are Theory Heavy. </w:t>
      </w:r>
    </w:p>
    <w:p w:rsidR="0041214C" w:rsidRPr="00D106A8" w:rsidRDefault="0041214C" w:rsidP="0041214C">
      <w:pPr>
        <w:spacing w:line="360" w:lineRule="auto"/>
        <w:jc w:val="both"/>
        <w:rPr>
          <w:rFonts w:cstheme="minorHAnsi"/>
        </w:rPr>
      </w:pPr>
      <w:r w:rsidRPr="00D106A8">
        <w:rPr>
          <w:rFonts w:cstheme="minorHAnsi"/>
        </w:rPr>
        <w:t xml:space="preserve">In addition, some of the modules include topics that can be controversial and one experience that I had within the Business School gives an important example of this. During the Global Business Challenges module, a discussion started around Immigration. Although the students were asked to remain respectful of each other, a comment was made by a </w:t>
      </w:r>
      <w:proofErr w:type="gramStart"/>
      <w:r w:rsidRPr="00D106A8">
        <w:rPr>
          <w:rFonts w:cstheme="minorHAnsi"/>
        </w:rPr>
        <w:t>student which caused the discussion to stop</w:t>
      </w:r>
      <w:proofErr w:type="gramEnd"/>
      <w:r w:rsidRPr="00D106A8">
        <w:rPr>
          <w:rFonts w:cstheme="minorHAnsi"/>
        </w:rPr>
        <w:t xml:space="preserve"> and interaction from the facilitator. Although this was dealt with in the moment, it shows the influence of module topic on classroom management and control well.  </w:t>
      </w:r>
    </w:p>
    <w:p w:rsidR="0041214C" w:rsidRPr="00D106A8" w:rsidRDefault="0041214C" w:rsidP="0041214C">
      <w:pPr>
        <w:spacing w:line="360" w:lineRule="auto"/>
        <w:jc w:val="both"/>
        <w:rPr>
          <w:rFonts w:cstheme="minorHAnsi"/>
        </w:rPr>
      </w:pPr>
    </w:p>
    <w:p w:rsidR="0041214C" w:rsidRPr="00D106A8" w:rsidRDefault="0041214C" w:rsidP="0041214C">
      <w:pPr>
        <w:spacing w:line="360" w:lineRule="auto"/>
        <w:jc w:val="both"/>
        <w:rPr>
          <w:rFonts w:cstheme="minorHAnsi"/>
          <w:i/>
          <w:u w:val="single"/>
        </w:rPr>
      </w:pPr>
      <w:r w:rsidRPr="00D106A8">
        <w:rPr>
          <w:rFonts w:cstheme="minorHAnsi"/>
          <w:i/>
          <w:u w:val="single"/>
        </w:rPr>
        <w:t>Teaching and Learning Strategies</w:t>
      </w:r>
    </w:p>
    <w:p w:rsidR="0041214C" w:rsidRPr="00D106A8" w:rsidRDefault="0041214C" w:rsidP="0041214C">
      <w:pPr>
        <w:spacing w:line="360" w:lineRule="auto"/>
        <w:jc w:val="both"/>
        <w:rPr>
          <w:rFonts w:cstheme="minorHAnsi"/>
        </w:rPr>
      </w:pPr>
      <w:r w:rsidRPr="00D106A8">
        <w:rPr>
          <w:rFonts w:cstheme="minorHAnsi"/>
        </w:rPr>
        <w:t>As aforementioned, a number of teaching and learning strategies were used within all levels of students. All of these strategies are grouped within the participative and collaborative style and so in nature demanded a higher level of classroom control (</w:t>
      </w:r>
      <w:proofErr w:type="spellStart"/>
      <w:r w:rsidRPr="00D106A8">
        <w:rPr>
          <w:rFonts w:cstheme="minorHAnsi"/>
        </w:rPr>
        <w:t>Evertson</w:t>
      </w:r>
      <w:proofErr w:type="spellEnd"/>
      <w:r w:rsidRPr="00D106A8">
        <w:rPr>
          <w:rFonts w:cstheme="minorHAnsi"/>
        </w:rPr>
        <w:t xml:space="preserve"> and Weinstein, 2013). One of the most demanding lessons during this experience for classroom management was the whole class debate that I held with 32 students. However, this was managed well, and a strict set of guidelines and debate rules were given to students and adhered to throughout and so all students were given a set amount of time to allow for equality and fairness. </w:t>
      </w:r>
    </w:p>
    <w:p w:rsidR="0041214C" w:rsidRPr="00D106A8" w:rsidRDefault="0041214C" w:rsidP="0041214C">
      <w:pPr>
        <w:spacing w:line="360" w:lineRule="auto"/>
        <w:jc w:val="both"/>
        <w:rPr>
          <w:rFonts w:cstheme="minorHAnsi"/>
        </w:rPr>
      </w:pPr>
    </w:p>
    <w:p w:rsidR="0041214C" w:rsidRPr="00D106A8" w:rsidRDefault="0041214C" w:rsidP="0041214C">
      <w:pPr>
        <w:spacing w:line="360" w:lineRule="auto"/>
        <w:jc w:val="both"/>
        <w:rPr>
          <w:rFonts w:cstheme="minorHAnsi"/>
          <w:b/>
          <w:u w:val="single"/>
        </w:rPr>
      </w:pPr>
      <w:r w:rsidRPr="00D106A8">
        <w:rPr>
          <w:rFonts w:cstheme="minorHAnsi"/>
          <w:b/>
          <w:u w:val="single"/>
        </w:rPr>
        <w:t>Monitoring and assessing learners’ progress</w:t>
      </w:r>
    </w:p>
    <w:p w:rsidR="0041214C" w:rsidRPr="00D106A8" w:rsidRDefault="0041214C" w:rsidP="0041214C">
      <w:pPr>
        <w:spacing w:line="360" w:lineRule="auto"/>
        <w:jc w:val="both"/>
        <w:rPr>
          <w:rFonts w:cstheme="minorHAnsi"/>
        </w:rPr>
      </w:pPr>
      <w:r w:rsidRPr="00D106A8">
        <w:rPr>
          <w:rFonts w:cstheme="minorHAnsi"/>
        </w:rPr>
        <w:t>The monitoring and assessment of learners’ progress throughout the teaching experience in Carmarthen Business School took many forms through both Formative and Summative assessments;</w:t>
      </w:r>
    </w:p>
    <w:p w:rsidR="0041214C" w:rsidRPr="00D106A8" w:rsidRDefault="0041214C" w:rsidP="0041214C">
      <w:pPr>
        <w:spacing w:line="360" w:lineRule="auto"/>
        <w:jc w:val="both"/>
        <w:rPr>
          <w:rFonts w:cstheme="minorHAnsi"/>
        </w:rPr>
      </w:pPr>
    </w:p>
    <w:p w:rsidR="0041214C" w:rsidRPr="00D106A8" w:rsidRDefault="0041214C" w:rsidP="0041214C">
      <w:pPr>
        <w:spacing w:line="360" w:lineRule="auto"/>
        <w:jc w:val="both"/>
        <w:rPr>
          <w:rFonts w:cstheme="minorHAnsi"/>
          <w:i/>
          <w:u w:val="single"/>
        </w:rPr>
      </w:pPr>
      <w:r w:rsidRPr="00D106A8">
        <w:rPr>
          <w:rFonts w:cstheme="minorHAnsi"/>
          <w:i/>
          <w:u w:val="single"/>
        </w:rPr>
        <w:t>Formative Assessments</w:t>
      </w:r>
    </w:p>
    <w:p w:rsidR="0041214C" w:rsidRPr="00D106A8" w:rsidRDefault="0041214C" w:rsidP="0041214C">
      <w:pPr>
        <w:spacing w:line="360" w:lineRule="auto"/>
        <w:jc w:val="both"/>
        <w:rPr>
          <w:rFonts w:cstheme="minorHAnsi"/>
        </w:rPr>
      </w:pPr>
    </w:p>
    <w:p w:rsidR="0041214C" w:rsidRPr="00D106A8" w:rsidRDefault="0041214C" w:rsidP="0041214C">
      <w:pPr>
        <w:spacing w:line="360" w:lineRule="auto"/>
        <w:jc w:val="both"/>
        <w:rPr>
          <w:rFonts w:cstheme="minorHAnsi"/>
        </w:rPr>
      </w:pPr>
      <w:r w:rsidRPr="00D106A8">
        <w:rPr>
          <w:rFonts w:cstheme="minorHAnsi"/>
        </w:rPr>
        <w:t xml:space="preserve">During all lessons taught within the Professional Teaching Experience (PTE), formative assessment was considered during the design and planning stage. This was commonly broken down into three parts; </w:t>
      </w:r>
      <w:proofErr w:type="gramStart"/>
      <w:r w:rsidRPr="00D106A8">
        <w:rPr>
          <w:rFonts w:cstheme="minorHAnsi"/>
        </w:rPr>
        <w:t>Firstly</w:t>
      </w:r>
      <w:proofErr w:type="gramEnd"/>
      <w:r w:rsidRPr="00D106A8">
        <w:rPr>
          <w:rFonts w:cstheme="minorHAnsi"/>
        </w:rPr>
        <w:t xml:space="preserve">, the learners would be assessed on their understanding and learning from the previous lesson. This would involve me re-capping what was learnt in the previous lesson and asking questions to get an understanding of what was learnt, retained and understood. Secondly, time was allowed throughout all lessons to ask students questions about the topic and monitor levels of understanding. It was very important for me to adapt the teaching and learning if the level of understanding was not acceptable Lastly, the plenary section of the lesson was crucial in formatively assessing levels of understanding which was often done through questioning and through the use of emergent technologies such as </w:t>
      </w:r>
      <w:proofErr w:type="spellStart"/>
      <w:r w:rsidRPr="00D106A8">
        <w:rPr>
          <w:rFonts w:cstheme="minorHAnsi"/>
        </w:rPr>
        <w:t>Kahoot</w:t>
      </w:r>
      <w:proofErr w:type="spellEnd"/>
      <w:r w:rsidRPr="00D106A8">
        <w:rPr>
          <w:rFonts w:cstheme="minorHAnsi"/>
        </w:rPr>
        <w:t xml:space="preserve"> and </w:t>
      </w:r>
      <w:proofErr w:type="spellStart"/>
      <w:r w:rsidRPr="00D106A8">
        <w:rPr>
          <w:rFonts w:cstheme="minorHAnsi"/>
        </w:rPr>
        <w:t>NearPod</w:t>
      </w:r>
      <w:proofErr w:type="spellEnd"/>
      <w:r w:rsidRPr="00D106A8">
        <w:rPr>
          <w:rFonts w:cstheme="minorHAnsi"/>
        </w:rPr>
        <w:t xml:space="preserve">. Students reacted well to these methods of assessment and enjoyed embedding their learning in this way. </w:t>
      </w:r>
    </w:p>
    <w:p w:rsidR="0041214C" w:rsidRPr="00D106A8" w:rsidRDefault="0041214C" w:rsidP="0041214C">
      <w:pPr>
        <w:spacing w:line="360" w:lineRule="auto"/>
        <w:jc w:val="both"/>
        <w:rPr>
          <w:rFonts w:cstheme="minorHAnsi"/>
          <w:i/>
          <w:u w:val="single"/>
        </w:rPr>
      </w:pPr>
      <w:r w:rsidRPr="00D106A8">
        <w:rPr>
          <w:rFonts w:cstheme="minorHAnsi"/>
          <w:i/>
          <w:u w:val="single"/>
        </w:rPr>
        <w:t>Summative Assessments</w:t>
      </w:r>
    </w:p>
    <w:p w:rsidR="0041214C" w:rsidRPr="00D106A8" w:rsidRDefault="0041214C" w:rsidP="0041214C">
      <w:pPr>
        <w:spacing w:line="360" w:lineRule="auto"/>
        <w:jc w:val="both"/>
        <w:rPr>
          <w:rFonts w:cstheme="minorHAnsi"/>
          <w:i/>
          <w:u w:val="single"/>
        </w:rPr>
      </w:pPr>
    </w:p>
    <w:p w:rsidR="0041214C" w:rsidRPr="00D106A8" w:rsidRDefault="0041214C" w:rsidP="0041214C">
      <w:pPr>
        <w:spacing w:line="360" w:lineRule="auto"/>
        <w:jc w:val="both"/>
        <w:rPr>
          <w:rFonts w:cstheme="minorHAnsi"/>
        </w:rPr>
      </w:pPr>
      <w:r w:rsidRPr="00D106A8">
        <w:rPr>
          <w:rFonts w:cstheme="minorHAnsi"/>
        </w:rPr>
        <w:t xml:space="preserve">During the PTE it would have been unethical for me to mark assignments as the first marker. However, I was very pleased to be asked to second mark presentations for the Level 5’s during their Managing People module and the Level 6 students during their Management Ethics module. Having taught the Managing People module throughout, it was extremely rewarding to see the students learning and the level of understanding that they had of the subject that I taught them. My participation and evaluation of the presentations were well accepted by the primary lecturer and my opinion was taken on board. It was pleasing to see that my thoughts on the presentations and marks awarded were extremely similar to the primary lecturer. </w:t>
      </w:r>
    </w:p>
    <w:p w:rsidR="0041214C" w:rsidRPr="00D106A8" w:rsidRDefault="0041214C" w:rsidP="0041214C">
      <w:pPr>
        <w:spacing w:line="360" w:lineRule="auto"/>
        <w:jc w:val="both"/>
        <w:rPr>
          <w:rFonts w:cstheme="minorHAnsi"/>
        </w:rPr>
      </w:pPr>
      <w:r w:rsidRPr="00D106A8">
        <w:rPr>
          <w:rFonts w:cstheme="minorHAnsi"/>
        </w:rPr>
        <w:t xml:space="preserve">In addition to presentations, I was also given the opportunity to read over assignments that were submitted and spent time with the lecturer in how to mark the assignments in correlation to the marking criteria. This was a very solid experience for me that will help in my own development. </w:t>
      </w:r>
    </w:p>
    <w:p w:rsidR="0041214C" w:rsidRPr="00D106A8" w:rsidRDefault="0041214C" w:rsidP="0041214C">
      <w:pPr>
        <w:spacing w:line="360" w:lineRule="auto"/>
        <w:jc w:val="both"/>
        <w:rPr>
          <w:rFonts w:cstheme="minorHAnsi"/>
        </w:rPr>
      </w:pPr>
      <w:r w:rsidRPr="00D106A8">
        <w:rPr>
          <w:rFonts w:cstheme="minorHAnsi"/>
        </w:rPr>
        <w:t xml:space="preserve">Lastly, the Accounting module that I taught to Level 4 saw the summative assessment in the form of an exam. This was a very different experience as the students were nervous and anxious in ensuring that their levels of understanding were satisfactory. </w:t>
      </w:r>
    </w:p>
    <w:p w:rsidR="0041214C" w:rsidRPr="00D106A8" w:rsidRDefault="0041214C" w:rsidP="0041214C">
      <w:pPr>
        <w:spacing w:line="360" w:lineRule="auto"/>
        <w:jc w:val="both"/>
        <w:rPr>
          <w:rFonts w:cstheme="minorHAnsi"/>
        </w:rPr>
      </w:pPr>
      <w:r w:rsidRPr="00D106A8">
        <w:rPr>
          <w:rFonts w:cstheme="minorHAnsi"/>
        </w:rPr>
        <w:t xml:space="preserve">Although these are the summative assessments used within the PTE, I would very much enjoy creating new summative assessments in my future career to help further assessment of students effectively. </w:t>
      </w:r>
    </w:p>
    <w:p w:rsidR="0041214C" w:rsidRPr="00D106A8" w:rsidRDefault="0041214C" w:rsidP="0041214C">
      <w:pPr>
        <w:spacing w:line="360" w:lineRule="auto"/>
        <w:jc w:val="both"/>
        <w:rPr>
          <w:rFonts w:cstheme="minorHAnsi"/>
          <w:b/>
        </w:rPr>
      </w:pPr>
    </w:p>
    <w:p w:rsidR="0041214C" w:rsidRPr="00D106A8" w:rsidRDefault="0041214C" w:rsidP="0041214C">
      <w:pPr>
        <w:spacing w:line="360" w:lineRule="auto"/>
        <w:jc w:val="both"/>
        <w:rPr>
          <w:rFonts w:cstheme="minorHAnsi"/>
          <w:b/>
          <w:u w:val="single"/>
        </w:rPr>
      </w:pPr>
      <w:r w:rsidRPr="00D106A8">
        <w:rPr>
          <w:rFonts w:cstheme="minorHAnsi"/>
          <w:b/>
          <w:u w:val="single"/>
        </w:rPr>
        <w:t>Overall Effectiveness</w:t>
      </w:r>
    </w:p>
    <w:p w:rsidR="0041214C" w:rsidRPr="00D106A8" w:rsidRDefault="0041214C" w:rsidP="0041214C">
      <w:pPr>
        <w:spacing w:line="360" w:lineRule="auto"/>
        <w:jc w:val="both"/>
        <w:rPr>
          <w:rFonts w:cstheme="minorHAnsi"/>
          <w:u w:val="single"/>
        </w:rPr>
      </w:pPr>
    </w:p>
    <w:p w:rsidR="0041214C" w:rsidRPr="00D106A8" w:rsidRDefault="0041214C" w:rsidP="0041214C">
      <w:pPr>
        <w:spacing w:line="360" w:lineRule="auto"/>
        <w:jc w:val="both"/>
        <w:rPr>
          <w:rFonts w:cstheme="minorHAnsi"/>
        </w:rPr>
      </w:pPr>
      <w:r w:rsidRPr="00D106A8">
        <w:rPr>
          <w:rFonts w:cstheme="minorHAnsi"/>
        </w:rPr>
        <w:t xml:space="preserve">The time spent during the PTE has enabled me to gain a wealth of experience and knowledge in teaching that will drive my development forward at an exciting pace. I have had a number of successes and, as always, a number of key developmental </w:t>
      </w:r>
      <w:proofErr w:type="gramStart"/>
      <w:r w:rsidRPr="00D106A8">
        <w:rPr>
          <w:rFonts w:cstheme="minorHAnsi"/>
        </w:rPr>
        <w:t>points which</w:t>
      </w:r>
      <w:proofErr w:type="gramEnd"/>
      <w:r w:rsidRPr="00D106A8">
        <w:rPr>
          <w:rFonts w:cstheme="minorHAnsi"/>
        </w:rPr>
        <w:t xml:space="preserve"> will help me be a better teacher. I have gained a significant amount of confidence in my abilities in a classroom environment and the activity of planning has helped me engage my creativity. It has been both rewarding and insightful and has helped me grow in self-reflection and self-evaluation positively. The overall experience has seen me face difficulties and frustrations along the way but has also rewarded me with a feeling of pride in helping others grow. Carmarthen Business School have offered me the chance to dive into a number of modules and to develop my own strategies with an immense feeling of support. I am confident that the overall PTE experience has been thoroughly effective in developing me as a teacher.</w:t>
      </w:r>
    </w:p>
    <w:p w:rsidR="0041214C" w:rsidRPr="00D106A8" w:rsidRDefault="0041214C" w:rsidP="0041214C">
      <w:pPr>
        <w:spacing w:line="360" w:lineRule="auto"/>
        <w:jc w:val="both"/>
        <w:rPr>
          <w:rFonts w:cstheme="minorHAnsi"/>
        </w:rPr>
      </w:pPr>
    </w:p>
    <w:p w:rsidR="0041214C" w:rsidRPr="00D106A8" w:rsidRDefault="0041214C" w:rsidP="0041214C">
      <w:pPr>
        <w:spacing w:line="360" w:lineRule="auto"/>
        <w:jc w:val="both"/>
        <w:rPr>
          <w:rFonts w:cstheme="minorHAnsi"/>
          <w:b/>
          <w:u w:val="single"/>
        </w:rPr>
      </w:pPr>
      <w:r w:rsidRPr="00D106A8">
        <w:rPr>
          <w:rFonts w:cstheme="minorHAnsi"/>
          <w:b/>
          <w:u w:val="single"/>
        </w:rPr>
        <w:t>Reference List</w:t>
      </w:r>
    </w:p>
    <w:p w:rsidR="0041214C" w:rsidRPr="00D106A8" w:rsidRDefault="0041214C" w:rsidP="0041214C">
      <w:pPr>
        <w:spacing w:line="360" w:lineRule="auto"/>
        <w:jc w:val="both"/>
        <w:rPr>
          <w:rFonts w:cstheme="minorHAnsi"/>
          <w:b/>
          <w:u w:val="single"/>
        </w:rPr>
      </w:pPr>
    </w:p>
    <w:p w:rsidR="0041214C" w:rsidRPr="00D106A8" w:rsidRDefault="0041214C" w:rsidP="0041214C">
      <w:pPr>
        <w:spacing w:line="360" w:lineRule="auto"/>
        <w:jc w:val="both"/>
        <w:rPr>
          <w:rFonts w:cstheme="minorHAnsi"/>
        </w:rPr>
      </w:pPr>
      <w:r w:rsidRPr="00D106A8">
        <w:rPr>
          <w:rFonts w:cstheme="minorHAnsi"/>
        </w:rPr>
        <w:t xml:space="preserve">Armstrong, J. and </w:t>
      </w:r>
      <w:proofErr w:type="spellStart"/>
      <w:r w:rsidRPr="00D106A8">
        <w:rPr>
          <w:rFonts w:cstheme="minorHAnsi"/>
        </w:rPr>
        <w:t>Hyslop-Margison</w:t>
      </w:r>
      <w:proofErr w:type="spellEnd"/>
      <w:r w:rsidRPr="00D106A8">
        <w:rPr>
          <w:rFonts w:cstheme="minorHAnsi"/>
        </w:rPr>
        <w:t xml:space="preserve">, E. (2006) ‘Collaborative Learning and </w:t>
      </w:r>
      <w:proofErr w:type="gramStart"/>
      <w:r w:rsidRPr="00D106A8">
        <w:rPr>
          <w:rFonts w:cstheme="minorHAnsi"/>
        </w:rPr>
        <w:t>Dialogue :</w:t>
      </w:r>
      <w:proofErr w:type="gramEnd"/>
      <w:r w:rsidRPr="00D106A8">
        <w:rPr>
          <w:rFonts w:cstheme="minorHAnsi"/>
        </w:rPr>
        <w:t xml:space="preserve"> Democratic Learning in Adult Education.’ </w:t>
      </w:r>
      <w:r w:rsidRPr="00D106A8">
        <w:rPr>
          <w:rFonts w:cstheme="minorHAnsi"/>
          <w:i/>
        </w:rPr>
        <w:t xml:space="preserve">New Horizons in Adult Education and Human Resource </w:t>
      </w:r>
      <w:proofErr w:type="gramStart"/>
      <w:r w:rsidRPr="00D106A8">
        <w:rPr>
          <w:rFonts w:cstheme="minorHAnsi"/>
          <w:i/>
        </w:rPr>
        <w:t>Development .</w:t>
      </w:r>
      <w:proofErr w:type="gramEnd"/>
      <w:r w:rsidRPr="00D106A8">
        <w:rPr>
          <w:rFonts w:cstheme="minorHAnsi"/>
          <w:i/>
        </w:rPr>
        <w:t xml:space="preserve"> </w:t>
      </w:r>
      <w:r w:rsidRPr="00D106A8">
        <w:rPr>
          <w:rFonts w:cstheme="minorHAnsi"/>
        </w:rPr>
        <w:t>20, 4, pp. 6-15.</w:t>
      </w:r>
    </w:p>
    <w:p w:rsidR="0041214C" w:rsidRPr="00D106A8" w:rsidRDefault="0041214C" w:rsidP="0041214C">
      <w:pPr>
        <w:spacing w:line="360" w:lineRule="auto"/>
        <w:jc w:val="both"/>
        <w:rPr>
          <w:rFonts w:cstheme="minorHAnsi"/>
        </w:rPr>
      </w:pPr>
      <w:r w:rsidRPr="00D106A8">
        <w:rPr>
          <w:rFonts w:cstheme="minorHAnsi"/>
        </w:rPr>
        <w:t xml:space="preserve">Davis, H., </w:t>
      </w:r>
      <w:proofErr w:type="gramStart"/>
      <w:r w:rsidRPr="00D106A8">
        <w:rPr>
          <w:rFonts w:cstheme="minorHAnsi"/>
        </w:rPr>
        <w:t>Summers</w:t>
      </w:r>
      <w:proofErr w:type="gramEnd"/>
      <w:r w:rsidRPr="00D106A8">
        <w:rPr>
          <w:rFonts w:cstheme="minorHAnsi"/>
        </w:rPr>
        <w:t xml:space="preserve">, J. and Miller, L. (2012) </w:t>
      </w:r>
      <w:r w:rsidRPr="00D106A8">
        <w:rPr>
          <w:rFonts w:cstheme="minorHAnsi"/>
          <w:i/>
        </w:rPr>
        <w:t xml:space="preserve">An Interpersonal Approach to Classroom Management: Strategies for Improving Student Engagement. </w:t>
      </w:r>
      <w:r w:rsidRPr="00D106A8">
        <w:rPr>
          <w:rFonts w:cstheme="minorHAnsi"/>
        </w:rPr>
        <w:t>California: Corwin Press.</w:t>
      </w:r>
    </w:p>
    <w:p w:rsidR="0041214C" w:rsidRPr="00D106A8" w:rsidRDefault="0041214C" w:rsidP="0041214C">
      <w:pPr>
        <w:spacing w:line="360" w:lineRule="auto"/>
        <w:jc w:val="both"/>
        <w:rPr>
          <w:rFonts w:cstheme="minorHAnsi"/>
        </w:rPr>
      </w:pPr>
      <w:proofErr w:type="spellStart"/>
      <w:r w:rsidRPr="00D106A8">
        <w:rPr>
          <w:rFonts w:cstheme="minorHAnsi"/>
        </w:rPr>
        <w:t>Evertson</w:t>
      </w:r>
      <w:proofErr w:type="spellEnd"/>
      <w:r w:rsidRPr="00D106A8">
        <w:rPr>
          <w:rFonts w:cstheme="minorHAnsi"/>
        </w:rPr>
        <w:t xml:space="preserve">, C. and Weinstein, C. (2013) </w:t>
      </w:r>
      <w:r w:rsidRPr="00D106A8">
        <w:rPr>
          <w:rFonts w:cstheme="minorHAnsi"/>
          <w:i/>
        </w:rPr>
        <w:t xml:space="preserve">Handbook of Classroom Management: Research, Practice, and Contemporary Issues. </w:t>
      </w:r>
      <w:r w:rsidRPr="00D106A8">
        <w:rPr>
          <w:rFonts w:cstheme="minorHAnsi"/>
        </w:rPr>
        <w:t xml:space="preserve">Abingdon: Routledge. </w:t>
      </w:r>
    </w:p>
    <w:p w:rsidR="0041214C" w:rsidRPr="00D106A8" w:rsidRDefault="0041214C" w:rsidP="0041214C">
      <w:pPr>
        <w:spacing w:line="360" w:lineRule="auto"/>
        <w:jc w:val="both"/>
        <w:rPr>
          <w:rFonts w:cstheme="minorHAnsi"/>
        </w:rPr>
      </w:pPr>
      <w:proofErr w:type="spellStart"/>
      <w:r w:rsidRPr="00D106A8">
        <w:rPr>
          <w:rFonts w:cstheme="minorHAnsi"/>
        </w:rPr>
        <w:t>Feldmann</w:t>
      </w:r>
      <w:proofErr w:type="spellEnd"/>
      <w:r w:rsidRPr="00D106A8">
        <w:rPr>
          <w:rFonts w:cstheme="minorHAnsi"/>
        </w:rPr>
        <w:t xml:space="preserve">, D. and Rupert, T. (2013) </w:t>
      </w:r>
      <w:r w:rsidRPr="00D106A8">
        <w:rPr>
          <w:rFonts w:cstheme="minorHAnsi"/>
          <w:i/>
        </w:rPr>
        <w:t xml:space="preserve">Advances in Accounting Education: Teaching and Curriculum Innovations. </w:t>
      </w:r>
      <w:r w:rsidRPr="00D106A8">
        <w:rPr>
          <w:rFonts w:cstheme="minorHAnsi"/>
        </w:rPr>
        <w:t xml:space="preserve">Bingley: Emerald Group Publishing Limited. </w:t>
      </w:r>
    </w:p>
    <w:p w:rsidR="0041214C" w:rsidRPr="00D106A8" w:rsidRDefault="0041214C" w:rsidP="0041214C">
      <w:pPr>
        <w:spacing w:line="360" w:lineRule="auto"/>
        <w:jc w:val="both"/>
        <w:rPr>
          <w:rFonts w:cstheme="minorHAnsi"/>
        </w:rPr>
      </w:pPr>
      <w:r w:rsidRPr="00D106A8">
        <w:rPr>
          <w:rFonts w:cstheme="minorHAnsi"/>
        </w:rPr>
        <w:t xml:space="preserve">Harris, C. (2017) 'To retain our best teachers we need to stop killing them with planning, marking and meetings.’ Available at: </w:t>
      </w:r>
      <w:hyperlink r:id="rId6" w:history="1">
        <w:r w:rsidRPr="00D106A8">
          <w:rPr>
            <w:rStyle w:val="Hyperlink"/>
            <w:rFonts w:cstheme="minorHAnsi"/>
          </w:rPr>
          <w:t>https://www.tes.com/news/retain-our-best-teachers-we-need-stop-killing-them-planning-marking-and-meetings</w:t>
        </w:r>
      </w:hyperlink>
      <w:r w:rsidRPr="00D106A8">
        <w:rPr>
          <w:rFonts w:cstheme="minorHAnsi"/>
        </w:rPr>
        <w:t xml:space="preserve"> [Accessed on: 15</w:t>
      </w:r>
      <w:r w:rsidRPr="00D106A8">
        <w:rPr>
          <w:rFonts w:cstheme="minorHAnsi"/>
          <w:vertAlign w:val="superscript"/>
        </w:rPr>
        <w:t>th</w:t>
      </w:r>
      <w:r w:rsidRPr="00D106A8">
        <w:rPr>
          <w:rFonts w:cstheme="minorHAnsi"/>
        </w:rPr>
        <w:t xml:space="preserve"> May 2018].</w:t>
      </w:r>
    </w:p>
    <w:p w:rsidR="0041214C" w:rsidRPr="00D106A8" w:rsidRDefault="0041214C" w:rsidP="0041214C">
      <w:pPr>
        <w:spacing w:line="360" w:lineRule="auto"/>
        <w:jc w:val="both"/>
        <w:rPr>
          <w:rFonts w:cstheme="minorHAnsi"/>
        </w:rPr>
      </w:pPr>
      <w:r w:rsidRPr="00D106A8">
        <w:rPr>
          <w:rFonts w:cstheme="minorHAnsi"/>
        </w:rPr>
        <w:t>Hornsby, D., Osman, R. and De Matos-</w:t>
      </w:r>
      <w:proofErr w:type="spellStart"/>
      <w:r w:rsidRPr="00D106A8">
        <w:rPr>
          <w:rFonts w:cstheme="minorHAnsi"/>
        </w:rPr>
        <w:t>Ala</w:t>
      </w:r>
      <w:proofErr w:type="spellEnd"/>
      <w:r w:rsidRPr="00D106A8">
        <w:rPr>
          <w:rFonts w:cstheme="minorHAnsi"/>
        </w:rPr>
        <w:t xml:space="preserve">, J. (2013) </w:t>
      </w:r>
      <w:r w:rsidRPr="00D106A8">
        <w:rPr>
          <w:rFonts w:cstheme="minorHAnsi"/>
          <w:i/>
        </w:rPr>
        <w:t xml:space="preserve">Large-class Pedagogy: Interdisciplinary Perspectives for Quality Higher Education. </w:t>
      </w:r>
      <w:r w:rsidRPr="00D106A8">
        <w:rPr>
          <w:rFonts w:cstheme="minorHAnsi"/>
        </w:rPr>
        <w:t xml:space="preserve">Stellenbosch: African Sun Media. </w:t>
      </w:r>
    </w:p>
    <w:p w:rsidR="0041214C" w:rsidRPr="00D106A8" w:rsidRDefault="0041214C" w:rsidP="0041214C">
      <w:pPr>
        <w:spacing w:line="360" w:lineRule="auto"/>
        <w:jc w:val="both"/>
        <w:rPr>
          <w:rFonts w:cstheme="minorHAnsi"/>
        </w:rPr>
      </w:pPr>
      <w:r w:rsidRPr="00D106A8">
        <w:rPr>
          <w:rFonts w:cstheme="minorHAnsi"/>
        </w:rPr>
        <w:t>Kimmel, S. (2012) ‘Collaboration as School Reform: Are there Patterns in the Chaos of Planning with Teachers?</w:t>
      </w:r>
      <w:proofErr w:type="gramStart"/>
      <w:r w:rsidRPr="00D106A8">
        <w:rPr>
          <w:rFonts w:cstheme="minorHAnsi"/>
        </w:rPr>
        <w:t>’,</w:t>
      </w:r>
      <w:proofErr w:type="gramEnd"/>
      <w:r w:rsidRPr="00D106A8">
        <w:rPr>
          <w:rFonts w:cstheme="minorHAnsi"/>
        </w:rPr>
        <w:t xml:space="preserve"> </w:t>
      </w:r>
      <w:r w:rsidRPr="00D106A8">
        <w:rPr>
          <w:rFonts w:cstheme="minorHAnsi"/>
          <w:i/>
        </w:rPr>
        <w:t xml:space="preserve">School Library Research, </w:t>
      </w:r>
      <w:r w:rsidRPr="00D106A8">
        <w:rPr>
          <w:rFonts w:cstheme="minorHAnsi"/>
        </w:rPr>
        <w:t>15, pp. 1-15.</w:t>
      </w:r>
    </w:p>
    <w:p w:rsidR="0041214C" w:rsidRPr="00D106A8" w:rsidRDefault="0041214C" w:rsidP="0041214C">
      <w:pPr>
        <w:spacing w:line="360" w:lineRule="auto"/>
        <w:jc w:val="both"/>
        <w:rPr>
          <w:rFonts w:cstheme="minorHAnsi"/>
        </w:rPr>
      </w:pPr>
      <w:r w:rsidRPr="00D106A8">
        <w:rPr>
          <w:rFonts w:cstheme="minorHAnsi"/>
        </w:rPr>
        <w:t xml:space="preserve">McLeod, J., Fisher, J. and Hoover, G. (2003) </w:t>
      </w:r>
      <w:r w:rsidRPr="00D106A8">
        <w:rPr>
          <w:rFonts w:cstheme="minorHAnsi"/>
          <w:i/>
        </w:rPr>
        <w:t xml:space="preserve">The Key Elements of Classroom Management: Managing Time and Space, Student </w:t>
      </w:r>
      <w:proofErr w:type="spellStart"/>
      <w:r w:rsidRPr="00D106A8">
        <w:rPr>
          <w:rFonts w:cstheme="minorHAnsi"/>
          <w:i/>
        </w:rPr>
        <w:t>Behavior</w:t>
      </w:r>
      <w:proofErr w:type="spellEnd"/>
      <w:r w:rsidRPr="00D106A8">
        <w:rPr>
          <w:rFonts w:cstheme="minorHAnsi"/>
          <w:i/>
        </w:rPr>
        <w:t xml:space="preserve">, and Instructional Strategies. </w:t>
      </w:r>
      <w:r w:rsidRPr="00D106A8">
        <w:rPr>
          <w:rFonts w:cstheme="minorHAnsi"/>
        </w:rPr>
        <w:t>Virginia: ASCD.</w:t>
      </w:r>
    </w:p>
    <w:p w:rsidR="0041214C" w:rsidRPr="00D106A8" w:rsidRDefault="0041214C" w:rsidP="0041214C">
      <w:pPr>
        <w:spacing w:line="360" w:lineRule="auto"/>
        <w:jc w:val="both"/>
        <w:rPr>
          <w:rFonts w:cstheme="minorHAnsi"/>
        </w:rPr>
      </w:pPr>
      <w:proofErr w:type="gramStart"/>
      <w:r w:rsidRPr="00D106A8">
        <w:rPr>
          <w:rFonts w:cstheme="minorHAnsi"/>
        </w:rPr>
        <w:t xml:space="preserve">Mishra, R. (2009) </w:t>
      </w:r>
      <w:r w:rsidRPr="00D106A8">
        <w:rPr>
          <w:rFonts w:cstheme="minorHAnsi"/>
          <w:i/>
        </w:rPr>
        <w:t>Lesson Planning.</w:t>
      </w:r>
      <w:proofErr w:type="gramEnd"/>
      <w:r w:rsidRPr="00D106A8">
        <w:rPr>
          <w:rFonts w:cstheme="minorHAnsi"/>
          <w:i/>
        </w:rPr>
        <w:t xml:space="preserve"> </w:t>
      </w:r>
      <w:r w:rsidRPr="00D106A8">
        <w:rPr>
          <w:rFonts w:cstheme="minorHAnsi"/>
        </w:rPr>
        <w:t xml:space="preserve">New Delhi: APH Publishing Corporation. </w:t>
      </w:r>
    </w:p>
    <w:p w:rsidR="0041214C" w:rsidRPr="00D106A8" w:rsidRDefault="0041214C" w:rsidP="0041214C">
      <w:pPr>
        <w:spacing w:line="360" w:lineRule="auto"/>
        <w:jc w:val="both"/>
        <w:rPr>
          <w:rFonts w:cstheme="minorHAnsi"/>
        </w:rPr>
      </w:pPr>
      <w:proofErr w:type="spellStart"/>
      <w:r w:rsidRPr="00D106A8">
        <w:rPr>
          <w:rFonts w:cstheme="minorHAnsi"/>
        </w:rPr>
        <w:t>Mouza</w:t>
      </w:r>
      <w:proofErr w:type="spellEnd"/>
      <w:r w:rsidRPr="00D106A8">
        <w:rPr>
          <w:rFonts w:cstheme="minorHAnsi"/>
        </w:rPr>
        <w:t xml:space="preserve">, C. and </w:t>
      </w:r>
      <w:proofErr w:type="spellStart"/>
      <w:r w:rsidRPr="00D106A8">
        <w:rPr>
          <w:rFonts w:cstheme="minorHAnsi"/>
        </w:rPr>
        <w:t>Lavigne</w:t>
      </w:r>
      <w:proofErr w:type="spellEnd"/>
      <w:r w:rsidRPr="00D106A8">
        <w:rPr>
          <w:rFonts w:cstheme="minorHAnsi"/>
        </w:rPr>
        <w:t xml:space="preserve">, N. (2012) </w:t>
      </w:r>
      <w:r w:rsidRPr="00D106A8">
        <w:rPr>
          <w:rFonts w:cstheme="minorHAnsi"/>
          <w:i/>
        </w:rPr>
        <w:t xml:space="preserve">Emerging Technologies for the Classroom: A Learning Sciences Perspective. </w:t>
      </w:r>
      <w:r w:rsidRPr="00D106A8">
        <w:rPr>
          <w:rFonts w:cstheme="minorHAnsi"/>
        </w:rPr>
        <w:t>Newark: Springer Science and Business Media.</w:t>
      </w:r>
    </w:p>
    <w:p w:rsidR="0041214C" w:rsidRPr="00D106A8" w:rsidRDefault="0041214C" w:rsidP="0041214C">
      <w:pPr>
        <w:spacing w:line="360" w:lineRule="auto"/>
        <w:jc w:val="both"/>
        <w:rPr>
          <w:rFonts w:cstheme="minorHAnsi"/>
        </w:rPr>
      </w:pPr>
      <w:proofErr w:type="spellStart"/>
      <w:proofErr w:type="gramStart"/>
      <w:r w:rsidRPr="00D106A8">
        <w:rPr>
          <w:rFonts w:cstheme="minorHAnsi"/>
        </w:rPr>
        <w:t>Moyles</w:t>
      </w:r>
      <w:proofErr w:type="spellEnd"/>
      <w:r w:rsidRPr="00D106A8">
        <w:rPr>
          <w:rFonts w:cstheme="minorHAnsi"/>
        </w:rPr>
        <w:t xml:space="preserve">, J. (2007) </w:t>
      </w:r>
      <w:r w:rsidRPr="00D106A8">
        <w:rPr>
          <w:rFonts w:cstheme="minorHAnsi"/>
          <w:i/>
        </w:rPr>
        <w:t>Beginning Teaching Beginning Learning.</w:t>
      </w:r>
      <w:proofErr w:type="gramEnd"/>
      <w:r w:rsidRPr="00D106A8">
        <w:rPr>
          <w:rFonts w:cstheme="minorHAnsi"/>
          <w:i/>
        </w:rPr>
        <w:t xml:space="preserve"> </w:t>
      </w:r>
      <w:r w:rsidRPr="00D106A8">
        <w:rPr>
          <w:rFonts w:cstheme="minorHAnsi"/>
        </w:rPr>
        <w:t>London: Open University Press.</w:t>
      </w:r>
    </w:p>
    <w:p w:rsidR="0041214C" w:rsidRPr="00D106A8" w:rsidRDefault="0041214C" w:rsidP="0041214C">
      <w:pPr>
        <w:spacing w:line="360" w:lineRule="auto"/>
        <w:jc w:val="both"/>
        <w:rPr>
          <w:rFonts w:cstheme="minorHAnsi"/>
        </w:rPr>
      </w:pPr>
      <w:proofErr w:type="spellStart"/>
      <w:proofErr w:type="gramStart"/>
      <w:r w:rsidRPr="00D106A8">
        <w:rPr>
          <w:rFonts w:cstheme="minorHAnsi"/>
        </w:rPr>
        <w:t>Pacansky</w:t>
      </w:r>
      <w:proofErr w:type="spellEnd"/>
      <w:r w:rsidRPr="00D106A8">
        <w:rPr>
          <w:rFonts w:cstheme="minorHAnsi"/>
        </w:rPr>
        <w:t xml:space="preserve">-Brook, M. (2017) </w:t>
      </w:r>
      <w:r w:rsidRPr="00D106A8">
        <w:rPr>
          <w:rFonts w:cstheme="minorHAnsi"/>
          <w:i/>
        </w:rPr>
        <w:t>Best Practices for Teaching with Emergent Technologies.</w:t>
      </w:r>
      <w:proofErr w:type="gramEnd"/>
      <w:r w:rsidRPr="00D106A8">
        <w:rPr>
          <w:rFonts w:cstheme="minorHAnsi"/>
          <w:i/>
        </w:rPr>
        <w:t xml:space="preserve"> </w:t>
      </w:r>
      <w:r w:rsidRPr="00D106A8">
        <w:rPr>
          <w:rFonts w:cstheme="minorHAnsi"/>
        </w:rPr>
        <w:t>New York: Routledge.</w:t>
      </w:r>
    </w:p>
    <w:p w:rsidR="0041214C" w:rsidRPr="00D106A8" w:rsidRDefault="0041214C" w:rsidP="0041214C">
      <w:pPr>
        <w:spacing w:line="360" w:lineRule="auto"/>
        <w:jc w:val="both"/>
        <w:rPr>
          <w:rFonts w:cstheme="minorHAnsi"/>
        </w:rPr>
      </w:pPr>
      <w:proofErr w:type="spellStart"/>
      <w:r w:rsidRPr="00D106A8">
        <w:rPr>
          <w:rFonts w:cstheme="minorHAnsi"/>
        </w:rPr>
        <w:t>Schreck</w:t>
      </w:r>
      <w:proofErr w:type="spellEnd"/>
      <w:r w:rsidRPr="00D106A8">
        <w:rPr>
          <w:rFonts w:cstheme="minorHAnsi"/>
        </w:rPr>
        <w:t xml:space="preserve">, M. (2009) </w:t>
      </w:r>
      <w:r w:rsidRPr="00D106A8">
        <w:rPr>
          <w:rFonts w:cstheme="minorHAnsi"/>
          <w:i/>
        </w:rPr>
        <w:t xml:space="preserve">Transformers: Creative Teachers for the 21st Century. </w:t>
      </w:r>
      <w:r w:rsidRPr="00D106A8">
        <w:rPr>
          <w:rFonts w:cstheme="minorHAnsi"/>
        </w:rPr>
        <w:t>California: Corwin Press.</w:t>
      </w:r>
    </w:p>
    <w:p w:rsidR="0041214C" w:rsidRPr="00D106A8" w:rsidRDefault="0041214C" w:rsidP="0041214C">
      <w:pPr>
        <w:spacing w:line="360" w:lineRule="auto"/>
        <w:jc w:val="both"/>
        <w:rPr>
          <w:rFonts w:cstheme="minorHAnsi"/>
        </w:rPr>
      </w:pPr>
      <w:r w:rsidRPr="00D106A8">
        <w:rPr>
          <w:rFonts w:cstheme="minorHAnsi"/>
        </w:rPr>
        <w:t xml:space="preserve">Stokes, R. (2017) ‘Tips to help schools reduce teacher workload.’ Available at: </w:t>
      </w:r>
      <w:hyperlink r:id="rId7" w:history="1">
        <w:r w:rsidRPr="00D106A8">
          <w:rPr>
            <w:rStyle w:val="Hyperlink"/>
            <w:rFonts w:cstheme="minorHAnsi"/>
          </w:rPr>
          <w:t>https://www.theguardian.com/teacher-network/2017/jul/19/tips-to-help-schools-reduce-teacher-workload</w:t>
        </w:r>
      </w:hyperlink>
      <w:r w:rsidRPr="00D106A8">
        <w:rPr>
          <w:rFonts w:cstheme="minorHAnsi"/>
        </w:rPr>
        <w:t xml:space="preserve"> [Accessed: 15</w:t>
      </w:r>
      <w:r w:rsidRPr="00D106A8">
        <w:rPr>
          <w:rFonts w:cstheme="minorHAnsi"/>
          <w:vertAlign w:val="superscript"/>
        </w:rPr>
        <w:t>th</w:t>
      </w:r>
      <w:r w:rsidRPr="00D106A8">
        <w:rPr>
          <w:rFonts w:cstheme="minorHAnsi"/>
        </w:rPr>
        <w:t xml:space="preserve"> May 2018].</w:t>
      </w:r>
    </w:p>
    <w:p w:rsidR="0041214C" w:rsidRPr="00D106A8" w:rsidRDefault="0041214C" w:rsidP="0041214C">
      <w:pPr>
        <w:spacing w:line="360" w:lineRule="auto"/>
        <w:jc w:val="both"/>
        <w:rPr>
          <w:rFonts w:cstheme="minorHAnsi"/>
        </w:rPr>
      </w:pPr>
      <w:r w:rsidRPr="00D106A8">
        <w:rPr>
          <w:rFonts w:cstheme="minorHAnsi"/>
        </w:rPr>
        <w:t>Tapper, J. (2018) ‘Burned out: why are so many teachers quitting or off sick with stress</w:t>
      </w:r>
      <w:proofErr w:type="gramStart"/>
      <w:r w:rsidRPr="00D106A8">
        <w:rPr>
          <w:rFonts w:cstheme="minorHAnsi"/>
        </w:rPr>
        <w:t>?.</w:t>
      </w:r>
      <w:proofErr w:type="gramEnd"/>
      <w:r w:rsidRPr="00D106A8">
        <w:rPr>
          <w:rFonts w:cstheme="minorHAnsi"/>
        </w:rPr>
        <w:t xml:space="preserve">’ Available at: </w:t>
      </w:r>
      <w:hyperlink r:id="rId8" w:history="1">
        <w:r w:rsidRPr="00D106A8">
          <w:rPr>
            <w:rStyle w:val="Hyperlink"/>
            <w:rFonts w:cstheme="minorHAnsi"/>
          </w:rPr>
          <w:t>https://www.theguardian.com/education/2018/may/13/teacher-burnout-shortages-recruitment-problems-budget-cuts</w:t>
        </w:r>
      </w:hyperlink>
      <w:r w:rsidRPr="00D106A8">
        <w:rPr>
          <w:rFonts w:cstheme="minorHAnsi"/>
        </w:rPr>
        <w:t xml:space="preserve"> [Accessed: 15</w:t>
      </w:r>
      <w:r w:rsidRPr="00D106A8">
        <w:rPr>
          <w:rFonts w:cstheme="minorHAnsi"/>
          <w:vertAlign w:val="superscript"/>
        </w:rPr>
        <w:t>th</w:t>
      </w:r>
      <w:r w:rsidRPr="00D106A8">
        <w:rPr>
          <w:rFonts w:cstheme="minorHAnsi"/>
        </w:rPr>
        <w:t xml:space="preserve"> May 2018].</w:t>
      </w:r>
    </w:p>
    <w:p w:rsidR="0041214C" w:rsidRDefault="0041214C">
      <w:pPr>
        <w:rPr>
          <w:b/>
          <w:u w:val="single"/>
        </w:rPr>
      </w:pPr>
    </w:p>
    <w:p w:rsidR="0041214C" w:rsidRDefault="0041214C">
      <w:pPr>
        <w:rPr>
          <w:b/>
          <w:u w:val="single"/>
        </w:rPr>
      </w:pPr>
    </w:p>
    <w:p w:rsidR="0041214C" w:rsidRDefault="0041214C">
      <w:pPr>
        <w:rPr>
          <w:b/>
          <w:u w:val="single"/>
        </w:rPr>
      </w:pPr>
      <w:r>
        <w:rPr>
          <w:b/>
          <w:u w:val="single"/>
        </w:rPr>
        <w:t>Academic Critique (Reflective Practice)</w:t>
      </w:r>
    </w:p>
    <w:p w:rsidR="0041214C" w:rsidRDefault="0041214C">
      <w:pPr>
        <w:rPr>
          <w:b/>
          <w:u w:val="single"/>
        </w:rPr>
      </w:pPr>
    </w:p>
    <w:p w:rsidR="0041214C" w:rsidRPr="00D705DF" w:rsidRDefault="0041214C" w:rsidP="0041214C">
      <w:pPr>
        <w:spacing w:line="360" w:lineRule="auto"/>
        <w:jc w:val="both"/>
      </w:pPr>
      <w:r w:rsidRPr="00D705DF">
        <w:t>Reflective practice is used across a multitude of disciplines and ranges in both content and output. It is often regarded as an effective technique or activity to examine and evaluate your own experiences in order to positively improve and develop your practice going forward. The reasons for engaging in reflective practice in general are numerous and include; becoming a successful professional in your field (</w:t>
      </w:r>
      <w:proofErr w:type="spellStart"/>
      <w:r w:rsidRPr="00D705DF">
        <w:t>Bassot</w:t>
      </w:r>
      <w:proofErr w:type="spellEnd"/>
      <w:r w:rsidRPr="00D705DF">
        <w:t>, 2015), Personal development (</w:t>
      </w:r>
      <w:proofErr w:type="spellStart"/>
      <w:r w:rsidRPr="00D705DF">
        <w:t>Sicora</w:t>
      </w:r>
      <w:proofErr w:type="spellEnd"/>
      <w:r w:rsidRPr="00D705DF">
        <w:t xml:space="preserve">, 2017) and to improve the quality of your work (Bruce, 2013) to name a few. Reflective Practices are also varied in activity and often use a model to offer a structure for reflection. Some of the popular theorist models are Gibbs reflective Cycle (Gibbs, 1988), Donald </w:t>
      </w:r>
      <w:proofErr w:type="spellStart"/>
      <w:r w:rsidRPr="00D705DF">
        <w:t>Schon’s</w:t>
      </w:r>
      <w:proofErr w:type="spellEnd"/>
      <w:r w:rsidRPr="00D705DF">
        <w:t xml:space="preserve"> Reflection-In-Action (</w:t>
      </w:r>
      <w:proofErr w:type="spellStart"/>
      <w:r w:rsidRPr="00D705DF">
        <w:t>Schon</w:t>
      </w:r>
      <w:proofErr w:type="spellEnd"/>
      <w:r w:rsidRPr="00D705DF">
        <w:t xml:space="preserve">, 1983) and Kolb’s Experiential Learning (Kolb, 1984). Controversially, the most commonly used models for reflection were established thirty years or more ago, calling into question whether these models remain relevant or whether they are an out-dated </w:t>
      </w:r>
      <w:proofErr w:type="gramStart"/>
      <w:r w:rsidRPr="00D705DF">
        <w:t>version which</w:t>
      </w:r>
      <w:proofErr w:type="gramEnd"/>
      <w:r w:rsidRPr="00D705DF">
        <w:t xml:space="preserve"> requires modernising. Reflective practice is discussed within professions such as Health and Social Care (</w:t>
      </w:r>
      <w:proofErr w:type="spellStart"/>
      <w:r w:rsidRPr="00D705DF">
        <w:t>Fook</w:t>
      </w:r>
      <w:proofErr w:type="spellEnd"/>
      <w:r w:rsidRPr="00D705DF">
        <w:t xml:space="preserve"> and Gardner, 2012), Nursing (McKenna </w:t>
      </w:r>
      <w:r w:rsidRPr="00D705DF">
        <w:rPr>
          <w:i/>
        </w:rPr>
        <w:t xml:space="preserve">et al, </w:t>
      </w:r>
      <w:r w:rsidRPr="00D705DF">
        <w:t>2014) and the Sciences (Pitt and Cunningham, 2013). However, reflective practice is widely discussed and used within the teaching profession (</w:t>
      </w:r>
      <w:proofErr w:type="spellStart"/>
      <w:r w:rsidRPr="00D705DF">
        <w:t>Sellars</w:t>
      </w:r>
      <w:proofErr w:type="spellEnd"/>
      <w:r w:rsidRPr="00D705DF">
        <w:t>, 2017) (</w:t>
      </w:r>
      <w:proofErr w:type="spellStart"/>
      <w:r w:rsidRPr="00D705DF">
        <w:t>Ghaye</w:t>
      </w:r>
      <w:proofErr w:type="spellEnd"/>
      <w:r w:rsidRPr="00D705DF">
        <w:t>, 2010) (</w:t>
      </w:r>
      <w:proofErr w:type="spellStart"/>
      <w:r w:rsidRPr="00D705DF">
        <w:t>Roffey-Barensten</w:t>
      </w:r>
      <w:proofErr w:type="spellEnd"/>
      <w:r w:rsidRPr="00D705DF">
        <w:t xml:space="preserve"> and </w:t>
      </w:r>
      <w:proofErr w:type="spellStart"/>
      <w:r w:rsidRPr="00D705DF">
        <w:t>Malthouse</w:t>
      </w:r>
      <w:proofErr w:type="spellEnd"/>
      <w:r w:rsidRPr="00D705DF">
        <w:t>, 2013). This academic critique offers a discussion of current thinking in relation to the use of such reflective practices within teaching and looks to further understanding of these practices.</w:t>
      </w:r>
    </w:p>
    <w:p w:rsidR="0041214C" w:rsidRPr="00D705DF" w:rsidRDefault="0041214C" w:rsidP="0041214C">
      <w:pPr>
        <w:spacing w:line="360" w:lineRule="auto"/>
        <w:jc w:val="both"/>
      </w:pPr>
    </w:p>
    <w:p w:rsidR="0041214C" w:rsidRPr="00D705DF" w:rsidRDefault="0041214C" w:rsidP="0041214C">
      <w:pPr>
        <w:spacing w:line="360" w:lineRule="auto"/>
        <w:jc w:val="both"/>
      </w:pPr>
      <w:r w:rsidRPr="00D705DF">
        <w:t xml:space="preserve">Farrell (2016) discusses reflective practice within teaching as a crucial aid in supporting teachers through the early part of their career. Statistics show that 24% of newly qualified, so-called </w:t>
      </w:r>
      <w:r w:rsidRPr="00D705DF">
        <w:rPr>
          <w:i/>
        </w:rPr>
        <w:t xml:space="preserve">young </w:t>
      </w:r>
      <w:r w:rsidRPr="00D705DF">
        <w:t xml:space="preserve">teachers leave the profession within the first 12 months which is a concerning statistic. However, the study conducted by Farrell concluded that teachers who are involved in reflection groups and participate in reflective practices are more prepared for the challenges that may occur during their career. This research offers a favourable position for reflective practise within the early parts of teaching life and nods to the notion that such practices are effective and a useful tool. John (2002) takes this further by suggesting that reflective practices accelerate professional knowledge within teaching and is deemed as an effective tool in exploring and learning about teaching. This suggests once again that such practices are believed to be imperative for students’ teachers and newly qualified teachers alike. However, neither of these </w:t>
      </w:r>
      <w:proofErr w:type="gramStart"/>
      <w:r w:rsidRPr="00D705DF">
        <w:t>suggest</w:t>
      </w:r>
      <w:proofErr w:type="gramEnd"/>
      <w:r w:rsidRPr="00D705DF">
        <w:t xml:space="preserve"> that reflective practices are as important for teachers who have been in the profession for a significant length of time. Interestingly, Van </w:t>
      </w:r>
      <w:proofErr w:type="spellStart"/>
      <w:r w:rsidRPr="00D705DF">
        <w:t>Wyk</w:t>
      </w:r>
      <w:proofErr w:type="spellEnd"/>
      <w:r w:rsidRPr="00D705DF">
        <w:t xml:space="preserve"> (2013) also argues that reflection is a key component to effective teacher training and suggests that more current and contemporary forms of reflection are now emerging. Blogging as a form of reflection whilst in teaching Practice by writing an e-journal and gaining in-the-moment peer feedback online are suggested ways in which reflection can adapt to the technological environment today whilst maintaining the positive affect that reflection can have on student teachers. Conclusions from this study showed a positive correlation between input of reflective writing via the Blog and enhancement of the students’ abilities to reflect. Although relevant in understanding some of the ways in which reflection in teaching is advancing, given the acceleration of technology and distance learning, this study fails to offer much evidence to support the fundamental advantages of reflective practices within teaching.</w:t>
      </w:r>
    </w:p>
    <w:p w:rsidR="0041214C" w:rsidRPr="00D705DF" w:rsidRDefault="0041214C" w:rsidP="0041214C">
      <w:pPr>
        <w:spacing w:line="360" w:lineRule="auto"/>
        <w:jc w:val="both"/>
      </w:pPr>
      <w:r w:rsidRPr="00D705DF">
        <w:t xml:space="preserve">Moving on from the practice of reflection for new to role and student teaching, Purcell (2013) documents a number of advantages of reflective practice for teachers as follows; effective evaluation of individual lessons and their effectiveness, an increase in effective evaluation and understanding of whole course content, increased efficiency in course preparation and elevated confidence in the teacher role. This offers a confidence in the benefits and outcomes of reflective practice in teaching. However, this study was conducted on Sociology teachers alone and so may be deemed as irrelevant for teaching in general and may highlight a level of ambiguity. </w:t>
      </w:r>
    </w:p>
    <w:p w:rsidR="0041214C" w:rsidRPr="00D705DF" w:rsidRDefault="0041214C" w:rsidP="0041214C">
      <w:pPr>
        <w:spacing w:line="360" w:lineRule="auto"/>
        <w:jc w:val="both"/>
      </w:pPr>
      <w:proofErr w:type="spellStart"/>
      <w:r w:rsidRPr="00D705DF">
        <w:t>Zwozdiak</w:t>
      </w:r>
      <w:proofErr w:type="spellEnd"/>
      <w:r w:rsidRPr="00D705DF">
        <w:t xml:space="preserve">-Myers (2018) concentrates on how teachers need to study their own teaching in order to effectively put their pedagogical knowledge into practise. In doing so, teachers in general will be able to offer students a better quality of teaching, personally develop as a teacher and an individual and grow your learning environment through lesson evaluations. The argument going forward must be then, if a teacher can realistically grow and develop or even continue to maintain the high level of teaching if they are failing to reflect upon their own practices? </w:t>
      </w:r>
      <w:proofErr w:type="spellStart"/>
      <w:r w:rsidRPr="00D705DF">
        <w:t>Calderhead</w:t>
      </w:r>
      <w:proofErr w:type="spellEnd"/>
      <w:r w:rsidRPr="00D705DF">
        <w:t xml:space="preserve"> and Gates (2003) argue that without reflection a teacher is stagnant in their career and must look back in order to look forwards, a concept that we here regularly. The mere idea then that any individual can develop and grow without looking back and absorbing a deep understanding of what happened, why it happened and how it could have been done differently, seems unrealistic to say the least. </w:t>
      </w:r>
      <w:proofErr w:type="spellStart"/>
      <w:r w:rsidRPr="00D705DF">
        <w:t>Takona</w:t>
      </w:r>
      <w:proofErr w:type="spellEnd"/>
      <w:r w:rsidRPr="00D705DF">
        <w:t xml:space="preserve"> and Wilburn (2004) develop this thinking further by explaining that without reflection, teachers will be unable to identify any gaps in their knowledge or areas that may require development. Understanding your strengths as a teacher offers the opportunity to enhance your professionalism and capitalise on it strengthening you as a teacher and an individual. The overriding feeling around reflective practices in teaching is that now more than ever this practice needs to be embraced as a positive element to teaching. The reasons why these reflective practices are so tenaciously relevant currently </w:t>
      </w:r>
      <w:proofErr w:type="gramStart"/>
      <w:r w:rsidRPr="00D705DF">
        <w:t>rears</w:t>
      </w:r>
      <w:proofErr w:type="gramEnd"/>
      <w:r w:rsidRPr="00D705DF">
        <w:t xml:space="preserve"> a more negative answer. It appears that teachers across subjects and levels and disciplines are increasingly weighted down with paperwork and the time that they have to complete their work to the highest standards that they set themselves is in fact decreasing due to rising demands. The need and demand to reflect for teachers insists that they slow down in order to speed up (</w:t>
      </w:r>
      <w:proofErr w:type="spellStart"/>
      <w:r w:rsidRPr="00D705DF">
        <w:t>Godbold</w:t>
      </w:r>
      <w:proofErr w:type="spellEnd"/>
      <w:r w:rsidRPr="00D705DF">
        <w:t xml:space="preserve">, 2015). The recognition that in order to improve on your teaching practise you must slow down to reflect and accept that it is a powerful process is one that in reality deters some teaching professionals. </w:t>
      </w:r>
    </w:p>
    <w:p w:rsidR="0041214C" w:rsidRPr="00D705DF" w:rsidRDefault="0041214C" w:rsidP="0041214C">
      <w:pPr>
        <w:spacing w:line="360" w:lineRule="auto"/>
        <w:jc w:val="both"/>
      </w:pPr>
      <w:r w:rsidRPr="00D705DF">
        <w:t xml:space="preserve">Russell (2013), however, describes reflective practice as a task that has been thrust upon teachers in the 1980’s. Within this study, Russell goes even further to declare that reflective practice is having a negative affect in teaching in a number of ways. Interestingly, it is suggested that reflective practice is too disjointed from action and experience and there is a clear failure in linking such reflective practices to professional learning. This notion, however, is plagued with a lack of evidence of this and remains the opinion of an experienced teacher, once again throwing ambiguity into the forum. However, this link between reflective practice and applying the knowledge gained from reflection is an interesting one. If teachers are practising reflection but failing to make any changes based on these reflections, then the act is pointless and can then be viewed as a tick-box exercise for teachers. Marcos </w:t>
      </w:r>
      <w:r w:rsidRPr="00D705DF">
        <w:rPr>
          <w:i/>
        </w:rPr>
        <w:t xml:space="preserve">et al </w:t>
      </w:r>
      <w:r w:rsidRPr="00D705DF">
        <w:t xml:space="preserve">(2011) disrupts the notion of reflective practice in teaching by highlighting a gap in knowledge in the actual activity itself. Findings from this study allude to the fact that although teachers are encouraged to practice reflection, there is a severe lack of empirical and theoretical support and this insufficiency often leads to reflective practices that are inefficient and ineffective. Based on research conducted by Reed </w:t>
      </w:r>
      <w:r w:rsidRPr="00D705DF">
        <w:rPr>
          <w:i/>
        </w:rPr>
        <w:t xml:space="preserve">et al </w:t>
      </w:r>
      <w:r w:rsidRPr="00D705DF">
        <w:t>(2002), evidence suggests that the predominant instigator for reflective practice is the institution-based support for such practices and the peer support received during this reflection. This then acknowledges that in order for reflective practices in teaching to be effective, a consistent support network within the teaching facility needs to be in place. Another question then rises from this discovery; Are teachers given enough time to reflect? Hughes (2002) argues that time is the biggest barrier to development through reflective practices and although benefit is seen in engaging in such practices, the practicality of doing so are unrealistic given the strict time barriers that teachers face (</w:t>
      </w:r>
      <w:proofErr w:type="spellStart"/>
      <w:r w:rsidRPr="00D705DF">
        <w:t>Munby</w:t>
      </w:r>
      <w:proofErr w:type="spellEnd"/>
      <w:r w:rsidRPr="00D705DF">
        <w:t xml:space="preserve">, 2004). The current crisis of decreasing numbers of new teachers can be partly blamed on the lack of support, funding and time given to teachers to develop within their role through reflection, successful planning </w:t>
      </w:r>
      <w:proofErr w:type="spellStart"/>
      <w:r w:rsidRPr="00D705DF">
        <w:t>etc</w:t>
      </w:r>
      <w:proofErr w:type="spellEnd"/>
      <w:r w:rsidRPr="00D705DF">
        <w:t xml:space="preserve"> (Weston, 2018). By investing in teachers and supporting them through such reflective practices by allocating time, for example, </w:t>
      </w:r>
      <w:proofErr w:type="gramStart"/>
      <w:r w:rsidRPr="00D705DF">
        <w:t>teachers</w:t>
      </w:r>
      <w:proofErr w:type="gramEnd"/>
      <w:r w:rsidRPr="00D705DF">
        <w:t xml:space="preserve"> performance is improved as well as their job satisfaction. McGill (2013) agrees with the statement that teachers should get more support for their development but believes that teachers should be taking responsibility for their own growth. McGill continues to ask whether the profession has put so much emphasis on reflective practices and critique externally that this has instead caused teachers to shut down. However radical this may sound, there is an underlying agreement that the institutions (whether it be schools, Higher Educations </w:t>
      </w:r>
      <w:proofErr w:type="spellStart"/>
      <w:r w:rsidRPr="00D705DF">
        <w:t>etc</w:t>
      </w:r>
      <w:proofErr w:type="spellEnd"/>
      <w:r w:rsidRPr="00D705DF">
        <w:t xml:space="preserve">) should be responsible for offering a well-structured development process that does indeed allow time for effective reflection. The following question then may be whether reflective practices are actually a developmental tool or simply as method of coping with emotional and practical challenges that teachers face? </w:t>
      </w:r>
      <w:proofErr w:type="spellStart"/>
      <w:r w:rsidRPr="00D705DF">
        <w:t>Spohrer</w:t>
      </w:r>
      <w:proofErr w:type="spellEnd"/>
      <w:r w:rsidRPr="00D705DF">
        <w:t xml:space="preserve"> (2008) suggests that effective reflective practices help teachers think critically and deal with situations in a fairer and more manageable way. By reflecting, teachers are developing their ability to think critically and observe a situation from a number of angles. This then helps the teacher to overcome challenges that they may face both emotionally and practically. The fact that reflection is seen as being a tool that effectively provides teachers with a method of analysing and coping with certain challenges does then echo the sentiment that this is indeed professional development. Arguable, a high percentage of a teacher’s activities are based on emotional and social </w:t>
      </w:r>
      <w:proofErr w:type="gramStart"/>
      <w:r w:rsidRPr="00D705DF">
        <w:t>well-being</w:t>
      </w:r>
      <w:proofErr w:type="gramEnd"/>
      <w:r w:rsidRPr="00D705DF">
        <w:t xml:space="preserve"> of the students and so the ability to deal with challenges and situations effectively and fairly is an important progression. In addition, then, by process of reflection, teachers can take a critical view of their own competence and abilities to positively adapt where needed. Thus, encouraging professional development.</w:t>
      </w:r>
    </w:p>
    <w:p w:rsidR="0041214C" w:rsidRPr="00D705DF" w:rsidRDefault="0041214C" w:rsidP="0041214C">
      <w:pPr>
        <w:spacing w:line="360" w:lineRule="auto"/>
        <w:jc w:val="both"/>
      </w:pPr>
    </w:p>
    <w:p w:rsidR="0041214C" w:rsidRPr="00D705DF" w:rsidRDefault="0041214C" w:rsidP="0041214C">
      <w:pPr>
        <w:spacing w:line="360" w:lineRule="auto"/>
        <w:jc w:val="both"/>
      </w:pPr>
      <w:r w:rsidRPr="00D705DF">
        <w:t xml:space="preserve">It's evident that reflective practice in teaching is a </w:t>
      </w:r>
      <w:proofErr w:type="gramStart"/>
      <w:r w:rsidRPr="00D705DF">
        <w:t>topic which</w:t>
      </w:r>
      <w:proofErr w:type="gramEnd"/>
      <w:r w:rsidRPr="00D705DF">
        <w:t xml:space="preserve"> is discussed avidly at present. Many theorists from the 1980’s are still used today to provide a distinct method and structure to reflection in the hope that this practice will provide developmental progress for teaching both practically and emotionally. Although many academics agree with the premise that reflective practice in teaching is effective and a necessary practice, there are some discrepancies. These discrepancies appear to form around the challenges that this reflection causes and predominantly sees time as a barrier to success. Although an important challenge, and one which is recognised by many, this is not necessarily a criticism of reflective practice itself. Research within this academic critique shows agreement by all that if provided with the correct support and framework, reflective practice within teaching is vastly important and essential in building and growing teachers. The actual models used themselves do, however, flag up further research questions and throw into question whether a revised more contemporary structure to reflection is necessary. Even so, reflection is often deemed as a personal journey that needs to remain individualised to be effective. One conclusion remains solid, however. The demand for reflective practice within teaching is showing no signs of slowing and theorists and professionals alike are currently praising this practice moving forward. Which ends with the final thought- it is necessary to look back before moving forward and that perhaps the current thinking going forward may be around </w:t>
      </w:r>
      <w:r w:rsidRPr="00D705DF">
        <w:rPr>
          <w:i/>
        </w:rPr>
        <w:t>how</w:t>
      </w:r>
      <w:r w:rsidRPr="00D705DF">
        <w:t xml:space="preserve"> we look back. </w:t>
      </w:r>
    </w:p>
    <w:p w:rsidR="0041214C" w:rsidRPr="00D705DF" w:rsidRDefault="0041214C" w:rsidP="0041214C">
      <w:pPr>
        <w:spacing w:line="360" w:lineRule="auto"/>
        <w:jc w:val="both"/>
      </w:pPr>
    </w:p>
    <w:p w:rsidR="0041214C" w:rsidRPr="00D705DF" w:rsidRDefault="0041214C" w:rsidP="0041214C">
      <w:pPr>
        <w:spacing w:line="360" w:lineRule="auto"/>
        <w:jc w:val="both"/>
        <w:rPr>
          <w:b/>
          <w:u w:val="single"/>
        </w:rPr>
      </w:pPr>
      <w:r w:rsidRPr="00D705DF">
        <w:rPr>
          <w:b/>
          <w:u w:val="single"/>
        </w:rPr>
        <w:t>Reference List</w:t>
      </w:r>
    </w:p>
    <w:p w:rsidR="0041214C" w:rsidRPr="00D705DF" w:rsidRDefault="0041214C" w:rsidP="0041214C">
      <w:pPr>
        <w:spacing w:line="360" w:lineRule="auto"/>
        <w:jc w:val="both"/>
        <w:rPr>
          <w:b/>
          <w:u w:val="single"/>
        </w:rPr>
      </w:pPr>
    </w:p>
    <w:p w:rsidR="0041214C" w:rsidRPr="00D705DF" w:rsidRDefault="0041214C" w:rsidP="0041214C">
      <w:pPr>
        <w:spacing w:line="360" w:lineRule="auto"/>
        <w:jc w:val="both"/>
      </w:pPr>
      <w:proofErr w:type="spellStart"/>
      <w:r w:rsidRPr="00D705DF">
        <w:t>Bassott</w:t>
      </w:r>
      <w:proofErr w:type="spellEnd"/>
      <w:r w:rsidRPr="00D705DF">
        <w:t xml:space="preserve">, B. (2015) </w:t>
      </w:r>
      <w:r w:rsidRPr="00D705DF">
        <w:rPr>
          <w:i/>
        </w:rPr>
        <w:t xml:space="preserve">The Reflective Practice Guide: An interdisciplinary approach to critical reflection. </w:t>
      </w:r>
      <w:r w:rsidRPr="00D705DF">
        <w:t xml:space="preserve">Abingdon: Routledge. </w:t>
      </w:r>
    </w:p>
    <w:p w:rsidR="0041214C" w:rsidRPr="00D705DF" w:rsidRDefault="0041214C" w:rsidP="0041214C">
      <w:pPr>
        <w:spacing w:line="360" w:lineRule="auto"/>
        <w:jc w:val="both"/>
      </w:pPr>
      <w:r w:rsidRPr="00D705DF">
        <w:t xml:space="preserve">Bruce, L. (2013) </w:t>
      </w:r>
      <w:r w:rsidRPr="00D705DF">
        <w:rPr>
          <w:i/>
        </w:rPr>
        <w:t xml:space="preserve">Reflective Practice for Social Workers: A Handbook for Developing Professional Confidence. </w:t>
      </w:r>
      <w:r w:rsidRPr="00D705DF">
        <w:t>Berkshire: McGraw Hill Education.</w:t>
      </w:r>
    </w:p>
    <w:p w:rsidR="0041214C" w:rsidRPr="00D705DF" w:rsidRDefault="0041214C" w:rsidP="0041214C">
      <w:pPr>
        <w:spacing w:line="360" w:lineRule="auto"/>
        <w:jc w:val="both"/>
      </w:pPr>
      <w:proofErr w:type="spellStart"/>
      <w:r w:rsidRPr="00D705DF">
        <w:t>Calderhead</w:t>
      </w:r>
      <w:proofErr w:type="spellEnd"/>
      <w:r w:rsidRPr="00D705DF">
        <w:t xml:space="preserve">, J. and Gates, P. (2003) </w:t>
      </w:r>
      <w:r w:rsidRPr="00D705DF">
        <w:rPr>
          <w:i/>
        </w:rPr>
        <w:t xml:space="preserve">Conceptualising Reflection In Teacher Development. </w:t>
      </w:r>
      <w:r w:rsidRPr="00D705DF">
        <w:t>Abingdon: Routledge.</w:t>
      </w:r>
    </w:p>
    <w:p w:rsidR="0041214C" w:rsidRPr="00D705DF" w:rsidRDefault="0041214C" w:rsidP="0041214C">
      <w:pPr>
        <w:spacing w:line="360" w:lineRule="auto"/>
        <w:jc w:val="both"/>
      </w:pPr>
      <w:r w:rsidRPr="00D705DF">
        <w:t xml:space="preserve">Farrell, T. (2016) ‘Surviving the transition shock in the first year of teaching through reflective practice.’ </w:t>
      </w:r>
      <w:r w:rsidRPr="00D705DF">
        <w:rPr>
          <w:i/>
        </w:rPr>
        <w:t xml:space="preserve">Science Direct. </w:t>
      </w:r>
      <w:r w:rsidRPr="00D705DF">
        <w:t>61, pp. 12-19.</w:t>
      </w:r>
    </w:p>
    <w:p w:rsidR="0041214C" w:rsidRPr="00D705DF" w:rsidRDefault="0041214C" w:rsidP="0041214C">
      <w:pPr>
        <w:spacing w:line="360" w:lineRule="auto"/>
        <w:jc w:val="both"/>
      </w:pPr>
      <w:proofErr w:type="spellStart"/>
      <w:r w:rsidRPr="00D705DF">
        <w:t>Fook</w:t>
      </w:r>
      <w:proofErr w:type="spellEnd"/>
      <w:r w:rsidRPr="00D705DF">
        <w:t xml:space="preserve">, J. and Gardner, F. (2012) </w:t>
      </w:r>
      <w:r w:rsidRPr="00D705DF">
        <w:rPr>
          <w:i/>
        </w:rPr>
        <w:t xml:space="preserve">Critical Reflection in Context: Applications in Health and Social Care. </w:t>
      </w:r>
      <w:r w:rsidRPr="00D705DF">
        <w:t>Abingdon: Routledge.</w:t>
      </w:r>
    </w:p>
    <w:p w:rsidR="0041214C" w:rsidRPr="00D705DF" w:rsidRDefault="0041214C" w:rsidP="0041214C">
      <w:pPr>
        <w:spacing w:line="360" w:lineRule="auto"/>
        <w:jc w:val="both"/>
      </w:pPr>
      <w:proofErr w:type="spellStart"/>
      <w:r w:rsidRPr="00D705DF">
        <w:t>Ghaye</w:t>
      </w:r>
      <w:proofErr w:type="spellEnd"/>
      <w:r w:rsidRPr="00D705DF">
        <w:t xml:space="preserve">, T. (2010) </w:t>
      </w:r>
      <w:r w:rsidRPr="00D705DF">
        <w:rPr>
          <w:i/>
        </w:rPr>
        <w:t xml:space="preserve">Teaching and Learning Through Reflective Practice: A Practical Guide for Positive Action. </w:t>
      </w:r>
      <w:r w:rsidRPr="00D705DF">
        <w:t xml:space="preserve">Abingdon: Routledge. </w:t>
      </w:r>
    </w:p>
    <w:p w:rsidR="0041214C" w:rsidRPr="00D705DF" w:rsidRDefault="0041214C" w:rsidP="0041214C">
      <w:pPr>
        <w:spacing w:line="360" w:lineRule="auto"/>
        <w:jc w:val="both"/>
      </w:pPr>
      <w:r w:rsidRPr="00D705DF">
        <w:t xml:space="preserve">Gibbs, G. (1988) </w:t>
      </w:r>
      <w:r w:rsidRPr="00D705DF">
        <w:rPr>
          <w:i/>
        </w:rPr>
        <w:t>Learning by Doing: A Guide to Teaching and Learning Methods.</w:t>
      </w:r>
      <w:r w:rsidRPr="00D705DF">
        <w:t xml:space="preserve"> Oxford:</w:t>
      </w:r>
    </w:p>
    <w:p w:rsidR="0041214C" w:rsidRPr="00D705DF" w:rsidRDefault="0041214C" w:rsidP="0041214C">
      <w:pPr>
        <w:spacing w:line="360" w:lineRule="auto"/>
        <w:jc w:val="both"/>
      </w:pPr>
      <w:proofErr w:type="spellStart"/>
      <w:r w:rsidRPr="00D705DF">
        <w:t>Godbold</w:t>
      </w:r>
      <w:proofErr w:type="spellEnd"/>
      <w:r w:rsidRPr="00D705DF">
        <w:t xml:space="preserve">, W. (2015) ‘Using Teacher Reflection To Improve Professional Practice.’ Available at: </w:t>
      </w:r>
      <w:hyperlink r:id="rId9" w:history="1">
        <w:r w:rsidRPr="00D705DF">
          <w:rPr>
            <w:rStyle w:val="Hyperlink"/>
          </w:rPr>
          <w:t>http://www.seenmagazine.us/Articles/Article-Detail/articleid/4696/using-teacher-reflection-to-improve-professional-practice</w:t>
        </w:r>
      </w:hyperlink>
      <w:r w:rsidRPr="00D705DF">
        <w:t xml:space="preserve"> [Accessed: 16</w:t>
      </w:r>
      <w:r w:rsidRPr="00D705DF">
        <w:rPr>
          <w:vertAlign w:val="superscript"/>
        </w:rPr>
        <w:t>th</w:t>
      </w:r>
      <w:r w:rsidRPr="00D705DF">
        <w:t xml:space="preserve"> May 2018].</w:t>
      </w:r>
    </w:p>
    <w:p w:rsidR="0041214C" w:rsidRPr="00D705DF" w:rsidRDefault="0041214C" w:rsidP="0041214C">
      <w:pPr>
        <w:spacing w:line="360" w:lineRule="auto"/>
        <w:jc w:val="both"/>
      </w:pPr>
      <w:r w:rsidRPr="00D705DF">
        <w:t xml:space="preserve">Hughes, M. (2002) </w:t>
      </w:r>
      <w:r w:rsidRPr="00D705DF">
        <w:rPr>
          <w:i/>
        </w:rPr>
        <w:t xml:space="preserve">Tweak to Transform: Improving Teaching: a Practical Handbook for School Leaders. </w:t>
      </w:r>
      <w:r w:rsidRPr="00D705DF">
        <w:t xml:space="preserve">Stafford: A&amp;C Black. </w:t>
      </w:r>
    </w:p>
    <w:p w:rsidR="0041214C" w:rsidRPr="00D705DF" w:rsidRDefault="0041214C" w:rsidP="0041214C">
      <w:pPr>
        <w:spacing w:line="360" w:lineRule="auto"/>
        <w:jc w:val="both"/>
      </w:pPr>
      <w:r w:rsidRPr="00D705DF">
        <w:t xml:space="preserve">John, L. (2002) ‘Effective Reflective Practice: In Search of Meaning in Learning about Teaching.’ </w:t>
      </w:r>
      <w:proofErr w:type="gramStart"/>
      <w:r w:rsidRPr="00D705DF">
        <w:rPr>
          <w:i/>
        </w:rPr>
        <w:t>Journal of Teacher Education.</w:t>
      </w:r>
      <w:proofErr w:type="gramEnd"/>
      <w:r w:rsidRPr="00D705DF">
        <w:rPr>
          <w:i/>
        </w:rPr>
        <w:t xml:space="preserve"> </w:t>
      </w:r>
      <w:r w:rsidRPr="00D705DF">
        <w:t>53, 1, pp. 33-43.</w:t>
      </w:r>
    </w:p>
    <w:p w:rsidR="0041214C" w:rsidRPr="00D705DF" w:rsidRDefault="0041214C" w:rsidP="0041214C">
      <w:pPr>
        <w:spacing w:line="360" w:lineRule="auto"/>
        <w:jc w:val="both"/>
      </w:pPr>
      <w:proofErr w:type="gramStart"/>
      <w:r w:rsidRPr="00D705DF">
        <w:t>Kolb, D. A. (1984).</w:t>
      </w:r>
      <w:proofErr w:type="gramEnd"/>
      <w:r w:rsidRPr="00D705DF">
        <w:t xml:space="preserve"> </w:t>
      </w:r>
      <w:r w:rsidRPr="00D705DF">
        <w:rPr>
          <w:i/>
        </w:rPr>
        <w:t>Experiential learning: Experience as the source of learning and development</w:t>
      </w:r>
      <w:r w:rsidRPr="00D705DF">
        <w:t>. Englewood Cliffs, NJ: Prentice-Hall.</w:t>
      </w:r>
    </w:p>
    <w:p w:rsidR="0041214C" w:rsidRPr="00D705DF" w:rsidRDefault="0041214C" w:rsidP="0041214C">
      <w:pPr>
        <w:spacing w:line="360" w:lineRule="auto"/>
        <w:jc w:val="both"/>
      </w:pPr>
      <w:r w:rsidRPr="00D705DF">
        <w:t xml:space="preserve">Marcos, J., Sanchez, E. and </w:t>
      </w:r>
      <w:proofErr w:type="spellStart"/>
      <w:r w:rsidRPr="00D705DF">
        <w:t>Tillema</w:t>
      </w:r>
      <w:proofErr w:type="spellEnd"/>
      <w:r w:rsidRPr="00D705DF">
        <w:t>, H. (2011) ‘</w:t>
      </w:r>
      <w:proofErr w:type="gramStart"/>
      <w:r w:rsidRPr="00D705DF">
        <w:t>Promoting</w:t>
      </w:r>
      <w:proofErr w:type="gramEnd"/>
      <w:r w:rsidRPr="00D705DF">
        <w:t xml:space="preserve"> teacher reflection: what is said to be done.’ </w:t>
      </w:r>
      <w:proofErr w:type="gramStart"/>
      <w:r w:rsidRPr="00D705DF">
        <w:rPr>
          <w:i/>
        </w:rPr>
        <w:t>Journal of Education for Teaching.</w:t>
      </w:r>
      <w:proofErr w:type="gramEnd"/>
      <w:r w:rsidRPr="00D705DF">
        <w:rPr>
          <w:i/>
        </w:rPr>
        <w:t xml:space="preserve"> </w:t>
      </w:r>
      <w:r w:rsidRPr="00D705DF">
        <w:t>1, pp. 21-36.</w:t>
      </w:r>
    </w:p>
    <w:p w:rsidR="0041214C" w:rsidRPr="00D705DF" w:rsidRDefault="0041214C" w:rsidP="0041214C">
      <w:pPr>
        <w:spacing w:line="360" w:lineRule="auto"/>
        <w:jc w:val="both"/>
      </w:pPr>
      <w:r w:rsidRPr="00D705DF">
        <w:t>McGill, R. (2013) ‘Professional development for teachers: how can we take it to the next level</w:t>
      </w:r>
      <w:proofErr w:type="gramStart"/>
      <w:r w:rsidRPr="00D705DF">
        <w:t>?.</w:t>
      </w:r>
      <w:proofErr w:type="gramEnd"/>
      <w:r w:rsidRPr="00D705DF">
        <w:t xml:space="preserve">’ Available at: </w:t>
      </w:r>
      <w:hyperlink r:id="rId10" w:history="1">
        <w:r w:rsidRPr="00D705DF">
          <w:rPr>
            <w:rStyle w:val="Hyperlink"/>
          </w:rPr>
          <w:t>https://www.theguardian.com/teacher-network/teacher-blog/2013/jan/29/professional-development-teacher-training-needs</w:t>
        </w:r>
      </w:hyperlink>
      <w:r w:rsidRPr="00D705DF">
        <w:t xml:space="preserve"> [Accessed: 17</w:t>
      </w:r>
      <w:r w:rsidRPr="00D705DF">
        <w:rPr>
          <w:vertAlign w:val="superscript"/>
        </w:rPr>
        <w:t>th</w:t>
      </w:r>
      <w:r w:rsidRPr="00D705DF">
        <w:t xml:space="preserve"> May 2018].</w:t>
      </w:r>
    </w:p>
    <w:p w:rsidR="0041214C" w:rsidRPr="00D705DF" w:rsidRDefault="0041214C" w:rsidP="0041214C">
      <w:pPr>
        <w:spacing w:line="360" w:lineRule="auto"/>
        <w:jc w:val="both"/>
      </w:pPr>
      <w:proofErr w:type="gramStart"/>
      <w:r w:rsidRPr="00D705DF">
        <w:t xml:space="preserve">McKenna, H., </w:t>
      </w:r>
      <w:proofErr w:type="spellStart"/>
      <w:r w:rsidRPr="00D705DF">
        <w:t>Pajnkihar</w:t>
      </w:r>
      <w:proofErr w:type="spellEnd"/>
      <w:r w:rsidRPr="00D705DF">
        <w:t xml:space="preserve">, M. and Murphy, F. (2014) </w:t>
      </w:r>
      <w:r w:rsidRPr="00D705DF">
        <w:rPr>
          <w:i/>
        </w:rPr>
        <w:t>Fundamentals of Nursing Models, Theories and Practice, with Wiley E-Text.</w:t>
      </w:r>
      <w:proofErr w:type="gramEnd"/>
      <w:r w:rsidRPr="00D705DF">
        <w:rPr>
          <w:i/>
        </w:rPr>
        <w:t xml:space="preserve"> </w:t>
      </w:r>
      <w:r w:rsidRPr="00D705DF">
        <w:t xml:space="preserve">Chichester: John Wiley and Sons. </w:t>
      </w:r>
    </w:p>
    <w:p w:rsidR="0041214C" w:rsidRPr="00D705DF" w:rsidRDefault="0041214C" w:rsidP="0041214C">
      <w:pPr>
        <w:spacing w:line="360" w:lineRule="auto"/>
        <w:jc w:val="both"/>
      </w:pPr>
      <w:proofErr w:type="spellStart"/>
      <w:r w:rsidRPr="00D705DF">
        <w:t>Munby</w:t>
      </w:r>
      <w:proofErr w:type="spellEnd"/>
      <w:r w:rsidRPr="00D705DF">
        <w:t xml:space="preserve">, H. (2004) </w:t>
      </w:r>
      <w:r w:rsidRPr="00D705DF">
        <w:rPr>
          <w:i/>
        </w:rPr>
        <w:t xml:space="preserve">Teachers And Teaching: From Classroom To Reflection. </w:t>
      </w:r>
      <w:r w:rsidRPr="00D705DF">
        <w:t xml:space="preserve">Abingdon: Routledge. </w:t>
      </w:r>
    </w:p>
    <w:p w:rsidR="0041214C" w:rsidRPr="00D705DF" w:rsidRDefault="0041214C" w:rsidP="0041214C">
      <w:pPr>
        <w:spacing w:line="360" w:lineRule="auto"/>
        <w:jc w:val="both"/>
      </w:pPr>
      <w:proofErr w:type="gramStart"/>
      <w:r w:rsidRPr="00D705DF">
        <w:t>Oxford Further Education Unit.</w:t>
      </w:r>
      <w:proofErr w:type="gramEnd"/>
    </w:p>
    <w:p w:rsidR="0041214C" w:rsidRPr="00D705DF" w:rsidRDefault="0041214C" w:rsidP="0041214C">
      <w:pPr>
        <w:spacing w:line="360" w:lineRule="auto"/>
        <w:jc w:val="both"/>
      </w:pPr>
      <w:r w:rsidRPr="00D705DF">
        <w:t xml:space="preserve">Pitt, S. and Cunningham, J. (2013) </w:t>
      </w:r>
      <w:r w:rsidRPr="00D705DF">
        <w:rPr>
          <w:i/>
        </w:rPr>
        <w:t xml:space="preserve">An Introduction to Biomedical Science in Professional and Clinical Practice. </w:t>
      </w:r>
      <w:r w:rsidRPr="00D705DF">
        <w:t xml:space="preserve">Chichester: John Wiley and Sons. </w:t>
      </w:r>
    </w:p>
    <w:p w:rsidR="0041214C" w:rsidRPr="00D705DF" w:rsidRDefault="0041214C" w:rsidP="0041214C">
      <w:pPr>
        <w:spacing w:line="360" w:lineRule="auto"/>
        <w:jc w:val="both"/>
      </w:pPr>
      <w:r w:rsidRPr="00D705DF">
        <w:t xml:space="preserve">Purcell, D. (2013) ‘Sociology, Teaching, and Reflective Practice.’ </w:t>
      </w:r>
      <w:r w:rsidRPr="00D705DF">
        <w:rPr>
          <w:i/>
        </w:rPr>
        <w:t xml:space="preserve">Teaching Sociology. </w:t>
      </w:r>
      <w:r w:rsidRPr="00D705DF">
        <w:t>41, 1, pp. 5-19.</w:t>
      </w:r>
    </w:p>
    <w:p w:rsidR="0041214C" w:rsidRPr="00D705DF" w:rsidRDefault="0041214C" w:rsidP="0041214C">
      <w:pPr>
        <w:spacing w:line="360" w:lineRule="auto"/>
        <w:jc w:val="both"/>
      </w:pPr>
      <w:r w:rsidRPr="00D705DF">
        <w:t xml:space="preserve">Reed, Y., </w:t>
      </w:r>
      <w:proofErr w:type="spellStart"/>
      <w:r w:rsidRPr="00D705DF">
        <w:t>davis</w:t>
      </w:r>
      <w:proofErr w:type="spellEnd"/>
      <w:r w:rsidRPr="00D705DF">
        <w:t xml:space="preserve">, H. and </w:t>
      </w:r>
      <w:proofErr w:type="spellStart"/>
      <w:r w:rsidRPr="00D705DF">
        <w:t>Nyabanyaba</w:t>
      </w:r>
      <w:proofErr w:type="spellEnd"/>
      <w:r w:rsidRPr="00D705DF">
        <w:t xml:space="preserve">, T. (2002) ‘Investigating teachers' ‘take-up’ of reflective practice from an In-service professional development teacher education programme in South Africa.’ </w:t>
      </w:r>
      <w:proofErr w:type="gramStart"/>
      <w:r w:rsidRPr="00D705DF">
        <w:rPr>
          <w:i/>
        </w:rPr>
        <w:t>Educational Action Research.</w:t>
      </w:r>
      <w:proofErr w:type="gramEnd"/>
      <w:r w:rsidRPr="00D705DF">
        <w:rPr>
          <w:i/>
        </w:rPr>
        <w:t xml:space="preserve"> </w:t>
      </w:r>
      <w:r w:rsidRPr="00D705DF">
        <w:t>10, 2, pp. 253-274.</w:t>
      </w:r>
    </w:p>
    <w:p w:rsidR="0041214C" w:rsidRPr="00D705DF" w:rsidRDefault="0041214C" w:rsidP="0041214C">
      <w:pPr>
        <w:spacing w:line="360" w:lineRule="auto"/>
        <w:jc w:val="both"/>
      </w:pPr>
      <w:proofErr w:type="spellStart"/>
      <w:proofErr w:type="gramStart"/>
      <w:r w:rsidRPr="00D705DF">
        <w:t>Roffey-Barentsen</w:t>
      </w:r>
      <w:proofErr w:type="spellEnd"/>
      <w:r w:rsidRPr="00D705DF">
        <w:t xml:space="preserve">, J. and </w:t>
      </w:r>
      <w:proofErr w:type="spellStart"/>
      <w:r w:rsidRPr="00D705DF">
        <w:t>Malthouse</w:t>
      </w:r>
      <w:proofErr w:type="spellEnd"/>
      <w:r w:rsidRPr="00D705DF">
        <w:t xml:space="preserve">, R. (2013) </w:t>
      </w:r>
      <w:r w:rsidRPr="00D705DF">
        <w:rPr>
          <w:i/>
        </w:rPr>
        <w:t>Reflective Practice in Education and Training.</w:t>
      </w:r>
      <w:proofErr w:type="gramEnd"/>
      <w:r w:rsidRPr="00D705DF">
        <w:rPr>
          <w:i/>
        </w:rPr>
        <w:t xml:space="preserve"> </w:t>
      </w:r>
      <w:r w:rsidRPr="00D705DF">
        <w:t xml:space="preserve">London: SAGE Publications. </w:t>
      </w:r>
    </w:p>
    <w:p w:rsidR="0041214C" w:rsidRPr="00D705DF" w:rsidRDefault="0041214C" w:rsidP="0041214C">
      <w:pPr>
        <w:spacing w:line="360" w:lineRule="auto"/>
        <w:jc w:val="both"/>
      </w:pPr>
      <w:r w:rsidRPr="00D705DF">
        <w:t>Russell, T. (2013) ‘Has Reflective Practice Done More Harm than Good in Teacher Education</w:t>
      </w:r>
      <w:proofErr w:type="gramStart"/>
      <w:r w:rsidRPr="00D705DF">
        <w:t>?.</w:t>
      </w:r>
      <w:proofErr w:type="gramEnd"/>
      <w:r w:rsidRPr="00D705DF">
        <w:t xml:space="preserve">’ </w:t>
      </w:r>
      <w:proofErr w:type="spellStart"/>
      <w:r w:rsidRPr="00D705DF">
        <w:rPr>
          <w:i/>
        </w:rPr>
        <w:t>Phronesis</w:t>
      </w:r>
      <w:proofErr w:type="spellEnd"/>
      <w:r w:rsidRPr="00D705DF">
        <w:rPr>
          <w:i/>
        </w:rPr>
        <w:t xml:space="preserve">. </w:t>
      </w:r>
      <w:r w:rsidRPr="00D705DF">
        <w:t>2, 1, pp. 80-88.</w:t>
      </w:r>
    </w:p>
    <w:p w:rsidR="0041214C" w:rsidRPr="00D705DF" w:rsidRDefault="0041214C" w:rsidP="0041214C">
      <w:pPr>
        <w:spacing w:line="360" w:lineRule="auto"/>
        <w:jc w:val="both"/>
      </w:pPr>
      <w:proofErr w:type="spellStart"/>
      <w:r w:rsidRPr="00D705DF">
        <w:t>Schon</w:t>
      </w:r>
      <w:proofErr w:type="spellEnd"/>
      <w:r w:rsidRPr="00D705DF">
        <w:t xml:space="preserve">, D. (1983) </w:t>
      </w:r>
      <w:r w:rsidRPr="00D705DF">
        <w:rPr>
          <w:i/>
        </w:rPr>
        <w:t xml:space="preserve">The Reflective Practitioner: How Professionals Think in Action. </w:t>
      </w:r>
      <w:r w:rsidRPr="00D705DF">
        <w:t xml:space="preserve">London: Temple Smith. </w:t>
      </w:r>
    </w:p>
    <w:p w:rsidR="0041214C" w:rsidRPr="00D705DF" w:rsidRDefault="0041214C" w:rsidP="0041214C">
      <w:pPr>
        <w:spacing w:line="360" w:lineRule="auto"/>
        <w:jc w:val="both"/>
      </w:pPr>
      <w:proofErr w:type="spellStart"/>
      <w:proofErr w:type="gramStart"/>
      <w:r w:rsidRPr="00D705DF">
        <w:t>Sellars</w:t>
      </w:r>
      <w:proofErr w:type="spellEnd"/>
      <w:r w:rsidRPr="00D705DF">
        <w:t xml:space="preserve">, M. (2017) </w:t>
      </w:r>
      <w:r w:rsidRPr="00D705DF">
        <w:rPr>
          <w:i/>
        </w:rPr>
        <w:t>Reflective Practice for Teachers.</w:t>
      </w:r>
      <w:proofErr w:type="gramEnd"/>
      <w:r w:rsidRPr="00D705DF">
        <w:rPr>
          <w:i/>
        </w:rPr>
        <w:t xml:space="preserve"> </w:t>
      </w:r>
      <w:r w:rsidRPr="00D705DF">
        <w:t xml:space="preserve">London: SAGE Publications. </w:t>
      </w:r>
    </w:p>
    <w:p w:rsidR="0041214C" w:rsidRPr="00D705DF" w:rsidRDefault="0041214C" w:rsidP="0041214C">
      <w:pPr>
        <w:spacing w:line="360" w:lineRule="auto"/>
        <w:jc w:val="both"/>
      </w:pPr>
      <w:proofErr w:type="spellStart"/>
      <w:proofErr w:type="gramStart"/>
      <w:r w:rsidRPr="00D705DF">
        <w:t>Sicora</w:t>
      </w:r>
      <w:proofErr w:type="spellEnd"/>
      <w:r w:rsidRPr="00D705DF">
        <w:t xml:space="preserve">, A. (2017) </w:t>
      </w:r>
      <w:r w:rsidRPr="00D705DF">
        <w:rPr>
          <w:i/>
        </w:rPr>
        <w:t>Reflective Practice.</w:t>
      </w:r>
      <w:proofErr w:type="gramEnd"/>
      <w:r w:rsidRPr="00D705DF">
        <w:rPr>
          <w:i/>
        </w:rPr>
        <w:t xml:space="preserve"> </w:t>
      </w:r>
      <w:r w:rsidRPr="00D705DF">
        <w:t>Bristol: Policy Press.</w:t>
      </w:r>
    </w:p>
    <w:p w:rsidR="0041214C" w:rsidRPr="00D705DF" w:rsidRDefault="0041214C" w:rsidP="0041214C">
      <w:pPr>
        <w:spacing w:line="360" w:lineRule="auto"/>
        <w:jc w:val="both"/>
      </w:pPr>
      <w:proofErr w:type="spellStart"/>
      <w:proofErr w:type="gramStart"/>
      <w:r w:rsidRPr="00D705DF">
        <w:t>Spohrer</w:t>
      </w:r>
      <w:proofErr w:type="spellEnd"/>
      <w:r w:rsidRPr="00D705DF">
        <w:t xml:space="preserve">, K. (2008) </w:t>
      </w:r>
      <w:r w:rsidRPr="00D705DF">
        <w:rPr>
          <w:i/>
        </w:rPr>
        <w:t>The Teaching Assistant's Guide to Emotional and Behavioural Difficulties.</w:t>
      </w:r>
      <w:proofErr w:type="gramEnd"/>
      <w:r w:rsidRPr="00D705DF">
        <w:rPr>
          <w:i/>
        </w:rPr>
        <w:t xml:space="preserve"> </w:t>
      </w:r>
      <w:r w:rsidRPr="00D705DF">
        <w:t>London: A&amp;C Black.</w:t>
      </w:r>
    </w:p>
    <w:p w:rsidR="0041214C" w:rsidRPr="00D705DF" w:rsidRDefault="0041214C" w:rsidP="0041214C">
      <w:pPr>
        <w:spacing w:line="360" w:lineRule="auto"/>
        <w:jc w:val="both"/>
      </w:pPr>
      <w:proofErr w:type="spellStart"/>
      <w:proofErr w:type="gramStart"/>
      <w:r w:rsidRPr="00D705DF">
        <w:t>Takona</w:t>
      </w:r>
      <w:proofErr w:type="spellEnd"/>
      <w:r w:rsidRPr="00D705DF">
        <w:t xml:space="preserve">, J. and Wilburn, R. (2004) </w:t>
      </w:r>
      <w:r w:rsidRPr="00D705DF">
        <w:rPr>
          <w:i/>
        </w:rPr>
        <w:t>Primer to Developing a Successful Pre-service Teacher Portfolio.</w:t>
      </w:r>
      <w:proofErr w:type="gramEnd"/>
      <w:r w:rsidRPr="00D705DF">
        <w:rPr>
          <w:i/>
        </w:rPr>
        <w:t xml:space="preserve"> </w:t>
      </w:r>
      <w:r w:rsidRPr="00D705DF">
        <w:t xml:space="preserve">Maryland: University Press of America. </w:t>
      </w:r>
    </w:p>
    <w:p w:rsidR="0041214C" w:rsidRPr="00D705DF" w:rsidRDefault="0041214C" w:rsidP="0041214C">
      <w:pPr>
        <w:spacing w:line="360" w:lineRule="auto"/>
        <w:jc w:val="both"/>
      </w:pPr>
      <w:r w:rsidRPr="00D705DF">
        <w:t xml:space="preserve">Van </w:t>
      </w:r>
      <w:proofErr w:type="spellStart"/>
      <w:r w:rsidRPr="00D705DF">
        <w:t>Wyk</w:t>
      </w:r>
      <w:proofErr w:type="spellEnd"/>
      <w:r w:rsidRPr="00D705DF">
        <w:t>, M. (2013) ‘Using blogs as a means of enhancing reflective Teaching Practice in open distance learning ecologies.</w:t>
      </w:r>
      <w:r w:rsidRPr="00D705DF">
        <w:rPr>
          <w:i/>
        </w:rPr>
        <w:t xml:space="preserve">’ </w:t>
      </w:r>
      <w:proofErr w:type="gramStart"/>
      <w:r w:rsidRPr="00D705DF">
        <w:rPr>
          <w:i/>
        </w:rPr>
        <w:t>Africa Education Review.</w:t>
      </w:r>
      <w:proofErr w:type="gramEnd"/>
      <w:r w:rsidRPr="00D705DF">
        <w:rPr>
          <w:i/>
        </w:rPr>
        <w:t xml:space="preserve"> </w:t>
      </w:r>
      <w:r w:rsidRPr="00D705DF">
        <w:t>10, pp. 47.</w:t>
      </w:r>
    </w:p>
    <w:p w:rsidR="0041214C" w:rsidRPr="00D705DF" w:rsidRDefault="0041214C" w:rsidP="0041214C">
      <w:pPr>
        <w:spacing w:line="360" w:lineRule="auto"/>
        <w:jc w:val="both"/>
      </w:pPr>
      <w:r w:rsidRPr="00D705DF">
        <w:t xml:space="preserve">Weston, D. (2018) ‘Want to stop teachers leaving? Help them develop their careers.’ Available at: </w:t>
      </w:r>
      <w:hyperlink r:id="rId11" w:history="1">
        <w:r w:rsidRPr="00D705DF">
          <w:rPr>
            <w:rStyle w:val="Hyperlink"/>
          </w:rPr>
          <w:t>https://www.theguardian.com/teacher-network/2018/apr/24/if-we-want-to-stop-teachers-leaving-we-must-invest-in-development</w:t>
        </w:r>
      </w:hyperlink>
      <w:r w:rsidRPr="00D705DF">
        <w:t xml:space="preserve"> [Accessed: 17</w:t>
      </w:r>
      <w:r w:rsidRPr="00D705DF">
        <w:rPr>
          <w:vertAlign w:val="superscript"/>
        </w:rPr>
        <w:t>th</w:t>
      </w:r>
      <w:r w:rsidRPr="00D705DF">
        <w:t xml:space="preserve"> May 2018].</w:t>
      </w:r>
    </w:p>
    <w:p w:rsidR="0041214C" w:rsidRPr="00D705DF" w:rsidRDefault="0041214C" w:rsidP="0041214C">
      <w:pPr>
        <w:spacing w:line="360" w:lineRule="auto"/>
        <w:jc w:val="both"/>
        <w:rPr>
          <w:b/>
          <w:u w:val="single"/>
        </w:rPr>
      </w:pPr>
      <w:proofErr w:type="spellStart"/>
      <w:r w:rsidRPr="00D705DF">
        <w:t>Zwozdiak</w:t>
      </w:r>
      <w:proofErr w:type="spellEnd"/>
      <w:r w:rsidRPr="00D705DF">
        <w:t xml:space="preserve">-Myers, P. (2018) </w:t>
      </w:r>
      <w:r w:rsidRPr="00D705DF">
        <w:rPr>
          <w:i/>
        </w:rPr>
        <w:t xml:space="preserve">The Teacher's Reflective Practice Handbook: Becoming an Extended Professional through Capturing Evidence-Informed Practice. Abingdon: </w:t>
      </w:r>
      <w:proofErr w:type="spellStart"/>
      <w:r w:rsidRPr="00D705DF">
        <w:rPr>
          <w:i/>
        </w:rPr>
        <w:t>Routeldge</w:t>
      </w:r>
      <w:proofErr w:type="spellEnd"/>
      <w:r w:rsidRPr="00D705DF">
        <w:rPr>
          <w:i/>
        </w:rPr>
        <w:t>.</w:t>
      </w:r>
    </w:p>
    <w:p w:rsidR="0041214C" w:rsidRDefault="0041214C" w:rsidP="0041214C"/>
    <w:p w:rsidR="0041214C" w:rsidRDefault="0041214C" w:rsidP="0041214C"/>
    <w:p w:rsidR="0041214C" w:rsidRDefault="00B157C3">
      <w:pPr>
        <w:rPr>
          <w:b/>
          <w:u w:val="single"/>
        </w:rPr>
      </w:pPr>
      <w:r>
        <w:rPr>
          <w:b/>
          <w:u w:val="single"/>
        </w:rPr>
        <w:t>Review of Adult Learning</w:t>
      </w:r>
    </w:p>
    <w:p w:rsidR="00B157C3" w:rsidRDefault="00B157C3">
      <w:pPr>
        <w:rPr>
          <w:b/>
          <w:u w:val="single"/>
        </w:rPr>
      </w:pPr>
    </w:p>
    <w:p w:rsidR="00B157C3" w:rsidRPr="001210F3" w:rsidRDefault="00B157C3" w:rsidP="00B157C3">
      <w:pPr>
        <w:spacing w:line="360" w:lineRule="auto"/>
        <w:jc w:val="both"/>
      </w:pPr>
      <w:r w:rsidRPr="001210F3">
        <w:t xml:space="preserve">This academic critique discusses the current thinking in relation to the concept of adult learning. The study of adult learners, or andragogy, is a </w:t>
      </w:r>
      <w:proofErr w:type="gramStart"/>
      <w:r w:rsidRPr="001210F3">
        <w:t>theme which</w:t>
      </w:r>
      <w:proofErr w:type="gramEnd"/>
      <w:r w:rsidRPr="001210F3">
        <w:t xml:space="preserve"> is currently discussed at great lengths. The differences between </w:t>
      </w:r>
      <w:proofErr w:type="spellStart"/>
      <w:r w:rsidRPr="001210F3">
        <w:t>andragogical</w:t>
      </w:r>
      <w:proofErr w:type="spellEnd"/>
      <w:r w:rsidRPr="001210F3">
        <w:t xml:space="preserve"> and pedagogical theory are expanding rapidly as it is widely understood and evidenced that adult learners demand and react very differently to learners within compulsory education. These differences can be broken down and critically analysed to deepen understanding of adult learning thus enhancing efficiency and effectiveness within this area.</w:t>
      </w:r>
    </w:p>
    <w:p w:rsidR="00B157C3" w:rsidRPr="001210F3" w:rsidRDefault="00B157C3" w:rsidP="00B157C3">
      <w:pPr>
        <w:spacing w:line="360" w:lineRule="auto"/>
        <w:jc w:val="both"/>
      </w:pPr>
      <w:r w:rsidRPr="001210F3">
        <w:t>It is clearly understood that the teaching of adult learners requires significant adaptation from compulsory education from the planning and designing stage right through to the assessment (</w:t>
      </w:r>
      <w:proofErr w:type="spellStart"/>
      <w:r w:rsidRPr="001210F3">
        <w:t>Caffarella</w:t>
      </w:r>
      <w:proofErr w:type="spellEnd"/>
      <w:r w:rsidRPr="001210F3">
        <w:t xml:space="preserve"> and </w:t>
      </w:r>
      <w:proofErr w:type="spellStart"/>
      <w:r w:rsidRPr="001210F3">
        <w:t>Daffron</w:t>
      </w:r>
      <w:proofErr w:type="spellEnd"/>
      <w:r w:rsidRPr="001210F3">
        <w:t xml:space="preserve">, 2013). It appears that there is distinct recognition that it is no longer only the delivery of learning that requires adaptation. Interestingly, </w:t>
      </w:r>
      <w:proofErr w:type="spellStart"/>
      <w:r w:rsidRPr="001210F3">
        <w:t>Fehring</w:t>
      </w:r>
      <w:proofErr w:type="spellEnd"/>
      <w:r w:rsidRPr="001210F3">
        <w:t xml:space="preserve"> and Rodrigues (2016) discuss a current period of evolution within adult learning and blame extreme shifts in nature of work, the globalisation of work and of life. This research suggests that these current changes are influencing learning and changing the way in which adult learners need to be taught. </w:t>
      </w:r>
    </w:p>
    <w:p w:rsidR="00B157C3" w:rsidRPr="001210F3" w:rsidRDefault="00B157C3" w:rsidP="00B157C3">
      <w:pPr>
        <w:spacing w:line="360" w:lineRule="auto"/>
        <w:jc w:val="both"/>
      </w:pPr>
      <w:r w:rsidRPr="001210F3">
        <w:t xml:space="preserve">It is </w:t>
      </w:r>
      <w:proofErr w:type="gramStart"/>
      <w:r w:rsidRPr="001210F3">
        <w:t>well-documented</w:t>
      </w:r>
      <w:proofErr w:type="gramEnd"/>
      <w:r w:rsidRPr="001210F3">
        <w:t xml:space="preserve"> that adult learners offer a wealth of work and life experience to the learning environment both from traditional and non-traditional students (McGill and King, 2013). This life and previous work experience allows the adult learners to share their experiences and draw on these to put theory into context. Furthermore, the sharing and collaboration of these experiences is believed to encourage and assist in adult learners thinking critically (Irby </w:t>
      </w:r>
      <w:r w:rsidRPr="001210F3">
        <w:rPr>
          <w:i/>
        </w:rPr>
        <w:t xml:space="preserve">et al, </w:t>
      </w:r>
      <w:r w:rsidRPr="001210F3">
        <w:t xml:space="preserve">2013), a key concept and tool for Post-Compulsory education. </w:t>
      </w:r>
      <w:proofErr w:type="spellStart"/>
      <w:r w:rsidRPr="001210F3">
        <w:t>Scruton</w:t>
      </w:r>
      <w:proofErr w:type="spellEnd"/>
      <w:r w:rsidRPr="001210F3">
        <w:t xml:space="preserve"> and Ferguson (2014) agree with the notion that adult learners bring a wealth of advantageous qualities to the learning environment within post-compulsory education. However, they also declare that adult learners also often display distinct </w:t>
      </w:r>
      <w:proofErr w:type="gramStart"/>
      <w:r w:rsidRPr="001210F3">
        <w:t>challenges which</w:t>
      </w:r>
      <w:proofErr w:type="gramEnd"/>
      <w:r w:rsidRPr="001210F3">
        <w:t xml:space="preserve"> must also be taken into consideration and the teaching and learning adapted to facilitate. Adult learners often portray issues with self-</w:t>
      </w:r>
      <w:proofErr w:type="gramStart"/>
      <w:r w:rsidRPr="001210F3">
        <w:t>confidence which</w:t>
      </w:r>
      <w:proofErr w:type="gramEnd"/>
      <w:r w:rsidRPr="001210F3">
        <w:t xml:space="preserve"> affects the way in which they may participate in a learning environment. In addition, due to the nature of adult learners, they often have other commitments in life and so may struggle with financial constraints and effective time management. Lastly, adult learners often face a fear of using technology and some non-traditional adult learners may not be experienced in working with technology at all (Davis, 2017).</w:t>
      </w:r>
    </w:p>
    <w:p w:rsidR="00B157C3" w:rsidRPr="001210F3" w:rsidRDefault="00B157C3" w:rsidP="00B157C3">
      <w:pPr>
        <w:spacing w:line="360" w:lineRule="auto"/>
        <w:jc w:val="both"/>
      </w:pPr>
      <w:r w:rsidRPr="001210F3">
        <w:t xml:space="preserve">There is also the belief that adult learners are physically more susceptible to learning. Knowles </w:t>
      </w:r>
      <w:r w:rsidRPr="001210F3">
        <w:rPr>
          <w:i/>
        </w:rPr>
        <w:t xml:space="preserve">et al </w:t>
      </w:r>
      <w:r w:rsidRPr="001210F3">
        <w:t xml:space="preserve">(2014) explains how an adults frontal cortex functions are more often further developed within adult learners, enabling them to regulate their own learning. Younger individuals with a less developed frontal cortex are proven to be more reliant and </w:t>
      </w:r>
      <w:proofErr w:type="gramStart"/>
      <w:r w:rsidRPr="001210F3">
        <w:t>dependant</w:t>
      </w:r>
      <w:proofErr w:type="gramEnd"/>
      <w:r w:rsidRPr="001210F3">
        <w:t xml:space="preserve"> on teachers. This then would support the </w:t>
      </w:r>
      <w:proofErr w:type="gramStart"/>
      <w:r w:rsidRPr="001210F3">
        <w:t>evidence which</w:t>
      </w:r>
      <w:proofErr w:type="gramEnd"/>
      <w:r w:rsidRPr="001210F3">
        <w:t xml:space="preserve"> suggests that adult learners require a different method of teaching. Whilst younger, compulsory attending learners require a more didactic teaching approach due to their physical brain development, adult learners react better to a more student-led environment. This offers credible scientific evidence that shows the adaptation needed for adult learners (Taylor, 2006). However, although this evidence is credible, there also lies a degree of ambiguity. Individuals develop physical and emotionally at varying rates dependant on the individual and it seems primitive to categorise adult learners and younger learners in this way, and thus an air of caution is highlighted here.</w:t>
      </w:r>
    </w:p>
    <w:p w:rsidR="00B157C3" w:rsidRPr="001210F3" w:rsidRDefault="00B157C3" w:rsidP="00B157C3">
      <w:pPr>
        <w:spacing w:line="360" w:lineRule="auto"/>
        <w:jc w:val="both"/>
      </w:pPr>
      <w:r w:rsidRPr="001210F3">
        <w:t xml:space="preserve">There also seems to emerge research and evidence to suggest that academics recognise that adult learners expect and demand much more from their learning environment. Kolb (2014) familiarises with this theory explaining that due to the experiences that adult learners have had and the reasons why they are in post-compulsory education, they demand an effective and efficient teaching and learning style which maximises their time and offers a productive outcome. This could be due to the time restraints which have been previously mentioned and they notion of getting ‘value for money’ from their education. It is also believed to be that the adult learner is more eager to learn and has a thirst for knowledge and a commitment to learning. </w:t>
      </w:r>
    </w:p>
    <w:p w:rsidR="00B157C3" w:rsidRPr="001210F3" w:rsidRDefault="00B157C3" w:rsidP="00B157C3">
      <w:pPr>
        <w:spacing w:line="360" w:lineRule="auto"/>
        <w:jc w:val="both"/>
      </w:pPr>
      <w:r w:rsidRPr="001210F3">
        <w:t xml:space="preserve">Finally, the simple fact that adult learners actively seek out, choose and participate in Post-Compulsory education could prove vital. Adult learners have already made the choice to learn and to develop their knowledge and so the common challenges that compulsory education appears to suffer, such as attendance and participation, are not considered a challenge in most adult learners. By choosing to learn and often paying to learn, adult learners are often more vigilant of the need to attend and participate in their own learning. </w:t>
      </w:r>
    </w:p>
    <w:p w:rsidR="00B157C3" w:rsidRPr="001210F3" w:rsidRDefault="00B157C3" w:rsidP="00B157C3">
      <w:pPr>
        <w:spacing w:line="360" w:lineRule="auto"/>
        <w:jc w:val="both"/>
      </w:pPr>
      <w:r w:rsidRPr="001210F3">
        <w:t>In the current climate with public support for adult learning decreasing along with the number of admissions, there appears to be a crisis for post-compulsory education in the near future, if not already (</w:t>
      </w:r>
      <w:proofErr w:type="spellStart"/>
      <w:r w:rsidRPr="001210F3">
        <w:t>Tuckett</w:t>
      </w:r>
      <w:proofErr w:type="spellEnd"/>
      <w:r w:rsidRPr="001210F3">
        <w:t>, 2018). Evidence from academics and professionals alike agree that adult learners are at a greater advantage to learn both physically and emotionally although challenges do exist. The benefit to adult learners of post-compulsory education appears to be positive and critical for personal development. The decline in Higher Education and Further Education facility admissions proves to remain a concern for adult learning, with government support appearing to mirror this decline. It appears that to allow the force as positive and open to learning that adult learners are to diminish would be a distinct disadvantage.</w:t>
      </w:r>
    </w:p>
    <w:p w:rsidR="00B157C3" w:rsidRPr="001210F3" w:rsidRDefault="00B157C3" w:rsidP="00B157C3">
      <w:pPr>
        <w:spacing w:line="360" w:lineRule="auto"/>
        <w:jc w:val="both"/>
      </w:pPr>
      <w:r w:rsidRPr="001210F3">
        <w:t>It is clear that adult learners require adaptation to their learning whilst taking into consideration their own challenges. By adapting the teaching and learning style to incorporate the desire for participative and collaborative learning from adult learners, critical thinking can be encouraged and developed. However, the emerging issues and trends globally also need to be taken into consideration to maintain the efficiency of post-compulsory learning.</w:t>
      </w:r>
    </w:p>
    <w:p w:rsidR="00B157C3" w:rsidRPr="001210F3" w:rsidRDefault="00B157C3" w:rsidP="00B157C3">
      <w:pPr>
        <w:spacing w:line="360" w:lineRule="auto"/>
        <w:jc w:val="both"/>
      </w:pPr>
    </w:p>
    <w:p w:rsidR="00B157C3" w:rsidRPr="001210F3" w:rsidRDefault="00B157C3" w:rsidP="00B157C3">
      <w:pPr>
        <w:spacing w:line="360" w:lineRule="auto"/>
        <w:jc w:val="both"/>
        <w:rPr>
          <w:b/>
          <w:u w:val="single"/>
        </w:rPr>
      </w:pPr>
      <w:r w:rsidRPr="001210F3">
        <w:rPr>
          <w:b/>
          <w:u w:val="single"/>
        </w:rPr>
        <w:t>Reference List:</w:t>
      </w:r>
    </w:p>
    <w:p w:rsidR="00B157C3" w:rsidRPr="001210F3" w:rsidRDefault="00B157C3" w:rsidP="00B157C3">
      <w:pPr>
        <w:spacing w:line="360" w:lineRule="auto"/>
        <w:jc w:val="both"/>
      </w:pPr>
      <w:proofErr w:type="spellStart"/>
      <w:r w:rsidRPr="001210F3">
        <w:t>Caffarella</w:t>
      </w:r>
      <w:proofErr w:type="spellEnd"/>
      <w:r w:rsidRPr="001210F3">
        <w:t xml:space="preserve">, R. and </w:t>
      </w:r>
      <w:proofErr w:type="spellStart"/>
      <w:r w:rsidRPr="001210F3">
        <w:t>Daffron</w:t>
      </w:r>
      <w:proofErr w:type="spellEnd"/>
      <w:r w:rsidRPr="001210F3">
        <w:t xml:space="preserve">, S. (2013) </w:t>
      </w:r>
      <w:r w:rsidRPr="001210F3">
        <w:rPr>
          <w:i/>
        </w:rPr>
        <w:t xml:space="preserve">Planning Programs for Adult Learners: A Practical Guide. </w:t>
      </w:r>
      <w:r w:rsidRPr="001210F3">
        <w:t xml:space="preserve">San Francisco: John Wiley and Sons. </w:t>
      </w:r>
    </w:p>
    <w:p w:rsidR="00B157C3" w:rsidRPr="001210F3" w:rsidRDefault="00B157C3" w:rsidP="00B157C3">
      <w:pPr>
        <w:spacing w:line="360" w:lineRule="auto"/>
        <w:jc w:val="both"/>
      </w:pPr>
      <w:r w:rsidRPr="001210F3">
        <w:t xml:space="preserve">Davis, J. (2016) ‘5 Tips to Bridge the Technology Gap Faced by Adult Learners.’ Available at: </w:t>
      </w:r>
      <w:hyperlink r:id="rId12" w:history="1">
        <w:r w:rsidRPr="001210F3">
          <w:rPr>
            <w:rStyle w:val="Hyperlink"/>
          </w:rPr>
          <w:t>http://juliandavis.com/5-tips-to-bridge-the-technology-gap-faced-by-adult-learners/</w:t>
        </w:r>
      </w:hyperlink>
      <w:r w:rsidRPr="001210F3">
        <w:t xml:space="preserve"> [Accessed: 17</w:t>
      </w:r>
      <w:r w:rsidRPr="001210F3">
        <w:rPr>
          <w:vertAlign w:val="superscript"/>
        </w:rPr>
        <w:t>th</w:t>
      </w:r>
      <w:r w:rsidRPr="001210F3">
        <w:t xml:space="preserve"> May 2018].</w:t>
      </w:r>
    </w:p>
    <w:p w:rsidR="00B157C3" w:rsidRPr="001210F3" w:rsidRDefault="00B157C3" w:rsidP="00B157C3">
      <w:pPr>
        <w:spacing w:line="360" w:lineRule="auto"/>
        <w:jc w:val="both"/>
      </w:pPr>
      <w:proofErr w:type="spellStart"/>
      <w:r w:rsidRPr="001210F3">
        <w:t>Fehring</w:t>
      </w:r>
      <w:proofErr w:type="spellEnd"/>
      <w:r w:rsidRPr="001210F3">
        <w:t xml:space="preserve">, H. and Rodrigues, S. (2016) </w:t>
      </w:r>
      <w:r w:rsidRPr="001210F3">
        <w:rPr>
          <w:i/>
        </w:rPr>
        <w:t xml:space="preserve">Teaching, Coaching and Mentoring Adult Learners: Lessons for professionalism and partnership. </w:t>
      </w:r>
      <w:r w:rsidRPr="001210F3">
        <w:t xml:space="preserve">Abingdon: Routledge. </w:t>
      </w:r>
    </w:p>
    <w:p w:rsidR="00B157C3" w:rsidRPr="001210F3" w:rsidRDefault="00B157C3" w:rsidP="00B157C3">
      <w:pPr>
        <w:spacing w:line="360" w:lineRule="auto"/>
        <w:jc w:val="both"/>
      </w:pPr>
      <w:r w:rsidRPr="001210F3">
        <w:t xml:space="preserve">Irby, B., Brown, G., </w:t>
      </w:r>
      <w:proofErr w:type="spellStart"/>
      <w:r w:rsidRPr="001210F3">
        <w:t>LaraAiecio</w:t>
      </w:r>
      <w:proofErr w:type="spellEnd"/>
      <w:r w:rsidRPr="001210F3">
        <w:t xml:space="preserve">, R. and Jackson, S. (2013) </w:t>
      </w:r>
      <w:r w:rsidRPr="001210F3">
        <w:rPr>
          <w:i/>
        </w:rPr>
        <w:t xml:space="preserve">Handbook of Educational Theories. </w:t>
      </w:r>
      <w:r w:rsidRPr="001210F3">
        <w:t xml:space="preserve">North Carolina: Information Age Publishing. </w:t>
      </w:r>
    </w:p>
    <w:p w:rsidR="00B157C3" w:rsidRPr="001210F3" w:rsidRDefault="00B157C3" w:rsidP="00B157C3">
      <w:pPr>
        <w:spacing w:line="360" w:lineRule="auto"/>
        <w:jc w:val="both"/>
      </w:pPr>
      <w:r w:rsidRPr="001210F3">
        <w:t xml:space="preserve">Knowles, M., Holton, E. and Swanson, R. (2014) </w:t>
      </w:r>
      <w:r w:rsidRPr="001210F3">
        <w:rPr>
          <w:i/>
        </w:rPr>
        <w:t xml:space="preserve">The Adult Learner: The definitive classic in adult education and human resource development. </w:t>
      </w:r>
      <w:r w:rsidRPr="001210F3">
        <w:t xml:space="preserve">Abingdon: Routledge. </w:t>
      </w:r>
    </w:p>
    <w:p w:rsidR="00B157C3" w:rsidRPr="001210F3" w:rsidRDefault="00B157C3" w:rsidP="00B157C3">
      <w:pPr>
        <w:spacing w:line="360" w:lineRule="auto"/>
        <w:jc w:val="both"/>
      </w:pPr>
      <w:r w:rsidRPr="001210F3">
        <w:t xml:space="preserve">Kolb, D. (2014) </w:t>
      </w:r>
      <w:r w:rsidRPr="001210F3">
        <w:tab/>
      </w:r>
      <w:r w:rsidRPr="001210F3">
        <w:rPr>
          <w:i/>
        </w:rPr>
        <w:t xml:space="preserve">Experiential Learning: Experience as the Source of Learning and Development. </w:t>
      </w:r>
      <w:r w:rsidRPr="001210F3">
        <w:t>New Jersey: Pearson Education Limited.</w:t>
      </w:r>
    </w:p>
    <w:p w:rsidR="00B157C3" w:rsidRPr="001210F3" w:rsidRDefault="00B157C3" w:rsidP="00B157C3">
      <w:pPr>
        <w:spacing w:line="360" w:lineRule="auto"/>
        <w:jc w:val="both"/>
      </w:pPr>
      <w:r w:rsidRPr="001210F3">
        <w:t xml:space="preserve">McGill, C. and King, K. (2013) </w:t>
      </w:r>
      <w:r w:rsidRPr="001210F3">
        <w:rPr>
          <w:i/>
        </w:rPr>
        <w:t xml:space="preserve">Developing and Sustaining Adult Learners. </w:t>
      </w:r>
      <w:r w:rsidRPr="001210F3">
        <w:t xml:space="preserve">North Carolina: Information Age Publishing. </w:t>
      </w:r>
    </w:p>
    <w:p w:rsidR="00B157C3" w:rsidRPr="001210F3" w:rsidRDefault="00B157C3" w:rsidP="00B157C3">
      <w:pPr>
        <w:spacing w:line="360" w:lineRule="auto"/>
        <w:jc w:val="both"/>
      </w:pPr>
      <w:proofErr w:type="spellStart"/>
      <w:r w:rsidRPr="001210F3">
        <w:t>Scruton</w:t>
      </w:r>
      <w:proofErr w:type="spellEnd"/>
      <w:r w:rsidRPr="001210F3">
        <w:t xml:space="preserve">, J. and Ferguson, B. (2014) </w:t>
      </w:r>
      <w:r w:rsidRPr="001210F3">
        <w:rPr>
          <w:i/>
        </w:rPr>
        <w:t xml:space="preserve">Teaching and Supporting Adult Learners. </w:t>
      </w:r>
      <w:proofErr w:type="spellStart"/>
      <w:r w:rsidRPr="001210F3">
        <w:t>Northwich</w:t>
      </w:r>
      <w:proofErr w:type="spellEnd"/>
      <w:r w:rsidRPr="001210F3">
        <w:t xml:space="preserve">: Critical Publishing. </w:t>
      </w:r>
    </w:p>
    <w:p w:rsidR="00B157C3" w:rsidRPr="001210F3" w:rsidRDefault="00B157C3" w:rsidP="00B157C3">
      <w:pPr>
        <w:spacing w:line="360" w:lineRule="auto"/>
        <w:jc w:val="both"/>
      </w:pPr>
      <w:r w:rsidRPr="001210F3">
        <w:t xml:space="preserve">Taylor, K 2006, 'Brain function and adult learning: Implications for practice', </w:t>
      </w:r>
      <w:r w:rsidRPr="001210F3">
        <w:rPr>
          <w:i/>
        </w:rPr>
        <w:t>New Directions for Adult &amp; Continuing Education</w:t>
      </w:r>
      <w:r w:rsidRPr="001210F3">
        <w:t>, 2006, 110, pp. 71-85.</w:t>
      </w:r>
    </w:p>
    <w:p w:rsidR="00B157C3" w:rsidRPr="001210F3" w:rsidRDefault="00B157C3" w:rsidP="00B157C3">
      <w:pPr>
        <w:spacing w:line="360" w:lineRule="auto"/>
        <w:jc w:val="both"/>
      </w:pPr>
      <w:proofErr w:type="spellStart"/>
      <w:r w:rsidRPr="001210F3">
        <w:t>Tuckett</w:t>
      </w:r>
      <w:proofErr w:type="spellEnd"/>
      <w:r w:rsidRPr="001210F3">
        <w:t>, A. (2018) ‘</w:t>
      </w:r>
      <w:proofErr w:type="gramStart"/>
      <w:r w:rsidRPr="001210F3">
        <w:t>The</w:t>
      </w:r>
      <w:proofErr w:type="gramEnd"/>
      <w:r w:rsidRPr="001210F3">
        <w:t xml:space="preserve"> world of work is changing. We need more adult education, not less.’ Available at: </w:t>
      </w:r>
      <w:hyperlink r:id="rId13" w:history="1">
        <w:r w:rsidRPr="001210F3">
          <w:rPr>
            <w:rStyle w:val="Hyperlink"/>
          </w:rPr>
          <w:t>https://www.theguardian.com/higher-education-network/2018/apr/19/the-world-of-work-is-changing-we-need-more-adult-education-not-less</w:t>
        </w:r>
      </w:hyperlink>
      <w:r w:rsidRPr="001210F3">
        <w:t xml:space="preserve"> [Accessed: 17</w:t>
      </w:r>
      <w:r w:rsidRPr="001210F3">
        <w:rPr>
          <w:vertAlign w:val="superscript"/>
        </w:rPr>
        <w:t>th</w:t>
      </w:r>
      <w:r w:rsidRPr="001210F3">
        <w:t xml:space="preserve"> May 2018].</w:t>
      </w:r>
    </w:p>
    <w:p w:rsidR="00B157C3" w:rsidRDefault="00B157C3" w:rsidP="00B157C3"/>
    <w:p w:rsidR="00B157C3" w:rsidRDefault="00B157C3" w:rsidP="00B157C3"/>
    <w:p w:rsidR="00B157C3" w:rsidRDefault="00B157C3" w:rsidP="00B157C3"/>
    <w:p w:rsidR="00B157C3" w:rsidRDefault="00B157C3" w:rsidP="00B157C3"/>
    <w:p w:rsidR="00B157C3" w:rsidRPr="0041214C" w:rsidRDefault="00B157C3">
      <w:pPr>
        <w:rPr>
          <w:b/>
          <w:u w:val="single"/>
        </w:rPr>
      </w:pPr>
      <w:bookmarkStart w:id="0" w:name="_GoBack"/>
      <w:bookmarkEnd w:id="0"/>
    </w:p>
    <w:sectPr w:rsidR="00B157C3" w:rsidRPr="0041214C" w:rsidSect="008B67AE">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6A6C4F"/>
    <w:multiLevelType w:val="multilevel"/>
    <w:tmpl w:val="B88C4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62074E1"/>
    <w:multiLevelType w:val="hybridMultilevel"/>
    <w:tmpl w:val="3C12D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214C"/>
    <w:rsid w:val="0041214C"/>
    <w:rsid w:val="008B67AE"/>
    <w:rsid w:val="00B157C3"/>
    <w:rsid w:val="00BB19E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984C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1214C"/>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41214C"/>
  </w:style>
  <w:style w:type="character" w:customStyle="1" w:styleId="eop">
    <w:name w:val="eop"/>
    <w:basedOn w:val="DefaultParagraphFont"/>
    <w:rsid w:val="0041214C"/>
  </w:style>
  <w:style w:type="paragraph" w:styleId="ListParagraph">
    <w:name w:val="List Paragraph"/>
    <w:basedOn w:val="Normal"/>
    <w:uiPriority w:val="34"/>
    <w:qFormat/>
    <w:rsid w:val="0041214C"/>
    <w:pPr>
      <w:spacing w:after="160" w:line="259" w:lineRule="auto"/>
      <w:ind w:left="720"/>
      <w:contextualSpacing/>
    </w:pPr>
    <w:rPr>
      <w:rFonts w:eastAsiaTheme="minorHAnsi"/>
      <w:sz w:val="22"/>
      <w:szCs w:val="22"/>
    </w:rPr>
  </w:style>
  <w:style w:type="character" w:styleId="Hyperlink">
    <w:name w:val="Hyperlink"/>
    <w:basedOn w:val="DefaultParagraphFont"/>
    <w:uiPriority w:val="99"/>
    <w:unhideWhenUsed/>
    <w:rsid w:val="0041214C"/>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1214C"/>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41214C"/>
  </w:style>
  <w:style w:type="character" w:customStyle="1" w:styleId="eop">
    <w:name w:val="eop"/>
    <w:basedOn w:val="DefaultParagraphFont"/>
    <w:rsid w:val="0041214C"/>
  </w:style>
  <w:style w:type="paragraph" w:styleId="ListParagraph">
    <w:name w:val="List Paragraph"/>
    <w:basedOn w:val="Normal"/>
    <w:uiPriority w:val="34"/>
    <w:qFormat/>
    <w:rsid w:val="0041214C"/>
    <w:pPr>
      <w:spacing w:after="160" w:line="259" w:lineRule="auto"/>
      <w:ind w:left="720"/>
      <w:contextualSpacing/>
    </w:pPr>
    <w:rPr>
      <w:rFonts w:eastAsiaTheme="minorHAnsi"/>
      <w:sz w:val="22"/>
      <w:szCs w:val="22"/>
    </w:rPr>
  </w:style>
  <w:style w:type="character" w:styleId="Hyperlink">
    <w:name w:val="Hyperlink"/>
    <w:basedOn w:val="DefaultParagraphFont"/>
    <w:uiPriority w:val="99"/>
    <w:unhideWhenUsed/>
    <w:rsid w:val="004121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1294823">
      <w:bodyDiv w:val="1"/>
      <w:marLeft w:val="0"/>
      <w:marRight w:val="0"/>
      <w:marTop w:val="0"/>
      <w:marBottom w:val="0"/>
      <w:divBdr>
        <w:top w:val="none" w:sz="0" w:space="0" w:color="auto"/>
        <w:left w:val="none" w:sz="0" w:space="0" w:color="auto"/>
        <w:bottom w:val="none" w:sz="0" w:space="0" w:color="auto"/>
        <w:right w:val="none" w:sz="0" w:space="0" w:color="auto"/>
      </w:divBdr>
      <w:divsChild>
        <w:div w:id="30809128">
          <w:marLeft w:val="0"/>
          <w:marRight w:val="0"/>
          <w:marTop w:val="0"/>
          <w:marBottom w:val="0"/>
          <w:divBdr>
            <w:top w:val="none" w:sz="0" w:space="0" w:color="auto"/>
            <w:left w:val="none" w:sz="0" w:space="0" w:color="auto"/>
            <w:bottom w:val="none" w:sz="0" w:space="0" w:color="auto"/>
            <w:right w:val="none" w:sz="0" w:space="0" w:color="auto"/>
          </w:divBdr>
        </w:div>
        <w:div w:id="696469227">
          <w:marLeft w:val="0"/>
          <w:marRight w:val="0"/>
          <w:marTop w:val="0"/>
          <w:marBottom w:val="0"/>
          <w:divBdr>
            <w:top w:val="none" w:sz="0" w:space="0" w:color="auto"/>
            <w:left w:val="none" w:sz="0" w:space="0" w:color="auto"/>
            <w:bottom w:val="none" w:sz="0" w:space="0" w:color="auto"/>
            <w:right w:val="none" w:sz="0" w:space="0" w:color="auto"/>
          </w:divBdr>
        </w:div>
        <w:div w:id="857498645">
          <w:marLeft w:val="0"/>
          <w:marRight w:val="0"/>
          <w:marTop w:val="0"/>
          <w:marBottom w:val="0"/>
          <w:divBdr>
            <w:top w:val="none" w:sz="0" w:space="0" w:color="auto"/>
            <w:left w:val="none" w:sz="0" w:space="0" w:color="auto"/>
            <w:bottom w:val="none" w:sz="0" w:space="0" w:color="auto"/>
            <w:right w:val="none" w:sz="0" w:space="0" w:color="auto"/>
          </w:divBdr>
        </w:div>
        <w:div w:id="727462042">
          <w:marLeft w:val="0"/>
          <w:marRight w:val="0"/>
          <w:marTop w:val="0"/>
          <w:marBottom w:val="0"/>
          <w:divBdr>
            <w:top w:val="none" w:sz="0" w:space="0" w:color="auto"/>
            <w:left w:val="none" w:sz="0" w:space="0" w:color="auto"/>
            <w:bottom w:val="none" w:sz="0" w:space="0" w:color="auto"/>
            <w:right w:val="none" w:sz="0" w:space="0" w:color="auto"/>
          </w:divBdr>
        </w:div>
        <w:div w:id="329332892">
          <w:marLeft w:val="0"/>
          <w:marRight w:val="0"/>
          <w:marTop w:val="0"/>
          <w:marBottom w:val="0"/>
          <w:divBdr>
            <w:top w:val="none" w:sz="0" w:space="0" w:color="auto"/>
            <w:left w:val="none" w:sz="0" w:space="0" w:color="auto"/>
            <w:bottom w:val="none" w:sz="0" w:space="0" w:color="auto"/>
            <w:right w:val="none" w:sz="0" w:space="0" w:color="auto"/>
          </w:divBdr>
        </w:div>
        <w:div w:id="1857770984">
          <w:marLeft w:val="0"/>
          <w:marRight w:val="0"/>
          <w:marTop w:val="0"/>
          <w:marBottom w:val="0"/>
          <w:divBdr>
            <w:top w:val="none" w:sz="0" w:space="0" w:color="auto"/>
            <w:left w:val="none" w:sz="0" w:space="0" w:color="auto"/>
            <w:bottom w:val="none" w:sz="0" w:space="0" w:color="auto"/>
            <w:right w:val="none" w:sz="0" w:space="0" w:color="auto"/>
          </w:divBdr>
          <w:divsChild>
            <w:div w:id="1585338133">
              <w:marLeft w:val="-75"/>
              <w:marRight w:val="0"/>
              <w:marTop w:val="30"/>
              <w:marBottom w:val="30"/>
              <w:divBdr>
                <w:top w:val="none" w:sz="0" w:space="0" w:color="auto"/>
                <w:left w:val="none" w:sz="0" w:space="0" w:color="auto"/>
                <w:bottom w:val="none" w:sz="0" w:space="0" w:color="auto"/>
                <w:right w:val="none" w:sz="0" w:space="0" w:color="auto"/>
              </w:divBdr>
              <w:divsChild>
                <w:div w:id="846211304">
                  <w:marLeft w:val="0"/>
                  <w:marRight w:val="0"/>
                  <w:marTop w:val="0"/>
                  <w:marBottom w:val="0"/>
                  <w:divBdr>
                    <w:top w:val="none" w:sz="0" w:space="0" w:color="auto"/>
                    <w:left w:val="none" w:sz="0" w:space="0" w:color="auto"/>
                    <w:bottom w:val="none" w:sz="0" w:space="0" w:color="auto"/>
                    <w:right w:val="none" w:sz="0" w:space="0" w:color="auto"/>
                  </w:divBdr>
                  <w:divsChild>
                    <w:div w:id="1575966614">
                      <w:marLeft w:val="0"/>
                      <w:marRight w:val="0"/>
                      <w:marTop w:val="0"/>
                      <w:marBottom w:val="0"/>
                      <w:divBdr>
                        <w:top w:val="none" w:sz="0" w:space="0" w:color="auto"/>
                        <w:left w:val="none" w:sz="0" w:space="0" w:color="auto"/>
                        <w:bottom w:val="none" w:sz="0" w:space="0" w:color="auto"/>
                        <w:right w:val="none" w:sz="0" w:space="0" w:color="auto"/>
                      </w:divBdr>
                    </w:div>
                  </w:divsChild>
                </w:div>
                <w:div w:id="878248445">
                  <w:marLeft w:val="0"/>
                  <w:marRight w:val="0"/>
                  <w:marTop w:val="0"/>
                  <w:marBottom w:val="0"/>
                  <w:divBdr>
                    <w:top w:val="none" w:sz="0" w:space="0" w:color="auto"/>
                    <w:left w:val="none" w:sz="0" w:space="0" w:color="auto"/>
                    <w:bottom w:val="none" w:sz="0" w:space="0" w:color="auto"/>
                    <w:right w:val="none" w:sz="0" w:space="0" w:color="auto"/>
                  </w:divBdr>
                  <w:divsChild>
                    <w:div w:id="1593851219">
                      <w:marLeft w:val="0"/>
                      <w:marRight w:val="0"/>
                      <w:marTop w:val="0"/>
                      <w:marBottom w:val="0"/>
                      <w:divBdr>
                        <w:top w:val="none" w:sz="0" w:space="0" w:color="auto"/>
                        <w:left w:val="none" w:sz="0" w:space="0" w:color="auto"/>
                        <w:bottom w:val="none" w:sz="0" w:space="0" w:color="auto"/>
                        <w:right w:val="none" w:sz="0" w:space="0" w:color="auto"/>
                      </w:divBdr>
                    </w:div>
                  </w:divsChild>
                </w:div>
                <w:div w:id="165097325">
                  <w:marLeft w:val="0"/>
                  <w:marRight w:val="0"/>
                  <w:marTop w:val="0"/>
                  <w:marBottom w:val="0"/>
                  <w:divBdr>
                    <w:top w:val="none" w:sz="0" w:space="0" w:color="auto"/>
                    <w:left w:val="none" w:sz="0" w:space="0" w:color="auto"/>
                    <w:bottom w:val="none" w:sz="0" w:space="0" w:color="auto"/>
                    <w:right w:val="none" w:sz="0" w:space="0" w:color="auto"/>
                  </w:divBdr>
                  <w:divsChild>
                    <w:div w:id="1478842758">
                      <w:marLeft w:val="0"/>
                      <w:marRight w:val="0"/>
                      <w:marTop w:val="0"/>
                      <w:marBottom w:val="0"/>
                      <w:divBdr>
                        <w:top w:val="none" w:sz="0" w:space="0" w:color="auto"/>
                        <w:left w:val="none" w:sz="0" w:space="0" w:color="auto"/>
                        <w:bottom w:val="none" w:sz="0" w:space="0" w:color="auto"/>
                        <w:right w:val="none" w:sz="0" w:space="0" w:color="auto"/>
                      </w:divBdr>
                    </w:div>
                  </w:divsChild>
                </w:div>
                <w:div w:id="1171215805">
                  <w:marLeft w:val="0"/>
                  <w:marRight w:val="0"/>
                  <w:marTop w:val="0"/>
                  <w:marBottom w:val="0"/>
                  <w:divBdr>
                    <w:top w:val="none" w:sz="0" w:space="0" w:color="auto"/>
                    <w:left w:val="none" w:sz="0" w:space="0" w:color="auto"/>
                    <w:bottom w:val="none" w:sz="0" w:space="0" w:color="auto"/>
                    <w:right w:val="none" w:sz="0" w:space="0" w:color="auto"/>
                  </w:divBdr>
                  <w:divsChild>
                    <w:div w:id="118501504">
                      <w:marLeft w:val="0"/>
                      <w:marRight w:val="0"/>
                      <w:marTop w:val="0"/>
                      <w:marBottom w:val="0"/>
                      <w:divBdr>
                        <w:top w:val="none" w:sz="0" w:space="0" w:color="auto"/>
                        <w:left w:val="none" w:sz="0" w:space="0" w:color="auto"/>
                        <w:bottom w:val="none" w:sz="0" w:space="0" w:color="auto"/>
                        <w:right w:val="none" w:sz="0" w:space="0" w:color="auto"/>
                      </w:divBdr>
                    </w:div>
                  </w:divsChild>
                </w:div>
                <w:div w:id="1520437171">
                  <w:marLeft w:val="0"/>
                  <w:marRight w:val="0"/>
                  <w:marTop w:val="0"/>
                  <w:marBottom w:val="0"/>
                  <w:divBdr>
                    <w:top w:val="none" w:sz="0" w:space="0" w:color="auto"/>
                    <w:left w:val="none" w:sz="0" w:space="0" w:color="auto"/>
                    <w:bottom w:val="none" w:sz="0" w:space="0" w:color="auto"/>
                    <w:right w:val="none" w:sz="0" w:space="0" w:color="auto"/>
                  </w:divBdr>
                  <w:divsChild>
                    <w:div w:id="1592661536">
                      <w:marLeft w:val="0"/>
                      <w:marRight w:val="0"/>
                      <w:marTop w:val="0"/>
                      <w:marBottom w:val="0"/>
                      <w:divBdr>
                        <w:top w:val="none" w:sz="0" w:space="0" w:color="auto"/>
                        <w:left w:val="none" w:sz="0" w:space="0" w:color="auto"/>
                        <w:bottom w:val="none" w:sz="0" w:space="0" w:color="auto"/>
                        <w:right w:val="none" w:sz="0" w:space="0" w:color="auto"/>
                      </w:divBdr>
                    </w:div>
                  </w:divsChild>
                </w:div>
                <w:div w:id="370569055">
                  <w:marLeft w:val="0"/>
                  <w:marRight w:val="0"/>
                  <w:marTop w:val="0"/>
                  <w:marBottom w:val="0"/>
                  <w:divBdr>
                    <w:top w:val="none" w:sz="0" w:space="0" w:color="auto"/>
                    <w:left w:val="none" w:sz="0" w:space="0" w:color="auto"/>
                    <w:bottom w:val="none" w:sz="0" w:space="0" w:color="auto"/>
                    <w:right w:val="none" w:sz="0" w:space="0" w:color="auto"/>
                  </w:divBdr>
                  <w:divsChild>
                    <w:div w:id="1916042563">
                      <w:marLeft w:val="0"/>
                      <w:marRight w:val="0"/>
                      <w:marTop w:val="0"/>
                      <w:marBottom w:val="0"/>
                      <w:divBdr>
                        <w:top w:val="none" w:sz="0" w:space="0" w:color="auto"/>
                        <w:left w:val="none" w:sz="0" w:space="0" w:color="auto"/>
                        <w:bottom w:val="none" w:sz="0" w:space="0" w:color="auto"/>
                        <w:right w:val="none" w:sz="0" w:space="0" w:color="auto"/>
                      </w:divBdr>
                    </w:div>
                  </w:divsChild>
                </w:div>
                <w:div w:id="4941015">
                  <w:marLeft w:val="0"/>
                  <w:marRight w:val="0"/>
                  <w:marTop w:val="0"/>
                  <w:marBottom w:val="0"/>
                  <w:divBdr>
                    <w:top w:val="none" w:sz="0" w:space="0" w:color="auto"/>
                    <w:left w:val="none" w:sz="0" w:space="0" w:color="auto"/>
                    <w:bottom w:val="none" w:sz="0" w:space="0" w:color="auto"/>
                    <w:right w:val="none" w:sz="0" w:space="0" w:color="auto"/>
                  </w:divBdr>
                  <w:divsChild>
                    <w:div w:id="995693376">
                      <w:marLeft w:val="0"/>
                      <w:marRight w:val="0"/>
                      <w:marTop w:val="0"/>
                      <w:marBottom w:val="0"/>
                      <w:divBdr>
                        <w:top w:val="none" w:sz="0" w:space="0" w:color="auto"/>
                        <w:left w:val="none" w:sz="0" w:space="0" w:color="auto"/>
                        <w:bottom w:val="none" w:sz="0" w:space="0" w:color="auto"/>
                        <w:right w:val="none" w:sz="0" w:space="0" w:color="auto"/>
                      </w:divBdr>
                    </w:div>
                  </w:divsChild>
                </w:div>
                <w:div w:id="321007400">
                  <w:marLeft w:val="0"/>
                  <w:marRight w:val="0"/>
                  <w:marTop w:val="0"/>
                  <w:marBottom w:val="0"/>
                  <w:divBdr>
                    <w:top w:val="none" w:sz="0" w:space="0" w:color="auto"/>
                    <w:left w:val="none" w:sz="0" w:space="0" w:color="auto"/>
                    <w:bottom w:val="none" w:sz="0" w:space="0" w:color="auto"/>
                    <w:right w:val="none" w:sz="0" w:space="0" w:color="auto"/>
                  </w:divBdr>
                  <w:divsChild>
                    <w:div w:id="654067567">
                      <w:marLeft w:val="0"/>
                      <w:marRight w:val="0"/>
                      <w:marTop w:val="0"/>
                      <w:marBottom w:val="0"/>
                      <w:divBdr>
                        <w:top w:val="none" w:sz="0" w:space="0" w:color="auto"/>
                        <w:left w:val="none" w:sz="0" w:space="0" w:color="auto"/>
                        <w:bottom w:val="none" w:sz="0" w:space="0" w:color="auto"/>
                        <w:right w:val="none" w:sz="0" w:space="0" w:color="auto"/>
                      </w:divBdr>
                    </w:div>
                  </w:divsChild>
                </w:div>
                <w:div w:id="29890035">
                  <w:marLeft w:val="0"/>
                  <w:marRight w:val="0"/>
                  <w:marTop w:val="0"/>
                  <w:marBottom w:val="0"/>
                  <w:divBdr>
                    <w:top w:val="none" w:sz="0" w:space="0" w:color="auto"/>
                    <w:left w:val="none" w:sz="0" w:space="0" w:color="auto"/>
                    <w:bottom w:val="none" w:sz="0" w:space="0" w:color="auto"/>
                    <w:right w:val="none" w:sz="0" w:space="0" w:color="auto"/>
                  </w:divBdr>
                  <w:divsChild>
                    <w:div w:id="691960944">
                      <w:marLeft w:val="0"/>
                      <w:marRight w:val="0"/>
                      <w:marTop w:val="0"/>
                      <w:marBottom w:val="0"/>
                      <w:divBdr>
                        <w:top w:val="none" w:sz="0" w:space="0" w:color="auto"/>
                        <w:left w:val="none" w:sz="0" w:space="0" w:color="auto"/>
                        <w:bottom w:val="none" w:sz="0" w:space="0" w:color="auto"/>
                        <w:right w:val="none" w:sz="0" w:space="0" w:color="auto"/>
                      </w:divBdr>
                    </w:div>
                  </w:divsChild>
                </w:div>
                <w:div w:id="51346986">
                  <w:marLeft w:val="0"/>
                  <w:marRight w:val="0"/>
                  <w:marTop w:val="0"/>
                  <w:marBottom w:val="0"/>
                  <w:divBdr>
                    <w:top w:val="none" w:sz="0" w:space="0" w:color="auto"/>
                    <w:left w:val="none" w:sz="0" w:space="0" w:color="auto"/>
                    <w:bottom w:val="none" w:sz="0" w:space="0" w:color="auto"/>
                    <w:right w:val="none" w:sz="0" w:space="0" w:color="auto"/>
                  </w:divBdr>
                  <w:divsChild>
                    <w:div w:id="443885831">
                      <w:marLeft w:val="0"/>
                      <w:marRight w:val="0"/>
                      <w:marTop w:val="0"/>
                      <w:marBottom w:val="0"/>
                      <w:divBdr>
                        <w:top w:val="none" w:sz="0" w:space="0" w:color="auto"/>
                        <w:left w:val="none" w:sz="0" w:space="0" w:color="auto"/>
                        <w:bottom w:val="none" w:sz="0" w:space="0" w:color="auto"/>
                        <w:right w:val="none" w:sz="0" w:space="0" w:color="auto"/>
                      </w:divBdr>
                    </w:div>
                  </w:divsChild>
                </w:div>
                <w:div w:id="493494736">
                  <w:marLeft w:val="0"/>
                  <w:marRight w:val="0"/>
                  <w:marTop w:val="0"/>
                  <w:marBottom w:val="0"/>
                  <w:divBdr>
                    <w:top w:val="none" w:sz="0" w:space="0" w:color="auto"/>
                    <w:left w:val="none" w:sz="0" w:space="0" w:color="auto"/>
                    <w:bottom w:val="none" w:sz="0" w:space="0" w:color="auto"/>
                    <w:right w:val="none" w:sz="0" w:space="0" w:color="auto"/>
                  </w:divBdr>
                  <w:divsChild>
                    <w:div w:id="1192301340">
                      <w:marLeft w:val="0"/>
                      <w:marRight w:val="0"/>
                      <w:marTop w:val="0"/>
                      <w:marBottom w:val="0"/>
                      <w:divBdr>
                        <w:top w:val="none" w:sz="0" w:space="0" w:color="auto"/>
                        <w:left w:val="none" w:sz="0" w:space="0" w:color="auto"/>
                        <w:bottom w:val="none" w:sz="0" w:space="0" w:color="auto"/>
                        <w:right w:val="none" w:sz="0" w:space="0" w:color="auto"/>
                      </w:divBdr>
                    </w:div>
                  </w:divsChild>
                </w:div>
                <w:div w:id="1614707391">
                  <w:marLeft w:val="0"/>
                  <w:marRight w:val="0"/>
                  <w:marTop w:val="0"/>
                  <w:marBottom w:val="0"/>
                  <w:divBdr>
                    <w:top w:val="none" w:sz="0" w:space="0" w:color="auto"/>
                    <w:left w:val="none" w:sz="0" w:space="0" w:color="auto"/>
                    <w:bottom w:val="none" w:sz="0" w:space="0" w:color="auto"/>
                    <w:right w:val="none" w:sz="0" w:space="0" w:color="auto"/>
                  </w:divBdr>
                  <w:divsChild>
                    <w:div w:id="87585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90967">
          <w:marLeft w:val="0"/>
          <w:marRight w:val="0"/>
          <w:marTop w:val="0"/>
          <w:marBottom w:val="0"/>
          <w:divBdr>
            <w:top w:val="none" w:sz="0" w:space="0" w:color="auto"/>
            <w:left w:val="none" w:sz="0" w:space="0" w:color="auto"/>
            <w:bottom w:val="none" w:sz="0" w:space="0" w:color="auto"/>
            <w:right w:val="none" w:sz="0" w:space="0" w:color="auto"/>
          </w:divBdr>
        </w:div>
        <w:div w:id="1452897597">
          <w:marLeft w:val="0"/>
          <w:marRight w:val="0"/>
          <w:marTop w:val="0"/>
          <w:marBottom w:val="0"/>
          <w:divBdr>
            <w:top w:val="none" w:sz="0" w:space="0" w:color="auto"/>
            <w:left w:val="none" w:sz="0" w:space="0" w:color="auto"/>
            <w:bottom w:val="none" w:sz="0" w:space="0" w:color="auto"/>
            <w:right w:val="none" w:sz="0" w:space="0" w:color="auto"/>
          </w:divBdr>
        </w:div>
        <w:div w:id="1421179856">
          <w:marLeft w:val="0"/>
          <w:marRight w:val="0"/>
          <w:marTop w:val="0"/>
          <w:marBottom w:val="0"/>
          <w:divBdr>
            <w:top w:val="none" w:sz="0" w:space="0" w:color="auto"/>
            <w:left w:val="none" w:sz="0" w:space="0" w:color="auto"/>
            <w:bottom w:val="none" w:sz="0" w:space="0" w:color="auto"/>
            <w:right w:val="none" w:sz="0" w:space="0" w:color="auto"/>
          </w:divBdr>
        </w:div>
        <w:div w:id="434253861">
          <w:marLeft w:val="0"/>
          <w:marRight w:val="0"/>
          <w:marTop w:val="0"/>
          <w:marBottom w:val="0"/>
          <w:divBdr>
            <w:top w:val="none" w:sz="0" w:space="0" w:color="auto"/>
            <w:left w:val="none" w:sz="0" w:space="0" w:color="auto"/>
            <w:bottom w:val="none" w:sz="0" w:space="0" w:color="auto"/>
            <w:right w:val="none" w:sz="0" w:space="0" w:color="auto"/>
          </w:divBdr>
        </w:div>
        <w:div w:id="811947358">
          <w:marLeft w:val="0"/>
          <w:marRight w:val="0"/>
          <w:marTop w:val="0"/>
          <w:marBottom w:val="0"/>
          <w:divBdr>
            <w:top w:val="none" w:sz="0" w:space="0" w:color="auto"/>
            <w:left w:val="none" w:sz="0" w:space="0" w:color="auto"/>
            <w:bottom w:val="none" w:sz="0" w:space="0" w:color="auto"/>
            <w:right w:val="none" w:sz="0" w:space="0" w:color="auto"/>
          </w:divBdr>
          <w:divsChild>
            <w:div w:id="1501893494">
              <w:marLeft w:val="-75"/>
              <w:marRight w:val="0"/>
              <w:marTop w:val="30"/>
              <w:marBottom w:val="30"/>
              <w:divBdr>
                <w:top w:val="none" w:sz="0" w:space="0" w:color="auto"/>
                <w:left w:val="none" w:sz="0" w:space="0" w:color="auto"/>
                <w:bottom w:val="none" w:sz="0" w:space="0" w:color="auto"/>
                <w:right w:val="none" w:sz="0" w:space="0" w:color="auto"/>
              </w:divBdr>
              <w:divsChild>
                <w:div w:id="1741171079">
                  <w:marLeft w:val="0"/>
                  <w:marRight w:val="0"/>
                  <w:marTop w:val="0"/>
                  <w:marBottom w:val="0"/>
                  <w:divBdr>
                    <w:top w:val="none" w:sz="0" w:space="0" w:color="auto"/>
                    <w:left w:val="none" w:sz="0" w:space="0" w:color="auto"/>
                    <w:bottom w:val="none" w:sz="0" w:space="0" w:color="auto"/>
                    <w:right w:val="none" w:sz="0" w:space="0" w:color="auto"/>
                  </w:divBdr>
                  <w:divsChild>
                    <w:div w:id="597829797">
                      <w:marLeft w:val="0"/>
                      <w:marRight w:val="0"/>
                      <w:marTop w:val="0"/>
                      <w:marBottom w:val="0"/>
                      <w:divBdr>
                        <w:top w:val="none" w:sz="0" w:space="0" w:color="auto"/>
                        <w:left w:val="none" w:sz="0" w:space="0" w:color="auto"/>
                        <w:bottom w:val="none" w:sz="0" w:space="0" w:color="auto"/>
                        <w:right w:val="none" w:sz="0" w:space="0" w:color="auto"/>
                      </w:divBdr>
                    </w:div>
                  </w:divsChild>
                </w:div>
                <w:div w:id="1011760014">
                  <w:marLeft w:val="0"/>
                  <w:marRight w:val="0"/>
                  <w:marTop w:val="0"/>
                  <w:marBottom w:val="0"/>
                  <w:divBdr>
                    <w:top w:val="none" w:sz="0" w:space="0" w:color="auto"/>
                    <w:left w:val="none" w:sz="0" w:space="0" w:color="auto"/>
                    <w:bottom w:val="none" w:sz="0" w:space="0" w:color="auto"/>
                    <w:right w:val="none" w:sz="0" w:space="0" w:color="auto"/>
                  </w:divBdr>
                  <w:divsChild>
                    <w:div w:id="902760250">
                      <w:marLeft w:val="0"/>
                      <w:marRight w:val="0"/>
                      <w:marTop w:val="0"/>
                      <w:marBottom w:val="0"/>
                      <w:divBdr>
                        <w:top w:val="none" w:sz="0" w:space="0" w:color="auto"/>
                        <w:left w:val="none" w:sz="0" w:space="0" w:color="auto"/>
                        <w:bottom w:val="none" w:sz="0" w:space="0" w:color="auto"/>
                        <w:right w:val="none" w:sz="0" w:space="0" w:color="auto"/>
                      </w:divBdr>
                    </w:div>
                  </w:divsChild>
                </w:div>
                <w:div w:id="1980761582">
                  <w:marLeft w:val="0"/>
                  <w:marRight w:val="0"/>
                  <w:marTop w:val="0"/>
                  <w:marBottom w:val="0"/>
                  <w:divBdr>
                    <w:top w:val="none" w:sz="0" w:space="0" w:color="auto"/>
                    <w:left w:val="none" w:sz="0" w:space="0" w:color="auto"/>
                    <w:bottom w:val="none" w:sz="0" w:space="0" w:color="auto"/>
                    <w:right w:val="none" w:sz="0" w:space="0" w:color="auto"/>
                  </w:divBdr>
                  <w:divsChild>
                    <w:div w:id="1252812652">
                      <w:marLeft w:val="0"/>
                      <w:marRight w:val="0"/>
                      <w:marTop w:val="0"/>
                      <w:marBottom w:val="0"/>
                      <w:divBdr>
                        <w:top w:val="none" w:sz="0" w:space="0" w:color="auto"/>
                        <w:left w:val="none" w:sz="0" w:space="0" w:color="auto"/>
                        <w:bottom w:val="none" w:sz="0" w:space="0" w:color="auto"/>
                        <w:right w:val="none" w:sz="0" w:space="0" w:color="auto"/>
                      </w:divBdr>
                    </w:div>
                    <w:div w:id="940911757">
                      <w:marLeft w:val="0"/>
                      <w:marRight w:val="0"/>
                      <w:marTop w:val="0"/>
                      <w:marBottom w:val="0"/>
                      <w:divBdr>
                        <w:top w:val="none" w:sz="0" w:space="0" w:color="auto"/>
                        <w:left w:val="none" w:sz="0" w:space="0" w:color="auto"/>
                        <w:bottom w:val="none" w:sz="0" w:space="0" w:color="auto"/>
                        <w:right w:val="none" w:sz="0" w:space="0" w:color="auto"/>
                      </w:divBdr>
                    </w:div>
                    <w:div w:id="1125008454">
                      <w:marLeft w:val="0"/>
                      <w:marRight w:val="0"/>
                      <w:marTop w:val="0"/>
                      <w:marBottom w:val="0"/>
                      <w:divBdr>
                        <w:top w:val="none" w:sz="0" w:space="0" w:color="auto"/>
                        <w:left w:val="none" w:sz="0" w:space="0" w:color="auto"/>
                        <w:bottom w:val="none" w:sz="0" w:space="0" w:color="auto"/>
                        <w:right w:val="none" w:sz="0" w:space="0" w:color="auto"/>
                      </w:divBdr>
                    </w:div>
                    <w:div w:id="1553495244">
                      <w:marLeft w:val="0"/>
                      <w:marRight w:val="0"/>
                      <w:marTop w:val="0"/>
                      <w:marBottom w:val="0"/>
                      <w:divBdr>
                        <w:top w:val="none" w:sz="0" w:space="0" w:color="auto"/>
                        <w:left w:val="none" w:sz="0" w:space="0" w:color="auto"/>
                        <w:bottom w:val="none" w:sz="0" w:space="0" w:color="auto"/>
                        <w:right w:val="none" w:sz="0" w:space="0" w:color="auto"/>
                      </w:divBdr>
                    </w:div>
                    <w:div w:id="1376928005">
                      <w:marLeft w:val="0"/>
                      <w:marRight w:val="0"/>
                      <w:marTop w:val="0"/>
                      <w:marBottom w:val="0"/>
                      <w:divBdr>
                        <w:top w:val="none" w:sz="0" w:space="0" w:color="auto"/>
                        <w:left w:val="none" w:sz="0" w:space="0" w:color="auto"/>
                        <w:bottom w:val="none" w:sz="0" w:space="0" w:color="auto"/>
                        <w:right w:val="none" w:sz="0" w:space="0" w:color="auto"/>
                      </w:divBdr>
                    </w:div>
                    <w:div w:id="3560076">
                      <w:marLeft w:val="0"/>
                      <w:marRight w:val="0"/>
                      <w:marTop w:val="0"/>
                      <w:marBottom w:val="0"/>
                      <w:divBdr>
                        <w:top w:val="none" w:sz="0" w:space="0" w:color="auto"/>
                        <w:left w:val="none" w:sz="0" w:space="0" w:color="auto"/>
                        <w:bottom w:val="none" w:sz="0" w:space="0" w:color="auto"/>
                        <w:right w:val="none" w:sz="0" w:space="0" w:color="auto"/>
                      </w:divBdr>
                    </w:div>
                  </w:divsChild>
                </w:div>
                <w:div w:id="842085088">
                  <w:marLeft w:val="0"/>
                  <w:marRight w:val="0"/>
                  <w:marTop w:val="0"/>
                  <w:marBottom w:val="0"/>
                  <w:divBdr>
                    <w:top w:val="none" w:sz="0" w:space="0" w:color="auto"/>
                    <w:left w:val="none" w:sz="0" w:space="0" w:color="auto"/>
                    <w:bottom w:val="none" w:sz="0" w:space="0" w:color="auto"/>
                    <w:right w:val="none" w:sz="0" w:space="0" w:color="auto"/>
                  </w:divBdr>
                  <w:divsChild>
                    <w:div w:id="163399225">
                      <w:marLeft w:val="0"/>
                      <w:marRight w:val="0"/>
                      <w:marTop w:val="0"/>
                      <w:marBottom w:val="0"/>
                      <w:divBdr>
                        <w:top w:val="none" w:sz="0" w:space="0" w:color="auto"/>
                        <w:left w:val="none" w:sz="0" w:space="0" w:color="auto"/>
                        <w:bottom w:val="none" w:sz="0" w:space="0" w:color="auto"/>
                        <w:right w:val="none" w:sz="0" w:space="0" w:color="auto"/>
                      </w:divBdr>
                    </w:div>
                    <w:div w:id="485709525">
                      <w:marLeft w:val="0"/>
                      <w:marRight w:val="0"/>
                      <w:marTop w:val="0"/>
                      <w:marBottom w:val="0"/>
                      <w:divBdr>
                        <w:top w:val="none" w:sz="0" w:space="0" w:color="auto"/>
                        <w:left w:val="none" w:sz="0" w:space="0" w:color="auto"/>
                        <w:bottom w:val="none" w:sz="0" w:space="0" w:color="auto"/>
                        <w:right w:val="none" w:sz="0" w:space="0" w:color="auto"/>
                      </w:divBdr>
                    </w:div>
                    <w:div w:id="1089160902">
                      <w:marLeft w:val="0"/>
                      <w:marRight w:val="0"/>
                      <w:marTop w:val="0"/>
                      <w:marBottom w:val="0"/>
                      <w:divBdr>
                        <w:top w:val="none" w:sz="0" w:space="0" w:color="auto"/>
                        <w:left w:val="none" w:sz="0" w:space="0" w:color="auto"/>
                        <w:bottom w:val="none" w:sz="0" w:space="0" w:color="auto"/>
                        <w:right w:val="none" w:sz="0" w:space="0" w:color="auto"/>
                      </w:divBdr>
                    </w:div>
                  </w:divsChild>
                </w:div>
                <w:div w:id="831066049">
                  <w:marLeft w:val="0"/>
                  <w:marRight w:val="0"/>
                  <w:marTop w:val="0"/>
                  <w:marBottom w:val="0"/>
                  <w:divBdr>
                    <w:top w:val="none" w:sz="0" w:space="0" w:color="auto"/>
                    <w:left w:val="none" w:sz="0" w:space="0" w:color="auto"/>
                    <w:bottom w:val="none" w:sz="0" w:space="0" w:color="auto"/>
                    <w:right w:val="none" w:sz="0" w:space="0" w:color="auto"/>
                  </w:divBdr>
                  <w:divsChild>
                    <w:div w:id="1277909521">
                      <w:marLeft w:val="0"/>
                      <w:marRight w:val="0"/>
                      <w:marTop w:val="0"/>
                      <w:marBottom w:val="0"/>
                      <w:divBdr>
                        <w:top w:val="none" w:sz="0" w:space="0" w:color="auto"/>
                        <w:left w:val="none" w:sz="0" w:space="0" w:color="auto"/>
                        <w:bottom w:val="none" w:sz="0" w:space="0" w:color="auto"/>
                        <w:right w:val="none" w:sz="0" w:space="0" w:color="auto"/>
                      </w:divBdr>
                    </w:div>
                    <w:div w:id="1724938174">
                      <w:marLeft w:val="0"/>
                      <w:marRight w:val="0"/>
                      <w:marTop w:val="0"/>
                      <w:marBottom w:val="0"/>
                      <w:divBdr>
                        <w:top w:val="none" w:sz="0" w:space="0" w:color="auto"/>
                        <w:left w:val="none" w:sz="0" w:space="0" w:color="auto"/>
                        <w:bottom w:val="none" w:sz="0" w:space="0" w:color="auto"/>
                        <w:right w:val="none" w:sz="0" w:space="0" w:color="auto"/>
                      </w:divBdr>
                    </w:div>
                    <w:div w:id="1500806684">
                      <w:marLeft w:val="0"/>
                      <w:marRight w:val="0"/>
                      <w:marTop w:val="0"/>
                      <w:marBottom w:val="0"/>
                      <w:divBdr>
                        <w:top w:val="none" w:sz="0" w:space="0" w:color="auto"/>
                        <w:left w:val="none" w:sz="0" w:space="0" w:color="auto"/>
                        <w:bottom w:val="none" w:sz="0" w:space="0" w:color="auto"/>
                        <w:right w:val="none" w:sz="0" w:space="0" w:color="auto"/>
                      </w:divBdr>
                    </w:div>
                    <w:div w:id="752163140">
                      <w:marLeft w:val="0"/>
                      <w:marRight w:val="0"/>
                      <w:marTop w:val="0"/>
                      <w:marBottom w:val="0"/>
                      <w:divBdr>
                        <w:top w:val="none" w:sz="0" w:space="0" w:color="auto"/>
                        <w:left w:val="none" w:sz="0" w:space="0" w:color="auto"/>
                        <w:bottom w:val="none" w:sz="0" w:space="0" w:color="auto"/>
                        <w:right w:val="none" w:sz="0" w:space="0" w:color="auto"/>
                      </w:divBdr>
                    </w:div>
                    <w:div w:id="1678385258">
                      <w:marLeft w:val="0"/>
                      <w:marRight w:val="0"/>
                      <w:marTop w:val="0"/>
                      <w:marBottom w:val="0"/>
                      <w:divBdr>
                        <w:top w:val="none" w:sz="0" w:space="0" w:color="auto"/>
                        <w:left w:val="none" w:sz="0" w:space="0" w:color="auto"/>
                        <w:bottom w:val="none" w:sz="0" w:space="0" w:color="auto"/>
                        <w:right w:val="none" w:sz="0" w:space="0" w:color="auto"/>
                      </w:divBdr>
                    </w:div>
                    <w:div w:id="134493903">
                      <w:marLeft w:val="0"/>
                      <w:marRight w:val="0"/>
                      <w:marTop w:val="0"/>
                      <w:marBottom w:val="0"/>
                      <w:divBdr>
                        <w:top w:val="none" w:sz="0" w:space="0" w:color="auto"/>
                        <w:left w:val="none" w:sz="0" w:space="0" w:color="auto"/>
                        <w:bottom w:val="none" w:sz="0" w:space="0" w:color="auto"/>
                        <w:right w:val="none" w:sz="0" w:space="0" w:color="auto"/>
                      </w:divBdr>
                    </w:div>
                  </w:divsChild>
                </w:div>
                <w:div w:id="677654323">
                  <w:marLeft w:val="0"/>
                  <w:marRight w:val="0"/>
                  <w:marTop w:val="0"/>
                  <w:marBottom w:val="0"/>
                  <w:divBdr>
                    <w:top w:val="none" w:sz="0" w:space="0" w:color="auto"/>
                    <w:left w:val="none" w:sz="0" w:space="0" w:color="auto"/>
                    <w:bottom w:val="none" w:sz="0" w:space="0" w:color="auto"/>
                    <w:right w:val="none" w:sz="0" w:space="0" w:color="auto"/>
                  </w:divBdr>
                  <w:divsChild>
                    <w:div w:id="1673676156">
                      <w:marLeft w:val="0"/>
                      <w:marRight w:val="0"/>
                      <w:marTop w:val="0"/>
                      <w:marBottom w:val="0"/>
                      <w:divBdr>
                        <w:top w:val="none" w:sz="0" w:space="0" w:color="auto"/>
                        <w:left w:val="none" w:sz="0" w:space="0" w:color="auto"/>
                        <w:bottom w:val="none" w:sz="0" w:space="0" w:color="auto"/>
                        <w:right w:val="none" w:sz="0" w:space="0" w:color="auto"/>
                      </w:divBdr>
                    </w:div>
                    <w:div w:id="1294362212">
                      <w:marLeft w:val="0"/>
                      <w:marRight w:val="0"/>
                      <w:marTop w:val="0"/>
                      <w:marBottom w:val="0"/>
                      <w:divBdr>
                        <w:top w:val="none" w:sz="0" w:space="0" w:color="auto"/>
                        <w:left w:val="none" w:sz="0" w:space="0" w:color="auto"/>
                        <w:bottom w:val="none" w:sz="0" w:space="0" w:color="auto"/>
                        <w:right w:val="none" w:sz="0" w:space="0" w:color="auto"/>
                      </w:divBdr>
                    </w:div>
                  </w:divsChild>
                </w:div>
                <w:div w:id="443308853">
                  <w:marLeft w:val="0"/>
                  <w:marRight w:val="0"/>
                  <w:marTop w:val="0"/>
                  <w:marBottom w:val="0"/>
                  <w:divBdr>
                    <w:top w:val="none" w:sz="0" w:space="0" w:color="auto"/>
                    <w:left w:val="none" w:sz="0" w:space="0" w:color="auto"/>
                    <w:bottom w:val="none" w:sz="0" w:space="0" w:color="auto"/>
                    <w:right w:val="none" w:sz="0" w:space="0" w:color="auto"/>
                  </w:divBdr>
                  <w:divsChild>
                    <w:div w:id="1085372869">
                      <w:marLeft w:val="0"/>
                      <w:marRight w:val="0"/>
                      <w:marTop w:val="0"/>
                      <w:marBottom w:val="0"/>
                      <w:divBdr>
                        <w:top w:val="none" w:sz="0" w:space="0" w:color="auto"/>
                        <w:left w:val="none" w:sz="0" w:space="0" w:color="auto"/>
                        <w:bottom w:val="none" w:sz="0" w:space="0" w:color="auto"/>
                        <w:right w:val="none" w:sz="0" w:space="0" w:color="auto"/>
                      </w:divBdr>
                    </w:div>
                    <w:div w:id="344523326">
                      <w:marLeft w:val="0"/>
                      <w:marRight w:val="0"/>
                      <w:marTop w:val="0"/>
                      <w:marBottom w:val="0"/>
                      <w:divBdr>
                        <w:top w:val="none" w:sz="0" w:space="0" w:color="auto"/>
                        <w:left w:val="none" w:sz="0" w:space="0" w:color="auto"/>
                        <w:bottom w:val="none" w:sz="0" w:space="0" w:color="auto"/>
                        <w:right w:val="none" w:sz="0" w:space="0" w:color="auto"/>
                      </w:divBdr>
                    </w:div>
                    <w:div w:id="114562877">
                      <w:marLeft w:val="0"/>
                      <w:marRight w:val="0"/>
                      <w:marTop w:val="0"/>
                      <w:marBottom w:val="0"/>
                      <w:divBdr>
                        <w:top w:val="none" w:sz="0" w:space="0" w:color="auto"/>
                        <w:left w:val="none" w:sz="0" w:space="0" w:color="auto"/>
                        <w:bottom w:val="none" w:sz="0" w:space="0" w:color="auto"/>
                        <w:right w:val="none" w:sz="0" w:space="0" w:color="auto"/>
                      </w:divBdr>
                    </w:div>
                  </w:divsChild>
                </w:div>
                <w:div w:id="1575702342">
                  <w:marLeft w:val="0"/>
                  <w:marRight w:val="0"/>
                  <w:marTop w:val="0"/>
                  <w:marBottom w:val="0"/>
                  <w:divBdr>
                    <w:top w:val="none" w:sz="0" w:space="0" w:color="auto"/>
                    <w:left w:val="none" w:sz="0" w:space="0" w:color="auto"/>
                    <w:bottom w:val="none" w:sz="0" w:space="0" w:color="auto"/>
                    <w:right w:val="none" w:sz="0" w:space="0" w:color="auto"/>
                  </w:divBdr>
                  <w:divsChild>
                    <w:div w:id="88186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242009">
          <w:marLeft w:val="0"/>
          <w:marRight w:val="0"/>
          <w:marTop w:val="0"/>
          <w:marBottom w:val="0"/>
          <w:divBdr>
            <w:top w:val="none" w:sz="0" w:space="0" w:color="auto"/>
            <w:left w:val="none" w:sz="0" w:space="0" w:color="auto"/>
            <w:bottom w:val="none" w:sz="0" w:space="0" w:color="auto"/>
            <w:right w:val="none" w:sz="0" w:space="0" w:color="auto"/>
          </w:divBdr>
        </w:div>
        <w:div w:id="210919745">
          <w:marLeft w:val="0"/>
          <w:marRight w:val="0"/>
          <w:marTop w:val="0"/>
          <w:marBottom w:val="0"/>
          <w:divBdr>
            <w:top w:val="none" w:sz="0" w:space="0" w:color="auto"/>
            <w:left w:val="none" w:sz="0" w:space="0" w:color="auto"/>
            <w:bottom w:val="none" w:sz="0" w:space="0" w:color="auto"/>
            <w:right w:val="none" w:sz="0" w:space="0" w:color="auto"/>
          </w:divBdr>
        </w:div>
        <w:div w:id="400951436">
          <w:marLeft w:val="0"/>
          <w:marRight w:val="0"/>
          <w:marTop w:val="0"/>
          <w:marBottom w:val="0"/>
          <w:divBdr>
            <w:top w:val="none" w:sz="0" w:space="0" w:color="auto"/>
            <w:left w:val="none" w:sz="0" w:space="0" w:color="auto"/>
            <w:bottom w:val="none" w:sz="0" w:space="0" w:color="auto"/>
            <w:right w:val="none" w:sz="0" w:space="0" w:color="auto"/>
          </w:divBdr>
        </w:div>
        <w:div w:id="1875190028">
          <w:marLeft w:val="0"/>
          <w:marRight w:val="0"/>
          <w:marTop w:val="0"/>
          <w:marBottom w:val="0"/>
          <w:divBdr>
            <w:top w:val="none" w:sz="0" w:space="0" w:color="auto"/>
            <w:left w:val="none" w:sz="0" w:space="0" w:color="auto"/>
            <w:bottom w:val="none" w:sz="0" w:space="0" w:color="auto"/>
            <w:right w:val="none" w:sz="0" w:space="0" w:color="auto"/>
          </w:divBdr>
        </w:div>
        <w:div w:id="1533760406">
          <w:marLeft w:val="0"/>
          <w:marRight w:val="0"/>
          <w:marTop w:val="0"/>
          <w:marBottom w:val="0"/>
          <w:divBdr>
            <w:top w:val="none" w:sz="0" w:space="0" w:color="auto"/>
            <w:left w:val="none" w:sz="0" w:space="0" w:color="auto"/>
            <w:bottom w:val="none" w:sz="0" w:space="0" w:color="auto"/>
            <w:right w:val="none" w:sz="0" w:space="0" w:color="auto"/>
          </w:divBdr>
        </w:div>
        <w:div w:id="1256553485">
          <w:marLeft w:val="0"/>
          <w:marRight w:val="0"/>
          <w:marTop w:val="0"/>
          <w:marBottom w:val="0"/>
          <w:divBdr>
            <w:top w:val="none" w:sz="0" w:space="0" w:color="auto"/>
            <w:left w:val="none" w:sz="0" w:space="0" w:color="auto"/>
            <w:bottom w:val="none" w:sz="0" w:space="0" w:color="auto"/>
            <w:right w:val="none" w:sz="0" w:space="0" w:color="auto"/>
          </w:divBdr>
        </w:div>
        <w:div w:id="992297021">
          <w:marLeft w:val="0"/>
          <w:marRight w:val="0"/>
          <w:marTop w:val="0"/>
          <w:marBottom w:val="0"/>
          <w:divBdr>
            <w:top w:val="none" w:sz="0" w:space="0" w:color="auto"/>
            <w:left w:val="none" w:sz="0" w:space="0" w:color="auto"/>
            <w:bottom w:val="none" w:sz="0" w:space="0" w:color="auto"/>
            <w:right w:val="none" w:sz="0" w:space="0" w:color="auto"/>
          </w:divBdr>
        </w:div>
        <w:div w:id="2061248458">
          <w:marLeft w:val="0"/>
          <w:marRight w:val="0"/>
          <w:marTop w:val="0"/>
          <w:marBottom w:val="0"/>
          <w:divBdr>
            <w:top w:val="none" w:sz="0" w:space="0" w:color="auto"/>
            <w:left w:val="none" w:sz="0" w:space="0" w:color="auto"/>
            <w:bottom w:val="none" w:sz="0" w:space="0" w:color="auto"/>
            <w:right w:val="none" w:sz="0" w:space="0" w:color="auto"/>
          </w:divBdr>
        </w:div>
        <w:div w:id="2011371420">
          <w:marLeft w:val="0"/>
          <w:marRight w:val="0"/>
          <w:marTop w:val="0"/>
          <w:marBottom w:val="0"/>
          <w:divBdr>
            <w:top w:val="none" w:sz="0" w:space="0" w:color="auto"/>
            <w:left w:val="none" w:sz="0" w:space="0" w:color="auto"/>
            <w:bottom w:val="none" w:sz="0" w:space="0" w:color="auto"/>
            <w:right w:val="none" w:sz="0" w:space="0" w:color="auto"/>
          </w:divBdr>
        </w:div>
        <w:div w:id="1129786690">
          <w:marLeft w:val="0"/>
          <w:marRight w:val="0"/>
          <w:marTop w:val="0"/>
          <w:marBottom w:val="0"/>
          <w:divBdr>
            <w:top w:val="none" w:sz="0" w:space="0" w:color="auto"/>
            <w:left w:val="none" w:sz="0" w:space="0" w:color="auto"/>
            <w:bottom w:val="none" w:sz="0" w:space="0" w:color="auto"/>
            <w:right w:val="none" w:sz="0" w:space="0" w:color="auto"/>
          </w:divBdr>
        </w:div>
        <w:div w:id="1650555656">
          <w:marLeft w:val="0"/>
          <w:marRight w:val="0"/>
          <w:marTop w:val="0"/>
          <w:marBottom w:val="0"/>
          <w:divBdr>
            <w:top w:val="none" w:sz="0" w:space="0" w:color="auto"/>
            <w:left w:val="none" w:sz="0" w:space="0" w:color="auto"/>
            <w:bottom w:val="none" w:sz="0" w:space="0" w:color="auto"/>
            <w:right w:val="none" w:sz="0" w:space="0" w:color="auto"/>
          </w:divBdr>
        </w:div>
        <w:div w:id="104933114">
          <w:marLeft w:val="0"/>
          <w:marRight w:val="0"/>
          <w:marTop w:val="0"/>
          <w:marBottom w:val="0"/>
          <w:divBdr>
            <w:top w:val="none" w:sz="0" w:space="0" w:color="auto"/>
            <w:left w:val="none" w:sz="0" w:space="0" w:color="auto"/>
            <w:bottom w:val="none" w:sz="0" w:space="0" w:color="auto"/>
            <w:right w:val="none" w:sz="0" w:space="0" w:color="auto"/>
          </w:divBdr>
        </w:div>
        <w:div w:id="1795365463">
          <w:marLeft w:val="0"/>
          <w:marRight w:val="0"/>
          <w:marTop w:val="0"/>
          <w:marBottom w:val="0"/>
          <w:divBdr>
            <w:top w:val="none" w:sz="0" w:space="0" w:color="auto"/>
            <w:left w:val="none" w:sz="0" w:space="0" w:color="auto"/>
            <w:bottom w:val="none" w:sz="0" w:space="0" w:color="auto"/>
            <w:right w:val="none" w:sz="0" w:space="0" w:color="auto"/>
          </w:divBdr>
        </w:div>
        <w:div w:id="486677099">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heguardian.com/teacher-network/2018/apr/24/if-we-want-to-stop-teachers-leaving-we-must-invest-in-development" TargetMode="External"/><Relationship Id="rId12" Type="http://schemas.openxmlformats.org/officeDocument/2006/relationships/hyperlink" Target="http://juliandavis.com/5-tips-to-bridge-the-technology-gap-faced-by-adult-learners/" TargetMode="External"/><Relationship Id="rId13" Type="http://schemas.openxmlformats.org/officeDocument/2006/relationships/hyperlink" Target="https://www.theguardian.com/higher-education-network/2018/apr/19/the-world-of-work-is-changing-we-need-more-adult-education-not-less"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tes.com/news/retain-our-best-teachers-we-need-stop-killing-them-planning-marking-and-meetings" TargetMode="External"/><Relationship Id="rId7" Type="http://schemas.openxmlformats.org/officeDocument/2006/relationships/hyperlink" Target="https://www.theguardian.com/teacher-network/2017/jul/19/tips-to-help-schools-reduce-teacher-workload" TargetMode="External"/><Relationship Id="rId8" Type="http://schemas.openxmlformats.org/officeDocument/2006/relationships/hyperlink" Target="https://www.theguardian.com/education/2018/may/13/teacher-burnout-shortages-recruitment-problems-budget-cuts" TargetMode="External"/><Relationship Id="rId9" Type="http://schemas.openxmlformats.org/officeDocument/2006/relationships/hyperlink" Target="http://www.seenmagazine.us/Articles/Article-Detail/articleid/4696/using-teacher-reflection-to-improve-professional-practice" TargetMode="External"/><Relationship Id="rId10" Type="http://schemas.openxmlformats.org/officeDocument/2006/relationships/hyperlink" Target="https://www.theguardian.com/teacher-network/teacher-blog/2013/jan/29/professional-development-teacher-training-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23</Pages>
  <Words>7748</Words>
  <Characters>44166</Characters>
  <Application>Microsoft Macintosh Word</Application>
  <DocSecurity>0</DocSecurity>
  <Lines>368</Lines>
  <Paragraphs>103</Paragraphs>
  <ScaleCrop>false</ScaleCrop>
  <Company/>
  <LinksUpToDate>false</LinksUpToDate>
  <CharactersWithSpaces>51811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2018-06-01T07:36:00Z</dcterms:created>
  <dcterms:modified xsi:type="dcterms:W3CDTF">2018-06-01T07:48:00Z</dcterms:modified>
</cp:coreProperties>
</file>