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DB904D" w14:textId="77777777" w:rsidR="00506DE6" w:rsidRDefault="00D67A20" w:rsidP="00506DE6">
      <w:pPr>
        <w:jc w:val="center"/>
      </w:pPr>
      <w:bookmarkStart w:id="0" w:name="_Hlk147143055"/>
      <w:r>
        <w:rPr>
          <w:noProof/>
          <w:lang w:eastAsia="en-GB"/>
        </w:rPr>
        <w:softHyphen/>
      </w:r>
      <w:r w:rsidR="00BD4868" w:rsidRPr="008D794C">
        <w:rPr>
          <w:rFonts w:cs="Arial"/>
          <w:noProof/>
        </w:rPr>
        <w:drawing>
          <wp:inline distT="0" distB="0" distL="0" distR="0" wp14:anchorId="1DD03443" wp14:editId="395F270F">
            <wp:extent cx="4699000" cy="2463800"/>
            <wp:effectExtent l="0" t="0" r="6350" b="0"/>
            <wp:docPr id="508402567" name="Picture 508402567" descr="A black and yellow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8402567" name="Picture 508402567" descr="A black and yellow logo&#10;&#10;Description automatically generated"/>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4765451" cy="2498642"/>
                    </a:xfrm>
                    <a:prstGeom prst="rect">
                      <a:avLst/>
                    </a:prstGeom>
                    <a:noFill/>
                    <a:ln>
                      <a:noFill/>
                    </a:ln>
                  </pic:spPr>
                </pic:pic>
              </a:graphicData>
            </a:graphic>
          </wp:inline>
        </w:drawing>
      </w:r>
    </w:p>
    <w:p w14:paraId="03B54498" w14:textId="2152217E" w:rsidR="00D67A20" w:rsidRPr="00506DE6" w:rsidRDefault="00D67A20" w:rsidP="00506DE6">
      <w:pPr>
        <w:jc w:val="center"/>
      </w:pPr>
      <w:r>
        <w:rPr>
          <w:b/>
          <w:bCs/>
          <w:sz w:val="32"/>
          <w:szCs w:val="32"/>
        </w:rPr>
        <w:t>BA International Hotel Management</w:t>
      </w:r>
    </w:p>
    <w:p w14:paraId="607842C9" w14:textId="77777777" w:rsidR="00506DE6" w:rsidRDefault="00D67A20" w:rsidP="00506DE6">
      <w:pPr>
        <w:jc w:val="center"/>
        <w:rPr>
          <w:b/>
          <w:bCs/>
          <w:sz w:val="36"/>
          <w:szCs w:val="36"/>
        </w:rPr>
      </w:pPr>
      <w:r>
        <w:rPr>
          <w:b/>
          <w:bCs/>
          <w:sz w:val="32"/>
          <w:szCs w:val="32"/>
        </w:rPr>
        <w:t>LEVEL 5</w:t>
      </w:r>
      <w:r w:rsidR="00506DE6" w:rsidRPr="00506DE6">
        <w:rPr>
          <w:b/>
          <w:bCs/>
          <w:sz w:val="36"/>
          <w:szCs w:val="36"/>
        </w:rPr>
        <w:t xml:space="preserve"> </w:t>
      </w:r>
    </w:p>
    <w:p w14:paraId="5F861C13" w14:textId="77777777" w:rsidR="00506DE6" w:rsidRDefault="00506DE6" w:rsidP="00506DE6">
      <w:pPr>
        <w:jc w:val="center"/>
        <w:rPr>
          <w:b/>
          <w:bCs/>
          <w:sz w:val="36"/>
          <w:szCs w:val="36"/>
        </w:rPr>
      </w:pPr>
    </w:p>
    <w:p w14:paraId="30377789" w14:textId="77777777" w:rsidR="00506DE6" w:rsidRDefault="00506DE6" w:rsidP="00506DE6">
      <w:pPr>
        <w:jc w:val="center"/>
        <w:rPr>
          <w:b/>
          <w:bCs/>
          <w:sz w:val="36"/>
          <w:szCs w:val="36"/>
        </w:rPr>
      </w:pPr>
    </w:p>
    <w:p w14:paraId="67715815" w14:textId="36EFFFDC" w:rsidR="00506DE6" w:rsidRPr="00BD4868" w:rsidRDefault="00506DE6" w:rsidP="00506DE6">
      <w:pPr>
        <w:jc w:val="center"/>
        <w:rPr>
          <w:b/>
          <w:bCs/>
          <w:sz w:val="36"/>
          <w:szCs w:val="36"/>
        </w:rPr>
      </w:pPr>
      <w:r w:rsidRPr="00BD4868">
        <w:rPr>
          <w:b/>
          <w:bCs/>
          <w:sz w:val="36"/>
          <w:szCs w:val="36"/>
        </w:rPr>
        <w:t>Assignment 2: Case Study: The Seacrest Lodge</w:t>
      </w:r>
    </w:p>
    <w:p w14:paraId="209D6C46" w14:textId="024D190A" w:rsidR="00D67A20" w:rsidRDefault="00D67A20" w:rsidP="00D67A20">
      <w:pPr>
        <w:jc w:val="center"/>
        <w:rPr>
          <w:b/>
          <w:bCs/>
          <w:sz w:val="32"/>
          <w:szCs w:val="32"/>
        </w:rPr>
      </w:pPr>
    </w:p>
    <w:p w14:paraId="7F3D7EEE" w14:textId="77777777" w:rsidR="00506DE6" w:rsidRDefault="00506DE6" w:rsidP="00506DE6">
      <w:pPr>
        <w:jc w:val="left"/>
        <w:rPr>
          <w:b/>
          <w:bCs/>
          <w:sz w:val="32"/>
          <w:szCs w:val="32"/>
        </w:rPr>
      </w:pPr>
    </w:p>
    <w:p w14:paraId="26BF932E" w14:textId="52DBA6A6" w:rsidR="00BD4868" w:rsidRDefault="00BD4868" w:rsidP="00506DE6">
      <w:pPr>
        <w:jc w:val="left"/>
        <w:rPr>
          <w:b/>
          <w:bCs/>
          <w:sz w:val="32"/>
          <w:szCs w:val="32"/>
        </w:rPr>
      </w:pPr>
      <w:r>
        <w:rPr>
          <w:b/>
          <w:bCs/>
          <w:sz w:val="32"/>
          <w:szCs w:val="32"/>
        </w:rPr>
        <w:t>Student Name:</w:t>
      </w:r>
      <w:r w:rsidR="00506DE6">
        <w:rPr>
          <w:b/>
          <w:bCs/>
          <w:sz w:val="32"/>
          <w:szCs w:val="32"/>
        </w:rPr>
        <w:t xml:space="preserve"> </w:t>
      </w:r>
      <w:r>
        <w:rPr>
          <w:b/>
          <w:bCs/>
          <w:sz w:val="32"/>
          <w:szCs w:val="32"/>
        </w:rPr>
        <w:t>Ionela Beatrice Hulub</w:t>
      </w:r>
    </w:p>
    <w:p w14:paraId="5AEBD03D" w14:textId="25F2C7C2" w:rsidR="00BD4868" w:rsidRDefault="00BD4868" w:rsidP="00506DE6">
      <w:pPr>
        <w:jc w:val="left"/>
        <w:rPr>
          <w:b/>
          <w:bCs/>
          <w:sz w:val="32"/>
          <w:szCs w:val="32"/>
        </w:rPr>
      </w:pPr>
      <w:r>
        <w:rPr>
          <w:b/>
          <w:bCs/>
          <w:sz w:val="32"/>
          <w:szCs w:val="32"/>
        </w:rPr>
        <w:t>Student ID:</w:t>
      </w:r>
      <w:r w:rsidR="00506DE6">
        <w:rPr>
          <w:b/>
          <w:bCs/>
          <w:sz w:val="32"/>
          <w:szCs w:val="32"/>
        </w:rPr>
        <w:t xml:space="preserve"> </w:t>
      </w:r>
      <w:r>
        <w:rPr>
          <w:b/>
          <w:bCs/>
          <w:sz w:val="32"/>
          <w:szCs w:val="32"/>
        </w:rPr>
        <w:t>2214483</w:t>
      </w:r>
    </w:p>
    <w:p w14:paraId="319D6A5A" w14:textId="77777777" w:rsidR="00506DE6" w:rsidRDefault="00BD4868" w:rsidP="00506DE6">
      <w:pPr>
        <w:jc w:val="left"/>
        <w:rPr>
          <w:b/>
          <w:bCs/>
          <w:sz w:val="32"/>
          <w:szCs w:val="32"/>
        </w:rPr>
      </w:pPr>
      <w:r>
        <w:rPr>
          <w:b/>
          <w:bCs/>
          <w:sz w:val="32"/>
          <w:szCs w:val="32"/>
        </w:rPr>
        <w:t>Module Title:</w:t>
      </w:r>
      <w:r w:rsidR="00506DE6">
        <w:rPr>
          <w:b/>
          <w:bCs/>
          <w:sz w:val="32"/>
          <w:szCs w:val="32"/>
        </w:rPr>
        <w:t xml:space="preserve"> </w:t>
      </w:r>
      <w:r>
        <w:rPr>
          <w:b/>
          <w:bCs/>
          <w:sz w:val="32"/>
          <w:szCs w:val="32"/>
        </w:rPr>
        <w:t xml:space="preserve">Financial Management for Hotel Industry </w:t>
      </w:r>
    </w:p>
    <w:p w14:paraId="74106F52" w14:textId="6DE6281A" w:rsidR="00BD4868" w:rsidRDefault="00BD4868" w:rsidP="00506DE6">
      <w:pPr>
        <w:jc w:val="left"/>
        <w:rPr>
          <w:b/>
          <w:bCs/>
          <w:sz w:val="32"/>
          <w:szCs w:val="32"/>
        </w:rPr>
      </w:pPr>
      <w:r>
        <w:rPr>
          <w:b/>
          <w:bCs/>
          <w:sz w:val="32"/>
          <w:szCs w:val="32"/>
        </w:rPr>
        <w:t>BMIH 5007</w:t>
      </w:r>
    </w:p>
    <w:p w14:paraId="00DF2553" w14:textId="1D25DEE5" w:rsidR="00D67A20" w:rsidRPr="00506DE6" w:rsidRDefault="00BD4868" w:rsidP="00506DE6">
      <w:pPr>
        <w:jc w:val="left"/>
        <w:rPr>
          <w:b/>
          <w:bCs/>
          <w:sz w:val="32"/>
          <w:szCs w:val="32"/>
        </w:rPr>
      </w:pPr>
      <w:r>
        <w:rPr>
          <w:b/>
          <w:bCs/>
          <w:sz w:val="32"/>
          <w:szCs w:val="32"/>
        </w:rPr>
        <w:t>Lecture Name: Tristan Hawkins</w:t>
      </w:r>
    </w:p>
    <w:sdt>
      <w:sdtPr>
        <w:rPr>
          <w:rFonts w:ascii="Times New Roman" w:eastAsiaTheme="minorHAnsi" w:hAnsi="Times New Roman" w:cstheme="minorBidi"/>
          <w:color w:val="auto"/>
          <w:sz w:val="24"/>
          <w:szCs w:val="22"/>
        </w:rPr>
        <w:id w:val="-1534337779"/>
        <w:docPartObj>
          <w:docPartGallery w:val="Table of Contents"/>
          <w:docPartUnique/>
        </w:docPartObj>
      </w:sdtPr>
      <w:sdtContent>
        <w:p w14:paraId="0BA78007" w14:textId="77777777" w:rsidR="00D67A20" w:rsidRDefault="00D67A20" w:rsidP="00D67A20">
          <w:pPr>
            <w:pStyle w:val="TOCHeading"/>
            <w:ind w:firstLine="720"/>
            <w:rPr>
              <w:b/>
            </w:rPr>
          </w:pPr>
          <w:r>
            <w:rPr>
              <w:b/>
            </w:rPr>
            <w:t>Table of Content</w:t>
          </w:r>
        </w:p>
        <w:p w14:paraId="33E739BA" w14:textId="77777777" w:rsidR="00D67A20" w:rsidRDefault="00D67A20" w:rsidP="00D67A20">
          <w:pPr>
            <w:pStyle w:val="TOC1"/>
            <w:tabs>
              <w:tab w:val="right" w:leader="dot" w:pos="9350"/>
            </w:tabs>
            <w:rPr>
              <w:rFonts w:asciiTheme="minorHAnsi" w:eastAsiaTheme="minorEastAsia" w:hAnsiTheme="minorHAnsi"/>
              <w:noProof/>
              <w:kern w:val="0"/>
              <w:sz w:val="22"/>
              <w:lang w:val="en-US"/>
              <w14:ligatures w14:val="none"/>
            </w:rPr>
          </w:pPr>
          <w:r>
            <w:fldChar w:fldCharType="begin"/>
          </w:r>
          <w:r>
            <w:instrText xml:space="preserve"> TOC \o "1-3" \h \z \u </w:instrText>
          </w:r>
          <w:r>
            <w:fldChar w:fldCharType="separate"/>
          </w:r>
          <w:hyperlink r:id="rId5" w:anchor="_Toc159065358" w:history="1">
            <w:r>
              <w:rPr>
                <w:rStyle w:val="Hyperlink"/>
                <w:noProof/>
              </w:rPr>
              <w:t>Assignment 2</w:t>
            </w:r>
            <w:r>
              <w:rPr>
                <w:rStyle w:val="Hyperlink"/>
                <w:noProof/>
                <w:webHidden/>
                <w:color w:val="auto"/>
              </w:rPr>
              <w:tab/>
            </w:r>
            <w:r>
              <w:rPr>
                <w:rStyle w:val="Hyperlink"/>
              </w:rPr>
              <w:fldChar w:fldCharType="begin"/>
            </w:r>
            <w:r>
              <w:rPr>
                <w:rStyle w:val="Hyperlink"/>
                <w:noProof/>
                <w:webHidden/>
                <w:color w:val="auto"/>
              </w:rPr>
              <w:instrText xml:space="preserve"> PAGEREF _Toc159065358 \h </w:instrText>
            </w:r>
            <w:r>
              <w:rPr>
                <w:rStyle w:val="Hyperlink"/>
              </w:rPr>
            </w:r>
            <w:r>
              <w:rPr>
                <w:rStyle w:val="Hyperlink"/>
              </w:rPr>
              <w:fldChar w:fldCharType="separate"/>
            </w:r>
            <w:r>
              <w:rPr>
                <w:rStyle w:val="Hyperlink"/>
                <w:noProof/>
                <w:webHidden/>
                <w:color w:val="auto"/>
              </w:rPr>
              <w:t>3</w:t>
            </w:r>
            <w:r>
              <w:rPr>
                <w:rStyle w:val="Hyperlink"/>
              </w:rPr>
              <w:fldChar w:fldCharType="end"/>
            </w:r>
          </w:hyperlink>
        </w:p>
        <w:p w14:paraId="489E67DA" w14:textId="77777777" w:rsidR="00D67A20" w:rsidRDefault="00D67A20" w:rsidP="00D67A20">
          <w:pPr>
            <w:pStyle w:val="TOC2"/>
            <w:tabs>
              <w:tab w:val="right" w:leader="dot" w:pos="9350"/>
            </w:tabs>
            <w:rPr>
              <w:rFonts w:asciiTheme="minorHAnsi" w:eastAsiaTheme="minorEastAsia" w:hAnsiTheme="minorHAnsi"/>
              <w:noProof/>
              <w:kern w:val="0"/>
              <w:sz w:val="22"/>
              <w:lang w:val="en-US"/>
              <w14:ligatures w14:val="none"/>
            </w:rPr>
          </w:pPr>
          <w:hyperlink r:id="rId6" w:anchor="_Toc159065359" w:history="1">
            <w:r>
              <w:rPr>
                <w:rStyle w:val="Hyperlink"/>
                <w:noProof/>
              </w:rPr>
              <w:t>Analysis of the Financial Performance</w:t>
            </w:r>
            <w:r>
              <w:rPr>
                <w:rStyle w:val="Hyperlink"/>
                <w:noProof/>
                <w:webHidden/>
                <w:color w:val="auto"/>
              </w:rPr>
              <w:tab/>
            </w:r>
            <w:r>
              <w:rPr>
                <w:rStyle w:val="Hyperlink"/>
              </w:rPr>
              <w:fldChar w:fldCharType="begin"/>
            </w:r>
            <w:r>
              <w:rPr>
                <w:rStyle w:val="Hyperlink"/>
                <w:noProof/>
                <w:webHidden/>
                <w:color w:val="auto"/>
              </w:rPr>
              <w:instrText xml:space="preserve"> PAGEREF _Toc159065359 \h </w:instrText>
            </w:r>
            <w:r>
              <w:rPr>
                <w:rStyle w:val="Hyperlink"/>
              </w:rPr>
            </w:r>
            <w:r>
              <w:rPr>
                <w:rStyle w:val="Hyperlink"/>
              </w:rPr>
              <w:fldChar w:fldCharType="separate"/>
            </w:r>
            <w:r>
              <w:rPr>
                <w:rStyle w:val="Hyperlink"/>
                <w:noProof/>
                <w:webHidden/>
                <w:color w:val="auto"/>
              </w:rPr>
              <w:t>3</w:t>
            </w:r>
            <w:r>
              <w:rPr>
                <w:rStyle w:val="Hyperlink"/>
              </w:rPr>
              <w:fldChar w:fldCharType="end"/>
            </w:r>
          </w:hyperlink>
        </w:p>
        <w:p w14:paraId="0002FF23" w14:textId="77777777" w:rsidR="00D67A20" w:rsidRDefault="00D67A20" w:rsidP="00D67A20">
          <w:pPr>
            <w:pStyle w:val="TOC2"/>
            <w:tabs>
              <w:tab w:val="right" w:leader="dot" w:pos="9350"/>
            </w:tabs>
            <w:rPr>
              <w:rFonts w:asciiTheme="minorHAnsi" w:eastAsiaTheme="minorEastAsia" w:hAnsiTheme="minorHAnsi"/>
              <w:noProof/>
              <w:kern w:val="0"/>
              <w:sz w:val="22"/>
              <w:lang w:val="en-US"/>
              <w14:ligatures w14:val="none"/>
            </w:rPr>
          </w:pPr>
          <w:hyperlink r:id="rId7" w:anchor="_Toc159065360" w:history="1">
            <w:r>
              <w:rPr>
                <w:rStyle w:val="Hyperlink"/>
                <w:noProof/>
              </w:rPr>
              <w:t>Key Reasons for Decline in Profitability</w:t>
            </w:r>
            <w:r>
              <w:rPr>
                <w:rStyle w:val="Hyperlink"/>
                <w:noProof/>
                <w:webHidden/>
                <w:color w:val="auto"/>
              </w:rPr>
              <w:tab/>
            </w:r>
            <w:r>
              <w:rPr>
                <w:rStyle w:val="Hyperlink"/>
              </w:rPr>
              <w:fldChar w:fldCharType="begin"/>
            </w:r>
            <w:r>
              <w:rPr>
                <w:rStyle w:val="Hyperlink"/>
                <w:noProof/>
                <w:webHidden/>
                <w:color w:val="auto"/>
              </w:rPr>
              <w:instrText xml:space="preserve"> PAGEREF _Toc159065360 \h </w:instrText>
            </w:r>
            <w:r>
              <w:rPr>
                <w:rStyle w:val="Hyperlink"/>
              </w:rPr>
            </w:r>
            <w:r>
              <w:rPr>
                <w:rStyle w:val="Hyperlink"/>
              </w:rPr>
              <w:fldChar w:fldCharType="separate"/>
            </w:r>
            <w:r>
              <w:rPr>
                <w:rStyle w:val="Hyperlink"/>
                <w:noProof/>
                <w:webHidden/>
                <w:color w:val="auto"/>
              </w:rPr>
              <w:t>5</w:t>
            </w:r>
            <w:r>
              <w:rPr>
                <w:rStyle w:val="Hyperlink"/>
              </w:rPr>
              <w:fldChar w:fldCharType="end"/>
            </w:r>
          </w:hyperlink>
        </w:p>
        <w:p w14:paraId="0E0290EC" w14:textId="77777777" w:rsidR="00D67A20" w:rsidRDefault="00D67A20" w:rsidP="00D67A20">
          <w:pPr>
            <w:pStyle w:val="TOC2"/>
            <w:tabs>
              <w:tab w:val="right" w:leader="dot" w:pos="9350"/>
            </w:tabs>
            <w:rPr>
              <w:rFonts w:asciiTheme="minorHAnsi" w:eastAsiaTheme="minorEastAsia" w:hAnsiTheme="minorHAnsi"/>
              <w:noProof/>
              <w:kern w:val="0"/>
              <w:sz w:val="22"/>
              <w:lang w:val="en-US"/>
              <w14:ligatures w14:val="none"/>
            </w:rPr>
          </w:pPr>
          <w:hyperlink r:id="rId8" w:anchor="_Toc159065361" w:history="1">
            <w:r>
              <w:rPr>
                <w:rStyle w:val="Hyperlink"/>
                <w:noProof/>
              </w:rPr>
              <w:t>Comprehensive Turnaround Strategy</w:t>
            </w:r>
            <w:r>
              <w:rPr>
                <w:rStyle w:val="Hyperlink"/>
                <w:noProof/>
                <w:webHidden/>
                <w:color w:val="auto"/>
              </w:rPr>
              <w:tab/>
            </w:r>
            <w:r>
              <w:rPr>
                <w:rStyle w:val="Hyperlink"/>
              </w:rPr>
              <w:fldChar w:fldCharType="begin"/>
            </w:r>
            <w:r>
              <w:rPr>
                <w:rStyle w:val="Hyperlink"/>
                <w:noProof/>
                <w:webHidden/>
                <w:color w:val="auto"/>
              </w:rPr>
              <w:instrText xml:space="preserve"> PAGEREF _Toc159065361 \h </w:instrText>
            </w:r>
            <w:r>
              <w:rPr>
                <w:rStyle w:val="Hyperlink"/>
              </w:rPr>
            </w:r>
            <w:r>
              <w:rPr>
                <w:rStyle w:val="Hyperlink"/>
              </w:rPr>
              <w:fldChar w:fldCharType="separate"/>
            </w:r>
            <w:r>
              <w:rPr>
                <w:rStyle w:val="Hyperlink"/>
                <w:noProof/>
                <w:webHidden/>
                <w:color w:val="auto"/>
              </w:rPr>
              <w:t>6</w:t>
            </w:r>
            <w:r>
              <w:rPr>
                <w:rStyle w:val="Hyperlink"/>
              </w:rPr>
              <w:fldChar w:fldCharType="end"/>
            </w:r>
          </w:hyperlink>
        </w:p>
        <w:p w14:paraId="137E71D9" w14:textId="77777777" w:rsidR="00D67A20" w:rsidRDefault="00D67A20" w:rsidP="00D67A20">
          <w:pPr>
            <w:pStyle w:val="TOC2"/>
            <w:tabs>
              <w:tab w:val="right" w:leader="dot" w:pos="9350"/>
            </w:tabs>
            <w:rPr>
              <w:rFonts w:asciiTheme="minorHAnsi" w:eastAsiaTheme="minorEastAsia" w:hAnsiTheme="minorHAnsi"/>
              <w:noProof/>
              <w:kern w:val="0"/>
              <w:sz w:val="22"/>
              <w:lang w:val="en-US"/>
              <w14:ligatures w14:val="none"/>
            </w:rPr>
          </w:pPr>
          <w:hyperlink r:id="rId9" w:anchor="_Toc159065362" w:history="1">
            <w:r>
              <w:rPr>
                <w:rStyle w:val="Hyperlink"/>
                <w:noProof/>
              </w:rPr>
              <w:t>Conclusion</w:t>
            </w:r>
            <w:r>
              <w:rPr>
                <w:rStyle w:val="Hyperlink"/>
                <w:noProof/>
                <w:webHidden/>
                <w:color w:val="auto"/>
              </w:rPr>
              <w:tab/>
            </w:r>
            <w:r>
              <w:rPr>
                <w:rStyle w:val="Hyperlink"/>
              </w:rPr>
              <w:fldChar w:fldCharType="begin"/>
            </w:r>
            <w:r>
              <w:rPr>
                <w:rStyle w:val="Hyperlink"/>
                <w:noProof/>
                <w:webHidden/>
                <w:color w:val="auto"/>
              </w:rPr>
              <w:instrText xml:space="preserve"> PAGEREF _Toc159065362 \h </w:instrText>
            </w:r>
            <w:r>
              <w:rPr>
                <w:rStyle w:val="Hyperlink"/>
              </w:rPr>
            </w:r>
            <w:r>
              <w:rPr>
                <w:rStyle w:val="Hyperlink"/>
              </w:rPr>
              <w:fldChar w:fldCharType="separate"/>
            </w:r>
            <w:r>
              <w:rPr>
                <w:rStyle w:val="Hyperlink"/>
                <w:noProof/>
                <w:webHidden/>
                <w:color w:val="auto"/>
              </w:rPr>
              <w:t>8</w:t>
            </w:r>
            <w:r>
              <w:rPr>
                <w:rStyle w:val="Hyperlink"/>
              </w:rPr>
              <w:fldChar w:fldCharType="end"/>
            </w:r>
          </w:hyperlink>
        </w:p>
        <w:p w14:paraId="74E25766" w14:textId="77777777" w:rsidR="00D67A20" w:rsidRDefault="00D67A20" w:rsidP="00D67A20">
          <w:pPr>
            <w:pStyle w:val="TOC1"/>
            <w:tabs>
              <w:tab w:val="right" w:leader="dot" w:pos="9350"/>
            </w:tabs>
            <w:rPr>
              <w:rFonts w:asciiTheme="minorHAnsi" w:eastAsiaTheme="minorEastAsia" w:hAnsiTheme="minorHAnsi"/>
              <w:noProof/>
              <w:kern w:val="0"/>
              <w:sz w:val="22"/>
              <w:lang w:val="en-US"/>
              <w14:ligatures w14:val="none"/>
            </w:rPr>
          </w:pPr>
          <w:hyperlink r:id="rId10" w:anchor="_Toc159065363" w:history="1">
            <w:r>
              <w:rPr>
                <w:rStyle w:val="Hyperlink"/>
                <w:noProof/>
              </w:rPr>
              <w:t>References</w:t>
            </w:r>
            <w:r>
              <w:rPr>
                <w:rStyle w:val="Hyperlink"/>
                <w:noProof/>
                <w:webHidden/>
                <w:color w:val="auto"/>
              </w:rPr>
              <w:tab/>
            </w:r>
            <w:r>
              <w:rPr>
                <w:rStyle w:val="Hyperlink"/>
              </w:rPr>
              <w:fldChar w:fldCharType="begin"/>
            </w:r>
            <w:r>
              <w:rPr>
                <w:rStyle w:val="Hyperlink"/>
                <w:noProof/>
                <w:webHidden/>
                <w:color w:val="auto"/>
              </w:rPr>
              <w:instrText xml:space="preserve"> PAGEREF _Toc159065363 \h </w:instrText>
            </w:r>
            <w:r>
              <w:rPr>
                <w:rStyle w:val="Hyperlink"/>
              </w:rPr>
            </w:r>
            <w:r>
              <w:rPr>
                <w:rStyle w:val="Hyperlink"/>
              </w:rPr>
              <w:fldChar w:fldCharType="separate"/>
            </w:r>
            <w:r>
              <w:rPr>
                <w:rStyle w:val="Hyperlink"/>
                <w:noProof/>
                <w:webHidden/>
                <w:color w:val="auto"/>
              </w:rPr>
              <w:t>9</w:t>
            </w:r>
            <w:r>
              <w:rPr>
                <w:rStyle w:val="Hyperlink"/>
              </w:rPr>
              <w:fldChar w:fldCharType="end"/>
            </w:r>
          </w:hyperlink>
        </w:p>
        <w:p w14:paraId="2A3FEA24" w14:textId="77777777" w:rsidR="00D67A20" w:rsidRDefault="00D67A20" w:rsidP="00D67A20">
          <w:r>
            <w:fldChar w:fldCharType="end"/>
          </w:r>
        </w:p>
      </w:sdtContent>
    </w:sdt>
    <w:p w14:paraId="71062F88" w14:textId="77777777" w:rsidR="00D67A20" w:rsidRDefault="00D67A20" w:rsidP="00D67A20"/>
    <w:p w14:paraId="155A670D" w14:textId="77777777" w:rsidR="00D67A20" w:rsidRDefault="00D67A20" w:rsidP="00D67A20"/>
    <w:p w14:paraId="48300DE7" w14:textId="77777777" w:rsidR="00D67A20" w:rsidRDefault="00D67A20" w:rsidP="00D67A20"/>
    <w:p w14:paraId="769228E3" w14:textId="77777777" w:rsidR="00D67A20" w:rsidRDefault="00D67A20" w:rsidP="00D67A20"/>
    <w:p w14:paraId="603781BA" w14:textId="77777777" w:rsidR="00D67A20" w:rsidRDefault="00D67A20" w:rsidP="00D67A20"/>
    <w:p w14:paraId="4C78A0C0" w14:textId="77777777" w:rsidR="00D67A20" w:rsidRDefault="00D67A20" w:rsidP="00D67A20"/>
    <w:p w14:paraId="4ABBB9F8" w14:textId="77777777" w:rsidR="00D67A20" w:rsidRDefault="00D67A20" w:rsidP="00D67A20"/>
    <w:p w14:paraId="1EDA3F3B" w14:textId="77777777" w:rsidR="00D67A20" w:rsidRDefault="00D67A20" w:rsidP="00D67A20"/>
    <w:p w14:paraId="35B86FA2" w14:textId="77777777" w:rsidR="00D67A20" w:rsidRDefault="00D67A20" w:rsidP="00D67A20"/>
    <w:p w14:paraId="7F9F7257" w14:textId="77777777" w:rsidR="00D67A20" w:rsidRDefault="00D67A20" w:rsidP="00D67A20"/>
    <w:p w14:paraId="22F2614D" w14:textId="77777777" w:rsidR="00D67A20" w:rsidRDefault="00D67A20" w:rsidP="00D67A20"/>
    <w:p w14:paraId="478B9DD0" w14:textId="77777777" w:rsidR="00D67A20" w:rsidRDefault="00D67A20" w:rsidP="00D67A20"/>
    <w:p w14:paraId="52322268" w14:textId="77777777" w:rsidR="00D67A20" w:rsidRDefault="00D67A20" w:rsidP="00D67A20"/>
    <w:p w14:paraId="685ED48F" w14:textId="77777777" w:rsidR="00D67A20" w:rsidRDefault="00D67A20" w:rsidP="00D67A20"/>
    <w:p w14:paraId="2FE4A1C0" w14:textId="77777777" w:rsidR="00D67A20" w:rsidRDefault="00D67A20" w:rsidP="00D67A20"/>
    <w:p w14:paraId="711E214F" w14:textId="77777777" w:rsidR="00D67A20" w:rsidRDefault="00D67A20" w:rsidP="00D67A20">
      <w:pPr>
        <w:rPr>
          <w:b/>
          <w:bCs/>
        </w:rPr>
      </w:pPr>
      <w:r>
        <w:rPr>
          <w:b/>
          <w:bCs/>
        </w:rPr>
        <w:lastRenderedPageBreak/>
        <w:t xml:space="preserve">Introduction: </w:t>
      </w:r>
    </w:p>
    <w:p w14:paraId="2BF0B662" w14:textId="77777777" w:rsidR="00D67A20" w:rsidRDefault="00D67A20" w:rsidP="00D67A20">
      <w:r>
        <w:t>The report is based on the given case of Seacrest Lodge. It scrutinizes challenges pertaining to profitability and financial performance that the organization has encountered. Despite these hurdles, the report also documents a turnaround observed towards the conclusion. Through detailed analysis, it sheds light on the strategies employed to navigate the difficulties and achieve a positive outcome. By exploring both the problems faced and the subsequent resolution, the report provides valuable insights into the dynamics of managing and revitalizing a business in challenging circumstances.</w:t>
      </w:r>
    </w:p>
    <w:p w14:paraId="4C91899E" w14:textId="77777777" w:rsidR="00D67A20" w:rsidRDefault="00D67A20" w:rsidP="00D67A20">
      <w:pPr>
        <w:pStyle w:val="Heading2"/>
        <w:spacing w:before="360"/>
      </w:pPr>
      <w:bookmarkStart w:id="1" w:name="_Toc159065359"/>
      <w:r>
        <w:t>Analysis of the Financial Performance</w:t>
      </w:r>
      <w:bookmarkEnd w:id="1"/>
    </w:p>
    <w:p w14:paraId="06595F33" w14:textId="77777777" w:rsidR="00D67A20" w:rsidRDefault="00D67A20" w:rsidP="00D67A20">
      <w:pPr>
        <w:spacing w:before="240"/>
      </w:pPr>
      <w:r>
        <w:rPr>
          <w:b/>
        </w:rPr>
        <w:t xml:space="preserve">Decline in Revenue: </w:t>
      </w:r>
      <w:r>
        <w:t>The Seacrest Lodge’s revenue has declined in both 2022 and 2023 by £100,000 and £150,000 respectively. The decline in percentage terms was 8.33% and 13.64% respectively. The decline in revenue was driven by both decrease in Average Room Rate and Occupancy Rate. This indicates there has been both a decrease in demand and pressure on pricing.</w:t>
      </w:r>
    </w:p>
    <w:p w14:paraId="2DA5D11D" w14:textId="0E8184B8" w:rsidR="00D67A20" w:rsidRDefault="00D67A20" w:rsidP="00D67A20">
      <w:pPr>
        <w:spacing w:before="240"/>
      </w:pPr>
      <w:r>
        <w:rPr>
          <w:noProof/>
        </w:rPr>
        <w:drawing>
          <wp:anchor distT="0" distB="0" distL="114300" distR="114300" simplePos="0" relativeHeight="251658240" behindDoc="0" locked="0" layoutInCell="1" allowOverlap="1" wp14:anchorId="02DE14BA" wp14:editId="19BD4EB7">
            <wp:simplePos x="0" y="0"/>
            <wp:positionH relativeFrom="margin">
              <wp:align>center</wp:align>
            </wp:positionH>
            <wp:positionV relativeFrom="paragraph">
              <wp:posOffset>61595</wp:posOffset>
            </wp:positionV>
            <wp:extent cx="4443730" cy="2328545"/>
            <wp:effectExtent l="0" t="0" r="13970" b="14605"/>
            <wp:wrapNone/>
            <wp:docPr id="1"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14:sizeRelH relativeFrom="margin">
              <wp14:pctWidth>0</wp14:pctWidth>
            </wp14:sizeRelH>
            <wp14:sizeRelV relativeFrom="margin">
              <wp14:pctHeight>0</wp14:pctHeight>
            </wp14:sizeRelV>
          </wp:anchor>
        </w:drawing>
      </w:r>
    </w:p>
    <w:p w14:paraId="4D54181B" w14:textId="77777777" w:rsidR="00D67A20" w:rsidRDefault="00D67A20" w:rsidP="00D67A20">
      <w:pPr>
        <w:spacing w:before="240"/>
        <w:rPr>
          <w:b/>
        </w:rPr>
      </w:pPr>
    </w:p>
    <w:p w14:paraId="2E2DA418" w14:textId="77777777" w:rsidR="00D67A20" w:rsidRDefault="00D67A20" w:rsidP="00D67A20">
      <w:pPr>
        <w:spacing w:before="240"/>
        <w:rPr>
          <w:b/>
        </w:rPr>
      </w:pPr>
    </w:p>
    <w:p w14:paraId="27FCEFDB" w14:textId="77777777" w:rsidR="00D67A20" w:rsidRDefault="00D67A20" w:rsidP="00D67A20">
      <w:pPr>
        <w:spacing w:before="240"/>
        <w:rPr>
          <w:b/>
        </w:rPr>
      </w:pPr>
    </w:p>
    <w:p w14:paraId="2D8A74CF" w14:textId="77777777" w:rsidR="00D67A20" w:rsidRDefault="00D67A20" w:rsidP="00D67A20">
      <w:pPr>
        <w:spacing w:before="240"/>
        <w:rPr>
          <w:b/>
        </w:rPr>
      </w:pPr>
    </w:p>
    <w:p w14:paraId="33AFF148" w14:textId="77777777" w:rsidR="00D67A20" w:rsidRDefault="00D67A20" w:rsidP="00D67A20">
      <w:pPr>
        <w:spacing w:before="240"/>
        <w:rPr>
          <w:b/>
        </w:rPr>
      </w:pPr>
    </w:p>
    <w:p w14:paraId="7065A8ED" w14:textId="77777777" w:rsidR="00506DE6" w:rsidRDefault="00506DE6">
      <w:pPr>
        <w:spacing w:line="259" w:lineRule="auto"/>
        <w:jc w:val="left"/>
        <w:rPr>
          <w:b/>
        </w:rPr>
      </w:pPr>
      <w:r>
        <w:rPr>
          <w:b/>
        </w:rPr>
        <w:br w:type="page"/>
      </w:r>
    </w:p>
    <w:p w14:paraId="54778F9D" w14:textId="070E8AF4" w:rsidR="00D67A20" w:rsidRDefault="00D67A20" w:rsidP="00D67A20">
      <w:pPr>
        <w:spacing w:before="240"/>
      </w:pPr>
      <w:r>
        <w:rPr>
          <w:b/>
        </w:rPr>
        <w:lastRenderedPageBreak/>
        <w:t xml:space="preserve">Growing operating expenses: </w:t>
      </w:r>
      <w:r>
        <w:t xml:space="preserve">Operating expenses have increased at the same time when revenue has declined. Operating expenses of The Seacrest Lodge had increased by £50,000 and </w:t>
      </w:r>
      <w:proofErr w:type="gramStart"/>
      <w:r>
        <w:t>£150,000</w:t>
      </w:r>
      <w:proofErr w:type="gramEnd"/>
      <w:r>
        <w:t xml:space="preserve"> </w:t>
      </w:r>
    </w:p>
    <w:p w14:paraId="09CD6C74" w14:textId="60E46D26" w:rsidR="00D67A20" w:rsidRDefault="00D67A20" w:rsidP="00D67A20">
      <w:pPr>
        <w:spacing w:before="240"/>
      </w:pPr>
      <w:r>
        <w:rPr>
          <w:noProof/>
        </w:rPr>
        <w:drawing>
          <wp:anchor distT="0" distB="0" distL="114300" distR="114300" simplePos="0" relativeHeight="251658240" behindDoc="0" locked="0" layoutInCell="1" allowOverlap="1" wp14:anchorId="1CCDD0AE" wp14:editId="4FC55897">
            <wp:simplePos x="0" y="0"/>
            <wp:positionH relativeFrom="margin">
              <wp:posOffset>915670</wp:posOffset>
            </wp:positionH>
            <wp:positionV relativeFrom="paragraph">
              <wp:posOffset>13970</wp:posOffset>
            </wp:positionV>
            <wp:extent cx="4273550" cy="2273935"/>
            <wp:effectExtent l="0" t="0" r="12700" b="12065"/>
            <wp:wrapNone/>
            <wp:docPr id="2"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14:sizeRelH relativeFrom="margin">
              <wp14:pctWidth>0</wp14:pctWidth>
            </wp14:sizeRelH>
            <wp14:sizeRelV relativeFrom="margin">
              <wp14:pctHeight>0</wp14:pctHeight>
            </wp14:sizeRelV>
          </wp:anchor>
        </w:drawing>
      </w:r>
    </w:p>
    <w:p w14:paraId="28C65FA1" w14:textId="77777777" w:rsidR="00D67A20" w:rsidRDefault="00D67A20" w:rsidP="00D67A20">
      <w:pPr>
        <w:spacing w:before="240"/>
      </w:pPr>
    </w:p>
    <w:p w14:paraId="5D4F73E3" w14:textId="77777777" w:rsidR="00D67A20" w:rsidRDefault="00D67A20" w:rsidP="00D67A20">
      <w:pPr>
        <w:spacing w:before="240"/>
      </w:pPr>
    </w:p>
    <w:p w14:paraId="4C1DA17B" w14:textId="77777777" w:rsidR="00D67A20" w:rsidRDefault="00D67A20" w:rsidP="00D67A20">
      <w:pPr>
        <w:spacing w:before="240"/>
      </w:pPr>
    </w:p>
    <w:p w14:paraId="27C8D99B" w14:textId="77777777" w:rsidR="00D67A20" w:rsidRDefault="00D67A20" w:rsidP="00D67A20">
      <w:pPr>
        <w:spacing w:before="240"/>
      </w:pPr>
    </w:p>
    <w:p w14:paraId="5F50D4B1" w14:textId="77777777" w:rsidR="00D67A20" w:rsidRDefault="00D67A20" w:rsidP="00D67A20">
      <w:pPr>
        <w:spacing w:before="240"/>
      </w:pPr>
    </w:p>
    <w:p w14:paraId="3AFC6BC8" w14:textId="77777777" w:rsidR="00D67A20" w:rsidRDefault="00D67A20" w:rsidP="00D67A20">
      <w:pPr>
        <w:spacing w:before="240"/>
      </w:pPr>
      <w:r>
        <w:t xml:space="preserve">in 2022 and 2023 respectively. In percentage terms, the increase was 5.56% and 15.79% respectively. The increase was likely driven by growing inflation and rising energy costs. </w:t>
      </w:r>
    </w:p>
    <w:p w14:paraId="00BFBD90" w14:textId="77777777" w:rsidR="00D67A20" w:rsidRDefault="00D67A20" w:rsidP="00D67A20">
      <w:pPr>
        <w:spacing w:before="240"/>
      </w:pPr>
      <w:r>
        <w:rPr>
          <w:b/>
        </w:rPr>
        <w:t xml:space="preserve">Declining Net Income: </w:t>
      </w:r>
      <w:r>
        <w:t xml:space="preserve">As the revenue has declined and operating expenses have increased, this also impacted the net income of The Seacrest Lodge. Net income has declined in 2022 to £150,000 from £300,000 in 2021 due to £100,000 decline in revenue and £50,000 increase in operating expenses. Net income has become negative in 2023 as the net income has declined to (£150,000) in 2023 from £150,000 in 2022 due to £150,000 decline in revenue and £150,000 increase in operating expenses. </w:t>
      </w:r>
    </w:p>
    <w:p w14:paraId="56D7F1FC" w14:textId="77777777" w:rsidR="00D67A20" w:rsidRDefault="00D67A20" w:rsidP="00D67A20">
      <w:pPr>
        <w:spacing w:before="240"/>
      </w:pPr>
      <w:r>
        <w:rPr>
          <w:b/>
        </w:rPr>
        <w:t xml:space="preserve">Decreasing Total Assets: </w:t>
      </w:r>
      <w:r>
        <w:t xml:space="preserve">The total assets have slightly declined to £2,120,000 in 2022 from £2,150,000 in 2021. However, the total assets have significantly declined in 2023 to £1,850,000 in 2023. Cash and equivalents had declined by £60,000 to £20,000 in 2023. This decline in Cash and Equivalents likely happened to cover the working capital requirements. Property and Equipment had also declined by £200,000 to £1,800,000 in 2023. This decline in Property and Equipment has likely happened either due to depreciation of fixed assets or selling of the fixed assets to cover expenses or liabilities (Armstrong et al., 2023). </w:t>
      </w:r>
    </w:p>
    <w:p w14:paraId="356B44FD" w14:textId="77777777" w:rsidR="00D67A20" w:rsidRDefault="00D67A20" w:rsidP="00D67A20">
      <w:pPr>
        <w:spacing w:before="240"/>
        <w:rPr>
          <w:b/>
        </w:rPr>
      </w:pPr>
      <w:r>
        <w:rPr>
          <w:b/>
        </w:rPr>
        <w:t xml:space="preserve">Stable Liabilities: </w:t>
      </w:r>
      <w:r>
        <w:t xml:space="preserve">Total liabilities have remained stable throughout these three years and only increased by £10,000 in 2022 and 2023. Long term debt has remained the same from 2021 to 2023. </w:t>
      </w:r>
      <w:r>
        <w:lastRenderedPageBreak/>
        <w:t xml:space="preserve">This indicates The Seacrest Ledge has not taken any capital expenditure projects during this period. As the occupancy rate has been going down over the years and has only stood at 50% in 2023, the company likely doesn’t feel any need to invest in capital expenditure projects and business expansion. Also, declining revenue, growing operating expenses and negative net income have likely deterred them from taking out new </w:t>
      </w:r>
      <w:proofErr w:type="gramStart"/>
      <w:r>
        <w:t>long term</w:t>
      </w:r>
      <w:proofErr w:type="gramEnd"/>
      <w:r>
        <w:t xml:space="preserve"> loans and investing in capital expenditure projects (Bouten et al., 2016). </w:t>
      </w:r>
    </w:p>
    <w:p w14:paraId="6F426730" w14:textId="77777777" w:rsidR="00D67A20" w:rsidRDefault="00D67A20" w:rsidP="00D67A20">
      <w:pPr>
        <w:spacing w:before="240"/>
      </w:pPr>
      <w:r>
        <w:rPr>
          <w:b/>
        </w:rPr>
        <w:t xml:space="preserve">Declining Equity: </w:t>
      </w:r>
      <w:r>
        <w:t xml:space="preserve">Total equity of The Seacrest Lodge has declined by £40,000 in 2022 to £580,000 and declined significantly by £280,000 in 2023 to £300,000. The decline in equity was likely driven by negative net income. The Seacrest Lodge might have also given away dividends or adjusted its revaluation reserve which might have also impacted the equity amount (Bragg, 2017). </w:t>
      </w:r>
    </w:p>
    <w:p w14:paraId="617D8F00" w14:textId="77777777" w:rsidR="00D67A20" w:rsidRDefault="00D67A20" w:rsidP="00D67A20">
      <w:pPr>
        <w:pStyle w:val="Heading2"/>
      </w:pPr>
      <w:bookmarkStart w:id="2" w:name="_Toc159065360"/>
      <w:bookmarkEnd w:id="0"/>
      <w:r>
        <w:t>Key Reasons for Decline in Profitability</w:t>
      </w:r>
      <w:bookmarkEnd w:id="2"/>
    </w:p>
    <w:p w14:paraId="28E3E8DD" w14:textId="77777777" w:rsidR="00D67A20" w:rsidRDefault="00D67A20" w:rsidP="00D67A20"/>
    <w:p w14:paraId="4A693569" w14:textId="77777777" w:rsidR="00D67A20" w:rsidRDefault="00D67A20" w:rsidP="00D67A20">
      <w:r>
        <w:rPr>
          <w:b/>
        </w:rPr>
        <w:t xml:space="preserve">Decrease in Average Room Rate (ARR): </w:t>
      </w:r>
      <w:r>
        <w:t xml:space="preserve">ARR has declined from £260 in 2021 to £240 in 2022 to £210 in 2023. The decrease in Average Room Rate is likely due to The Seacrest Lodge reducing its room rates to attract more customers. The coastal market for resorts is highly competitive and there have been newer, more modern resorts in the vicinity of The Seacrest Lodge. Customers are likely opting for these newer resorts and are not choosing The Seacrest Ledge for their stay. </w:t>
      </w:r>
      <w:proofErr w:type="gramStart"/>
      <w:r>
        <w:t>So</w:t>
      </w:r>
      <w:proofErr w:type="gramEnd"/>
      <w:r>
        <w:t xml:space="preserve"> to attract customers, the resort has likely reduced its Average Room Rate in 2022 and 2023. The reduction in 2023 was higher compared to 2022. </w:t>
      </w:r>
    </w:p>
    <w:p w14:paraId="4132CFCA" w14:textId="77777777" w:rsidR="00D67A20" w:rsidRDefault="00D67A20" w:rsidP="00D67A20">
      <w:r>
        <w:rPr>
          <w:b/>
        </w:rPr>
        <w:t xml:space="preserve">Decrease in occupancy rate: </w:t>
      </w:r>
      <w:r>
        <w:t xml:space="preserve">The occupancy rate for the resort has declined by 500 basis points in 2022 to 60%. The resort has witnessed even higher decline in 2023 of 1000 basis points. These sharp declines in occupancy rates indicates that customers are increasingly opting for the newer and modern resorts instead of The Seacrest Lodge. Customers consider the resort’s service quality is not updated and has declined over the years. It is likely that the resort is particularly failing to attract younger customers. </w:t>
      </w:r>
    </w:p>
    <w:p w14:paraId="555A5FA2" w14:textId="77777777" w:rsidR="00D67A20" w:rsidRDefault="00D67A20" w:rsidP="00D67A20">
      <w:r>
        <w:rPr>
          <w:b/>
        </w:rPr>
        <w:t xml:space="preserve">Growing operating expenses and declining revenue during the same period: </w:t>
      </w:r>
      <w:r>
        <w:t xml:space="preserve">The Seacrest Lodge has witnessed declining revenue and growing operating expenses during the same period. This led to a double effect in squeezing the profitability and for the net income to become negative. </w:t>
      </w:r>
    </w:p>
    <w:p w14:paraId="0713AF3C" w14:textId="77777777" w:rsidR="00D67A20" w:rsidRDefault="00D67A20" w:rsidP="00D67A20">
      <w:r>
        <w:rPr>
          <w:b/>
        </w:rPr>
        <w:lastRenderedPageBreak/>
        <w:t xml:space="preserve">Competitive landscape: </w:t>
      </w:r>
      <w:r>
        <w:t xml:space="preserve">The coastal market for resorts has always been highly competitive. To add to the competition, </w:t>
      </w:r>
      <w:proofErr w:type="gramStart"/>
      <w:r>
        <w:t>a number of</w:t>
      </w:r>
      <w:proofErr w:type="gramEnd"/>
      <w:r>
        <w:t xml:space="preserve"> new and modern resorts have been constructed in the vicinity of the Seacrest Lodge. The competition is likely to grow in the coming years as the market presents lucrative opportunities (David &amp; David, 2022). </w:t>
      </w:r>
    </w:p>
    <w:p w14:paraId="19363B0F" w14:textId="31C50020" w:rsidR="00D67A20" w:rsidRDefault="00D67A20" w:rsidP="00D67A20">
      <w:r>
        <w:rPr>
          <w:b/>
        </w:rPr>
        <w:t xml:space="preserve">Shifts in customer preferences: </w:t>
      </w:r>
      <w:r>
        <w:t xml:space="preserve">Customer preferences always shift with changes in demographics, age groups, technological advancement, and cultural shifts. Businesses must be able to stay </w:t>
      </w:r>
      <w:r w:rsidR="00506DE6">
        <w:t>up to date</w:t>
      </w:r>
      <w:r>
        <w:t xml:space="preserve"> with customer preferences, otherwise, they will fall behind the competition. It appears that The Seacrest Lodge has failed to remain </w:t>
      </w:r>
      <w:r w:rsidR="00506DE6">
        <w:t>up to date</w:t>
      </w:r>
      <w:r>
        <w:t xml:space="preserve"> with customer preference shifts. </w:t>
      </w:r>
    </w:p>
    <w:p w14:paraId="50847302" w14:textId="77777777" w:rsidR="00D67A20" w:rsidRDefault="00D67A20" w:rsidP="00D67A20">
      <w:r>
        <w:rPr>
          <w:b/>
        </w:rPr>
        <w:t xml:space="preserve">Declining Service Qualities and outdated amenities: </w:t>
      </w:r>
      <w:r>
        <w:t>From customer reviews, it was found that declining service qualities and outdated amenities were primary reasons behind dissatisfaction of customers and decline in occupancy rates.</w:t>
      </w:r>
    </w:p>
    <w:p w14:paraId="043CF54A" w14:textId="77777777" w:rsidR="00D67A20" w:rsidRDefault="00D67A20" w:rsidP="00D67A20">
      <w:r>
        <w:rPr>
          <w:b/>
        </w:rPr>
        <w:t xml:space="preserve">High inflation: </w:t>
      </w:r>
      <w:r>
        <w:t>UK has witnessed record high inflation in 2022 and 2023 which peaked at 11.1% in October 2022 (Statista, 2024). This high inflation had likely led to the higher operating expenses recorded by the resort. Also, high inflation has led to a high cost of living and decline in purchasing power of the customers of The Seacrest Lodge. Many probable customers of the resorts have likely opted to not travel or to choose cheaper options. This has also likely played a role in declining ARR and occupancy rates of The Seacrest Lodge.</w:t>
      </w:r>
    </w:p>
    <w:p w14:paraId="319AB807" w14:textId="77777777" w:rsidR="00D67A20" w:rsidRDefault="00D67A20" w:rsidP="00D67A20">
      <w:pPr>
        <w:pStyle w:val="Heading2"/>
      </w:pPr>
      <w:bookmarkStart w:id="3" w:name="_Toc159065361"/>
      <w:r>
        <w:t>Comprehensive Turnaround Strategy</w:t>
      </w:r>
      <w:bookmarkEnd w:id="3"/>
    </w:p>
    <w:p w14:paraId="1792BB76" w14:textId="77777777" w:rsidR="00D67A20" w:rsidRDefault="00D67A20" w:rsidP="00D67A20">
      <w:pPr>
        <w:spacing w:before="240" w:after="0"/>
      </w:pPr>
      <w:r>
        <w:rPr>
          <w:b/>
        </w:rPr>
        <w:t xml:space="preserve">Improvement in Service Quality: </w:t>
      </w:r>
      <w:r>
        <w:t xml:space="preserve">Service quality has been a significant issue for customers and why they have stopped opting for The Seacrest Lodge. Based on customer feedback, the resort should invest in training its staff to update their service quality and align with customer preferences. The resort can expect this initiative to lead to better customer reviews and generate repeat customers. </w:t>
      </w:r>
    </w:p>
    <w:p w14:paraId="732E6C50" w14:textId="77777777" w:rsidR="00D67A20" w:rsidRDefault="00D67A20" w:rsidP="00D67A20">
      <w:pPr>
        <w:spacing w:before="240" w:after="0"/>
      </w:pPr>
      <w:r>
        <w:rPr>
          <w:b/>
        </w:rPr>
        <w:t>Updated amenities</w:t>
      </w:r>
      <w:r>
        <w:t xml:space="preserve">: Outdated amenities have also been a major complaint of the investors. The resort should invest in upgrading its amenities to align with customer preference shifts and effectively compete with newer, modern resorts. These updated amenities could be providing free Wi-Fi, renovating the existing rooms, constructing fitness centre etc. The resort can also enhance facilities such as restaurants, bar and spa according to customer preferences and feedback. The </w:t>
      </w:r>
      <w:r>
        <w:lastRenderedPageBreak/>
        <w:t xml:space="preserve">resort can renovate its rooms by constructing more of high demand room features such as balconies and ocean views. </w:t>
      </w:r>
    </w:p>
    <w:p w14:paraId="56FE4015" w14:textId="77777777" w:rsidR="00D67A20" w:rsidRDefault="00D67A20" w:rsidP="00D67A20">
      <w:pPr>
        <w:spacing w:before="240" w:after="0"/>
      </w:pPr>
      <w:r>
        <w:rPr>
          <w:b/>
        </w:rPr>
        <w:t xml:space="preserve">Differentiation: </w:t>
      </w:r>
      <w:r>
        <w:t xml:space="preserve">In a competitive market, it is of the utmost importance to be able to differentiate from the competitors (Choudhary, 2013). The resort should invest in developing unique selling points and experiences that will help the resort set itself apart from the rest of its competitors. The resort should also conduct market research to understand consumer preference shifts and find unique selling points. </w:t>
      </w:r>
    </w:p>
    <w:p w14:paraId="72ED4BC1" w14:textId="77777777" w:rsidR="00D67A20" w:rsidRDefault="00D67A20" w:rsidP="00D67A20">
      <w:pPr>
        <w:spacing w:before="240" w:after="0"/>
      </w:pPr>
      <w:r>
        <w:rPr>
          <w:b/>
        </w:rPr>
        <w:t xml:space="preserve">Rebranding and marketing: </w:t>
      </w:r>
      <w:r>
        <w:t xml:space="preserve">The Seacrest Lodge currently has a very negative brand image among the potential customers. Hence, rebranding the resort with a positive image is very important (Lynn &amp; White, 2019). The resort should target a new group of customers through its rebranding along with targeted marketing to reach new group of potential customers. For marketing purposes, the resort should leverage social media, announce special promotions and collaborate with travel agencies and tour operators. The resort should also leverage beautiful seaside imagery in its marketing material and post updates about renovations on its social media. </w:t>
      </w:r>
    </w:p>
    <w:p w14:paraId="14801B0F" w14:textId="77777777" w:rsidR="00D67A20" w:rsidRDefault="00D67A20" w:rsidP="00D67A20">
      <w:pPr>
        <w:spacing w:before="240" w:after="0"/>
      </w:pPr>
      <w:r>
        <w:rPr>
          <w:b/>
        </w:rPr>
        <w:t xml:space="preserve">Cost optimization: </w:t>
      </w:r>
      <w:r>
        <w:t xml:space="preserve">The resort should review its operating expenses and see how it can optimise its operating expenses to improve its cost efficiency. However, the resort should not make any compromise in its service quality while trying to be cost efficient. The resort can look for options to renegotiate its existing contracts with its suppliers, implementing measures to save energy and streamline processes. </w:t>
      </w:r>
    </w:p>
    <w:p w14:paraId="119AD050" w14:textId="77777777" w:rsidR="00D67A20" w:rsidRDefault="00D67A20" w:rsidP="00D67A20">
      <w:pPr>
        <w:spacing w:before="240" w:after="0"/>
      </w:pPr>
      <w:r>
        <w:rPr>
          <w:b/>
        </w:rPr>
        <w:t xml:space="preserve">Diversification of revenue streams: </w:t>
      </w:r>
      <w:r>
        <w:t xml:space="preserve">The resort should attempt to diversify its revenue streams as this will help the resort to both increase its revenue and will also help to safeguard its </w:t>
      </w:r>
      <w:proofErr w:type="gramStart"/>
      <w:r>
        <w:t>bottom line</w:t>
      </w:r>
      <w:proofErr w:type="gramEnd"/>
      <w:r>
        <w:t xml:space="preserve"> during times of stress in the core business. The diversification of revenue streams could include options such as event hosting, customized packages and collaborating with local businesses &amp; providing them with complementary services. Event hosting can also be beneficial for the profitability of the resort as they are a high margin service (PARMENTIER, 2019). </w:t>
      </w:r>
    </w:p>
    <w:p w14:paraId="7B3659F0" w14:textId="77777777" w:rsidR="00D67A20" w:rsidRDefault="00D67A20" w:rsidP="00D67A20">
      <w:pPr>
        <w:spacing w:before="240" w:after="0"/>
      </w:pPr>
      <w:r>
        <w:rPr>
          <w:b/>
        </w:rPr>
        <w:t xml:space="preserve">Customer Experience Focus: </w:t>
      </w:r>
      <w:r>
        <w:t xml:space="preserve">The Seacrest Lodge should make enhancing customer experience its primary focus as the customers are the most important group of stakeholders. To improve and </w:t>
      </w:r>
      <w:r>
        <w:lastRenderedPageBreak/>
        <w:t xml:space="preserve">enhance customer experience, the resort should train its staff, introduce customized experiences and customized loyalty programs which will encourage repeat visits. </w:t>
      </w:r>
    </w:p>
    <w:p w14:paraId="6F2533F6" w14:textId="77777777" w:rsidR="00D67A20" w:rsidRDefault="00D67A20" w:rsidP="00D67A20">
      <w:pPr>
        <w:spacing w:before="240" w:after="0"/>
      </w:pPr>
      <w:r>
        <w:rPr>
          <w:b/>
        </w:rPr>
        <w:t xml:space="preserve">Pricing strategy: </w:t>
      </w:r>
      <w:r>
        <w:t xml:space="preserve">The resort should opt for dynamic pricing and prices should be adjusted according to demands and other relevant factors (Powell, 2016). To stimulate demand and reduce cyclicality &amp; revenue volatility, the resort can lower its prices and offer discounted &amp; bundled packages during off-peak times. However, the resort should ensure the pricing covers its expenses </w:t>
      </w:r>
      <w:proofErr w:type="gramStart"/>
      <w:r>
        <w:t>and also</w:t>
      </w:r>
      <w:proofErr w:type="gramEnd"/>
      <w:r>
        <w:t xml:space="preserve"> the customer gets value for money with the price offered. </w:t>
      </w:r>
    </w:p>
    <w:p w14:paraId="0147543D" w14:textId="77777777" w:rsidR="00D67A20" w:rsidRDefault="00D67A20" w:rsidP="00D67A20">
      <w:pPr>
        <w:spacing w:before="240" w:after="0"/>
      </w:pPr>
      <w:r>
        <w:rPr>
          <w:b/>
        </w:rPr>
        <w:t xml:space="preserve">Debt Management: </w:t>
      </w:r>
      <w:r>
        <w:t xml:space="preserve">The resort should look to renegotiate its £1,500,000 long term debt and seek better terms. If this is not possible, the company should look for other low-interest financing options. </w:t>
      </w:r>
    </w:p>
    <w:p w14:paraId="287762FB" w14:textId="77777777" w:rsidR="00D67A20" w:rsidRDefault="00D67A20" w:rsidP="00D67A20">
      <w:pPr>
        <w:spacing w:before="240" w:after="0"/>
      </w:pPr>
      <w:r>
        <w:rPr>
          <w:b/>
        </w:rPr>
        <w:t xml:space="preserve">Financial Projections: </w:t>
      </w:r>
      <w:r>
        <w:t xml:space="preserve">The resort should develop financial projections based on the turnaround strategies discussed here to evaluate the feasibility of the strategies. The resort should consider several scenarios and conduct sensitivity analysis to varying levels of inputs. </w:t>
      </w:r>
    </w:p>
    <w:p w14:paraId="071D0138" w14:textId="77777777" w:rsidR="00D67A20" w:rsidRDefault="00D67A20" w:rsidP="00D67A20">
      <w:pPr>
        <w:spacing w:before="240" w:after="0"/>
      </w:pPr>
      <w:r>
        <w:rPr>
          <w:b/>
        </w:rPr>
        <w:t xml:space="preserve">Implementation and monitoring: </w:t>
      </w:r>
      <w:r>
        <w:t>While implementing the strategy, the resort should closely monitor several Key Performance Indicators (KPIs) like revenue growth, average room rate, occupancy rates, profitability margins and customer satisfaction. If the resort is not able to achieve targets, they should make necessary adjustments to ensure the success of the turnaround strategy.</w:t>
      </w:r>
    </w:p>
    <w:p w14:paraId="185AA2CD" w14:textId="77777777" w:rsidR="00D67A20" w:rsidRDefault="00D67A20" w:rsidP="00D67A20">
      <w:pPr>
        <w:pStyle w:val="Heading2"/>
      </w:pPr>
      <w:bookmarkStart w:id="4" w:name="_Toc159065362"/>
      <w:r>
        <w:t>Conclusion</w:t>
      </w:r>
      <w:bookmarkEnd w:id="4"/>
    </w:p>
    <w:p w14:paraId="0A41D657" w14:textId="6DA28757" w:rsidR="00D67A20" w:rsidRPr="00506DE6" w:rsidRDefault="00D67A20" w:rsidP="00506DE6">
      <w:pPr>
        <w:spacing w:before="240"/>
        <w:sectPr w:rsidR="00D67A20" w:rsidRPr="00506DE6" w:rsidSect="0093019F">
          <w:pgSz w:w="12240" w:h="15840"/>
          <w:pgMar w:top="1440" w:right="1440" w:bottom="1440" w:left="1440" w:header="720" w:footer="720" w:gutter="0"/>
          <w:cols w:space="720"/>
        </w:sectPr>
      </w:pPr>
      <w:r>
        <w:t xml:space="preserve">The Seacrest Lodge has been facing several challenges such as declining revenue, occupancy rates, and growing customer dissatisfaction in recent years. The key reasons behind these challenges are intense competition in the coastal market, changing customer preferences, and outdated amenities. Nevertheless, the resort should implement a comprehensive turnaround strategy to turn around its financial health and become a premier vacation destination again. The proposed strategies include improvement in service quality, up gradation of amenities, differentiation, rebranding and marketing, cost optimization, diversification of revenue stream, customer experience focus, pricing strategy, and debt management. By implementing these strategies, the resort will be able to address the root causes of its decline and achieve sustainable growth in the long term. </w:t>
      </w:r>
    </w:p>
    <w:p w14:paraId="1AC88D71" w14:textId="77777777" w:rsidR="00D67A20" w:rsidRDefault="00D67A20" w:rsidP="00D67A20">
      <w:pPr>
        <w:pStyle w:val="Heading1"/>
      </w:pPr>
      <w:bookmarkStart w:id="5" w:name="_Toc159065363"/>
      <w:r>
        <w:lastRenderedPageBreak/>
        <w:t>References</w:t>
      </w:r>
      <w:bookmarkEnd w:id="5"/>
    </w:p>
    <w:p w14:paraId="1AE6E69E" w14:textId="77777777" w:rsidR="00D67A20" w:rsidRPr="00506DE6" w:rsidRDefault="00D67A20" w:rsidP="00D67A20">
      <w:pPr>
        <w:rPr>
          <w:color w:val="000000" w:themeColor="text1"/>
        </w:rPr>
      </w:pPr>
    </w:p>
    <w:p w14:paraId="74358808" w14:textId="548F8FFA" w:rsidR="00841466" w:rsidRPr="00506DE6" w:rsidRDefault="00D67A20" w:rsidP="00D67A20">
      <w:pPr>
        <w:tabs>
          <w:tab w:val="left" w:pos="1905"/>
        </w:tabs>
        <w:rPr>
          <w:rFonts w:eastAsia="Times New Roman" w:cs="Times New Roman"/>
          <w:color w:val="000000" w:themeColor="text1"/>
          <w:kern w:val="0"/>
          <w:szCs w:val="24"/>
          <w14:ligatures w14:val="none"/>
        </w:rPr>
      </w:pPr>
      <w:r w:rsidRPr="00506DE6">
        <w:rPr>
          <w:rFonts w:eastAsia="Times New Roman" w:cs="Times New Roman"/>
          <w:color w:val="000000" w:themeColor="text1"/>
          <w:kern w:val="0"/>
          <w:szCs w:val="24"/>
          <w14:ligatures w14:val="none"/>
        </w:rPr>
        <w:t xml:space="preserve">Armstrong, G., Kotler, P. and </w:t>
      </w:r>
      <w:proofErr w:type="spellStart"/>
      <w:r w:rsidRPr="00506DE6">
        <w:rPr>
          <w:rFonts w:eastAsia="Times New Roman" w:cs="Times New Roman"/>
          <w:color w:val="000000" w:themeColor="text1"/>
          <w:kern w:val="0"/>
          <w:szCs w:val="24"/>
          <w14:ligatures w14:val="none"/>
        </w:rPr>
        <w:t>Opresnik</w:t>
      </w:r>
      <w:proofErr w:type="spellEnd"/>
      <w:r w:rsidRPr="00506DE6">
        <w:rPr>
          <w:rFonts w:eastAsia="Times New Roman" w:cs="Times New Roman"/>
          <w:color w:val="000000" w:themeColor="text1"/>
          <w:kern w:val="0"/>
          <w:szCs w:val="24"/>
          <w14:ligatures w14:val="none"/>
        </w:rPr>
        <w:t xml:space="preserve">, M.O. (2023) Marketing: An introduction. Harlow, England: Pearson. </w:t>
      </w:r>
    </w:p>
    <w:p w14:paraId="1297CCB1" w14:textId="77777777" w:rsidR="00D67A20" w:rsidRPr="00506DE6" w:rsidRDefault="00D67A20" w:rsidP="00D67A20">
      <w:pPr>
        <w:tabs>
          <w:tab w:val="left" w:pos="1905"/>
        </w:tabs>
        <w:rPr>
          <w:rFonts w:eastAsia="Times New Roman" w:cs="Times New Roman"/>
          <w:color w:val="000000" w:themeColor="text1"/>
          <w:kern w:val="0"/>
          <w:szCs w:val="24"/>
          <w14:ligatures w14:val="none"/>
        </w:rPr>
      </w:pPr>
      <w:r w:rsidRPr="00506DE6">
        <w:rPr>
          <w:rFonts w:eastAsia="Times New Roman" w:cs="Times New Roman"/>
          <w:color w:val="000000" w:themeColor="text1"/>
          <w:kern w:val="0"/>
          <w:szCs w:val="24"/>
          <w14:ligatures w14:val="none"/>
        </w:rPr>
        <w:t xml:space="preserve">Bouten, L., Palepu, K.G. and Healy, P.M. (2016) Financial analysis. Andover: Cengage Learning EMEA. </w:t>
      </w:r>
    </w:p>
    <w:p w14:paraId="64945B3F" w14:textId="77777777" w:rsidR="00D67A20" w:rsidRPr="00506DE6" w:rsidRDefault="00D67A20" w:rsidP="00D67A20">
      <w:pPr>
        <w:tabs>
          <w:tab w:val="left" w:pos="1905"/>
        </w:tabs>
        <w:rPr>
          <w:rFonts w:eastAsia="Times New Roman" w:cs="Times New Roman"/>
          <w:color w:val="000000" w:themeColor="text1"/>
          <w:kern w:val="0"/>
          <w:szCs w:val="24"/>
          <w14:ligatures w14:val="none"/>
        </w:rPr>
      </w:pPr>
      <w:r w:rsidRPr="00506DE6">
        <w:rPr>
          <w:rFonts w:eastAsia="Times New Roman" w:cs="Times New Roman"/>
          <w:color w:val="000000" w:themeColor="text1"/>
          <w:kern w:val="0"/>
          <w:szCs w:val="24"/>
          <w14:ligatures w14:val="none"/>
        </w:rPr>
        <w:t xml:space="preserve">Bragg, S.M. (2017) Financial analysis: A business decision guide. Centennial, CO: </w:t>
      </w:r>
      <w:proofErr w:type="spellStart"/>
      <w:r w:rsidRPr="00506DE6">
        <w:rPr>
          <w:rFonts w:eastAsia="Times New Roman" w:cs="Times New Roman"/>
          <w:color w:val="000000" w:themeColor="text1"/>
          <w:kern w:val="0"/>
          <w:szCs w:val="24"/>
          <w14:ligatures w14:val="none"/>
        </w:rPr>
        <w:t>AccountingTools</w:t>
      </w:r>
      <w:proofErr w:type="spellEnd"/>
      <w:r w:rsidRPr="00506DE6">
        <w:rPr>
          <w:rFonts w:eastAsia="Times New Roman" w:cs="Times New Roman"/>
          <w:color w:val="000000" w:themeColor="text1"/>
          <w:kern w:val="0"/>
          <w:szCs w:val="24"/>
          <w14:ligatures w14:val="none"/>
        </w:rPr>
        <w:t xml:space="preserve">, Inc. </w:t>
      </w:r>
    </w:p>
    <w:p w14:paraId="2A7D5B87" w14:textId="77777777" w:rsidR="00D67A20" w:rsidRPr="00506DE6" w:rsidRDefault="00D67A20" w:rsidP="00D67A20">
      <w:pPr>
        <w:tabs>
          <w:tab w:val="left" w:pos="1905"/>
        </w:tabs>
        <w:rPr>
          <w:rFonts w:eastAsia="Times New Roman" w:cs="Times New Roman"/>
          <w:color w:val="000000" w:themeColor="text1"/>
          <w:kern w:val="0"/>
          <w:szCs w:val="24"/>
          <w14:ligatures w14:val="none"/>
        </w:rPr>
      </w:pPr>
      <w:r w:rsidRPr="00506DE6">
        <w:rPr>
          <w:rFonts w:eastAsia="Times New Roman" w:cs="Times New Roman"/>
          <w:color w:val="000000" w:themeColor="text1"/>
          <w:kern w:val="0"/>
          <w:szCs w:val="24"/>
          <w14:ligatures w14:val="none"/>
        </w:rPr>
        <w:t xml:space="preserve">Choudhary, V. (2013) Hospitality industry. New Delhi: Centrum Press. </w:t>
      </w:r>
    </w:p>
    <w:p w14:paraId="262D0324" w14:textId="77777777" w:rsidR="00D67A20" w:rsidRPr="00506DE6" w:rsidRDefault="00D67A20" w:rsidP="00D67A20">
      <w:pPr>
        <w:tabs>
          <w:tab w:val="left" w:pos="1905"/>
        </w:tabs>
        <w:rPr>
          <w:rFonts w:eastAsia="Times New Roman" w:cs="Times New Roman"/>
          <w:color w:val="000000" w:themeColor="text1"/>
          <w:kern w:val="0"/>
          <w:szCs w:val="24"/>
          <w14:ligatures w14:val="none"/>
        </w:rPr>
      </w:pPr>
      <w:r w:rsidRPr="00506DE6">
        <w:rPr>
          <w:rFonts w:eastAsia="Times New Roman" w:cs="Times New Roman"/>
          <w:color w:val="000000" w:themeColor="text1"/>
          <w:kern w:val="0"/>
          <w:szCs w:val="24"/>
          <w14:ligatures w14:val="none"/>
        </w:rPr>
        <w:t xml:space="preserve">David, Fred and David, Forest (2022) Strategic management. Harlow: Pearson Education, Limited. </w:t>
      </w:r>
    </w:p>
    <w:p w14:paraId="27DE3F4A" w14:textId="77777777" w:rsidR="00D67A20" w:rsidRPr="00506DE6" w:rsidRDefault="00D67A20" w:rsidP="00D67A20">
      <w:pPr>
        <w:tabs>
          <w:tab w:val="left" w:pos="1905"/>
        </w:tabs>
        <w:rPr>
          <w:rFonts w:eastAsia="Times New Roman" w:cs="Times New Roman"/>
          <w:color w:val="000000" w:themeColor="text1"/>
          <w:kern w:val="0"/>
          <w:szCs w:val="24"/>
          <w14:ligatures w14:val="none"/>
        </w:rPr>
      </w:pPr>
      <w:r w:rsidRPr="00506DE6">
        <w:rPr>
          <w:rFonts w:eastAsia="Times New Roman" w:cs="Times New Roman"/>
          <w:color w:val="000000" w:themeColor="text1"/>
          <w:kern w:val="0"/>
          <w:szCs w:val="24"/>
          <w14:ligatures w14:val="none"/>
        </w:rPr>
        <w:t xml:space="preserve">Lynn, V.D.W. and White, L. (2019) Hospitality management. South Melbourne, VIC: Cengage. </w:t>
      </w:r>
    </w:p>
    <w:p w14:paraId="142ED11A" w14:textId="77777777" w:rsidR="00D67A20" w:rsidRPr="00506DE6" w:rsidRDefault="00D67A20" w:rsidP="00D67A20">
      <w:pPr>
        <w:tabs>
          <w:tab w:val="left" w:pos="1905"/>
        </w:tabs>
        <w:rPr>
          <w:rFonts w:eastAsia="Times New Roman" w:cs="Times New Roman"/>
          <w:color w:val="000000" w:themeColor="text1"/>
          <w:kern w:val="0"/>
          <w:szCs w:val="24"/>
          <w14:ligatures w14:val="none"/>
        </w:rPr>
      </w:pPr>
      <w:r w:rsidRPr="00506DE6">
        <w:rPr>
          <w:rFonts w:eastAsia="Times New Roman" w:cs="Times New Roman"/>
          <w:color w:val="000000" w:themeColor="text1"/>
          <w:kern w:val="0"/>
          <w:szCs w:val="24"/>
          <w14:ligatures w14:val="none"/>
        </w:rPr>
        <w:t xml:space="preserve">Lynn, V.D.W. and White, L. (2020) Hospitality management. South Melbourne, VIC: Cengage. </w:t>
      </w:r>
    </w:p>
    <w:p w14:paraId="63189667" w14:textId="77777777" w:rsidR="00D67A20" w:rsidRPr="00506DE6" w:rsidRDefault="00D67A20" w:rsidP="00D67A20">
      <w:pPr>
        <w:tabs>
          <w:tab w:val="left" w:pos="1905"/>
        </w:tabs>
        <w:rPr>
          <w:rFonts w:eastAsia="Times New Roman" w:cs="Times New Roman"/>
          <w:color w:val="000000" w:themeColor="text1"/>
          <w:kern w:val="0"/>
          <w:szCs w:val="24"/>
          <w14:ligatures w14:val="none"/>
        </w:rPr>
      </w:pPr>
      <w:r w:rsidRPr="00506DE6">
        <w:rPr>
          <w:rFonts w:eastAsia="Times New Roman" w:cs="Times New Roman"/>
          <w:color w:val="000000" w:themeColor="text1"/>
          <w:kern w:val="0"/>
          <w:szCs w:val="24"/>
          <w14:ligatures w14:val="none"/>
        </w:rPr>
        <w:t xml:space="preserve">PARMENTIER, G. (2019) Financial analysis. INTERSENTIA. </w:t>
      </w:r>
    </w:p>
    <w:p w14:paraId="414EE3F4" w14:textId="77777777" w:rsidR="00D67A20" w:rsidRPr="00506DE6" w:rsidRDefault="00D67A20" w:rsidP="00D67A20">
      <w:pPr>
        <w:tabs>
          <w:tab w:val="left" w:pos="1905"/>
        </w:tabs>
        <w:rPr>
          <w:rFonts w:eastAsia="Times New Roman" w:cs="Times New Roman"/>
          <w:color w:val="000000" w:themeColor="text1"/>
          <w:kern w:val="0"/>
          <w:szCs w:val="24"/>
          <w14:ligatures w14:val="none"/>
        </w:rPr>
      </w:pPr>
      <w:r w:rsidRPr="00506DE6">
        <w:rPr>
          <w:rFonts w:eastAsia="Times New Roman" w:cs="Times New Roman"/>
          <w:color w:val="000000" w:themeColor="text1"/>
          <w:kern w:val="0"/>
          <w:szCs w:val="24"/>
          <w14:ligatures w14:val="none"/>
        </w:rPr>
        <w:t xml:space="preserve">Powell, T. (2016) Hospitality Industry: Development and Management. Forest Hills, NY: Willford Press. </w:t>
      </w:r>
    </w:p>
    <w:p w14:paraId="0A8BEF1F" w14:textId="77777777" w:rsidR="00D67A20" w:rsidRPr="00506DE6" w:rsidRDefault="00D67A20" w:rsidP="00D67A20">
      <w:pPr>
        <w:tabs>
          <w:tab w:val="left" w:pos="1905"/>
        </w:tabs>
        <w:rPr>
          <w:color w:val="000000" w:themeColor="text1"/>
        </w:rPr>
      </w:pPr>
      <w:r w:rsidRPr="00506DE6">
        <w:rPr>
          <w:rFonts w:eastAsia="Times New Roman" w:cs="Times New Roman"/>
          <w:color w:val="000000" w:themeColor="text1"/>
          <w:kern w:val="0"/>
          <w:szCs w:val="24"/>
          <w14:ligatures w14:val="none"/>
        </w:rPr>
        <w:t>Published by D. Clark and 14, F. (2024) UK inflation rate 2024, Statista. Available at: https://www.statista.com/statistics/306648/inflation-rate-consumer-price-index-cpi-united-kingdom-uk/#:~:text=Between%20September%202022%20and%20March,with%20the%20highest%20inflation%20rate. (Accessed: 17 February 2024).</w:t>
      </w:r>
    </w:p>
    <w:p w14:paraId="356125D2" w14:textId="77777777" w:rsidR="00D67A20" w:rsidRDefault="00D67A20" w:rsidP="00D67A20">
      <w:pPr>
        <w:tabs>
          <w:tab w:val="left" w:pos="1905"/>
        </w:tabs>
        <w:rPr>
          <w:color w:val="FF0000"/>
        </w:rPr>
      </w:pPr>
    </w:p>
    <w:p w14:paraId="7B17D91C" w14:textId="77777777" w:rsidR="00CD03F9" w:rsidRDefault="00CD03F9"/>
    <w:sectPr w:rsidR="00CD03F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7A20"/>
    <w:rsid w:val="00380405"/>
    <w:rsid w:val="00506DE6"/>
    <w:rsid w:val="006570B8"/>
    <w:rsid w:val="00841466"/>
    <w:rsid w:val="0093019F"/>
    <w:rsid w:val="00BD4868"/>
    <w:rsid w:val="00CD03F9"/>
    <w:rsid w:val="00D67A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819BC7"/>
  <w15:chartTrackingRefBased/>
  <w15:docId w15:val="{AB25EACC-3447-4FC9-A813-A885270E63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67A20"/>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D67A20"/>
    <w:pPr>
      <w:keepNext/>
      <w:keepLines/>
      <w:spacing w:before="360" w:after="80" w:line="259" w:lineRule="auto"/>
      <w:jc w:val="left"/>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67A20"/>
    <w:pPr>
      <w:keepNext/>
      <w:keepLines/>
      <w:spacing w:before="160" w:after="80" w:line="259" w:lineRule="auto"/>
      <w:jc w:val="left"/>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67A20"/>
    <w:pPr>
      <w:keepNext/>
      <w:keepLines/>
      <w:spacing w:before="160" w:after="80" w:line="259" w:lineRule="auto"/>
      <w:jc w:val="left"/>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67A20"/>
    <w:pPr>
      <w:keepNext/>
      <w:keepLines/>
      <w:spacing w:before="80" w:after="40" w:line="259" w:lineRule="auto"/>
      <w:jc w:val="left"/>
      <w:outlineLvl w:val="3"/>
    </w:pPr>
    <w:rPr>
      <w:rFonts w:asciiTheme="minorHAnsi" w:eastAsiaTheme="majorEastAsia" w:hAnsiTheme="minorHAnsi" w:cstheme="majorBidi"/>
      <w:i/>
      <w:iCs/>
      <w:color w:val="0F4761" w:themeColor="accent1" w:themeShade="BF"/>
      <w:sz w:val="22"/>
    </w:rPr>
  </w:style>
  <w:style w:type="paragraph" w:styleId="Heading5">
    <w:name w:val="heading 5"/>
    <w:basedOn w:val="Normal"/>
    <w:next w:val="Normal"/>
    <w:link w:val="Heading5Char"/>
    <w:uiPriority w:val="9"/>
    <w:semiHidden/>
    <w:unhideWhenUsed/>
    <w:qFormat/>
    <w:rsid w:val="00D67A20"/>
    <w:pPr>
      <w:keepNext/>
      <w:keepLines/>
      <w:spacing w:before="80" w:after="40" w:line="259" w:lineRule="auto"/>
      <w:jc w:val="left"/>
      <w:outlineLvl w:val="4"/>
    </w:pPr>
    <w:rPr>
      <w:rFonts w:asciiTheme="minorHAnsi" w:eastAsiaTheme="majorEastAsia" w:hAnsiTheme="minorHAnsi" w:cstheme="majorBidi"/>
      <w:color w:val="0F4761" w:themeColor="accent1" w:themeShade="BF"/>
      <w:sz w:val="22"/>
    </w:rPr>
  </w:style>
  <w:style w:type="paragraph" w:styleId="Heading6">
    <w:name w:val="heading 6"/>
    <w:basedOn w:val="Normal"/>
    <w:next w:val="Normal"/>
    <w:link w:val="Heading6Char"/>
    <w:uiPriority w:val="9"/>
    <w:semiHidden/>
    <w:unhideWhenUsed/>
    <w:qFormat/>
    <w:rsid w:val="00D67A20"/>
    <w:pPr>
      <w:keepNext/>
      <w:keepLines/>
      <w:spacing w:before="40" w:after="0" w:line="259" w:lineRule="auto"/>
      <w:jc w:val="left"/>
      <w:outlineLvl w:val="5"/>
    </w:pPr>
    <w:rPr>
      <w:rFonts w:asciiTheme="minorHAnsi" w:eastAsiaTheme="majorEastAsia" w:hAnsiTheme="minorHAnsi" w:cstheme="majorBidi"/>
      <w:i/>
      <w:iCs/>
      <w:color w:val="595959" w:themeColor="text1" w:themeTint="A6"/>
      <w:sz w:val="22"/>
    </w:rPr>
  </w:style>
  <w:style w:type="paragraph" w:styleId="Heading7">
    <w:name w:val="heading 7"/>
    <w:basedOn w:val="Normal"/>
    <w:next w:val="Normal"/>
    <w:link w:val="Heading7Char"/>
    <w:uiPriority w:val="9"/>
    <w:semiHidden/>
    <w:unhideWhenUsed/>
    <w:qFormat/>
    <w:rsid w:val="00D67A20"/>
    <w:pPr>
      <w:keepNext/>
      <w:keepLines/>
      <w:spacing w:before="40" w:after="0" w:line="259" w:lineRule="auto"/>
      <w:jc w:val="left"/>
      <w:outlineLvl w:val="6"/>
    </w:pPr>
    <w:rPr>
      <w:rFonts w:asciiTheme="minorHAnsi" w:eastAsiaTheme="majorEastAsia" w:hAnsiTheme="minorHAnsi" w:cstheme="majorBidi"/>
      <w:color w:val="595959" w:themeColor="text1" w:themeTint="A6"/>
      <w:sz w:val="22"/>
    </w:rPr>
  </w:style>
  <w:style w:type="paragraph" w:styleId="Heading8">
    <w:name w:val="heading 8"/>
    <w:basedOn w:val="Normal"/>
    <w:next w:val="Normal"/>
    <w:link w:val="Heading8Char"/>
    <w:uiPriority w:val="9"/>
    <w:semiHidden/>
    <w:unhideWhenUsed/>
    <w:qFormat/>
    <w:rsid w:val="00D67A20"/>
    <w:pPr>
      <w:keepNext/>
      <w:keepLines/>
      <w:spacing w:after="0" w:line="259" w:lineRule="auto"/>
      <w:jc w:val="left"/>
      <w:outlineLvl w:val="7"/>
    </w:pPr>
    <w:rPr>
      <w:rFonts w:asciiTheme="minorHAnsi" w:eastAsiaTheme="majorEastAsia" w:hAnsiTheme="minorHAnsi" w:cstheme="majorBidi"/>
      <w:i/>
      <w:iCs/>
      <w:color w:val="272727" w:themeColor="text1" w:themeTint="D8"/>
      <w:sz w:val="22"/>
    </w:rPr>
  </w:style>
  <w:style w:type="paragraph" w:styleId="Heading9">
    <w:name w:val="heading 9"/>
    <w:basedOn w:val="Normal"/>
    <w:next w:val="Normal"/>
    <w:link w:val="Heading9Char"/>
    <w:uiPriority w:val="9"/>
    <w:semiHidden/>
    <w:unhideWhenUsed/>
    <w:qFormat/>
    <w:rsid w:val="00D67A20"/>
    <w:pPr>
      <w:keepNext/>
      <w:keepLines/>
      <w:spacing w:after="0" w:line="259" w:lineRule="auto"/>
      <w:jc w:val="left"/>
      <w:outlineLvl w:val="8"/>
    </w:pPr>
    <w:rPr>
      <w:rFonts w:asciiTheme="minorHAnsi" w:eastAsiaTheme="majorEastAsia" w:hAnsiTheme="minorHAnsi" w:cstheme="majorBidi"/>
      <w:color w:val="272727" w:themeColor="text1" w:themeTint="D8"/>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67A2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67A2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67A2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67A2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67A2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67A2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67A2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67A2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67A20"/>
    <w:rPr>
      <w:rFonts w:eastAsiaTheme="majorEastAsia" w:cstheme="majorBidi"/>
      <w:color w:val="272727" w:themeColor="text1" w:themeTint="D8"/>
    </w:rPr>
  </w:style>
  <w:style w:type="paragraph" w:styleId="Title">
    <w:name w:val="Title"/>
    <w:basedOn w:val="Normal"/>
    <w:next w:val="Normal"/>
    <w:link w:val="TitleChar"/>
    <w:uiPriority w:val="10"/>
    <w:qFormat/>
    <w:rsid w:val="00D67A20"/>
    <w:pPr>
      <w:spacing w:after="80" w:line="240" w:lineRule="auto"/>
      <w:contextualSpacing/>
      <w:jc w:val="left"/>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67A2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67A20"/>
    <w:pPr>
      <w:numPr>
        <w:ilvl w:val="1"/>
      </w:numPr>
      <w:spacing w:line="259" w:lineRule="auto"/>
      <w:jc w:val="left"/>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67A2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67A20"/>
    <w:pPr>
      <w:spacing w:before="160" w:line="259" w:lineRule="auto"/>
      <w:jc w:val="center"/>
    </w:pPr>
    <w:rPr>
      <w:rFonts w:asciiTheme="minorHAnsi" w:hAnsiTheme="minorHAnsi"/>
      <w:i/>
      <w:iCs/>
      <w:color w:val="404040" w:themeColor="text1" w:themeTint="BF"/>
      <w:sz w:val="22"/>
    </w:rPr>
  </w:style>
  <w:style w:type="character" w:customStyle="1" w:styleId="QuoteChar">
    <w:name w:val="Quote Char"/>
    <w:basedOn w:val="DefaultParagraphFont"/>
    <w:link w:val="Quote"/>
    <w:uiPriority w:val="29"/>
    <w:rsid w:val="00D67A20"/>
    <w:rPr>
      <w:i/>
      <w:iCs/>
      <w:color w:val="404040" w:themeColor="text1" w:themeTint="BF"/>
    </w:rPr>
  </w:style>
  <w:style w:type="paragraph" w:styleId="ListParagraph">
    <w:name w:val="List Paragraph"/>
    <w:basedOn w:val="Normal"/>
    <w:uiPriority w:val="34"/>
    <w:qFormat/>
    <w:rsid w:val="00D67A20"/>
    <w:pPr>
      <w:spacing w:line="259" w:lineRule="auto"/>
      <w:ind w:left="720"/>
      <w:contextualSpacing/>
      <w:jc w:val="left"/>
    </w:pPr>
    <w:rPr>
      <w:rFonts w:asciiTheme="minorHAnsi" w:hAnsiTheme="minorHAnsi"/>
      <w:sz w:val="22"/>
    </w:rPr>
  </w:style>
  <w:style w:type="character" w:styleId="IntenseEmphasis">
    <w:name w:val="Intense Emphasis"/>
    <w:basedOn w:val="DefaultParagraphFont"/>
    <w:uiPriority w:val="21"/>
    <w:qFormat/>
    <w:rsid w:val="00D67A20"/>
    <w:rPr>
      <w:i/>
      <w:iCs/>
      <w:color w:val="0F4761" w:themeColor="accent1" w:themeShade="BF"/>
    </w:rPr>
  </w:style>
  <w:style w:type="paragraph" w:styleId="IntenseQuote">
    <w:name w:val="Intense Quote"/>
    <w:basedOn w:val="Normal"/>
    <w:next w:val="Normal"/>
    <w:link w:val="IntenseQuoteChar"/>
    <w:uiPriority w:val="30"/>
    <w:qFormat/>
    <w:rsid w:val="00D67A20"/>
    <w:pPr>
      <w:pBdr>
        <w:top w:val="single" w:sz="4" w:space="10" w:color="0F4761" w:themeColor="accent1" w:themeShade="BF"/>
        <w:bottom w:val="single" w:sz="4" w:space="10" w:color="0F4761" w:themeColor="accent1" w:themeShade="BF"/>
      </w:pBdr>
      <w:spacing w:before="360" w:after="360" w:line="259" w:lineRule="auto"/>
      <w:ind w:left="864" w:right="864"/>
      <w:jc w:val="center"/>
    </w:pPr>
    <w:rPr>
      <w:rFonts w:asciiTheme="minorHAnsi" w:hAnsiTheme="minorHAnsi"/>
      <w:i/>
      <w:iCs/>
      <w:color w:val="0F4761" w:themeColor="accent1" w:themeShade="BF"/>
      <w:sz w:val="22"/>
    </w:rPr>
  </w:style>
  <w:style w:type="character" w:customStyle="1" w:styleId="IntenseQuoteChar">
    <w:name w:val="Intense Quote Char"/>
    <w:basedOn w:val="DefaultParagraphFont"/>
    <w:link w:val="IntenseQuote"/>
    <w:uiPriority w:val="30"/>
    <w:rsid w:val="00D67A20"/>
    <w:rPr>
      <w:i/>
      <w:iCs/>
      <w:color w:val="0F4761" w:themeColor="accent1" w:themeShade="BF"/>
    </w:rPr>
  </w:style>
  <w:style w:type="character" w:styleId="IntenseReference">
    <w:name w:val="Intense Reference"/>
    <w:basedOn w:val="DefaultParagraphFont"/>
    <w:uiPriority w:val="32"/>
    <w:qFormat/>
    <w:rsid w:val="00D67A20"/>
    <w:rPr>
      <w:b/>
      <w:bCs/>
      <w:smallCaps/>
      <w:color w:val="0F4761" w:themeColor="accent1" w:themeShade="BF"/>
      <w:spacing w:val="5"/>
    </w:rPr>
  </w:style>
  <w:style w:type="character" w:styleId="Hyperlink">
    <w:name w:val="Hyperlink"/>
    <w:basedOn w:val="DefaultParagraphFont"/>
    <w:uiPriority w:val="99"/>
    <w:semiHidden/>
    <w:unhideWhenUsed/>
    <w:rsid w:val="00D67A20"/>
    <w:rPr>
      <w:color w:val="467886" w:themeColor="hyperlink"/>
      <w:u w:val="single"/>
    </w:rPr>
  </w:style>
  <w:style w:type="paragraph" w:styleId="TOC1">
    <w:name w:val="toc 1"/>
    <w:basedOn w:val="Normal"/>
    <w:next w:val="Normal"/>
    <w:autoRedefine/>
    <w:uiPriority w:val="39"/>
    <w:semiHidden/>
    <w:unhideWhenUsed/>
    <w:rsid w:val="00D67A20"/>
    <w:pPr>
      <w:spacing w:after="100"/>
    </w:pPr>
  </w:style>
  <w:style w:type="paragraph" w:styleId="TOC2">
    <w:name w:val="toc 2"/>
    <w:basedOn w:val="Normal"/>
    <w:next w:val="Normal"/>
    <w:autoRedefine/>
    <w:uiPriority w:val="39"/>
    <w:semiHidden/>
    <w:unhideWhenUsed/>
    <w:rsid w:val="00D67A20"/>
    <w:pPr>
      <w:spacing w:after="100"/>
      <w:ind w:left="240"/>
    </w:pPr>
  </w:style>
  <w:style w:type="paragraph" w:styleId="TOCHeading">
    <w:name w:val="TOC Heading"/>
    <w:basedOn w:val="Heading1"/>
    <w:next w:val="Normal"/>
    <w:uiPriority w:val="39"/>
    <w:unhideWhenUsed/>
    <w:qFormat/>
    <w:rsid w:val="00D67A20"/>
    <w:pPr>
      <w:pBdr>
        <w:top w:val="thinThickSmallGap" w:sz="24" w:space="1" w:color="auto"/>
        <w:left w:val="thinThickSmallGap" w:sz="24" w:space="4" w:color="auto"/>
        <w:bottom w:val="thickThinSmallGap" w:sz="24" w:space="1" w:color="auto"/>
        <w:right w:val="thickThinSmallGap" w:sz="24" w:space="4" w:color="auto"/>
      </w:pBdr>
      <w:shd w:val="clear" w:color="auto" w:fill="83CAEB" w:themeFill="accent1" w:themeFillTint="66"/>
      <w:spacing w:before="240" w:after="0" w:line="256" w:lineRule="auto"/>
      <w:outlineLvl w:val="9"/>
    </w:pPr>
    <w:rPr>
      <w:color w:val="002060"/>
      <w:kern w:val="0"/>
      <w:sz w:val="32"/>
      <w:szCs w:val="32"/>
      <w14:ligatures w14:val="none"/>
    </w:rPr>
  </w:style>
  <w:style w:type="paragraph" w:styleId="NormalWeb">
    <w:name w:val="Normal (Web)"/>
    <w:basedOn w:val="Normal"/>
    <w:uiPriority w:val="99"/>
    <w:semiHidden/>
    <w:unhideWhenUsed/>
    <w:rsid w:val="00841466"/>
    <w:pPr>
      <w:spacing w:before="100" w:beforeAutospacing="1" w:after="100" w:afterAutospacing="1" w:line="240" w:lineRule="auto"/>
      <w:jc w:val="left"/>
    </w:pPr>
    <w:rPr>
      <w:rFonts w:eastAsia="Times New Roman" w:cs="Times New Roman"/>
      <w:kern w:val="0"/>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74670962">
      <w:bodyDiv w:val="1"/>
      <w:marLeft w:val="0"/>
      <w:marRight w:val="0"/>
      <w:marTop w:val="0"/>
      <w:marBottom w:val="0"/>
      <w:divBdr>
        <w:top w:val="none" w:sz="0" w:space="0" w:color="auto"/>
        <w:left w:val="none" w:sz="0" w:space="0" w:color="auto"/>
        <w:bottom w:val="none" w:sz="0" w:space="0" w:color="auto"/>
        <w:right w:val="none" w:sz="0" w:space="0" w:color="auto"/>
      </w:divBdr>
    </w:div>
    <w:div w:id="14952951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hulub\AppData\Local\Microsoft\Windows\INetCache\IE\E5FKYVWO\Ionela%20Beatrice%20Hulub%20-%20BMIH5007%20Financial%20Management%20for%20the%20Hotel%20Industry%20AS2%5b1%5d.docx"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file:///C:\Users\hulub\AppData\Local\Microsoft\Windows\INetCache\IE\E5FKYVWO\Ionela%20Beatrice%20Hulub%20-%20BMIH5007%20Financial%20Management%20for%20the%20Hotel%20Industry%20AS2%5b1%5d.docx" TargetMode="External"/><Relationship Id="rId12" Type="http://schemas.openxmlformats.org/officeDocument/2006/relationships/chart" Target="charts/chart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file:///C:\Users\hulub\AppData\Local\Microsoft\Windows\INetCache\IE\E5FKYVWO\Ionela%20Beatrice%20Hulub%20-%20BMIH5007%20Financial%20Management%20for%20the%20Hotel%20Industry%20AS2%5b1%5d.docx" TargetMode="External"/><Relationship Id="rId11" Type="http://schemas.openxmlformats.org/officeDocument/2006/relationships/chart" Target="charts/chart1.xml"/><Relationship Id="rId5" Type="http://schemas.openxmlformats.org/officeDocument/2006/relationships/hyperlink" Target="file:///C:\Users\hulub\AppData\Local\Microsoft\Windows\INetCache\IE\E5FKYVWO\Ionela%20Beatrice%20Hulub%20-%20BMIH5007%20Financial%20Management%20for%20the%20Hotel%20Industry%20AS2%5b1%5d.docx" TargetMode="External"/><Relationship Id="rId10" Type="http://schemas.openxmlformats.org/officeDocument/2006/relationships/hyperlink" Target="file:///C:\Users\hulub\AppData\Local\Microsoft\Windows\INetCache\IE\E5FKYVWO\Ionela%20Beatrice%20Hulub%20-%20BMIH5007%20Financial%20Management%20for%20the%20Hotel%20Industry%20AS2%5b1%5d.docx" TargetMode="External"/><Relationship Id="rId4" Type="http://schemas.openxmlformats.org/officeDocument/2006/relationships/image" Target="media/image1.png"/><Relationship Id="rId9" Type="http://schemas.openxmlformats.org/officeDocument/2006/relationships/hyperlink" Target="file:///C:\Users\hulub\AppData\Local\Microsoft\Windows\INetCache\IE\E5FKYVWO\Ionela%20Beatrice%20Hulub%20-%20BMIH5007%20Financial%20Management%20for%20the%20Hotel%20Industry%20AS2%5b1%5d.docx" TargetMode="External"/><Relationship Id="rId14"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200" b="1" i="0" u="none" strike="noStrike" kern="1200" spc="0" baseline="0">
                <a:solidFill>
                  <a:schemeClr val="bg1"/>
                </a:solidFill>
                <a:latin typeface="+mn-lt"/>
                <a:ea typeface="+mn-ea"/>
                <a:cs typeface="+mn-cs"/>
              </a:defRPr>
            </a:pPr>
            <a:r>
              <a:rPr lang="en-US" sz="1200" b="1">
                <a:solidFill>
                  <a:schemeClr val="bg1"/>
                </a:solidFill>
              </a:rPr>
              <a:t>Revenue</a:t>
            </a:r>
            <a:r>
              <a:rPr lang="en-US" sz="1200" b="1" baseline="0">
                <a:solidFill>
                  <a:schemeClr val="bg1"/>
                </a:solidFill>
              </a:rPr>
              <a:t> of The Seacrest Lodge</a:t>
            </a:r>
            <a:endParaRPr lang="en-US" sz="1200" b="1">
              <a:solidFill>
                <a:schemeClr val="bg1"/>
              </a:solidFill>
            </a:endParaRPr>
          </a:p>
        </c:rich>
      </c:tx>
      <c:overlay val="0"/>
      <c:spPr>
        <a:solidFill>
          <a:schemeClr val="accent5">
            <a:lumMod val="50000"/>
          </a:schemeClr>
        </a:solidFill>
        <a:ln>
          <a:noFill/>
        </a:ln>
        <a:effectLst/>
      </c:spPr>
      <c:txPr>
        <a:bodyPr rot="0" spcFirstLastPara="1" vertOverflow="ellipsis" vert="horz" wrap="square" anchor="ctr" anchorCtr="1"/>
        <a:lstStyle/>
        <a:p>
          <a:pPr>
            <a:defRPr sz="1200" b="1" i="0" u="none" strike="noStrike" kern="1200" spc="0" baseline="0">
              <a:solidFill>
                <a:schemeClr val="bg1"/>
              </a:solidFill>
              <a:latin typeface="+mn-lt"/>
              <a:ea typeface="+mn-ea"/>
              <a:cs typeface="+mn-cs"/>
            </a:defRPr>
          </a:pPr>
          <a:endParaRPr lang="en-US"/>
        </a:p>
      </c:txPr>
    </c:title>
    <c:autoTitleDeleted val="0"/>
    <c:plotArea>
      <c:layout/>
      <c:barChart>
        <c:barDir val="col"/>
        <c:grouping val="clustered"/>
        <c:varyColors val="0"/>
        <c:ser>
          <c:idx val="0"/>
          <c:order val="0"/>
          <c:tx>
            <c:strRef>
              <c:f>Sheet1!$C$2</c:f>
              <c:strCache>
                <c:ptCount val="1"/>
                <c:pt idx="0">
                  <c:v>Revenue</c:v>
                </c:pt>
              </c:strCache>
            </c:strRef>
          </c:tx>
          <c:spPr>
            <a:solidFill>
              <a:schemeClr val="accent5">
                <a:lumMod val="75000"/>
              </a:schemeClr>
            </a:solidFill>
            <a:ln>
              <a:noFill/>
            </a:ln>
            <a:effectLst/>
          </c:spPr>
          <c:invertIfNegative val="0"/>
          <c:dLbls>
            <c:spPr>
              <a:solidFill>
                <a:srgbClr val="FFC000"/>
              </a:solid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Sheet1!$B$3:$B$5</c:f>
              <c:numCache>
                <c:formatCode>General</c:formatCode>
                <c:ptCount val="3"/>
                <c:pt idx="0">
                  <c:v>2021</c:v>
                </c:pt>
                <c:pt idx="1">
                  <c:v>2022</c:v>
                </c:pt>
                <c:pt idx="2">
                  <c:v>2023</c:v>
                </c:pt>
              </c:numCache>
            </c:numRef>
          </c:cat>
          <c:val>
            <c:numRef>
              <c:f>Sheet1!$C$3:$C$5</c:f>
              <c:numCache>
                <c:formatCode>#,##0</c:formatCode>
                <c:ptCount val="3"/>
                <c:pt idx="0">
                  <c:v>1200000</c:v>
                </c:pt>
                <c:pt idx="1">
                  <c:v>1100000</c:v>
                </c:pt>
                <c:pt idx="2">
                  <c:v>950000</c:v>
                </c:pt>
              </c:numCache>
            </c:numRef>
          </c:val>
          <c:extLst>
            <c:ext xmlns:c16="http://schemas.microsoft.com/office/drawing/2014/chart" uri="{C3380CC4-5D6E-409C-BE32-E72D297353CC}">
              <c16:uniqueId val="{00000000-FE7B-4A0C-A4E6-A2D805DEE85C}"/>
            </c:ext>
          </c:extLst>
        </c:ser>
        <c:dLbls>
          <c:showLegendKey val="0"/>
          <c:showVal val="0"/>
          <c:showCatName val="0"/>
          <c:showSerName val="0"/>
          <c:showPercent val="0"/>
          <c:showBubbleSize val="0"/>
        </c:dLbls>
        <c:gapWidth val="219"/>
        <c:axId val="1168851168"/>
        <c:axId val="1168854976"/>
      </c:barChart>
      <c:lineChart>
        <c:grouping val="standard"/>
        <c:varyColors val="0"/>
        <c:ser>
          <c:idx val="1"/>
          <c:order val="1"/>
          <c:tx>
            <c:strRef>
              <c:f>Sheet1!$D$2</c:f>
              <c:strCache>
                <c:ptCount val="1"/>
                <c:pt idx="0">
                  <c:v>Growth</c:v>
                </c:pt>
              </c:strCache>
            </c:strRef>
          </c:tx>
          <c:spPr>
            <a:ln w="28575" cap="rnd">
              <a:solidFill>
                <a:schemeClr val="accent2">
                  <a:lumMod val="60000"/>
                  <a:lumOff val="40000"/>
                </a:schemeClr>
              </a:solidFill>
              <a:round/>
            </a:ln>
            <a:effectLst/>
          </c:spPr>
          <c:marker>
            <c:symbol val="circle"/>
            <c:size val="5"/>
            <c:spPr>
              <a:solidFill>
                <a:schemeClr val="accent2"/>
              </a:solidFill>
              <a:ln w="9525">
                <a:solidFill>
                  <a:schemeClr val="accent2">
                    <a:lumMod val="60000"/>
                    <a:lumOff val="40000"/>
                  </a:schemeClr>
                </a:solidFill>
              </a:ln>
              <a:effectLst/>
            </c:spPr>
          </c:marker>
          <c:dLbls>
            <c:spPr>
              <a:solidFill>
                <a:srgbClr val="FFC000"/>
              </a:solid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Sheet1!$B$3:$B$5</c:f>
              <c:numCache>
                <c:formatCode>General</c:formatCode>
                <c:ptCount val="3"/>
                <c:pt idx="0">
                  <c:v>2021</c:v>
                </c:pt>
                <c:pt idx="1">
                  <c:v>2022</c:v>
                </c:pt>
                <c:pt idx="2">
                  <c:v>2023</c:v>
                </c:pt>
              </c:numCache>
            </c:numRef>
          </c:cat>
          <c:val>
            <c:numRef>
              <c:f>Sheet1!$D$3:$D$5</c:f>
              <c:numCache>
                <c:formatCode>0.00%</c:formatCode>
                <c:ptCount val="3"/>
                <c:pt idx="1">
                  <c:v>-8.333333333333337E-2</c:v>
                </c:pt>
                <c:pt idx="2">
                  <c:v>-0.13636363636363635</c:v>
                </c:pt>
              </c:numCache>
            </c:numRef>
          </c:val>
          <c:smooth val="0"/>
          <c:extLst>
            <c:ext xmlns:c16="http://schemas.microsoft.com/office/drawing/2014/chart" uri="{C3380CC4-5D6E-409C-BE32-E72D297353CC}">
              <c16:uniqueId val="{00000001-FE7B-4A0C-A4E6-A2D805DEE85C}"/>
            </c:ext>
          </c:extLst>
        </c:ser>
        <c:dLbls>
          <c:showLegendKey val="0"/>
          <c:showVal val="0"/>
          <c:showCatName val="0"/>
          <c:showSerName val="0"/>
          <c:showPercent val="0"/>
          <c:showBubbleSize val="0"/>
        </c:dLbls>
        <c:marker val="1"/>
        <c:smooth val="0"/>
        <c:axId val="1168841376"/>
        <c:axId val="1168853888"/>
      </c:lineChart>
      <c:catAx>
        <c:axId val="116885116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68854976"/>
        <c:crosses val="autoZero"/>
        <c:auto val="1"/>
        <c:lblAlgn val="ctr"/>
        <c:lblOffset val="100"/>
        <c:noMultiLvlLbl val="0"/>
      </c:catAx>
      <c:valAx>
        <c:axId val="1168854976"/>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crossAx val="1168851168"/>
        <c:crosses val="autoZero"/>
        <c:crossBetween val="between"/>
        <c:majorUnit val="400000"/>
      </c:valAx>
      <c:valAx>
        <c:axId val="1168853888"/>
        <c:scaling>
          <c:orientation val="minMax"/>
        </c:scaling>
        <c:delete val="0"/>
        <c:axPos val="r"/>
        <c:numFmt formatCode="0.00%" sourceLinked="0"/>
        <c:majorTickMark val="out"/>
        <c:minorTickMark val="none"/>
        <c:tickLblPos val="nextTo"/>
        <c:spPr>
          <a:noFill/>
          <a:ln>
            <a:noFill/>
          </a:ln>
          <a:effectLst/>
        </c:spPr>
        <c:txPr>
          <a:bodyPr rot="-600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crossAx val="1168841376"/>
        <c:crosses val="max"/>
        <c:crossBetween val="between"/>
        <c:majorUnit val="4.0000000000000008E-2"/>
      </c:valAx>
      <c:catAx>
        <c:axId val="1168841376"/>
        <c:scaling>
          <c:orientation val="minMax"/>
        </c:scaling>
        <c:delete val="1"/>
        <c:axPos val="b"/>
        <c:numFmt formatCode="General" sourceLinked="1"/>
        <c:majorTickMark val="out"/>
        <c:minorTickMark val="none"/>
        <c:tickLblPos val="nextTo"/>
        <c:crossAx val="1168853888"/>
        <c:crosses val="autoZero"/>
        <c:auto val="1"/>
        <c:lblAlgn val="ctr"/>
        <c:lblOffset val="100"/>
        <c:noMultiLvlLbl val="0"/>
      </c:cat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19050" cap="flat" cmpd="sng" algn="ctr">
      <a:solidFill>
        <a:srgbClr val="002060"/>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200" b="1" i="0" u="none" strike="noStrike" kern="1200" spc="0" baseline="0">
                <a:solidFill>
                  <a:schemeClr val="bg1"/>
                </a:solidFill>
                <a:latin typeface="+mn-lt"/>
                <a:ea typeface="+mn-ea"/>
                <a:cs typeface="+mn-cs"/>
              </a:defRPr>
            </a:pPr>
            <a:r>
              <a:rPr lang="en-US" sz="1200" b="1">
                <a:solidFill>
                  <a:schemeClr val="bg1"/>
                </a:solidFill>
              </a:rPr>
              <a:t>Operating Expense </a:t>
            </a:r>
            <a:r>
              <a:rPr lang="en-US" sz="1200" b="1" baseline="0">
                <a:solidFill>
                  <a:schemeClr val="bg1"/>
                </a:solidFill>
              </a:rPr>
              <a:t>of The Seacrest Lodge</a:t>
            </a:r>
            <a:endParaRPr lang="en-US" sz="1200" b="1">
              <a:solidFill>
                <a:schemeClr val="bg1"/>
              </a:solidFill>
            </a:endParaRPr>
          </a:p>
        </c:rich>
      </c:tx>
      <c:overlay val="0"/>
      <c:spPr>
        <a:solidFill>
          <a:schemeClr val="accent5">
            <a:lumMod val="50000"/>
          </a:schemeClr>
        </a:solidFill>
        <a:ln w="19050">
          <a:solidFill>
            <a:srgbClr val="002060"/>
          </a:solidFill>
        </a:ln>
        <a:effectLst/>
      </c:spPr>
      <c:txPr>
        <a:bodyPr rot="0" spcFirstLastPara="1" vertOverflow="ellipsis" vert="horz" wrap="square" anchor="ctr" anchorCtr="1"/>
        <a:lstStyle/>
        <a:p>
          <a:pPr>
            <a:defRPr sz="1200" b="1" i="0" u="none" strike="noStrike" kern="1200" spc="0" baseline="0">
              <a:solidFill>
                <a:schemeClr val="bg1"/>
              </a:solidFill>
              <a:latin typeface="+mn-lt"/>
              <a:ea typeface="+mn-ea"/>
              <a:cs typeface="+mn-cs"/>
            </a:defRPr>
          </a:pPr>
          <a:endParaRPr lang="en-US"/>
        </a:p>
      </c:txPr>
    </c:title>
    <c:autoTitleDeleted val="0"/>
    <c:plotArea>
      <c:layout/>
      <c:barChart>
        <c:barDir val="col"/>
        <c:grouping val="clustered"/>
        <c:varyColors val="0"/>
        <c:ser>
          <c:idx val="0"/>
          <c:order val="0"/>
          <c:tx>
            <c:strRef>
              <c:f>Sheet1!$C$7</c:f>
              <c:strCache>
                <c:ptCount val="1"/>
                <c:pt idx="0">
                  <c:v>Operating Expense</c:v>
                </c:pt>
              </c:strCache>
            </c:strRef>
          </c:tx>
          <c:spPr>
            <a:solidFill>
              <a:schemeClr val="accent5">
                <a:lumMod val="75000"/>
              </a:schemeClr>
            </a:solidFill>
            <a:ln>
              <a:noFill/>
            </a:ln>
            <a:effectLst/>
          </c:spPr>
          <c:invertIfNegative val="0"/>
          <c:dLbls>
            <c:spPr>
              <a:solidFill>
                <a:srgbClr val="FFC000"/>
              </a:solid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Sheet1!$B$8:$B$10</c:f>
              <c:numCache>
                <c:formatCode>General</c:formatCode>
                <c:ptCount val="3"/>
                <c:pt idx="0">
                  <c:v>2021</c:v>
                </c:pt>
                <c:pt idx="1">
                  <c:v>2022</c:v>
                </c:pt>
                <c:pt idx="2">
                  <c:v>2023</c:v>
                </c:pt>
              </c:numCache>
            </c:numRef>
          </c:cat>
          <c:val>
            <c:numRef>
              <c:f>Sheet1!$C$8:$C$10</c:f>
              <c:numCache>
                <c:formatCode>#,##0</c:formatCode>
                <c:ptCount val="3"/>
                <c:pt idx="0">
                  <c:v>900000</c:v>
                </c:pt>
                <c:pt idx="1">
                  <c:v>950000</c:v>
                </c:pt>
                <c:pt idx="2">
                  <c:v>1100000</c:v>
                </c:pt>
              </c:numCache>
            </c:numRef>
          </c:val>
          <c:extLst>
            <c:ext xmlns:c16="http://schemas.microsoft.com/office/drawing/2014/chart" uri="{C3380CC4-5D6E-409C-BE32-E72D297353CC}">
              <c16:uniqueId val="{00000000-72EA-473B-96AA-27073A23901E}"/>
            </c:ext>
          </c:extLst>
        </c:ser>
        <c:dLbls>
          <c:showLegendKey val="0"/>
          <c:showVal val="0"/>
          <c:showCatName val="0"/>
          <c:showSerName val="0"/>
          <c:showPercent val="0"/>
          <c:showBubbleSize val="0"/>
        </c:dLbls>
        <c:gapWidth val="219"/>
        <c:axId val="1168842464"/>
        <c:axId val="1168859328"/>
      </c:barChart>
      <c:lineChart>
        <c:grouping val="standard"/>
        <c:varyColors val="0"/>
        <c:ser>
          <c:idx val="1"/>
          <c:order val="1"/>
          <c:tx>
            <c:strRef>
              <c:f>Sheet1!$D$7</c:f>
              <c:strCache>
                <c:ptCount val="1"/>
                <c:pt idx="0">
                  <c:v>Growth</c:v>
                </c:pt>
              </c:strCache>
            </c:strRef>
          </c:tx>
          <c:spPr>
            <a:ln w="28575" cap="rnd">
              <a:solidFill>
                <a:schemeClr val="accent2">
                  <a:lumMod val="60000"/>
                  <a:lumOff val="40000"/>
                </a:schemeClr>
              </a:solidFill>
              <a:round/>
            </a:ln>
            <a:effectLst/>
          </c:spPr>
          <c:marker>
            <c:symbol val="circle"/>
            <c:size val="5"/>
            <c:spPr>
              <a:solidFill>
                <a:schemeClr val="accent2"/>
              </a:solidFill>
              <a:ln w="9525">
                <a:solidFill>
                  <a:schemeClr val="accent2">
                    <a:lumMod val="60000"/>
                    <a:lumOff val="40000"/>
                  </a:schemeClr>
                </a:solidFill>
              </a:ln>
              <a:effectLst/>
            </c:spPr>
          </c:marker>
          <c:dLbls>
            <c:spPr>
              <a:solidFill>
                <a:srgbClr val="FFC000"/>
              </a:solid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Sheet1!$B$3:$B$5</c:f>
              <c:numCache>
                <c:formatCode>General</c:formatCode>
                <c:ptCount val="3"/>
                <c:pt idx="0">
                  <c:v>2021</c:v>
                </c:pt>
                <c:pt idx="1">
                  <c:v>2022</c:v>
                </c:pt>
                <c:pt idx="2">
                  <c:v>2023</c:v>
                </c:pt>
              </c:numCache>
            </c:numRef>
          </c:cat>
          <c:val>
            <c:numRef>
              <c:f>Sheet1!$D$8:$D$10</c:f>
              <c:numCache>
                <c:formatCode>0.00%</c:formatCode>
                <c:ptCount val="3"/>
                <c:pt idx="1">
                  <c:v>5.555555555555558E-2</c:v>
                </c:pt>
                <c:pt idx="2">
                  <c:v>0.15789473684210531</c:v>
                </c:pt>
              </c:numCache>
            </c:numRef>
          </c:val>
          <c:smooth val="0"/>
          <c:extLst>
            <c:ext xmlns:c16="http://schemas.microsoft.com/office/drawing/2014/chart" uri="{C3380CC4-5D6E-409C-BE32-E72D297353CC}">
              <c16:uniqueId val="{00000001-72EA-473B-96AA-27073A23901E}"/>
            </c:ext>
          </c:extLst>
        </c:ser>
        <c:dLbls>
          <c:showLegendKey val="0"/>
          <c:showVal val="0"/>
          <c:showCatName val="0"/>
          <c:showSerName val="0"/>
          <c:showPercent val="0"/>
          <c:showBubbleSize val="0"/>
        </c:dLbls>
        <c:marker val="1"/>
        <c:smooth val="0"/>
        <c:axId val="1168843552"/>
        <c:axId val="1168859872"/>
      </c:lineChart>
      <c:catAx>
        <c:axId val="116884246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68859328"/>
        <c:crosses val="autoZero"/>
        <c:auto val="1"/>
        <c:lblAlgn val="ctr"/>
        <c:lblOffset val="100"/>
        <c:noMultiLvlLbl val="0"/>
      </c:catAx>
      <c:valAx>
        <c:axId val="1168859328"/>
        <c:scaling>
          <c:orientation val="minMax"/>
          <c:max val="1300000"/>
          <c:min val="0"/>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68842464"/>
        <c:crosses val="autoZero"/>
        <c:crossBetween val="between"/>
        <c:majorUnit val="400000"/>
      </c:valAx>
      <c:valAx>
        <c:axId val="1168859872"/>
        <c:scaling>
          <c:orientation val="minMax"/>
        </c:scaling>
        <c:delete val="0"/>
        <c:axPos val="r"/>
        <c:numFmt formatCode="0.00%" sourceLinked="0"/>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68843552"/>
        <c:crosses val="max"/>
        <c:crossBetween val="between"/>
      </c:valAx>
      <c:catAx>
        <c:axId val="1168843552"/>
        <c:scaling>
          <c:orientation val="minMax"/>
        </c:scaling>
        <c:delete val="1"/>
        <c:axPos val="b"/>
        <c:numFmt formatCode="General" sourceLinked="1"/>
        <c:majorTickMark val="out"/>
        <c:minorTickMark val="none"/>
        <c:tickLblPos val="nextTo"/>
        <c:crossAx val="1168859872"/>
        <c:crosses val="autoZero"/>
        <c:auto val="1"/>
        <c:lblAlgn val="ctr"/>
        <c:lblOffset val="100"/>
        <c:noMultiLvlLbl val="0"/>
      </c:cat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19050" cap="flat" cmpd="sng" algn="ctr">
      <a:solidFill>
        <a:srgbClr val="002060"/>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TotalTime>
  <Pages>9</Pages>
  <Words>2288</Words>
  <Characters>13042</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Ionela Beatrice Hulub (2214483)</dc:creator>
  <cp:keywords/>
  <dc:description/>
  <cp:lastModifiedBy>Ionela Beatrice Hulub (2214483)</cp:lastModifiedBy>
  <cp:revision>2</cp:revision>
  <dcterms:created xsi:type="dcterms:W3CDTF">2024-02-29T20:50:00Z</dcterms:created>
  <dcterms:modified xsi:type="dcterms:W3CDTF">2024-02-29T20:50:00Z</dcterms:modified>
</cp:coreProperties>
</file>