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902B6" w14:textId="6201106D" w:rsidR="001E2859" w:rsidRDefault="00B71799"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noProof/>
        </w:rPr>
        <w:drawing>
          <wp:anchor distT="0" distB="0" distL="114300" distR="114300" simplePos="0" relativeHeight="251659264" behindDoc="0" locked="0" layoutInCell="1" allowOverlap="1" wp14:anchorId="02D7662F" wp14:editId="54CE8673">
            <wp:simplePos x="0" y="0"/>
            <wp:positionH relativeFrom="column">
              <wp:posOffset>1390650</wp:posOffset>
            </wp:positionH>
            <wp:positionV relativeFrom="paragraph">
              <wp:posOffset>0</wp:posOffset>
            </wp:positionV>
            <wp:extent cx="3429000" cy="23241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429000" cy="2324100"/>
                    </a:xfrm>
                    <a:prstGeom prst="rect">
                      <a:avLst/>
                    </a:prstGeom>
                  </pic:spPr>
                </pic:pic>
              </a:graphicData>
            </a:graphic>
            <wp14:sizeRelH relativeFrom="margin">
              <wp14:pctWidth>0</wp14:pctWidth>
            </wp14:sizeRelH>
            <wp14:sizeRelV relativeFrom="margin">
              <wp14:pctHeight>0</wp14:pctHeight>
            </wp14:sizeRelV>
          </wp:anchor>
        </w:drawing>
      </w:r>
    </w:p>
    <w:p w14:paraId="04B03F53" w14:textId="5AA75F54" w:rsidR="001E2859" w:rsidRDefault="001E2859"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6C04A2AE" w14:textId="2BA4C50C" w:rsidR="001E2859" w:rsidRDefault="00B62FDA"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                                     </w:t>
      </w:r>
      <w:r w:rsidR="006A67D1">
        <w:rPr>
          <w:rFonts w:ascii="Times New Roman" w:eastAsia="Times New Roman" w:hAnsi="Times New Roman" w:cs="Times New Roman"/>
          <w:b/>
          <w:bCs/>
          <w:color w:val="0E101A"/>
          <w:kern w:val="0"/>
          <w:sz w:val="24"/>
          <w:szCs w:val="24"/>
          <w14:ligatures w14:val="none"/>
        </w:rPr>
        <w:t xml:space="preserve">        </w:t>
      </w:r>
      <w:r w:rsidR="00F94B8E">
        <w:rPr>
          <w:rFonts w:ascii="Times New Roman" w:eastAsia="Times New Roman" w:hAnsi="Times New Roman" w:cs="Times New Roman"/>
          <w:b/>
          <w:bCs/>
          <w:color w:val="0E101A"/>
          <w:kern w:val="0"/>
          <w:sz w:val="24"/>
          <w:szCs w:val="24"/>
          <w14:ligatures w14:val="none"/>
        </w:rPr>
        <w:t xml:space="preserve">  </w:t>
      </w:r>
      <w:r w:rsidR="006A67D1">
        <w:rPr>
          <w:rFonts w:ascii="Times New Roman" w:eastAsia="Times New Roman" w:hAnsi="Times New Roman" w:cs="Times New Roman"/>
          <w:b/>
          <w:bCs/>
          <w:color w:val="0E101A"/>
          <w:kern w:val="0"/>
          <w:sz w:val="24"/>
          <w:szCs w:val="24"/>
          <w14:ligatures w14:val="none"/>
        </w:rPr>
        <w:t xml:space="preserve"> </w:t>
      </w:r>
      <w:r>
        <w:rPr>
          <w:rFonts w:ascii="Times New Roman" w:eastAsia="Times New Roman" w:hAnsi="Times New Roman" w:cs="Times New Roman"/>
          <w:b/>
          <w:bCs/>
          <w:color w:val="0E101A"/>
          <w:kern w:val="0"/>
          <w:sz w:val="24"/>
          <w:szCs w:val="24"/>
          <w14:ligatures w14:val="none"/>
        </w:rPr>
        <w:t xml:space="preserve"> NAME – SHIVANI GAUR </w:t>
      </w:r>
    </w:p>
    <w:p w14:paraId="212BEA22" w14:textId="7CCCBFE2" w:rsidR="00B62FDA" w:rsidRDefault="00B62FDA"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                          </w:t>
      </w:r>
      <w:r w:rsidR="00281A2E">
        <w:rPr>
          <w:rFonts w:ascii="Times New Roman" w:eastAsia="Times New Roman" w:hAnsi="Times New Roman" w:cs="Times New Roman"/>
          <w:b/>
          <w:bCs/>
          <w:color w:val="0E101A"/>
          <w:kern w:val="0"/>
          <w:sz w:val="24"/>
          <w:szCs w:val="24"/>
          <w14:ligatures w14:val="none"/>
        </w:rPr>
        <w:t xml:space="preserve">          </w:t>
      </w:r>
      <w:r w:rsidR="006A67D1">
        <w:rPr>
          <w:rFonts w:ascii="Times New Roman" w:eastAsia="Times New Roman" w:hAnsi="Times New Roman" w:cs="Times New Roman"/>
          <w:b/>
          <w:bCs/>
          <w:color w:val="0E101A"/>
          <w:kern w:val="0"/>
          <w:sz w:val="24"/>
          <w:szCs w:val="24"/>
          <w14:ligatures w14:val="none"/>
        </w:rPr>
        <w:t xml:space="preserve">          </w:t>
      </w:r>
      <w:r>
        <w:rPr>
          <w:rFonts w:ascii="Times New Roman" w:eastAsia="Times New Roman" w:hAnsi="Times New Roman" w:cs="Times New Roman"/>
          <w:b/>
          <w:bCs/>
          <w:color w:val="0E101A"/>
          <w:kern w:val="0"/>
          <w:sz w:val="24"/>
          <w:szCs w:val="24"/>
          <w14:ligatures w14:val="none"/>
        </w:rPr>
        <w:t xml:space="preserve"> </w:t>
      </w:r>
      <w:r w:rsidR="00F94B8E">
        <w:rPr>
          <w:rFonts w:ascii="Times New Roman" w:eastAsia="Times New Roman" w:hAnsi="Times New Roman" w:cs="Times New Roman"/>
          <w:b/>
          <w:bCs/>
          <w:color w:val="0E101A"/>
          <w:kern w:val="0"/>
          <w:sz w:val="24"/>
          <w:szCs w:val="24"/>
          <w14:ligatures w14:val="none"/>
        </w:rPr>
        <w:t xml:space="preserve">  </w:t>
      </w:r>
      <w:r w:rsidR="00281A2E">
        <w:rPr>
          <w:rFonts w:ascii="Times New Roman" w:eastAsia="Times New Roman" w:hAnsi="Times New Roman" w:cs="Times New Roman"/>
          <w:b/>
          <w:bCs/>
          <w:color w:val="0E101A"/>
          <w:kern w:val="0"/>
          <w:sz w:val="24"/>
          <w:szCs w:val="24"/>
          <w14:ligatures w14:val="none"/>
        </w:rPr>
        <w:t>STUDENT ID – 2214335</w:t>
      </w:r>
    </w:p>
    <w:p w14:paraId="1C5CDC41" w14:textId="1584EE59" w:rsidR="002136E7" w:rsidRDefault="002136E7"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                                               </w:t>
      </w:r>
      <w:r w:rsidR="00F94B8E">
        <w:rPr>
          <w:rFonts w:ascii="Times New Roman" w:eastAsia="Times New Roman" w:hAnsi="Times New Roman" w:cs="Times New Roman"/>
          <w:b/>
          <w:bCs/>
          <w:color w:val="0E101A"/>
          <w:kern w:val="0"/>
          <w:sz w:val="24"/>
          <w:szCs w:val="24"/>
          <w14:ligatures w14:val="none"/>
        </w:rPr>
        <w:t xml:space="preserve">  </w:t>
      </w:r>
      <w:r>
        <w:rPr>
          <w:rFonts w:ascii="Times New Roman" w:eastAsia="Times New Roman" w:hAnsi="Times New Roman" w:cs="Times New Roman"/>
          <w:b/>
          <w:bCs/>
          <w:color w:val="0E101A"/>
          <w:kern w:val="0"/>
          <w:sz w:val="24"/>
          <w:szCs w:val="24"/>
          <w14:ligatures w14:val="none"/>
        </w:rPr>
        <w:t>COURSE – MBA (HRM)</w:t>
      </w:r>
    </w:p>
    <w:p w14:paraId="7AC54D54" w14:textId="21837B12" w:rsidR="009731A2" w:rsidRDefault="009731A2"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                                 </w:t>
      </w:r>
      <w:r w:rsidR="006A67D1">
        <w:rPr>
          <w:rFonts w:ascii="Times New Roman" w:eastAsia="Times New Roman" w:hAnsi="Times New Roman" w:cs="Times New Roman"/>
          <w:b/>
          <w:bCs/>
          <w:color w:val="0E101A"/>
          <w:kern w:val="0"/>
          <w:sz w:val="24"/>
          <w:szCs w:val="24"/>
          <w14:ligatures w14:val="none"/>
        </w:rPr>
        <w:t xml:space="preserve">          </w:t>
      </w:r>
      <w:r>
        <w:rPr>
          <w:rFonts w:ascii="Times New Roman" w:eastAsia="Times New Roman" w:hAnsi="Times New Roman" w:cs="Times New Roman"/>
          <w:b/>
          <w:bCs/>
          <w:color w:val="0E101A"/>
          <w:kern w:val="0"/>
          <w:sz w:val="24"/>
          <w:szCs w:val="24"/>
          <w14:ligatures w14:val="none"/>
        </w:rPr>
        <w:t xml:space="preserve">   </w:t>
      </w:r>
      <w:r w:rsidR="00F94B8E">
        <w:rPr>
          <w:rFonts w:ascii="Times New Roman" w:eastAsia="Times New Roman" w:hAnsi="Times New Roman" w:cs="Times New Roman"/>
          <w:b/>
          <w:bCs/>
          <w:color w:val="0E101A"/>
          <w:kern w:val="0"/>
          <w:sz w:val="24"/>
          <w:szCs w:val="24"/>
          <w14:ligatures w14:val="none"/>
        </w:rPr>
        <w:t xml:space="preserve">  </w:t>
      </w:r>
      <w:r>
        <w:rPr>
          <w:rFonts w:ascii="Times New Roman" w:eastAsia="Times New Roman" w:hAnsi="Times New Roman" w:cs="Times New Roman"/>
          <w:b/>
          <w:bCs/>
          <w:color w:val="0E101A"/>
          <w:kern w:val="0"/>
          <w:sz w:val="24"/>
          <w:szCs w:val="24"/>
          <w14:ligatures w14:val="none"/>
        </w:rPr>
        <w:t xml:space="preserve"> SUBJECT – MANAGING PEOPLE </w:t>
      </w:r>
      <w:r w:rsidR="002A3F01">
        <w:rPr>
          <w:rFonts w:ascii="Times New Roman" w:eastAsia="Times New Roman" w:hAnsi="Times New Roman" w:cs="Times New Roman"/>
          <w:b/>
          <w:bCs/>
          <w:color w:val="0E101A"/>
          <w:kern w:val="0"/>
          <w:sz w:val="24"/>
          <w:szCs w:val="24"/>
          <w14:ligatures w14:val="none"/>
        </w:rPr>
        <w:t>(LCMB 7011 )</w:t>
      </w:r>
    </w:p>
    <w:p w14:paraId="6507886F" w14:textId="47B1B2A0" w:rsidR="00B668D9" w:rsidRDefault="00835B71"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                                </w:t>
      </w:r>
      <w:r w:rsidR="006A67D1">
        <w:rPr>
          <w:rFonts w:ascii="Times New Roman" w:eastAsia="Times New Roman" w:hAnsi="Times New Roman" w:cs="Times New Roman"/>
          <w:b/>
          <w:bCs/>
          <w:color w:val="0E101A"/>
          <w:kern w:val="0"/>
          <w:sz w:val="24"/>
          <w:szCs w:val="24"/>
          <w14:ligatures w14:val="none"/>
        </w:rPr>
        <w:t xml:space="preserve">          </w:t>
      </w:r>
      <w:r>
        <w:rPr>
          <w:rFonts w:ascii="Times New Roman" w:eastAsia="Times New Roman" w:hAnsi="Times New Roman" w:cs="Times New Roman"/>
          <w:b/>
          <w:bCs/>
          <w:color w:val="0E101A"/>
          <w:kern w:val="0"/>
          <w:sz w:val="24"/>
          <w:szCs w:val="24"/>
          <w14:ligatures w14:val="none"/>
        </w:rPr>
        <w:t xml:space="preserve">   </w:t>
      </w:r>
      <w:r w:rsidR="00F94B8E">
        <w:rPr>
          <w:rFonts w:ascii="Times New Roman" w:eastAsia="Times New Roman" w:hAnsi="Times New Roman" w:cs="Times New Roman"/>
          <w:b/>
          <w:bCs/>
          <w:color w:val="0E101A"/>
          <w:kern w:val="0"/>
          <w:sz w:val="24"/>
          <w:szCs w:val="24"/>
          <w14:ligatures w14:val="none"/>
        </w:rPr>
        <w:t xml:space="preserve">  </w:t>
      </w:r>
      <w:r>
        <w:rPr>
          <w:rFonts w:ascii="Times New Roman" w:eastAsia="Times New Roman" w:hAnsi="Times New Roman" w:cs="Times New Roman"/>
          <w:b/>
          <w:bCs/>
          <w:color w:val="0E101A"/>
          <w:kern w:val="0"/>
          <w:sz w:val="24"/>
          <w:szCs w:val="24"/>
          <w14:ligatures w14:val="none"/>
        </w:rPr>
        <w:t xml:space="preserve">  SUBMITTED TO – REXON NTING </w:t>
      </w:r>
    </w:p>
    <w:p w14:paraId="1AC176E6" w14:textId="77777777" w:rsidR="00BA296B" w:rsidRDefault="00BA296B"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5F61DDDD" w14:textId="77777777" w:rsidR="00BA296B" w:rsidRDefault="00BA296B"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33E6DE5D" w14:textId="77777777" w:rsidR="00B668D9" w:rsidRDefault="00B668D9"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41CEDF93" w14:textId="24C6DD6D" w:rsidR="00B668D9" w:rsidRDefault="00B668D9"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5C5D651C" w14:textId="77777777" w:rsidR="00FE3B0D" w:rsidRDefault="00FE3B0D"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4F2D8842" w14:textId="77777777" w:rsidR="00FE3B0D" w:rsidRDefault="00FE3B0D"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11B31F77" w14:textId="77777777" w:rsidR="00FE3B0D" w:rsidRDefault="00FE3B0D"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4206EFA6" w14:textId="77777777" w:rsidR="00FE3B0D" w:rsidRDefault="00FE3B0D"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3729A609" w14:textId="77777777" w:rsidR="00F94B8E" w:rsidRDefault="00BA296B"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                                                </w:t>
      </w:r>
    </w:p>
    <w:p w14:paraId="702D2D75" w14:textId="77777777" w:rsidR="00F94B8E"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7E688B30" w14:textId="77777777" w:rsidR="00F94B8E"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1632E135" w14:textId="77777777" w:rsidR="00F94B8E"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61015E3B" w14:textId="77777777" w:rsidR="00F94B8E"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7B0A6F54" w14:textId="77777777" w:rsidR="00F94B8E"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5E6EF9F0" w14:textId="77777777" w:rsidR="00F94B8E"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1866C272" w14:textId="77777777" w:rsidR="00F94B8E"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5A417F5A" w14:textId="4F938A54" w:rsidR="00FE3B0D" w:rsidRDefault="00F94B8E" w:rsidP="001152C1">
      <w:p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                                                        </w:t>
      </w:r>
      <w:r w:rsidR="00BA296B">
        <w:rPr>
          <w:rFonts w:ascii="Times New Roman" w:eastAsia="Times New Roman" w:hAnsi="Times New Roman" w:cs="Times New Roman"/>
          <w:b/>
          <w:bCs/>
          <w:color w:val="0E101A"/>
          <w:kern w:val="0"/>
          <w:sz w:val="24"/>
          <w:szCs w:val="24"/>
          <w14:ligatures w14:val="none"/>
        </w:rPr>
        <w:t xml:space="preserve">TABLE OF CONTENTS </w:t>
      </w:r>
    </w:p>
    <w:p w14:paraId="6715C4AB" w14:textId="77777777" w:rsidR="00BA296B" w:rsidRDefault="00BA296B"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55CBDE37" w14:textId="77777777" w:rsidR="00FE3B0D" w:rsidRDefault="00FE3B0D"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29852C28" w14:textId="5573E48E" w:rsidR="00B12568" w:rsidRDefault="00651F91" w:rsidP="00B12568">
      <w:pPr>
        <w:pStyle w:val="ListParagraph"/>
        <w:numPr>
          <w:ilvl w:val="0"/>
          <w:numId w:val="2"/>
        </w:num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INTRODUCTION </w:t>
      </w:r>
    </w:p>
    <w:p w14:paraId="4BE05B14" w14:textId="73866F38" w:rsidR="005D711A" w:rsidRDefault="002E4002" w:rsidP="00FF6ED6">
      <w:pPr>
        <w:pStyle w:val="ListParagraph"/>
        <w:numPr>
          <w:ilvl w:val="1"/>
          <w:numId w:val="3"/>
        </w:num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The latest legal strategy of the fire and </w:t>
      </w:r>
      <w:r w:rsidR="00FF6ED6">
        <w:rPr>
          <w:rFonts w:ascii="Times New Roman" w:eastAsia="Times New Roman" w:hAnsi="Times New Roman" w:cs="Times New Roman"/>
          <w:b/>
          <w:bCs/>
          <w:color w:val="0E101A"/>
          <w:kern w:val="0"/>
          <w:sz w:val="24"/>
          <w:szCs w:val="24"/>
          <w14:ligatures w14:val="none"/>
        </w:rPr>
        <w:t xml:space="preserve">rehire procedures </w:t>
      </w:r>
    </w:p>
    <w:p w14:paraId="1471F9BC" w14:textId="27ED320B" w:rsidR="00FF6ED6" w:rsidRDefault="000E027A" w:rsidP="00FF6ED6">
      <w:pPr>
        <w:pStyle w:val="ListParagraph"/>
        <w:numPr>
          <w:ilvl w:val="1"/>
          <w:numId w:val="3"/>
        </w:numPr>
        <w:spacing w:after="0" w:line="360" w:lineRule="auto"/>
        <w:jc w:val="both"/>
        <w:rPr>
          <w:rFonts w:ascii="Times New Roman" w:eastAsia="Times New Roman" w:hAnsi="Times New Roman" w:cs="Times New Roman"/>
          <w:b/>
          <w:bCs/>
          <w:color w:val="0E101A"/>
          <w:kern w:val="0"/>
          <w:sz w:val="24"/>
          <w:szCs w:val="24"/>
          <w14:ligatures w14:val="none"/>
        </w:rPr>
      </w:pPr>
      <w:r>
        <w:rPr>
          <w:rFonts w:ascii="Times New Roman" w:eastAsia="Times New Roman" w:hAnsi="Times New Roman" w:cs="Times New Roman"/>
          <w:b/>
          <w:bCs/>
          <w:color w:val="0E101A"/>
          <w:kern w:val="0"/>
          <w:sz w:val="24"/>
          <w:szCs w:val="24"/>
          <w14:ligatures w14:val="none"/>
        </w:rPr>
        <w:t xml:space="preserve">Fire and rehire strategy implementation </w:t>
      </w:r>
    </w:p>
    <w:p w14:paraId="59941DE2" w14:textId="6A46D8FE" w:rsidR="000E027A" w:rsidRPr="00CA7226" w:rsidRDefault="00CA7226" w:rsidP="00FF6ED6">
      <w:pPr>
        <w:pStyle w:val="ListParagraph"/>
        <w:numPr>
          <w:ilvl w:val="1"/>
          <w:numId w:val="3"/>
        </w:numPr>
        <w:spacing w:after="0" w:line="360" w:lineRule="auto"/>
        <w:jc w:val="both"/>
        <w:rPr>
          <w:rFonts w:ascii="Times New Roman" w:eastAsia="Times New Roman" w:hAnsi="Times New Roman" w:cs="Times New Roman"/>
          <w:b/>
          <w:bCs/>
          <w:color w:val="0E101A"/>
          <w:kern w:val="0"/>
          <w:sz w:val="24"/>
          <w:szCs w:val="24"/>
          <w14:ligatures w14:val="none"/>
        </w:rPr>
      </w:pPr>
      <w:r>
        <w:rPr>
          <w:rFonts w:eastAsia="Times New Roman"/>
          <w:b/>
          <w:bCs/>
          <w:color w:val="000000"/>
          <w:sz w:val="27"/>
          <w:szCs w:val="27"/>
        </w:rPr>
        <w:t>Several variables contributed to British Gas’s decision to use the “fire and rehire” strategy:</w:t>
      </w:r>
    </w:p>
    <w:p w14:paraId="7569016A" w14:textId="6F0880CB" w:rsidR="00CA7226" w:rsidRPr="006748D4" w:rsidRDefault="006748D4" w:rsidP="00FF6ED6">
      <w:pPr>
        <w:pStyle w:val="ListParagraph"/>
        <w:numPr>
          <w:ilvl w:val="1"/>
          <w:numId w:val="3"/>
        </w:numPr>
        <w:spacing w:after="0" w:line="360" w:lineRule="auto"/>
        <w:jc w:val="both"/>
        <w:rPr>
          <w:rFonts w:ascii="Times New Roman" w:eastAsia="Times New Roman" w:hAnsi="Times New Roman" w:cs="Times New Roman"/>
          <w:b/>
          <w:bCs/>
          <w:color w:val="0E101A"/>
          <w:kern w:val="0"/>
          <w:sz w:val="24"/>
          <w:szCs w:val="24"/>
          <w14:ligatures w14:val="none"/>
        </w:rPr>
      </w:pPr>
      <w:r>
        <w:rPr>
          <w:rFonts w:eastAsia="Times New Roman"/>
          <w:b/>
          <w:bCs/>
          <w:color w:val="000000"/>
          <w:sz w:val="27"/>
          <w:szCs w:val="27"/>
        </w:rPr>
        <w:t>Fire and rehire practises.</w:t>
      </w:r>
    </w:p>
    <w:p w14:paraId="5B68301A" w14:textId="72817085" w:rsidR="006748D4" w:rsidRDefault="006748D4" w:rsidP="00561667">
      <w:pPr>
        <w:spacing w:after="0" w:line="360" w:lineRule="auto"/>
        <w:jc w:val="both"/>
        <w:rPr>
          <w:rFonts w:ascii="Times New Roman" w:eastAsia="Times New Roman" w:hAnsi="Times New Roman" w:cs="Times New Roman"/>
          <w:b/>
          <w:bCs/>
          <w:color w:val="0E101A"/>
          <w:kern w:val="0"/>
          <w:sz w:val="24"/>
          <w:szCs w:val="24"/>
          <w14:ligatures w14:val="none"/>
        </w:rPr>
      </w:pPr>
    </w:p>
    <w:p w14:paraId="2A3F6FA2" w14:textId="18B80D63" w:rsidR="002F188D" w:rsidRPr="002F188D" w:rsidRDefault="002F188D" w:rsidP="002F188D">
      <w:pPr>
        <w:pStyle w:val="ListParagraph"/>
        <w:numPr>
          <w:ilvl w:val="0"/>
          <w:numId w:val="2"/>
        </w:numPr>
        <w:spacing w:after="0" w:line="360" w:lineRule="auto"/>
        <w:jc w:val="both"/>
        <w:rPr>
          <w:rFonts w:ascii="Times New Roman" w:eastAsia="Times New Roman" w:hAnsi="Times New Roman" w:cs="Times New Roman"/>
          <w:b/>
          <w:bCs/>
          <w:color w:val="0E101A"/>
          <w:kern w:val="0"/>
          <w:sz w:val="24"/>
          <w:szCs w:val="24"/>
          <w14:ligatures w14:val="none"/>
        </w:rPr>
      </w:pPr>
      <w:r>
        <w:rPr>
          <w:rFonts w:eastAsia="Times New Roman"/>
          <w:b/>
          <w:bCs/>
          <w:color w:val="000000"/>
          <w:sz w:val="27"/>
          <w:szCs w:val="27"/>
        </w:rPr>
        <w:t>Explains the legal implications of changing contractual employment terms:</w:t>
      </w:r>
    </w:p>
    <w:p w14:paraId="0A5B7A86" w14:textId="106B3C19" w:rsidR="002F188D" w:rsidRDefault="00E85059" w:rsidP="00E85059">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2.1</w:t>
      </w:r>
      <w:r w:rsidR="0019387C">
        <w:rPr>
          <w:rFonts w:eastAsia="Times New Roman"/>
          <w:b/>
          <w:bCs/>
          <w:color w:val="000000"/>
          <w:sz w:val="27"/>
          <w:szCs w:val="27"/>
        </w:rPr>
        <w:t xml:space="preserve"> </w:t>
      </w:r>
      <w:r w:rsidR="006E4DF5">
        <w:rPr>
          <w:rFonts w:eastAsia="Times New Roman"/>
          <w:b/>
          <w:bCs/>
          <w:color w:val="000000"/>
          <w:sz w:val="27"/>
          <w:szCs w:val="27"/>
        </w:rPr>
        <w:t>Employment Contracts in the United Kingdom</w:t>
      </w:r>
    </w:p>
    <w:p w14:paraId="32E21881" w14:textId="30DEAE71" w:rsidR="006E4DF5" w:rsidRDefault="006E4DF5" w:rsidP="00E85059">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2.2 </w:t>
      </w:r>
      <w:r w:rsidR="00756902">
        <w:rPr>
          <w:rFonts w:eastAsia="Times New Roman"/>
          <w:b/>
          <w:bCs/>
          <w:color w:val="000000"/>
          <w:sz w:val="27"/>
          <w:szCs w:val="27"/>
        </w:rPr>
        <w:t>Employee’s consent:</w:t>
      </w:r>
    </w:p>
    <w:p w14:paraId="3EE94B91" w14:textId="3C2BD766" w:rsidR="00756902" w:rsidRDefault="00756902" w:rsidP="00E85059">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2.3 </w:t>
      </w:r>
      <w:r w:rsidR="00E42B1B">
        <w:rPr>
          <w:rFonts w:eastAsia="Times New Roman"/>
          <w:b/>
          <w:bCs/>
          <w:color w:val="000000"/>
          <w:sz w:val="27"/>
          <w:szCs w:val="27"/>
        </w:rPr>
        <w:t>Demanding Advice/Consultations:</w:t>
      </w:r>
    </w:p>
    <w:p w14:paraId="7E486E00" w14:textId="46BD80B6" w:rsidR="00E42B1B" w:rsidRDefault="00E42B1B" w:rsidP="00E85059">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2.4 </w:t>
      </w:r>
      <w:r w:rsidR="00032EF9">
        <w:rPr>
          <w:rFonts w:eastAsia="Times New Roman"/>
          <w:b/>
          <w:bCs/>
          <w:color w:val="000000"/>
          <w:sz w:val="27"/>
          <w:szCs w:val="27"/>
        </w:rPr>
        <w:t>Equality among every employee:</w:t>
      </w:r>
    </w:p>
    <w:p w14:paraId="38A5F9FF" w14:textId="77CB0D49" w:rsidR="00032EF9" w:rsidRDefault="00032EF9" w:rsidP="00E85059">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2.5 </w:t>
      </w:r>
      <w:r w:rsidR="00E04172">
        <w:rPr>
          <w:rFonts w:eastAsia="Times New Roman"/>
          <w:b/>
          <w:bCs/>
          <w:color w:val="000000"/>
          <w:sz w:val="27"/>
          <w:szCs w:val="27"/>
        </w:rPr>
        <w:t>Changes and “Fire and Rehire” Strategy:</w:t>
      </w:r>
    </w:p>
    <w:p w14:paraId="4708C1BF" w14:textId="72B19BC9" w:rsidR="007A4A0F" w:rsidRDefault="007A4A0F" w:rsidP="00E85059">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2.6 Consequences of the implementation of the strategy of “Fire and Rehire”:</w:t>
      </w:r>
    </w:p>
    <w:p w14:paraId="1E05D996" w14:textId="77777777" w:rsidR="007A4A0F" w:rsidRDefault="007A4A0F" w:rsidP="00E85059">
      <w:pPr>
        <w:pStyle w:val="ListParagraph"/>
        <w:spacing w:after="0" w:line="360" w:lineRule="auto"/>
        <w:jc w:val="both"/>
        <w:rPr>
          <w:rFonts w:eastAsia="Times New Roman"/>
          <w:b/>
          <w:bCs/>
          <w:color w:val="000000"/>
          <w:sz w:val="27"/>
          <w:szCs w:val="27"/>
        </w:rPr>
      </w:pPr>
    </w:p>
    <w:p w14:paraId="331A34FF" w14:textId="741D4263" w:rsidR="00CC73AB" w:rsidRPr="0061250C" w:rsidRDefault="0061250C" w:rsidP="00CC73AB">
      <w:pPr>
        <w:pStyle w:val="ListParagraph"/>
        <w:numPr>
          <w:ilvl w:val="0"/>
          <w:numId w:val="2"/>
        </w:numPr>
        <w:spacing w:after="0" w:line="360" w:lineRule="auto"/>
        <w:jc w:val="both"/>
        <w:rPr>
          <w:rFonts w:ascii="Times New Roman" w:eastAsia="Times New Roman" w:hAnsi="Times New Roman" w:cs="Times New Roman"/>
          <w:b/>
          <w:bCs/>
          <w:color w:val="0E101A"/>
          <w:kern w:val="0"/>
          <w:sz w:val="24"/>
          <w:szCs w:val="24"/>
          <w14:ligatures w14:val="none"/>
        </w:rPr>
      </w:pPr>
      <w:r>
        <w:rPr>
          <w:rFonts w:eastAsia="Times New Roman"/>
          <w:b/>
          <w:bCs/>
          <w:color w:val="000000"/>
          <w:sz w:val="27"/>
          <w:szCs w:val="27"/>
        </w:rPr>
        <w:t>The potential impact of any changes on employee engagement:</w:t>
      </w:r>
    </w:p>
    <w:p w14:paraId="56ED6F4D" w14:textId="222F4C1A" w:rsidR="0061250C" w:rsidRDefault="0061250C" w:rsidP="0061250C">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3.1 </w:t>
      </w:r>
      <w:r w:rsidR="005771A5">
        <w:rPr>
          <w:rFonts w:eastAsia="Times New Roman"/>
          <w:b/>
          <w:bCs/>
          <w:color w:val="000000"/>
          <w:sz w:val="27"/>
          <w:szCs w:val="27"/>
        </w:rPr>
        <w:t>Benefits of employee engagement and employment contract:</w:t>
      </w:r>
    </w:p>
    <w:p w14:paraId="150BCE0E" w14:textId="1B025C38" w:rsidR="005771A5" w:rsidRDefault="005771A5" w:rsidP="0061250C">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3.2 </w:t>
      </w:r>
      <w:r w:rsidR="00F02B92">
        <w:rPr>
          <w:rFonts w:eastAsia="Times New Roman"/>
          <w:b/>
          <w:bCs/>
          <w:color w:val="000000"/>
          <w:sz w:val="27"/>
          <w:szCs w:val="27"/>
        </w:rPr>
        <w:t>New adaptable learning: </w:t>
      </w:r>
    </w:p>
    <w:p w14:paraId="436AFCF7" w14:textId="20749B4F" w:rsidR="00F02B92" w:rsidRDefault="00F02B92" w:rsidP="0061250C">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3.3 </w:t>
      </w:r>
      <w:r w:rsidR="007C2859">
        <w:rPr>
          <w:rFonts w:eastAsia="Times New Roman"/>
          <w:b/>
          <w:bCs/>
          <w:color w:val="000000"/>
          <w:sz w:val="27"/>
          <w:szCs w:val="27"/>
        </w:rPr>
        <w:t>Results by making changes in contracts on employee engagement.</w:t>
      </w:r>
    </w:p>
    <w:p w14:paraId="61007A02" w14:textId="0867A3AB" w:rsidR="00FD4E95" w:rsidRDefault="00FD4E95" w:rsidP="00FD4E95">
      <w:pPr>
        <w:pStyle w:val="ListParagraph"/>
        <w:spacing w:after="0" w:line="360" w:lineRule="auto"/>
        <w:jc w:val="both"/>
        <w:rPr>
          <w:rFonts w:eastAsia="Times New Roman"/>
          <w:b/>
          <w:bCs/>
          <w:color w:val="000000"/>
          <w:sz w:val="27"/>
          <w:szCs w:val="27"/>
        </w:rPr>
      </w:pPr>
    </w:p>
    <w:p w14:paraId="5FCA9BC4" w14:textId="77777777" w:rsidR="00FD4E95" w:rsidRDefault="00FD4E95" w:rsidP="00FD4E95">
      <w:pPr>
        <w:pStyle w:val="ListParagraph"/>
        <w:spacing w:after="0" w:line="360" w:lineRule="auto"/>
        <w:jc w:val="both"/>
        <w:rPr>
          <w:rFonts w:eastAsia="Times New Roman"/>
          <w:b/>
          <w:bCs/>
          <w:color w:val="000000"/>
          <w:sz w:val="27"/>
          <w:szCs w:val="27"/>
        </w:rPr>
      </w:pPr>
    </w:p>
    <w:p w14:paraId="2D6C3F06" w14:textId="06765D4D" w:rsidR="00FD4E95" w:rsidRDefault="00DD1C37" w:rsidP="00FD4E95">
      <w:pPr>
        <w:pStyle w:val="ListParagraph"/>
        <w:numPr>
          <w:ilvl w:val="0"/>
          <w:numId w:val="2"/>
        </w:numPr>
        <w:spacing w:after="0" w:line="360" w:lineRule="auto"/>
        <w:jc w:val="both"/>
        <w:rPr>
          <w:rFonts w:eastAsia="Times New Roman"/>
          <w:b/>
          <w:bCs/>
          <w:color w:val="000000"/>
          <w:sz w:val="27"/>
          <w:szCs w:val="27"/>
        </w:rPr>
      </w:pPr>
      <w:r>
        <w:rPr>
          <w:rFonts w:eastAsia="Times New Roman"/>
          <w:b/>
          <w:bCs/>
          <w:color w:val="000000"/>
          <w:sz w:val="27"/>
          <w:szCs w:val="27"/>
        </w:rPr>
        <w:t>Evaluates H.R.'s involvement in this issue and consider whether traditional models of HRM provide an adequate framework for managing contemporary employment relations:</w:t>
      </w:r>
    </w:p>
    <w:p w14:paraId="5939A594" w14:textId="14963760" w:rsidR="00DD1C37" w:rsidRDefault="00DD1C37" w:rsidP="00DD1C37">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4.1 </w:t>
      </w:r>
      <w:r w:rsidR="00F117FA">
        <w:rPr>
          <w:rFonts w:eastAsia="Times New Roman"/>
          <w:b/>
          <w:bCs/>
          <w:color w:val="000000"/>
          <w:sz w:val="27"/>
          <w:szCs w:val="27"/>
        </w:rPr>
        <w:t>Examine H.R.’s role in maintaining employee relations: </w:t>
      </w:r>
    </w:p>
    <w:p w14:paraId="79DD7A3B" w14:textId="04B5DEE7" w:rsidR="00F117FA" w:rsidRDefault="00F117FA" w:rsidP="00DD1C37">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4.2 </w:t>
      </w:r>
      <w:r w:rsidR="008E6AEB">
        <w:rPr>
          <w:rFonts w:eastAsia="Times New Roman"/>
          <w:b/>
          <w:bCs/>
          <w:color w:val="000000"/>
          <w:sz w:val="27"/>
          <w:szCs w:val="27"/>
        </w:rPr>
        <w:t>Traditional Human Resource Management HRM models to deal with current issues such as “fire and rehire”:</w:t>
      </w:r>
    </w:p>
    <w:p w14:paraId="269814F7" w14:textId="7451BF77" w:rsidR="008E6AEB" w:rsidRDefault="008E6AEB" w:rsidP="00DD1C37">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lastRenderedPageBreak/>
        <w:t xml:space="preserve">4.3 </w:t>
      </w:r>
      <w:r w:rsidR="006B401E">
        <w:rPr>
          <w:rFonts w:eastAsia="Times New Roman"/>
          <w:b/>
          <w:bCs/>
          <w:color w:val="000000"/>
          <w:sz w:val="27"/>
          <w:szCs w:val="27"/>
        </w:rPr>
        <w:t>The evolvement of HRM or human resource management policies:</w:t>
      </w:r>
    </w:p>
    <w:p w14:paraId="7CC6D60C" w14:textId="702285E6" w:rsidR="006B401E" w:rsidRDefault="006B401E" w:rsidP="00DD1C37">
      <w:pPr>
        <w:pStyle w:val="ListParagraph"/>
        <w:spacing w:after="0" w:line="360" w:lineRule="auto"/>
        <w:jc w:val="both"/>
        <w:rPr>
          <w:rFonts w:eastAsia="Times New Roman"/>
          <w:b/>
          <w:bCs/>
          <w:color w:val="000000"/>
          <w:sz w:val="27"/>
          <w:szCs w:val="27"/>
        </w:rPr>
      </w:pPr>
      <w:r>
        <w:rPr>
          <w:rFonts w:eastAsia="Times New Roman"/>
          <w:b/>
          <w:bCs/>
          <w:color w:val="000000"/>
          <w:sz w:val="27"/>
          <w:szCs w:val="27"/>
        </w:rPr>
        <w:t xml:space="preserve">4.4 </w:t>
      </w:r>
      <w:r w:rsidR="003D6765">
        <w:rPr>
          <w:rFonts w:eastAsia="Times New Roman"/>
          <w:b/>
          <w:bCs/>
          <w:color w:val="000000"/>
          <w:sz w:val="27"/>
          <w:szCs w:val="27"/>
        </w:rPr>
        <w:t>Organisational adaptability to quickly adapt to modification:</w:t>
      </w:r>
    </w:p>
    <w:p w14:paraId="3B92EA25" w14:textId="77777777" w:rsidR="00B67BF6" w:rsidRDefault="00B67BF6" w:rsidP="00DD1C37">
      <w:pPr>
        <w:pStyle w:val="ListParagraph"/>
        <w:spacing w:after="0" w:line="360" w:lineRule="auto"/>
        <w:jc w:val="both"/>
        <w:rPr>
          <w:rFonts w:eastAsia="Times New Roman"/>
          <w:b/>
          <w:bCs/>
          <w:color w:val="000000"/>
          <w:sz w:val="27"/>
          <w:szCs w:val="27"/>
        </w:rPr>
      </w:pPr>
    </w:p>
    <w:p w14:paraId="7FC31C9C" w14:textId="77777777" w:rsidR="00B67BF6" w:rsidRDefault="00B67BF6" w:rsidP="00DD1C37">
      <w:pPr>
        <w:pStyle w:val="ListParagraph"/>
        <w:spacing w:after="0" w:line="360" w:lineRule="auto"/>
        <w:jc w:val="both"/>
        <w:rPr>
          <w:rFonts w:eastAsia="Times New Roman"/>
          <w:b/>
          <w:bCs/>
          <w:color w:val="000000"/>
          <w:sz w:val="27"/>
          <w:szCs w:val="27"/>
        </w:rPr>
      </w:pPr>
    </w:p>
    <w:p w14:paraId="1AA54007" w14:textId="65763117" w:rsidR="00B67BF6" w:rsidRPr="00FD4E95" w:rsidRDefault="00B67BF6" w:rsidP="00B67BF6">
      <w:pPr>
        <w:pStyle w:val="ListParagraph"/>
        <w:numPr>
          <w:ilvl w:val="0"/>
          <w:numId w:val="2"/>
        </w:numPr>
        <w:spacing w:after="0" w:line="360" w:lineRule="auto"/>
        <w:jc w:val="both"/>
        <w:rPr>
          <w:rFonts w:eastAsia="Times New Roman"/>
          <w:b/>
          <w:bCs/>
          <w:color w:val="000000"/>
          <w:sz w:val="27"/>
          <w:szCs w:val="27"/>
        </w:rPr>
      </w:pPr>
      <w:r>
        <w:rPr>
          <w:rFonts w:eastAsia="Times New Roman"/>
          <w:b/>
          <w:bCs/>
          <w:color w:val="000000"/>
          <w:sz w:val="27"/>
          <w:szCs w:val="27"/>
        </w:rPr>
        <w:t>Conclusion</w:t>
      </w:r>
    </w:p>
    <w:p w14:paraId="47264C2F" w14:textId="77777777" w:rsidR="006A67D1" w:rsidRDefault="006A67D1"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3ECDE764" w14:textId="77777777" w:rsidR="006A67D1" w:rsidRDefault="006A67D1"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4403AAF4" w14:textId="77777777" w:rsidR="006A67D1" w:rsidRDefault="006A67D1"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5BFCEDB7" w14:textId="77777777" w:rsidR="00281A2E" w:rsidRPr="00B62FDA" w:rsidRDefault="00281A2E"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233597C5" w14:textId="77777777" w:rsidR="00B71799" w:rsidRDefault="00B71799"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5AC316B1" w14:textId="77777777" w:rsidR="001E2859" w:rsidRDefault="001E2859"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07BF1D96" w14:textId="77777777" w:rsidR="001E2859" w:rsidRDefault="001E2859"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00B0B32D" w14:textId="77777777" w:rsidR="001E2859" w:rsidRDefault="001E2859" w:rsidP="001152C1">
      <w:pPr>
        <w:spacing w:after="0" w:line="360" w:lineRule="auto"/>
        <w:jc w:val="both"/>
        <w:rPr>
          <w:rFonts w:ascii="Times New Roman" w:eastAsia="Times New Roman" w:hAnsi="Times New Roman" w:cs="Times New Roman"/>
          <w:b/>
          <w:bCs/>
          <w:color w:val="0E101A"/>
          <w:kern w:val="0"/>
          <w:sz w:val="24"/>
          <w:szCs w:val="24"/>
          <w14:ligatures w14:val="none"/>
        </w:rPr>
      </w:pPr>
    </w:p>
    <w:p w14:paraId="33CEAD73" w14:textId="49DEBACA" w:rsidR="001152C1"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Introduction:</w:t>
      </w:r>
      <w:r w:rsidRPr="003B2AE6">
        <w:rPr>
          <w:rFonts w:ascii="Times New Roman" w:eastAsia="Times New Roman" w:hAnsi="Times New Roman" w:cs="Times New Roman"/>
          <w:color w:val="0E101A"/>
          <w:kern w:val="0"/>
          <w:sz w:val="24"/>
          <w:szCs w:val="24"/>
          <w14:ligatures w14:val="none"/>
        </w:rPr>
        <w:t> </w:t>
      </w:r>
    </w:p>
    <w:p w14:paraId="1AE0DD89" w14:textId="77777777" w:rsidR="001152C1" w:rsidRPr="00C522B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C522B6">
        <w:rPr>
          <w:rFonts w:ascii="Times New Roman" w:eastAsia="Times New Roman" w:hAnsi="Times New Roman" w:cs="Times New Roman"/>
          <w:color w:val="0E101A"/>
          <w:kern w:val="0"/>
          <w:sz w:val="24"/>
          <w:szCs w:val="24"/>
          <w14:ligatures w14:val="none"/>
        </w:rPr>
        <w:t xml:space="preserve">British Gas is one of the largest energy suppliers in the United Kingdom. British Gas is owned by "Centrica Companies," among the country's largest providers of services and power distribution. British Gas New Heating Limited and British Gas Services Limited represent additional names for the company. Furthermore, British Gas is one of the country's largest and most recognisable names, delivering excellent energy services to nearly 12 million homes. It is also regarded as one of the UK's Big Six premier electrical providers. However, British Gas has recently had an economic crisis because of various identified concerns in 2023. British Gas received criticism and handed down by the public after repeated media reports revealed the company's poor human resource management HRM, as well as poor customer service and terrible behaviour of pressurising its customers. As a result of the horrible services, the firm lost thousands of valuable customers. The company British Gas also took part in following the Fire and rehiring, when during the 2020 pandemic, the firm stated that it would lay off over 5,000 people in order to "stop any further decline." For an undetermined amount of time, the Covid-19 epidemic was a challenge for every continent. The pandemic is recognised as a historic event since it had a huge influence on the way we live and corporate structures throughout the world, as well as on the mechanism of Human Resource Management in a large number of commercial companies. When no one understood the importance of unavoidable serious issues, the shutdown of the foundation business operations and workers working from </w:t>
      </w:r>
      <w:r w:rsidRPr="00C522B6">
        <w:rPr>
          <w:rFonts w:ascii="Times New Roman" w:eastAsia="Times New Roman" w:hAnsi="Times New Roman" w:cs="Times New Roman"/>
          <w:color w:val="0E101A"/>
          <w:kern w:val="0"/>
          <w:sz w:val="24"/>
          <w:szCs w:val="24"/>
          <w14:ligatures w14:val="none"/>
        </w:rPr>
        <w:lastRenderedPageBreak/>
        <w:t>home began to replace usual practises, the pandemic's impact on industries was critically analysed.</w:t>
      </w:r>
    </w:p>
    <w:p w14:paraId="3F9F928F" w14:textId="77777777" w:rsidR="001152C1" w:rsidRPr="00C522B6" w:rsidRDefault="001152C1" w:rsidP="001152C1">
      <w:pPr>
        <w:spacing w:after="0" w:line="360" w:lineRule="auto"/>
        <w:jc w:val="both"/>
        <w:rPr>
          <w:rFonts w:ascii="Times New Roman" w:eastAsia="Times New Roman" w:hAnsi="Times New Roman" w:cs="Times New Roman"/>
          <w:color w:val="0E101A"/>
          <w:kern w:val="0"/>
          <w:sz w:val="24"/>
          <w:szCs w:val="24"/>
          <w:lang w:val="en-US"/>
          <w14:ligatures w14:val="none"/>
        </w:rPr>
      </w:pPr>
      <w:r w:rsidRPr="00C522B6">
        <w:rPr>
          <w:rFonts w:ascii="Times New Roman" w:eastAsia="Times New Roman" w:hAnsi="Times New Roman" w:cs="Times New Roman"/>
          <w:color w:val="0E101A"/>
          <w:kern w:val="0"/>
          <w:sz w:val="24"/>
          <w:szCs w:val="24"/>
          <w14:ligatures w14:val="none"/>
        </w:rPr>
        <w:t xml:space="preserve">One of the practises that occurred during the epidemic time was also the implementation of the practice known as "fire and rehire", which has one of the most damaging effects in the Human Resource Management business. </w:t>
      </w:r>
      <w:r>
        <w:rPr>
          <w:rFonts w:ascii="Times New Roman" w:eastAsia="Times New Roman" w:hAnsi="Times New Roman" w:cs="Times New Roman"/>
          <w:color w:val="0E101A"/>
          <w:kern w:val="0"/>
          <w:sz w:val="24"/>
          <w:szCs w:val="24"/>
          <w:lang w:val="en-US"/>
          <w14:ligatures w14:val="none"/>
        </w:rPr>
        <w:t>In addition to this the</w:t>
      </w:r>
      <w:r w:rsidRPr="00C522B6">
        <w:rPr>
          <w:rFonts w:ascii="Times New Roman" w:eastAsia="Times New Roman" w:hAnsi="Times New Roman" w:cs="Times New Roman"/>
          <w:color w:val="0E101A"/>
          <w:kern w:val="0"/>
          <w:sz w:val="24"/>
          <w:szCs w:val="24"/>
          <w14:ligatures w14:val="none"/>
        </w:rPr>
        <w:t xml:space="preserve"> article will </w:t>
      </w:r>
      <w:r>
        <w:rPr>
          <w:rFonts w:ascii="Times New Roman" w:eastAsia="Times New Roman" w:hAnsi="Times New Roman" w:cs="Times New Roman"/>
          <w:color w:val="0E101A"/>
          <w:kern w:val="0"/>
          <w:sz w:val="24"/>
          <w:szCs w:val="24"/>
          <w:lang w:val="en-US"/>
          <w14:ligatures w14:val="none"/>
        </w:rPr>
        <w:t xml:space="preserve">highlights </w:t>
      </w:r>
      <w:r w:rsidRPr="00C522B6">
        <w:rPr>
          <w:rFonts w:ascii="Times New Roman" w:eastAsia="Times New Roman" w:hAnsi="Times New Roman" w:cs="Times New Roman"/>
          <w:color w:val="0E101A"/>
          <w:kern w:val="0"/>
          <w:sz w:val="24"/>
          <w:szCs w:val="24"/>
          <w14:ligatures w14:val="none"/>
        </w:rPr>
        <w:t>numerous big and long-term conflicts and disagreements between the firm 'British Gas' and its engineers</w:t>
      </w:r>
      <w:r>
        <w:rPr>
          <w:rFonts w:ascii="Times New Roman" w:eastAsia="Times New Roman" w:hAnsi="Times New Roman" w:cs="Times New Roman"/>
          <w:color w:val="0E101A"/>
          <w:kern w:val="0"/>
          <w:sz w:val="24"/>
          <w:szCs w:val="24"/>
          <w:lang w:val="en-US"/>
          <w14:ligatures w14:val="none"/>
        </w:rPr>
        <w:t>,</w:t>
      </w:r>
      <w:r w:rsidRPr="00C522B6">
        <w:rPr>
          <w:rFonts w:ascii="Times New Roman" w:eastAsia="Times New Roman" w:hAnsi="Times New Roman" w:cs="Times New Roman"/>
          <w:color w:val="0E101A"/>
          <w:kern w:val="0"/>
          <w:sz w:val="24"/>
          <w:szCs w:val="24"/>
          <w14:ligatures w14:val="none"/>
        </w:rPr>
        <w:t xml:space="preserve"> 'British Gas' and the engineers who work for the company on the new policy. Addressing the</w:t>
      </w:r>
      <w:r>
        <w:rPr>
          <w:rFonts w:ascii="Times New Roman" w:eastAsia="Times New Roman" w:hAnsi="Times New Roman" w:cs="Times New Roman"/>
          <w:color w:val="0E101A"/>
          <w:kern w:val="0"/>
          <w:sz w:val="24"/>
          <w:szCs w:val="24"/>
          <w:lang w:val="en-US"/>
          <w14:ligatures w14:val="none"/>
        </w:rPr>
        <w:t xml:space="preserve"> </w:t>
      </w:r>
      <w:r w:rsidRPr="00C522B6">
        <w:rPr>
          <w:rFonts w:ascii="Times New Roman" w:eastAsia="Times New Roman" w:hAnsi="Times New Roman" w:cs="Times New Roman"/>
          <w:color w:val="0E101A"/>
          <w:kern w:val="0"/>
          <w:sz w:val="24"/>
          <w:szCs w:val="24"/>
          <w14:ligatures w14:val="none"/>
        </w:rPr>
        <w:t>legal consequences of changing terms in an employment contract</w:t>
      </w:r>
      <w:r>
        <w:rPr>
          <w:rFonts w:ascii="Times New Roman" w:eastAsia="Times New Roman" w:hAnsi="Times New Roman" w:cs="Times New Roman"/>
          <w:color w:val="0E101A"/>
          <w:kern w:val="0"/>
          <w:sz w:val="24"/>
          <w:szCs w:val="24"/>
          <w:lang w:val="en-US"/>
          <w14:ligatures w14:val="none"/>
        </w:rPr>
        <w:t xml:space="preserve">, </w:t>
      </w:r>
      <w:r w:rsidRPr="00C522B6">
        <w:rPr>
          <w:rFonts w:ascii="Times New Roman" w:eastAsia="Times New Roman" w:hAnsi="Times New Roman" w:cs="Times New Roman"/>
          <w:color w:val="0E101A"/>
          <w:kern w:val="0"/>
          <w:sz w:val="24"/>
          <w:szCs w:val="24"/>
          <w:lang w:val="en-US"/>
          <w14:ligatures w14:val="none"/>
        </w:rPr>
        <w:t>Human Resources Involvement in Fire and Rehire Strateg</w:t>
      </w:r>
      <w:r>
        <w:rPr>
          <w:rFonts w:ascii="Times New Roman" w:eastAsia="Times New Roman" w:hAnsi="Times New Roman" w:cs="Times New Roman"/>
          <w:color w:val="0E101A"/>
          <w:kern w:val="0"/>
          <w:sz w:val="24"/>
          <w:szCs w:val="24"/>
          <w:lang w:val="en-US"/>
          <w14:ligatures w14:val="none"/>
        </w:rPr>
        <w:t xml:space="preserve">ies. </w:t>
      </w:r>
      <w:r w:rsidRPr="00C522B6">
        <w:rPr>
          <w:rFonts w:ascii="Times New Roman" w:eastAsia="Times New Roman" w:hAnsi="Times New Roman" w:cs="Times New Roman"/>
          <w:color w:val="0E101A"/>
          <w:kern w:val="0"/>
          <w:sz w:val="24"/>
          <w:szCs w:val="24"/>
          <w14:ligatures w14:val="none"/>
        </w:rPr>
        <w:t>In addition, changes were made to their working circumstances. 'British Gas sought to create an effective and efficient working structure, maybe in reaction to the ongoing need to lower employee costs while maintaining market supremacy. The dealing of nine months between British Gas employers and employees in mid-2020 addressed key concerns in favour of the engineers, which the GMB trade union backed. The firm wanted the engineers to sign a brand-new agreement that required them to work extra hours without any increase in salaries. Initially, over 1000 engineers refused to sign because of changes made to their job terms in the deal. As a result, British Gas initiated a "fire and rehire" policy, forcing engineers to choose between accepting the new agreements and terms and risking their jobs.</w:t>
      </w:r>
      <w:r w:rsidRPr="003B2AE6">
        <w:rPr>
          <w:rFonts w:ascii="Times New Roman" w:eastAsia="Times New Roman" w:hAnsi="Times New Roman" w:cs="Times New Roman"/>
          <w:color w:val="0E101A"/>
          <w:kern w:val="0"/>
          <w:sz w:val="24"/>
          <w:szCs w:val="24"/>
          <w14:ligatures w14:val="none"/>
        </w:rPr>
        <w:t xml:space="preserve"> (Jia, </w:t>
      </w:r>
      <w:r w:rsidRPr="003B2AE6">
        <w:rPr>
          <w:rFonts w:ascii="Times New Roman" w:eastAsia="Times New Roman" w:hAnsi="Times New Roman" w:cs="Times New Roman"/>
          <w:i/>
          <w:iCs/>
          <w:color w:val="0E101A"/>
          <w:kern w:val="0"/>
          <w:sz w:val="24"/>
          <w:szCs w:val="24"/>
          <w14:ligatures w14:val="none"/>
        </w:rPr>
        <w:t>et al., </w:t>
      </w:r>
      <w:r w:rsidRPr="003B2AE6">
        <w:rPr>
          <w:rFonts w:ascii="Times New Roman" w:eastAsia="Times New Roman" w:hAnsi="Times New Roman" w:cs="Times New Roman"/>
          <w:color w:val="0E101A"/>
          <w:kern w:val="0"/>
          <w:sz w:val="24"/>
          <w:szCs w:val="24"/>
          <w14:ligatures w14:val="none"/>
        </w:rPr>
        <w:t>B., 2016.)</w:t>
      </w:r>
    </w:p>
    <w:p w14:paraId="67C63DDB" w14:textId="77777777" w:rsidR="001152C1" w:rsidRPr="003B2AE6" w:rsidRDefault="001152C1" w:rsidP="001152C1">
      <w:pPr>
        <w:pStyle w:val="Heading2"/>
        <w:spacing w:line="360" w:lineRule="auto"/>
        <w:jc w:val="both"/>
        <w:rPr>
          <w:sz w:val="24"/>
          <w:szCs w:val="24"/>
        </w:rPr>
      </w:pPr>
      <w:r w:rsidRPr="003B2AE6">
        <w:rPr>
          <w:sz w:val="24"/>
          <w:szCs w:val="24"/>
        </w:rPr>
        <w:t>1.1 The latest Legal Status of the strategy fire and Rehire Procedures:</w:t>
      </w:r>
    </w:p>
    <w:p w14:paraId="3B3FE67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Employee firing and rehiring is a common practice in the U.K. and legally. Nevertheless, throughout the past several years, it has received much unfavourable media attention, which means companies that depend on the fire and hire strategies are now under closer examination. Although, according to (Bernstein, A., 2022.), there is no legal restriction to firing someone and hiring them back, the procedure is not without danger, and doing so carries some risk. Organisations that have unlawfully implemented fire and rehire techniques to make specific changes in the employment terms and conditions of their staff members without their consent have been subject to legal actions (which incorporate charges for unjust termination) as firing and rehiring practices can seriously harm a company’s reputation and employee relations. The widely recognised (Bal, </w:t>
      </w:r>
      <w:r w:rsidRPr="003B2AE6">
        <w:rPr>
          <w:rFonts w:ascii="Times New Roman" w:eastAsia="Times New Roman" w:hAnsi="Times New Roman" w:cs="Times New Roman"/>
          <w:i/>
          <w:iCs/>
          <w:color w:val="0E101A"/>
          <w:kern w:val="0"/>
          <w:sz w:val="24"/>
          <w:szCs w:val="24"/>
          <w14:ligatures w14:val="none"/>
        </w:rPr>
        <w:t>et al </w:t>
      </w:r>
      <w:r w:rsidRPr="003B2AE6">
        <w:rPr>
          <w:rFonts w:ascii="Times New Roman" w:eastAsia="Times New Roman" w:hAnsi="Times New Roman" w:cs="Times New Roman"/>
          <w:color w:val="0E101A"/>
          <w:kern w:val="0"/>
          <w:sz w:val="24"/>
          <w:szCs w:val="24"/>
          <w14:ligatures w14:val="none"/>
        </w:rPr>
        <w:t xml:space="preserve">Brookes, A., 2022.) energy and utility company British Gas has recently received much criticism for using the disagreeable “fire and rehire” method. Due to its consequences for workers' rights, workplace relations and interaction, and the more extensive discussion of equitable hiring practices, this strategy, characterised by terminating </w:t>
      </w:r>
      <w:r w:rsidRPr="003B2AE6">
        <w:rPr>
          <w:rFonts w:ascii="Times New Roman" w:eastAsia="Times New Roman" w:hAnsi="Times New Roman" w:cs="Times New Roman"/>
          <w:color w:val="0E101A"/>
          <w:kern w:val="0"/>
          <w:sz w:val="24"/>
          <w:szCs w:val="24"/>
          <w14:ligatures w14:val="none"/>
        </w:rPr>
        <w:lastRenderedPageBreak/>
        <w:t>old employment contracts while offering new and fresh conditions to employees, has attracted much concern. British Gas, a unit of Centrica PLC, has long been one of the top suppliers of energy-related products and services, including utility services of high quality and standards all over the U.K. It has encountered a variety of difficulties over time as a result of market and regulatory developments. Moreover, growing competition in the energy industry. British Gas, a significant employer, employs a critical and expanded workforce, including engineers, customer service operators and office staff members, all participating in the company’s management and providing services.</w:t>
      </w:r>
    </w:p>
    <w:p w14:paraId="1D78DF90" w14:textId="77777777" w:rsidR="001152C1" w:rsidRPr="003B2AE6" w:rsidRDefault="001152C1" w:rsidP="001152C1">
      <w:pPr>
        <w:pStyle w:val="Heading2"/>
        <w:spacing w:line="360" w:lineRule="auto"/>
        <w:jc w:val="both"/>
        <w:rPr>
          <w:sz w:val="24"/>
          <w:szCs w:val="24"/>
        </w:rPr>
      </w:pPr>
      <w:r w:rsidRPr="003B2AE6">
        <w:rPr>
          <w:sz w:val="24"/>
          <w:szCs w:val="24"/>
        </w:rPr>
        <w:t>1.2 “Fire and Rehire” Strategy Implementation:</w:t>
      </w:r>
    </w:p>
    <w:p w14:paraId="41254E9C"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British Gas decided to execute the “fire and rehire” method to significantly reduce expenses in response to financial challenges and evolving market conditions after the pandemic in 2020. (Lansley, S., 2021.) As covid 19 was a challenge for an undetermined amount of time for every continent. The pandemic is recognised as a historic event since it had a significant influence on the way we live and corporate structures throughout the world, as well as on the mechanism of Human Resource Management in many commercial companies. When no one grasped the magnitude of inescapable serious issues, the closure of core business operations and workers working from home began to replace usual practices, the pandemic’s impact on industries was critically analysed, and then the corporation made an announcement about its plans to change the employment contracts for a significant number of its workers at the very beginning of 2021. Thousands of employees’ current employment agreements ended as part of the plan, and new contracts with numerous modifications were provided to them. Changes to working hours, pay scales, and benefits were among the most significant. British Gas was criticised and penalised by the employees for their poor and unacceptable modifications in the employment strategies and by the public also after numerous media reports exposed its terrible human resource management HRM, customer service, and the heinous practise of invading people’s homes to coerce them into buying their products. As a result, the company lost thousands of its most important clients. In a competitive environment, the firm announced the layoff of 4,000 employees (Devereux &amp; Wadsworth, 2022). During the 2020 pandemic, the firm said it would lay off over 5,000 people to “stop any further decline.” </w:t>
      </w:r>
    </w:p>
    <w:p w14:paraId="4F459275" w14:textId="77777777" w:rsidR="001152C1" w:rsidRPr="003B2AE6" w:rsidRDefault="001152C1" w:rsidP="001152C1">
      <w:pPr>
        <w:pStyle w:val="Heading2"/>
        <w:spacing w:line="360" w:lineRule="auto"/>
        <w:jc w:val="both"/>
        <w:rPr>
          <w:sz w:val="24"/>
          <w:szCs w:val="24"/>
        </w:rPr>
      </w:pPr>
      <w:r w:rsidRPr="003B2AE6">
        <w:rPr>
          <w:sz w:val="24"/>
          <w:szCs w:val="24"/>
        </w:rPr>
        <w:t>1.3 Several variables contributed to British Gas’s decision to use the “fire and rehire” strategy:</w:t>
      </w:r>
    </w:p>
    <w:p w14:paraId="3B107FE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lastRenderedPageBreak/>
        <w:t>British Gas had financial issues, including a drop in earnings, which demanded cost-cutting measures to maintain the company’s long-term viability. The U.K. energy business has seen an increase in smaller, adaptable energy suppliers, which has increased competition and put pressure on major corporations like British Gas to stay cost competitive. Switching to cleaner, renewable energy sources necessitated investments and changes to business structures. The corporation may have viewed the “fire and rehire” policy as a way of putting resources towards these transformations. Compromise in employee wages and benefits for a considerable share of operating expenses. Changing these expenses through the “fire and rehire” technique may have been regarded as a means to generate short-term financial relief. For an undetermined amount of time, the Covid-19 epidemic was challenging for every continent. British Gas said this method needed to be implemented to increase profitability, minimise operations, and maintain competitiveness in the continuously evolving power market. The corporation listed difficulties impacting the need for cost reductions, including the rise in competition from smaller energy suppliers, shifting client preferences, and the shift towards renewable energy sources. (Rights, L., 2018.)</w:t>
      </w:r>
    </w:p>
    <w:p w14:paraId="03077BE4" w14:textId="77777777" w:rsidR="001152C1" w:rsidRPr="003B2AE6" w:rsidRDefault="001152C1" w:rsidP="001152C1">
      <w:pPr>
        <w:pStyle w:val="Heading2"/>
        <w:spacing w:line="360" w:lineRule="auto"/>
        <w:jc w:val="both"/>
        <w:rPr>
          <w:sz w:val="24"/>
          <w:szCs w:val="24"/>
        </w:rPr>
      </w:pPr>
      <w:r w:rsidRPr="003B2AE6">
        <w:rPr>
          <w:sz w:val="24"/>
          <w:szCs w:val="24"/>
        </w:rPr>
        <w:t>1.4 “Fire and rehire practises.”</w:t>
      </w:r>
    </w:p>
    <w:p w14:paraId="51288B6E"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 xml:space="preserve">“Fire and rehire” practises have been a source of conflict, as case studies from numerous sectors demonstrated. Existing employees are terminated and rehired under new terms, generally in the terms and conditions of fewer benefits, low salary rates, and altered working conditions. The primary motivation for these techniques is reducing expenses, as businesses aim to reduce expenditures while maintaining profitability. Staff reform also helps organisations adjust to changing market circumstances. (Izah, M., 2021.) For example, companies in the consumer goods industry have employed “fire and rehire” to overcome the problems brought about by internet purchasing patterns. High street businesses were under pressure to cut costs and optimise operations, which resulted in changed contracts for current employees. A study (Armstrong, S., 2023.) claimed that “Fire and rehire” has been noticed as a technique to realign labour costs in the industrial industry, where technology is changing the worker picture. As new technologies are introduced, the skills demanded of workers change, causing corporations to replace existing staff or seek salary reductions in spending. Such approaches, however, frequently attract substantial opposition from labour organisations and the general public since they can reduce employee morale and increase job instability. There are legal and ethical </w:t>
      </w:r>
      <w:r w:rsidRPr="003B2AE6">
        <w:rPr>
          <w:rFonts w:ascii="Times New Roman" w:eastAsia="Times New Roman" w:hAnsi="Times New Roman" w:cs="Times New Roman"/>
          <w:color w:val="0E101A"/>
          <w:kern w:val="0"/>
          <w:sz w:val="24"/>
          <w:szCs w:val="24"/>
          <w14:ligatures w14:val="none"/>
        </w:rPr>
        <w:lastRenderedPageBreak/>
        <w:t>considerations about pushing workers into renegotiated agreements. Organisations that use these techniques risk damaging their reputations and facing legal consequences.</w:t>
      </w:r>
    </w:p>
    <w:p w14:paraId="1B79DE3F" w14:textId="77777777" w:rsidR="001152C1" w:rsidRPr="003B2AE6" w:rsidRDefault="001152C1" w:rsidP="001152C1">
      <w:pPr>
        <w:pStyle w:val="Heading2"/>
        <w:spacing w:line="360" w:lineRule="auto"/>
        <w:jc w:val="both"/>
        <w:rPr>
          <w:sz w:val="24"/>
          <w:szCs w:val="24"/>
        </w:rPr>
      </w:pPr>
      <w:r>
        <w:rPr>
          <w:sz w:val="24"/>
          <w:szCs w:val="24"/>
          <w:lang w:val="en-US"/>
        </w:rPr>
        <w:t xml:space="preserve">2. </w:t>
      </w:r>
      <w:r w:rsidRPr="003B2AE6">
        <w:rPr>
          <w:sz w:val="24"/>
          <w:szCs w:val="24"/>
        </w:rPr>
        <w:t>Explains the legal implications of changing contractual employment terms:</w:t>
      </w:r>
    </w:p>
    <w:p w14:paraId="2D4FD4DB" w14:textId="77777777" w:rsidR="001152C1" w:rsidRPr="003B2AE6" w:rsidRDefault="001152C1" w:rsidP="001152C1">
      <w:pPr>
        <w:pStyle w:val="Heading2"/>
        <w:spacing w:line="360" w:lineRule="auto"/>
        <w:jc w:val="both"/>
        <w:rPr>
          <w:sz w:val="24"/>
          <w:szCs w:val="24"/>
        </w:rPr>
      </w:pPr>
      <w:r w:rsidRPr="003B2AE6">
        <w:rPr>
          <w:sz w:val="24"/>
          <w:szCs w:val="24"/>
        </w:rPr>
        <w:t>2.1 Employment Contracts in the United Kingdom</w:t>
      </w:r>
    </w:p>
    <w:p w14:paraId="6AA59159"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Employment contracts in the United Kingdom are controlled by a variety of laws and regulations, including the Employment Rights Act. Employers must give written statements of employment particulars defining essential factors such as job duties, salaries, benefits for employees, bonuses and working hours within two months of an employee’s initial hire.</w:t>
      </w:r>
    </w:p>
    <w:p w14:paraId="6CC60195" w14:textId="77777777" w:rsidR="001152C1" w:rsidRPr="003B2AE6" w:rsidRDefault="001152C1" w:rsidP="001152C1">
      <w:pPr>
        <w:pStyle w:val="Heading2"/>
        <w:spacing w:line="360" w:lineRule="auto"/>
        <w:jc w:val="both"/>
        <w:rPr>
          <w:sz w:val="24"/>
          <w:szCs w:val="24"/>
        </w:rPr>
      </w:pPr>
      <w:r w:rsidRPr="003B2AE6">
        <w:rPr>
          <w:sz w:val="24"/>
          <w:szCs w:val="24"/>
        </w:rPr>
        <w:t>2.2 Employee’s consent:</w:t>
      </w:r>
    </w:p>
    <w:p w14:paraId="0337B3CF"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Employers must generally develop employee approval to change contractual employment conditions. Changes must be conveyed straightforwardly and openly, and employees’ consent should be the organisation's utmost priority. When modifying the conditions of employment, it is essential to obtain the employee’s consent and permission. Employers cannot implement modifications suddenly without the employee’s consent. Genuine, updated and independent approval must be obtained. Employers must convey planned changes correctly and provide employees with detailed information about the changes. Employees may then make a knowledgeable choice about whether to accept the revised conditions of employment. Employers can seek employee approval, but the practicalities of permission differ. Employees, for example, may feel pushed to agree to changes owing to job uncertainty or fear of consequences. This kind of pressure has the potential to damage the democratic concept of participation. Furthermore, if employees refuse to consent to changes, employers must carefully evaluate what they will do next, which may include negotiating or taking other measures. Employers can seek employee approval, but the practicalities of permission differ. Employees, for example, may feel pushed to agree to changes owing to job uncertainty or fear of consequences. This kind of pressure has the potential to damage the democratic concept of participation. Furthermore, if employees refuse to consent to changes, employers must carefully evaluate what they will do next, which may include negotiating or taking other measures. (Davidescu,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I., 2020.)</w:t>
      </w:r>
    </w:p>
    <w:p w14:paraId="0AF9B749" w14:textId="77777777" w:rsidR="001152C1" w:rsidRPr="003B2AE6" w:rsidRDefault="001152C1" w:rsidP="001152C1">
      <w:pPr>
        <w:pStyle w:val="Heading2"/>
        <w:spacing w:line="360" w:lineRule="auto"/>
        <w:jc w:val="both"/>
        <w:rPr>
          <w:sz w:val="24"/>
          <w:szCs w:val="24"/>
        </w:rPr>
      </w:pPr>
      <w:r w:rsidRPr="003B2AE6">
        <w:rPr>
          <w:sz w:val="24"/>
          <w:szCs w:val="24"/>
        </w:rPr>
        <w:t>2.3 Demanding Advice/Consultations:</w:t>
      </w:r>
    </w:p>
    <w:p w14:paraId="28F93002"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lastRenderedPageBreak/>
        <w:t>A piece of advice is critical when considering significant changes that may affect the rights and freedom of workers and working conditions. When implementing cooperative changes that affect a group of employees, such as firings employees on a vast scale, responsibility for consultation comes into action. Consultation ensures (Raskin, M., 2016.) that worker viewpoints are considered before decisions are made. Although the legislation fails to require a precise consultation procedure for specific adjustments, companies are encouraged to communicate with employees to ensure flexibility and equality. Companies should participate in meaningful discussions with employees whom trade unions or employee representatives accompany to gather their suggestions as well. Although the legislation fails to require a precise consultation procedure for specific adjustments, companies are encouraged to communicate with employees to ensure flexibility and equality. Companies should participate in meaningful discussions with employees whom trade unions or employee representatives accompany to gather their suggestions as well. It is essential to seek advice effectively to avoid disputes and compensation being paid to impacted employees. A dedication to fairness and respect for employees’ ideas is demonstrated via sufficient discussion.</w:t>
      </w:r>
    </w:p>
    <w:p w14:paraId="7AB387F1"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p>
    <w:p w14:paraId="54732797" w14:textId="77777777" w:rsidR="001152C1" w:rsidRPr="003B2AE6" w:rsidRDefault="001152C1" w:rsidP="001152C1">
      <w:pPr>
        <w:pStyle w:val="Heading2"/>
        <w:spacing w:line="360" w:lineRule="auto"/>
        <w:jc w:val="both"/>
        <w:rPr>
          <w:sz w:val="24"/>
          <w:szCs w:val="24"/>
        </w:rPr>
      </w:pPr>
      <w:r w:rsidRPr="003B2AE6">
        <w:rPr>
          <w:sz w:val="24"/>
          <w:szCs w:val="24"/>
        </w:rPr>
        <w:t>2.4 Equality among every employee:</w:t>
      </w:r>
    </w:p>
    <w:p w14:paraId="60C2B7D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 xml:space="preserve">Equality is a fundamental concept of the law of employment, and it is essential when adapting to new employment conditions. Alterations must be justified and reasonable. What defines “fair” might vary depending on the circumstances of the modifications, the impact on staff members, and the broader environment. Employers should avoid carrying out discriminating or unjust changes. According to research (Gray, A.D., 2023.), making changes on its own that adversely impact a particular population or group of employees, for example, might be considered discrimination. Similarly, enforcing modifications that violate fundamental worker rights, such as salary cuts that violate minimum salary guidelines, may be considered inequitable. Courts and administration consider the equity of modifications by determining whether the employer had a valid business motive to adjust and whether the procedure was fair. It might be declared unfair if the change was undefined, adopted without discussion, or had an unreasonable adverse impact on employees. The importance of justice cannot be underlined. Any modifications should be reasonable and justified. Employees can take legal action if the modifications are considered unjustified, unfair or discriminatory. The “fire and rehire” method is currently increasing power. Employers will terminate employees and then offer them new </w:t>
      </w:r>
      <w:r w:rsidRPr="003B2AE6">
        <w:rPr>
          <w:rFonts w:ascii="Times New Roman" w:eastAsia="Times New Roman" w:hAnsi="Times New Roman" w:cs="Times New Roman"/>
          <w:color w:val="0E101A"/>
          <w:kern w:val="0"/>
          <w:sz w:val="24"/>
          <w:szCs w:val="24"/>
          <w14:ligatures w14:val="none"/>
        </w:rPr>
        <w:lastRenderedPageBreak/>
        <w:t>contracts with different conditions. This practice has created ethical and legal problems since it might be perceived as unfair to pressure employees to accept new conditions. There have not been any substantial changes in laws relating to “fire and rehire”. Many legal actions have highlighted the reliability and fairness of “fire and rehire.” Some cases have resulted in favourable verdicts for employees, highlighting the need for companies to act reasonably and honestly when implementing contract adjustments.</w:t>
      </w:r>
    </w:p>
    <w:p w14:paraId="2913100A"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Implementing the strategy might affect teamwork and the commitment of employees significantly due to “fire and rehire” methods. Employees experience psychological and emotional trauma as a result of such procedures, which generate a sense of ambiguity and perceived unfairness among the employees who work wholeheartedly for the organisation with serious commitment and loyalty. Employees may feel undervalued and lose faith in the organisation, resulting in lower motivation and engagement, which eventually harms the standard and reputation of the company. (Munton, J.R., 2022.)</w:t>
      </w:r>
    </w:p>
    <w:p w14:paraId="5B5B292C" w14:textId="77777777" w:rsidR="001152C1" w:rsidRPr="003B2AE6" w:rsidRDefault="001152C1" w:rsidP="001152C1">
      <w:pPr>
        <w:pStyle w:val="Heading2"/>
        <w:spacing w:line="360" w:lineRule="auto"/>
        <w:jc w:val="both"/>
        <w:rPr>
          <w:sz w:val="24"/>
          <w:szCs w:val="24"/>
        </w:rPr>
      </w:pPr>
      <w:r w:rsidRPr="003B2AE6">
        <w:rPr>
          <w:sz w:val="24"/>
          <w:szCs w:val="24"/>
        </w:rPr>
        <w:t>2.5 Changes and “Fire and Rehire” Strategy:</w:t>
      </w:r>
    </w:p>
    <w:p w14:paraId="5347592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The contentious practise of “fire and rehire” caused controversy over its legality and fairness in recent years. Employers engage in this practice by firing employees and then offering them re-employment with modified conditions, which are frequently less beneficial than previous conditions. While it is not illegal, “fire and rehire” has created moral issues. Critics claim that it takes advantage of employees’ weaknesses and produces an economic gap between companies and workers. It can also be interpreted (Wang,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U., 2021.) as decreasing the concept of work stability. To avoid accusations of unfairness or termination, employers must show a genuine business purpose for the modifications, provide sufficient consultation, and examine alternatives. Making changes to employment conditions while remaining within the legal restrictions of employee permission, consultation, and fairness necessitates a careful balance. Employers must verify that employees truly consent to changes, consult when necessary, and maintain a commitment to justice and reason. As employment law evolves, businesses must be updated about policy revisions and legal opinions to follow these limitations properly.</w:t>
      </w:r>
    </w:p>
    <w:p w14:paraId="7333CA50" w14:textId="77777777" w:rsidR="001152C1" w:rsidRPr="003B2AE6" w:rsidRDefault="001152C1" w:rsidP="001152C1">
      <w:pPr>
        <w:pStyle w:val="Heading2"/>
        <w:spacing w:line="360" w:lineRule="auto"/>
        <w:jc w:val="both"/>
        <w:rPr>
          <w:sz w:val="24"/>
          <w:szCs w:val="24"/>
        </w:rPr>
      </w:pPr>
      <w:r w:rsidRPr="003B2AE6">
        <w:rPr>
          <w:sz w:val="24"/>
          <w:szCs w:val="24"/>
        </w:rPr>
        <w:t>2.6 Consequences of the implementation of the strategy of “Fire and Rehire”:</w:t>
      </w:r>
    </w:p>
    <w:p w14:paraId="24E5522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According to research (Kelly-Lyth,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xml:space="preserve">, J., 2022.), these practices can damage worker efficiency, working together, collaboration, cooperation of the employees within the office, </w:t>
      </w:r>
      <w:r w:rsidRPr="003B2AE6">
        <w:rPr>
          <w:rFonts w:ascii="Times New Roman" w:eastAsia="Times New Roman" w:hAnsi="Times New Roman" w:cs="Times New Roman"/>
          <w:color w:val="0E101A"/>
          <w:kern w:val="0"/>
          <w:sz w:val="24"/>
          <w:szCs w:val="24"/>
          <w14:ligatures w14:val="none"/>
        </w:rPr>
        <w:lastRenderedPageBreak/>
        <w:t>and maintaining the organisational culture. Employees with concerns about their job security are less inclined to be engaged and motivated, impacting their performance. Teamwork may weaken as employees feel afraid to collaborate with colleagues who may potentially be in trouble. An atmosphere of fear and distrust can have a detrimental impact on the entire organisational culture. Similar studies indicate that organisations that use “fire and rehire” practises may have more excellent unemployment rates as employees want a secure environment that secures employment somewhere. This generates the potential to disturb team relationships and lead to a lack of interest and skills among the employees related to work, thereby damaging output and efforts to collaborate. To develop employee engagement and sustain a happy work environment, organisations must think about open communication, fair treatment, and supportive practices without injustice or discrimination and should work on prioritising worker satisfaction over brief efforts to reduce expenses.</w:t>
      </w:r>
    </w:p>
    <w:p w14:paraId="0C8D7C03" w14:textId="77777777" w:rsidR="001152C1" w:rsidRPr="003B2AE6" w:rsidRDefault="001152C1" w:rsidP="001152C1">
      <w:pPr>
        <w:pStyle w:val="Heading2"/>
        <w:spacing w:line="360" w:lineRule="auto"/>
        <w:jc w:val="both"/>
        <w:rPr>
          <w:sz w:val="24"/>
          <w:szCs w:val="24"/>
          <w:lang w:val="en-US"/>
        </w:rPr>
      </w:pPr>
      <w:r>
        <w:rPr>
          <w:sz w:val="24"/>
          <w:szCs w:val="24"/>
          <w:lang w:val="en-US"/>
        </w:rPr>
        <w:t xml:space="preserve">3. </w:t>
      </w:r>
      <w:r w:rsidRPr="003B2AE6">
        <w:rPr>
          <w:sz w:val="24"/>
          <w:szCs w:val="24"/>
        </w:rPr>
        <w:t>The potential impact of any changes on employee engagement:</w:t>
      </w:r>
    </w:p>
    <w:p w14:paraId="2ADB2A6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Employee engagement is a vital aspect that defines the success of a company. It deals with employees’ emotional commitment and involvement to their work, the company’s aims and objectives, and their entire work environment. According to (Eldor,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E., 2017.) when examining future organisational changes, it is critical to assess what effect they must have on employee engagement since this directly impacts productivity, efficiency, levels of satisfaction, and the overall performance of the company to become successful, such as implementing an online employment policy. Many businesses have introduced remote work ideas in recent years after the pandemic, allowing staff members to work from the preferred areas other than the usual office environment. This shift can have an influence on employee engagement in ways that positive are as well as detrimental. On the contrary, (Burnett, </w:t>
      </w:r>
      <w:r w:rsidRPr="003B2AE6">
        <w:rPr>
          <w:rFonts w:ascii="Times New Roman" w:eastAsia="Times New Roman" w:hAnsi="Times New Roman" w:cs="Times New Roman"/>
          <w:i/>
          <w:iCs/>
          <w:color w:val="0E101A"/>
          <w:kern w:val="0"/>
          <w:sz w:val="24"/>
          <w:szCs w:val="24"/>
          <w14:ligatures w14:val="none"/>
        </w:rPr>
        <w:t>et al., </w:t>
      </w:r>
      <w:r w:rsidRPr="003B2AE6">
        <w:rPr>
          <w:rFonts w:ascii="Times New Roman" w:eastAsia="Times New Roman" w:hAnsi="Times New Roman" w:cs="Times New Roman"/>
          <w:color w:val="0E101A"/>
          <w:kern w:val="0"/>
          <w:sz w:val="24"/>
          <w:szCs w:val="24"/>
          <w14:ligatures w14:val="none"/>
        </w:rPr>
        <w:t xml:space="preserve">T.C., 2019.), working from home strategy may offer employees more freedom, resulting in a healthier balance between work and life. This improved adaptability can lead to improved job satisfaction and work fulfilment, and, as a result, a greater degree of engagement and commitment is found. Staff members who can also change their schedules at work to meet their own needs are more inclined to be acknowledged and trusted by the company they work for. Furthermore, working remotely reduces long drives and the stress associated with it such problems, allowing employees to spend their time more effectively and productively. This may result in improved participation through higher enthusiasm and recognition for the </w:t>
      </w:r>
      <w:r w:rsidRPr="003B2AE6">
        <w:rPr>
          <w:rFonts w:ascii="Times New Roman" w:eastAsia="Times New Roman" w:hAnsi="Times New Roman" w:cs="Times New Roman"/>
          <w:color w:val="0E101A"/>
          <w:kern w:val="0"/>
          <w:sz w:val="24"/>
          <w:szCs w:val="24"/>
          <w14:ligatures w14:val="none"/>
        </w:rPr>
        <w:lastRenderedPageBreak/>
        <w:t>organisation. Moreover, remote work may draw in and maintain individuals who value working from multiple places, improving overall involvement percentages.</w:t>
      </w:r>
    </w:p>
    <w:p w14:paraId="34F66472" w14:textId="77777777" w:rsidR="001152C1" w:rsidRPr="003B2AE6" w:rsidRDefault="001152C1" w:rsidP="001152C1">
      <w:pPr>
        <w:pStyle w:val="Heading2"/>
        <w:spacing w:line="360" w:lineRule="auto"/>
        <w:jc w:val="both"/>
        <w:rPr>
          <w:sz w:val="24"/>
          <w:szCs w:val="24"/>
        </w:rPr>
      </w:pPr>
      <w:r w:rsidRPr="003B2AE6">
        <w:rPr>
          <w:sz w:val="24"/>
          <w:szCs w:val="24"/>
        </w:rPr>
        <w:t>3.1 Benefits of employee engagement and employment contract:</w:t>
      </w:r>
    </w:p>
    <w:p w14:paraId="6B7837A3"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According to the study (Gutermann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2017), employee engagement describes the employees’ devotion and demonstrates how driven and respected an employee is in the firm. A company must ensure that its employees compete, and the company must also recognise the efforts of its employees as well as the accomplishments of its employees by offering rewards for loyalty and creativity certificates since this will help the company. Furthermore, any change in a business, such as investing or technological growth, could harm employee engagement because they are uninformed of such changes. A corporation will also seek to create an office climate that prioritises mental health and encourages its staff to adjust to and accept these changes. Hence, this examines the elements to improve and make good and beneficial changes while making improvements towards the commitments and dedication of the employees to adopt new ways during advancements, adaptability to learn quickly and uniting and considers when the change in a commitment is made in an organisation.</w:t>
      </w:r>
    </w:p>
    <w:p w14:paraId="7DFB5A54"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p>
    <w:p w14:paraId="2EC53AEF"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p>
    <w:p w14:paraId="5F72A463" w14:textId="77777777" w:rsidR="001152C1" w:rsidRPr="003B2AE6" w:rsidRDefault="001152C1" w:rsidP="001152C1">
      <w:pPr>
        <w:pStyle w:val="Heading2"/>
        <w:spacing w:line="360" w:lineRule="auto"/>
        <w:jc w:val="both"/>
        <w:rPr>
          <w:sz w:val="24"/>
          <w:szCs w:val="24"/>
        </w:rPr>
      </w:pPr>
      <w:r w:rsidRPr="003B2AE6">
        <w:rPr>
          <w:sz w:val="24"/>
          <w:szCs w:val="24"/>
        </w:rPr>
        <w:t>3.2 New adaptable learning: </w:t>
      </w:r>
    </w:p>
    <w:p w14:paraId="4C19415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 xml:space="preserve">The most noteworthy employee engagement research based on previous employment (Eisenberger et al., 2016) demonstrated that motivating factors and employee enthusiasm depend upon innovative and adaptable learning opportunities, flexibility to work freely, and mental requirements that encourage employees to practise new skills and the manner in which work is done efficiently and effectively. Staff participation can be a helpful aspect of individuals in both their personal and professional development. An individual’s basic need for satisfaction cannot be separated from an employee’s dedication to any company they work for if a corporation promotes an atmosphere of encouragement, adaptability, and free will and take an interest towards its workers. In such a scenario, employees will undoubtedly perform their duties with total sincerity, commitment, and dedication bringing importance to the work, assisting employees in realising the significance they are to the company’s success, as well as maintaining employees' active involvement. There are additionally many opportunities for employees to work with complete independence, and staff members may inspire others to work </w:t>
      </w:r>
      <w:r w:rsidRPr="003B2AE6">
        <w:rPr>
          <w:rFonts w:ascii="Times New Roman" w:eastAsia="Times New Roman" w:hAnsi="Times New Roman" w:cs="Times New Roman"/>
          <w:color w:val="0E101A"/>
          <w:kern w:val="0"/>
          <w:sz w:val="24"/>
          <w:szCs w:val="24"/>
          <w14:ligatures w14:val="none"/>
        </w:rPr>
        <w:lastRenderedPageBreak/>
        <w:t>effectively in the organisation. Furthermore, the job will increase the workers’ dedication. Employee engagement and loyalty need a chance and rewards. Enthusiasm and work sincerity are dependent on the connection between employers and workers and fair terms and circumstances. According to research, solid mental health may assist a person in developing a feeling of personal development if we use a motivating approach, which increases the probability of group engagement and total focus among workers on the task at hand. Creating and committing entirely to such big goals, as well as (Ahmed et al., 2020) represents someone’s values, behaviour, and dreams, which are also helpful parts of the staff members' uniqueness. An investigation has also discovered a relationship between the environment and the circulatory system, establishing a link between intrinsic stimulation and motivation and natural experience to feel anything. The flow is a broad sensation and emotion that people experience when they are completely immersed in their task. By seeing engagement in the yearning for freedom, the relationship between an internal drive and experience of flow promotes belief and self-trust.</w:t>
      </w:r>
    </w:p>
    <w:p w14:paraId="7FEC2BC6" w14:textId="77777777" w:rsidR="001152C1" w:rsidRPr="003B2AE6" w:rsidRDefault="001152C1" w:rsidP="001152C1">
      <w:pPr>
        <w:pStyle w:val="Heading2"/>
        <w:spacing w:line="360" w:lineRule="auto"/>
        <w:jc w:val="both"/>
        <w:rPr>
          <w:sz w:val="24"/>
          <w:szCs w:val="24"/>
        </w:rPr>
      </w:pPr>
      <w:r w:rsidRPr="003B2AE6">
        <w:rPr>
          <w:sz w:val="24"/>
          <w:szCs w:val="24"/>
        </w:rPr>
        <w:t>3.3 Results by making changes in contracts on employee engagement.</w:t>
      </w:r>
    </w:p>
    <w:p w14:paraId="2258393A"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According to the study (Braganza et al., 2021), changing an employee’s contract can have several kinds of consequences on how the person feels about working in an organisation. The type of the changes is determined by the general employment surroundings, as well as the conditions and relationships, and also the implementation of the changes, all of which will affect particular results. Here are some outcomes that could occur. However, the financial crisis all around the world has resulted in considerable changes in firm work and responsibilities. Employee engagement is critical for the person and the company. Employees may need to understand the contract’s limitations in order to prevent the corporation from achieving its aims. A method to manage engagement among workers techniques is required in each company. More rigorous requirements and consistent achievement are achievable that can promote staff efficiency, adaptability, collaboration, and good relationship among staff members and the organisation.</w:t>
      </w:r>
    </w:p>
    <w:p w14:paraId="2D9827EF" w14:textId="77777777" w:rsidR="001152C1" w:rsidRPr="003B2AE6" w:rsidRDefault="001152C1" w:rsidP="001152C1">
      <w:pPr>
        <w:pStyle w:val="Heading2"/>
        <w:spacing w:line="360" w:lineRule="auto"/>
        <w:jc w:val="both"/>
        <w:rPr>
          <w:sz w:val="24"/>
          <w:szCs w:val="24"/>
        </w:rPr>
      </w:pPr>
      <w:r>
        <w:rPr>
          <w:sz w:val="24"/>
          <w:szCs w:val="24"/>
          <w:lang w:val="en-US"/>
        </w:rPr>
        <w:t xml:space="preserve">4. </w:t>
      </w:r>
      <w:r w:rsidRPr="003B2AE6">
        <w:rPr>
          <w:sz w:val="24"/>
          <w:szCs w:val="24"/>
        </w:rPr>
        <w:t>Evaluates H.R.'s involvement in this issue and consider whether traditional models of HRM provide an adequate framework for managing contemporary employment relations:</w:t>
      </w:r>
    </w:p>
    <w:p w14:paraId="4140C8B3" w14:textId="77777777" w:rsidR="001152C1" w:rsidRPr="003B2AE6" w:rsidRDefault="001152C1" w:rsidP="001152C1">
      <w:pPr>
        <w:pStyle w:val="Heading2"/>
        <w:spacing w:line="360" w:lineRule="auto"/>
        <w:jc w:val="both"/>
        <w:rPr>
          <w:sz w:val="24"/>
          <w:szCs w:val="24"/>
        </w:rPr>
      </w:pPr>
      <w:r w:rsidRPr="003B2AE6">
        <w:rPr>
          <w:sz w:val="24"/>
          <w:szCs w:val="24"/>
        </w:rPr>
        <w:t>4.1 Examine H.R.’s role in maintaining employee relations: </w:t>
      </w:r>
    </w:p>
    <w:p w14:paraId="6D6062CD"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lastRenderedPageBreak/>
        <w:t>Human Resources (H.R.) has a vital role in managing employee relationships throughout an organisation. It provides a connection between staff members and upper management, facilitating positive interaction, good communication and resolving conflicts. Human resources are responsible for setting up and carrying out strategies that promote equitable procedures, equal opportunity, equal employment rights and adherence to labour regulations without favouritism and discrimination. It also handles worker complaints, firing processes, and staff management inquiries. (Nankervis,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J., 2022.)</w:t>
      </w:r>
    </w:p>
    <w:p w14:paraId="25BB4245" w14:textId="77777777" w:rsidR="001152C1" w:rsidRPr="003B2AE6" w:rsidRDefault="001152C1" w:rsidP="001152C1">
      <w:pPr>
        <w:pStyle w:val="Heading2"/>
        <w:spacing w:line="360" w:lineRule="auto"/>
        <w:jc w:val="both"/>
        <w:rPr>
          <w:sz w:val="24"/>
          <w:szCs w:val="24"/>
        </w:rPr>
      </w:pPr>
      <w:r w:rsidRPr="003B2AE6">
        <w:rPr>
          <w:sz w:val="24"/>
          <w:szCs w:val="24"/>
        </w:rPr>
        <w:t>4.2 Traditional Human Resource Management HRM models to deal with current issues such as “fire and rehire”:</w:t>
      </w:r>
    </w:p>
    <w:p w14:paraId="1BEA04D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Traditional Human Resource Management (HRM) models might have difficulty dealing with modern challenges such as “fire and rehire.” These models frequently emphasise ways to reduce expenses and short-term advantages, which can result in dissatisfaction among staff members and may decrease organisational reputation. Modern difficulties regarding the advancement of technology require a more planned and professional response, taking into account the implications for the future and the influence on staff satisfaction. Traditional HRM models have their benefits which may not be entirely prepared to deal with modern difficulties such as “fire and rehire.” Even in situations of difficult decisions, H.R. can contribute to a healthy workplace culture, improved employee well-being, and a solid organisational reputation by taking a more strategic, ethical, and employee-centric approach. Modern H.R. practises may effectively solve staff wellness, health and satisfaction and organisational reputation challenges. Some examples include flexible work arrangements, wellness programs, mental health support, and a concentration on inclusion and diversity. Organisations may improve employee happiness and their reputation as socially responsible organisations by prioritising employee wellbeing and promoting a good work environment which will help the employees and the organisation to grow equally and in a successful manner. (Qadir,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S., 2017.)</w:t>
      </w:r>
    </w:p>
    <w:p w14:paraId="7BC899A6" w14:textId="77777777" w:rsidR="001152C1" w:rsidRPr="003B2AE6" w:rsidRDefault="001152C1" w:rsidP="001152C1">
      <w:pPr>
        <w:pStyle w:val="Heading2"/>
        <w:spacing w:line="360" w:lineRule="auto"/>
        <w:jc w:val="both"/>
        <w:rPr>
          <w:sz w:val="24"/>
          <w:szCs w:val="24"/>
        </w:rPr>
      </w:pPr>
      <w:r w:rsidRPr="003B2AE6">
        <w:rPr>
          <w:sz w:val="24"/>
          <w:szCs w:val="24"/>
        </w:rPr>
        <w:t>4.3 The evolvement of HRM or human resource management policies:</w:t>
      </w:r>
    </w:p>
    <w:p w14:paraId="59BB6492"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 xml:space="preserve">In the past few years, HRM human resource management policies have begun to emphasise ethical and long-term employment practices. One such framework is the “principle of employee approach,” which prioritises employee satisfaction and development. This strategy (Ahammad, T., 2017.) involves creating a healthy work environment, providing chances for constant </w:t>
      </w:r>
      <w:r w:rsidRPr="003B2AE6">
        <w:rPr>
          <w:rFonts w:ascii="Times New Roman" w:eastAsia="Times New Roman" w:hAnsi="Times New Roman" w:cs="Times New Roman"/>
          <w:color w:val="0E101A"/>
          <w:kern w:val="0"/>
          <w:sz w:val="24"/>
          <w:szCs w:val="24"/>
          <w14:ligatures w14:val="none"/>
        </w:rPr>
        <w:lastRenderedPageBreak/>
        <w:t>growth, and assuring fair salaries. Another approach is “Flexible Arrangements of Work,” which allows for different demands while protecting performance and efficiency. Active interaction is essential for sustaining successful workplace relationships. Ongoing feedback discussions, open discussions and interactive meetings promote management and employee transparency and confidence. Participation by staff members, whether through input boxes or multidisciplinary teams, allows employees to participate in making choices and creates a sense of responsibility and the need for staff’s position in an organisation. Human resource practices increase trust, confidence and respect toward the corporation. Clearly, discussing company targets, policies, and performance data stimulates workers while additionally avoiding misconceptions. According to (Silva, and Lima, 2018.), numerous organisations have shown these concepts. The dedication to work-life balance and environmental sustainability has brought about the company’s loyalty while planning to eradicate pay disparities between men and women inequities demonstrate honesty. It is possible to maintain effective working relationships without having the strategy of “fire and rehire.” Instead of firing off employees, an organisation can work and train the employees for additional duties throughout the epidemic. Protecting a position and teamwork among the employees and focusing on upgrading and improving one’s abilities shows a commitment to ongoing growth and loyalty of the employee with the organisation. Throughout the present evolving business market, organisations frequently address the problem of combining their requirement for adaptability and development with the welfare of employees and rights. To achieve this delicate equilibrium, a thorough and complete plan that emphasises the beneficial relationship between organisational performance and the well-being of staff must be implemented. </w:t>
      </w:r>
    </w:p>
    <w:p w14:paraId="050E2B34" w14:textId="77777777" w:rsidR="001152C1" w:rsidRPr="003B2AE6" w:rsidRDefault="001152C1" w:rsidP="001152C1">
      <w:pPr>
        <w:pStyle w:val="Heading2"/>
        <w:spacing w:line="360" w:lineRule="auto"/>
        <w:jc w:val="both"/>
        <w:rPr>
          <w:sz w:val="24"/>
          <w:szCs w:val="24"/>
        </w:rPr>
      </w:pPr>
      <w:r w:rsidRPr="003B2AE6">
        <w:rPr>
          <w:sz w:val="24"/>
          <w:szCs w:val="24"/>
        </w:rPr>
        <w:t>4.4 Organisational adaptability to quickly adapt to modification:</w:t>
      </w:r>
    </w:p>
    <w:p w14:paraId="0B9C2E87"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In the beginning, it is critical to recognise the importance of organisational adaptability in being successful and adapting to quickly shifting circumstances in the market. The capability of an organisation to adapt immediately and make intelligent decisions can decide its future. However, this must not develop at the cost of employee rights and wellness. Adopting a comprehensive approach which takes into account both business requirements and employee concerns is an excellent method to handle the situation. (Saha,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P., 2017.)</w:t>
      </w:r>
    </w:p>
    <w:p w14:paraId="01B1B335"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Organisations may use a number of strategies to attain this balance:</w:t>
      </w:r>
    </w:p>
    <w:p w14:paraId="1934BAA5"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Precise Communication Techniques: </w:t>
      </w:r>
    </w:p>
    <w:p w14:paraId="16E8FCE0"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lastRenderedPageBreak/>
        <w:t>Encourage a transparent and open communication platform between employees and management. Share the company’s targets, strategies, and issues on a regular basis. Employees will be able to give opinions and suggestions regarding specific issues as long as the employees understand the circumstances surrounding their options.</w:t>
      </w:r>
    </w:p>
    <w:p w14:paraId="0339D8F2"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Flexible Working Agreements: </w:t>
      </w:r>
    </w:p>
    <w:p w14:paraId="5D447EE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Encourage workplace policies that meet the personal requirements of employees. Working from home choices, hours that vary, and sharing employment programs are a few instances of flexibility. Such practises enable employees to balance work and personal life appropriately while actively contributing to the organisation.</w:t>
      </w:r>
    </w:p>
    <w:p w14:paraId="27C5263C"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Work on Professional Growth: </w:t>
      </w:r>
    </w:p>
    <w:p w14:paraId="51588CC2"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Promote the continuous development of new skills and modern learning organisation-related work. Offering opportunities for workers to improve their abilities helps them personally as well as the organisation by building a more effective and efficient team.</w:t>
      </w:r>
    </w:p>
    <w:p w14:paraId="4D1CDAD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p>
    <w:p w14:paraId="67039D27"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“Wellbeing Strategy”:</w:t>
      </w:r>
    </w:p>
    <w:p w14:paraId="10B0CC7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Creating holistic wellness programs that prioritise a person’s mental, emotional, and physical health. Wellness seminars which are compulsory to attend, mental health support, and fitness tools are a few instances of efforts that may help to promote a healthier and more engaged workplace for the employees to work according to their choice and freewill, which will lead to a successful and a growing organisation in future.</w:t>
      </w:r>
    </w:p>
    <w:p w14:paraId="69A0CF4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Social Management: </w:t>
      </w:r>
    </w:p>
    <w:p w14:paraId="593C3BF8"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Developing responsible as well as ethical management practises that prioritise sustainability over time ahead of immediate advantages. Staff and clients will have greater trust and confidence in you if you express a dedication to making ethical choices in a company.</w:t>
      </w:r>
    </w:p>
    <w:p w14:paraId="76D571E1"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Appreciation of Performance: </w:t>
      </w:r>
    </w:p>
    <w:p w14:paraId="757ECE4E"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Recognising and acknowledging the workers for their achievements and efforts. Honest evaluations of performance and fair awards and appreciation inspire employees by connecting their efforts with the objectives of the organisation.</w:t>
      </w:r>
    </w:p>
    <w:p w14:paraId="1CBD730F"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Collaboration in Important Decision-Making:</w:t>
      </w:r>
    </w:p>
    <w:p w14:paraId="2AF3CF82"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By involving employees in the process to take any critical step or while making any important decisions involving them effectively. This gives employees an interest in challenges affecting their workplace and creates an atmosphere of personal responsibility and dedication.</w:t>
      </w:r>
    </w:p>
    <w:p w14:paraId="666C6586"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Consideration regarding Boundaries: </w:t>
      </w:r>
    </w:p>
    <w:p w14:paraId="677FA177"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lastRenderedPageBreak/>
        <w:t>Particularly in the modern era of technology, a company should set clear boundaries for job expectations. To avoid emotional exhaustion, encourage employees to take a break from work beyond their permitted hours.</w:t>
      </w:r>
    </w:p>
    <w:p w14:paraId="26623FA1"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Supportive rules and regulations:</w:t>
      </w:r>
    </w:p>
    <w:p w14:paraId="222FBE76"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To establish and enforce rules that maintain employee rights, such as a fair salary system, equality for all, and appropriate working hours. These policies provide the framework for the organisation’s appreciation and justice.</w:t>
      </w:r>
    </w:p>
    <w:p w14:paraId="1CAA6679" w14:textId="77777777" w:rsidR="001152C1" w:rsidRPr="003B2AE6" w:rsidRDefault="001152C1" w:rsidP="001152C1">
      <w:pPr>
        <w:numPr>
          <w:ilvl w:val="0"/>
          <w:numId w:val="1"/>
        </w:numPr>
        <w:spacing w:after="0" w:line="360" w:lineRule="auto"/>
        <w:ind w:firstLine="0"/>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Sustainable Development: </w:t>
      </w:r>
    </w:p>
    <w:p w14:paraId="5029ECE0"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By prioritising sustainable development over immediate advantages. Evaluate how decisions might impact the organisation as well as its staff members in the long run. Prioritise campaigns that work to guarantee that staff members are satisfied during their time with the company.</w:t>
      </w:r>
    </w:p>
    <w:p w14:paraId="73711AB3"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b/>
          <w:bCs/>
          <w:color w:val="0E101A"/>
          <w:kern w:val="0"/>
          <w:sz w:val="24"/>
          <w:szCs w:val="24"/>
          <w14:ligatures w14:val="none"/>
        </w:rPr>
        <w:t>4.5 Employee engagement a critical factor in organisational success:</w:t>
      </w:r>
    </w:p>
    <w:p w14:paraId="551A3040"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Because of their contentious nature, “fire and rehire” practices have gotten much criticism. Corresponding to (Sabuhari,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M., 2020.), employers use these techniques by firing employees and then rehiring them under new contracts with possibly less favourable conditions. While proponents say that these practices improve adaptability and growth, their adverse effect on staff satisfaction and secure employment cannot be disregarded. Such practices frequently result in frustration, misunderstanding, and lower engagement among workers. “Fire and rehire” practises can be problematic in the legal world. They may violate labour regulations or employee contracts, depending on the country, resulting in legal battles and reputational harm for firms. Courts have rarely ruled against such practices, stressing the importance of employers carefully considering the legal and moral consequences of their behaviours. Employee engagement is an essential factor in organisational success. Employee engagement may be badly harmed by “fire and rehire” practises, which damage the psychological contract between employees and employers. When employees believe that their devotion and commitment are being rewarded with such approaches, their commitment and motivation unavoidably decrease. Maintaining a healthy employee and employer relationship is of the utmost importance for the future of productivity and satisfaction among staff members. Effective human resource management HRM is essential for reducing the adverse impacts of “fire and rehire” practices. When implementing organisational changes, H.R. professionals should strive for honesty, open communication, and empathy. Those organisations which appreciate their staff members and what they contribute are more likely to strive for commitment, participation, and a positive atmosphere at work. A study (Liang, </w:t>
      </w:r>
      <w:r w:rsidRPr="003B2AE6">
        <w:rPr>
          <w:rFonts w:ascii="Times New Roman" w:eastAsia="Times New Roman" w:hAnsi="Times New Roman" w:cs="Times New Roman"/>
          <w:i/>
          <w:iCs/>
          <w:color w:val="0E101A"/>
          <w:kern w:val="0"/>
          <w:sz w:val="24"/>
          <w:szCs w:val="24"/>
          <w14:ligatures w14:val="none"/>
        </w:rPr>
        <w:t>et al.,</w:t>
      </w:r>
      <w:r w:rsidRPr="003B2AE6">
        <w:rPr>
          <w:rFonts w:ascii="Times New Roman" w:eastAsia="Times New Roman" w:hAnsi="Times New Roman" w:cs="Times New Roman"/>
          <w:color w:val="0E101A"/>
          <w:kern w:val="0"/>
          <w:sz w:val="24"/>
          <w:szCs w:val="24"/>
          <w14:ligatures w14:val="none"/>
        </w:rPr>
        <w:t xml:space="preserve"> L., 2021.) has found that a moral and accountable approach to human resource management is considering </w:t>
      </w:r>
      <w:r w:rsidRPr="003B2AE6">
        <w:rPr>
          <w:rFonts w:ascii="Times New Roman" w:eastAsia="Times New Roman" w:hAnsi="Times New Roman" w:cs="Times New Roman"/>
          <w:color w:val="0E101A"/>
          <w:kern w:val="0"/>
          <w:sz w:val="24"/>
          <w:szCs w:val="24"/>
          <w14:ligatures w14:val="none"/>
        </w:rPr>
        <w:lastRenderedPageBreak/>
        <w:t>people as valued resources rather than considering the employees worthless. Considering these factors, there is a critical need for moral, accountable, and long-term employment practices. Companies must understand that their success in the future is directly related to how they treat their people. Organisations can develop loyalty, creative thinking, and productivity by putting justice, respect, and employee well-being first. Teamwork is required to bring about real change. Lawmakers have a critical role in defining the legal framework that controls workplace techniques. Authorities should think about implementing laws that would prevent unfair practices and promote justice. Organisations, on the other hand, must take action to match their policies with humanitarian goals while also treating their employees as collaborators while achieving their objectives. HRM officials play a crucial role in this change. They should promote fair practices, fight for employee rights, and guarantee that their businesses uphold high ethical standards. H.R. may fill the gap between the company’s goals and how it treats its employees by developing a culture of diversity and fairness. “fire and rehire” practises present severe constitutional, legal, and employee well-being considerations. The negative consequences affecting employee engagement and organisational image represent how important it is to employ appropriate hiring methodologies.</w:t>
      </w:r>
    </w:p>
    <w:p w14:paraId="68B9DE64" w14:textId="77777777" w:rsidR="001152C1"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p>
    <w:p w14:paraId="3D9585AF"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p>
    <w:p w14:paraId="2C365EDF" w14:textId="77777777" w:rsidR="001152C1" w:rsidRPr="003B2AE6" w:rsidRDefault="001152C1" w:rsidP="001152C1">
      <w:pPr>
        <w:pStyle w:val="Heading2"/>
        <w:spacing w:line="360" w:lineRule="auto"/>
        <w:jc w:val="both"/>
        <w:rPr>
          <w:sz w:val="24"/>
          <w:szCs w:val="24"/>
        </w:rPr>
      </w:pPr>
      <w:r>
        <w:rPr>
          <w:sz w:val="24"/>
          <w:szCs w:val="24"/>
          <w:lang w:val="en-US"/>
        </w:rPr>
        <w:t xml:space="preserve">5. </w:t>
      </w:r>
      <w:r w:rsidRPr="003B2AE6">
        <w:rPr>
          <w:sz w:val="24"/>
          <w:szCs w:val="24"/>
        </w:rPr>
        <w:t>Conclusion:</w:t>
      </w:r>
    </w:p>
    <w:p w14:paraId="3CE251C0"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r w:rsidRPr="003B2AE6">
        <w:rPr>
          <w:rFonts w:ascii="Times New Roman" w:eastAsia="Times New Roman" w:hAnsi="Times New Roman" w:cs="Times New Roman"/>
          <w:color w:val="0E101A"/>
          <w:kern w:val="0"/>
          <w:sz w:val="24"/>
          <w:szCs w:val="24"/>
          <w14:ligatures w14:val="none"/>
        </w:rPr>
        <w:t xml:space="preserve">To summarize, British Gas is one of the biggest electricity supplier companies in the United Kingdom U.K. has suffered various economic crises. Along with this, it was also criticised and penalised by the public after repeated media stories highlighted its poor human resource management HRM, customer service and the horrible behaviour of invading homes to pressure consumers. For that fire and rehire strategy was planned by the business community of the U.K., which was illegal as it created a major legal risk and could adversely impact motivation, performance, and employee relations among employees belonging to other sectors as well. Additionally, the pandemic also created an indestructible impact on various sectors as well, leading to the implementation of the fire and rehire strategy, which faced much criticism. Moreover, the economic crisis also led to a decrease in costs due to economic crisis. Furthermore, Fire and rehire is when an organisation terminates previous contracts of employees and offers the team new agreements with different rules and regulations. However, modifications of the employees’ contract can cause different consequences in how the </w:t>
      </w:r>
      <w:r w:rsidRPr="003B2AE6">
        <w:rPr>
          <w:rFonts w:ascii="Times New Roman" w:eastAsia="Times New Roman" w:hAnsi="Times New Roman" w:cs="Times New Roman"/>
          <w:color w:val="0E101A"/>
          <w:kern w:val="0"/>
          <w:sz w:val="24"/>
          <w:szCs w:val="24"/>
          <w14:ligatures w14:val="none"/>
        </w:rPr>
        <w:lastRenderedPageBreak/>
        <w:t>employees are engaged in an organisation. Lastly, the employee agreements can be modified by affecting human resource management approaches a structure for managing employment relations in the U.K. would be created. "Fire and rehire" practises present serious ethical, legal, and worker welfare problems. The negative consequences for employee engagement and organisational reputation emphasise the significance of employing appropriate hiring practices. Policymakers, organisations, and human resource experts must work together to reform the labour market so that it is equitable, sustainable, and productive. We can build an atmosphere where people are respected, treated properly, and empowered to contribute to their full potential by working together.</w:t>
      </w:r>
    </w:p>
    <w:p w14:paraId="51670A31" w14:textId="77777777" w:rsidR="001152C1" w:rsidRPr="003B2AE6" w:rsidRDefault="001152C1" w:rsidP="001152C1">
      <w:pPr>
        <w:spacing w:after="0" w:line="360" w:lineRule="auto"/>
        <w:jc w:val="both"/>
        <w:rPr>
          <w:rFonts w:ascii="Times New Roman" w:eastAsia="Times New Roman" w:hAnsi="Times New Roman" w:cs="Times New Roman"/>
          <w:color w:val="0E101A"/>
          <w:kern w:val="0"/>
          <w:sz w:val="24"/>
          <w:szCs w:val="24"/>
          <w14:ligatures w14:val="none"/>
        </w:rPr>
      </w:pPr>
    </w:p>
    <w:p w14:paraId="78FED2AA" w14:textId="77777777" w:rsidR="001152C1" w:rsidRPr="003B2AE6" w:rsidRDefault="001152C1" w:rsidP="001152C1">
      <w:pPr>
        <w:spacing w:line="360" w:lineRule="auto"/>
        <w:jc w:val="both"/>
        <w:rPr>
          <w:rFonts w:ascii="Times New Roman" w:hAnsi="Times New Roman" w:cs="Times New Roman"/>
          <w:sz w:val="24"/>
          <w:szCs w:val="24"/>
        </w:rPr>
      </w:pPr>
    </w:p>
    <w:p w14:paraId="62E4ADEE" w14:textId="77777777" w:rsidR="001152C1" w:rsidRPr="00C74F7D" w:rsidRDefault="001152C1" w:rsidP="001152C1">
      <w:pPr>
        <w:spacing w:line="360" w:lineRule="auto"/>
        <w:jc w:val="both"/>
        <w:rPr>
          <w:rFonts w:ascii="Times New Roman" w:hAnsi="Times New Roman" w:cs="Times New Roman"/>
          <w:sz w:val="24"/>
          <w:szCs w:val="24"/>
          <w:lang w:val="en-US"/>
        </w:rPr>
      </w:pPr>
    </w:p>
    <w:p w14:paraId="79F16C22" w14:textId="77777777" w:rsidR="001152C1" w:rsidRDefault="001152C1" w:rsidP="001152C1">
      <w:pPr>
        <w:spacing w:line="360" w:lineRule="auto"/>
        <w:jc w:val="both"/>
        <w:rPr>
          <w:rFonts w:ascii="Times New Roman" w:hAnsi="Times New Roman" w:cs="Times New Roman"/>
          <w:sz w:val="24"/>
          <w:szCs w:val="24"/>
          <w:lang w:val="en-US"/>
        </w:rPr>
      </w:pPr>
    </w:p>
    <w:p w14:paraId="3DCE4B0A" w14:textId="77777777" w:rsidR="001152C1" w:rsidRDefault="001152C1" w:rsidP="001152C1">
      <w:pPr>
        <w:spacing w:line="360" w:lineRule="auto"/>
        <w:jc w:val="both"/>
        <w:rPr>
          <w:rFonts w:ascii="Times New Roman" w:hAnsi="Times New Roman" w:cs="Times New Roman"/>
          <w:sz w:val="24"/>
          <w:szCs w:val="24"/>
          <w:lang w:val="en-US"/>
        </w:rPr>
      </w:pPr>
    </w:p>
    <w:p w14:paraId="2E218DAF" w14:textId="77777777" w:rsidR="001152C1" w:rsidRDefault="001152C1" w:rsidP="001152C1">
      <w:pPr>
        <w:spacing w:line="360" w:lineRule="auto"/>
        <w:jc w:val="both"/>
        <w:rPr>
          <w:rFonts w:ascii="Times New Roman" w:hAnsi="Times New Roman" w:cs="Times New Roman"/>
          <w:sz w:val="24"/>
          <w:szCs w:val="24"/>
          <w:lang w:val="en-US"/>
        </w:rPr>
      </w:pPr>
    </w:p>
    <w:p w14:paraId="58453E40" w14:textId="77777777" w:rsidR="001152C1" w:rsidRDefault="001152C1" w:rsidP="001152C1">
      <w:pPr>
        <w:spacing w:line="360" w:lineRule="auto"/>
        <w:jc w:val="both"/>
        <w:rPr>
          <w:rFonts w:ascii="Times New Roman" w:hAnsi="Times New Roman" w:cs="Times New Roman"/>
          <w:sz w:val="24"/>
          <w:szCs w:val="24"/>
          <w:lang w:val="en-US"/>
        </w:rPr>
      </w:pPr>
    </w:p>
    <w:p w14:paraId="7372089F" w14:textId="77777777" w:rsidR="001152C1" w:rsidRPr="00D02D44" w:rsidRDefault="001152C1" w:rsidP="001152C1">
      <w:pPr>
        <w:pStyle w:val="Heading2"/>
        <w:spacing w:line="360" w:lineRule="auto"/>
        <w:jc w:val="both"/>
        <w:rPr>
          <w:sz w:val="24"/>
          <w:szCs w:val="24"/>
          <w:shd w:val="clear" w:color="auto" w:fill="FFFFFF"/>
          <w:lang w:val="en-US"/>
        </w:rPr>
      </w:pPr>
      <w:r>
        <w:rPr>
          <w:sz w:val="24"/>
          <w:szCs w:val="24"/>
          <w:shd w:val="clear" w:color="auto" w:fill="FFFFFF"/>
          <w:lang w:val="en-US"/>
        </w:rPr>
        <w:t xml:space="preserve">6. </w:t>
      </w:r>
      <w:r w:rsidRPr="00D02D44">
        <w:rPr>
          <w:sz w:val="24"/>
          <w:szCs w:val="24"/>
          <w:shd w:val="clear" w:color="auto" w:fill="FFFFFF"/>
          <w:lang w:val="en-US"/>
        </w:rPr>
        <w:t>References:</w:t>
      </w:r>
    </w:p>
    <w:p w14:paraId="78C1A0C3"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Jia, S., Han, H., Zhuang, H. and Hou, B., 2016. The pollutants removal and bacterial community dynamics relationship within a full-scale British Gas/Lurgi coal gasification wastewater treatment using a novel system. </w:t>
      </w:r>
      <w:r w:rsidRPr="00B5757F">
        <w:rPr>
          <w:rFonts w:ascii="Times New Roman" w:hAnsi="Times New Roman" w:cs="Times New Roman"/>
          <w:i/>
          <w:iCs/>
          <w:color w:val="222222"/>
          <w:sz w:val="24"/>
          <w:szCs w:val="24"/>
          <w:shd w:val="clear" w:color="auto" w:fill="FFFFFF"/>
        </w:rPr>
        <w:t>Bioresource Technology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200</w:t>
      </w:r>
      <w:r w:rsidRPr="00B5757F">
        <w:rPr>
          <w:rFonts w:ascii="Times New Roman" w:hAnsi="Times New Roman" w:cs="Times New Roman"/>
          <w:color w:val="222222"/>
          <w:sz w:val="24"/>
          <w:szCs w:val="24"/>
          <w:shd w:val="clear" w:color="auto" w:fill="FFFFFF"/>
        </w:rPr>
        <w:t>, pp.103-110.</w:t>
      </w:r>
    </w:p>
    <w:p w14:paraId="37415359" w14:textId="77777777" w:rsidR="001152C1" w:rsidRPr="00B5757F" w:rsidRDefault="001152C1" w:rsidP="001152C1">
      <w:pPr>
        <w:spacing w:line="360" w:lineRule="auto"/>
        <w:jc w:val="both"/>
        <w:rPr>
          <w:rFonts w:ascii="Times New Roman" w:hAnsi="Times New Roman" w:cs="Times New Roman"/>
          <w:b/>
          <w:bCs/>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Zhuang, H., Han, H. and Shan, S., 2016. Treatment of British Gas/Lurgi coal gasification wastewater using a novel integration of heterogeneous Fenton oxidation on coal fly ash/sewage sludge carbon composite and anaerobic biological process. </w:t>
      </w:r>
      <w:r w:rsidRPr="00B5757F">
        <w:rPr>
          <w:rFonts w:ascii="Times New Roman" w:hAnsi="Times New Roman" w:cs="Times New Roman"/>
          <w:i/>
          <w:iCs/>
          <w:color w:val="222222"/>
          <w:sz w:val="24"/>
          <w:szCs w:val="24"/>
          <w:shd w:val="clear" w:color="auto" w:fill="FFFFFF"/>
        </w:rPr>
        <w:t>Fuel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178</w:t>
      </w:r>
      <w:r w:rsidRPr="00B5757F">
        <w:rPr>
          <w:rFonts w:ascii="Times New Roman" w:hAnsi="Times New Roman" w:cs="Times New Roman"/>
          <w:color w:val="222222"/>
          <w:sz w:val="24"/>
          <w:szCs w:val="24"/>
          <w:shd w:val="clear" w:color="auto" w:fill="FFFFFF"/>
        </w:rPr>
        <w:t>, pp.155-162.</w:t>
      </w:r>
    </w:p>
    <w:p w14:paraId="60275692"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Devereux, H. and Wadsworth, E., 2022. Forgotten keyworkers: the experiences of British seafarers during the COVID-19 pandemic. </w:t>
      </w:r>
      <w:r w:rsidRPr="00B5757F">
        <w:rPr>
          <w:rFonts w:ascii="Times New Roman" w:hAnsi="Times New Roman" w:cs="Times New Roman"/>
          <w:i/>
          <w:iCs/>
          <w:color w:val="222222"/>
          <w:sz w:val="24"/>
          <w:szCs w:val="24"/>
          <w:shd w:val="clear" w:color="auto" w:fill="FFFFFF"/>
        </w:rPr>
        <w:t>The Economic and Labour Relations Review</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33</w:t>
      </w:r>
      <w:r w:rsidRPr="00B5757F">
        <w:rPr>
          <w:rFonts w:ascii="Times New Roman" w:hAnsi="Times New Roman" w:cs="Times New Roman"/>
          <w:color w:val="222222"/>
          <w:sz w:val="24"/>
          <w:szCs w:val="24"/>
          <w:shd w:val="clear" w:color="auto" w:fill="FFFFFF"/>
        </w:rPr>
        <w:t>(2), pp.272-289.</w:t>
      </w:r>
    </w:p>
    <w:p w14:paraId="603105B0"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Bogg, A., 2023. Fire and rehire. In </w:t>
      </w:r>
      <w:r w:rsidRPr="00B5757F">
        <w:rPr>
          <w:rFonts w:ascii="Times New Roman" w:hAnsi="Times New Roman" w:cs="Times New Roman"/>
          <w:i/>
          <w:iCs/>
          <w:color w:val="222222"/>
          <w:sz w:val="24"/>
          <w:szCs w:val="24"/>
          <w:shd w:val="clear" w:color="auto" w:fill="FFFFFF"/>
        </w:rPr>
        <w:t>Encyclopedia of Human Resource Management</w:t>
      </w:r>
      <w:r w:rsidRPr="00B5757F">
        <w:rPr>
          <w:rFonts w:ascii="Times New Roman" w:hAnsi="Times New Roman" w:cs="Times New Roman"/>
          <w:color w:val="222222"/>
          <w:sz w:val="24"/>
          <w:szCs w:val="24"/>
          <w:shd w:val="clear" w:color="auto" w:fill="FFFFFF"/>
        </w:rPr>
        <w:t> (pp. 131-132). Edward Elgar Publishing.</w:t>
      </w:r>
    </w:p>
    <w:p w14:paraId="53B42B4B"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lastRenderedPageBreak/>
        <w:t>Botta, E., 2019. A review of “Transition Management” strategies: Lessons for advancing the green low-carbon transition.</w:t>
      </w:r>
    </w:p>
    <w:p w14:paraId="41EDCDD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Freyssinet, J., 2022. Licencier et réembaucher. </w:t>
      </w:r>
      <w:r w:rsidRPr="00B5757F">
        <w:rPr>
          <w:rFonts w:ascii="Times New Roman" w:hAnsi="Times New Roman" w:cs="Times New Roman"/>
          <w:i/>
          <w:iCs/>
          <w:color w:val="222222"/>
          <w:sz w:val="24"/>
          <w:szCs w:val="24"/>
          <w:shd w:val="clear" w:color="auto" w:fill="FFFFFF"/>
        </w:rPr>
        <w:t>Chronique Internationale de l'IRES</w:t>
      </w:r>
      <w:r w:rsidRPr="00B5757F">
        <w:rPr>
          <w:rFonts w:ascii="Times New Roman" w:hAnsi="Times New Roman" w:cs="Times New Roman"/>
          <w:color w:val="222222"/>
          <w:sz w:val="24"/>
          <w:szCs w:val="24"/>
          <w:shd w:val="clear" w:color="auto" w:fill="FFFFFF"/>
        </w:rPr>
        <w:t>, (2), pp.36-46.</w:t>
      </w:r>
    </w:p>
    <w:p w14:paraId="5AFE72AB" w14:textId="77777777" w:rsidR="001152C1" w:rsidRPr="00E93EE5"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Bernstein, A., 2022. Recent trends in employment law. </w:t>
      </w:r>
      <w:r w:rsidRPr="00B5757F">
        <w:rPr>
          <w:rFonts w:ascii="Times New Roman" w:hAnsi="Times New Roman" w:cs="Times New Roman"/>
          <w:i/>
          <w:iCs/>
          <w:color w:val="222222"/>
          <w:sz w:val="24"/>
          <w:szCs w:val="24"/>
          <w:shd w:val="clear" w:color="auto" w:fill="FFFFFF"/>
        </w:rPr>
        <w:t>Nursing And Residential Care</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24</w:t>
      </w:r>
      <w:r w:rsidRPr="00B5757F">
        <w:rPr>
          <w:rFonts w:ascii="Times New Roman" w:hAnsi="Times New Roman" w:cs="Times New Roman"/>
          <w:color w:val="222222"/>
          <w:sz w:val="24"/>
          <w:szCs w:val="24"/>
          <w:shd w:val="clear" w:color="auto" w:fill="FFFFFF"/>
        </w:rPr>
        <w:t>(8), pp.1-4.</w:t>
      </w:r>
    </w:p>
    <w:p w14:paraId="6E81E17C"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Bal, M. and Brookes, A., 2022. How sustainable is human resource management really? An argument for radical sustainability. </w:t>
      </w:r>
      <w:r w:rsidRPr="00B5757F">
        <w:rPr>
          <w:rFonts w:ascii="Times New Roman" w:hAnsi="Times New Roman" w:cs="Times New Roman"/>
          <w:i/>
          <w:iCs/>
          <w:color w:val="222222"/>
          <w:sz w:val="24"/>
          <w:szCs w:val="24"/>
          <w:shd w:val="clear" w:color="auto" w:fill="FFFFFF"/>
        </w:rPr>
        <w:t>Sustainability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14</w:t>
      </w:r>
      <w:r w:rsidRPr="00B5757F">
        <w:rPr>
          <w:rFonts w:ascii="Times New Roman" w:hAnsi="Times New Roman" w:cs="Times New Roman"/>
          <w:color w:val="222222"/>
          <w:sz w:val="24"/>
          <w:szCs w:val="24"/>
          <w:shd w:val="clear" w:color="auto" w:fill="FFFFFF"/>
        </w:rPr>
        <w:t>(7), p.4219.</w:t>
      </w:r>
    </w:p>
    <w:p w14:paraId="07B44A50"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Lansley, S., 2021. Burning injustice. In </w:t>
      </w:r>
      <w:r w:rsidRPr="00B5757F">
        <w:rPr>
          <w:rFonts w:ascii="Times New Roman" w:hAnsi="Times New Roman" w:cs="Times New Roman"/>
          <w:i/>
          <w:iCs/>
          <w:color w:val="222222"/>
          <w:sz w:val="24"/>
          <w:szCs w:val="24"/>
          <w:shd w:val="clear" w:color="auto" w:fill="FFFFFF"/>
        </w:rPr>
        <w:t>The Richer, The Poorer</w:t>
      </w:r>
      <w:r w:rsidRPr="00B5757F">
        <w:rPr>
          <w:rFonts w:ascii="Times New Roman" w:hAnsi="Times New Roman" w:cs="Times New Roman"/>
          <w:color w:val="222222"/>
          <w:sz w:val="24"/>
          <w:szCs w:val="24"/>
          <w:shd w:val="clear" w:color="auto" w:fill="FFFFFF"/>
        </w:rPr>
        <w:t> (pp. 224-230). Policy Press.</w:t>
      </w:r>
    </w:p>
    <w:p w14:paraId="2A9380B5"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Rights, L., 2018. Last Rights.</w:t>
      </w:r>
    </w:p>
    <w:p w14:paraId="77BD6895"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Izah, M., 2021. Staff Retention Strategies in Nigerian University Libraries.</w:t>
      </w:r>
    </w:p>
    <w:p w14:paraId="38620B40"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Armstrong, M. and Taylor, S., 2023. </w:t>
      </w:r>
      <w:r w:rsidRPr="00B5757F">
        <w:rPr>
          <w:rFonts w:ascii="Times New Roman" w:hAnsi="Times New Roman" w:cs="Times New Roman"/>
          <w:i/>
          <w:iCs/>
          <w:color w:val="222222"/>
          <w:sz w:val="24"/>
          <w:szCs w:val="24"/>
          <w:shd w:val="clear" w:color="auto" w:fill="FFFFFF"/>
        </w:rPr>
        <w:t>Armstrong's Handbook of Human Resource Management Practice: A Guide to the Theory and Practice of People Management</w:t>
      </w:r>
      <w:r w:rsidRPr="00B5757F">
        <w:rPr>
          <w:rFonts w:ascii="Times New Roman" w:hAnsi="Times New Roman" w:cs="Times New Roman"/>
          <w:color w:val="222222"/>
          <w:sz w:val="24"/>
          <w:szCs w:val="24"/>
          <w:shd w:val="clear" w:color="auto" w:fill="FFFFFF"/>
        </w:rPr>
        <w:t>. Kogan Page Publishers.</w:t>
      </w:r>
    </w:p>
    <w:p w14:paraId="2456581D"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Ewing, K.D. and Hendy, L., 2020. Covid-19 and the failure of labour law: part 1. </w:t>
      </w:r>
      <w:r w:rsidRPr="00B5757F">
        <w:rPr>
          <w:rFonts w:ascii="Times New Roman" w:hAnsi="Times New Roman" w:cs="Times New Roman"/>
          <w:i/>
          <w:iCs/>
          <w:color w:val="222222"/>
          <w:sz w:val="24"/>
          <w:szCs w:val="24"/>
          <w:shd w:val="clear" w:color="auto" w:fill="FFFFFF"/>
        </w:rPr>
        <w:t>Industrial Law Journal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49</w:t>
      </w:r>
      <w:r w:rsidRPr="00B5757F">
        <w:rPr>
          <w:rFonts w:ascii="Times New Roman" w:hAnsi="Times New Roman" w:cs="Times New Roman"/>
          <w:color w:val="222222"/>
          <w:sz w:val="24"/>
          <w:szCs w:val="24"/>
          <w:shd w:val="clear" w:color="auto" w:fill="FFFFFF"/>
        </w:rPr>
        <w:t>(4), pp.497-538.</w:t>
      </w:r>
    </w:p>
    <w:p w14:paraId="1F7F1D6A"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Kelly-Lyth, A., Abraha, H. and Adams-Prassl, J., 2022. From ‘Code’to ‘Guidance’: Revising the Instrument on Data and Employment. </w:t>
      </w:r>
      <w:r w:rsidRPr="00B5757F">
        <w:rPr>
          <w:rFonts w:ascii="Times New Roman" w:hAnsi="Times New Roman" w:cs="Times New Roman"/>
          <w:i/>
          <w:iCs/>
          <w:color w:val="222222"/>
          <w:sz w:val="24"/>
          <w:szCs w:val="24"/>
          <w:shd w:val="clear" w:color="auto" w:fill="FFFFFF"/>
        </w:rPr>
        <w:t>Industrial Law Journal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51</w:t>
      </w:r>
      <w:r w:rsidRPr="00B5757F">
        <w:rPr>
          <w:rFonts w:ascii="Times New Roman" w:hAnsi="Times New Roman" w:cs="Times New Roman"/>
          <w:color w:val="222222"/>
          <w:sz w:val="24"/>
          <w:szCs w:val="24"/>
          <w:shd w:val="clear" w:color="auto" w:fill="FFFFFF"/>
        </w:rPr>
        <w:t>(3), pp.744-761.</w:t>
      </w:r>
    </w:p>
    <w:p w14:paraId="6A982CEB"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Davidescu, A.A., Apostu, S.A., Paul, A. and Casuneanu, I., 2020. Work flexibility, job satisfaction, and job performance among Romanian employees—Implications for sustainable human resource management. </w:t>
      </w:r>
      <w:r w:rsidRPr="00B5757F">
        <w:rPr>
          <w:rFonts w:ascii="Times New Roman" w:hAnsi="Times New Roman" w:cs="Times New Roman"/>
          <w:i/>
          <w:iCs/>
          <w:color w:val="222222"/>
          <w:sz w:val="24"/>
          <w:szCs w:val="24"/>
          <w:shd w:val="clear" w:color="auto" w:fill="FFFFFF"/>
        </w:rPr>
        <w:t>Sustainability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12</w:t>
      </w:r>
      <w:r w:rsidRPr="00B5757F">
        <w:rPr>
          <w:rFonts w:ascii="Times New Roman" w:hAnsi="Times New Roman" w:cs="Times New Roman"/>
          <w:color w:val="222222"/>
          <w:sz w:val="24"/>
          <w:szCs w:val="24"/>
          <w:shd w:val="clear" w:color="auto" w:fill="FFFFFF"/>
        </w:rPr>
        <w:t>(15), p.6086.</w:t>
      </w:r>
    </w:p>
    <w:p w14:paraId="6B002329"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Raskin, M., 2016. The law and legality of smart contracts. </w:t>
      </w:r>
      <w:r w:rsidRPr="00B5757F">
        <w:rPr>
          <w:rFonts w:ascii="Times New Roman" w:hAnsi="Times New Roman" w:cs="Times New Roman"/>
          <w:i/>
          <w:iCs/>
          <w:color w:val="222222"/>
          <w:sz w:val="24"/>
          <w:szCs w:val="24"/>
          <w:shd w:val="clear" w:color="auto" w:fill="FFFFFF"/>
        </w:rPr>
        <w:t>Geo. L. Tech. Rev.</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w:t>
      </w:r>
      <w:r w:rsidRPr="00B5757F">
        <w:rPr>
          <w:rFonts w:ascii="Times New Roman" w:hAnsi="Times New Roman" w:cs="Times New Roman"/>
          <w:color w:val="222222"/>
          <w:sz w:val="24"/>
          <w:szCs w:val="24"/>
          <w:shd w:val="clear" w:color="auto" w:fill="FFFFFF"/>
        </w:rPr>
        <w:t>, p.305.</w:t>
      </w:r>
    </w:p>
    <w:p w14:paraId="7F51DC65"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Januarita, R. and Sumiyati, Y., 2021. Legal risk management: Can the COVID-19 pandemic be included as a force majeure clause in a contract?. </w:t>
      </w:r>
      <w:r w:rsidRPr="00B5757F">
        <w:rPr>
          <w:rFonts w:ascii="Times New Roman" w:hAnsi="Times New Roman" w:cs="Times New Roman"/>
          <w:i/>
          <w:iCs/>
          <w:color w:val="222222"/>
          <w:sz w:val="24"/>
          <w:szCs w:val="24"/>
          <w:shd w:val="clear" w:color="auto" w:fill="FFFFFF"/>
        </w:rPr>
        <w:t>International Journal of Law and Management</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63</w:t>
      </w:r>
      <w:r w:rsidRPr="00B5757F">
        <w:rPr>
          <w:rFonts w:ascii="Times New Roman" w:hAnsi="Times New Roman" w:cs="Times New Roman"/>
          <w:color w:val="222222"/>
          <w:sz w:val="24"/>
          <w:szCs w:val="24"/>
          <w:shd w:val="clear" w:color="auto" w:fill="FFFFFF"/>
        </w:rPr>
        <w:t>(2), pp.219-238.</w:t>
      </w:r>
    </w:p>
    <w:p w14:paraId="0280FC51"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Gray, A.D., 2023. Relational contract theory, the relevance of actual performance in contractual interpretation and its application to employment contracts in the United Kingdom and Australia. </w:t>
      </w:r>
      <w:r w:rsidRPr="00B5757F">
        <w:rPr>
          <w:rFonts w:ascii="Times New Roman" w:hAnsi="Times New Roman" w:cs="Times New Roman"/>
          <w:i/>
          <w:iCs/>
          <w:color w:val="222222"/>
          <w:sz w:val="24"/>
          <w:szCs w:val="24"/>
          <w:shd w:val="clear" w:color="auto" w:fill="FFFFFF"/>
        </w:rPr>
        <w:t>Common Law World Review</w:t>
      </w:r>
      <w:r w:rsidRPr="00B5757F">
        <w:rPr>
          <w:rFonts w:ascii="Times New Roman" w:hAnsi="Times New Roman" w:cs="Times New Roman"/>
          <w:color w:val="222222"/>
          <w:sz w:val="24"/>
          <w:szCs w:val="24"/>
          <w:shd w:val="clear" w:color="auto" w:fill="FFFFFF"/>
        </w:rPr>
        <w:t>, p.14737795231188384.</w:t>
      </w:r>
    </w:p>
    <w:p w14:paraId="295C5903"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lastRenderedPageBreak/>
        <w:t>Munton, J.R., 2022. Employment Contracts in the Australian High Court. </w:t>
      </w:r>
      <w:r w:rsidRPr="00B5757F">
        <w:rPr>
          <w:rFonts w:ascii="Times New Roman" w:hAnsi="Times New Roman" w:cs="Times New Roman"/>
          <w:i/>
          <w:iCs/>
          <w:color w:val="222222"/>
          <w:sz w:val="24"/>
          <w:szCs w:val="24"/>
          <w:shd w:val="clear" w:color="auto" w:fill="FFFFFF"/>
        </w:rPr>
        <w:t>Italian Labour Law e-Journal</w:t>
      </w:r>
      <w:r w:rsidRPr="00B5757F">
        <w:rPr>
          <w:rFonts w:ascii="Times New Roman" w:hAnsi="Times New Roman" w:cs="Times New Roman"/>
          <w:color w:val="222222"/>
          <w:sz w:val="24"/>
          <w:szCs w:val="24"/>
          <w:shd w:val="clear" w:color="auto" w:fill="FFFFFF"/>
        </w:rPr>
        <w:t>.</w:t>
      </w:r>
    </w:p>
    <w:p w14:paraId="56CF9AA9"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Wang, S., Coutts, A., Burchell, B., Kamerāde, D. and Balderson, U., 2021. Can active labour market programmes emulate the mental health benefits of regular paid employment? Longitudinal evidence from the United Kingdom. </w:t>
      </w:r>
      <w:r w:rsidRPr="00B5757F">
        <w:rPr>
          <w:rFonts w:ascii="Times New Roman" w:hAnsi="Times New Roman" w:cs="Times New Roman"/>
          <w:i/>
          <w:iCs/>
          <w:color w:val="222222"/>
          <w:sz w:val="24"/>
          <w:szCs w:val="24"/>
          <w:shd w:val="clear" w:color="auto" w:fill="FFFFFF"/>
        </w:rPr>
        <w:t>Work, Employment and Society</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35</w:t>
      </w:r>
      <w:r w:rsidRPr="00B5757F">
        <w:rPr>
          <w:rFonts w:ascii="Times New Roman" w:hAnsi="Times New Roman" w:cs="Times New Roman"/>
          <w:color w:val="222222"/>
          <w:sz w:val="24"/>
          <w:szCs w:val="24"/>
          <w:shd w:val="clear" w:color="auto" w:fill="FFFFFF"/>
        </w:rPr>
        <w:t>(3), pp.545-565.</w:t>
      </w:r>
    </w:p>
    <w:p w14:paraId="756D3CAD"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Freedland, M.R. and Adams-Prassl, J., 2017. Employees, workers, and the'sharing economy': Changing practices and changing concepts in the United Kingdom.</w:t>
      </w:r>
    </w:p>
    <w:p w14:paraId="7ABDBFA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Lansley, S., 2021. Burning injustice. In </w:t>
      </w:r>
      <w:r w:rsidRPr="00B5757F">
        <w:rPr>
          <w:rFonts w:ascii="Times New Roman" w:hAnsi="Times New Roman" w:cs="Times New Roman"/>
          <w:i/>
          <w:iCs/>
          <w:color w:val="222222"/>
          <w:sz w:val="24"/>
          <w:szCs w:val="24"/>
          <w:shd w:val="clear" w:color="auto" w:fill="FFFFFF"/>
        </w:rPr>
        <w:t>The Richer, The Poorer</w:t>
      </w:r>
      <w:r w:rsidRPr="00B5757F">
        <w:rPr>
          <w:rFonts w:ascii="Times New Roman" w:hAnsi="Times New Roman" w:cs="Times New Roman"/>
          <w:color w:val="222222"/>
          <w:sz w:val="24"/>
          <w:szCs w:val="24"/>
          <w:shd w:val="clear" w:color="auto" w:fill="FFFFFF"/>
        </w:rPr>
        <w:t> (pp. 224-230). Policy Press.</w:t>
      </w:r>
    </w:p>
    <w:p w14:paraId="5C6DEE1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Kelly-Lyth, A., Abraha, H. and Adams-Prassl, J., 2022. From ‘Code’to ‘Guidance’: Revising the Instrument on Data and Employment. </w:t>
      </w:r>
      <w:r w:rsidRPr="00B5757F">
        <w:rPr>
          <w:rFonts w:ascii="Times New Roman" w:hAnsi="Times New Roman" w:cs="Times New Roman"/>
          <w:i/>
          <w:iCs/>
          <w:color w:val="222222"/>
          <w:sz w:val="24"/>
          <w:szCs w:val="24"/>
          <w:shd w:val="clear" w:color="auto" w:fill="FFFFFF"/>
        </w:rPr>
        <w:t>Industrial Law Journal</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51</w:t>
      </w:r>
      <w:r w:rsidRPr="00B5757F">
        <w:rPr>
          <w:rFonts w:ascii="Times New Roman" w:hAnsi="Times New Roman" w:cs="Times New Roman"/>
          <w:color w:val="222222"/>
          <w:sz w:val="24"/>
          <w:szCs w:val="24"/>
          <w:shd w:val="clear" w:color="auto" w:fill="FFFFFF"/>
        </w:rPr>
        <w:t>(3), pp.744-761.</w:t>
      </w:r>
    </w:p>
    <w:p w14:paraId="0053B769"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Eldor, L. and Vigoda-Gadot, E., 2017. The nature of employee engagement: Rethinking the employee–organization relationship. </w:t>
      </w:r>
      <w:r w:rsidRPr="00B5757F">
        <w:rPr>
          <w:rFonts w:ascii="Times New Roman" w:hAnsi="Times New Roman" w:cs="Times New Roman"/>
          <w:i/>
          <w:iCs/>
          <w:color w:val="222222"/>
          <w:sz w:val="24"/>
          <w:szCs w:val="24"/>
          <w:shd w:val="clear" w:color="auto" w:fill="FFFFFF"/>
        </w:rPr>
        <w:t>The International Journal of Human Resource Management</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28</w:t>
      </w:r>
      <w:r w:rsidRPr="00B5757F">
        <w:rPr>
          <w:rFonts w:ascii="Times New Roman" w:hAnsi="Times New Roman" w:cs="Times New Roman"/>
          <w:color w:val="222222"/>
          <w:sz w:val="24"/>
          <w:szCs w:val="24"/>
          <w:shd w:val="clear" w:color="auto" w:fill="FFFFFF"/>
        </w:rPr>
        <w:t>(3), pp.526-552.</w:t>
      </w:r>
    </w:p>
    <w:p w14:paraId="26AFDC7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Burnett, J.R. and Lisk, T.C., 2019. The future of employee engagement: Real-time monitoring and digital tools for engaging a workforce. </w:t>
      </w:r>
      <w:r w:rsidRPr="00B5757F">
        <w:rPr>
          <w:rFonts w:ascii="Times New Roman" w:hAnsi="Times New Roman" w:cs="Times New Roman"/>
          <w:i/>
          <w:iCs/>
          <w:color w:val="222222"/>
          <w:sz w:val="24"/>
          <w:szCs w:val="24"/>
          <w:shd w:val="clear" w:color="auto" w:fill="FFFFFF"/>
        </w:rPr>
        <w:t>International Studies of Management &amp; Organization</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49</w:t>
      </w:r>
      <w:r w:rsidRPr="00B5757F">
        <w:rPr>
          <w:rFonts w:ascii="Times New Roman" w:hAnsi="Times New Roman" w:cs="Times New Roman"/>
          <w:color w:val="222222"/>
          <w:sz w:val="24"/>
          <w:szCs w:val="24"/>
          <w:shd w:val="clear" w:color="auto" w:fill="FFFFFF"/>
        </w:rPr>
        <w:t>(1), pp.108-119.</w:t>
      </w:r>
    </w:p>
    <w:p w14:paraId="43A95FE1"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Van Wingerden, J., Derks, D. and Bakker, A.B., 2017. The impact of personal resources and job crafting interventions on work engagement and performance. </w:t>
      </w:r>
      <w:r w:rsidRPr="00B5757F">
        <w:rPr>
          <w:rFonts w:ascii="Times New Roman" w:hAnsi="Times New Roman" w:cs="Times New Roman"/>
          <w:i/>
          <w:iCs/>
          <w:color w:val="222222"/>
          <w:sz w:val="24"/>
          <w:szCs w:val="24"/>
          <w:shd w:val="clear" w:color="auto" w:fill="FFFFFF"/>
        </w:rPr>
        <w:t>Human Resource Management</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56</w:t>
      </w:r>
      <w:r w:rsidRPr="00B5757F">
        <w:rPr>
          <w:rFonts w:ascii="Times New Roman" w:hAnsi="Times New Roman" w:cs="Times New Roman"/>
          <w:color w:val="222222"/>
          <w:sz w:val="24"/>
          <w:szCs w:val="24"/>
          <w:shd w:val="clear" w:color="auto" w:fill="FFFFFF"/>
        </w:rPr>
        <w:t>(1), pp.51-67.</w:t>
      </w:r>
    </w:p>
    <w:p w14:paraId="53D007C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Nankervis, A., Baird, M., Coffey, J. and Shields, J., 2022. </w:t>
      </w:r>
      <w:r w:rsidRPr="00B5757F">
        <w:rPr>
          <w:rFonts w:ascii="Times New Roman" w:hAnsi="Times New Roman" w:cs="Times New Roman"/>
          <w:i/>
          <w:iCs/>
          <w:color w:val="222222"/>
          <w:sz w:val="24"/>
          <w:szCs w:val="24"/>
          <w:shd w:val="clear" w:color="auto" w:fill="FFFFFF"/>
        </w:rPr>
        <w:t>Human Resource Management 11e</w:t>
      </w:r>
      <w:r w:rsidRPr="00B5757F">
        <w:rPr>
          <w:rFonts w:ascii="Times New Roman" w:hAnsi="Times New Roman" w:cs="Times New Roman"/>
          <w:color w:val="222222"/>
          <w:sz w:val="24"/>
          <w:szCs w:val="24"/>
          <w:shd w:val="clear" w:color="auto" w:fill="FFFFFF"/>
        </w:rPr>
        <w:t>. Cengage AU.</w:t>
      </w:r>
    </w:p>
    <w:p w14:paraId="6EC6B98D"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Nankervis, A., Baird, M., Coffey, J. and Shields, J., 2019. </w:t>
      </w:r>
      <w:r w:rsidRPr="00B5757F">
        <w:rPr>
          <w:rFonts w:ascii="Times New Roman" w:hAnsi="Times New Roman" w:cs="Times New Roman"/>
          <w:i/>
          <w:iCs/>
          <w:color w:val="222222"/>
          <w:sz w:val="24"/>
          <w:szCs w:val="24"/>
          <w:shd w:val="clear" w:color="auto" w:fill="FFFFFF"/>
        </w:rPr>
        <w:t>Human resource management</w:t>
      </w:r>
      <w:r w:rsidRPr="00B5757F">
        <w:rPr>
          <w:rFonts w:ascii="Times New Roman" w:hAnsi="Times New Roman" w:cs="Times New Roman"/>
          <w:color w:val="222222"/>
          <w:sz w:val="24"/>
          <w:szCs w:val="24"/>
          <w:shd w:val="clear" w:color="auto" w:fill="FFFFFF"/>
        </w:rPr>
        <w:t>. Cengage AU.</w:t>
      </w:r>
    </w:p>
    <w:p w14:paraId="58C93DC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Wilton, N., 2019. An introduction to human resource management. </w:t>
      </w:r>
      <w:r w:rsidRPr="00B5757F">
        <w:rPr>
          <w:rFonts w:ascii="Times New Roman" w:hAnsi="Times New Roman" w:cs="Times New Roman"/>
          <w:i/>
          <w:iCs/>
          <w:color w:val="222222"/>
          <w:sz w:val="24"/>
          <w:szCs w:val="24"/>
          <w:shd w:val="clear" w:color="auto" w:fill="FFFFFF"/>
        </w:rPr>
        <w:t>An Introduction to Human Resource Management</w:t>
      </w:r>
      <w:r w:rsidRPr="00B5757F">
        <w:rPr>
          <w:rFonts w:ascii="Times New Roman" w:hAnsi="Times New Roman" w:cs="Times New Roman"/>
          <w:color w:val="222222"/>
          <w:sz w:val="24"/>
          <w:szCs w:val="24"/>
          <w:shd w:val="clear" w:color="auto" w:fill="FFFFFF"/>
        </w:rPr>
        <w:t>, pp.1-632.</w:t>
      </w:r>
    </w:p>
    <w:p w14:paraId="3B53AFF8"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Qadir, A. and Agrawal, S., 2017. Human resource information system (HRIS): re-engineering the traditional human resource management for leveraging strategic human resource management. </w:t>
      </w:r>
      <w:r w:rsidRPr="00B5757F">
        <w:rPr>
          <w:rFonts w:ascii="Times New Roman" w:hAnsi="Times New Roman" w:cs="Times New Roman"/>
          <w:i/>
          <w:iCs/>
          <w:color w:val="222222"/>
          <w:sz w:val="24"/>
          <w:szCs w:val="24"/>
          <w:shd w:val="clear" w:color="auto" w:fill="FFFFFF"/>
        </w:rPr>
        <w:t>MIS Review</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22</w:t>
      </w:r>
      <w:r w:rsidRPr="00B5757F">
        <w:rPr>
          <w:rFonts w:ascii="Times New Roman" w:hAnsi="Times New Roman" w:cs="Times New Roman"/>
          <w:color w:val="222222"/>
          <w:sz w:val="24"/>
          <w:szCs w:val="24"/>
          <w:shd w:val="clear" w:color="auto" w:fill="FFFFFF"/>
        </w:rPr>
        <w:t>(1/2), pp.41-58.</w:t>
      </w:r>
    </w:p>
    <w:p w14:paraId="14928B2C"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lastRenderedPageBreak/>
        <w:t>Wei, G. and Jin, Y., 2021. Human resource management model based on three-layer BP neural network and machine learning. </w:t>
      </w:r>
      <w:r w:rsidRPr="00B5757F">
        <w:rPr>
          <w:rFonts w:ascii="Times New Roman" w:hAnsi="Times New Roman" w:cs="Times New Roman"/>
          <w:i/>
          <w:iCs/>
          <w:color w:val="222222"/>
          <w:sz w:val="24"/>
          <w:szCs w:val="24"/>
          <w:shd w:val="clear" w:color="auto" w:fill="FFFFFF"/>
        </w:rPr>
        <w:t>Journal of Intelligent &amp; Fuzzy Systems</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40</w:t>
      </w:r>
      <w:r w:rsidRPr="00B5757F">
        <w:rPr>
          <w:rFonts w:ascii="Times New Roman" w:hAnsi="Times New Roman" w:cs="Times New Roman"/>
          <w:color w:val="222222"/>
          <w:sz w:val="24"/>
          <w:szCs w:val="24"/>
          <w:shd w:val="clear" w:color="auto" w:fill="FFFFFF"/>
        </w:rPr>
        <w:t>(2), pp.2289-2300.</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1152C1" w:rsidRPr="001A26D4" w14:paraId="5C7D90B1" w14:textId="77777777" w:rsidTr="00144EFF">
        <w:tc>
          <w:tcPr>
            <w:tcW w:w="0" w:type="auto"/>
            <w:shd w:val="clear" w:color="auto" w:fill="FFFFFF"/>
            <w:tcMar>
              <w:top w:w="120" w:type="dxa"/>
              <w:left w:w="0" w:type="dxa"/>
              <w:bottom w:w="120" w:type="dxa"/>
              <w:right w:w="0" w:type="dxa"/>
            </w:tcMar>
            <w:hideMark/>
          </w:tcPr>
          <w:p w14:paraId="54F1D4CD" w14:textId="77777777" w:rsidR="001152C1" w:rsidRPr="001A26D4" w:rsidRDefault="001152C1" w:rsidP="001152C1">
            <w:pPr>
              <w:spacing w:after="0" w:line="360" w:lineRule="auto"/>
              <w:jc w:val="both"/>
              <w:rPr>
                <w:rFonts w:ascii="Times New Roman" w:eastAsia="Times New Roman" w:hAnsi="Times New Roman" w:cs="Times New Roman"/>
                <w:color w:val="222222"/>
                <w:kern w:val="0"/>
                <w:sz w:val="24"/>
                <w:szCs w:val="24"/>
                <w14:ligatures w14:val="none"/>
              </w:rPr>
            </w:pPr>
            <w:r w:rsidRPr="001A26D4">
              <w:rPr>
                <w:rFonts w:ascii="Times New Roman" w:eastAsia="Times New Roman" w:hAnsi="Times New Roman" w:cs="Times New Roman"/>
                <w:color w:val="222222"/>
                <w:kern w:val="0"/>
                <w:sz w:val="24"/>
                <w:szCs w:val="24"/>
                <w14:ligatures w14:val="none"/>
              </w:rPr>
              <w:t>Ahammad, T., 2017. Personnel management to human resource management (HRM): How HRM functions. </w:t>
            </w:r>
            <w:r w:rsidRPr="001A26D4">
              <w:rPr>
                <w:rFonts w:ascii="Times New Roman" w:eastAsia="Times New Roman" w:hAnsi="Times New Roman" w:cs="Times New Roman"/>
                <w:i/>
                <w:iCs/>
                <w:color w:val="222222"/>
                <w:kern w:val="0"/>
                <w:sz w:val="24"/>
                <w:szCs w:val="24"/>
                <w14:ligatures w14:val="none"/>
              </w:rPr>
              <w:t>Journal of Modern Accounting and Auditing</w:t>
            </w:r>
            <w:r w:rsidRPr="001A26D4">
              <w:rPr>
                <w:rFonts w:ascii="Times New Roman" w:eastAsia="Times New Roman" w:hAnsi="Times New Roman" w:cs="Times New Roman"/>
                <w:color w:val="222222"/>
                <w:kern w:val="0"/>
                <w:sz w:val="24"/>
                <w:szCs w:val="24"/>
                <w14:ligatures w14:val="none"/>
              </w:rPr>
              <w:t>, </w:t>
            </w:r>
            <w:r w:rsidRPr="001A26D4">
              <w:rPr>
                <w:rFonts w:ascii="Times New Roman" w:eastAsia="Times New Roman" w:hAnsi="Times New Roman" w:cs="Times New Roman"/>
                <w:i/>
                <w:iCs/>
                <w:color w:val="222222"/>
                <w:kern w:val="0"/>
                <w:sz w:val="24"/>
                <w:szCs w:val="24"/>
                <w14:ligatures w14:val="none"/>
              </w:rPr>
              <w:t>13</w:t>
            </w:r>
            <w:r w:rsidRPr="001A26D4">
              <w:rPr>
                <w:rFonts w:ascii="Times New Roman" w:eastAsia="Times New Roman" w:hAnsi="Times New Roman" w:cs="Times New Roman"/>
                <w:color w:val="222222"/>
                <w:kern w:val="0"/>
                <w:sz w:val="24"/>
                <w:szCs w:val="24"/>
                <w14:ligatures w14:val="none"/>
              </w:rPr>
              <w:t>(9), pp.412-420.</w:t>
            </w:r>
          </w:p>
        </w:tc>
      </w:tr>
    </w:tbl>
    <w:p w14:paraId="5824B66F"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Silva, M.S.A.E. and Lima, C.G.D.S., 2018. The role of information systems in human resource management. </w:t>
      </w:r>
      <w:r w:rsidRPr="00B5757F">
        <w:rPr>
          <w:rFonts w:ascii="Times New Roman" w:hAnsi="Times New Roman" w:cs="Times New Roman"/>
          <w:i/>
          <w:iCs/>
          <w:color w:val="222222"/>
          <w:sz w:val="24"/>
          <w:szCs w:val="24"/>
          <w:shd w:val="clear" w:color="auto" w:fill="FFFFFF"/>
        </w:rPr>
        <w:t>Management of Information Systems</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16</w:t>
      </w:r>
      <w:r w:rsidRPr="00B5757F">
        <w:rPr>
          <w:rFonts w:ascii="Times New Roman" w:hAnsi="Times New Roman" w:cs="Times New Roman"/>
          <w:color w:val="222222"/>
          <w:sz w:val="24"/>
          <w:szCs w:val="24"/>
          <w:shd w:val="clear" w:color="auto" w:fill="FFFFFF"/>
        </w:rPr>
        <w:t>, pp.113-126.</w:t>
      </w:r>
    </w:p>
    <w:p w14:paraId="13779BE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Saha, N., Gregar, A. and Sáha, P., 2017. Organizational agility and HRM strategy: Do they really enhance firms’ competitiveness?. </w:t>
      </w:r>
      <w:r w:rsidRPr="00B5757F">
        <w:rPr>
          <w:rFonts w:ascii="Times New Roman" w:hAnsi="Times New Roman" w:cs="Times New Roman"/>
          <w:i/>
          <w:iCs/>
          <w:color w:val="222222"/>
          <w:sz w:val="24"/>
          <w:szCs w:val="24"/>
          <w:shd w:val="clear" w:color="auto" w:fill="FFFFFF"/>
        </w:rPr>
        <w:t>International Journal of Organizational Leadership</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6</w:t>
      </w:r>
      <w:r w:rsidRPr="00B5757F">
        <w:rPr>
          <w:rFonts w:ascii="Times New Roman" w:hAnsi="Times New Roman" w:cs="Times New Roman"/>
          <w:color w:val="222222"/>
          <w:sz w:val="24"/>
          <w:szCs w:val="24"/>
          <w:shd w:val="clear" w:color="auto" w:fill="FFFFFF"/>
        </w:rPr>
        <w:t>, pp.323-334.</w:t>
      </w:r>
    </w:p>
    <w:p w14:paraId="6EA42BF4"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rPr>
      </w:pPr>
      <w:r w:rsidRPr="00B5757F">
        <w:rPr>
          <w:rFonts w:ascii="Times New Roman" w:hAnsi="Times New Roman" w:cs="Times New Roman"/>
          <w:color w:val="222222"/>
          <w:sz w:val="24"/>
          <w:szCs w:val="24"/>
          <w:shd w:val="clear" w:color="auto" w:fill="FFFFFF"/>
        </w:rPr>
        <w:t>Sabuhari, R., Sudiro, A., Irawanto, D. and Rahayu, M., 2020. The effects of human resource flexibility, employee competency, organizational culture adaptation and job satisfaction on employee performance. </w:t>
      </w:r>
      <w:r w:rsidRPr="00B5757F">
        <w:rPr>
          <w:rFonts w:ascii="Times New Roman" w:hAnsi="Times New Roman" w:cs="Times New Roman"/>
          <w:i/>
          <w:iCs/>
          <w:color w:val="222222"/>
          <w:sz w:val="24"/>
          <w:szCs w:val="24"/>
          <w:shd w:val="clear" w:color="auto" w:fill="FFFFFF"/>
        </w:rPr>
        <w:t>Management Science Letters</w:t>
      </w:r>
      <w:r w:rsidRPr="00B5757F">
        <w:rPr>
          <w:rFonts w:ascii="Times New Roman" w:hAnsi="Times New Roman" w:cs="Times New Roman"/>
          <w:color w:val="222222"/>
          <w:sz w:val="24"/>
          <w:szCs w:val="24"/>
          <w:shd w:val="clear" w:color="auto" w:fill="FFFFFF"/>
        </w:rPr>
        <w:t>, </w:t>
      </w:r>
      <w:r w:rsidRPr="00B5757F">
        <w:rPr>
          <w:rFonts w:ascii="Times New Roman" w:hAnsi="Times New Roman" w:cs="Times New Roman"/>
          <w:i/>
          <w:iCs/>
          <w:color w:val="222222"/>
          <w:sz w:val="24"/>
          <w:szCs w:val="24"/>
          <w:shd w:val="clear" w:color="auto" w:fill="FFFFFF"/>
        </w:rPr>
        <w:t>10</w:t>
      </w:r>
      <w:r w:rsidRPr="00B5757F">
        <w:rPr>
          <w:rFonts w:ascii="Times New Roman" w:hAnsi="Times New Roman" w:cs="Times New Roman"/>
          <w:color w:val="222222"/>
          <w:sz w:val="24"/>
          <w:szCs w:val="24"/>
          <w:shd w:val="clear" w:color="auto" w:fill="FFFFFF"/>
        </w:rPr>
        <w:t>(8), pp.1775-1786.</w:t>
      </w:r>
    </w:p>
    <w:p w14:paraId="2B371D56" w14:textId="77777777" w:rsidR="001152C1" w:rsidRPr="00B5757F" w:rsidRDefault="001152C1" w:rsidP="001152C1">
      <w:pPr>
        <w:spacing w:line="360" w:lineRule="auto"/>
        <w:jc w:val="both"/>
        <w:rPr>
          <w:rFonts w:ascii="Times New Roman" w:hAnsi="Times New Roman" w:cs="Times New Roman"/>
          <w:color w:val="222222"/>
          <w:sz w:val="24"/>
          <w:szCs w:val="24"/>
          <w:shd w:val="clear" w:color="auto" w:fill="FFFFFF"/>
          <w:lang w:val="en-US"/>
        </w:rPr>
      </w:pPr>
      <w:r w:rsidRPr="00B5757F">
        <w:rPr>
          <w:rFonts w:ascii="Times New Roman" w:hAnsi="Times New Roman" w:cs="Times New Roman"/>
          <w:color w:val="222222"/>
          <w:sz w:val="24"/>
          <w:szCs w:val="24"/>
          <w:shd w:val="clear" w:color="auto" w:fill="FFFFFF"/>
        </w:rPr>
        <w:t>Liang, F. and Cao, L., 2021. Linking employee resilience with organizational resilience: The roles of coping mechanism and managerial resilience. </w:t>
      </w:r>
      <w:r w:rsidRPr="00B5757F">
        <w:rPr>
          <w:rFonts w:ascii="Times New Roman" w:hAnsi="Times New Roman" w:cs="Times New Roman"/>
          <w:i/>
          <w:iCs/>
          <w:color w:val="222222"/>
          <w:sz w:val="24"/>
          <w:szCs w:val="24"/>
          <w:shd w:val="clear" w:color="auto" w:fill="FFFFFF"/>
        </w:rPr>
        <w:t>Psychology Research and Behavior Management</w:t>
      </w:r>
      <w:r w:rsidRPr="00B5757F">
        <w:rPr>
          <w:rFonts w:ascii="Times New Roman" w:hAnsi="Times New Roman" w:cs="Times New Roman"/>
          <w:color w:val="222222"/>
          <w:sz w:val="24"/>
          <w:szCs w:val="24"/>
          <w:shd w:val="clear" w:color="auto" w:fill="FFFFFF"/>
        </w:rPr>
        <w:t>, pp.1063-1075.</w:t>
      </w:r>
    </w:p>
    <w:p w14:paraId="7A3E0FEA" w14:textId="77777777" w:rsidR="00B55796" w:rsidRDefault="00B55796" w:rsidP="001152C1">
      <w:pPr>
        <w:spacing w:line="360" w:lineRule="auto"/>
        <w:jc w:val="both"/>
      </w:pPr>
    </w:p>
    <w:sectPr w:rsidR="00B557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27896"/>
    <w:multiLevelType w:val="hybridMultilevel"/>
    <w:tmpl w:val="A10A820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3DC29ED"/>
    <w:multiLevelType w:val="multilevel"/>
    <w:tmpl w:val="FFFFFFFF"/>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E05050A"/>
    <w:multiLevelType w:val="multilevel"/>
    <w:tmpl w:val="EFBCAE2E"/>
    <w:lvl w:ilvl="0">
      <w:start w:val="1"/>
      <w:numFmt w:val="decimal"/>
      <w:lvlText w:val="%1."/>
      <w:lvlJc w:val="left"/>
      <w:pPr>
        <w:ind w:left="360" w:hanging="360"/>
      </w:pPr>
      <w:rPr>
        <w:rFonts w:hint="default"/>
        <w:b/>
      </w:rPr>
    </w:lvl>
    <w:lvl w:ilvl="1">
      <w:start w:va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num w:numId="1" w16cid:durableId="2087454387">
    <w:abstractNumId w:val="2"/>
  </w:num>
  <w:num w:numId="2" w16cid:durableId="1726834239">
    <w:abstractNumId w:val="0"/>
  </w:num>
  <w:num w:numId="3" w16cid:durableId="7068352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2C1"/>
    <w:rsid w:val="00032EF9"/>
    <w:rsid w:val="000E027A"/>
    <w:rsid w:val="001152C1"/>
    <w:rsid w:val="00123084"/>
    <w:rsid w:val="0019387C"/>
    <w:rsid w:val="001A3670"/>
    <w:rsid w:val="001E2859"/>
    <w:rsid w:val="002136E7"/>
    <w:rsid w:val="00281A2E"/>
    <w:rsid w:val="002A3F01"/>
    <w:rsid w:val="002E4002"/>
    <w:rsid w:val="002F188D"/>
    <w:rsid w:val="003D6765"/>
    <w:rsid w:val="004C1EFE"/>
    <w:rsid w:val="00561667"/>
    <w:rsid w:val="005771A5"/>
    <w:rsid w:val="005D711A"/>
    <w:rsid w:val="0061250C"/>
    <w:rsid w:val="00651F91"/>
    <w:rsid w:val="006748D4"/>
    <w:rsid w:val="006A67D1"/>
    <w:rsid w:val="006B401E"/>
    <w:rsid w:val="006E4DF5"/>
    <w:rsid w:val="00756902"/>
    <w:rsid w:val="007A4A0F"/>
    <w:rsid w:val="007A7220"/>
    <w:rsid w:val="007C2859"/>
    <w:rsid w:val="00835B71"/>
    <w:rsid w:val="008E0E8C"/>
    <w:rsid w:val="008E6AEB"/>
    <w:rsid w:val="009731A2"/>
    <w:rsid w:val="00B12568"/>
    <w:rsid w:val="00B55796"/>
    <w:rsid w:val="00B62FDA"/>
    <w:rsid w:val="00B668D9"/>
    <w:rsid w:val="00B67BF6"/>
    <w:rsid w:val="00B71799"/>
    <w:rsid w:val="00BA296B"/>
    <w:rsid w:val="00CA7226"/>
    <w:rsid w:val="00CC73AB"/>
    <w:rsid w:val="00DD1C37"/>
    <w:rsid w:val="00E04172"/>
    <w:rsid w:val="00E42B1B"/>
    <w:rsid w:val="00E85059"/>
    <w:rsid w:val="00F02B92"/>
    <w:rsid w:val="00F117FA"/>
    <w:rsid w:val="00F94B8E"/>
    <w:rsid w:val="00FD4E95"/>
    <w:rsid w:val="00FE3B0D"/>
    <w:rsid w:val="00FE67CE"/>
    <w:rsid w:val="00FF6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F886A"/>
  <w15:chartTrackingRefBased/>
  <w15:docId w15:val="{1AD44C89-2C51-4CDE-A3CC-A81E1D335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C1"/>
    <w:pPr>
      <w:spacing w:line="259" w:lineRule="auto"/>
      <w:jc w:val="left"/>
    </w:pPr>
  </w:style>
  <w:style w:type="paragraph" w:styleId="Heading2">
    <w:name w:val="heading 2"/>
    <w:basedOn w:val="Normal"/>
    <w:link w:val="Heading2Char"/>
    <w:uiPriority w:val="9"/>
    <w:qFormat/>
    <w:rsid w:val="001152C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152C1"/>
    <w:rPr>
      <w:rFonts w:ascii="Times New Roman" w:eastAsia="Times New Roman" w:hAnsi="Times New Roman" w:cs="Times New Roman"/>
      <w:b/>
      <w:bCs/>
      <w:kern w:val="0"/>
      <w:sz w:val="36"/>
      <w:szCs w:val="36"/>
      <w14:ligatures w14:val="none"/>
    </w:rPr>
  </w:style>
  <w:style w:type="paragraph" w:styleId="ListParagraph">
    <w:name w:val="List Paragraph"/>
    <w:basedOn w:val="Normal"/>
    <w:uiPriority w:val="34"/>
    <w:qFormat/>
    <w:rsid w:val="00651F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6965</Words>
  <Characters>39707</Characters>
  <Application>Microsoft Office Word</Application>
  <DocSecurity>0</DocSecurity>
  <Lines>330</Lines>
  <Paragraphs>93</Paragraphs>
  <ScaleCrop>false</ScaleCrop>
  <Company/>
  <LinksUpToDate>false</LinksUpToDate>
  <CharactersWithSpaces>46579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hareem sohaib</dc:creator>
  <cp:keywords/>
  <dc:description/>
  <cp:lastModifiedBy>447436981571</cp:lastModifiedBy>
  <cp:revision>2</cp:revision>
  <dcterms:created xsi:type="dcterms:W3CDTF">2023-08-31T21:57:00Z</dcterms:created>
  <dcterms:modified xsi:type="dcterms:W3CDTF">2023-08-31T21:57:00Z</dcterms:modified>
</cp:coreProperties>
</file>