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AEFA0" w14:textId="124779DC" w:rsidR="00CB6F33" w:rsidRDefault="00CB6F33" w:rsidP="00CB6F33">
      <w:pPr>
        <w:jc w:val="both"/>
        <w:rPr>
          <w:rFonts w:ascii="Times New Roman" w:hAnsi="Times New Roman" w:cs="Times New Roman"/>
        </w:rPr>
      </w:pPr>
      <w:r w:rsidRPr="00CB6F33">
        <w:rPr>
          <w:rFonts w:ascii="Times New Roman" w:hAnsi="Times New Roman" w:cs="Times New Roman"/>
        </w:rPr>
        <w:t>Rachel Owen- 1801974</w:t>
      </w:r>
    </w:p>
    <w:p w14:paraId="5B1AB141" w14:textId="77777777" w:rsidR="00CB6F33" w:rsidRPr="00CB6F33" w:rsidRDefault="00CB6F33" w:rsidP="00CB6F33">
      <w:pPr>
        <w:jc w:val="both"/>
        <w:rPr>
          <w:rFonts w:ascii="Times New Roman" w:hAnsi="Times New Roman" w:cs="Times New Roman"/>
        </w:rPr>
      </w:pPr>
    </w:p>
    <w:p w14:paraId="4275F0EA" w14:textId="670D6224" w:rsidR="00CB6F33" w:rsidRDefault="00CB6F33" w:rsidP="00CB6F33">
      <w:pPr>
        <w:jc w:val="both"/>
        <w:rPr>
          <w:rFonts w:ascii="Times New Roman" w:hAnsi="Times New Roman" w:cs="Times New Roman"/>
          <w:u w:val="single"/>
        </w:rPr>
      </w:pPr>
      <w:r w:rsidRPr="00CB6F33">
        <w:rPr>
          <w:rFonts w:ascii="Times New Roman" w:hAnsi="Times New Roman" w:cs="Times New Roman"/>
          <w:u w:val="single"/>
        </w:rPr>
        <w:t>Commentary on the description of the miracle of William Cragh</w:t>
      </w:r>
    </w:p>
    <w:p w14:paraId="38D998EE" w14:textId="0C65CB7A" w:rsidR="00CB6F33" w:rsidRDefault="00CB6F33" w:rsidP="00CB6F33">
      <w:pPr>
        <w:jc w:val="both"/>
        <w:rPr>
          <w:rFonts w:ascii="Times New Roman" w:hAnsi="Times New Roman" w:cs="Times New Roman"/>
          <w:u w:val="single"/>
        </w:rPr>
      </w:pPr>
    </w:p>
    <w:p w14:paraId="3382361C" w14:textId="1324B86E" w:rsidR="00B17E10" w:rsidRDefault="00CE2335" w:rsidP="00CB6F33">
      <w:pPr>
        <w:jc w:val="both"/>
        <w:rPr>
          <w:rFonts w:ascii="Times New Roman" w:hAnsi="Times New Roman" w:cs="Times New Roman"/>
        </w:rPr>
      </w:pPr>
      <w:r>
        <w:rPr>
          <w:rFonts w:ascii="Times New Roman" w:hAnsi="Times New Roman" w:cs="Times New Roman"/>
        </w:rPr>
        <w:t>This commentary</w:t>
      </w:r>
      <w:r w:rsidR="007673B9">
        <w:rPr>
          <w:rFonts w:ascii="Times New Roman" w:hAnsi="Times New Roman" w:cs="Times New Roman"/>
        </w:rPr>
        <w:t xml:space="preserve"> </w:t>
      </w:r>
      <w:r>
        <w:rPr>
          <w:rFonts w:ascii="Times New Roman" w:hAnsi="Times New Roman" w:cs="Times New Roman"/>
        </w:rPr>
        <w:t>focus</w:t>
      </w:r>
      <w:r w:rsidR="007673B9">
        <w:rPr>
          <w:rFonts w:ascii="Times New Roman" w:hAnsi="Times New Roman" w:cs="Times New Roman"/>
        </w:rPr>
        <w:t>es</w:t>
      </w:r>
      <w:r>
        <w:rPr>
          <w:rFonts w:ascii="Times New Roman" w:hAnsi="Times New Roman" w:cs="Times New Roman"/>
        </w:rPr>
        <w:t xml:space="preserve"> on the translation of the miracle of William Cragh. </w:t>
      </w:r>
      <w:r w:rsidR="007363F7">
        <w:rPr>
          <w:rFonts w:ascii="Times New Roman" w:hAnsi="Times New Roman" w:cs="Times New Roman"/>
        </w:rPr>
        <w:t>The revival of Cragh was</w:t>
      </w:r>
      <w:r w:rsidR="00A345AF">
        <w:rPr>
          <w:rFonts w:ascii="Times New Roman" w:hAnsi="Times New Roman" w:cs="Times New Roman"/>
        </w:rPr>
        <w:t xml:space="preserve"> one of </w:t>
      </w:r>
      <w:r w:rsidR="007673B9">
        <w:rPr>
          <w:rFonts w:ascii="Times New Roman" w:hAnsi="Times New Roman" w:cs="Times New Roman"/>
        </w:rPr>
        <w:t>40</w:t>
      </w:r>
      <w:r w:rsidR="00A345AF">
        <w:rPr>
          <w:rFonts w:ascii="Times New Roman" w:hAnsi="Times New Roman" w:cs="Times New Roman"/>
        </w:rPr>
        <w:t xml:space="preserve"> resurrection miracles performed by Thomas de Cantilupe, the former bishop of Hereford. This miracle required</w:t>
      </w:r>
      <w:r w:rsidR="007363F7">
        <w:rPr>
          <w:rFonts w:ascii="Times New Roman" w:hAnsi="Times New Roman" w:cs="Times New Roman"/>
        </w:rPr>
        <w:t xml:space="preserve"> validation as part of the 1307 investigation</w:t>
      </w:r>
      <w:r w:rsidR="00A345AF">
        <w:rPr>
          <w:rFonts w:ascii="Times New Roman" w:hAnsi="Times New Roman" w:cs="Times New Roman"/>
        </w:rPr>
        <w:t xml:space="preserve"> ordered by Pope Clement V</w:t>
      </w:r>
      <w:r w:rsidR="007363F7">
        <w:rPr>
          <w:rFonts w:ascii="Times New Roman" w:hAnsi="Times New Roman" w:cs="Times New Roman"/>
        </w:rPr>
        <w:t xml:space="preserve"> into the</w:t>
      </w:r>
      <w:r w:rsidR="00A345AF">
        <w:rPr>
          <w:rFonts w:ascii="Times New Roman" w:hAnsi="Times New Roman" w:cs="Times New Roman"/>
        </w:rPr>
        <w:t xml:space="preserve"> canonization of the </w:t>
      </w:r>
      <w:r w:rsidR="007363F7">
        <w:rPr>
          <w:rFonts w:ascii="Times New Roman" w:hAnsi="Times New Roman" w:cs="Times New Roman"/>
        </w:rPr>
        <w:t>sainthood of Cantilupe.</w:t>
      </w:r>
      <w:r w:rsidR="007363F7">
        <w:rPr>
          <w:rStyle w:val="FootnoteReference"/>
          <w:rFonts w:ascii="Times New Roman" w:hAnsi="Times New Roman" w:cs="Times New Roman"/>
        </w:rPr>
        <w:footnoteReference w:id="1"/>
      </w:r>
      <w:r w:rsidR="007363F7">
        <w:rPr>
          <w:rFonts w:ascii="Times New Roman" w:hAnsi="Times New Roman" w:cs="Times New Roman"/>
        </w:rPr>
        <w:t xml:space="preserve"> </w:t>
      </w:r>
      <w:r>
        <w:rPr>
          <w:rFonts w:ascii="Times New Roman" w:hAnsi="Times New Roman" w:cs="Times New Roman"/>
        </w:rPr>
        <w:t>Cragh</w:t>
      </w:r>
      <w:r w:rsidR="007673B9">
        <w:rPr>
          <w:rFonts w:ascii="Times New Roman" w:hAnsi="Times New Roman" w:cs="Times New Roman"/>
        </w:rPr>
        <w:t xml:space="preserve"> </w:t>
      </w:r>
      <w:r>
        <w:rPr>
          <w:rFonts w:ascii="Times New Roman" w:hAnsi="Times New Roman" w:cs="Times New Roman"/>
        </w:rPr>
        <w:t xml:space="preserve">was a figure </w:t>
      </w:r>
      <w:r w:rsidR="00B654D7">
        <w:rPr>
          <w:rFonts w:ascii="Times New Roman" w:hAnsi="Times New Roman" w:cs="Times New Roman"/>
        </w:rPr>
        <w:t>of rebellion</w:t>
      </w:r>
      <w:r>
        <w:rPr>
          <w:rFonts w:ascii="Times New Roman" w:hAnsi="Times New Roman" w:cs="Times New Roman"/>
        </w:rPr>
        <w:t xml:space="preserve"> against Edward I in medieval Swansea. Cragh was found guilty of contributing to the deaths of </w:t>
      </w:r>
      <w:r w:rsidR="00AC5CA2">
        <w:rPr>
          <w:rFonts w:ascii="Times New Roman" w:hAnsi="Times New Roman" w:cs="Times New Roman"/>
        </w:rPr>
        <w:t>13</w:t>
      </w:r>
      <w:r>
        <w:rPr>
          <w:rFonts w:ascii="Times New Roman" w:hAnsi="Times New Roman" w:cs="Times New Roman"/>
        </w:rPr>
        <w:t xml:space="preserve"> men during</w:t>
      </w:r>
      <w:r w:rsidR="00D572F1">
        <w:rPr>
          <w:rFonts w:ascii="Times New Roman" w:hAnsi="Times New Roman" w:cs="Times New Roman"/>
        </w:rPr>
        <w:t xml:space="preserve"> the</w:t>
      </w:r>
      <w:r>
        <w:rPr>
          <w:rFonts w:ascii="Times New Roman" w:hAnsi="Times New Roman" w:cs="Times New Roman"/>
        </w:rPr>
        <w:t xml:space="preserve"> </w:t>
      </w:r>
      <w:r w:rsidR="00D572F1">
        <w:rPr>
          <w:rFonts w:ascii="Times New Roman" w:hAnsi="Times New Roman" w:cs="Times New Roman"/>
        </w:rPr>
        <w:t>burning</w:t>
      </w:r>
      <w:r>
        <w:rPr>
          <w:rFonts w:ascii="Times New Roman" w:hAnsi="Times New Roman" w:cs="Times New Roman"/>
        </w:rPr>
        <w:t xml:space="preserve"> o</w:t>
      </w:r>
      <w:r w:rsidR="00D572F1">
        <w:rPr>
          <w:rFonts w:ascii="Times New Roman" w:hAnsi="Times New Roman" w:cs="Times New Roman"/>
        </w:rPr>
        <w:t>f</w:t>
      </w:r>
      <w:r>
        <w:rPr>
          <w:rFonts w:ascii="Times New Roman" w:hAnsi="Times New Roman" w:cs="Times New Roman"/>
        </w:rPr>
        <w:t xml:space="preserve"> Oystermouth Castle</w:t>
      </w:r>
      <w:r w:rsidR="00D572F1">
        <w:rPr>
          <w:rFonts w:ascii="Times New Roman" w:hAnsi="Times New Roman" w:cs="Times New Roman"/>
        </w:rPr>
        <w:t xml:space="preserve">. The </w:t>
      </w:r>
      <w:r>
        <w:rPr>
          <w:rFonts w:ascii="Times New Roman" w:hAnsi="Times New Roman" w:cs="Times New Roman"/>
        </w:rPr>
        <w:t xml:space="preserve">sentence </w:t>
      </w:r>
      <w:r w:rsidR="00D572F1">
        <w:rPr>
          <w:rFonts w:ascii="Times New Roman" w:hAnsi="Times New Roman" w:cs="Times New Roman"/>
        </w:rPr>
        <w:t>of</w:t>
      </w:r>
      <w:r>
        <w:rPr>
          <w:rFonts w:ascii="Times New Roman" w:hAnsi="Times New Roman" w:cs="Times New Roman"/>
        </w:rPr>
        <w:t xml:space="preserve"> death by hanging</w:t>
      </w:r>
      <w:r w:rsidR="00D572F1">
        <w:rPr>
          <w:rFonts w:ascii="Times New Roman" w:hAnsi="Times New Roman" w:cs="Times New Roman"/>
        </w:rPr>
        <w:t xml:space="preserve"> was served by the Lord of Gower, William de Briouze</w:t>
      </w:r>
      <w:r>
        <w:rPr>
          <w:rFonts w:ascii="Times New Roman" w:hAnsi="Times New Roman" w:cs="Times New Roman"/>
        </w:rPr>
        <w:t>.</w:t>
      </w:r>
      <w:r w:rsidR="00770585">
        <w:rPr>
          <w:rStyle w:val="FootnoteReference"/>
          <w:rFonts w:ascii="Times New Roman" w:hAnsi="Times New Roman" w:cs="Times New Roman"/>
        </w:rPr>
        <w:footnoteReference w:id="2"/>
      </w:r>
      <w:r>
        <w:rPr>
          <w:rFonts w:ascii="Times New Roman" w:hAnsi="Times New Roman" w:cs="Times New Roman"/>
        </w:rPr>
        <w:t xml:space="preserve"> </w:t>
      </w:r>
    </w:p>
    <w:p w14:paraId="2B6211B9" w14:textId="284C399D" w:rsidR="00C347B4" w:rsidRDefault="00C347B4" w:rsidP="00CB6F33">
      <w:pPr>
        <w:jc w:val="both"/>
        <w:rPr>
          <w:rFonts w:ascii="Times New Roman" w:hAnsi="Times New Roman" w:cs="Times New Roman"/>
        </w:rPr>
      </w:pPr>
      <w:r>
        <w:rPr>
          <w:rFonts w:ascii="Times New Roman" w:hAnsi="Times New Roman" w:cs="Times New Roman"/>
        </w:rPr>
        <w:t>The extract begins with the members of the Briouze family and other</w:t>
      </w:r>
      <w:r w:rsidR="00FB7BA0">
        <w:rPr>
          <w:rFonts w:ascii="Times New Roman" w:hAnsi="Times New Roman" w:cs="Times New Roman"/>
        </w:rPr>
        <w:t xml:space="preserve"> </w:t>
      </w:r>
      <w:r w:rsidR="00454C81">
        <w:rPr>
          <w:rFonts w:ascii="Times New Roman" w:hAnsi="Times New Roman" w:cs="Times New Roman"/>
        </w:rPr>
        <w:t>residents</w:t>
      </w:r>
      <w:r w:rsidR="00FB7BA0">
        <w:rPr>
          <w:rFonts w:ascii="Times New Roman" w:hAnsi="Times New Roman" w:cs="Times New Roman"/>
        </w:rPr>
        <w:t xml:space="preserve"> of Gower</w:t>
      </w:r>
      <w:r>
        <w:rPr>
          <w:rFonts w:ascii="Times New Roman" w:hAnsi="Times New Roman" w:cs="Times New Roman"/>
        </w:rPr>
        <w:t xml:space="preserve"> making their </w:t>
      </w:r>
      <w:r w:rsidR="00670E06">
        <w:rPr>
          <w:rFonts w:ascii="Times New Roman" w:hAnsi="Times New Roman" w:cs="Times New Roman"/>
        </w:rPr>
        <w:t>pilgrimage</w:t>
      </w:r>
      <w:r>
        <w:rPr>
          <w:rFonts w:ascii="Times New Roman" w:hAnsi="Times New Roman" w:cs="Times New Roman"/>
        </w:rPr>
        <w:t xml:space="preserve"> to the tomb of Cantilupe in Hereford cathedral to pay respects to the </w:t>
      </w:r>
      <w:r w:rsidR="00B654D7">
        <w:rPr>
          <w:rFonts w:ascii="Times New Roman" w:hAnsi="Times New Roman" w:cs="Times New Roman"/>
        </w:rPr>
        <w:t>saint they believed to have blessed their land with a divine miracle</w:t>
      </w:r>
      <w:r w:rsidR="00B654D7">
        <w:rPr>
          <w:rFonts w:ascii="Times New Roman" w:hAnsi="Times New Roman" w:cs="Times New Roman"/>
        </w:rPr>
        <w:t xml:space="preserve">. </w:t>
      </w:r>
      <w:r w:rsidR="00FB7BA0">
        <w:rPr>
          <w:rFonts w:ascii="Times New Roman" w:hAnsi="Times New Roman" w:cs="Times New Roman"/>
        </w:rPr>
        <w:t xml:space="preserve">This noble family and Cragh </w:t>
      </w:r>
      <w:r w:rsidR="00B654D7">
        <w:rPr>
          <w:rFonts w:ascii="Times New Roman" w:hAnsi="Times New Roman" w:cs="Times New Roman"/>
        </w:rPr>
        <w:t xml:space="preserve">made offerings in the form of a wax model of a hanging man and Cragh’s hanging noose. </w:t>
      </w:r>
      <w:r w:rsidR="00670E06">
        <w:rPr>
          <w:rFonts w:ascii="Times New Roman" w:hAnsi="Times New Roman" w:cs="Times New Roman"/>
        </w:rPr>
        <w:t>T</w:t>
      </w:r>
      <w:r w:rsidR="00FB7BA0">
        <w:rPr>
          <w:rFonts w:ascii="Times New Roman" w:hAnsi="Times New Roman" w:cs="Times New Roman"/>
        </w:rPr>
        <w:t>he</w:t>
      </w:r>
      <w:r w:rsidR="00670E06">
        <w:rPr>
          <w:rFonts w:ascii="Times New Roman" w:hAnsi="Times New Roman" w:cs="Times New Roman"/>
        </w:rPr>
        <w:t>y informed the</w:t>
      </w:r>
      <w:r w:rsidR="00FB7BA0">
        <w:rPr>
          <w:rFonts w:ascii="Times New Roman" w:hAnsi="Times New Roman" w:cs="Times New Roman"/>
        </w:rPr>
        <w:t xml:space="preserve"> canons of the cathedral on the events that had taken place in the land</w:t>
      </w:r>
      <w:r w:rsidR="002D1F17">
        <w:rPr>
          <w:rFonts w:ascii="Times New Roman" w:hAnsi="Times New Roman" w:cs="Times New Roman"/>
        </w:rPr>
        <w:t xml:space="preserve">, </w:t>
      </w:r>
      <w:r w:rsidR="00670E06">
        <w:rPr>
          <w:rFonts w:ascii="Times New Roman" w:hAnsi="Times New Roman" w:cs="Times New Roman"/>
        </w:rPr>
        <w:t>offer</w:t>
      </w:r>
      <w:r w:rsidR="002D1F17">
        <w:rPr>
          <w:rFonts w:ascii="Times New Roman" w:hAnsi="Times New Roman" w:cs="Times New Roman"/>
        </w:rPr>
        <w:t>ing</w:t>
      </w:r>
      <w:r w:rsidR="00670E06">
        <w:rPr>
          <w:rFonts w:ascii="Times New Roman" w:hAnsi="Times New Roman" w:cs="Times New Roman"/>
        </w:rPr>
        <w:t xml:space="preserve"> their </w:t>
      </w:r>
      <w:r w:rsidR="00454C81">
        <w:rPr>
          <w:rFonts w:ascii="Times New Roman" w:hAnsi="Times New Roman" w:cs="Times New Roman"/>
        </w:rPr>
        <w:t>9</w:t>
      </w:r>
      <w:r w:rsidR="00670E06">
        <w:rPr>
          <w:rFonts w:ascii="Times New Roman" w:hAnsi="Times New Roman" w:cs="Times New Roman"/>
        </w:rPr>
        <w:t xml:space="preserve"> respectable witnesses as further proof for documentation</w:t>
      </w:r>
      <w:r w:rsidR="00FB7BA0">
        <w:rPr>
          <w:rFonts w:ascii="Times New Roman" w:hAnsi="Times New Roman" w:cs="Times New Roman"/>
        </w:rPr>
        <w:t>.</w:t>
      </w:r>
      <w:r w:rsidR="00FB7BA0">
        <w:rPr>
          <w:rStyle w:val="FootnoteReference"/>
          <w:rFonts w:ascii="Times New Roman" w:hAnsi="Times New Roman" w:cs="Times New Roman"/>
        </w:rPr>
        <w:footnoteReference w:id="3"/>
      </w:r>
      <w:r w:rsidR="00FB7BA0">
        <w:rPr>
          <w:rFonts w:ascii="Times New Roman" w:hAnsi="Times New Roman" w:cs="Times New Roman"/>
        </w:rPr>
        <w:t xml:space="preserve"> </w:t>
      </w:r>
    </w:p>
    <w:p w14:paraId="667417C2" w14:textId="7BD22295" w:rsidR="001C4171" w:rsidRPr="001C4171" w:rsidRDefault="003D0E93" w:rsidP="001C4171">
      <w:pPr>
        <w:jc w:val="both"/>
        <w:rPr>
          <w:rFonts w:ascii="Times New Roman" w:hAnsi="Times New Roman" w:cs="Times New Roman"/>
        </w:rPr>
      </w:pPr>
      <w:r>
        <w:rPr>
          <w:rFonts w:ascii="Times New Roman" w:hAnsi="Times New Roman" w:cs="Times New Roman"/>
        </w:rPr>
        <w:t>According to the source, u</w:t>
      </w:r>
      <w:r w:rsidR="001C4171">
        <w:rPr>
          <w:rFonts w:ascii="Times New Roman" w:hAnsi="Times New Roman" w:cs="Times New Roman"/>
        </w:rPr>
        <w:t>pon hearing his sentence, Cragh began praying to ‘the servant of God’</w:t>
      </w:r>
      <w:r w:rsidR="00F93E11">
        <w:rPr>
          <w:rFonts w:ascii="Times New Roman" w:hAnsi="Times New Roman" w:cs="Times New Roman"/>
        </w:rPr>
        <w:t>,</w:t>
      </w:r>
      <w:r w:rsidR="001C4171">
        <w:rPr>
          <w:rStyle w:val="FootnoteReference"/>
          <w:rFonts w:ascii="Times New Roman" w:hAnsi="Times New Roman" w:cs="Times New Roman"/>
        </w:rPr>
        <w:footnoteReference w:id="4"/>
      </w:r>
      <w:r w:rsidR="00F93E11">
        <w:rPr>
          <w:rFonts w:ascii="Times New Roman" w:hAnsi="Times New Roman" w:cs="Times New Roman"/>
        </w:rPr>
        <w:t xml:space="preserve"> presumed to be Cantilupe, that he would not die and </w:t>
      </w:r>
      <w:r w:rsidR="006206DA">
        <w:rPr>
          <w:rFonts w:ascii="Times New Roman" w:hAnsi="Times New Roman" w:cs="Times New Roman"/>
        </w:rPr>
        <w:t xml:space="preserve">be granted an opportunity to repent and better himself in the future. </w:t>
      </w:r>
      <w:r w:rsidR="002D1F17">
        <w:rPr>
          <w:rFonts w:ascii="Times New Roman" w:hAnsi="Times New Roman" w:cs="Times New Roman"/>
        </w:rPr>
        <w:t xml:space="preserve">This exchange of prayer was overheard and testified to by </w:t>
      </w:r>
      <w:r>
        <w:rPr>
          <w:rFonts w:ascii="Times New Roman" w:hAnsi="Times New Roman" w:cs="Times New Roman"/>
        </w:rPr>
        <w:t>C</w:t>
      </w:r>
      <w:r w:rsidR="006206DA">
        <w:rPr>
          <w:rFonts w:ascii="Times New Roman" w:hAnsi="Times New Roman" w:cs="Times New Roman"/>
        </w:rPr>
        <w:t>haplain</w:t>
      </w:r>
      <w:r>
        <w:rPr>
          <w:rFonts w:ascii="Times New Roman" w:hAnsi="Times New Roman" w:cs="Times New Roman"/>
        </w:rPr>
        <w:t xml:space="preserve"> William of Codineston as he walked to the gallows</w:t>
      </w:r>
      <w:r w:rsidR="002D1F17">
        <w:rPr>
          <w:rFonts w:ascii="Times New Roman" w:hAnsi="Times New Roman" w:cs="Times New Roman"/>
        </w:rPr>
        <w:t xml:space="preserve"> with Cragh</w:t>
      </w:r>
      <w:r w:rsidR="006206DA">
        <w:rPr>
          <w:rFonts w:ascii="Times New Roman" w:hAnsi="Times New Roman" w:cs="Times New Roman"/>
        </w:rPr>
        <w:t>. He not only prayed to Cantilupe but offered a bent silver penny, which was a symbol of a vow made to a saint</w:t>
      </w:r>
      <w:r w:rsidR="00454C81">
        <w:rPr>
          <w:rFonts w:ascii="Times New Roman" w:hAnsi="Times New Roman" w:cs="Times New Roman"/>
        </w:rPr>
        <w:t>,</w:t>
      </w:r>
      <w:r w:rsidR="006206DA">
        <w:rPr>
          <w:rFonts w:ascii="Times New Roman" w:hAnsi="Times New Roman" w:cs="Times New Roman"/>
        </w:rPr>
        <w:t xml:space="preserve"> entrusting </w:t>
      </w:r>
      <w:r w:rsidR="00136AED">
        <w:rPr>
          <w:rFonts w:ascii="Times New Roman" w:hAnsi="Times New Roman" w:cs="Times New Roman"/>
        </w:rPr>
        <w:t>devotion</w:t>
      </w:r>
      <w:r w:rsidR="006206DA">
        <w:rPr>
          <w:rFonts w:ascii="Times New Roman" w:hAnsi="Times New Roman" w:cs="Times New Roman"/>
        </w:rPr>
        <w:t>. It was also reported that the wife of William de Briouze, Mary</w:t>
      </w:r>
      <w:r w:rsidR="004430AE">
        <w:rPr>
          <w:rFonts w:ascii="Times New Roman" w:hAnsi="Times New Roman" w:cs="Times New Roman"/>
        </w:rPr>
        <w:t>,</w:t>
      </w:r>
      <w:r w:rsidR="006206DA">
        <w:rPr>
          <w:rFonts w:ascii="Times New Roman" w:hAnsi="Times New Roman" w:cs="Times New Roman"/>
        </w:rPr>
        <w:t xml:space="preserve"> had prayed to Cantilupe to resurrect Cragh</w:t>
      </w:r>
      <w:r w:rsidR="00247B92">
        <w:rPr>
          <w:rFonts w:ascii="Times New Roman" w:hAnsi="Times New Roman" w:cs="Times New Roman"/>
        </w:rPr>
        <w:t xml:space="preserve"> after hearing of his execution. She pleaded he had suffered greatly and begged both God and Cantilupe to restore his life in exchange for ensuring Cragh would visit Cantilupe’s tomb to pay thanks.</w:t>
      </w:r>
      <w:r w:rsidR="005F0289">
        <w:rPr>
          <w:rFonts w:ascii="Times New Roman" w:hAnsi="Times New Roman" w:cs="Times New Roman"/>
        </w:rPr>
        <w:t xml:space="preserve"> </w:t>
      </w:r>
      <w:r w:rsidR="00247B92">
        <w:rPr>
          <w:rFonts w:ascii="Times New Roman" w:hAnsi="Times New Roman" w:cs="Times New Roman"/>
        </w:rPr>
        <w:t>I</w:t>
      </w:r>
      <w:r w:rsidR="005F0289">
        <w:rPr>
          <w:rFonts w:ascii="Times New Roman" w:hAnsi="Times New Roman" w:cs="Times New Roman"/>
        </w:rPr>
        <w:t>n addition to</w:t>
      </w:r>
      <w:r w:rsidR="00247B92">
        <w:rPr>
          <w:rFonts w:ascii="Times New Roman" w:hAnsi="Times New Roman" w:cs="Times New Roman"/>
        </w:rPr>
        <w:t xml:space="preserve"> prayer, Mary</w:t>
      </w:r>
      <w:r w:rsidR="005F0289">
        <w:rPr>
          <w:rFonts w:ascii="Times New Roman" w:hAnsi="Times New Roman" w:cs="Times New Roman"/>
        </w:rPr>
        <w:t xml:space="preserve"> perform</w:t>
      </w:r>
      <w:r w:rsidR="00247B92">
        <w:rPr>
          <w:rFonts w:ascii="Times New Roman" w:hAnsi="Times New Roman" w:cs="Times New Roman"/>
        </w:rPr>
        <w:t>ed</w:t>
      </w:r>
      <w:r w:rsidR="005F0289">
        <w:rPr>
          <w:rFonts w:ascii="Times New Roman" w:hAnsi="Times New Roman" w:cs="Times New Roman"/>
        </w:rPr>
        <w:t xml:space="preserve"> the “measuring to the saint”. This measuring is another offering of a vow where a piece of thread </w:t>
      </w:r>
      <w:r>
        <w:rPr>
          <w:rFonts w:ascii="Times New Roman" w:hAnsi="Times New Roman" w:cs="Times New Roman"/>
        </w:rPr>
        <w:t>is</w:t>
      </w:r>
      <w:r w:rsidR="005F0289">
        <w:rPr>
          <w:rFonts w:ascii="Times New Roman" w:hAnsi="Times New Roman" w:cs="Times New Roman"/>
        </w:rPr>
        <w:t xml:space="preserve"> used to measure the length of a body. The exchange of vows rests on the saint delivering the miracle requested, usually for </w:t>
      </w:r>
      <w:r>
        <w:rPr>
          <w:rFonts w:ascii="Times New Roman" w:hAnsi="Times New Roman" w:cs="Times New Roman"/>
        </w:rPr>
        <w:t xml:space="preserve">curing </w:t>
      </w:r>
      <w:r w:rsidR="005F0289">
        <w:rPr>
          <w:rFonts w:ascii="Times New Roman" w:hAnsi="Times New Roman" w:cs="Times New Roman"/>
        </w:rPr>
        <w:t>illness, and receiving a candle the length of the thread in return.</w:t>
      </w:r>
      <w:r w:rsidR="00247B92">
        <w:rPr>
          <w:rStyle w:val="FootnoteReference"/>
          <w:rFonts w:ascii="Times New Roman" w:hAnsi="Times New Roman" w:cs="Times New Roman"/>
        </w:rPr>
        <w:footnoteReference w:id="5"/>
      </w:r>
      <w:r w:rsidR="00247B92">
        <w:rPr>
          <w:rFonts w:ascii="Times New Roman" w:hAnsi="Times New Roman" w:cs="Times New Roman"/>
        </w:rPr>
        <w:t xml:space="preserve"> This pre-existing devotion and invoking of Cantilupe is thought to be the catalyst for the miracle </w:t>
      </w:r>
      <w:r w:rsidR="00247B92">
        <w:rPr>
          <w:rFonts w:ascii="Times New Roman" w:hAnsi="Times New Roman" w:cs="Times New Roman"/>
        </w:rPr>
        <w:lastRenderedPageBreak/>
        <w:t xml:space="preserve">that occurred, however true miracles can only be delivered by God </w:t>
      </w:r>
      <w:r w:rsidR="00751CEF">
        <w:rPr>
          <w:rFonts w:ascii="Times New Roman" w:hAnsi="Times New Roman" w:cs="Times New Roman"/>
        </w:rPr>
        <w:t>and requested for sincere reasons.</w:t>
      </w:r>
      <w:r w:rsidR="00751CEF">
        <w:rPr>
          <w:rStyle w:val="FootnoteReference"/>
          <w:rFonts w:ascii="Times New Roman" w:hAnsi="Times New Roman" w:cs="Times New Roman"/>
        </w:rPr>
        <w:footnoteReference w:id="6"/>
      </w:r>
      <w:r w:rsidR="00DB1A18">
        <w:rPr>
          <w:rFonts w:ascii="Times New Roman" w:hAnsi="Times New Roman" w:cs="Times New Roman"/>
        </w:rPr>
        <w:t xml:space="preserve"> Mary pleaded that Cragh had suffered greatly for his crimes through the multiple grotesque hangings</w:t>
      </w:r>
      <w:r w:rsidR="00136AED">
        <w:rPr>
          <w:rFonts w:ascii="Times New Roman" w:hAnsi="Times New Roman" w:cs="Times New Roman"/>
        </w:rPr>
        <w:t xml:space="preserve"> he endured</w:t>
      </w:r>
      <w:r w:rsidR="00DB1A18">
        <w:rPr>
          <w:rFonts w:ascii="Times New Roman" w:hAnsi="Times New Roman" w:cs="Times New Roman"/>
        </w:rPr>
        <w:t xml:space="preserve">, this paired with Mary and Cragh’s devotion may have serviced as </w:t>
      </w:r>
      <w:r w:rsidR="00136AED">
        <w:rPr>
          <w:rFonts w:ascii="Times New Roman" w:hAnsi="Times New Roman" w:cs="Times New Roman"/>
        </w:rPr>
        <w:t xml:space="preserve">a </w:t>
      </w:r>
      <w:r w:rsidR="00DB1A18">
        <w:rPr>
          <w:rFonts w:ascii="Times New Roman" w:hAnsi="Times New Roman" w:cs="Times New Roman"/>
        </w:rPr>
        <w:t>legitimate enough reason.</w:t>
      </w:r>
    </w:p>
    <w:p w14:paraId="67591A2A" w14:textId="344CBF6A" w:rsidR="00E10202" w:rsidRDefault="00136AED" w:rsidP="00CB6F33">
      <w:pPr>
        <w:jc w:val="both"/>
        <w:rPr>
          <w:rFonts w:ascii="Times New Roman" w:hAnsi="Times New Roman" w:cs="Times New Roman"/>
        </w:rPr>
      </w:pPr>
      <w:r>
        <w:rPr>
          <w:rFonts w:ascii="Times New Roman" w:hAnsi="Times New Roman" w:cs="Times New Roman"/>
        </w:rPr>
        <w:t xml:space="preserve">The account of Cragh and his partner in crime, Trahaearn ap Hywel’s execution </w:t>
      </w:r>
      <w:r w:rsidR="004430AE">
        <w:rPr>
          <w:rFonts w:ascii="Times New Roman" w:hAnsi="Times New Roman" w:cs="Times New Roman"/>
        </w:rPr>
        <w:t xml:space="preserve">states the men were hung </w:t>
      </w:r>
      <w:r w:rsidR="00847720">
        <w:rPr>
          <w:rFonts w:ascii="Times New Roman" w:hAnsi="Times New Roman" w:cs="Times New Roman"/>
        </w:rPr>
        <w:t>3</w:t>
      </w:r>
      <w:r w:rsidR="004430AE">
        <w:rPr>
          <w:rFonts w:ascii="Times New Roman" w:hAnsi="Times New Roman" w:cs="Times New Roman"/>
        </w:rPr>
        <w:t xml:space="preserve"> times on account of the first attempt being botched by a snapping rope, and the second by a broken beam.</w:t>
      </w:r>
      <w:r w:rsidR="004430AE">
        <w:rPr>
          <w:rStyle w:val="FootnoteReference"/>
          <w:rFonts w:ascii="Times New Roman" w:hAnsi="Times New Roman" w:cs="Times New Roman"/>
        </w:rPr>
        <w:footnoteReference w:id="7"/>
      </w:r>
      <w:r w:rsidR="002D20D7">
        <w:rPr>
          <w:rFonts w:ascii="Times New Roman" w:hAnsi="Times New Roman" w:cs="Times New Roman"/>
        </w:rPr>
        <w:t xml:space="preserve"> There are hundreds of accounts of botched executions throughout history where the hangman’s noose frays, breaks or slips. The method of the short drop was likely used in this account; a ladder or wagon would be removed from beneath the person being hanged and they would die from slow strangulation. This process could be thwarted by structural failure of the gallows as experienced in this account</w:t>
      </w:r>
      <w:r w:rsidR="00ED5B99">
        <w:rPr>
          <w:rFonts w:ascii="Times New Roman" w:hAnsi="Times New Roman" w:cs="Times New Roman"/>
        </w:rPr>
        <w:t>,</w:t>
      </w:r>
      <w:r w:rsidR="002D20D7">
        <w:rPr>
          <w:rFonts w:ascii="Times New Roman" w:hAnsi="Times New Roman" w:cs="Times New Roman"/>
        </w:rPr>
        <w:t xml:space="preserve"> or revival after being cut down.</w:t>
      </w:r>
      <w:r w:rsidR="00ED5B99">
        <w:rPr>
          <w:rStyle w:val="FootnoteReference"/>
          <w:rFonts w:ascii="Times New Roman" w:hAnsi="Times New Roman" w:cs="Times New Roman"/>
        </w:rPr>
        <w:footnoteReference w:id="8"/>
      </w:r>
      <w:r w:rsidR="00E10202">
        <w:rPr>
          <w:rFonts w:ascii="Times New Roman" w:hAnsi="Times New Roman" w:cs="Times New Roman"/>
        </w:rPr>
        <w:t xml:space="preserve"> However, the fact that </w:t>
      </w:r>
      <w:r w:rsidR="000C6CAD">
        <w:rPr>
          <w:rFonts w:ascii="Times New Roman" w:hAnsi="Times New Roman" w:cs="Times New Roman"/>
        </w:rPr>
        <w:t>Trahaearn</w:t>
      </w:r>
      <w:r w:rsidR="00E10202">
        <w:rPr>
          <w:rFonts w:ascii="Times New Roman" w:hAnsi="Times New Roman" w:cs="Times New Roman"/>
        </w:rPr>
        <w:t xml:space="preserve"> remained dead suggests that it was</w:t>
      </w:r>
      <w:r w:rsidR="002D1F17">
        <w:rPr>
          <w:rFonts w:ascii="Times New Roman" w:hAnsi="Times New Roman" w:cs="Times New Roman"/>
        </w:rPr>
        <w:t>n’t</w:t>
      </w:r>
      <w:r w:rsidR="00E10202">
        <w:rPr>
          <w:rFonts w:ascii="Times New Roman" w:hAnsi="Times New Roman" w:cs="Times New Roman"/>
        </w:rPr>
        <w:t xml:space="preserve"> a botched hanging.</w:t>
      </w:r>
    </w:p>
    <w:p w14:paraId="7D38DE9B" w14:textId="61ED5165" w:rsidR="00E10202" w:rsidRDefault="00E10202" w:rsidP="00CB6F33">
      <w:pPr>
        <w:jc w:val="both"/>
        <w:rPr>
          <w:rFonts w:ascii="Times New Roman" w:hAnsi="Times New Roman" w:cs="Times New Roman"/>
        </w:rPr>
      </w:pPr>
      <w:r>
        <w:rPr>
          <w:rFonts w:ascii="Times New Roman" w:hAnsi="Times New Roman" w:cs="Times New Roman"/>
        </w:rPr>
        <w:t>All accounts emphasise the undeniable fact that Cragh was definitely dead. Witnesses testified that there were a number of notable features suggesting he was truly dead; from the stillness of his body to the blood incrusted facial features</w:t>
      </w:r>
      <w:r w:rsidR="00537388">
        <w:rPr>
          <w:rFonts w:ascii="Times New Roman" w:hAnsi="Times New Roman" w:cs="Times New Roman"/>
        </w:rPr>
        <w:t xml:space="preserve"> and releasing of his bladder and bowels,</w:t>
      </w:r>
      <w:r>
        <w:rPr>
          <w:rFonts w:ascii="Times New Roman" w:hAnsi="Times New Roman" w:cs="Times New Roman"/>
        </w:rPr>
        <w:t xml:space="preserve"> likely caused by the slow strangulation of a short</w:t>
      </w:r>
      <w:r w:rsidR="00537388">
        <w:rPr>
          <w:rFonts w:ascii="Times New Roman" w:hAnsi="Times New Roman" w:cs="Times New Roman"/>
        </w:rPr>
        <w:t xml:space="preserve"> drop.</w:t>
      </w:r>
      <w:r w:rsidR="00537388">
        <w:rPr>
          <w:rStyle w:val="FootnoteReference"/>
          <w:rFonts w:ascii="Times New Roman" w:hAnsi="Times New Roman" w:cs="Times New Roman"/>
        </w:rPr>
        <w:footnoteReference w:id="9"/>
      </w:r>
      <w:r w:rsidR="00537388">
        <w:rPr>
          <w:rFonts w:ascii="Times New Roman" w:hAnsi="Times New Roman" w:cs="Times New Roman"/>
        </w:rPr>
        <w:t xml:space="preserve"> The medieval definition of death was dictated by the soul leaving the body which was indicated by a lack of movement and warmth.</w:t>
      </w:r>
      <w:r w:rsidR="00537388">
        <w:rPr>
          <w:rStyle w:val="FootnoteReference"/>
          <w:rFonts w:ascii="Times New Roman" w:hAnsi="Times New Roman" w:cs="Times New Roman"/>
        </w:rPr>
        <w:footnoteReference w:id="10"/>
      </w:r>
      <w:r w:rsidR="00F07460">
        <w:rPr>
          <w:rFonts w:ascii="Times New Roman" w:hAnsi="Times New Roman" w:cs="Times New Roman"/>
        </w:rPr>
        <w:t xml:space="preserve"> Cragh’s body was cut down and taken to the house of Thomas Matthews, it</w:t>
      </w:r>
      <w:r w:rsidR="002D1F17">
        <w:rPr>
          <w:rFonts w:ascii="Times New Roman" w:hAnsi="Times New Roman" w:cs="Times New Roman"/>
        </w:rPr>
        <w:t>’s</w:t>
      </w:r>
      <w:r w:rsidR="00F07460">
        <w:rPr>
          <w:rFonts w:ascii="Times New Roman" w:hAnsi="Times New Roman" w:cs="Times New Roman"/>
        </w:rPr>
        <w:t xml:space="preserve"> here he would have been checked for signs of life by methods of needle pricks, splashing with hot water and exposure to fire.</w:t>
      </w:r>
      <w:r w:rsidR="00F07460">
        <w:rPr>
          <w:rStyle w:val="FootnoteReference"/>
          <w:rFonts w:ascii="Times New Roman" w:hAnsi="Times New Roman" w:cs="Times New Roman"/>
        </w:rPr>
        <w:footnoteReference w:id="11"/>
      </w:r>
      <w:r w:rsidR="00F07460">
        <w:rPr>
          <w:rFonts w:ascii="Times New Roman" w:hAnsi="Times New Roman" w:cs="Times New Roman"/>
        </w:rPr>
        <w:t xml:space="preserve"> He exhibited no signs of life and was thought dead. This is a significant component in the classification of a miracle</w:t>
      </w:r>
      <w:r w:rsidR="00AC5CA2">
        <w:rPr>
          <w:rFonts w:ascii="Times New Roman" w:hAnsi="Times New Roman" w:cs="Times New Roman"/>
        </w:rPr>
        <w:t>,</w:t>
      </w:r>
      <w:r w:rsidR="00F07460">
        <w:rPr>
          <w:rFonts w:ascii="Times New Roman" w:hAnsi="Times New Roman" w:cs="Times New Roman"/>
        </w:rPr>
        <w:t xml:space="preserve"> if Cragh had </w:t>
      </w:r>
      <w:r w:rsidR="00B654D7">
        <w:rPr>
          <w:rFonts w:ascii="Times New Roman" w:hAnsi="Times New Roman" w:cs="Times New Roman"/>
        </w:rPr>
        <w:t xml:space="preserve">not been dead then </w:t>
      </w:r>
      <w:r w:rsidR="00A50027">
        <w:rPr>
          <w:rFonts w:ascii="Times New Roman" w:hAnsi="Times New Roman" w:cs="Times New Roman"/>
        </w:rPr>
        <w:t xml:space="preserve">the divine intervention aspect is discredited. </w:t>
      </w:r>
      <w:r w:rsidR="00F07460">
        <w:rPr>
          <w:rFonts w:ascii="Times New Roman" w:hAnsi="Times New Roman" w:cs="Times New Roman"/>
        </w:rPr>
        <w:t xml:space="preserve"> </w:t>
      </w:r>
    </w:p>
    <w:p w14:paraId="764D977B" w14:textId="3EDEB763" w:rsidR="00B654D7" w:rsidRDefault="00B654D7" w:rsidP="00CB6F33">
      <w:pPr>
        <w:jc w:val="both"/>
        <w:rPr>
          <w:rFonts w:ascii="Times New Roman" w:hAnsi="Times New Roman" w:cs="Times New Roman"/>
        </w:rPr>
      </w:pPr>
      <w:r>
        <w:rPr>
          <w:rFonts w:ascii="Times New Roman" w:hAnsi="Times New Roman" w:cs="Times New Roman"/>
        </w:rPr>
        <w:t>Although the account states upon mirac</w:t>
      </w:r>
      <w:r w:rsidR="00847720">
        <w:rPr>
          <w:rFonts w:ascii="Times New Roman" w:hAnsi="Times New Roman" w:cs="Times New Roman"/>
        </w:rPr>
        <w:t>ulous</w:t>
      </w:r>
      <w:r>
        <w:rPr>
          <w:rFonts w:ascii="Times New Roman" w:hAnsi="Times New Roman" w:cs="Times New Roman"/>
        </w:rPr>
        <w:t xml:space="preserve"> resuscitation</w:t>
      </w:r>
      <w:r w:rsidR="000C6CAD">
        <w:rPr>
          <w:rFonts w:ascii="Times New Roman" w:hAnsi="Times New Roman" w:cs="Times New Roman"/>
        </w:rPr>
        <w:t>,</w:t>
      </w:r>
      <w:r>
        <w:rPr>
          <w:rFonts w:ascii="Times New Roman" w:hAnsi="Times New Roman" w:cs="Times New Roman"/>
        </w:rPr>
        <w:t xml:space="preserve"> Cragh moves his limbs and speaks of how he returned</w:t>
      </w:r>
      <w:r w:rsidR="00847720">
        <w:rPr>
          <w:rFonts w:ascii="Times New Roman" w:hAnsi="Times New Roman" w:cs="Times New Roman"/>
        </w:rPr>
        <w:t>, many accounts suggest that he gradually regained control of his limbs over the course of 8-10 days. This is likely due to the rigor mortis that would have set in after his death.</w:t>
      </w:r>
      <w:r w:rsidR="00847720">
        <w:rPr>
          <w:rStyle w:val="FootnoteReference"/>
          <w:rFonts w:ascii="Times New Roman" w:hAnsi="Times New Roman" w:cs="Times New Roman"/>
        </w:rPr>
        <w:footnoteReference w:id="12"/>
      </w:r>
      <w:r w:rsidR="00847720">
        <w:rPr>
          <w:rFonts w:ascii="Times New Roman" w:hAnsi="Times New Roman" w:cs="Times New Roman"/>
        </w:rPr>
        <w:t xml:space="preserve"> Cragh immediately accounts his resurrection to God and Cantilupe suggesting that his and Mary de Briouze pre-devotion and offerings were accepted and acted upon by the yet to be canonised saint. </w:t>
      </w:r>
    </w:p>
    <w:p w14:paraId="2D2983D2" w14:textId="77777777" w:rsidR="007166A5" w:rsidRDefault="00AC5220" w:rsidP="00092282">
      <w:pPr>
        <w:jc w:val="both"/>
        <w:rPr>
          <w:rFonts w:ascii="Times New Roman" w:hAnsi="Times New Roman" w:cs="Times New Roman"/>
        </w:rPr>
      </w:pPr>
      <w:r>
        <w:rPr>
          <w:rFonts w:ascii="Times New Roman" w:hAnsi="Times New Roman" w:cs="Times New Roman"/>
        </w:rPr>
        <w:t>To c</w:t>
      </w:r>
      <w:r w:rsidR="00136AED">
        <w:rPr>
          <w:rFonts w:ascii="Times New Roman" w:hAnsi="Times New Roman" w:cs="Times New Roman"/>
        </w:rPr>
        <w:t>onclu</w:t>
      </w:r>
      <w:r>
        <w:rPr>
          <w:rFonts w:ascii="Times New Roman" w:hAnsi="Times New Roman" w:cs="Times New Roman"/>
        </w:rPr>
        <w:t>de, a p</w:t>
      </w:r>
      <w:r w:rsidR="00136AED">
        <w:rPr>
          <w:rFonts w:ascii="Times New Roman" w:hAnsi="Times New Roman" w:cs="Times New Roman"/>
        </w:rPr>
        <w:t>re-existing devotion to</w:t>
      </w:r>
      <w:r w:rsidR="00287BA6">
        <w:rPr>
          <w:rFonts w:ascii="Times New Roman" w:hAnsi="Times New Roman" w:cs="Times New Roman"/>
        </w:rPr>
        <w:t xml:space="preserve"> </w:t>
      </w:r>
      <w:r w:rsidR="00136AED">
        <w:rPr>
          <w:rFonts w:ascii="Times New Roman" w:hAnsi="Times New Roman" w:cs="Times New Roman"/>
        </w:rPr>
        <w:t>Cantilupe and invoking with veneration</w:t>
      </w:r>
      <w:r w:rsidR="0028420B">
        <w:rPr>
          <w:rFonts w:ascii="Times New Roman" w:hAnsi="Times New Roman" w:cs="Times New Roman"/>
        </w:rPr>
        <w:t>s</w:t>
      </w:r>
      <w:r w:rsidR="00136AED">
        <w:rPr>
          <w:rFonts w:ascii="Times New Roman" w:hAnsi="Times New Roman" w:cs="Times New Roman"/>
        </w:rPr>
        <w:t xml:space="preserve"> are contributing factors to the miracle that occurred. Continued devotion</w:t>
      </w:r>
      <w:r w:rsidR="0028420B">
        <w:rPr>
          <w:rFonts w:ascii="Times New Roman" w:hAnsi="Times New Roman" w:cs="Times New Roman"/>
        </w:rPr>
        <w:t xml:space="preserve"> and fulfilment of Mary’s measuring offering were exhibited by Cragh </w:t>
      </w:r>
      <w:r w:rsidR="00136AED">
        <w:rPr>
          <w:rFonts w:ascii="Times New Roman" w:hAnsi="Times New Roman" w:cs="Times New Roman"/>
        </w:rPr>
        <w:t xml:space="preserve">visiting </w:t>
      </w:r>
      <w:r w:rsidR="0028420B">
        <w:rPr>
          <w:rFonts w:ascii="Times New Roman" w:hAnsi="Times New Roman" w:cs="Times New Roman"/>
        </w:rPr>
        <w:t xml:space="preserve">Cantilupe’s </w:t>
      </w:r>
      <w:r w:rsidR="00136AED">
        <w:rPr>
          <w:rFonts w:ascii="Times New Roman" w:hAnsi="Times New Roman" w:cs="Times New Roman"/>
        </w:rPr>
        <w:t>tomb</w:t>
      </w:r>
      <w:r w:rsidR="0028420B">
        <w:rPr>
          <w:rFonts w:ascii="Times New Roman" w:hAnsi="Times New Roman" w:cs="Times New Roman"/>
        </w:rPr>
        <w:t xml:space="preserve">. </w:t>
      </w:r>
      <w:r w:rsidR="00136AED">
        <w:rPr>
          <w:rFonts w:ascii="Times New Roman" w:hAnsi="Times New Roman" w:cs="Times New Roman"/>
        </w:rPr>
        <w:t>Although botched hangings were a common occurrence, the descriptions of Cragh’s condition after death support</w:t>
      </w:r>
      <w:r w:rsidR="00BE5E19">
        <w:rPr>
          <w:rFonts w:ascii="Times New Roman" w:hAnsi="Times New Roman" w:cs="Times New Roman"/>
        </w:rPr>
        <w:t>s</w:t>
      </w:r>
      <w:r w:rsidR="00136AED">
        <w:rPr>
          <w:rFonts w:ascii="Times New Roman" w:hAnsi="Times New Roman" w:cs="Times New Roman"/>
        </w:rPr>
        <w:t xml:space="preserve"> his being definitely dead</w:t>
      </w:r>
      <w:r w:rsidR="002D1F17">
        <w:rPr>
          <w:rFonts w:ascii="Times New Roman" w:hAnsi="Times New Roman" w:cs="Times New Roman"/>
        </w:rPr>
        <w:t>.</w:t>
      </w:r>
      <w:r w:rsidR="00136AED">
        <w:rPr>
          <w:rFonts w:ascii="Times New Roman" w:hAnsi="Times New Roman" w:cs="Times New Roman"/>
        </w:rPr>
        <w:t xml:space="preserve"> </w:t>
      </w:r>
      <w:r w:rsidR="002D1F17">
        <w:rPr>
          <w:rFonts w:ascii="Times New Roman" w:hAnsi="Times New Roman" w:cs="Times New Roman"/>
        </w:rPr>
        <w:t>T</w:t>
      </w:r>
      <w:r w:rsidR="00136AED">
        <w:rPr>
          <w:rFonts w:ascii="Times New Roman" w:hAnsi="Times New Roman" w:cs="Times New Roman"/>
        </w:rPr>
        <w:t>he fact his partner did</w:t>
      </w:r>
      <w:r w:rsidR="007673B9">
        <w:rPr>
          <w:rFonts w:ascii="Times New Roman" w:hAnsi="Times New Roman" w:cs="Times New Roman"/>
        </w:rPr>
        <w:t>n’t</w:t>
      </w:r>
      <w:r w:rsidR="00136AED">
        <w:rPr>
          <w:rFonts w:ascii="Times New Roman" w:hAnsi="Times New Roman" w:cs="Times New Roman"/>
        </w:rPr>
        <w:t xml:space="preserve"> resurrect </w:t>
      </w:r>
      <w:r w:rsidR="0028420B">
        <w:rPr>
          <w:rFonts w:ascii="Times New Roman" w:hAnsi="Times New Roman" w:cs="Times New Roman"/>
        </w:rPr>
        <w:t xml:space="preserve">is also another telling factor. The summary of these points </w:t>
      </w:r>
      <w:r w:rsidR="00136AED">
        <w:rPr>
          <w:rFonts w:ascii="Times New Roman" w:hAnsi="Times New Roman" w:cs="Times New Roman"/>
        </w:rPr>
        <w:t xml:space="preserve">leads to the canonisation of </w:t>
      </w:r>
      <w:r w:rsidR="00BE5E19">
        <w:rPr>
          <w:rFonts w:ascii="Times New Roman" w:hAnsi="Times New Roman" w:cs="Times New Roman"/>
        </w:rPr>
        <w:t xml:space="preserve">this miracle by </w:t>
      </w:r>
      <w:r w:rsidR="00136AED">
        <w:rPr>
          <w:rFonts w:ascii="Times New Roman" w:hAnsi="Times New Roman" w:cs="Times New Roman"/>
        </w:rPr>
        <w:t xml:space="preserve">Cantilupe </w:t>
      </w:r>
      <w:r w:rsidR="007673B9">
        <w:rPr>
          <w:rFonts w:ascii="Times New Roman" w:hAnsi="Times New Roman" w:cs="Times New Roman"/>
        </w:rPr>
        <w:t>as</w:t>
      </w:r>
      <w:r w:rsidR="00136AED">
        <w:rPr>
          <w:rFonts w:ascii="Times New Roman" w:hAnsi="Times New Roman" w:cs="Times New Roman"/>
        </w:rPr>
        <w:t xml:space="preserve"> authentic</w:t>
      </w:r>
      <w:r w:rsidR="00165355">
        <w:rPr>
          <w:rFonts w:ascii="Times New Roman" w:hAnsi="Times New Roman" w:cs="Times New Roman"/>
        </w:rPr>
        <w:t xml:space="preserve">. </w:t>
      </w:r>
    </w:p>
    <w:p w14:paraId="2EF594B1" w14:textId="4E36F388" w:rsidR="00872619" w:rsidRPr="007166A5" w:rsidRDefault="00872619" w:rsidP="00092282">
      <w:pPr>
        <w:jc w:val="both"/>
        <w:rPr>
          <w:rFonts w:ascii="Times New Roman" w:hAnsi="Times New Roman" w:cs="Times New Roman"/>
        </w:rPr>
      </w:pPr>
      <w:r w:rsidRPr="00872619">
        <w:rPr>
          <w:rFonts w:ascii="Times New Roman" w:hAnsi="Times New Roman" w:cs="Times New Roman"/>
          <w:u w:val="single"/>
        </w:rPr>
        <w:lastRenderedPageBreak/>
        <w:t>Bibliography</w:t>
      </w:r>
    </w:p>
    <w:p w14:paraId="4B209839" w14:textId="77777777" w:rsidR="00092282" w:rsidRPr="00F07460" w:rsidRDefault="00092282" w:rsidP="00A345AF">
      <w:pPr>
        <w:spacing w:after="240" w:line="360" w:lineRule="auto"/>
        <w:ind w:left="720" w:hanging="720"/>
        <w:rPr>
          <w:rFonts w:ascii="Times New Roman" w:eastAsia="Times New Roman" w:hAnsi="Times New Roman" w:cs="Times New Roman"/>
          <w:lang w:eastAsia="en-GB"/>
        </w:rPr>
      </w:pPr>
      <w:r w:rsidRPr="00A345AF">
        <w:rPr>
          <w:rFonts w:ascii="Times New Roman" w:eastAsia="Times New Roman" w:hAnsi="Times New Roman" w:cs="Times New Roman"/>
          <w:lang w:eastAsia="en-GB"/>
        </w:rPr>
        <w:t xml:space="preserve">Bartlett, R. </w:t>
      </w:r>
      <w:r w:rsidRPr="00F07460">
        <w:rPr>
          <w:rFonts w:ascii="Times New Roman" w:eastAsia="Times New Roman" w:hAnsi="Times New Roman" w:cs="Times New Roman"/>
          <w:lang w:eastAsia="en-GB"/>
        </w:rPr>
        <w:t>(</w:t>
      </w:r>
      <w:r w:rsidRPr="00A345AF">
        <w:rPr>
          <w:rFonts w:ascii="Times New Roman" w:eastAsia="Times New Roman" w:hAnsi="Times New Roman" w:cs="Times New Roman"/>
          <w:lang w:eastAsia="en-GB"/>
        </w:rPr>
        <w:t>2006</w:t>
      </w:r>
      <w:r w:rsidRPr="00F07460">
        <w:rPr>
          <w:rFonts w:ascii="Times New Roman" w:eastAsia="Times New Roman" w:hAnsi="Times New Roman" w:cs="Times New Roman"/>
          <w:lang w:eastAsia="en-GB"/>
        </w:rPr>
        <w:t>)</w:t>
      </w:r>
      <w:r w:rsidRPr="00A345AF">
        <w:rPr>
          <w:rFonts w:ascii="Times New Roman" w:eastAsia="Times New Roman" w:hAnsi="Times New Roman" w:cs="Times New Roman"/>
          <w:lang w:eastAsia="en-GB"/>
        </w:rPr>
        <w:t xml:space="preserve"> </w:t>
      </w:r>
      <w:r w:rsidRPr="00A345AF">
        <w:rPr>
          <w:rFonts w:ascii="Times New Roman" w:eastAsia="Times New Roman" w:hAnsi="Times New Roman" w:cs="Times New Roman"/>
          <w:i/>
          <w:iCs/>
          <w:lang w:eastAsia="en-GB"/>
        </w:rPr>
        <w:t>The Hanged Man: A Story of Miracle, Memory, and Colonialism in the Middle Ages</w:t>
      </w:r>
      <w:r w:rsidRPr="00F07460">
        <w:rPr>
          <w:rFonts w:ascii="Times New Roman" w:eastAsia="Times New Roman" w:hAnsi="Times New Roman" w:cs="Times New Roman"/>
          <w:i/>
          <w:iCs/>
          <w:lang w:eastAsia="en-GB"/>
        </w:rPr>
        <w:t>,</w:t>
      </w:r>
      <w:r w:rsidRPr="00A345AF">
        <w:rPr>
          <w:rFonts w:ascii="Times New Roman" w:eastAsia="Times New Roman" w:hAnsi="Times New Roman" w:cs="Times New Roman"/>
          <w:lang w:eastAsia="en-GB"/>
        </w:rPr>
        <w:t xml:space="preserve"> New Jersey: Princeton University Press</w:t>
      </w:r>
      <w:r w:rsidRPr="00F07460">
        <w:rPr>
          <w:rFonts w:ascii="Times New Roman" w:eastAsia="Times New Roman" w:hAnsi="Times New Roman" w:cs="Times New Roman"/>
          <w:lang w:eastAsia="en-GB"/>
        </w:rPr>
        <w:t>.</w:t>
      </w:r>
    </w:p>
    <w:p w14:paraId="3C7C9115" w14:textId="77777777" w:rsidR="00092282" w:rsidRPr="00F07460" w:rsidRDefault="00092282" w:rsidP="00A345AF">
      <w:pPr>
        <w:spacing w:after="240" w:line="360" w:lineRule="auto"/>
        <w:ind w:left="720" w:hanging="720"/>
        <w:rPr>
          <w:rFonts w:ascii="Times New Roman" w:hAnsi="Times New Roman" w:cs="Times New Roman"/>
        </w:rPr>
      </w:pPr>
      <w:r w:rsidRPr="00F07460">
        <w:rPr>
          <w:rFonts w:ascii="Times New Roman" w:hAnsi="Times New Roman" w:cs="Times New Roman"/>
          <w:i/>
          <w:iCs/>
        </w:rPr>
        <w:t>Description of the miracle of William Cragh,</w:t>
      </w:r>
      <w:r w:rsidRPr="00F07460">
        <w:rPr>
          <w:rFonts w:ascii="Times New Roman" w:hAnsi="Times New Roman" w:cs="Times New Roman"/>
        </w:rPr>
        <w:t xml:space="preserve"> Oxford, Exter College MS 158 fols. 18r-19r, trans. H. R. Webster. Available at: </w:t>
      </w:r>
      <w:hyperlink r:id="rId8" w:history="1">
        <w:r w:rsidRPr="00F07460">
          <w:rPr>
            <w:rStyle w:val="Hyperlink"/>
            <w:rFonts w:ascii="Times New Roman" w:hAnsi="Times New Roman" w:cs="Times New Roman"/>
          </w:rPr>
          <w:t>https://digital.bodleian.ox.ac.uk/inquire/p/c1f53036-f7e8-4049-b88e-fd72bd11225b</w:t>
        </w:r>
      </w:hyperlink>
      <w:r w:rsidRPr="00F07460">
        <w:rPr>
          <w:rFonts w:ascii="Times New Roman" w:hAnsi="Times New Roman" w:cs="Times New Roman"/>
        </w:rPr>
        <w:t xml:space="preserve"> [Accessed 4 June 2021]</w:t>
      </w:r>
    </w:p>
    <w:p w14:paraId="11D6AC52" w14:textId="77777777" w:rsidR="00092282" w:rsidRDefault="00092282" w:rsidP="00537388">
      <w:pPr>
        <w:pStyle w:val="NormalWeb"/>
        <w:spacing w:before="0" w:beforeAutospacing="0" w:after="240" w:afterAutospacing="0" w:line="360" w:lineRule="auto"/>
        <w:ind w:left="720" w:hanging="720"/>
        <w:rPr>
          <w:sz w:val="22"/>
          <w:szCs w:val="22"/>
        </w:rPr>
      </w:pPr>
      <w:r w:rsidRPr="00F07460">
        <w:rPr>
          <w:sz w:val="22"/>
          <w:szCs w:val="22"/>
        </w:rPr>
        <w:t xml:space="preserve">Finucane, R.C. </w:t>
      </w:r>
      <w:r w:rsidRPr="00F07460">
        <w:rPr>
          <w:sz w:val="22"/>
          <w:szCs w:val="22"/>
        </w:rPr>
        <w:t>‘</w:t>
      </w:r>
      <w:r w:rsidRPr="00F07460">
        <w:rPr>
          <w:sz w:val="22"/>
          <w:szCs w:val="22"/>
        </w:rPr>
        <w:t>The Toddler in the Ditch: A Case of Parental Neglect?</w:t>
      </w:r>
      <w:r w:rsidRPr="00F07460">
        <w:rPr>
          <w:sz w:val="22"/>
          <w:szCs w:val="22"/>
        </w:rPr>
        <w:t>’,</w:t>
      </w:r>
      <w:r w:rsidRPr="00F07460">
        <w:rPr>
          <w:sz w:val="22"/>
          <w:szCs w:val="22"/>
        </w:rPr>
        <w:t xml:space="preserve"> in</w:t>
      </w:r>
      <w:r w:rsidRPr="00F07460">
        <w:rPr>
          <w:i/>
          <w:iCs/>
          <w:sz w:val="22"/>
          <w:szCs w:val="22"/>
        </w:rPr>
        <w:t xml:space="preserve"> Voices from the Bench: The Narratives of Lesser Folk in Medieval Trials</w:t>
      </w:r>
      <w:r w:rsidRPr="00F07460">
        <w:rPr>
          <w:i/>
          <w:iCs/>
          <w:sz w:val="22"/>
          <w:szCs w:val="22"/>
        </w:rPr>
        <w:t>,</w:t>
      </w:r>
      <w:r w:rsidRPr="00F07460">
        <w:rPr>
          <w:sz w:val="22"/>
          <w:szCs w:val="22"/>
        </w:rPr>
        <w:t xml:space="preserve"> (</w:t>
      </w:r>
      <w:r w:rsidRPr="00F07460">
        <w:rPr>
          <w:sz w:val="22"/>
          <w:szCs w:val="22"/>
        </w:rPr>
        <w:t>Palgrave: Basingstoke</w:t>
      </w:r>
      <w:r w:rsidRPr="00F07460">
        <w:rPr>
          <w:sz w:val="22"/>
          <w:szCs w:val="22"/>
        </w:rPr>
        <w:t xml:space="preserve">, 2006) </w:t>
      </w:r>
    </w:p>
    <w:p w14:paraId="739D8985" w14:textId="77777777" w:rsidR="00092282" w:rsidRPr="00F07460" w:rsidRDefault="00092282" w:rsidP="00F07460">
      <w:pPr>
        <w:pStyle w:val="NormalWeb"/>
        <w:spacing w:before="0" w:beforeAutospacing="0" w:after="240" w:afterAutospacing="0" w:line="360" w:lineRule="auto"/>
        <w:ind w:left="720" w:hanging="720"/>
        <w:rPr>
          <w:sz w:val="22"/>
          <w:szCs w:val="22"/>
        </w:rPr>
      </w:pPr>
      <w:r w:rsidRPr="00F07460">
        <w:rPr>
          <w:sz w:val="22"/>
          <w:szCs w:val="22"/>
        </w:rPr>
        <w:t>Goodich, M</w:t>
      </w:r>
      <w:r>
        <w:rPr>
          <w:sz w:val="22"/>
          <w:szCs w:val="22"/>
        </w:rPr>
        <w:t>.</w:t>
      </w:r>
      <w:r w:rsidRPr="00F07460">
        <w:rPr>
          <w:sz w:val="22"/>
          <w:szCs w:val="22"/>
        </w:rPr>
        <w:t xml:space="preserve"> </w:t>
      </w:r>
      <w:r>
        <w:rPr>
          <w:sz w:val="22"/>
          <w:szCs w:val="22"/>
        </w:rPr>
        <w:t>(</w:t>
      </w:r>
      <w:r w:rsidRPr="00F07460">
        <w:rPr>
          <w:sz w:val="22"/>
          <w:szCs w:val="22"/>
        </w:rPr>
        <w:t>2007</w:t>
      </w:r>
      <w:r>
        <w:rPr>
          <w:sz w:val="22"/>
          <w:szCs w:val="22"/>
        </w:rPr>
        <w:t>)</w:t>
      </w:r>
      <w:r w:rsidRPr="00F07460">
        <w:rPr>
          <w:sz w:val="22"/>
          <w:szCs w:val="22"/>
        </w:rPr>
        <w:t xml:space="preserve"> </w:t>
      </w:r>
      <w:r w:rsidRPr="00F07460">
        <w:rPr>
          <w:i/>
          <w:iCs/>
          <w:sz w:val="22"/>
          <w:szCs w:val="22"/>
        </w:rPr>
        <w:t>Miracles and Wonders: The Development of the Concept of Miracle, 1150-1350</w:t>
      </w:r>
      <w:r>
        <w:rPr>
          <w:i/>
          <w:iCs/>
          <w:sz w:val="22"/>
          <w:szCs w:val="22"/>
        </w:rPr>
        <w:t>,</w:t>
      </w:r>
      <w:r>
        <w:rPr>
          <w:sz w:val="22"/>
          <w:szCs w:val="22"/>
        </w:rPr>
        <w:t xml:space="preserve"> </w:t>
      </w:r>
      <w:r w:rsidRPr="00F07460">
        <w:rPr>
          <w:sz w:val="22"/>
          <w:szCs w:val="22"/>
        </w:rPr>
        <w:t>London: Routledge</w:t>
      </w:r>
      <w:r>
        <w:rPr>
          <w:sz w:val="22"/>
          <w:szCs w:val="22"/>
        </w:rPr>
        <w:t>.</w:t>
      </w:r>
    </w:p>
    <w:p w14:paraId="7DB1BB4F" w14:textId="77777777" w:rsidR="00092282" w:rsidRPr="00F07460" w:rsidRDefault="00092282" w:rsidP="00F07460">
      <w:pPr>
        <w:spacing w:after="240" w:line="360" w:lineRule="auto"/>
        <w:rPr>
          <w:rFonts w:ascii="Times New Roman" w:hAnsi="Times New Roman" w:cs="Times New Roman"/>
        </w:rPr>
      </w:pPr>
      <w:r w:rsidRPr="00F07460">
        <w:rPr>
          <w:rFonts w:ascii="Times New Roman" w:hAnsi="Times New Roman" w:cs="Times New Roman"/>
        </w:rPr>
        <w:t>Smith,</w:t>
      </w:r>
      <w:r w:rsidRPr="00F07460">
        <w:rPr>
          <w:rFonts w:ascii="Times New Roman" w:hAnsi="Times New Roman" w:cs="Times New Roman"/>
        </w:rPr>
        <w:t xml:space="preserve"> S.E.</w:t>
      </w:r>
      <w:r w:rsidRPr="00F07460">
        <w:rPr>
          <w:rFonts w:ascii="Times New Roman" w:hAnsi="Times New Roman" w:cs="Times New Roman"/>
        </w:rPr>
        <w:t xml:space="preserve"> ‘Going through All These Things Twice: A Brief History of Botched Executions’, </w:t>
      </w:r>
      <w:r w:rsidRPr="00F07460">
        <w:rPr>
          <w:rFonts w:ascii="Times New Roman" w:hAnsi="Times New Roman" w:cs="Times New Roman"/>
          <w:i/>
          <w:iCs/>
        </w:rPr>
        <w:t>Otago Law Review</w:t>
      </w:r>
      <w:r w:rsidRPr="00F07460">
        <w:rPr>
          <w:rFonts w:ascii="Times New Roman" w:hAnsi="Times New Roman" w:cs="Times New Roman"/>
        </w:rPr>
        <w:t xml:space="preserve">, 12(4) (2012), </w:t>
      </w:r>
      <w:r w:rsidRPr="00F07460">
        <w:rPr>
          <w:rFonts w:ascii="Times New Roman" w:hAnsi="Times New Roman" w:cs="Times New Roman"/>
        </w:rPr>
        <w:t xml:space="preserve">p. </w:t>
      </w:r>
      <w:r w:rsidRPr="00F07460">
        <w:rPr>
          <w:rFonts w:ascii="Times New Roman" w:hAnsi="Times New Roman" w:cs="Times New Roman"/>
        </w:rPr>
        <w:t>777–827</w:t>
      </w:r>
    </w:p>
    <w:p w14:paraId="266BB99D" w14:textId="77777777" w:rsidR="00092282" w:rsidRPr="00F07460" w:rsidRDefault="00092282" w:rsidP="00A345AF">
      <w:pPr>
        <w:spacing w:after="240" w:line="360" w:lineRule="auto"/>
        <w:ind w:left="720" w:hanging="720"/>
      </w:pPr>
      <w:r w:rsidRPr="00F07460">
        <w:rPr>
          <w:rFonts w:ascii="Times New Roman" w:hAnsi="Times New Roman" w:cs="Times New Roman"/>
        </w:rPr>
        <w:t>Vauchez, A</w:t>
      </w:r>
      <w:r w:rsidRPr="00F07460">
        <w:rPr>
          <w:rFonts w:ascii="Times New Roman" w:hAnsi="Times New Roman" w:cs="Times New Roman"/>
        </w:rPr>
        <w:t>.</w:t>
      </w:r>
      <w:r w:rsidRPr="00F07460">
        <w:rPr>
          <w:rFonts w:ascii="Times New Roman" w:hAnsi="Times New Roman" w:cs="Times New Roman"/>
        </w:rPr>
        <w:t xml:space="preserve"> </w:t>
      </w:r>
      <w:r w:rsidRPr="00F07460">
        <w:rPr>
          <w:rFonts w:ascii="Times New Roman" w:hAnsi="Times New Roman" w:cs="Times New Roman"/>
        </w:rPr>
        <w:t>(</w:t>
      </w:r>
      <w:r w:rsidRPr="00F07460">
        <w:rPr>
          <w:rFonts w:ascii="Times New Roman" w:hAnsi="Times New Roman" w:cs="Times New Roman"/>
        </w:rPr>
        <w:t>2005</w:t>
      </w:r>
      <w:r w:rsidRPr="00F07460">
        <w:rPr>
          <w:rFonts w:ascii="Times New Roman" w:hAnsi="Times New Roman" w:cs="Times New Roman"/>
        </w:rPr>
        <w:t>)</w:t>
      </w:r>
      <w:r w:rsidRPr="00F07460">
        <w:rPr>
          <w:rFonts w:ascii="Times New Roman" w:hAnsi="Times New Roman" w:cs="Times New Roman"/>
        </w:rPr>
        <w:t xml:space="preserve"> </w:t>
      </w:r>
      <w:r w:rsidRPr="00F07460">
        <w:rPr>
          <w:rFonts w:ascii="Times New Roman" w:hAnsi="Times New Roman" w:cs="Times New Roman"/>
          <w:i/>
          <w:iCs/>
        </w:rPr>
        <w:t>Sainthood in the Later Middle Ages</w:t>
      </w:r>
      <w:r w:rsidRPr="00F07460">
        <w:rPr>
          <w:rFonts w:ascii="Times New Roman" w:hAnsi="Times New Roman" w:cs="Times New Roman"/>
        </w:rPr>
        <w:t>,</w:t>
      </w:r>
      <w:r w:rsidRPr="00F07460">
        <w:rPr>
          <w:rFonts w:ascii="Times New Roman" w:hAnsi="Times New Roman" w:cs="Times New Roman"/>
        </w:rPr>
        <w:t xml:space="preserve"> Cambridge: Cambridge University Press</w:t>
      </w:r>
      <w:r w:rsidRPr="00F07460">
        <w:t>.</w:t>
      </w:r>
    </w:p>
    <w:p w14:paraId="0DBC95E1" w14:textId="77777777" w:rsidR="00092282" w:rsidRPr="00F07460" w:rsidRDefault="00092282" w:rsidP="00D572F1">
      <w:pPr>
        <w:spacing w:after="240" w:line="360" w:lineRule="auto"/>
        <w:ind w:left="720" w:hanging="720"/>
        <w:rPr>
          <w:rFonts w:ascii="Times New Roman" w:eastAsia="Times New Roman" w:hAnsi="Times New Roman" w:cs="Times New Roman"/>
          <w:lang w:eastAsia="en-GB"/>
        </w:rPr>
      </w:pPr>
      <w:r w:rsidRPr="00D572F1">
        <w:rPr>
          <w:rFonts w:ascii="Times New Roman" w:eastAsia="Times New Roman" w:hAnsi="Times New Roman" w:cs="Times New Roman"/>
          <w:lang w:eastAsia="en-GB"/>
        </w:rPr>
        <w:t>Webster, H.</w:t>
      </w:r>
      <w:r w:rsidRPr="00F07460">
        <w:rPr>
          <w:rFonts w:ascii="Times New Roman" w:eastAsia="Times New Roman" w:hAnsi="Times New Roman" w:cs="Times New Roman"/>
          <w:lang w:eastAsia="en-GB"/>
        </w:rPr>
        <w:t xml:space="preserve"> R. ‘</w:t>
      </w:r>
      <w:r w:rsidRPr="00D572F1">
        <w:rPr>
          <w:rFonts w:ascii="Times New Roman" w:eastAsia="Times New Roman" w:hAnsi="Times New Roman" w:cs="Times New Roman"/>
          <w:lang w:eastAsia="en-GB"/>
        </w:rPr>
        <w:t>The Resuscitation of the Twice-Hanged Man: Miracles and the Body in Medieval Swansea</w:t>
      </w:r>
      <w:r w:rsidRPr="00F07460">
        <w:rPr>
          <w:rFonts w:ascii="Times New Roman" w:eastAsia="Times New Roman" w:hAnsi="Times New Roman" w:cs="Times New Roman"/>
          <w:lang w:eastAsia="en-GB"/>
        </w:rPr>
        <w:t>’,</w:t>
      </w:r>
      <w:r w:rsidRPr="00D572F1">
        <w:rPr>
          <w:rFonts w:ascii="Times New Roman" w:eastAsia="Times New Roman" w:hAnsi="Times New Roman" w:cs="Times New Roman"/>
          <w:lang w:eastAsia="en-GB"/>
        </w:rPr>
        <w:t xml:space="preserve"> in </w:t>
      </w:r>
      <w:r w:rsidRPr="00D572F1">
        <w:rPr>
          <w:rFonts w:ascii="Times New Roman" w:eastAsia="Times New Roman" w:hAnsi="Times New Roman" w:cs="Times New Roman"/>
          <w:i/>
          <w:iCs/>
          <w:lang w:eastAsia="en-GB"/>
        </w:rPr>
        <w:t>Body Matters: Exploring the Materiality of the Human Body</w:t>
      </w:r>
      <w:r w:rsidRPr="00F07460">
        <w:rPr>
          <w:rFonts w:ascii="Times New Roman" w:eastAsia="Times New Roman" w:hAnsi="Times New Roman" w:cs="Times New Roman"/>
          <w:lang w:eastAsia="en-GB"/>
        </w:rPr>
        <w:t>, (</w:t>
      </w:r>
      <w:r w:rsidRPr="00D572F1">
        <w:rPr>
          <w:rFonts w:ascii="Times New Roman" w:eastAsia="Times New Roman" w:hAnsi="Times New Roman" w:cs="Times New Roman"/>
          <w:lang w:eastAsia="en-GB"/>
        </w:rPr>
        <w:t xml:space="preserve">Cardiff: University </w:t>
      </w:r>
      <w:r w:rsidRPr="00F07460">
        <w:rPr>
          <w:rFonts w:ascii="Times New Roman" w:eastAsia="Times New Roman" w:hAnsi="Times New Roman" w:cs="Times New Roman"/>
          <w:lang w:eastAsia="en-GB"/>
        </w:rPr>
        <w:t>o</w:t>
      </w:r>
      <w:r w:rsidRPr="00D572F1">
        <w:rPr>
          <w:rFonts w:ascii="Times New Roman" w:eastAsia="Times New Roman" w:hAnsi="Times New Roman" w:cs="Times New Roman"/>
          <w:lang w:eastAsia="en-GB"/>
        </w:rPr>
        <w:t>f Wales Press,</w:t>
      </w:r>
      <w:r w:rsidRPr="00F07460">
        <w:rPr>
          <w:rFonts w:ascii="Times New Roman" w:eastAsia="Times New Roman" w:hAnsi="Times New Roman" w:cs="Times New Roman"/>
          <w:lang w:eastAsia="en-GB"/>
        </w:rPr>
        <w:t xml:space="preserve"> 2019)</w:t>
      </w:r>
    </w:p>
    <w:p w14:paraId="355CA1E2" w14:textId="77777777" w:rsidR="00537388" w:rsidRPr="00A345AF" w:rsidRDefault="00537388" w:rsidP="00A345AF">
      <w:pPr>
        <w:spacing w:after="240" w:line="360" w:lineRule="auto"/>
        <w:ind w:left="720" w:hanging="720"/>
        <w:rPr>
          <w:rFonts w:ascii="Times New Roman" w:eastAsia="Times New Roman" w:hAnsi="Times New Roman" w:cs="Times New Roman"/>
          <w:lang w:eastAsia="en-GB"/>
        </w:rPr>
      </w:pPr>
    </w:p>
    <w:p w14:paraId="5C32EF27" w14:textId="77777777" w:rsidR="00A345AF" w:rsidRPr="00872619" w:rsidRDefault="00A345AF" w:rsidP="00872619">
      <w:pPr>
        <w:pStyle w:val="NormalWeb"/>
        <w:spacing w:before="0" w:beforeAutospacing="0" w:after="240" w:afterAutospacing="0" w:line="360" w:lineRule="auto"/>
        <w:ind w:left="720" w:hanging="720"/>
        <w:rPr>
          <w:sz w:val="22"/>
          <w:szCs w:val="22"/>
        </w:rPr>
      </w:pPr>
    </w:p>
    <w:p w14:paraId="7F640817" w14:textId="77777777" w:rsidR="00872619" w:rsidRDefault="00872619" w:rsidP="00872619">
      <w:pPr>
        <w:pStyle w:val="NormalWeb"/>
        <w:spacing w:before="0" w:beforeAutospacing="0" w:after="240" w:afterAutospacing="0" w:line="360" w:lineRule="auto"/>
      </w:pPr>
    </w:p>
    <w:p w14:paraId="13727C6B" w14:textId="77777777" w:rsidR="00872619" w:rsidRPr="00B17E10" w:rsidRDefault="00872619" w:rsidP="00B17E10">
      <w:pPr>
        <w:ind w:left="360"/>
        <w:jc w:val="both"/>
        <w:rPr>
          <w:rFonts w:ascii="Times New Roman" w:hAnsi="Times New Roman" w:cs="Times New Roman"/>
        </w:rPr>
      </w:pPr>
    </w:p>
    <w:p w14:paraId="09C78AF3" w14:textId="77777777" w:rsidR="00017DF9" w:rsidRPr="00CB6F33" w:rsidRDefault="00017DF9" w:rsidP="00CB6F33">
      <w:pPr>
        <w:jc w:val="both"/>
        <w:rPr>
          <w:rFonts w:ascii="Times New Roman" w:hAnsi="Times New Roman" w:cs="Times New Roman"/>
          <w:u w:val="single"/>
        </w:rPr>
      </w:pPr>
    </w:p>
    <w:sectPr w:rsidR="00017DF9" w:rsidRPr="00CB6F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FFFA9" w14:textId="77777777" w:rsidR="00770585" w:rsidRDefault="00770585" w:rsidP="00770585">
      <w:pPr>
        <w:spacing w:after="0" w:line="240" w:lineRule="auto"/>
      </w:pPr>
      <w:r>
        <w:separator/>
      </w:r>
    </w:p>
  </w:endnote>
  <w:endnote w:type="continuationSeparator" w:id="0">
    <w:p w14:paraId="7A2E153B" w14:textId="77777777" w:rsidR="00770585" w:rsidRDefault="00770585" w:rsidP="00770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3CAE4" w14:textId="77777777" w:rsidR="00770585" w:rsidRDefault="00770585" w:rsidP="00770585">
      <w:pPr>
        <w:spacing w:after="0" w:line="240" w:lineRule="auto"/>
      </w:pPr>
      <w:r>
        <w:separator/>
      </w:r>
    </w:p>
  </w:footnote>
  <w:footnote w:type="continuationSeparator" w:id="0">
    <w:p w14:paraId="42B7A480" w14:textId="77777777" w:rsidR="00770585" w:rsidRDefault="00770585" w:rsidP="00770585">
      <w:pPr>
        <w:spacing w:after="0" w:line="240" w:lineRule="auto"/>
      </w:pPr>
      <w:r>
        <w:continuationSeparator/>
      </w:r>
    </w:p>
  </w:footnote>
  <w:footnote w:id="1">
    <w:p w14:paraId="3EA5000A" w14:textId="7EEB866F" w:rsidR="007363F7" w:rsidRDefault="007363F7" w:rsidP="00A345AF">
      <w:pPr>
        <w:pStyle w:val="NormalWeb"/>
        <w:spacing w:before="0" w:beforeAutospacing="0" w:after="240" w:afterAutospacing="0" w:line="360" w:lineRule="auto"/>
        <w:ind w:left="720" w:hanging="720"/>
      </w:pPr>
      <w:r>
        <w:rPr>
          <w:rStyle w:val="FootnoteReference"/>
        </w:rPr>
        <w:footnoteRef/>
      </w:r>
      <w:r>
        <w:t xml:space="preserve"> </w:t>
      </w:r>
      <w:r w:rsidR="00A345AF" w:rsidRPr="00A345AF">
        <w:rPr>
          <w:sz w:val="20"/>
          <w:szCs w:val="20"/>
        </w:rPr>
        <w:t xml:space="preserve">R. </w:t>
      </w:r>
      <w:r w:rsidR="00A345AF" w:rsidRPr="00A345AF">
        <w:rPr>
          <w:sz w:val="20"/>
          <w:szCs w:val="20"/>
        </w:rPr>
        <w:t>Bartlett,</w:t>
      </w:r>
      <w:r w:rsidR="00A345AF" w:rsidRPr="00A345AF">
        <w:rPr>
          <w:sz w:val="20"/>
          <w:szCs w:val="20"/>
        </w:rPr>
        <w:t xml:space="preserve"> </w:t>
      </w:r>
      <w:r w:rsidR="00A345AF" w:rsidRPr="00A345AF">
        <w:rPr>
          <w:i/>
          <w:iCs/>
          <w:sz w:val="20"/>
          <w:szCs w:val="20"/>
        </w:rPr>
        <w:t>The Hanged Man: A Story of Miracle, Memory, and Colonialism in the Middle Ages</w:t>
      </w:r>
      <w:r w:rsidR="00A345AF" w:rsidRPr="00A345AF">
        <w:rPr>
          <w:sz w:val="20"/>
          <w:szCs w:val="20"/>
        </w:rPr>
        <w:t xml:space="preserve"> (New Jersey: Princeton University Press</w:t>
      </w:r>
      <w:r w:rsidR="00A345AF" w:rsidRPr="00A345AF">
        <w:rPr>
          <w:sz w:val="20"/>
          <w:szCs w:val="20"/>
        </w:rPr>
        <w:t>, 2006</w:t>
      </w:r>
      <w:r w:rsidR="00A345AF" w:rsidRPr="00A345AF">
        <w:rPr>
          <w:sz w:val="20"/>
          <w:szCs w:val="20"/>
        </w:rPr>
        <w:t>), p.</w:t>
      </w:r>
      <w:r w:rsidR="00A345AF" w:rsidRPr="00A345AF">
        <w:rPr>
          <w:sz w:val="20"/>
          <w:szCs w:val="20"/>
        </w:rPr>
        <w:t xml:space="preserve"> 70</w:t>
      </w:r>
    </w:p>
  </w:footnote>
  <w:footnote w:id="2">
    <w:p w14:paraId="5B523EF4" w14:textId="304F8DE5" w:rsidR="00D572F1" w:rsidRPr="00D572F1" w:rsidRDefault="00770585" w:rsidP="00D572F1">
      <w:pPr>
        <w:pStyle w:val="NormalWeb"/>
        <w:spacing w:before="0" w:beforeAutospacing="0" w:after="240" w:afterAutospacing="0" w:line="360" w:lineRule="auto"/>
        <w:ind w:left="720" w:hanging="720"/>
        <w:rPr>
          <w:sz w:val="20"/>
          <w:szCs w:val="20"/>
        </w:rPr>
      </w:pPr>
      <w:r w:rsidRPr="006C45DE">
        <w:rPr>
          <w:rStyle w:val="FootnoteReference"/>
          <w:sz w:val="20"/>
          <w:szCs w:val="20"/>
        </w:rPr>
        <w:footnoteRef/>
      </w:r>
      <w:r w:rsidR="00D572F1">
        <w:rPr>
          <w:sz w:val="20"/>
          <w:szCs w:val="20"/>
        </w:rPr>
        <w:t xml:space="preserve"> </w:t>
      </w:r>
      <w:r w:rsidR="00D572F1" w:rsidRPr="00D572F1">
        <w:rPr>
          <w:sz w:val="20"/>
          <w:szCs w:val="20"/>
        </w:rPr>
        <w:t>H.</w:t>
      </w:r>
      <w:r w:rsidR="001C4171">
        <w:rPr>
          <w:sz w:val="20"/>
          <w:szCs w:val="20"/>
        </w:rPr>
        <w:t xml:space="preserve"> R.</w:t>
      </w:r>
      <w:r w:rsidR="00D572F1" w:rsidRPr="00D572F1">
        <w:rPr>
          <w:sz w:val="20"/>
          <w:szCs w:val="20"/>
        </w:rPr>
        <w:t xml:space="preserve"> </w:t>
      </w:r>
      <w:r w:rsidR="00D572F1" w:rsidRPr="00D572F1">
        <w:rPr>
          <w:sz w:val="20"/>
          <w:szCs w:val="20"/>
        </w:rPr>
        <w:t xml:space="preserve">Webster, </w:t>
      </w:r>
      <w:r w:rsidR="00D572F1" w:rsidRPr="00D572F1">
        <w:rPr>
          <w:sz w:val="20"/>
          <w:szCs w:val="20"/>
        </w:rPr>
        <w:t>‘</w:t>
      </w:r>
      <w:r w:rsidR="00D572F1" w:rsidRPr="00D572F1">
        <w:rPr>
          <w:sz w:val="20"/>
          <w:szCs w:val="20"/>
        </w:rPr>
        <w:t>The Resuscitation of the Twice-Hanged Man: Miracles and the Body in Medieval Swansea</w:t>
      </w:r>
      <w:r w:rsidR="00D572F1" w:rsidRPr="00D572F1">
        <w:rPr>
          <w:sz w:val="20"/>
          <w:szCs w:val="20"/>
        </w:rPr>
        <w:t>’,</w:t>
      </w:r>
      <w:r w:rsidR="00D572F1" w:rsidRPr="00D572F1">
        <w:rPr>
          <w:sz w:val="20"/>
          <w:szCs w:val="20"/>
        </w:rPr>
        <w:t xml:space="preserve"> in </w:t>
      </w:r>
      <w:r w:rsidR="00D572F1" w:rsidRPr="00D572F1">
        <w:rPr>
          <w:i/>
          <w:iCs/>
          <w:sz w:val="20"/>
          <w:szCs w:val="20"/>
        </w:rPr>
        <w:t>Body Matters: Exploring the Materiality of the Human Body</w:t>
      </w:r>
      <w:r w:rsidR="00D572F1" w:rsidRPr="00D572F1">
        <w:rPr>
          <w:sz w:val="20"/>
          <w:szCs w:val="20"/>
        </w:rPr>
        <w:t xml:space="preserve"> (Cardiff: University </w:t>
      </w:r>
      <w:r w:rsidR="00D572F1">
        <w:rPr>
          <w:sz w:val="20"/>
          <w:szCs w:val="20"/>
        </w:rPr>
        <w:t>o</w:t>
      </w:r>
      <w:r w:rsidR="00D572F1" w:rsidRPr="00D572F1">
        <w:rPr>
          <w:sz w:val="20"/>
          <w:szCs w:val="20"/>
        </w:rPr>
        <w:t>f Wales Press</w:t>
      </w:r>
      <w:r w:rsidR="00D572F1" w:rsidRPr="00D572F1">
        <w:rPr>
          <w:sz w:val="20"/>
          <w:szCs w:val="20"/>
        </w:rPr>
        <w:t>, 2019</w:t>
      </w:r>
      <w:r w:rsidR="00D572F1" w:rsidRPr="00D572F1">
        <w:rPr>
          <w:sz w:val="20"/>
          <w:szCs w:val="20"/>
        </w:rPr>
        <w:t>), p. 135–51</w:t>
      </w:r>
      <w:r w:rsidR="00D572F1">
        <w:rPr>
          <w:sz w:val="20"/>
          <w:szCs w:val="20"/>
        </w:rPr>
        <w:t>, (p. 138)</w:t>
      </w:r>
    </w:p>
    <w:p w14:paraId="0A5CBFFD" w14:textId="7D460F7F" w:rsidR="00770585" w:rsidRPr="006C45DE" w:rsidRDefault="00770585" w:rsidP="008136E7">
      <w:pPr>
        <w:pStyle w:val="NormalWeb"/>
        <w:spacing w:before="0" w:beforeAutospacing="0" w:after="240" w:afterAutospacing="0" w:line="360" w:lineRule="auto"/>
        <w:ind w:left="720" w:hanging="720"/>
        <w:rPr>
          <w:sz w:val="20"/>
          <w:szCs w:val="20"/>
        </w:rPr>
      </w:pPr>
    </w:p>
  </w:footnote>
  <w:footnote w:id="3">
    <w:p w14:paraId="51D93368" w14:textId="5E9E8DCE" w:rsidR="00FB7BA0" w:rsidRDefault="00FB7BA0">
      <w:pPr>
        <w:pStyle w:val="FootnoteText"/>
      </w:pPr>
      <w:r>
        <w:rPr>
          <w:rStyle w:val="FootnoteReference"/>
        </w:rPr>
        <w:footnoteRef/>
      </w:r>
      <w:r>
        <w:t xml:space="preserve"> </w:t>
      </w:r>
      <w:r w:rsidRPr="00FB7BA0">
        <w:rPr>
          <w:rFonts w:ascii="Times New Roman" w:hAnsi="Times New Roman" w:cs="Times New Roman"/>
        </w:rPr>
        <w:t xml:space="preserve">Bartlett, </w:t>
      </w:r>
      <w:r w:rsidRPr="00FB7BA0">
        <w:rPr>
          <w:rFonts w:ascii="Times New Roman" w:hAnsi="Times New Roman" w:cs="Times New Roman"/>
          <w:i/>
          <w:iCs/>
        </w:rPr>
        <w:t>The Hanged Man</w:t>
      </w:r>
      <w:r w:rsidRPr="00FB7BA0">
        <w:rPr>
          <w:rFonts w:ascii="Times New Roman" w:hAnsi="Times New Roman" w:cs="Times New Roman"/>
        </w:rPr>
        <w:t>, p. 13</w:t>
      </w:r>
    </w:p>
  </w:footnote>
  <w:footnote w:id="4">
    <w:p w14:paraId="39F6419A" w14:textId="6C371785" w:rsidR="001C4171" w:rsidRPr="002D20D7" w:rsidRDefault="001C4171" w:rsidP="002D20D7">
      <w:pPr>
        <w:spacing w:line="360" w:lineRule="auto"/>
        <w:rPr>
          <w:rFonts w:ascii="Times New Roman" w:hAnsi="Times New Roman" w:cs="Times New Roman"/>
          <w:sz w:val="24"/>
          <w:szCs w:val="24"/>
        </w:rPr>
      </w:pPr>
      <w:r>
        <w:rPr>
          <w:rStyle w:val="FootnoteReference"/>
        </w:rPr>
        <w:footnoteRef/>
      </w:r>
      <w:r>
        <w:t xml:space="preserve"> </w:t>
      </w:r>
      <w:r w:rsidR="002D20D7" w:rsidRPr="002D20D7">
        <w:rPr>
          <w:rFonts w:ascii="Times New Roman" w:hAnsi="Times New Roman" w:cs="Times New Roman"/>
          <w:i/>
          <w:iCs/>
          <w:sz w:val="20"/>
          <w:szCs w:val="20"/>
        </w:rPr>
        <w:t>Description of the miracle of William Cragh,</w:t>
      </w:r>
      <w:r w:rsidR="002D20D7" w:rsidRPr="002D20D7">
        <w:rPr>
          <w:rFonts w:ascii="Times New Roman" w:hAnsi="Times New Roman" w:cs="Times New Roman"/>
          <w:sz w:val="20"/>
          <w:szCs w:val="20"/>
        </w:rPr>
        <w:t xml:space="preserve"> Oxford, Exter College MS 158 fols. 18r-19r, trans. H. R. Webster. Available at: </w:t>
      </w:r>
      <w:hyperlink r:id="rId1" w:history="1">
        <w:r w:rsidR="002D20D7" w:rsidRPr="002D20D7">
          <w:rPr>
            <w:rStyle w:val="Hyperlink"/>
            <w:rFonts w:ascii="Times New Roman" w:hAnsi="Times New Roman" w:cs="Times New Roman"/>
            <w:sz w:val="20"/>
            <w:szCs w:val="20"/>
          </w:rPr>
          <w:t>https://digital.bodleian.ox.ac.uk/inquire/p/c1f53036-f7e8-4049-b88e-fd72bd11225b</w:t>
        </w:r>
      </w:hyperlink>
      <w:r w:rsidR="002D20D7">
        <w:rPr>
          <w:rFonts w:ascii="Times New Roman" w:hAnsi="Times New Roman" w:cs="Times New Roman"/>
          <w:sz w:val="20"/>
          <w:szCs w:val="20"/>
        </w:rPr>
        <w:t xml:space="preserve"> [Accessed 4 June 2021]</w:t>
      </w:r>
    </w:p>
  </w:footnote>
  <w:footnote w:id="5">
    <w:p w14:paraId="016F066F" w14:textId="70ED0F65" w:rsidR="00247B92" w:rsidRDefault="00247B92">
      <w:pPr>
        <w:pStyle w:val="FootnoteText"/>
      </w:pPr>
      <w:r>
        <w:rPr>
          <w:rStyle w:val="FootnoteReference"/>
        </w:rPr>
        <w:footnoteRef/>
      </w:r>
      <w:r>
        <w:t xml:space="preserve"> </w:t>
      </w:r>
      <w:r w:rsidRPr="00FB7BA0">
        <w:rPr>
          <w:rFonts w:ascii="Times New Roman" w:hAnsi="Times New Roman" w:cs="Times New Roman"/>
        </w:rPr>
        <w:t xml:space="preserve">Bartlett, </w:t>
      </w:r>
      <w:r w:rsidRPr="00FB7BA0">
        <w:rPr>
          <w:rFonts w:ascii="Times New Roman" w:hAnsi="Times New Roman" w:cs="Times New Roman"/>
          <w:i/>
          <w:iCs/>
        </w:rPr>
        <w:t>The Hanged Man</w:t>
      </w:r>
      <w:r w:rsidRPr="00FB7BA0">
        <w:rPr>
          <w:rFonts w:ascii="Times New Roman" w:hAnsi="Times New Roman" w:cs="Times New Roman"/>
        </w:rPr>
        <w:t xml:space="preserve">, p. </w:t>
      </w:r>
      <w:r>
        <w:rPr>
          <w:rFonts w:ascii="Times New Roman" w:hAnsi="Times New Roman" w:cs="Times New Roman"/>
        </w:rPr>
        <w:t>8-12</w:t>
      </w:r>
    </w:p>
  </w:footnote>
  <w:footnote w:id="6">
    <w:p w14:paraId="42CFDACC" w14:textId="7CA221DA" w:rsidR="00751CEF" w:rsidRDefault="00751CEF">
      <w:pPr>
        <w:pStyle w:val="FootnoteText"/>
      </w:pPr>
      <w:r>
        <w:rPr>
          <w:rStyle w:val="FootnoteReference"/>
        </w:rPr>
        <w:footnoteRef/>
      </w:r>
      <w:r>
        <w:t xml:space="preserve"> </w:t>
      </w:r>
      <w:r w:rsidRPr="00751CEF">
        <w:rPr>
          <w:rFonts w:ascii="Times New Roman" w:hAnsi="Times New Roman" w:cs="Times New Roman"/>
        </w:rPr>
        <w:t xml:space="preserve">A. </w:t>
      </w:r>
      <w:r w:rsidRPr="00751CEF">
        <w:rPr>
          <w:rFonts w:ascii="Times New Roman" w:hAnsi="Times New Roman" w:cs="Times New Roman"/>
        </w:rPr>
        <w:t xml:space="preserve">Vauchez, </w:t>
      </w:r>
      <w:r w:rsidRPr="00751CEF">
        <w:rPr>
          <w:rFonts w:ascii="Times New Roman" w:hAnsi="Times New Roman" w:cs="Times New Roman"/>
          <w:i/>
          <w:iCs/>
        </w:rPr>
        <w:t>Sainthood in the Later Middle Ages</w:t>
      </w:r>
      <w:r w:rsidRPr="00751CEF">
        <w:rPr>
          <w:rFonts w:ascii="Times New Roman" w:hAnsi="Times New Roman" w:cs="Times New Roman"/>
        </w:rPr>
        <w:t xml:space="preserve"> </w:t>
      </w:r>
      <w:r w:rsidRPr="00751CEF">
        <w:rPr>
          <w:rFonts w:ascii="Times New Roman" w:hAnsi="Times New Roman" w:cs="Times New Roman"/>
        </w:rPr>
        <w:t>(</w:t>
      </w:r>
      <w:r w:rsidRPr="00751CEF">
        <w:rPr>
          <w:rFonts w:ascii="Times New Roman" w:hAnsi="Times New Roman" w:cs="Times New Roman"/>
        </w:rPr>
        <w:t>Cambridge: Cambridge University Press</w:t>
      </w:r>
      <w:r w:rsidRPr="00751CEF">
        <w:rPr>
          <w:rFonts w:ascii="Times New Roman" w:hAnsi="Times New Roman" w:cs="Times New Roman"/>
        </w:rPr>
        <w:t>, 2005) p. 453</w:t>
      </w:r>
    </w:p>
  </w:footnote>
  <w:footnote w:id="7">
    <w:p w14:paraId="11488E76" w14:textId="61CCCAB0" w:rsidR="004430AE" w:rsidRDefault="004430AE">
      <w:pPr>
        <w:pStyle w:val="FootnoteText"/>
      </w:pPr>
      <w:r>
        <w:rPr>
          <w:rStyle w:val="FootnoteReference"/>
        </w:rPr>
        <w:footnoteRef/>
      </w:r>
      <w:r>
        <w:t xml:space="preserve"> </w:t>
      </w:r>
      <w:r w:rsidRPr="004430AE">
        <w:rPr>
          <w:rFonts w:ascii="Times New Roman" w:hAnsi="Times New Roman" w:cs="Times New Roman"/>
        </w:rPr>
        <w:t xml:space="preserve">Webster, </w:t>
      </w:r>
      <w:r w:rsidRPr="004430AE">
        <w:rPr>
          <w:rFonts w:ascii="Times New Roman" w:hAnsi="Times New Roman" w:cs="Times New Roman"/>
          <w:i/>
          <w:iCs/>
        </w:rPr>
        <w:t>The Resuscitation of the Twice-Hanged Man</w:t>
      </w:r>
      <w:r w:rsidRPr="004430AE">
        <w:rPr>
          <w:rFonts w:ascii="Times New Roman" w:hAnsi="Times New Roman" w:cs="Times New Roman"/>
        </w:rPr>
        <w:t>, p. 138</w:t>
      </w:r>
    </w:p>
  </w:footnote>
  <w:footnote w:id="8">
    <w:p w14:paraId="7E4052DD" w14:textId="019708F1" w:rsidR="00ED5B99" w:rsidRPr="00537388" w:rsidRDefault="00ED5B99" w:rsidP="00537388">
      <w:pPr>
        <w:pStyle w:val="NormalWeb"/>
        <w:spacing w:before="0" w:beforeAutospacing="0" w:after="240" w:afterAutospacing="0" w:line="360" w:lineRule="auto"/>
        <w:ind w:left="720" w:hanging="720"/>
        <w:rPr>
          <w:sz w:val="20"/>
          <w:szCs w:val="20"/>
        </w:rPr>
      </w:pPr>
      <w:r w:rsidRPr="00ED5B99">
        <w:rPr>
          <w:rStyle w:val="FootnoteReference"/>
          <w:sz w:val="20"/>
          <w:szCs w:val="20"/>
        </w:rPr>
        <w:footnoteRef/>
      </w:r>
      <w:r w:rsidRPr="00ED5B99">
        <w:rPr>
          <w:sz w:val="20"/>
          <w:szCs w:val="20"/>
        </w:rPr>
        <w:t xml:space="preserve"> S. E. </w:t>
      </w:r>
      <w:r w:rsidRPr="00ED5B99">
        <w:rPr>
          <w:sz w:val="20"/>
          <w:szCs w:val="20"/>
        </w:rPr>
        <w:t xml:space="preserve">Smith, </w:t>
      </w:r>
      <w:r w:rsidRPr="00ED5B99">
        <w:rPr>
          <w:sz w:val="20"/>
          <w:szCs w:val="20"/>
        </w:rPr>
        <w:t>‘</w:t>
      </w:r>
      <w:r w:rsidRPr="00ED5B99">
        <w:rPr>
          <w:sz w:val="20"/>
          <w:szCs w:val="20"/>
        </w:rPr>
        <w:t>Going through All These Things Twice: A Brief History of Botched Executions</w:t>
      </w:r>
      <w:r w:rsidRPr="00ED5B99">
        <w:rPr>
          <w:sz w:val="20"/>
          <w:szCs w:val="20"/>
        </w:rPr>
        <w:t>’,</w:t>
      </w:r>
      <w:r w:rsidRPr="00ED5B99">
        <w:rPr>
          <w:sz w:val="20"/>
          <w:szCs w:val="20"/>
        </w:rPr>
        <w:t xml:space="preserve"> </w:t>
      </w:r>
      <w:r w:rsidRPr="00ED5B99">
        <w:rPr>
          <w:i/>
          <w:iCs/>
          <w:sz w:val="20"/>
          <w:szCs w:val="20"/>
        </w:rPr>
        <w:t>Otago Law Review</w:t>
      </w:r>
      <w:r w:rsidRPr="00ED5B99">
        <w:rPr>
          <w:sz w:val="20"/>
          <w:szCs w:val="20"/>
        </w:rPr>
        <w:t>, 12</w:t>
      </w:r>
      <w:r w:rsidRPr="00ED5B99">
        <w:rPr>
          <w:sz w:val="20"/>
          <w:szCs w:val="20"/>
        </w:rPr>
        <w:t>(</w:t>
      </w:r>
      <w:r w:rsidRPr="00ED5B99">
        <w:rPr>
          <w:sz w:val="20"/>
          <w:szCs w:val="20"/>
        </w:rPr>
        <w:t>4</w:t>
      </w:r>
      <w:r w:rsidRPr="00ED5B99">
        <w:rPr>
          <w:sz w:val="20"/>
          <w:szCs w:val="20"/>
        </w:rPr>
        <w:t>) (2012)</w:t>
      </w:r>
      <w:r>
        <w:rPr>
          <w:sz w:val="20"/>
          <w:szCs w:val="20"/>
        </w:rPr>
        <w:t>,</w:t>
      </w:r>
      <w:r w:rsidRPr="00ED5B99">
        <w:rPr>
          <w:sz w:val="20"/>
          <w:szCs w:val="20"/>
        </w:rPr>
        <w:t xml:space="preserve"> 777–827</w:t>
      </w:r>
      <w:r w:rsidRPr="00ED5B99">
        <w:rPr>
          <w:sz w:val="20"/>
          <w:szCs w:val="20"/>
        </w:rPr>
        <w:t xml:space="preserve"> (p. 777-784)</w:t>
      </w:r>
    </w:p>
  </w:footnote>
  <w:footnote w:id="9">
    <w:p w14:paraId="0C1EAD26" w14:textId="08FD89AB" w:rsidR="00537388" w:rsidRDefault="00537388" w:rsidP="00537388">
      <w:pPr>
        <w:pStyle w:val="FootnoteText"/>
      </w:pPr>
      <w:r>
        <w:rPr>
          <w:rStyle w:val="FootnoteReference"/>
        </w:rPr>
        <w:footnoteRef/>
      </w:r>
      <w:r>
        <w:t xml:space="preserve"> </w:t>
      </w:r>
      <w:r w:rsidRPr="004430AE">
        <w:rPr>
          <w:rFonts w:ascii="Times New Roman" w:hAnsi="Times New Roman" w:cs="Times New Roman"/>
        </w:rPr>
        <w:t xml:space="preserve">Webster, </w:t>
      </w:r>
      <w:r w:rsidRPr="004430AE">
        <w:rPr>
          <w:rFonts w:ascii="Times New Roman" w:hAnsi="Times New Roman" w:cs="Times New Roman"/>
          <w:i/>
          <w:iCs/>
        </w:rPr>
        <w:t>The Resuscitation of the Twice-Hanged Man</w:t>
      </w:r>
      <w:r w:rsidRPr="004430AE">
        <w:rPr>
          <w:rFonts w:ascii="Times New Roman" w:hAnsi="Times New Roman" w:cs="Times New Roman"/>
        </w:rPr>
        <w:t>, p. 1</w:t>
      </w:r>
      <w:r>
        <w:rPr>
          <w:rFonts w:ascii="Times New Roman" w:hAnsi="Times New Roman" w:cs="Times New Roman"/>
        </w:rPr>
        <w:t>44</w:t>
      </w:r>
    </w:p>
    <w:p w14:paraId="4ECDB146" w14:textId="0FE54879" w:rsidR="00537388" w:rsidRDefault="00537388">
      <w:pPr>
        <w:pStyle w:val="FootnoteText"/>
      </w:pPr>
    </w:p>
  </w:footnote>
  <w:footnote w:id="10">
    <w:p w14:paraId="258E17E6" w14:textId="157A0A40" w:rsidR="00537388" w:rsidRPr="00F07460" w:rsidRDefault="00537388" w:rsidP="00F07460">
      <w:pPr>
        <w:pStyle w:val="NormalWeb"/>
        <w:spacing w:before="0" w:beforeAutospacing="0" w:after="240" w:afterAutospacing="0" w:line="360" w:lineRule="auto"/>
        <w:ind w:left="720" w:hanging="720"/>
        <w:rPr>
          <w:sz w:val="20"/>
          <w:szCs w:val="20"/>
        </w:rPr>
      </w:pPr>
      <w:r w:rsidRPr="00537388">
        <w:rPr>
          <w:rStyle w:val="FootnoteReference"/>
          <w:sz w:val="20"/>
          <w:szCs w:val="20"/>
        </w:rPr>
        <w:footnoteRef/>
      </w:r>
      <w:r w:rsidRPr="00537388">
        <w:rPr>
          <w:sz w:val="20"/>
          <w:szCs w:val="20"/>
        </w:rPr>
        <w:t xml:space="preserve"> R. C. </w:t>
      </w:r>
      <w:r w:rsidRPr="00537388">
        <w:rPr>
          <w:sz w:val="20"/>
          <w:szCs w:val="20"/>
        </w:rPr>
        <w:t xml:space="preserve">Finucane, </w:t>
      </w:r>
      <w:r w:rsidRPr="00537388">
        <w:rPr>
          <w:sz w:val="20"/>
          <w:szCs w:val="20"/>
        </w:rPr>
        <w:t>‘</w:t>
      </w:r>
      <w:r w:rsidRPr="00537388">
        <w:rPr>
          <w:sz w:val="20"/>
          <w:szCs w:val="20"/>
        </w:rPr>
        <w:t>The Toddler in the Ditch: A Case of Parental Neglect?</w:t>
      </w:r>
      <w:r w:rsidRPr="00537388">
        <w:rPr>
          <w:sz w:val="20"/>
          <w:szCs w:val="20"/>
        </w:rPr>
        <w:t>’,</w:t>
      </w:r>
      <w:r w:rsidRPr="00537388">
        <w:rPr>
          <w:sz w:val="20"/>
          <w:szCs w:val="20"/>
        </w:rPr>
        <w:t xml:space="preserve"> in </w:t>
      </w:r>
      <w:r w:rsidRPr="00537388">
        <w:rPr>
          <w:i/>
          <w:iCs/>
          <w:sz w:val="20"/>
          <w:szCs w:val="20"/>
        </w:rPr>
        <w:t>Voices from the Bench: The Narratives of Lesser Folk in Medieval Trials</w:t>
      </w:r>
      <w:r w:rsidRPr="00537388">
        <w:rPr>
          <w:sz w:val="20"/>
          <w:szCs w:val="20"/>
        </w:rPr>
        <w:t xml:space="preserve"> (Palgrave: Basingstoke</w:t>
      </w:r>
      <w:r w:rsidRPr="00537388">
        <w:rPr>
          <w:sz w:val="20"/>
          <w:szCs w:val="20"/>
        </w:rPr>
        <w:t>, 2006</w:t>
      </w:r>
      <w:r w:rsidRPr="00537388">
        <w:rPr>
          <w:sz w:val="20"/>
          <w:szCs w:val="20"/>
        </w:rPr>
        <w:t>), p. 128–48</w:t>
      </w:r>
    </w:p>
  </w:footnote>
  <w:footnote w:id="11">
    <w:p w14:paraId="55F0FA06" w14:textId="3D973310" w:rsidR="00F07460" w:rsidRDefault="00F07460" w:rsidP="00847720">
      <w:pPr>
        <w:pStyle w:val="NormalWeb"/>
        <w:spacing w:before="0" w:beforeAutospacing="0" w:after="240" w:afterAutospacing="0" w:line="360" w:lineRule="auto"/>
        <w:ind w:left="720" w:hanging="720"/>
      </w:pPr>
      <w:r>
        <w:rPr>
          <w:rStyle w:val="FootnoteReference"/>
        </w:rPr>
        <w:footnoteRef/>
      </w:r>
      <w:r>
        <w:t xml:space="preserve"> </w:t>
      </w:r>
      <w:r w:rsidRPr="00F07460">
        <w:rPr>
          <w:sz w:val="20"/>
          <w:szCs w:val="20"/>
        </w:rPr>
        <w:t xml:space="preserve">M. </w:t>
      </w:r>
      <w:r w:rsidRPr="00F07460">
        <w:rPr>
          <w:sz w:val="20"/>
          <w:szCs w:val="20"/>
        </w:rPr>
        <w:t>Goodich,</w:t>
      </w:r>
      <w:r w:rsidRPr="00F07460">
        <w:rPr>
          <w:sz w:val="20"/>
          <w:szCs w:val="20"/>
        </w:rPr>
        <w:t xml:space="preserve"> </w:t>
      </w:r>
      <w:r w:rsidRPr="00F07460">
        <w:rPr>
          <w:i/>
          <w:iCs/>
          <w:sz w:val="20"/>
          <w:szCs w:val="20"/>
        </w:rPr>
        <w:t>Miracles and Wonders: The Development of the Concept of Miracle, 1150-1350</w:t>
      </w:r>
      <w:r w:rsidRPr="00F07460">
        <w:rPr>
          <w:sz w:val="20"/>
          <w:szCs w:val="20"/>
        </w:rPr>
        <w:t xml:space="preserve"> (London: Routledge</w:t>
      </w:r>
      <w:r w:rsidRPr="00F07460">
        <w:rPr>
          <w:sz w:val="20"/>
          <w:szCs w:val="20"/>
        </w:rPr>
        <w:t>, 2007</w:t>
      </w:r>
      <w:r w:rsidRPr="00F07460">
        <w:rPr>
          <w:sz w:val="20"/>
          <w:szCs w:val="20"/>
        </w:rPr>
        <w:t>) p. 82</w:t>
      </w:r>
    </w:p>
  </w:footnote>
  <w:footnote w:id="12">
    <w:p w14:paraId="4FFD0A3F" w14:textId="2FA3E50F" w:rsidR="00847720" w:rsidRPr="00847720" w:rsidRDefault="00847720">
      <w:pPr>
        <w:pStyle w:val="FootnoteText"/>
        <w:rPr>
          <w:b/>
          <w:bCs/>
        </w:rPr>
      </w:pPr>
      <w:r>
        <w:rPr>
          <w:rStyle w:val="FootnoteReference"/>
        </w:rPr>
        <w:footnoteRef/>
      </w:r>
      <w:r>
        <w:t xml:space="preserve"> </w:t>
      </w:r>
      <w:r w:rsidRPr="00FB7BA0">
        <w:rPr>
          <w:rFonts w:ascii="Times New Roman" w:hAnsi="Times New Roman" w:cs="Times New Roman"/>
        </w:rPr>
        <w:t xml:space="preserve">Bartlett, </w:t>
      </w:r>
      <w:r w:rsidRPr="00FB7BA0">
        <w:rPr>
          <w:rFonts w:ascii="Times New Roman" w:hAnsi="Times New Roman" w:cs="Times New Roman"/>
          <w:i/>
          <w:iCs/>
        </w:rPr>
        <w:t>The Hanged Man</w:t>
      </w:r>
      <w:r w:rsidRPr="00FB7BA0">
        <w:rPr>
          <w:rFonts w:ascii="Times New Roman" w:hAnsi="Times New Roman" w:cs="Times New Roman"/>
        </w:rPr>
        <w:t xml:space="preserve">, p. </w:t>
      </w:r>
      <w:r>
        <w:rPr>
          <w:rFonts w:ascii="Times New Roman" w:hAnsi="Times New Roman" w:cs="Times New Roman"/>
        </w:rPr>
        <w:t>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73BDE"/>
    <w:multiLevelType w:val="hybridMultilevel"/>
    <w:tmpl w:val="CE8C7208"/>
    <w:lvl w:ilvl="0" w:tplc="247E48A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B87B44"/>
    <w:multiLevelType w:val="hybridMultilevel"/>
    <w:tmpl w:val="27B83738"/>
    <w:lvl w:ilvl="0" w:tplc="0C42A4A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F33"/>
    <w:rsid w:val="00017DF9"/>
    <w:rsid w:val="00092282"/>
    <w:rsid w:val="000C6CAD"/>
    <w:rsid w:val="00136AED"/>
    <w:rsid w:val="00165355"/>
    <w:rsid w:val="001C4171"/>
    <w:rsid w:val="00247B92"/>
    <w:rsid w:val="0028420B"/>
    <w:rsid w:val="00287BA6"/>
    <w:rsid w:val="002D1F17"/>
    <w:rsid w:val="002D20D7"/>
    <w:rsid w:val="003D0E93"/>
    <w:rsid w:val="00421A66"/>
    <w:rsid w:val="004430AE"/>
    <w:rsid w:val="00454C81"/>
    <w:rsid w:val="00537388"/>
    <w:rsid w:val="005F0289"/>
    <w:rsid w:val="006206DA"/>
    <w:rsid w:val="00670E06"/>
    <w:rsid w:val="006C45DE"/>
    <w:rsid w:val="007166A5"/>
    <w:rsid w:val="007363F7"/>
    <w:rsid w:val="00751CEF"/>
    <w:rsid w:val="007673B9"/>
    <w:rsid w:val="00770585"/>
    <w:rsid w:val="007D3D6E"/>
    <w:rsid w:val="008136E7"/>
    <w:rsid w:val="00847720"/>
    <w:rsid w:val="00872619"/>
    <w:rsid w:val="00A345AF"/>
    <w:rsid w:val="00A50027"/>
    <w:rsid w:val="00AC5220"/>
    <w:rsid w:val="00AC5CA2"/>
    <w:rsid w:val="00B17E10"/>
    <w:rsid w:val="00B654D7"/>
    <w:rsid w:val="00BE5E19"/>
    <w:rsid w:val="00C347B4"/>
    <w:rsid w:val="00CB6F33"/>
    <w:rsid w:val="00CE2335"/>
    <w:rsid w:val="00D00976"/>
    <w:rsid w:val="00D572F1"/>
    <w:rsid w:val="00DB1A18"/>
    <w:rsid w:val="00E10202"/>
    <w:rsid w:val="00ED0A18"/>
    <w:rsid w:val="00ED5B99"/>
    <w:rsid w:val="00F07460"/>
    <w:rsid w:val="00F93E11"/>
    <w:rsid w:val="00FB7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54F3A"/>
  <w15:chartTrackingRefBased/>
  <w15:docId w15:val="{8939D434-FD0B-4465-8399-30A1B7EBB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7E10"/>
    <w:pPr>
      <w:ind w:left="720"/>
      <w:contextualSpacing/>
    </w:pPr>
  </w:style>
  <w:style w:type="paragraph" w:styleId="FootnoteText">
    <w:name w:val="footnote text"/>
    <w:basedOn w:val="Normal"/>
    <w:link w:val="FootnoteTextChar"/>
    <w:uiPriority w:val="99"/>
    <w:semiHidden/>
    <w:unhideWhenUsed/>
    <w:rsid w:val="007705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0585"/>
    <w:rPr>
      <w:sz w:val="20"/>
      <w:szCs w:val="20"/>
    </w:rPr>
  </w:style>
  <w:style w:type="character" w:styleId="FootnoteReference">
    <w:name w:val="footnote reference"/>
    <w:basedOn w:val="DefaultParagraphFont"/>
    <w:uiPriority w:val="99"/>
    <w:semiHidden/>
    <w:unhideWhenUsed/>
    <w:rsid w:val="00770585"/>
    <w:rPr>
      <w:vertAlign w:val="superscript"/>
    </w:rPr>
  </w:style>
  <w:style w:type="paragraph" w:styleId="NormalWeb">
    <w:name w:val="Normal (Web)"/>
    <w:basedOn w:val="Normal"/>
    <w:uiPriority w:val="99"/>
    <w:unhideWhenUsed/>
    <w:rsid w:val="007705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D20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08113">
      <w:bodyDiv w:val="1"/>
      <w:marLeft w:val="0"/>
      <w:marRight w:val="0"/>
      <w:marTop w:val="0"/>
      <w:marBottom w:val="0"/>
      <w:divBdr>
        <w:top w:val="none" w:sz="0" w:space="0" w:color="auto"/>
        <w:left w:val="none" w:sz="0" w:space="0" w:color="auto"/>
        <w:bottom w:val="none" w:sz="0" w:space="0" w:color="auto"/>
        <w:right w:val="none" w:sz="0" w:space="0" w:color="auto"/>
      </w:divBdr>
    </w:div>
    <w:div w:id="28603912">
      <w:bodyDiv w:val="1"/>
      <w:marLeft w:val="0"/>
      <w:marRight w:val="0"/>
      <w:marTop w:val="0"/>
      <w:marBottom w:val="0"/>
      <w:divBdr>
        <w:top w:val="none" w:sz="0" w:space="0" w:color="auto"/>
        <w:left w:val="none" w:sz="0" w:space="0" w:color="auto"/>
        <w:bottom w:val="none" w:sz="0" w:space="0" w:color="auto"/>
        <w:right w:val="none" w:sz="0" w:space="0" w:color="auto"/>
      </w:divBdr>
      <w:divsChild>
        <w:div w:id="785778338">
          <w:marLeft w:val="0"/>
          <w:marRight w:val="0"/>
          <w:marTop w:val="0"/>
          <w:marBottom w:val="0"/>
          <w:divBdr>
            <w:top w:val="none" w:sz="0" w:space="0" w:color="auto"/>
            <w:left w:val="none" w:sz="0" w:space="0" w:color="auto"/>
            <w:bottom w:val="none" w:sz="0" w:space="0" w:color="auto"/>
            <w:right w:val="none" w:sz="0" w:space="0" w:color="auto"/>
          </w:divBdr>
        </w:div>
      </w:divsChild>
    </w:div>
    <w:div w:id="74978457">
      <w:bodyDiv w:val="1"/>
      <w:marLeft w:val="0"/>
      <w:marRight w:val="0"/>
      <w:marTop w:val="0"/>
      <w:marBottom w:val="0"/>
      <w:divBdr>
        <w:top w:val="none" w:sz="0" w:space="0" w:color="auto"/>
        <w:left w:val="none" w:sz="0" w:space="0" w:color="auto"/>
        <w:bottom w:val="none" w:sz="0" w:space="0" w:color="auto"/>
        <w:right w:val="none" w:sz="0" w:space="0" w:color="auto"/>
      </w:divBdr>
      <w:divsChild>
        <w:div w:id="1288779696">
          <w:marLeft w:val="0"/>
          <w:marRight w:val="0"/>
          <w:marTop w:val="0"/>
          <w:marBottom w:val="0"/>
          <w:divBdr>
            <w:top w:val="none" w:sz="0" w:space="0" w:color="auto"/>
            <w:left w:val="none" w:sz="0" w:space="0" w:color="auto"/>
            <w:bottom w:val="none" w:sz="0" w:space="0" w:color="auto"/>
            <w:right w:val="none" w:sz="0" w:space="0" w:color="auto"/>
          </w:divBdr>
        </w:div>
      </w:divsChild>
    </w:div>
    <w:div w:id="519658292">
      <w:bodyDiv w:val="1"/>
      <w:marLeft w:val="0"/>
      <w:marRight w:val="0"/>
      <w:marTop w:val="0"/>
      <w:marBottom w:val="0"/>
      <w:divBdr>
        <w:top w:val="none" w:sz="0" w:space="0" w:color="auto"/>
        <w:left w:val="none" w:sz="0" w:space="0" w:color="auto"/>
        <w:bottom w:val="none" w:sz="0" w:space="0" w:color="auto"/>
        <w:right w:val="none" w:sz="0" w:space="0" w:color="auto"/>
      </w:divBdr>
      <w:divsChild>
        <w:div w:id="1435249334">
          <w:marLeft w:val="0"/>
          <w:marRight w:val="0"/>
          <w:marTop w:val="0"/>
          <w:marBottom w:val="0"/>
          <w:divBdr>
            <w:top w:val="none" w:sz="0" w:space="0" w:color="auto"/>
            <w:left w:val="none" w:sz="0" w:space="0" w:color="auto"/>
            <w:bottom w:val="none" w:sz="0" w:space="0" w:color="auto"/>
            <w:right w:val="none" w:sz="0" w:space="0" w:color="auto"/>
          </w:divBdr>
        </w:div>
      </w:divsChild>
    </w:div>
    <w:div w:id="721565938">
      <w:bodyDiv w:val="1"/>
      <w:marLeft w:val="0"/>
      <w:marRight w:val="0"/>
      <w:marTop w:val="0"/>
      <w:marBottom w:val="0"/>
      <w:divBdr>
        <w:top w:val="none" w:sz="0" w:space="0" w:color="auto"/>
        <w:left w:val="none" w:sz="0" w:space="0" w:color="auto"/>
        <w:bottom w:val="none" w:sz="0" w:space="0" w:color="auto"/>
        <w:right w:val="none" w:sz="0" w:space="0" w:color="auto"/>
      </w:divBdr>
      <w:divsChild>
        <w:div w:id="1733962439">
          <w:marLeft w:val="0"/>
          <w:marRight w:val="0"/>
          <w:marTop w:val="0"/>
          <w:marBottom w:val="0"/>
          <w:divBdr>
            <w:top w:val="none" w:sz="0" w:space="0" w:color="auto"/>
            <w:left w:val="none" w:sz="0" w:space="0" w:color="auto"/>
            <w:bottom w:val="none" w:sz="0" w:space="0" w:color="auto"/>
            <w:right w:val="none" w:sz="0" w:space="0" w:color="auto"/>
          </w:divBdr>
        </w:div>
      </w:divsChild>
    </w:div>
    <w:div w:id="937710617">
      <w:bodyDiv w:val="1"/>
      <w:marLeft w:val="0"/>
      <w:marRight w:val="0"/>
      <w:marTop w:val="0"/>
      <w:marBottom w:val="0"/>
      <w:divBdr>
        <w:top w:val="none" w:sz="0" w:space="0" w:color="auto"/>
        <w:left w:val="none" w:sz="0" w:space="0" w:color="auto"/>
        <w:bottom w:val="none" w:sz="0" w:space="0" w:color="auto"/>
        <w:right w:val="none" w:sz="0" w:space="0" w:color="auto"/>
      </w:divBdr>
      <w:divsChild>
        <w:div w:id="1549609451">
          <w:marLeft w:val="0"/>
          <w:marRight w:val="0"/>
          <w:marTop w:val="0"/>
          <w:marBottom w:val="0"/>
          <w:divBdr>
            <w:top w:val="none" w:sz="0" w:space="0" w:color="auto"/>
            <w:left w:val="none" w:sz="0" w:space="0" w:color="auto"/>
            <w:bottom w:val="none" w:sz="0" w:space="0" w:color="auto"/>
            <w:right w:val="none" w:sz="0" w:space="0" w:color="auto"/>
          </w:divBdr>
        </w:div>
      </w:divsChild>
    </w:div>
    <w:div w:id="972751303">
      <w:bodyDiv w:val="1"/>
      <w:marLeft w:val="0"/>
      <w:marRight w:val="0"/>
      <w:marTop w:val="0"/>
      <w:marBottom w:val="0"/>
      <w:divBdr>
        <w:top w:val="none" w:sz="0" w:space="0" w:color="auto"/>
        <w:left w:val="none" w:sz="0" w:space="0" w:color="auto"/>
        <w:bottom w:val="none" w:sz="0" w:space="0" w:color="auto"/>
        <w:right w:val="none" w:sz="0" w:space="0" w:color="auto"/>
      </w:divBdr>
    </w:div>
    <w:div w:id="1072778304">
      <w:bodyDiv w:val="1"/>
      <w:marLeft w:val="0"/>
      <w:marRight w:val="0"/>
      <w:marTop w:val="0"/>
      <w:marBottom w:val="0"/>
      <w:divBdr>
        <w:top w:val="none" w:sz="0" w:space="0" w:color="auto"/>
        <w:left w:val="none" w:sz="0" w:space="0" w:color="auto"/>
        <w:bottom w:val="none" w:sz="0" w:space="0" w:color="auto"/>
        <w:right w:val="none" w:sz="0" w:space="0" w:color="auto"/>
      </w:divBdr>
    </w:div>
    <w:div w:id="1225215969">
      <w:bodyDiv w:val="1"/>
      <w:marLeft w:val="0"/>
      <w:marRight w:val="0"/>
      <w:marTop w:val="0"/>
      <w:marBottom w:val="0"/>
      <w:divBdr>
        <w:top w:val="none" w:sz="0" w:space="0" w:color="auto"/>
        <w:left w:val="none" w:sz="0" w:space="0" w:color="auto"/>
        <w:bottom w:val="none" w:sz="0" w:space="0" w:color="auto"/>
        <w:right w:val="none" w:sz="0" w:space="0" w:color="auto"/>
      </w:divBdr>
      <w:divsChild>
        <w:div w:id="1672680978">
          <w:marLeft w:val="0"/>
          <w:marRight w:val="0"/>
          <w:marTop w:val="0"/>
          <w:marBottom w:val="0"/>
          <w:divBdr>
            <w:top w:val="none" w:sz="0" w:space="0" w:color="auto"/>
            <w:left w:val="none" w:sz="0" w:space="0" w:color="auto"/>
            <w:bottom w:val="none" w:sz="0" w:space="0" w:color="auto"/>
            <w:right w:val="none" w:sz="0" w:space="0" w:color="auto"/>
          </w:divBdr>
        </w:div>
      </w:divsChild>
    </w:div>
    <w:div w:id="1237325764">
      <w:bodyDiv w:val="1"/>
      <w:marLeft w:val="0"/>
      <w:marRight w:val="0"/>
      <w:marTop w:val="0"/>
      <w:marBottom w:val="0"/>
      <w:divBdr>
        <w:top w:val="none" w:sz="0" w:space="0" w:color="auto"/>
        <w:left w:val="none" w:sz="0" w:space="0" w:color="auto"/>
        <w:bottom w:val="none" w:sz="0" w:space="0" w:color="auto"/>
        <w:right w:val="none" w:sz="0" w:space="0" w:color="auto"/>
      </w:divBdr>
      <w:divsChild>
        <w:div w:id="1471897779">
          <w:marLeft w:val="0"/>
          <w:marRight w:val="0"/>
          <w:marTop w:val="0"/>
          <w:marBottom w:val="0"/>
          <w:divBdr>
            <w:top w:val="none" w:sz="0" w:space="0" w:color="auto"/>
            <w:left w:val="none" w:sz="0" w:space="0" w:color="auto"/>
            <w:bottom w:val="none" w:sz="0" w:space="0" w:color="auto"/>
            <w:right w:val="none" w:sz="0" w:space="0" w:color="auto"/>
          </w:divBdr>
        </w:div>
      </w:divsChild>
    </w:div>
    <w:div w:id="1280339481">
      <w:bodyDiv w:val="1"/>
      <w:marLeft w:val="0"/>
      <w:marRight w:val="0"/>
      <w:marTop w:val="0"/>
      <w:marBottom w:val="0"/>
      <w:divBdr>
        <w:top w:val="none" w:sz="0" w:space="0" w:color="auto"/>
        <w:left w:val="none" w:sz="0" w:space="0" w:color="auto"/>
        <w:bottom w:val="none" w:sz="0" w:space="0" w:color="auto"/>
        <w:right w:val="none" w:sz="0" w:space="0" w:color="auto"/>
      </w:divBdr>
      <w:divsChild>
        <w:div w:id="1344478138">
          <w:marLeft w:val="0"/>
          <w:marRight w:val="0"/>
          <w:marTop w:val="0"/>
          <w:marBottom w:val="0"/>
          <w:divBdr>
            <w:top w:val="none" w:sz="0" w:space="0" w:color="auto"/>
            <w:left w:val="none" w:sz="0" w:space="0" w:color="auto"/>
            <w:bottom w:val="none" w:sz="0" w:space="0" w:color="auto"/>
            <w:right w:val="none" w:sz="0" w:space="0" w:color="auto"/>
          </w:divBdr>
        </w:div>
      </w:divsChild>
    </w:div>
    <w:div w:id="1364214173">
      <w:bodyDiv w:val="1"/>
      <w:marLeft w:val="0"/>
      <w:marRight w:val="0"/>
      <w:marTop w:val="0"/>
      <w:marBottom w:val="0"/>
      <w:divBdr>
        <w:top w:val="none" w:sz="0" w:space="0" w:color="auto"/>
        <w:left w:val="none" w:sz="0" w:space="0" w:color="auto"/>
        <w:bottom w:val="none" w:sz="0" w:space="0" w:color="auto"/>
        <w:right w:val="none" w:sz="0" w:space="0" w:color="auto"/>
      </w:divBdr>
      <w:divsChild>
        <w:div w:id="1058013470">
          <w:marLeft w:val="0"/>
          <w:marRight w:val="0"/>
          <w:marTop w:val="0"/>
          <w:marBottom w:val="0"/>
          <w:divBdr>
            <w:top w:val="none" w:sz="0" w:space="0" w:color="auto"/>
            <w:left w:val="none" w:sz="0" w:space="0" w:color="auto"/>
            <w:bottom w:val="none" w:sz="0" w:space="0" w:color="auto"/>
            <w:right w:val="none" w:sz="0" w:space="0" w:color="auto"/>
          </w:divBdr>
        </w:div>
      </w:divsChild>
    </w:div>
    <w:div w:id="1705903306">
      <w:bodyDiv w:val="1"/>
      <w:marLeft w:val="0"/>
      <w:marRight w:val="0"/>
      <w:marTop w:val="0"/>
      <w:marBottom w:val="0"/>
      <w:divBdr>
        <w:top w:val="none" w:sz="0" w:space="0" w:color="auto"/>
        <w:left w:val="none" w:sz="0" w:space="0" w:color="auto"/>
        <w:bottom w:val="none" w:sz="0" w:space="0" w:color="auto"/>
        <w:right w:val="none" w:sz="0" w:space="0" w:color="auto"/>
      </w:divBdr>
      <w:divsChild>
        <w:div w:id="2010597297">
          <w:marLeft w:val="0"/>
          <w:marRight w:val="0"/>
          <w:marTop w:val="0"/>
          <w:marBottom w:val="0"/>
          <w:divBdr>
            <w:top w:val="none" w:sz="0" w:space="0" w:color="auto"/>
            <w:left w:val="none" w:sz="0" w:space="0" w:color="auto"/>
            <w:bottom w:val="none" w:sz="0" w:space="0" w:color="auto"/>
            <w:right w:val="none" w:sz="0" w:space="0" w:color="auto"/>
          </w:divBdr>
        </w:div>
      </w:divsChild>
    </w:div>
    <w:div w:id="2066175778">
      <w:bodyDiv w:val="1"/>
      <w:marLeft w:val="0"/>
      <w:marRight w:val="0"/>
      <w:marTop w:val="0"/>
      <w:marBottom w:val="0"/>
      <w:divBdr>
        <w:top w:val="none" w:sz="0" w:space="0" w:color="auto"/>
        <w:left w:val="none" w:sz="0" w:space="0" w:color="auto"/>
        <w:bottom w:val="none" w:sz="0" w:space="0" w:color="auto"/>
        <w:right w:val="none" w:sz="0" w:space="0" w:color="auto"/>
      </w:divBdr>
      <w:divsChild>
        <w:div w:id="1160926444">
          <w:marLeft w:val="0"/>
          <w:marRight w:val="0"/>
          <w:marTop w:val="0"/>
          <w:marBottom w:val="0"/>
          <w:divBdr>
            <w:top w:val="none" w:sz="0" w:space="0" w:color="auto"/>
            <w:left w:val="none" w:sz="0" w:space="0" w:color="auto"/>
            <w:bottom w:val="none" w:sz="0" w:space="0" w:color="auto"/>
            <w:right w:val="none" w:sz="0" w:space="0" w:color="auto"/>
          </w:divBdr>
        </w:div>
      </w:divsChild>
    </w:div>
    <w:div w:id="2138793596">
      <w:bodyDiv w:val="1"/>
      <w:marLeft w:val="0"/>
      <w:marRight w:val="0"/>
      <w:marTop w:val="0"/>
      <w:marBottom w:val="0"/>
      <w:divBdr>
        <w:top w:val="none" w:sz="0" w:space="0" w:color="auto"/>
        <w:left w:val="none" w:sz="0" w:space="0" w:color="auto"/>
        <w:bottom w:val="none" w:sz="0" w:space="0" w:color="auto"/>
        <w:right w:val="none" w:sz="0" w:space="0" w:color="auto"/>
      </w:divBdr>
      <w:divsChild>
        <w:div w:id="588646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bodleian.ox.ac.uk/inquire/p/c1f53036-f7e8-4049-b88e-fd72bd11225b"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digital.bodleian.ox.ac.uk/inquire/p/c1f53036-f7e8-4049-b88e-fd72bd11225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245A1-3FE4-4DBC-8656-4F1A0CD53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3</Pages>
  <Words>987</Words>
  <Characters>5628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39</cp:revision>
  <dcterms:created xsi:type="dcterms:W3CDTF">2021-06-02T22:44:00Z</dcterms:created>
  <dcterms:modified xsi:type="dcterms:W3CDTF">2021-06-04T02:56:00Z</dcterms:modified>
</cp:coreProperties>
</file>