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927E8" w:rsidRDefault="00C927E8" w:rsidP="00C927E8">
      <w:pPr>
        <w:pStyle w:val="11"/>
        <w:tabs>
          <w:tab w:val="right" w:leader="dot" w:pos="9015"/>
        </w:tabs>
      </w:pPr>
    </w:p>
    <w:p w:rsidR="00C927E8" w:rsidRDefault="00C927E8" w:rsidP="00C927E8"/>
    <w:p w:rsidR="00C927E8" w:rsidRDefault="00C927E8" w:rsidP="00C927E8"/>
    <w:p w:rsidR="00C927E8" w:rsidRPr="00701D46" w:rsidRDefault="00C927E8" w:rsidP="00C927E8">
      <w:pPr>
        <w:spacing w:after="165" w:line="360" w:lineRule="auto"/>
        <w:rPr>
          <w:rFonts w:cstheme="minorHAnsi"/>
          <w:color w:val="000000"/>
          <w:sz w:val="24"/>
          <w:szCs w:val="24"/>
        </w:rPr>
      </w:pPr>
      <w:r w:rsidRPr="00701D46">
        <w:rPr>
          <w:rFonts w:cstheme="minorHAnsi"/>
          <w:b/>
          <w:noProof/>
          <w:sz w:val="24"/>
          <w:szCs w:val="24"/>
          <w:lang w:eastAsia="en-GB"/>
        </w:rPr>
        <w:drawing>
          <wp:inline distT="0" distB="0" distL="0" distR="0" wp14:anchorId="2157BA5D" wp14:editId="3D95500C">
            <wp:extent cx="2209800" cy="742950"/>
            <wp:effectExtent l="19050" t="0" r="0" b="0"/>
            <wp:docPr id="1"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C927E8" w:rsidRPr="00701D46" w:rsidRDefault="00C927E8" w:rsidP="00C927E8">
      <w:pPr>
        <w:spacing w:after="165" w:line="360" w:lineRule="auto"/>
        <w:jc w:val="center"/>
        <w:rPr>
          <w:rFonts w:cstheme="minorHAnsi"/>
          <w:color w:val="000000"/>
          <w:sz w:val="24"/>
          <w:szCs w:val="24"/>
        </w:rPr>
      </w:pPr>
      <w:r w:rsidRPr="00701D46">
        <w:rPr>
          <w:rFonts w:cstheme="minorHAnsi"/>
          <w:color w:val="000000"/>
          <w:sz w:val="24"/>
          <w:szCs w:val="24"/>
        </w:rPr>
        <w:t>Skills for the Workplace</w:t>
      </w:r>
      <w:r w:rsidRPr="00701D46">
        <w:rPr>
          <w:rFonts w:cstheme="minorHAnsi"/>
          <w:color w:val="000000"/>
          <w:sz w:val="24"/>
          <w:szCs w:val="24"/>
        </w:rPr>
        <w:br/>
        <w:t xml:space="preserve">Module Assignment Submission </w:t>
      </w:r>
      <w:r w:rsidRPr="00701D46">
        <w:rPr>
          <w:rFonts w:cstheme="minorHAnsi"/>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927E8" w:rsidRPr="00701D46" w:rsidTr="000C5910">
        <w:tc>
          <w:tcPr>
            <w:tcW w:w="3438" w:type="dxa"/>
            <w:shd w:val="clear" w:color="auto" w:fill="D9D9D9"/>
          </w:tcPr>
          <w:p w:rsidR="00C927E8" w:rsidRPr="00701D46" w:rsidRDefault="00C927E8" w:rsidP="000C5910">
            <w:pPr>
              <w:spacing w:before="120" w:after="120" w:line="360" w:lineRule="auto"/>
              <w:rPr>
                <w:rFonts w:cstheme="minorHAnsi"/>
                <w:sz w:val="24"/>
                <w:szCs w:val="24"/>
              </w:rPr>
            </w:pPr>
            <w:r w:rsidRPr="00701D46">
              <w:rPr>
                <w:rFonts w:cstheme="minorHAnsi"/>
                <w:sz w:val="24"/>
                <w:szCs w:val="24"/>
              </w:rPr>
              <w:t>Student Name:</w:t>
            </w:r>
          </w:p>
        </w:tc>
        <w:tc>
          <w:tcPr>
            <w:tcW w:w="6055" w:type="dxa"/>
          </w:tcPr>
          <w:p w:rsidR="00C927E8" w:rsidRPr="00701D46" w:rsidRDefault="00C927E8" w:rsidP="000C5910">
            <w:pPr>
              <w:spacing w:before="120" w:after="120" w:line="360" w:lineRule="auto"/>
              <w:rPr>
                <w:rFonts w:cstheme="minorHAnsi"/>
                <w:sz w:val="24"/>
                <w:szCs w:val="24"/>
              </w:rPr>
            </w:pPr>
            <w:r w:rsidRPr="00701D46">
              <w:rPr>
                <w:rFonts w:cstheme="minorHAnsi"/>
                <w:sz w:val="24"/>
                <w:szCs w:val="24"/>
              </w:rPr>
              <w:t>Yoana Georgieva</w:t>
            </w:r>
          </w:p>
        </w:tc>
      </w:tr>
      <w:tr w:rsidR="00C927E8" w:rsidRPr="00701D46" w:rsidTr="000C5910">
        <w:tc>
          <w:tcPr>
            <w:tcW w:w="3438" w:type="dxa"/>
            <w:shd w:val="clear" w:color="auto" w:fill="D9D9D9"/>
          </w:tcPr>
          <w:p w:rsidR="00C927E8" w:rsidRPr="00701D46" w:rsidRDefault="00C927E8" w:rsidP="000C5910">
            <w:pPr>
              <w:spacing w:before="120" w:after="120" w:line="360" w:lineRule="auto"/>
              <w:rPr>
                <w:rFonts w:cstheme="minorHAnsi"/>
                <w:sz w:val="24"/>
                <w:szCs w:val="24"/>
              </w:rPr>
            </w:pPr>
            <w:r w:rsidRPr="00701D46">
              <w:rPr>
                <w:rFonts w:cstheme="minorHAnsi"/>
                <w:sz w:val="24"/>
                <w:szCs w:val="24"/>
              </w:rPr>
              <w:t>Student Number:</w:t>
            </w:r>
          </w:p>
        </w:tc>
        <w:tc>
          <w:tcPr>
            <w:tcW w:w="6055" w:type="dxa"/>
          </w:tcPr>
          <w:p w:rsidR="00C927E8" w:rsidRPr="00701D46" w:rsidRDefault="00C927E8" w:rsidP="000C5910">
            <w:pPr>
              <w:spacing w:before="120" w:after="120" w:line="360" w:lineRule="auto"/>
              <w:rPr>
                <w:rFonts w:cstheme="minorHAnsi"/>
                <w:sz w:val="24"/>
                <w:szCs w:val="24"/>
              </w:rPr>
            </w:pPr>
            <w:r w:rsidRPr="00701D46">
              <w:rPr>
                <w:rFonts w:cstheme="minorHAnsi"/>
                <w:sz w:val="24"/>
                <w:szCs w:val="24"/>
              </w:rPr>
              <w:t>1714886</w:t>
            </w:r>
          </w:p>
        </w:tc>
      </w:tr>
      <w:tr w:rsidR="00C927E8" w:rsidRPr="00701D46" w:rsidTr="000C5910">
        <w:tc>
          <w:tcPr>
            <w:tcW w:w="3438" w:type="dxa"/>
            <w:shd w:val="clear" w:color="auto" w:fill="D9D9D9"/>
          </w:tcPr>
          <w:p w:rsidR="00C927E8" w:rsidRPr="00701D46" w:rsidRDefault="00C927E8" w:rsidP="000C5910">
            <w:pPr>
              <w:spacing w:before="120" w:after="120" w:line="360" w:lineRule="auto"/>
              <w:rPr>
                <w:rFonts w:cstheme="minorHAnsi"/>
                <w:sz w:val="24"/>
                <w:szCs w:val="24"/>
              </w:rPr>
            </w:pPr>
            <w:r w:rsidRPr="00701D46">
              <w:rPr>
                <w:rFonts w:cstheme="minorHAnsi"/>
                <w:sz w:val="24"/>
                <w:szCs w:val="24"/>
              </w:rPr>
              <w:t>Module No:</w:t>
            </w:r>
          </w:p>
        </w:tc>
        <w:tc>
          <w:tcPr>
            <w:tcW w:w="6055" w:type="dxa"/>
          </w:tcPr>
          <w:p w:rsidR="00C927E8" w:rsidRPr="00701D46" w:rsidRDefault="00C927E8" w:rsidP="000C5910">
            <w:pPr>
              <w:spacing w:before="120" w:after="120" w:line="360" w:lineRule="auto"/>
              <w:rPr>
                <w:rFonts w:cstheme="minorHAnsi"/>
                <w:color w:val="FF0000"/>
                <w:sz w:val="24"/>
                <w:szCs w:val="24"/>
              </w:rPr>
            </w:pPr>
            <w:r>
              <w:rPr>
                <w:rFonts w:cstheme="minorHAnsi"/>
                <w:color w:val="FF0000"/>
                <w:sz w:val="24"/>
                <w:szCs w:val="24"/>
              </w:rPr>
              <w:t>LCMB7001</w:t>
            </w:r>
          </w:p>
        </w:tc>
      </w:tr>
      <w:tr w:rsidR="00C927E8" w:rsidRPr="00701D46" w:rsidTr="000C5910">
        <w:trPr>
          <w:trHeight w:val="413"/>
        </w:trPr>
        <w:tc>
          <w:tcPr>
            <w:tcW w:w="3438" w:type="dxa"/>
            <w:shd w:val="clear" w:color="auto" w:fill="D9D9D9"/>
          </w:tcPr>
          <w:p w:rsidR="00C927E8" w:rsidRPr="00701D46" w:rsidRDefault="00C927E8" w:rsidP="000C5910">
            <w:pPr>
              <w:spacing w:before="120" w:after="120" w:line="360" w:lineRule="auto"/>
              <w:rPr>
                <w:rFonts w:cstheme="minorHAnsi"/>
                <w:sz w:val="24"/>
                <w:szCs w:val="24"/>
              </w:rPr>
            </w:pPr>
            <w:r w:rsidRPr="00701D46">
              <w:rPr>
                <w:rFonts w:cstheme="minorHAnsi"/>
                <w:sz w:val="24"/>
                <w:szCs w:val="24"/>
              </w:rPr>
              <w:t>Module Title:</w:t>
            </w:r>
          </w:p>
        </w:tc>
        <w:tc>
          <w:tcPr>
            <w:tcW w:w="6055" w:type="dxa"/>
          </w:tcPr>
          <w:p w:rsidR="00C927E8" w:rsidRPr="00701D46" w:rsidRDefault="00C927E8" w:rsidP="000C5910">
            <w:pPr>
              <w:spacing w:before="120" w:after="120" w:line="360" w:lineRule="auto"/>
              <w:rPr>
                <w:rFonts w:cstheme="minorHAnsi"/>
                <w:color w:val="FF0000"/>
                <w:sz w:val="24"/>
                <w:szCs w:val="24"/>
              </w:rPr>
            </w:pPr>
            <w:r>
              <w:rPr>
                <w:rFonts w:cstheme="minorHAnsi"/>
                <w:color w:val="FF0000"/>
                <w:sz w:val="24"/>
                <w:szCs w:val="24"/>
              </w:rPr>
              <w:t>Marketing Management</w:t>
            </w:r>
          </w:p>
        </w:tc>
      </w:tr>
      <w:tr w:rsidR="00C927E8" w:rsidRPr="00701D46" w:rsidTr="000C5910">
        <w:trPr>
          <w:trHeight w:val="413"/>
        </w:trPr>
        <w:tc>
          <w:tcPr>
            <w:tcW w:w="3438" w:type="dxa"/>
            <w:shd w:val="clear" w:color="auto" w:fill="D9D9D9"/>
          </w:tcPr>
          <w:p w:rsidR="00C927E8" w:rsidRPr="00701D46" w:rsidRDefault="00C927E8" w:rsidP="000C5910">
            <w:pPr>
              <w:spacing w:before="120" w:after="120" w:line="360" w:lineRule="auto"/>
              <w:rPr>
                <w:rFonts w:cstheme="minorHAnsi"/>
                <w:sz w:val="24"/>
                <w:szCs w:val="24"/>
              </w:rPr>
            </w:pPr>
            <w:r w:rsidRPr="00701D46">
              <w:rPr>
                <w:rFonts w:cstheme="minorHAnsi"/>
                <w:sz w:val="24"/>
                <w:szCs w:val="24"/>
              </w:rPr>
              <w:t>Lecturer:</w:t>
            </w:r>
          </w:p>
        </w:tc>
        <w:tc>
          <w:tcPr>
            <w:tcW w:w="6055" w:type="dxa"/>
          </w:tcPr>
          <w:p w:rsidR="00C927E8" w:rsidRPr="00701D46" w:rsidRDefault="00C927E8" w:rsidP="000C5910">
            <w:pPr>
              <w:spacing w:before="120" w:after="120" w:line="360" w:lineRule="auto"/>
              <w:rPr>
                <w:rFonts w:cstheme="minorHAnsi"/>
                <w:color w:val="FF0000"/>
                <w:sz w:val="24"/>
                <w:szCs w:val="24"/>
              </w:rPr>
            </w:pPr>
            <w:proofErr w:type="spellStart"/>
            <w:r>
              <w:rPr>
                <w:rFonts w:cstheme="minorHAnsi"/>
                <w:color w:val="FF0000"/>
                <w:sz w:val="24"/>
                <w:szCs w:val="24"/>
              </w:rPr>
              <w:t>Tushara</w:t>
            </w:r>
            <w:proofErr w:type="spellEnd"/>
            <w:r>
              <w:rPr>
                <w:rFonts w:cstheme="minorHAnsi"/>
                <w:color w:val="FF0000"/>
                <w:sz w:val="24"/>
                <w:szCs w:val="24"/>
              </w:rPr>
              <w:t xml:space="preserve"> </w:t>
            </w:r>
            <w:proofErr w:type="spellStart"/>
            <w:r>
              <w:rPr>
                <w:rFonts w:cstheme="minorHAnsi"/>
                <w:color w:val="FF0000"/>
                <w:sz w:val="24"/>
                <w:szCs w:val="24"/>
              </w:rPr>
              <w:t>Balendran</w:t>
            </w:r>
            <w:proofErr w:type="spellEnd"/>
            <w:r>
              <w:rPr>
                <w:rFonts w:cstheme="minorHAnsi"/>
                <w:color w:val="FF0000"/>
                <w:sz w:val="24"/>
                <w:szCs w:val="24"/>
              </w:rPr>
              <w:t xml:space="preserve"> </w:t>
            </w:r>
          </w:p>
        </w:tc>
      </w:tr>
    </w:tbl>
    <w:p w:rsidR="00C927E8" w:rsidRPr="00701D46" w:rsidRDefault="00C927E8" w:rsidP="00C927E8">
      <w:pPr>
        <w:spacing w:before="120" w:after="120" w:line="360" w:lineRule="auto"/>
        <w:rPr>
          <w:rFonts w:cstheme="minorHAnsi"/>
          <w:color w:val="FF0000"/>
          <w:sz w:val="24"/>
          <w:szCs w:val="24"/>
        </w:rPr>
      </w:pPr>
    </w:p>
    <w:p w:rsidR="00C927E8" w:rsidRPr="00701D46" w:rsidRDefault="00C927E8" w:rsidP="00C927E8">
      <w:pPr>
        <w:spacing w:before="120" w:after="120" w:line="360" w:lineRule="auto"/>
        <w:rPr>
          <w:rFonts w:cstheme="minorHAnsi"/>
          <w:b/>
          <w:color w:val="000000"/>
          <w:sz w:val="24"/>
          <w:szCs w:val="24"/>
        </w:rPr>
      </w:pPr>
      <w:r w:rsidRPr="00701D46">
        <w:rPr>
          <w:rFonts w:cstheme="minorHAnsi"/>
          <w:b/>
          <w:color w:val="000000"/>
          <w:sz w:val="24"/>
          <w:szCs w:val="24"/>
        </w:rPr>
        <w:t>Statement of Confirmation of Authenticity</w:t>
      </w:r>
    </w:p>
    <w:p w:rsidR="00C927E8" w:rsidRPr="00701D46" w:rsidRDefault="00C927E8" w:rsidP="00C927E8">
      <w:pPr>
        <w:spacing w:before="120" w:after="120" w:line="360" w:lineRule="auto"/>
        <w:rPr>
          <w:rFonts w:cstheme="minorHAnsi"/>
          <w:color w:val="000000"/>
          <w:sz w:val="24"/>
          <w:szCs w:val="24"/>
        </w:rPr>
      </w:pPr>
      <w:r w:rsidRPr="00701D46">
        <w:rPr>
          <w:rFonts w:cstheme="minorHAnsi"/>
          <w:color w:val="000000"/>
          <w:sz w:val="24"/>
          <w:szCs w:val="24"/>
        </w:rPr>
        <w:t>By the act of making this submission, the student declares that this is the work of the student named above. The work has not, in whole or in part, been knowingly presented elsewhere for assessment, or where an assessment has been built on a previous assessment, this has been identified. Where materials have been used from other sources, it has been properly acknowledged. If this statement is untrue, the student acknowledges that an assessment offence has been committed.</w:t>
      </w:r>
    </w:p>
    <w:p w:rsidR="00C927E8" w:rsidRPr="00016CF3" w:rsidRDefault="00C927E8" w:rsidP="00016CF3">
      <w:pPr>
        <w:spacing w:before="120" w:after="120" w:line="360" w:lineRule="auto"/>
        <w:rPr>
          <w:rFonts w:cstheme="minorHAnsi"/>
          <w:color w:val="000000"/>
          <w:sz w:val="24"/>
          <w:szCs w:val="24"/>
        </w:rPr>
      </w:pPr>
      <w:r w:rsidRPr="00701D46">
        <w:rPr>
          <w:rFonts w:cstheme="minorHAnsi"/>
          <w:color w:val="000000"/>
          <w:sz w:val="24"/>
          <w:szCs w:val="24"/>
        </w:rPr>
        <w:t>Attention is drawn to the plagiarism and unfair practice policies of both the University and of ILM.</w:t>
      </w:r>
    </w:p>
    <w:p w:rsidR="00C927E8" w:rsidRDefault="00C927E8" w:rsidP="00C927E8"/>
    <w:p w:rsidR="00C927E8" w:rsidRDefault="00C927E8" w:rsidP="00C927E8"/>
    <w:p w:rsidR="00C927E8" w:rsidRDefault="00C927E8" w:rsidP="00C927E8"/>
    <w:p w:rsidR="00C927E8" w:rsidRDefault="00C927E8" w:rsidP="00C927E8"/>
    <w:sdt>
      <w:sdtPr>
        <w:id w:val="1271453646"/>
        <w:docPartObj>
          <w:docPartGallery w:val="Table of Contents"/>
          <w:docPartUnique/>
        </w:docPartObj>
      </w:sdtPr>
      <w:sdtEndPr/>
      <w:sdtContent>
        <w:p w:rsidR="00C927E8" w:rsidRPr="00C927E8" w:rsidRDefault="00C927E8" w:rsidP="00C927E8"/>
        <w:p w:rsidR="00C927E8" w:rsidRDefault="00C927E8" w:rsidP="51D22FD5">
          <w:pPr>
            <w:pStyle w:val="11"/>
            <w:tabs>
              <w:tab w:val="right" w:leader="dot" w:pos="9015"/>
            </w:tabs>
          </w:pPr>
          <w:bookmarkStart w:id="0" w:name="_GoBack"/>
          <w:bookmarkEnd w:id="0"/>
        </w:p>
        <w:p w:rsidR="00C927E8" w:rsidRDefault="51D22FD5">
          <w:pPr>
            <w:pStyle w:val="11"/>
            <w:tabs>
              <w:tab w:val="right" w:leader="dot" w:pos="9016"/>
            </w:tabs>
            <w:rPr>
              <w:rFonts w:eastAsiaTheme="minorEastAsia"/>
              <w:noProof/>
              <w:lang w:eastAsia="en-GB"/>
            </w:rPr>
          </w:pPr>
          <w:r>
            <w:fldChar w:fldCharType="begin"/>
          </w:r>
          <w:r>
            <w:instrText>TOC \o \z \u \h</w:instrText>
          </w:r>
          <w:r>
            <w:fldChar w:fldCharType="separate"/>
          </w:r>
          <w:hyperlink w:anchor="_Toc101622574" w:history="1">
            <w:r w:rsidR="00C927E8" w:rsidRPr="00273C83">
              <w:rPr>
                <w:rStyle w:val="a8"/>
                <w:noProof/>
              </w:rPr>
              <w:t>Introduction</w:t>
            </w:r>
            <w:r w:rsidR="00C927E8">
              <w:rPr>
                <w:noProof/>
                <w:webHidden/>
              </w:rPr>
              <w:tab/>
            </w:r>
            <w:r w:rsidR="00C927E8">
              <w:rPr>
                <w:noProof/>
                <w:webHidden/>
              </w:rPr>
              <w:fldChar w:fldCharType="begin"/>
            </w:r>
            <w:r w:rsidR="00C927E8">
              <w:rPr>
                <w:noProof/>
                <w:webHidden/>
              </w:rPr>
              <w:instrText xml:space="preserve"> PAGEREF _Toc101622574 \h </w:instrText>
            </w:r>
            <w:r w:rsidR="00C927E8">
              <w:rPr>
                <w:noProof/>
                <w:webHidden/>
              </w:rPr>
            </w:r>
            <w:r w:rsidR="00C927E8">
              <w:rPr>
                <w:noProof/>
                <w:webHidden/>
              </w:rPr>
              <w:fldChar w:fldCharType="separate"/>
            </w:r>
            <w:r w:rsidR="00016CF3">
              <w:rPr>
                <w:noProof/>
                <w:webHidden/>
              </w:rPr>
              <w:t>3</w:t>
            </w:r>
            <w:r w:rsidR="00C927E8">
              <w:rPr>
                <w:noProof/>
                <w:webHidden/>
              </w:rPr>
              <w:fldChar w:fldCharType="end"/>
            </w:r>
          </w:hyperlink>
        </w:p>
        <w:p w:rsidR="00C927E8" w:rsidRDefault="00016CF3">
          <w:pPr>
            <w:pStyle w:val="11"/>
            <w:tabs>
              <w:tab w:val="right" w:leader="dot" w:pos="9016"/>
            </w:tabs>
            <w:rPr>
              <w:rFonts w:eastAsiaTheme="minorEastAsia"/>
              <w:noProof/>
              <w:lang w:eastAsia="en-GB"/>
            </w:rPr>
          </w:pPr>
          <w:hyperlink w:anchor="_Toc101622575" w:history="1">
            <w:r w:rsidR="00C927E8" w:rsidRPr="00273C83">
              <w:rPr>
                <w:rStyle w:val="a8"/>
                <w:noProof/>
              </w:rPr>
              <w:t>Communication and model of communication</w:t>
            </w:r>
            <w:r w:rsidR="00C927E8">
              <w:rPr>
                <w:noProof/>
                <w:webHidden/>
              </w:rPr>
              <w:tab/>
            </w:r>
            <w:r w:rsidR="00C927E8">
              <w:rPr>
                <w:noProof/>
                <w:webHidden/>
              </w:rPr>
              <w:fldChar w:fldCharType="begin"/>
            </w:r>
            <w:r w:rsidR="00C927E8">
              <w:rPr>
                <w:noProof/>
                <w:webHidden/>
              </w:rPr>
              <w:instrText xml:space="preserve"> PAGEREF _Toc101622575 \h </w:instrText>
            </w:r>
            <w:r w:rsidR="00C927E8">
              <w:rPr>
                <w:noProof/>
                <w:webHidden/>
              </w:rPr>
            </w:r>
            <w:r w:rsidR="00C927E8">
              <w:rPr>
                <w:noProof/>
                <w:webHidden/>
              </w:rPr>
              <w:fldChar w:fldCharType="separate"/>
            </w:r>
            <w:r>
              <w:rPr>
                <w:noProof/>
                <w:webHidden/>
              </w:rPr>
              <w:t>3</w:t>
            </w:r>
            <w:r w:rsidR="00C927E8">
              <w:rPr>
                <w:noProof/>
                <w:webHidden/>
              </w:rPr>
              <w:fldChar w:fldCharType="end"/>
            </w:r>
          </w:hyperlink>
        </w:p>
        <w:p w:rsidR="00C927E8" w:rsidRDefault="00016CF3">
          <w:pPr>
            <w:pStyle w:val="21"/>
            <w:tabs>
              <w:tab w:val="right" w:leader="dot" w:pos="9016"/>
            </w:tabs>
            <w:rPr>
              <w:rFonts w:eastAsiaTheme="minorEastAsia"/>
              <w:noProof/>
              <w:lang w:eastAsia="en-GB"/>
            </w:rPr>
          </w:pPr>
          <w:hyperlink w:anchor="_Toc101622576" w:history="1">
            <w:r w:rsidR="00C927E8" w:rsidRPr="00273C83">
              <w:rPr>
                <w:rStyle w:val="a8"/>
                <w:noProof/>
              </w:rPr>
              <w:t>Shannon and Weaver’s model of communication</w:t>
            </w:r>
            <w:r w:rsidR="00C927E8">
              <w:rPr>
                <w:noProof/>
                <w:webHidden/>
              </w:rPr>
              <w:tab/>
            </w:r>
            <w:r w:rsidR="00C927E8">
              <w:rPr>
                <w:noProof/>
                <w:webHidden/>
              </w:rPr>
              <w:fldChar w:fldCharType="begin"/>
            </w:r>
            <w:r w:rsidR="00C927E8">
              <w:rPr>
                <w:noProof/>
                <w:webHidden/>
              </w:rPr>
              <w:instrText xml:space="preserve"> PAGEREF _Toc101622576 \h </w:instrText>
            </w:r>
            <w:r w:rsidR="00C927E8">
              <w:rPr>
                <w:noProof/>
                <w:webHidden/>
              </w:rPr>
            </w:r>
            <w:r w:rsidR="00C927E8">
              <w:rPr>
                <w:noProof/>
                <w:webHidden/>
              </w:rPr>
              <w:fldChar w:fldCharType="separate"/>
            </w:r>
            <w:r>
              <w:rPr>
                <w:noProof/>
                <w:webHidden/>
              </w:rPr>
              <w:t>3</w:t>
            </w:r>
            <w:r w:rsidR="00C927E8">
              <w:rPr>
                <w:noProof/>
                <w:webHidden/>
              </w:rPr>
              <w:fldChar w:fldCharType="end"/>
            </w:r>
          </w:hyperlink>
        </w:p>
        <w:p w:rsidR="00C927E8" w:rsidRDefault="00016CF3">
          <w:pPr>
            <w:pStyle w:val="21"/>
            <w:tabs>
              <w:tab w:val="right" w:leader="dot" w:pos="9016"/>
            </w:tabs>
            <w:rPr>
              <w:rFonts w:eastAsiaTheme="minorEastAsia"/>
              <w:noProof/>
              <w:lang w:eastAsia="en-GB"/>
            </w:rPr>
          </w:pPr>
          <w:hyperlink w:anchor="_Toc101622577" w:history="1">
            <w:r w:rsidR="00C927E8" w:rsidRPr="00273C83">
              <w:rPr>
                <w:rStyle w:val="a8"/>
                <w:noProof/>
              </w:rPr>
              <w:t>Shannon and Weaver model in Cadbury</w:t>
            </w:r>
            <w:r w:rsidR="00C927E8">
              <w:rPr>
                <w:noProof/>
                <w:webHidden/>
              </w:rPr>
              <w:tab/>
            </w:r>
            <w:r w:rsidR="00C927E8">
              <w:rPr>
                <w:noProof/>
                <w:webHidden/>
              </w:rPr>
              <w:fldChar w:fldCharType="begin"/>
            </w:r>
            <w:r w:rsidR="00C927E8">
              <w:rPr>
                <w:noProof/>
                <w:webHidden/>
              </w:rPr>
              <w:instrText xml:space="preserve"> PAGEREF _Toc101622577 \h </w:instrText>
            </w:r>
            <w:r w:rsidR="00C927E8">
              <w:rPr>
                <w:noProof/>
                <w:webHidden/>
              </w:rPr>
            </w:r>
            <w:r w:rsidR="00C927E8">
              <w:rPr>
                <w:noProof/>
                <w:webHidden/>
              </w:rPr>
              <w:fldChar w:fldCharType="separate"/>
            </w:r>
            <w:r>
              <w:rPr>
                <w:noProof/>
                <w:webHidden/>
              </w:rPr>
              <w:t>4</w:t>
            </w:r>
            <w:r w:rsidR="00C927E8">
              <w:rPr>
                <w:noProof/>
                <w:webHidden/>
              </w:rPr>
              <w:fldChar w:fldCharType="end"/>
            </w:r>
          </w:hyperlink>
        </w:p>
        <w:p w:rsidR="00C927E8" w:rsidRDefault="00016CF3">
          <w:pPr>
            <w:pStyle w:val="11"/>
            <w:tabs>
              <w:tab w:val="right" w:leader="dot" w:pos="9016"/>
            </w:tabs>
            <w:rPr>
              <w:rFonts w:eastAsiaTheme="minorEastAsia"/>
              <w:noProof/>
              <w:lang w:eastAsia="en-GB"/>
            </w:rPr>
          </w:pPr>
          <w:hyperlink w:anchor="_Toc101622578" w:history="1">
            <w:r w:rsidR="00C927E8" w:rsidRPr="00273C83">
              <w:rPr>
                <w:rStyle w:val="a8"/>
                <w:noProof/>
              </w:rPr>
              <w:t>Integrated Marketing Communications</w:t>
            </w:r>
            <w:r w:rsidR="00C927E8">
              <w:rPr>
                <w:noProof/>
                <w:webHidden/>
              </w:rPr>
              <w:tab/>
            </w:r>
            <w:r w:rsidR="00C927E8">
              <w:rPr>
                <w:noProof/>
                <w:webHidden/>
              </w:rPr>
              <w:fldChar w:fldCharType="begin"/>
            </w:r>
            <w:r w:rsidR="00C927E8">
              <w:rPr>
                <w:noProof/>
                <w:webHidden/>
              </w:rPr>
              <w:instrText xml:space="preserve"> PAGEREF _Toc101622578 \h </w:instrText>
            </w:r>
            <w:r w:rsidR="00C927E8">
              <w:rPr>
                <w:noProof/>
                <w:webHidden/>
              </w:rPr>
            </w:r>
            <w:r w:rsidR="00C927E8">
              <w:rPr>
                <w:noProof/>
                <w:webHidden/>
              </w:rPr>
              <w:fldChar w:fldCharType="separate"/>
            </w:r>
            <w:r>
              <w:rPr>
                <w:noProof/>
                <w:webHidden/>
              </w:rPr>
              <w:t>5</w:t>
            </w:r>
            <w:r w:rsidR="00C927E8">
              <w:rPr>
                <w:noProof/>
                <w:webHidden/>
              </w:rPr>
              <w:fldChar w:fldCharType="end"/>
            </w:r>
          </w:hyperlink>
        </w:p>
        <w:p w:rsidR="00C927E8" w:rsidRDefault="00016CF3">
          <w:pPr>
            <w:pStyle w:val="21"/>
            <w:tabs>
              <w:tab w:val="right" w:leader="dot" w:pos="9016"/>
            </w:tabs>
            <w:rPr>
              <w:rFonts w:eastAsiaTheme="minorEastAsia"/>
              <w:noProof/>
              <w:lang w:eastAsia="en-GB"/>
            </w:rPr>
          </w:pPr>
          <w:hyperlink w:anchor="_Toc101622579" w:history="1">
            <w:r w:rsidR="00C927E8" w:rsidRPr="00273C83">
              <w:rPr>
                <w:rStyle w:val="a8"/>
                <w:noProof/>
              </w:rPr>
              <w:t>Advantages of IMC</w:t>
            </w:r>
            <w:r w:rsidR="00C927E8">
              <w:rPr>
                <w:noProof/>
                <w:webHidden/>
              </w:rPr>
              <w:tab/>
            </w:r>
            <w:r w:rsidR="00C927E8">
              <w:rPr>
                <w:noProof/>
                <w:webHidden/>
              </w:rPr>
              <w:fldChar w:fldCharType="begin"/>
            </w:r>
            <w:r w:rsidR="00C927E8">
              <w:rPr>
                <w:noProof/>
                <w:webHidden/>
              </w:rPr>
              <w:instrText xml:space="preserve"> PAGEREF _Toc101622579 \h </w:instrText>
            </w:r>
            <w:r w:rsidR="00C927E8">
              <w:rPr>
                <w:noProof/>
                <w:webHidden/>
              </w:rPr>
            </w:r>
            <w:r w:rsidR="00C927E8">
              <w:rPr>
                <w:noProof/>
                <w:webHidden/>
              </w:rPr>
              <w:fldChar w:fldCharType="separate"/>
            </w:r>
            <w:r>
              <w:rPr>
                <w:noProof/>
                <w:webHidden/>
              </w:rPr>
              <w:t>5</w:t>
            </w:r>
            <w:r w:rsidR="00C927E8">
              <w:rPr>
                <w:noProof/>
                <w:webHidden/>
              </w:rPr>
              <w:fldChar w:fldCharType="end"/>
            </w:r>
          </w:hyperlink>
        </w:p>
        <w:p w:rsidR="00C927E8" w:rsidRDefault="00016CF3">
          <w:pPr>
            <w:pStyle w:val="21"/>
            <w:tabs>
              <w:tab w:val="right" w:leader="dot" w:pos="9016"/>
            </w:tabs>
            <w:rPr>
              <w:rFonts w:eastAsiaTheme="minorEastAsia"/>
              <w:noProof/>
              <w:lang w:eastAsia="en-GB"/>
            </w:rPr>
          </w:pPr>
          <w:hyperlink w:anchor="_Toc101622580" w:history="1">
            <w:r w:rsidR="00C927E8" w:rsidRPr="00273C83">
              <w:rPr>
                <w:rStyle w:val="a8"/>
                <w:noProof/>
              </w:rPr>
              <w:t>Barriers to IMC</w:t>
            </w:r>
            <w:r w:rsidR="00C927E8">
              <w:rPr>
                <w:noProof/>
                <w:webHidden/>
              </w:rPr>
              <w:tab/>
            </w:r>
            <w:r w:rsidR="00C927E8">
              <w:rPr>
                <w:noProof/>
                <w:webHidden/>
              </w:rPr>
              <w:fldChar w:fldCharType="begin"/>
            </w:r>
            <w:r w:rsidR="00C927E8">
              <w:rPr>
                <w:noProof/>
                <w:webHidden/>
              </w:rPr>
              <w:instrText xml:space="preserve"> PAGEREF _Toc101622580 \h </w:instrText>
            </w:r>
            <w:r w:rsidR="00C927E8">
              <w:rPr>
                <w:noProof/>
                <w:webHidden/>
              </w:rPr>
            </w:r>
            <w:r w:rsidR="00C927E8">
              <w:rPr>
                <w:noProof/>
                <w:webHidden/>
              </w:rPr>
              <w:fldChar w:fldCharType="separate"/>
            </w:r>
            <w:r>
              <w:rPr>
                <w:noProof/>
                <w:webHidden/>
              </w:rPr>
              <w:t>5</w:t>
            </w:r>
            <w:r w:rsidR="00C927E8">
              <w:rPr>
                <w:noProof/>
                <w:webHidden/>
              </w:rPr>
              <w:fldChar w:fldCharType="end"/>
            </w:r>
          </w:hyperlink>
        </w:p>
        <w:p w:rsidR="00C927E8" w:rsidRDefault="00016CF3">
          <w:pPr>
            <w:pStyle w:val="11"/>
            <w:tabs>
              <w:tab w:val="right" w:leader="dot" w:pos="9016"/>
            </w:tabs>
            <w:rPr>
              <w:rFonts w:eastAsiaTheme="minorEastAsia"/>
              <w:noProof/>
              <w:lang w:eastAsia="en-GB"/>
            </w:rPr>
          </w:pPr>
          <w:hyperlink w:anchor="_Toc101622581" w:history="1">
            <w:r w:rsidR="00C927E8" w:rsidRPr="00273C83">
              <w:rPr>
                <w:rStyle w:val="a8"/>
                <w:noProof/>
                <w:lang w:val="en"/>
              </w:rPr>
              <w:t>Cadbury’s Promotional Strategies</w:t>
            </w:r>
            <w:r w:rsidR="00C927E8">
              <w:rPr>
                <w:noProof/>
                <w:webHidden/>
              </w:rPr>
              <w:tab/>
            </w:r>
            <w:r w:rsidR="00C927E8">
              <w:rPr>
                <w:noProof/>
                <w:webHidden/>
              </w:rPr>
              <w:fldChar w:fldCharType="begin"/>
            </w:r>
            <w:r w:rsidR="00C927E8">
              <w:rPr>
                <w:noProof/>
                <w:webHidden/>
              </w:rPr>
              <w:instrText xml:space="preserve"> PAGEREF _Toc101622581 \h </w:instrText>
            </w:r>
            <w:r w:rsidR="00C927E8">
              <w:rPr>
                <w:noProof/>
                <w:webHidden/>
              </w:rPr>
            </w:r>
            <w:r w:rsidR="00C927E8">
              <w:rPr>
                <w:noProof/>
                <w:webHidden/>
              </w:rPr>
              <w:fldChar w:fldCharType="separate"/>
            </w:r>
            <w:r>
              <w:rPr>
                <w:noProof/>
                <w:webHidden/>
              </w:rPr>
              <w:t>6</w:t>
            </w:r>
            <w:r w:rsidR="00C927E8">
              <w:rPr>
                <w:noProof/>
                <w:webHidden/>
              </w:rPr>
              <w:fldChar w:fldCharType="end"/>
            </w:r>
          </w:hyperlink>
        </w:p>
        <w:p w:rsidR="00C927E8" w:rsidRDefault="00016CF3">
          <w:pPr>
            <w:pStyle w:val="21"/>
            <w:tabs>
              <w:tab w:val="right" w:leader="dot" w:pos="9016"/>
            </w:tabs>
            <w:rPr>
              <w:rFonts w:eastAsiaTheme="minorEastAsia"/>
              <w:noProof/>
              <w:lang w:eastAsia="en-GB"/>
            </w:rPr>
          </w:pPr>
          <w:hyperlink w:anchor="_Toc101622582" w:history="1">
            <w:r w:rsidR="00C927E8" w:rsidRPr="00273C83">
              <w:rPr>
                <w:rStyle w:val="a8"/>
                <w:noProof/>
              </w:rPr>
              <w:t>Online promotional strategies in Cadbury</w:t>
            </w:r>
            <w:r w:rsidR="00C927E8">
              <w:rPr>
                <w:noProof/>
                <w:webHidden/>
              </w:rPr>
              <w:tab/>
            </w:r>
            <w:r w:rsidR="00C927E8">
              <w:rPr>
                <w:noProof/>
                <w:webHidden/>
              </w:rPr>
              <w:fldChar w:fldCharType="begin"/>
            </w:r>
            <w:r w:rsidR="00C927E8">
              <w:rPr>
                <w:noProof/>
                <w:webHidden/>
              </w:rPr>
              <w:instrText xml:space="preserve"> PAGEREF _Toc101622582 \h </w:instrText>
            </w:r>
            <w:r w:rsidR="00C927E8">
              <w:rPr>
                <w:noProof/>
                <w:webHidden/>
              </w:rPr>
            </w:r>
            <w:r w:rsidR="00C927E8">
              <w:rPr>
                <w:noProof/>
                <w:webHidden/>
              </w:rPr>
              <w:fldChar w:fldCharType="separate"/>
            </w:r>
            <w:r>
              <w:rPr>
                <w:noProof/>
                <w:webHidden/>
              </w:rPr>
              <w:t>6</w:t>
            </w:r>
            <w:r w:rsidR="00C927E8">
              <w:rPr>
                <w:noProof/>
                <w:webHidden/>
              </w:rPr>
              <w:fldChar w:fldCharType="end"/>
            </w:r>
          </w:hyperlink>
        </w:p>
        <w:p w:rsidR="00C927E8" w:rsidRDefault="00016CF3">
          <w:pPr>
            <w:pStyle w:val="21"/>
            <w:tabs>
              <w:tab w:val="right" w:leader="dot" w:pos="9016"/>
            </w:tabs>
            <w:rPr>
              <w:rFonts w:eastAsiaTheme="minorEastAsia"/>
              <w:noProof/>
              <w:lang w:eastAsia="en-GB"/>
            </w:rPr>
          </w:pPr>
          <w:hyperlink w:anchor="_Toc101622583" w:history="1">
            <w:r w:rsidR="00C927E8" w:rsidRPr="00273C83">
              <w:rPr>
                <w:rStyle w:val="a8"/>
                <w:noProof/>
              </w:rPr>
              <w:t>Offline promotional strategies in Cadbury</w:t>
            </w:r>
            <w:r w:rsidR="00C927E8">
              <w:rPr>
                <w:noProof/>
                <w:webHidden/>
              </w:rPr>
              <w:tab/>
            </w:r>
            <w:r w:rsidR="00C927E8">
              <w:rPr>
                <w:noProof/>
                <w:webHidden/>
              </w:rPr>
              <w:fldChar w:fldCharType="begin"/>
            </w:r>
            <w:r w:rsidR="00C927E8">
              <w:rPr>
                <w:noProof/>
                <w:webHidden/>
              </w:rPr>
              <w:instrText xml:space="preserve"> PAGEREF _Toc101622583 \h </w:instrText>
            </w:r>
            <w:r w:rsidR="00C927E8">
              <w:rPr>
                <w:noProof/>
                <w:webHidden/>
              </w:rPr>
            </w:r>
            <w:r w:rsidR="00C927E8">
              <w:rPr>
                <w:noProof/>
                <w:webHidden/>
              </w:rPr>
              <w:fldChar w:fldCharType="separate"/>
            </w:r>
            <w:r>
              <w:rPr>
                <w:noProof/>
                <w:webHidden/>
              </w:rPr>
              <w:t>6</w:t>
            </w:r>
            <w:r w:rsidR="00C927E8">
              <w:rPr>
                <w:noProof/>
                <w:webHidden/>
              </w:rPr>
              <w:fldChar w:fldCharType="end"/>
            </w:r>
          </w:hyperlink>
        </w:p>
        <w:p w:rsidR="00C927E8" w:rsidRDefault="00016CF3">
          <w:pPr>
            <w:pStyle w:val="11"/>
            <w:tabs>
              <w:tab w:val="right" w:leader="dot" w:pos="9016"/>
            </w:tabs>
            <w:rPr>
              <w:rFonts w:eastAsiaTheme="minorEastAsia"/>
              <w:noProof/>
              <w:lang w:eastAsia="en-GB"/>
            </w:rPr>
          </w:pPr>
          <w:hyperlink w:anchor="_Toc101622584" w:history="1">
            <w:r w:rsidR="00C927E8" w:rsidRPr="00273C83">
              <w:rPr>
                <w:rStyle w:val="a8"/>
                <w:noProof/>
              </w:rPr>
              <w:t>Brand and brand equity</w:t>
            </w:r>
            <w:r w:rsidR="00C927E8">
              <w:rPr>
                <w:noProof/>
                <w:webHidden/>
              </w:rPr>
              <w:tab/>
            </w:r>
            <w:r w:rsidR="00C927E8">
              <w:rPr>
                <w:noProof/>
                <w:webHidden/>
              </w:rPr>
              <w:fldChar w:fldCharType="begin"/>
            </w:r>
            <w:r w:rsidR="00C927E8">
              <w:rPr>
                <w:noProof/>
                <w:webHidden/>
              </w:rPr>
              <w:instrText xml:space="preserve"> PAGEREF _Toc101622584 \h </w:instrText>
            </w:r>
            <w:r w:rsidR="00C927E8">
              <w:rPr>
                <w:noProof/>
                <w:webHidden/>
              </w:rPr>
            </w:r>
            <w:r w:rsidR="00C927E8">
              <w:rPr>
                <w:noProof/>
                <w:webHidden/>
              </w:rPr>
              <w:fldChar w:fldCharType="separate"/>
            </w:r>
            <w:r>
              <w:rPr>
                <w:noProof/>
                <w:webHidden/>
              </w:rPr>
              <w:t>7</w:t>
            </w:r>
            <w:r w:rsidR="00C927E8">
              <w:rPr>
                <w:noProof/>
                <w:webHidden/>
              </w:rPr>
              <w:fldChar w:fldCharType="end"/>
            </w:r>
          </w:hyperlink>
        </w:p>
        <w:p w:rsidR="00C927E8" w:rsidRDefault="00016CF3">
          <w:pPr>
            <w:pStyle w:val="11"/>
            <w:tabs>
              <w:tab w:val="right" w:leader="dot" w:pos="9016"/>
            </w:tabs>
            <w:rPr>
              <w:rFonts w:eastAsiaTheme="minorEastAsia"/>
              <w:noProof/>
              <w:lang w:eastAsia="en-GB"/>
            </w:rPr>
          </w:pPr>
          <w:hyperlink w:anchor="_Toc101622585" w:history="1">
            <w:r w:rsidR="00C927E8" w:rsidRPr="00273C83">
              <w:rPr>
                <w:rStyle w:val="a8"/>
                <w:noProof/>
              </w:rPr>
              <w:t>Keller’s Brand Equity</w:t>
            </w:r>
            <w:r w:rsidR="00C927E8">
              <w:rPr>
                <w:noProof/>
                <w:webHidden/>
              </w:rPr>
              <w:tab/>
            </w:r>
            <w:r w:rsidR="00C927E8">
              <w:rPr>
                <w:noProof/>
                <w:webHidden/>
              </w:rPr>
              <w:fldChar w:fldCharType="begin"/>
            </w:r>
            <w:r w:rsidR="00C927E8">
              <w:rPr>
                <w:noProof/>
                <w:webHidden/>
              </w:rPr>
              <w:instrText xml:space="preserve"> PAGEREF _Toc101622585 \h </w:instrText>
            </w:r>
            <w:r w:rsidR="00C927E8">
              <w:rPr>
                <w:noProof/>
                <w:webHidden/>
              </w:rPr>
            </w:r>
            <w:r w:rsidR="00C927E8">
              <w:rPr>
                <w:noProof/>
                <w:webHidden/>
              </w:rPr>
              <w:fldChar w:fldCharType="separate"/>
            </w:r>
            <w:r>
              <w:rPr>
                <w:noProof/>
                <w:webHidden/>
              </w:rPr>
              <w:t>7</w:t>
            </w:r>
            <w:r w:rsidR="00C927E8">
              <w:rPr>
                <w:noProof/>
                <w:webHidden/>
              </w:rPr>
              <w:fldChar w:fldCharType="end"/>
            </w:r>
          </w:hyperlink>
        </w:p>
        <w:p w:rsidR="00C927E8" w:rsidRDefault="00016CF3">
          <w:pPr>
            <w:pStyle w:val="21"/>
            <w:tabs>
              <w:tab w:val="right" w:leader="dot" w:pos="9016"/>
            </w:tabs>
            <w:rPr>
              <w:rFonts w:eastAsiaTheme="minorEastAsia"/>
              <w:noProof/>
              <w:lang w:eastAsia="en-GB"/>
            </w:rPr>
          </w:pPr>
          <w:hyperlink w:anchor="_Toc101622586" w:history="1">
            <w:r w:rsidR="00C927E8" w:rsidRPr="00273C83">
              <w:rPr>
                <w:rStyle w:val="a8"/>
                <w:noProof/>
              </w:rPr>
              <w:t>Advantages and Limitations on Keller’s Brand Equity Model</w:t>
            </w:r>
            <w:r w:rsidR="00C927E8">
              <w:rPr>
                <w:noProof/>
                <w:webHidden/>
              </w:rPr>
              <w:tab/>
            </w:r>
            <w:r w:rsidR="00C927E8">
              <w:rPr>
                <w:noProof/>
                <w:webHidden/>
              </w:rPr>
              <w:fldChar w:fldCharType="begin"/>
            </w:r>
            <w:r w:rsidR="00C927E8">
              <w:rPr>
                <w:noProof/>
                <w:webHidden/>
              </w:rPr>
              <w:instrText xml:space="preserve"> PAGEREF _Toc101622586 \h </w:instrText>
            </w:r>
            <w:r w:rsidR="00C927E8">
              <w:rPr>
                <w:noProof/>
                <w:webHidden/>
              </w:rPr>
            </w:r>
            <w:r w:rsidR="00C927E8">
              <w:rPr>
                <w:noProof/>
                <w:webHidden/>
              </w:rPr>
              <w:fldChar w:fldCharType="separate"/>
            </w:r>
            <w:r>
              <w:rPr>
                <w:noProof/>
                <w:webHidden/>
              </w:rPr>
              <w:t>8</w:t>
            </w:r>
            <w:r w:rsidR="00C927E8">
              <w:rPr>
                <w:noProof/>
                <w:webHidden/>
              </w:rPr>
              <w:fldChar w:fldCharType="end"/>
            </w:r>
          </w:hyperlink>
        </w:p>
        <w:p w:rsidR="00C927E8" w:rsidRDefault="00016CF3">
          <w:pPr>
            <w:pStyle w:val="21"/>
            <w:tabs>
              <w:tab w:val="right" w:leader="dot" w:pos="9016"/>
            </w:tabs>
            <w:rPr>
              <w:rFonts w:eastAsiaTheme="minorEastAsia"/>
              <w:noProof/>
              <w:lang w:eastAsia="en-GB"/>
            </w:rPr>
          </w:pPr>
          <w:hyperlink w:anchor="_Toc101622587" w:history="1">
            <w:r w:rsidR="00C927E8" w:rsidRPr="00273C83">
              <w:rPr>
                <w:rStyle w:val="a8"/>
                <w:noProof/>
              </w:rPr>
              <w:t>Keller’s Brand Equity Model in Cadbury</w:t>
            </w:r>
            <w:r w:rsidR="00C927E8">
              <w:rPr>
                <w:noProof/>
                <w:webHidden/>
              </w:rPr>
              <w:tab/>
            </w:r>
            <w:r w:rsidR="00C927E8">
              <w:rPr>
                <w:noProof/>
                <w:webHidden/>
              </w:rPr>
              <w:fldChar w:fldCharType="begin"/>
            </w:r>
            <w:r w:rsidR="00C927E8">
              <w:rPr>
                <w:noProof/>
                <w:webHidden/>
              </w:rPr>
              <w:instrText xml:space="preserve"> PAGEREF _Toc101622587 \h </w:instrText>
            </w:r>
            <w:r w:rsidR="00C927E8">
              <w:rPr>
                <w:noProof/>
                <w:webHidden/>
              </w:rPr>
            </w:r>
            <w:r w:rsidR="00C927E8">
              <w:rPr>
                <w:noProof/>
                <w:webHidden/>
              </w:rPr>
              <w:fldChar w:fldCharType="separate"/>
            </w:r>
            <w:r>
              <w:rPr>
                <w:noProof/>
                <w:webHidden/>
              </w:rPr>
              <w:t>9</w:t>
            </w:r>
            <w:r w:rsidR="00C927E8">
              <w:rPr>
                <w:noProof/>
                <w:webHidden/>
              </w:rPr>
              <w:fldChar w:fldCharType="end"/>
            </w:r>
          </w:hyperlink>
        </w:p>
        <w:p w:rsidR="00C927E8" w:rsidRDefault="00016CF3">
          <w:pPr>
            <w:pStyle w:val="11"/>
            <w:tabs>
              <w:tab w:val="right" w:leader="dot" w:pos="9016"/>
            </w:tabs>
            <w:rPr>
              <w:rFonts w:eastAsiaTheme="minorEastAsia"/>
              <w:noProof/>
              <w:lang w:eastAsia="en-GB"/>
            </w:rPr>
          </w:pPr>
          <w:hyperlink w:anchor="_Toc101622588" w:history="1">
            <w:r w:rsidR="00C927E8" w:rsidRPr="00273C83">
              <w:rPr>
                <w:rStyle w:val="a8"/>
                <w:noProof/>
              </w:rPr>
              <w:t>Customer Journey Map</w:t>
            </w:r>
            <w:r w:rsidR="00C927E8">
              <w:rPr>
                <w:noProof/>
                <w:webHidden/>
              </w:rPr>
              <w:tab/>
            </w:r>
            <w:r w:rsidR="00C927E8">
              <w:rPr>
                <w:noProof/>
                <w:webHidden/>
              </w:rPr>
              <w:fldChar w:fldCharType="begin"/>
            </w:r>
            <w:r w:rsidR="00C927E8">
              <w:rPr>
                <w:noProof/>
                <w:webHidden/>
              </w:rPr>
              <w:instrText xml:space="preserve"> PAGEREF _Toc101622588 \h </w:instrText>
            </w:r>
            <w:r w:rsidR="00C927E8">
              <w:rPr>
                <w:noProof/>
                <w:webHidden/>
              </w:rPr>
            </w:r>
            <w:r w:rsidR="00C927E8">
              <w:rPr>
                <w:noProof/>
                <w:webHidden/>
              </w:rPr>
              <w:fldChar w:fldCharType="separate"/>
            </w:r>
            <w:r>
              <w:rPr>
                <w:noProof/>
                <w:webHidden/>
              </w:rPr>
              <w:t>10</w:t>
            </w:r>
            <w:r w:rsidR="00C927E8">
              <w:rPr>
                <w:noProof/>
                <w:webHidden/>
              </w:rPr>
              <w:fldChar w:fldCharType="end"/>
            </w:r>
          </w:hyperlink>
        </w:p>
        <w:p w:rsidR="00C927E8" w:rsidRDefault="00016CF3">
          <w:pPr>
            <w:pStyle w:val="11"/>
            <w:tabs>
              <w:tab w:val="right" w:leader="dot" w:pos="9016"/>
            </w:tabs>
            <w:rPr>
              <w:rFonts w:eastAsiaTheme="minorEastAsia"/>
              <w:noProof/>
              <w:lang w:eastAsia="en-GB"/>
            </w:rPr>
          </w:pPr>
          <w:hyperlink w:anchor="_Toc101622589" w:history="1">
            <w:r w:rsidR="00C927E8" w:rsidRPr="00273C83">
              <w:rPr>
                <w:rStyle w:val="a8"/>
                <w:noProof/>
              </w:rPr>
              <w:t>Cadbury’s customers’ touchpoints</w:t>
            </w:r>
            <w:r w:rsidR="00C927E8">
              <w:rPr>
                <w:noProof/>
                <w:webHidden/>
              </w:rPr>
              <w:tab/>
            </w:r>
            <w:r w:rsidR="00C927E8">
              <w:rPr>
                <w:noProof/>
                <w:webHidden/>
              </w:rPr>
              <w:fldChar w:fldCharType="begin"/>
            </w:r>
            <w:r w:rsidR="00C927E8">
              <w:rPr>
                <w:noProof/>
                <w:webHidden/>
              </w:rPr>
              <w:instrText xml:space="preserve"> PAGEREF _Toc101622589 \h </w:instrText>
            </w:r>
            <w:r w:rsidR="00C927E8">
              <w:rPr>
                <w:noProof/>
                <w:webHidden/>
              </w:rPr>
            </w:r>
            <w:r w:rsidR="00C927E8">
              <w:rPr>
                <w:noProof/>
                <w:webHidden/>
              </w:rPr>
              <w:fldChar w:fldCharType="separate"/>
            </w:r>
            <w:r>
              <w:rPr>
                <w:noProof/>
                <w:webHidden/>
              </w:rPr>
              <w:t>11</w:t>
            </w:r>
            <w:r w:rsidR="00C927E8">
              <w:rPr>
                <w:noProof/>
                <w:webHidden/>
              </w:rPr>
              <w:fldChar w:fldCharType="end"/>
            </w:r>
          </w:hyperlink>
        </w:p>
        <w:p w:rsidR="00C927E8" w:rsidRDefault="00016CF3">
          <w:pPr>
            <w:pStyle w:val="21"/>
            <w:tabs>
              <w:tab w:val="right" w:leader="dot" w:pos="9016"/>
            </w:tabs>
            <w:rPr>
              <w:rFonts w:eastAsiaTheme="minorEastAsia"/>
              <w:noProof/>
              <w:lang w:eastAsia="en-GB"/>
            </w:rPr>
          </w:pPr>
          <w:hyperlink w:anchor="_Toc101622590" w:history="1">
            <w:r w:rsidR="00C927E8" w:rsidRPr="00273C83">
              <w:rPr>
                <w:rStyle w:val="a8"/>
                <w:noProof/>
              </w:rPr>
              <w:t>Strengths and Weaknesses of Cadbury’s customer Journey map</w:t>
            </w:r>
            <w:r w:rsidR="00C927E8">
              <w:rPr>
                <w:noProof/>
                <w:webHidden/>
              </w:rPr>
              <w:tab/>
            </w:r>
            <w:r w:rsidR="00C927E8">
              <w:rPr>
                <w:noProof/>
                <w:webHidden/>
              </w:rPr>
              <w:fldChar w:fldCharType="begin"/>
            </w:r>
            <w:r w:rsidR="00C927E8">
              <w:rPr>
                <w:noProof/>
                <w:webHidden/>
              </w:rPr>
              <w:instrText xml:space="preserve"> PAGEREF _Toc101622590 \h </w:instrText>
            </w:r>
            <w:r w:rsidR="00C927E8">
              <w:rPr>
                <w:noProof/>
                <w:webHidden/>
              </w:rPr>
            </w:r>
            <w:r w:rsidR="00C927E8">
              <w:rPr>
                <w:noProof/>
                <w:webHidden/>
              </w:rPr>
              <w:fldChar w:fldCharType="separate"/>
            </w:r>
            <w:r>
              <w:rPr>
                <w:noProof/>
                <w:webHidden/>
              </w:rPr>
              <w:t>12</w:t>
            </w:r>
            <w:r w:rsidR="00C927E8">
              <w:rPr>
                <w:noProof/>
                <w:webHidden/>
              </w:rPr>
              <w:fldChar w:fldCharType="end"/>
            </w:r>
          </w:hyperlink>
        </w:p>
        <w:p w:rsidR="00C927E8" w:rsidRDefault="00016CF3">
          <w:pPr>
            <w:pStyle w:val="11"/>
            <w:tabs>
              <w:tab w:val="right" w:leader="dot" w:pos="9016"/>
            </w:tabs>
            <w:rPr>
              <w:rFonts w:eastAsiaTheme="minorEastAsia"/>
              <w:noProof/>
              <w:lang w:eastAsia="en-GB"/>
            </w:rPr>
          </w:pPr>
          <w:hyperlink w:anchor="_Toc101622591" w:history="1">
            <w:r w:rsidR="00C927E8" w:rsidRPr="00273C83">
              <w:rPr>
                <w:rStyle w:val="a8"/>
                <w:noProof/>
              </w:rPr>
              <w:t>Kotler’s Five Product Level model</w:t>
            </w:r>
            <w:r w:rsidR="00C927E8">
              <w:rPr>
                <w:noProof/>
                <w:webHidden/>
              </w:rPr>
              <w:tab/>
            </w:r>
            <w:r w:rsidR="00C927E8">
              <w:rPr>
                <w:noProof/>
                <w:webHidden/>
              </w:rPr>
              <w:fldChar w:fldCharType="begin"/>
            </w:r>
            <w:r w:rsidR="00C927E8">
              <w:rPr>
                <w:noProof/>
                <w:webHidden/>
              </w:rPr>
              <w:instrText xml:space="preserve"> PAGEREF _Toc101622591 \h </w:instrText>
            </w:r>
            <w:r w:rsidR="00C927E8">
              <w:rPr>
                <w:noProof/>
                <w:webHidden/>
              </w:rPr>
            </w:r>
            <w:r w:rsidR="00C927E8">
              <w:rPr>
                <w:noProof/>
                <w:webHidden/>
              </w:rPr>
              <w:fldChar w:fldCharType="separate"/>
            </w:r>
            <w:r>
              <w:rPr>
                <w:noProof/>
                <w:webHidden/>
              </w:rPr>
              <w:t>13</w:t>
            </w:r>
            <w:r w:rsidR="00C927E8">
              <w:rPr>
                <w:noProof/>
                <w:webHidden/>
              </w:rPr>
              <w:fldChar w:fldCharType="end"/>
            </w:r>
          </w:hyperlink>
        </w:p>
        <w:p w:rsidR="00C927E8" w:rsidRDefault="00016CF3">
          <w:pPr>
            <w:pStyle w:val="21"/>
            <w:tabs>
              <w:tab w:val="right" w:leader="dot" w:pos="9016"/>
            </w:tabs>
            <w:rPr>
              <w:rFonts w:eastAsiaTheme="minorEastAsia"/>
              <w:noProof/>
              <w:lang w:eastAsia="en-GB"/>
            </w:rPr>
          </w:pPr>
          <w:hyperlink w:anchor="_Toc101622592" w:history="1">
            <w:r w:rsidR="00C927E8" w:rsidRPr="00273C83">
              <w:rPr>
                <w:rStyle w:val="a8"/>
                <w:noProof/>
              </w:rPr>
              <w:t>Kotler’s Five Product Level model in Cadbury</w:t>
            </w:r>
            <w:r w:rsidR="00C927E8">
              <w:rPr>
                <w:noProof/>
                <w:webHidden/>
              </w:rPr>
              <w:tab/>
            </w:r>
            <w:r w:rsidR="00C927E8">
              <w:rPr>
                <w:noProof/>
                <w:webHidden/>
              </w:rPr>
              <w:fldChar w:fldCharType="begin"/>
            </w:r>
            <w:r w:rsidR="00C927E8">
              <w:rPr>
                <w:noProof/>
                <w:webHidden/>
              </w:rPr>
              <w:instrText xml:space="preserve"> PAGEREF _Toc101622592 \h </w:instrText>
            </w:r>
            <w:r w:rsidR="00C927E8">
              <w:rPr>
                <w:noProof/>
                <w:webHidden/>
              </w:rPr>
            </w:r>
            <w:r w:rsidR="00C927E8">
              <w:rPr>
                <w:noProof/>
                <w:webHidden/>
              </w:rPr>
              <w:fldChar w:fldCharType="separate"/>
            </w:r>
            <w:r>
              <w:rPr>
                <w:noProof/>
                <w:webHidden/>
              </w:rPr>
              <w:t>14</w:t>
            </w:r>
            <w:r w:rsidR="00C927E8">
              <w:rPr>
                <w:noProof/>
                <w:webHidden/>
              </w:rPr>
              <w:fldChar w:fldCharType="end"/>
            </w:r>
          </w:hyperlink>
        </w:p>
        <w:p w:rsidR="00C927E8" w:rsidRDefault="00016CF3">
          <w:pPr>
            <w:pStyle w:val="11"/>
            <w:tabs>
              <w:tab w:val="right" w:leader="dot" w:pos="9016"/>
            </w:tabs>
            <w:rPr>
              <w:rFonts w:eastAsiaTheme="minorEastAsia"/>
              <w:noProof/>
              <w:lang w:eastAsia="en-GB"/>
            </w:rPr>
          </w:pPr>
          <w:hyperlink w:anchor="_Toc101622593" w:history="1">
            <w:r w:rsidR="00C927E8" w:rsidRPr="00273C83">
              <w:rPr>
                <w:rStyle w:val="a8"/>
                <w:noProof/>
              </w:rPr>
              <w:t>Recommendations and conclusion</w:t>
            </w:r>
            <w:r w:rsidR="00C927E8">
              <w:rPr>
                <w:noProof/>
                <w:webHidden/>
              </w:rPr>
              <w:tab/>
            </w:r>
            <w:r w:rsidR="00C927E8">
              <w:rPr>
                <w:noProof/>
                <w:webHidden/>
              </w:rPr>
              <w:fldChar w:fldCharType="begin"/>
            </w:r>
            <w:r w:rsidR="00C927E8">
              <w:rPr>
                <w:noProof/>
                <w:webHidden/>
              </w:rPr>
              <w:instrText xml:space="preserve"> PAGEREF _Toc101622593 \h </w:instrText>
            </w:r>
            <w:r w:rsidR="00C927E8">
              <w:rPr>
                <w:noProof/>
                <w:webHidden/>
              </w:rPr>
            </w:r>
            <w:r w:rsidR="00C927E8">
              <w:rPr>
                <w:noProof/>
                <w:webHidden/>
              </w:rPr>
              <w:fldChar w:fldCharType="separate"/>
            </w:r>
            <w:r>
              <w:rPr>
                <w:noProof/>
                <w:webHidden/>
              </w:rPr>
              <w:t>15</w:t>
            </w:r>
            <w:r w:rsidR="00C927E8">
              <w:rPr>
                <w:noProof/>
                <w:webHidden/>
              </w:rPr>
              <w:fldChar w:fldCharType="end"/>
            </w:r>
          </w:hyperlink>
        </w:p>
        <w:p w:rsidR="00C927E8" w:rsidRDefault="00016CF3">
          <w:pPr>
            <w:pStyle w:val="11"/>
            <w:tabs>
              <w:tab w:val="right" w:leader="dot" w:pos="9016"/>
            </w:tabs>
            <w:rPr>
              <w:rFonts w:eastAsiaTheme="minorEastAsia"/>
              <w:noProof/>
              <w:lang w:eastAsia="en-GB"/>
            </w:rPr>
          </w:pPr>
          <w:hyperlink w:anchor="_Toc101622594" w:history="1">
            <w:r w:rsidR="00C927E8" w:rsidRPr="00273C83">
              <w:rPr>
                <w:rStyle w:val="a8"/>
                <w:noProof/>
              </w:rPr>
              <w:t>References:</w:t>
            </w:r>
            <w:r w:rsidR="00C927E8">
              <w:rPr>
                <w:noProof/>
                <w:webHidden/>
              </w:rPr>
              <w:tab/>
            </w:r>
            <w:r w:rsidR="00C927E8">
              <w:rPr>
                <w:noProof/>
                <w:webHidden/>
              </w:rPr>
              <w:fldChar w:fldCharType="begin"/>
            </w:r>
            <w:r w:rsidR="00C927E8">
              <w:rPr>
                <w:noProof/>
                <w:webHidden/>
              </w:rPr>
              <w:instrText xml:space="preserve"> PAGEREF _Toc101622594 \h </w:instrText>
            </w:r>
            <w:r w:rsidR="00C927E8">
              <w:rPr>
                <w:noProof/>
                <w:webHidden/>
              </w:rPr>
            </w:r>
            <w:r w:rsidR="00C927E8">
              <w:rPr>
                <w:noProof/>
                <w:webHidden/>
              </w:rPr>
              <w:fldChar w:fldCharType="separate"/>
            </w:r>
            <w:r>
              <w:rPr>
                <w:noProof/>
                <w:webHidden/>
              </w:rPr>
              <w:t>16</w:t>
            </w:r>
            <w:r w:rsidR="00C927E8">
              <w:rPr>
                <w:noProof/>
                <w:webHidden/>
              </w:rPr>
              <w:fldChar w:fldCharType="end"/>
            </w:r>
          </w:hyperlink>
        </w:p>
        <w:p w:rsidR="51D22FD5" w:rsidRDefault="51D22FD5" w:rsidP="502210B9">
          <w:pPr>
            <w:pStyle w:val="11"/>
            <w:tabs>
              <w:tab w:val="right" w:leader="dot" w:pos="9015"/>
            </w:tabs>
          </w:pPr>
          <w:r>
            <w:fldChar w:fldCharType="end"/>
          </w:r>
        </w:p>
      </w:sdtContent>
    </w:sdt>
    <w:p w:rsidR="51D22FD5" w:rsidRDefault="51D22FD5" w:rsidP="659037A2">
      <w:pPr>
        <w:jc w:val="both"/>
        <w:rPr>
          <w:b/>
          <w:bCs/>
        </w:rPr>
      </w:pPr>
    </w:p>
    <w:p w:rsidR="7F9239CD" w:rsidRDefault="7F9239CD" w:rsidP="7F9239CD">
      <w:pPr>
        <w:jc w:val="both"/>
        <w:rPr>
          <w:b/>
          <w:bCs/>
        </w:rPr>
      </w:pPr>
    </w:p>
    <w:p w:rsidR="00C927E8" w:rsidRDefault="00C927E8" w:rsidP="7F9239CD">
      <w:pPr>
        <w:jc w:val="both"/>
        <w:rPr>
          <w:b/>
          <w:bCs/>
        </w:rPr>
      </w:pPr>
    </w:p>
    <w:p w:rsidR="00C927E8" w:rsidRDefault="00C927E8" w:rsidP="7F9239CD">
      <w:pPr>
        <w:jc w:val="both"/>
        <w:rPr>
          <w:b/>
          <w:bCs/>
        </w:rPr>
      </w:pPr>
    </w:p>
    <w:p w:rsidR="00016CF3" w:rsidRDefault="00016CF3" w:rsidP="7F9239CD">
      <w:pPr>
        <w:jc w:val="both"/>
        <w:rPr>
          <w:b/>
          <w:bCs/>
        </w:rPr>
      </w:pPr>
    </w:p>
    <w:p w:rsidR="00016CF3" w:rsidRDefault="00016CF3" w:rsidP="7F9239CD">
      <w:pPr>
        <w:jc w:val="both"/>
        <w:rPr>
          <w:b/>
          <w:bCs/>
        </w:rPr>
      </w:pPr>
    </w:p>
    <w:p w:rsidR="00016CF3" w:rsidRDefault="00016CF3" w:rsidP="7F9239CD">
      <w:pPr>
        <w:jc w:val="both"/>
        <w:rPr>
          <w:b/>
          <w:bCs/>
        </w:rPr>
      </w:pPr>
    </w:p>
    <w:p w:rsidR="7F9239CD" w:rsidRDefault="7F9239CD" w:rsidP="7F9239CD">
      <w:pPr>
        <w:jc w:val="both"/>
        <w:rPr>
          <w:b/>
          <w:bCs/>
        </w:rPr>
      </w:pPr>
    </w:p>
    <w:p w:rsidR="0087535C" w:rsidRDefault="7C46FB76" w:rsidP="659037A2">
      <w:pPr>
        <w:pStyle w:val="1"/>
        <w:jc w:val="both"/>
        <w:rPr>
          <w:rFonts w:ascii="Calibri Light" w:hAnsi="Calibri Light"/>
          <w:b/>
          <w:bCs/>
        </w:rPr>
      </w:pPr>
      <w:bookmarkStart w:id="1" w:name="_Toc101622574"/>
      <w:bookmarkStart w:id="2" w:name="_Toc1905873414"/>
      <w:r>
        <w:lastRenderedPageBreak/>
        <w:t>Introduction</w:t>
      </w:r>
      <w:bookmarkEnd w:id="1"/>
      <w:r>
        <w:t xml:space="preserve"> </w:t>
      </w:r>
      <w:bookmarkEnd w:id="2"/>
    </w:p>
    <w:p w:rsidR="0087535C" w:rsidRDefault="0087535C" w:rsidP="659037A2">
      <w:pPr>
        <w:jc w:val="both"/>
        <w:rPr>
          <w:b/>
          <w:bCs/>
        </w:rPr>
      </w:pPr>
    </w:p>
    <w:p w:rsidR="64B0BAAA" w:rsidRDefault="659037A2" w:rsidP="659037A2">
      <w:pPr>
        <w:contextualSpacing/>
        <w:jc w:val="both"/>
        <w:rPr>
          <w:rStyle w:val="20"/>
        </w:rPr>
      </w:pPr>
      <w:r>
        <w:t xml:space="preserve">The purpose of this report is to provide detailed information and analysis on the key marketing activities of Cadbury. The paper will include description of communication and communication model, as well as definition of integrated marketing communication and its limitations. Furthermore, brand and brand equity will be discussed and related to the company through the analyzation of the </w:t>
      </w:r>
      <w:proofErr w:type="spellStart"/>
      <w:r>
        <w:t>Kellers</w:t>
      </w:r>
      <w:proofErr w:type="spellEnd"/>
      <w:r>
        <w:t>’ brand equity model. The author will also analyse the stages of the customer journey and the customer touchpoints in the chosen organisation, as well as the way the company maintains consumer satisfaction and loyalty. The paper will conclude with summary of the discussed key marketing activities of the company and recommendations for new customer touchpoints.</w:t>
      </w:r>
      <w:r w:rsidR="4634002A" w:rsidRPr="659037A2">
        <w:rPr>
          <w:rStyle w:val="20"/>
        </w:rPr>
        <w:t xml:space="preserve"> </w:t>
      </w:r>
    </w:p>
    <w:p w:rsidR="659037A2" w:rsidRDefault="659037A2" w:rsidP="659037A2">
      <w:pPr>
        <w:contextualSpacing/>
        <w:jc w:val="both"/>
        <w:rPr>
          <w:rStyle w:val="20"/>
        </w:rPr>
      </w:pPr>
    </w:p>
    <w:p w:rsidR="2A91CEEF" w:rsidRDefault="64B0BAAA" w:rsidP="659037A2">
      <w:pPr>
        <w:jc w:val="both"/>
      </w:pPr>
      <w:r>
        <w:t xml:space="preserve">Cadbury was founded by John Cadbury who opened its first shop back in 1824 in Birmingham. The chocolate empire started by selling cocoa and drinking chocolate which were prepared personally by John Cadbury. Later, in 1831 he decided to expand his family business on a commercial scale and bought his first warehouse. The first “Dairy Milk” chocolate bar was created in 1905 and it was sold in unwrapped blocks that could be broken down into penny bars. By the beginning of the First World War, Cadbury’s Dairy Milk had become the company’s biggest seller and by the early 1920s it had taken over the UK market. Nowadays, the chocolate </w:t>
      </w:r>
      <w:bookmarkStart w:id="3" w:name="_Int_tut9RQiv"/>
      <w:r>
        <w:t>is considered to be</w:t>
      </w:r>
      <w:bookmarkEnd w:id="3"/>
      <w:r>
        <w:t xml:space="preserve"> a “megabrand,” hugely popular, available in many different varieties and all over the world. </w:t>
      </w:r>
    </w:p>
    <w:p w:rsidR="64B0BAAA" w:rsidRDefault="64B0BAAA" w:rsidP="659037A2">
      <w:pPr>
        <w:jc w:val="both"/>
      </w:pPr>
      <w:r>
        <w:t xml:space="preserve">The mission and vision of Cadbury are to create and deliver quality products. Their mission statement is: “Cadbury means quality; this is our statement. Our reputation is built upon quality; our commitment to continuous improvement will ensure that our promise is delivered.” As per the company’s vision, it states: “Working together to create brands </w:t>
      </w:r>
      <w:bookmarkStart w:id="4" w:name="_Int_JvhIe0mm"/>
      <w:r>
        <w:t>people</w:t>
      </w:r>
      <w:bookmarkEnd w:id="4"/>
      <w:r w:rsidR="00C927E8">
        <w:t xml:space="preserve"> love.” (Cadbury, 2020</w:t>
      </w:r>
      <w:r>
        <w:t xml:space="preserve">). Cadbury has not failed with the promises and today it is the market leader in the chocolate confectionery business with a market share of over 70% and world-famous brands including </w:t>
      </w:r>
      <w:proofErr w:type="spellStart"/>
      <w:r>
        <w:t>Bournville</w:t>
      </w:r>
      <w:proofErr w:type="spellEnd"/>
      <w:r>
        <w:t xml:space="preserve">, Temptation, Celebrations, </w:t>
      </w:r>
      <w:proofErr w:type="spellStart"/>
      <w:r>
        <w:t>Toblerone</w:t>
      </w:r>
      <w:proofErr w:type="spellEnd"/>
      <w:r>
        <w:t xml:space="preserve">, Oreo, Gems, </w:t>
      </w:r>
      <w:proofErr w:type="spellStart"/>
      <w:r>
        <w:t>Bubbaloo</w:t>
      </w:r>
      <w:proofErr w:type="spellEnd"/>
      <w:r>
        <w:t xml:space="preserve"> and more. </w:t>
      </w:r>
    </w:p>
    <w:p w:rsidR="0656FF72" w:rsidRDefault="0656FF72" w:rsidP="659037A2">
      <w:pPr>
        <w:jc w:val="both"/>
      </w:pPr>
    </w:p>
    <w:p w:rsidR="0656FF72" w:rsidRDefault="7C46FB76" w:rsidP="659037A2">
      <w:pPr>
        <w:pStyle w:val="1"/>
        <w:jc w:val="both"/>
        <w:rPr>
          <w:rFonts w:ascii="Calibri Light" w:hAnsi="Calibri Light"/>
          <w:b/>
          <w:bCs/>
        </w:rPr>
      </w:pPr>
      <w:bookmarkStart w:id="5" w:name="_Toc1135181378"/>
      <w:bookmarkStart w:id="6" w:name="_Toc101622575"/>
      <w:r>
        <w:t>Communication and model of communication</w:t>
      </w:r>
      <w:bookmarkEnd w:id="5"/>
      <w:bookmarkEnd w:id="6"/>
    </w:p>
    <w:p w:rsidR="0656FF72" w:rsidRDefault="0656FF72" w:rsidP="659037A2">
      <w:pPr>
        <w:jc w:val="both"/>
      </w:pPr>
    </w:p>
    <w:p w:rsidR="0656FF72" w:rsidRDefault="659037A2" w:rsidP="659037A2">
      <w:pPr>
        <w:spacing w:after="0"/>
        <w:contextualSpacing/>
        <w:jc w:val="both"/>
      </w:pPr>
      <w:r>
        <w:t xml:space="preserve">The word “communicate” is related to the word “common” and means to share something with somebody else. Through communication we share our ideas and therefore increase and enrich our knowledge and common sense. However, communication does not always have positive outcomes, and on many occasions, it can lead to conflicts and disagreements </w:t>
      </w:r>
      <w:r w:rsidR="0656FF72">
        <w:t xml:space="preserve">(Karl, R., 2000). </w:t>
      </w:r>
    </w:p>
    <w:p w:rsidR="573A2B54" w:rsidRDefault="573A2B54" w:rsidP="659037A2">
      <w:pPr>
        <w:spacing w:after="0"/>
        <w:contextualSpacing/>
        <w:jc w:val="both"/>
      </w:pPr>
    </w:p>
    <w:p w:rsidR="573A2B54" w:rsidRDefault="77B5D6E2" w:rsidP="659037A2">
      <w:pPr>
        <w:pStyle w:val="2"/>
        <w:contextualSpacing/>
        <w:jc w:val="both"/>
        <w:rPr>
          <w:rFonts w:ascii="Calibri Light" w:hAnsi="Calibri Light"/>
          <w:b/>
          <w:bCs/>
        </w:rPr>
      </w:pPr>
      <w:bookmarkStart w:id="7" w:name="_Toc759219123"/>
      <w:bookmarkStart w:id="8" w:name="_Toc101622576"/>
      <w:r>
        <w:t>Shannon and Weaver’s model of communication</w:t>
      </w:r>
      <w:bookmarkEnd w:id="7"/>
      <w:bookmarkEnd w:id="8"/>
    </w:p>
    <w:p w:rsidR="573A2B54" w:rsidRDefault="51D22FD5" w:rsidP="659037A2">
      <w:pPr>
        <w:spacing w:after="0"/>
        <w:contextualSpacing/>
        <w:jc w:val="both"/>
      </w:pPr>
      <w:r>
        <w:t xml:space="preserve"> </w:t>
      </w:r>
    </w:p>
    <w:p w:rsidR="573A2B54" w:rsidRDefault="573A2B54" w:rsidP="659037A2">
      <w:pPr>
        <w:spacing w:after="0"/>
        <w:contextualSpacing/>
        <w:jc w:val="both"/>
      </w:pPr>
      <w:r>
        <w:t xml:space="preserve">The most influential model of communication is the one developed by Claude Shannon and Warren Weaver. The model consists of five elements which can be seen on the figure below. The process starts from the information source where a message is produced and then sent through to the encoder which encodes the message into signal. The next step of the message is the channel to which signals are adapted for transmission and then sent to the receiver, who decodes the message from the signal. Last point is destination, where the message arrives (Shannon C., 1948). </w:t>
      </w:r>
    </w:p>
    <w:p w:rsidR="64B0BAAA" w:rsidRDefault="64B0BAAA" w:rsidP="659037A2">
      <w:pPr>
        <w:spacing w:after="0"/>
        <w:contextualSpacing/>
        <w:jc w:val="both"/>
      </w:pPr>
    </w:p>
    <w:p w:rsidR="64B0BAAA" w:rsidRDefault="64B0BAAA" w:rsidP="659037A2">
      <w:pPr>
        <w:spacing w:after="0"/>
        <w:contextualSpacing/>
        <w:jc w:val="both"/>
      </w:pPr>
      <w:r>
        <w:rPr>
          <w:noProof/>
          <w:lang w:eastAsia="en-GB"/>
        </w:rPr>
        <w:lastRenderedPageBreak/>
        <w:drawing>
          <wp:inline distT="0" distB="0" distL="0" distR="0" wp14:anchorId="1B65724F" wp14:editId="1DDEF680">
            <wp:extent cx="6324598" cy="1981200"/>
            <wp:effectExtent l="0" t="0" r="0" b="0"/>
            <wp:docPr id="536004777" name="Картина 5360047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6324598" cy="1981200"/>
                    </a:xfrm>
                    <a:prstGeom prst="rect">
                      <a:avLst/>
                    </a:prstGeom>
                  </pic:spPr>
                </pic:pic>
              </a:graphicData>
            </a:graphic>
          </wp:inline>
        </w:drawing>
      </w:r>
      <w:r>
        <w:t>Fig 1: The Shannon-Weaver Model (Beyer, G., 2012).</w:t>
      </w:r>
    </w:p>
    <w:p w:rsidR="64B0BAAA" w:rsidRDefault="64B0BAAA" w:rsidP="659037A2">
      <w:pPr>
        <w:spacing w:after="0"/>
        <w:contextualSpacing/>
        <w:jc w:val="both"/>
      </w:pPr>
    </w:p>
    <w:p w:rsidR="64B0BAAA" w:rsidRDefault="64B0BAAA" w:rsidP="659037A2">
      <w:pPr>
        <w:spacing w:after="0"/>
        <w:contextualSpacing/>
        <w:jc w:val="both"/>
      </w:pPr>
    </w:p>
    <w:p w:rsidR="573A2B54" w:rsidRDefault="573A2B54" w:rsidP="659037A2">
      <w:pPr>
        <w:spacing w:after="0"/>
        <w:contextualSpacing/>
        <w:jc w:val="both"/>
      </w:pPr>
      <w:r>
        <w:t xml:space="preserve">Shannon and Weaver are the first to take into consideration one more factor that could influence the way the message is received thus they add one more element to the model- noise. The noise could be anything that interference with the message travelling along the channel. There could be internal and external noise. The external noise is something that is not in the contract of the sender or the receiver. Example of such noise could be static on the phone or radio, failed internet connection, or people talking loud in the background. Internal noise on the other hand is when the sender makes mistakes while sending the message or the receiver makes mistake while decoding the </w:t>
      </w:r>
      <w:r w:rsidR="14B54AD0">
        <w:t xml:space="preserve">message. For example, spelling mistakes or missing vital information in emails, or misinterpreting a sentence when reading an email (Littlejohn, S. and Foss, K., 2009). </w:t>
      </w:r>
    </w:p>
    <w:p w:rsidR="14B54AD0" w:rsidRDefault="14B54AD0" w:rsidP="659037A2">
      <w:pPr>
        <w:spacing w:after="0"/>
        <w:contextualSpacing/>
        <w:jc w:val="both"/>
      </w:pPr>
      <w:r>
        <w:t xml:space="preserve">There are many advantages about Shannon and Weaver’s model of communication. The main one is that is explains the barriers to effective communication very well and shows us how to identify and improve various aspects in it by breaking down the communication process into understandable parts. This on the other hand also allows us to look at the critical steps in the communication from the beginning to end. </w:t>
      </w:r>
    </w:p>
    <w:p w:rsidR="14B54AD0" w:rsidRDefault="14B54AD0" w:rsidP="659037A2">
      <w:pPr>
        <w:spacing w:after="0"/>
        <w:contextualSpacing/>
        <w:jc w:val="both"/>
      </w:pPr>
      <w:r>
        <w:t xml:space="preserve">Unfortunately, there are also disadvantages and limitations to the model. One is that it does not address one to many </w:t>
      </w:r>
      <w:bookmarkStart w:id="9" w:name="_Int_yBAkVo2f"/>
      <w:r>
        <w:t>way</w:t>
      </w:r>
      <w:bookmarkEnd w:id="9"/>
      <w:r>
        <w:t xml:space="preserve"> of communication. This means that the model is more suitable for interpersonal communication rather than group or mass communication. </w:t>
      </w:r>
    </w:p>
    <w:p w:rsidR="644F69E1" w:rsidRDefault="644F69E1" w:rsidP="659037A2">
      <w:pPr>
        <w:spacing w:after="0"/>
        <w:contextualSpacing/>
        <w:jc w:val="both"/>
      </w:pPr>
    </w:p>
    <w:p w:rsidR="659037A2" w:rsidRDefault="659037A2" w:rsidP="659037A2">
      <w:pPr>
        <w:pStyle w:val="2"/>
        <w:contextualSpacing/>
        <w:jc w:val="both"/>
      </w:pPr>
      <w:bookmarkStart w:id="10" w:name="_Toc101622577"/>
      <w:bookmarkStart w:id="11" w:name="_Toc1444322039"/>
      <w:r>
        <w:t>Shannon and Weaver model in Cadbury</w:t>
      </w:r>
      <w:bookmarkEnd w:id="10"/>
      <w:r>
        <w:t xml:space="preserve"> </w:t>
      </w:r>
      <w:bookmarkEnd w:id="11"/>
    </w:p>
    <w:p w:rsidR="659037A2" w:rsidRDefault="659037A2" w:rsidP="659037A2">
      <w:pPr>
        <w:contextualSpacing/>
        <w:jc w:val="both"/>
      </w:pPr>
    </w:p>
    <w:p w:rsidR="644F69E1" w:rsidRDefault="644F69E1" w:rsidP="659037A2">
      <w:pPr>
        <w:spacing w:after="0"/>
        <w:contextualSpacing/>
        <w:jc w:val="both"/>
      </w:pPr>
      <w:r>
        <w:t xml:space="preserve">From the figure below it can be seen that the model can be effectively implemented in Cadbury because it allows the company to encode a clear message of who they are and what they offer to their target market through various kinds of channels (I.e., social media, advertising, marketing campaigns). Further, they also can establish and analyse who their competitors are (noise) and have a post-purchase point and collect final feedback of the product from their customers. </w:t>
      </w:r>
    </w:p>
    <w:p w:rsidR="644F69E1" w:rsidRDefault="644F69E1" w:rsidP="659037A2">
      <w:pPr>
        <w:spacing w:after="0"/>
        <w:contextualSpacing/>
        <w:jc w:val="both"/>
      </w:pPr>
    </w:p>
    <w:p w:rsidR="644F69E1" w:rsidRDefault="644F69E1" w:rsidP="659037A2">
      <w:pPr>
        <w:spacing w:after="0"/>
        <w:contextualSpacing/>
        <w:jc w:val="both"/>
      </w:pPr>
    </w:p>
    <w:p w:rsidR="644F69E1" w:rsidRDefault="644F69E1" w:rsidP="659037A2">
      <w:pPr>
        <w:spacing w:after="0"/>
        <w:contextualSpacing/>
        <w:jc w:val="both"/>
      </w:pPr>
      <w:r>
        <w:rPr>
          <w:noProof/>
          <w:lang w:eastAsia="en-GB"/>
        </w:rPr>
        <w:lastRenderedPageBreak/>
        <mc:AlternateContent>
          <mc:Choice Requires="wpg">
            <w:drawing>
              <wp:inline distT="0" distB="0" distL="0" distR="0" wp14:anchorId="0DA35004" wp14:editId="4D414FD1">
                <wp:extent cx="6492240" cy="2560320"/>
                <wp:effectExtent l="0" t="19050" r="41910" b="11430"/>
                <wp:docPr id="1951775942" name="Group 12"/>
                <wp:cNvGraphicFramePr/>
                <a:graphic xmlns:a="http://schemas.openxmlformats.org/drawingml/2006/main">
                  <a:graphicData uri="http://schemas.microsoft.com/office/word/2010/wordprocessingGroup">
                    <wpg:wgp>
                      <wpg:cNvGrpSpPr/>
                      <wpg:grpSpPr>
                        <a:xfrm>
                          <a:off x="0" y="0"/>
                          <a:ext cx="6492240" cy="2560320"/>
                          <a:chOff x="0" y="0"/>
                          <a:chExt cx="7274557" cy="2869028"/>
                        </a:xfrm>
                      </wpg:grpSpPr>
                      <wps:wsp>
                        <wps:cNvPr id="2" name="Arrow: Right 2"/>
                        <wps:cNvSpPr/>
                        <wps:spPr>
                          <a:xfrm>
                            <a:off x="0" y="55976"/>
                            <a:ext cx="1488865" cy="991498"/>
                          </a:xfrm>
                          <a:prstGeom prst="rightArrow">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175C41" w:rsidRDefault="00C927E8" w:rsidP="00175C41">
                              <w:pPr>
                                <w:spacing w:line="254" w:lineRule="auto"/>
                                <w:jc w:val="center"/>
                                <w:rPr>
                                  <w:rFonts w:eastAsia="Calibri" w:hAnsi="Calibri" w:cs="Calibri"/>
                                  <w:color w:val="FFFFFF"/>
                                </w:rPr>
                              </w:pPr>
                              <w:r>
                                <w:rPr>
                                  <w:rFonts w:eastAsia="Calibri" w:hAnsi="Calibri" w:cs="Calibri"/>
                                  <w:color w:val="FFFFFF"/>
                                </w:rPr>
                                <w:t>Cadbury</w:t>
                              </w:r>
                            </w:p>
                          </w:txbxContent>
                        </wps:txbx>
                        <wps:bodyPr anchor="ctr"/>
                      </wps:wsp>
                      <wps:wsp>
                        <wps:cNvPr id="3" name="Arrow: Right 3"/>
                        <wps:cNvSpPr/>
                        <wps:spPr>
                          <a:xfrm>
                            <a:off x="1629211" y="92363"/>
                            <a:ext cx="1077264" cy="849856"/>
                          </a:xfrm>
                          <a:prstGeom prst="rightArrow">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175C41" w:rsidRDefault="00C927E8" w:rsidP="00175C41">
                              <w:pPr>
                                <w:spacing w:line="254" w:lineRule="auto"/>
                                <w:jc w:val="center"/>
                                <w:rPr>
                                  <w:rFonts w:eastAsia="Calibri" w:hAnsi="Calibri" w:cs="Calibri"/>
                                  <w:color w:val="FFFFFF"/>
                                </w:rPr>
                              </w:pPr>
                              <w:r>
                                <w:rPr>
                                  <w:rFonts w:eastAsia="Calibri" w:hAnsi="Calibri" w:cs="Calibri"/>
                                  <w:color w:val="FFFFFF"/>
                                </w:rPr>
                                <w:t>Encoder</w:t>
                              </w:r>
                            </w:p>
                          </w:txbxContent>
                        </wps:txbx>
                        <wps:bodyPr anchor="ctr"/>
                      </wps:wsp>
                      <wps:wsp>
                        <wps:cNvPr id="4" name="Rectangle 4"/>
                        <wps:cNvSpPr/>
                        <wps:spPr>
                          <a:xfrm>
                            <a:off x="2741701" y="248534"/>
                            <a:ext cx="1603773" cy="591566"/>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175C41" w:rsidRDefault="00C927E8" w:rsidP="00175C41">
                              <w:pPr>
                                <w:spacing w:line="254" w:lineRule="auto"/>
                                <w:jc w:val="center"/>
                                <w:rPr>
                                  <w:rFonts w:eastAsia="Calibri" w:hAnsi="Calibri" w:cs="Calibri"/>
                                  <w:color w:val="FFFFFF"/>
                                </w:rPr>
                              </w:pPr>
                              <w:r>
                                <w:rPr>
                                  <w:rFonts w:eastAsia="Calibri" w:hAnsi="Calibri" w:cs="Calibri"/>
                                  <w:color w:val="FFFFFF"/>
                                </w:rPr>
                                <w:t>Channel- social media, advertising</w:t>
                              </w:r>
                            </w:p>
                          </w:txbxContent>
                        </wps:txbx>
                        <wps:bodyPr anchor="ctr"/>
                      </wps:wsp>
                      <wps:wsp>
                        <wps:cNvPr id="5" name="Rectangle 5"/>
                        <wps:cNvSpPr/>
                        <wps:spPr>
                          <a:xfrm rot="10800000" flipV="1">
                            <a:off x="2950022" y="1419222"/>
                            <a:ext cx="1410497" cy="472836"/>
                          </a:xfrm>
                          <a:prstGeom prst="rect">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175C41" w:rsidRDefault="00C927E8" w:rsidP="00175C41">
                              <w:pPr>
                                <w:spacing w:line="254" w:lineRule="auto"/>
                                <w:jc w:val="center"/>
                                <w:rPr>
                                  <w:rFonts w:eastAsia="Calibri" w:hAnsi="Calibri" w:cs="Calibri"/>
                                  <w:color w:val="FFFFFF"/>
                                </w:rPr>
                              </w:pPr>
                              <w:r>
                                <w:rPr>
                                  <w:rFonts w:eastAsia="Calibri" w:hAnsi="Calibri" w:cs="Calibri"/>
                                  <w:color w:val="FFFFFF"/>
                                </w:rPr>
                                <w:t>Noise- Competitors</w:t>
                              </w:r>
                            </w:p>
                          </w:txbxContent>
                        </wps:txbx>
                        <wps:bodyPr anchor="ctr"/>
                      </wps:wsp>
                      <wps:wsp>
                        <wps:cNvPr id="6" name="Arrow: Right 6"/>
                        <wps:cNvSpPr/>
                        <wps:spPr>
                          <a:xfrm>
                            <a:off x="4495779" y="150686"/>
                            <a:ext cx="1187546" cy="808196"/>
                          </a:xfrm>
                          <a:prstGeom prst="rightArrow">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175C41" w:rsidRDefault="00C927E8" w:rsidP="00175C41">
                              <w:pPr>
                                <w:spacing w:line="254" w:lineRule="auto"/>
                                <w:jc w:val="center"/>
                                <w:rPr>
                                  <w:rFonts w:eastAsia="Calibri" w:hAnsi="Calibri" w:cs="Calibri"/>
                                  <w:color w:val="FFFFFF"/>
                                </w:rPr>
                              </w:pPr>
                              <w:r>
                                <w:rPr>
                                  <w:rFonts w:eastAsia="Calibri" w:hAnsi="Calibri" w:cs="Calibri"/>
                                  <w:color w:val="FFFFFF"/>
                                </w:rPr>
                                <w:t>Decoder</w:t>
                              </w:r>
                            </w:p>
                          </w:txbxContent>
                        </wps:txbx>
                        <wps:bodyPr anchor="ctr"/>
                      </wps:wsp>
                      <wps:wsp>
                        <wps:cNvPr id="7" name="Arrow: Right 7"/>
                        <wps:cNvSpPr/>
                        <wps:spPr>
                          <a:xfrm>
                            <a:off x="5893031" y="0"/>
                            <a:ext cx="1381526" cy="1008162"/>
                          </a:xfrm>
                          <a:prstGeom prst="rightArrow">
                            <a:avLst/>
                          </a:prstGeom>
                          <a:ln/>
                        </wps:spPr>
                        <wps:style>
                          <a:lnRef idx="2">
                            <a:schemeClr val="accent1">
                              <a:shade val="50000"/>
                            </a:schemeClr>
                          </a:lnRef>
                          <a:fillRef idx="1">
                            <a:schemeClr val="accent1"/>
                          </a:fillRef>
                          <a:effectRef idx="0">
                            <a:scrgbClr r="0" g="0" b="0"/>
                          </a:effectRef>
                          <a:fontRef idx="minor">
                            <a:schemeClr val="lt1"/>
                          </a:fontRef>
                        </wps:style>
                        <wps:txbx>
                          <w:txbxContent>
                            <w:p w:rsidR="00175C41" w:rsidRDefault="00C927E8" w:rsidP="00175C41">
                              <w:pPr>
                                <w:spacing w:line="254" w:lineRule="auto"/>
                                <w:jc w:val="center"/>
                                <w:rPr>
                                  <w:rFonts w:eastAsia="Calibri" w:hAnsi="Calibri" w:cs="Calibri"/>
                                  <w:color w:val="FFFFFF"/>
                                </w:rPr>
                              </w:pPr>
                              <w:r>
                                <w:rPr>
                                  <w:rFonts w:eastAsia="Calibri" w:hAnsi="Calibri" w:cs="Calibri"/>
                                  <w:color w:val="FFFFFF"/>
                                </w:rPr>
                                <w:t xml:space="preserve"> Target market</w:t>
                              </w:r>
                            </w:p>
                          </w:txbxContent>
                        </wps:txbx>
                        <wps:bodyPr anchor="ctr"/>
                      </wps:wsp>
                      <wps:wsp>
                        <wps:cNvPr id="8" name="Straight Arrow Connector 8"/>
                        <wps:cNvCnPr/>
                        <wps:spPr>
                          <a:xfrm rot="5400000" flipV="1">
                            <a:off x="5832766" y="1797904"/>
                            <a:ext cx="1466418" cy="17820"/>
                          </a:xfrm>
                          <a:prstGeom prst="straightConnector1">
                            <a:avLst/>
                          </a:prstGeom>
                          <a:ln w="57150">
                            <a:solidFill>
                              <a:srgbClr val="4472C4"/>
                            </a:solidFill>
                            <a:tailEnd type="triangle" w="med" len="med"/>
                          </a:ln>
                        </wps:spPr>
                        <wps:style>
                          <a:lnRef idx="1">
                            <a:schemeClr val="accent1"/>
                          </a:lnRef>
                          <a:fillRef idx="0">
                            <a:schemeClr val="accent1"/>
                          </a:fillRef>
                          <a:effectRef idx="0">
                            <a:scrgbClr r="0" g="0" b="0"/>
                          </a:effectRef>
                          <a:fontRef idx="minor">
                            <a:schemeClr val="tx1"/>
                          </a:fontRef>
                        </wps:style>
                        <wps:bodyPr/>
                      </wps:wsp>
                      <wps:wsp>
                        <wps:cNvPr id="9" name="Straight Arrow Connector 9"/>
                        <wps:cNvCnPr/>
                        <wps:spPr>
                          <a:xfrm flipH="1">
                            <a:off x="4986019" y="2544795"/>
                            <a:ext cx="1613406" cy="28322"/>
                          </a:xfrm>
                          <a:prstGeom prst="straightConnector1">
                            <a:avLst/>
                          </a:prstGeom>
                          <a:ln w="57150">
                            <a:tailEnd type="triangle" w="med" len="med"/>
                          </a:ln>
                        </wps:spPr>
                        <wps:style>
                          <a:lnRef idx="1">
                            <a:schemeClr val="accent1"/>
                          </a:lnRef>
                          <a:fillRef idx="0">
                            <a:schemeClr val="accent1"/>
                          </a:fillRef>
                          <a:effectRef idx="0">
                            <a:scrgbClr r="0" g="0" b="0"/>
                          </a:effectRef>
                          <a:fontRef idx="minor">
                            <a:schemeClr val="tx1"/>
                          </a:fontRef>
                        </wps:style>
                        <wps:bodyPr/>
                      </wps:wsp>
                      <wps:wsp>
                        <wps:cNvPr id="10" name="Straight Arrow Connector 10"/>
                        <wps:cNvCnPr/>
                        <wps:spPr>
                          <a:xfrm flipH="1">
                            <a:off x="513069" y="2626458"/>
                            <a:ext cx="1767850" cy="945"/>
                          </a:xfrm>
                          <a:prstGeom prst="straightConnector1">
                            <a:avLst/>
                          </a:prstGeom>
                          <a:ln w="57150">
                            <a:tailEnd type="triangle" w="med" len="med"/>
                          </a:ln>
                        </wps:spPr>
                        <wps:style>
                          <a:lnRef idx="1">
                            <a:schemeClr val="accent1"/>
                          </a:lnRef>
                          <a:fillRef idx="0">
                            <a:schemeClr val="accent1"/>
                          </a:fillRef>
                          <a:effectRef idx="0">
                            <a:scrgbClr r="0" g="0" b="0"/>
                          </a:effectRef>
                          <a:fontRef idx="minor">
                            <a:schemeClr val="tx1"/>
                          </a:fontRef>
                        </wps:style>
                        <wps:bodyPr/>
                      </wps:wsp>
                      <wps:wsp>
                        <wps:cNvPr id="11" name="Straight Arrow Connector 11"/>
                        <wps:cNvCnPr/>
                        <wps:spPr>
                          <a:xfrm rot="5400000" flipH="1" flipV="1">
                            <a:off x="-190734" y="1887056"/>
                            <a:ext cx="1474750" cy="5940"/>
                          </a:xfrm>
                          <a:prstGeom prst="straightConnector1">
                            <a:avLst/>
                          </a:prstGeom>
                          <a:ln w="57150">
                            <a:tailEnd type="triangle" w="med" len="med"/>
                          </a:ln>
                        </wps:spPr>
                        <wps:style>
                          <a:lnRef idx="1">
                            <a:schemeClr val="accent1"/>
                          </a:lnRef>
                          <a:fillRef idx="0">
                            <a:schemeClr val="accent1"/>
                          </a:fillRef>
                          <a:effectRef idx="0">
                            <a:scrgbClr r="0" g="0" b="0"/>
                          </a:effectRef>
                          <a:fontRef idx="minor">
                            <a:schemeClr val="tx1"/>
                          </a:fontRef>
                        </wps:style>
                        <wps:bodyPr/>
                      </wps:wsp>
                      <wps:wsp>
                        <wps:cNvPr id="12" name="Rectangle 12"/>
                        <wps:cNvSpPr/>
                        <wps:spPr>
                          <a:xfrm>
                            <a:off x="2509984" y="2335785"/>
                            <a:ext cx="2313990" cy="533243"/>
                          </a:xfrm>
                          <a:prstGeom prst="rect">
                            <a:avLst/>
                          </a:prstGeom>
                          <a:solidFill>
                            <a:schemeClr val="lt1"/>
                          </a:solidFill>
                          <a:ln>
                            <a:solidFill>
                              <a:srgbClr val="000000"/>
                            </a:solidFill>
                          </a:ln>
                        </wps:spPr>
                        <wps:txbx>
                          <w:txbxContent>
                            <w:p w:rsidR="00175C41" w:rsidRDefault="00C927E8" w:rsidP="00175C41">
                              <w:pPr>
                                <w:spacing w:line="254" w:lineRule="auto"/>
                                <w:rPr>
                                  <w:rFonts w:ascii="Calibri" w:hAnsi="Calibri" w:cs="Calibri"/>
                                </w:rPr>
                              </w:pPr>
                              <w:r>
                                <w:rPr>
                                  <w:rFonts w:ascii="Calibri" w:hAnsi="Calibri" w:cs="Calibri"/>
                                </w:rPr>
                                <w:t>Feedback / Post-purchase touchpoint</w:t>
                              </w:r>
                            </w:p>
                          </w:txbxContent>
                        </wps:txbx>
                        <wps:bodyPr anchor="t"/>
                      </wps:wsp>
                    </wpg:wgp>
                  </a:graphicData>
                </a:graphic>
              </wp:inline>
            </w:drawing>
          </mc:Choice>
          <mc:Fallback>
            <w:pict>
              <v:group w14:anchorId="0DA35004" id="Group 12" o:spid="_x0000_s1026" style="width:511.2pt;height:201.6pt;mso-position-horizontal-relative:char;mso-position-vertical-relative:line" coordsize="72745,286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">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7" type="#_x0000_t13" style="position:absolute;top:559;width:14888;height:99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" adj="14408" fillcolor="#4472c4 [3204]" strokecolor="#1f3763 [1604]" strokeweight="1pt">
                  <v:textbox>
                    <w:txbxContent>
                      <w:p w:rsidR="00175C41" w:rsidRDefault="00C927E8" w:rsidP="00175C41">
                        <w:pPr>
                          <w:spacing w:line="254" w:lineRule="auto"/>
                          <w:jc w:val="center"/>
                          <w:rPr>
                            <w:rFonts w:eastAsia="Calibri" w:hAnsi="Calibri" w:cs="Calibri"/>
                            <w:color w:val="FFFFFF"/>
                          </w:rPr>
                        </w:pPr>
                        <w:r>
                          <w:rPr>
                            <w:rFonts w:eastAsia="Calibri" w:hAnsi="Calibri" w:cs="Calibri"/>
                            <w:color w:val="FFFFFF"/>
                          </w:rPr>
                          <w:t>Cadbury</w:t>
                        </w:r>
                      </w:p>
                    </w:txbxContent>
                  </v:textbox>
                </v:shape>
                <v:shape id="Arrow: Right 3" o:spid="_x0000_s1028" type="#_x0000_t13" style="position:absolute;left:16292;top:923;width:10772;height:849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" adj="13080" fillcolor="#4472c4 [3204]" strokecolor="#1f3763 [1604]" strokeweight="1pt">
                  <v:textbox>
                    <w:txbxContent>
                      <w:p w:rsidR="00175C41" w:rsidRDefault="00C927E8" w:rsidP="00175C41">
                        <w:pPr>
                          <w:spacing w:line="254" w:lineRule="auto"/>
                          <w:jc w:val="center"/>
                          <w:rPr>
                            <w:rFonts w:eastAsia="Calibri" w:hAnsi="Calibri" w:cs="Calibri"/>
                            <w:color w:val="FFFFFF"/>
                          </w:rPr>
                        </w:pPr>
                        <w:r>
                          <w:rPr>
                            <w:rFonts w:eastAsia="Calibri" w:hAnsi="Calibri" w:cs="Calibri"/>
                            <w:color w:val="FFFFFF"/>
                          </w:rPr>
                          <w:t>Encoder</w:t>
                        </w:r>
                      </w:p>
                    </w:txbxContent>
                  </v:textbox>
                </v:shape>
                <v:rect id="Rectangle 4" o:spid="_x0000_s1029" style="position:absolute;left:27417;top:2485;width:16037;height:59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" fillcolor="#4472c4 [3204]" strokecolor="#1f3763 [1604]" strokeweight="1pt">
                  <v:textbox>
                    <w:txbxContent>
                      <w:p w:rsidR="00175C41" w:rsidRDefault="00C927E8" w:rsidP="00175C41">
                        <w:pPr>
                          <w:spacing w:line="254" w:lineRule="auto"/>
                          <w:jc w:val="center"/>
                          <w:rPr>
                            <w:rFonts w:eastAsia="Calibri" w:hAnsi="Calibri" w:cs="Calibri"/>
                            <w:color w:val="FFFFFF"/>
                          </w:rPr>
                        </w:pPr>
                        <w:r>
                          <w:rPr>
                            <w:rFonts w:eastAsia="Calibri" w:hAnsi="Calibri" w:cs="Calibri"/>
                            <w:color w:val="FFFFFF"/>
                          </w:rPr>
                          <w:t>Channel- social media, advertising</w:t>
                        </w:r>
                      </w:p>
                    </w:txbxContent>
                  </v:textbox>
                </v:rect>
                <v:rect id="Rectangle 5" o:spid="_x0000_s1030" style="position:absolute;left:29500;top:14192;width:14105;height:4728;rotation:180;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" fillcolor="#4472c4 [3204]" strokecolor="#1f3763 [1604]" strokeweight="1pt">
                  <v:textbox>
                    <w:txbxContent>
                      <w:p w:rsidR="00175C41" w:rsidRDefault="00C927E8" w:rsidP="00175C41">
                        <w:pPr>
                          <w:spacing w:line="254" w:lineRule="auto"/>
                          <w:jc w:val="center"/>
                          <w:rPr>
                            <w:rFonts w:eastAsia="Calibri" w:hAnsi="Calibri" w:cs="Calibri"/>
                            <w:color w:val="FFFFFF"/>
                          </w:rPr>
                        </w:pPr>
                        <w:r>
                          <w:rPr>
                            <w:rFonts w:eastAsia="Calibri" w:hAnsi="Calibri" w:cs="Calibri"/>
                            <w:color w:val="FFFFFF"/>
                          </w:rPr>
                          <w:t>Noise- Competitors</w:t>
                        </w:r>
                      </w:p>
                    </w:txbxContent>
                  </v:textbox>
                </v:rect>
                <v:shape id="Arrow: Right 6" o:spid="_x0000_s1031" type="#_x0000_t13" style="position:absolute;left:44957;top:1506;width:11876;height:80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" adj="14250" fillcolor="#4472c4 [3204]" strokecolor="#1f3763 [1604]" strokeweight="1pt">
                  <v:textbox>
                    <w:txbxContent>
                      <w:p w:rsidR="00175C41" w:rsidRDefault="00C927E8" w:rsidP="00175C41">
                        <w:pPr>
                          <w:spacing w:line="254" w:lineRule="auto"/>
                          <w:jc w:val="center"/>
                          <w:rPr>
                            <w:rFonts w:eastAsia="Calibri" w:hAnsi="Calibri" w:cs="Calibri"/>
                            <w:color w:val="FFFFFF"/>
                          </w:rPr>
                        </w:pPr>
                        <w:r>
                          <w:rPr>
                            <w:rFonts w:eastAsia="Calibri" w:hAnsi="Calibri" w:cs="Calibri"/>
                            <w:color w:val="FFFFFF"/>
                          </w:rPr>
                          <w:t>Decoder</w:t>
                        </w:r>
                      </w:p>
                    </w:txbxContent>
                  </v:textbox>
                </v:shape>
                <v:shape id="Arrow: Right 7" o:spid="_x0000_s1032" type="#_x0000_t13" style="position:absolute;left:58930;width:13815;height:100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" adj="13719" fillcolor="#4472c4 [3204]" strokecolor="#1f3763 [1604]" strokeweight="1pt">
                  <v:textbox>
                    <w:txbxContent>
                      <w:p w:rsidR="00175C41" w:rsidRDefault="00C927E8" w:rsidP="00175C41">
                        <w:pPr>
                          <w:spacing w:line="254" w:lineRule="auto"/>
                          <w:jc w:val="center"/>
                          <w:rPr>
                            <w:rFonts w:eastAsia="Calibri" w:hAnsi="Calibri" w:cs="Calibri"/>
                            <w:color w:val="FFFFFF"/>
                          </w:rPr>
                        </w:pPr>
                        <w:r>
                          <w:rPr>
                            <w:rFonts w:eastAsia="Calibri" w:hAnsi="Calibri" w:cs="Calibri"/>
                            <w:color w:val="FFFFFF"/>
                          </w:rPr>
                          <w:t xml:space="preserve"> Target market</w:t>
                        </w:r>
                      </w:p>
                    </w:txbxContent>
                  </v:textbox>
                </v:shape>
                <v:shapetype id="_x0000_t32" coordsize="21600,21600" o:spt="32" o:oned="t" path="m,l21600,21600e" filled="f">
                  <v:path arrowok="t" fillok="f" o:connecttype="none"/>
                  <o:lock v:ext="edit" shapetype="t"/>
                </v:shapetype>
                <v:shape id="Straight Arrow Connector 8" o:spid="_x0000_s1033" type="#_x0000_t32" style="position:absolute;left:58327;top:17979;width:14664;height:178;rotation:-9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" strokecolor="#4472c4" strokeweight="4.5pt">
                  <v:stroke endarrow="block" joinstyle="miter"/>
                </v:shape>
                <v:shape id="Straight Arrow Connector 9" o:spid="_x0000_s1034" type="#_x0000_t32" style="position:absolute;left:49860;top:25447;width:16134;height:28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" strokecolor="#4472c4 [3204]" strokeweight="4.5pt">
                  <v:stroke endarrow="block" joinstyle="miter"/>
                </v:shape>
                <v:shape id="Straight Arrow Connector 10" o:spid="_x0000_s1035" type="#_x0000_t32" style="position:absolute;left:5130;top:26264;width:17679;height:1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" strokecolor="#4472c4 [3204]" strokeweight="4.5pt">
                  <v:stroke endarrow="block" joinstyle="miter"/>
                </v:shape>
                <v:shape id="Straight Arrow Connector 11" o:spid="_x0000_s1036" type="#_x0000_t32" style="position:absolute;left:-1908;top:18870;width:14748;height:60;rotation:9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" strokecolor="#4472c4 [3204]" strokeweight="4.5pt">
                  <v:stroke endarrow="block" joinstyle="miter"/>
                </v:shape>
                <v:rect id="Rectangle 12" o:spid="_x0000_s1037" style="position:absolute;left:25099;top:23357;width:23140;height:53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" fillcolor="white [3201]">
                  <v:textbox>
                    <w:txbxContent>
                      <w:p w:rsidR="00175C41" w:rsidRDefault="00C927E8" w:rsidP="00175C41">
                        <w:pPr>
                          <w:spacing w:line="254" w:lineRule="auto"/>
                          <w:rPr>
                            <w:rFonts w:ascii="Calibri" w:hAnsi="Calibri" w:cs="Calibri"/>
                          </w:rPr>
                        </w:pPr>
                        <w:r>
                          <w:rPr>
                            <w:rFonts w:ascii="Calibri" w:hAnsi="Calibri" w:cs="Calibri"/>
                          </w:rPr>
                          <w:t xml:space="preserve">Feedback </w:t>
                        </w:r>
                        <w:r>
                          <w:rPr>
                            <w:rFonts w:ascii="Calibri" w:hAnsi="Calibri" w:cs="Calibri"/>
                          </w:rPr>
                          <w:t>/ Post-purchase touchpoint</w:t>
                        </w:r>
                      </w:p>
                    </w:txbxContent>
                  </v:textbox>
                </v:rect>
                <w10:anchorlock/>
              </v:group>
            </w:pict>
          </mc:Fallback>
        </mc:AlternateContent>
      </w:r>
    </w:p>
    <w:p w:rsidR="644F69E1" w:rsidRDefault="644F69E1" w:rsidP="659037A2">
      <w:pPr>
        <w:spacing w:after="0"/>
        <w:contextualSpacing/>
        <w:jc w:val="both"/>
      </w:pPr>
      <w:r w:rsidRPr="659037A2">
        <w:rPr>
          <w:b/>
          <w:bCs/>
        </w:rPr>
        <w:t>Fig 2:</w:t>
      </w:r>
      <w:r>
        <w:t xml:space="preserve"> Author created</w:t>
      </w:r>
    </w:p>
    <w:p w:rsidR="644F69E1" w:rsidRDefault="644F69E1" w:rsidP="659037A2">
      <w:pPr>
        <w:spacing w:after="0"/>
        <w:contextualSpacing/>
        <w:jc w:val="both"/>
      </w:pPr>
    </w:p>
    <w:p w:rsidR="58B8854F" w:rsidRDefault="5B80FA5E" w:rsidP="659037A2">
      <w:pPr>
        <w:pStyle w:val="1"/>
        <w:contextualSpacing/>
        <w:jc w:val="both"/>
        <w:rPr>
          <w:rFonts w:ascii="Calibri Light" w:hAnsi="Calibri Light"/>
          <w:b/>
          <w:bCs/>
        </w:rPr>
      </w:pPr>
      <w:bookmarkStart w:id="12" w:name="_Toc2123873763"/>
      <w:bookmarkStart w:id="13" w:name="_Toc101622578"/>
      <w:r>
        <w:t>Integrated Marketing Communications</w:t>
      </w:r>
      <w:bookmarkEnd w:id="12"/>
      <w:bookmarkEnd w:id="13"/>
    </w:p>
    <w:p w:rsidR="51D22FD5" w:rsidRDefault="51D22FD5" w:rsidP="659037A2">
      <w:pPr>
        <w:spacing w:after="0"/>
        <w:contextualSpacing/>
        <w:jc w:val="both"/>
        <w:rPr>
          <w:b/>
          <w:bCs/>
        </w:rPr>
      </w:pPr>
    </w:p>
    <w:p w:rsidR="51D22FD5" w:rsidRDefault="51D22FD5" w:rsidP="659037A2">
      <w:pPr>
        <w:spacing w:after="0"/>
        <w:contextualSpacing/>
        <w:jc w:val="both"/>
        <w:rPr>
          <w:rFonts w:eastAsiaTheme="minorEastAsia"/>
          <w:color w:val="202124"/>
          <w:lang w:val="en"/>
        </w:rPr>
      </w:pPr>
      <w:r w:rsidRPr="659037A2">
        <w:rPr>
          <w:rFonts w:eastAsiaTheme="minorEastAsia"/>
          <w:color w:val="202124"/>
          <w:lang w:val="en"/>
        </w:rPr>
        <w:t xml:space="preserve">Integrated marketing communication is essential for companies that are committed to engaging with their current and potential customers through various forms of media and helps businesses reach perspectives from different angles, hoping to attract attention and win customers’ loyalty </w:t>
      </w:r>
      <w:r w:rsidRPr="659037A2">
        <w:rPr>
          <w:rFonts w:eastAsiaTheme="minorEastAsia"/>
          <w:lang w:val="en"/>
        </w:rPr>
        <w:t xml:space="preserve">(Johnson and Schultz, </w:t>
      </w:r>
      <w:hyperlink r:id="rId7" w:anchor="wiem04001-bib-0084">
        <w:r w:rsidRPr="659037A2">
          <w:rPr>
            <w:rStyle w:val="a8"/>
            <w:rFonts w:eastAsiaTheme="minorEastAsia"/>
            <w:color w:val="auto"/>
            <w:u w:val="none"/>
            <w:lang w:val="en"/>
          </w:rPr>
          <w:t>2004)</w:t>
        </w:r>
      </w:hyperlink>
      <w:r w:rsidRPr="659037A2">
        <w:rPr>
          <w:rFonts w:eastAsiaTheme="minorEastAsia"/>
          <w:lang w:val="en"/>
        </w:rPr>
        <w:t>.</w:t>
      </w:r>
      <w:r w:rsidRPr="659037A2">
        <w:rPr>
          <w:rFonts w:eastAsiaTheme="minorEastAsia"/>
          <w:color w:val="202124"/>
          <w:lang w:val="en"/>
        </w:rPr>
        <w:t xml:space="preserve"> </w:t>
      </w:r>
      <w:r w:rsidR="659037A2" w:rsidRPr="659037A2">
        <w:rPr>
          <w:rFonts w:eastAsiaTheme="minorEastAsia"/>
          <w:color w:val="202124"/>
          <w:lang w:val="en"/>
        </w:rPr>
        <w:t>Using a well-prepared plan to create an efficient marketing communication mix not only helps the firm contact its clients, but it also helps it adapt to the ever-changing marketing environment. This is an area that is constantly changing - new tools and advertising channels emerge, their specifications are updated, and audience expectations are constantly rising. As a result, it is critical that the company stays "up to date" on all new marketing opportunities in order to adequately respond to the challenge of enticing customers in an increasingly competitive environment.</w:t>
      </w:r>
    </w:p>
    <w:p w:rsidR="573A2B54" w:rsidRDefault="5B80FA5E" w:rsidP="659037A2">
      <w:pPr>
        <w:pStyle w:val="2"/>
        <w:contextualSpacing/>
        <w:jc w:val="both"/>
        <w:rPr>
          <w:rFonts w:ascii="Calibri Light" w:hAnsi="Calibri Light"/>
          <w:b/>
          <w:bCs/>
        </w:rPr>
      </w:pPr>
      <w:bookmarkStart w:id="14" w:name="_Toc682929491"/>
      <w:bookmarkStart w:id="15" w:name="_Toc101622579"/>
      <w:r>
        <w:t>Advantages of IMC</w:t>
      </w:r>
      <w:bookmarkEnd w:id="14"/>
      <w:bookmarkEnd w:id="15"/>
    </w:p>
    <w:p w:rsidR="573A2B54" w:rsidRDefault="51D22FD5" w:rsidP="659037A2">
      <w:pPr>
        <w:spacing w:after="0"/>
        <w:contextualSpacing/>
        <w:jc w:val="both"/>
      </w:pPr>
      <w:r>
        <w:t xml:space="preserve">One of the most valuable benefits of IMC is that it recognises the importance of using and implementing innovative marketing tools such as direct marketing, Internet marketing, and sales promotions. </w:t>
      </w:r>
      <w:r w:rsidR="659037A2">
        <w:t>By merging all their messages, it allows marketers to plan and construct a consistent and synergistic approach</w:t>
      </w:r>
      <w:r>
        <w:t xml:space="preserve"> (McGrath, 2005b).</w:t>
      </w:r>
    </w:p>
    <w:p w:rsidR="573A2B54" w:rsidRDefault="51D22FD5" w:rsidP="659037A2">
      <w:pPr>
        <w:spacing w:after="0"/>
        <w:contextualSpacing/>
        <w:jc w:val="both"/>
      </w:pPr>
      <w:r>
        <w:t xml:space="preserve">As Reid (2003) summarizes, IMC is a sound and clear approach that considers all target audiences and encourages both the individual and the one-to-one communication. He also points out another major advantage of the approach which is the financial benefit the integrated marketing communications can have on the company, as well as the cooperation and recall increase (Reid, 2003). </w:t>
      </w:r>
    </w:p>
    <w:p w:rsidR="573A2B54" w:rsidRDefault="573A2B54" w:rsidP="659037A2">
      <w:pPr>
        <w:spacing w:after="0"/>
        <w:contextualSpacing/>
        <w:jc w:val="both"/>
      </w:pPr>
    </w:p>
    <w:p w:rsidR="573A2B54" w:rsidRDefault="5B80FA5E" w:rsidP="659037A2">
      <w:pPr>
        <w:pStyle w:val="2"/>
        <w:contextualSpacing/>
        <w:jc w:val="both"/>
        <w:rPr>
          <w:rFonts w:ascii="Calibri Light" w:hAnsi="Calibri Light"/>
          <w:b/>
          <w:bCs/>
        </w:rPr>
      </w:pPr>
      <w:bookmarkStart w:id="16" w:name="_Toc1862803327"/>
      <w:bookmarkStart w:id="17" w:name="_Toc101622580"/>
      <w:r>
        <w:t>Barriers to IMC</w:t>
      </w:r>
      <w:bookmarkEnd w:id="16"/>
      <w:bookmarkEnd w:id="17"/>
    </w:p>
    <w:p w:rsidR="573A2B54" w:rsidRDefault="51D22FD5" w:rsidP="659037A2">
      <w:pPr>
        <w:spacing w:after="0"/>
        <w:contextualSpacing/>
        <w:jc w:val="both"/>
      </w:pPr>
      <w:r>
        <w:t xml:space="preserve">Although there are a lot of advantages in implementing and applying ICM in the modern business, there are also few barriers and obstacles that can occur. </w:t>
      </w:r>
    </w:p>
    <w:p w:rsidR="573A2B54" w:rsidRDefault="51D22FD5" w:rsidP="659037A2">
      <w:pPr>
        <w:pStyle w:val="a9"/>
        <w:numPr>
          <w:ilvl w:val="0"/>
          <w:numId w:val="5"/>
        </w:numPr>
        <w:spacing w:after="0"/>
        <w:jc w:val="both"/>
        <w:rPr>
          <w:rFonts w:eastAsiaTheme="minorEastAsia"/>
          <w:i/>
          <w:iCs/>
          <w:sz w:val="24"/>
          <w:szCs w:val="24"/>
          <w:lang w:val="en"/>
        </w:rPr>
      </w:pPr>
      <w:r w:rsidRPr="659037A2">
        <w:rPr>
          <w:i/>
          <w:iCs/>
          <w:sz w:val="24"/>
          <w:szCs w:val="24"/>
        </w:rPr>
        <w:t xml:space="preserve">Lack of resources- </w:t>
      </w:r>
      <w:r w:rsidRPr="659037A2">
        <w:rPr>
          <w:rFonts w:eastAsiaTheme="minorEastAsia"/>
          <w:color w:val="202124"/>
          <w:lang w:val="en"/>
        </w:rPr>
        <w:t>Top management should ensure that adequate resources are available; from people and budgets to sharing data between teams. If the moment of one aspect of a campaign is inaccurate, it can negatively affect other aspects of the campaign, leading to distorted campaign results.</w:t>
      </w:r>
    </w:p>
    <w:p w:rsidR="51D22FD5" w:rsidRDefault="51D22FD5" w:rsidP="659037A2">
      <w:pPr>
        <w:pStyle w:val="a9"/>
        <w:numPr>
          <w:ilvl w:val="0"/>
          <w:numId w:val="4"/>
        </w:numPr>
        <w:spacing w:after="0"/>
        <w:jc w:val="both"/>
        <w:rPr>
          <w:rFonts w:eastAsiaTheme="minorEastAsia"/>
          <w:i/>
          <w:iCs/>
          <w:color w:val="202124"/>
          <w:sz w:val="24"/>
          <w:szCs w:val="24"/>
          <w:lang w:val="en"/>
        </w:rPr>
      </w:pPr>
      <w:r w:rsidRPr="659037A2">
        <w:rPr>
          <w:rFonts w:eastAsiaTheme="minorEastAsia"/>
          <w:i/>
          <w:iCs/>
          <w:color w:val="202124"/>
          <w:sz w:val="24"/>
          <w:szCs w:val="24"/>
          <w:lang w:val="en"/>
        </w:rPr>
        <w:lastRenderedPageBreak/>
        <w:t xml:space="preserve">Top Management Support- </w:t>
      </w:r>
      <w:r w:rsidRPr="659037A2">
        <w:rPr>
          <w:rFonts w:eastAsiaTheme="minorEastAsia"/>
          <w:color w:val="202124"/>
          <w:lang w:val="en"/>
        </w:rPr>
        <w:t xml:space="preserve">A successful IMC approach needs the support, guidance and resources of senior management, or creates a barrier for employees. Control is shared, which can be a difficult concept for some senior management, creating a barrier to integrated marketing communication </w:t>
      </w:r>
      <w:r>
        <w:t>(</w:t>
      </w:r>
      <w:proofErr w:type="spellStart"/>
      <w:r>
        <w:t>Ratnatunga</w:t>
      </w:r>
      <w:proofErr w:type="spellEnd"/>
      <w:r>
        <w:t xml:space="preserve"> and Ewing, 2005)</w:t>
      </w:r>
      <w:r w:rsidRPr="659037A2">
        <w:rPr>
          <w:rFonts w:eastAsiaTheme="minorEastAsia"/>
          <w:color w:val="202124"/>
          <w:lang w:val="en"/>
        </w:rPr>
        <w:t>.</w:t>
      </w:r>
    </w:p>
    <w:p w:rsidR="51D22FD5" w:rsidRDefault="51D22FD5" w:rsidP="659037A2">
      <w:pPr>
        <w:pStyle w:val="a9"/>
        <w:numPr>
          <w:ilvl w:val="0"/>
          <w:numId w:val="3"/>
        </w:numPr>
        <w:spacing w:after="0"/>
        <w:jc w:val="both"/>
        <w:rPr>
          <w:rFonts w:eastAsiaTheme="minorEastAsia"/>
          <w:i/>
          <w:iCs/>
          <w:color w:val="202124"/>
          <w:sz w:val="24"/>
          <w:szCs w:val="24"/>
          <w:lang w:val="en"/>
        </w:rPr>
      </w:pPr>
      <w:r w:rsidRPr="659037A2">
        <w:rPr>
          <w:rFonts w:eastAsiaTheme="minorEastAsia"/>
          <w:i/>
          <w:iCs/>
          <w:color w:val="202124"/>
          <w:sz w:val="24"/>
          <w:szCs w:val="24"/>
          <w:lang w:val="en"/>
        </w:rPr>
        <w:t xml:space="preserve">Limits the creativity - </w:t>
      </w:r>
      <w:r w:rsidRPr="659037A2">
        <w:rPr>
          <w:rFonts w:eastAsiaTheme="minorEastAsia"/>
          <w:color w:val="202124"/>
          <w:lang w:val="en"/>
        </w:rPr>
        <w:t>This means that if the promotion team comes up with a creative idea, but it does not fall within the objectives of the integrated campaigns, the team cannot implement the plan, no matter how creative it looks.</w:t>
      </w:r>
    </w:p>
    <w:p w:rsidR="51D22FD5" w:rsidRDefault="5B80FA5E" w:rsidP="502210B9">
      <w:pPr>
        <w:pStyle w:val="1"/>
        <w:contextualSpacing/>
        <w:jc w:val="both"/>
        <w:rPr>
          <w:rFonts w:ascii="Calibri Light" w:hAnsi="Calibri Light"/>
          <w:b/>
          <w:bCs/>
          <w:lang w:val="en"/>
        </w:rPr>
      </w:pPr>
      <w:bookmarkStart w:id="18" w:name="_Toc567006417"/>
      <w:bookmarkStart w:id="19" w:name="_Toc101622581"/>
      <w:r w:rsidRPr="502210B9">
        <w:rPr>
          <w:lang w:val="en"/>
        </w:rPr>
        <w:t>Cadbury’s Promotional Strategies</w:t>
      </w:r>
      <w:bookmarkEnd w:id="18"/>
      <w:bookmarkEnd w:id="19"/>
    </w:p>
    <w:p w:rsidR="51D22FD5" w:rsidRDefault="5B80FA5E" w:rsidP="659037A2">
      <w:pPr>
        <w:pStyle w:val="2"/>
        <w:contextualSpacing/>
        <w:jc w:val="both"/>
        <w:rPr>
          <w:lang w:val="en"/>
        </w:rPr>
      </w:pPr>
      <w:bookmarkStart w:id="20" w:name="_Toc819168134"/>
      <w:bookmarkStart w:id="21" w:name="_Toc101622582"/>
      <w:r>
        <w:t>Online promotional strategies in Cadbury</w:t>
      </w:r>
      <w:bookmarkEnd w:id="20"/>
      <w:bookmarkEnd w:id="21"/>
    </w:p>
    <w:p w:rsidR="7DDAA205" w:rsidRDefault="7DDAA205" w:rsidP="7DDAA205">
      <w:pPr>
        <w:contextualSpacing/>
      </w:pPr>
    </w:p>
    <w:p w:rsidR="644F69E1" w:rsidRDefault="2D53E150" w:rsidP="659037A2">
      <w:pPr>
        <w:contextualSpacing/>
        <w:jc w:val="both"/>
      </w:pPr>
      <w:r>
        <w:t xml:space="preserve">Cadbury have developed a strong appearance and engagement with their target market on all main social media channels. This is a wonderful way to engage with their followers and encourage users to share and create bigger awareness of the product. </w:t>
      </w:r>
    </w:p>
    <w:p w:rsidR="644F69E1" w:rsidRDefault="2D53E150" w:rsidP="659037A2">
      <w:pPr>
        <w:contextualSpacing/>
        <w:jc w:val="both"/>
      </w:pPr>
      <w:r>
        <w:t>Cadbury uses Twitter as an online social media channel and have developed a series of their own hashtags that tie in with their running campaigns, such as #</w:t>
      </w:r>
      <w:proofErr w:type="spellStart"/>
      <w:r>
        <w:t>FreeTheJoy</w:t>
      </w:r>
      <w:proofErr w:type="spellEnd"/>
      <w:r>
        <w:t xml:space="preserve"> which was altered to #</w:t>
      </w:r>
      <w:proofErr w:type="spellStart"/>
      <w:r>
        <w:t>UnwrapJoy</w:t>
      </w:r>
      <w:proofErr w:type="spellEnd"/>
      <w:r>
        <w:t xml:space="preserve"> around the Christmas period.</w:t>
      </w:r>
    </w:p>
    <w:p w:rsidR="644F69E1" w:rsidRDefault="2D53E150" w:rsidP="659037A2">
      <w:pPr>
        <w:contextualSpacing/>
        <w:jc w:val="both"/>
      </w:pPr>
      <w:r>
        <w:t>Furthermore, Cadbury run regular competitions through the platform in the form of games which receive a lot of positive engagement from their followers, build loyalty and attract new customers.</w:t>
      </w:r>
    </w:p>
    <w:p w:rsidR="644F69E1" w:rsidRDefault="2D53E150" w:rsidP="659037A2">
      <w:pPr>
        <w:contextualSpacing/>
        <w:jc w:val="both"/>
      </w:pPr>
      <w:r>
        <w:t xml:space="preserve">The brand also has a few Facebook pages; however, they are not as engaging and creative as Twitter. </w:t>
      </w:r>
    </w:p>
    <w:p w:rsidR="644F69E1" w:rsidRDefault="2D53E150" w:rsidP="659037A2">
      <w:pPr>
        <w:contextualSpacing/>
        <w:jc w:val="both"/>
      </w:pPr>
      <w:r>
        <w:t>Cadbury also has many followers on Google+ but the channel is limited and there is no interaction with fans of the page through comments.</w:t>
      </w:r>
    </w:p>
    <w:p w:rsidR="644F69E1" w:rsidRDefault="2D53E150" w:rsidP="659037A2">
      <w:pPr>
        <w:contextualSpacing/>
        <w:jc w:val="both"/>
      </w:pPr>
      <w:r>
        <w:t xml:space="preserve">As the brand has already established a strong presence on all main social media channels an approach, they could take to enhance the brand awareness is creating a new and more engaging campaign. To maximise the campaign and its popularity, the company can focus on the social factor and make it family oriented by not only creating a competitive factor, but also bringing the family together. </w:t>
      </w:r>
      <w:r w:rsidR="644F69E1">
        <w:t xml:space="preserve">A campaign Cadbury could consider is a “Golden Family Ticket” campaign inspired by the Chocolate Factory movie. The campaign would consist of producing a set number of golden tickets which will be placed within the Cadbury Milky Dairy chocolates. The winners will win the exclusive opportunity to create their own Cadbury flavour chocolate. Furthermore, the winners will also take part in the production, taste, and packaging of the product. </w:t>
      </w:r>
    </w:p>
    <w:p w:rsidR="2D53E150" w:rsidRDefault="2D53E150" w:rsidP="659037A2">
      <w:pPr>
        <w:contextualSpacing/>
        <w:jc w:val="both"/>
      </w:pPr>
    </w:p>
    <w:p w:rsidR="51D22FD5" w:rsidRDefault="5B80FA5E" w:rsidP="7DDAA205">
      <w:pPr>
        <w:pStyle w:val="2"/>
        <w:contextualSpacing/>
      </w:pPr>
      <w:bookmarkStart w:id="22" w:name="_Toc2065396724"/>
      <w:bookmarkStart w:id="23" w:name="_Toc101622583"/>
      <w:r>
        <w:t>Offline promotional strategies in Cadbury</w:t>
      </w:r>
      <w:bookmarkEnd w:id="22"/>
      <w:bookmarkEnd w:id="23"/>
    </w:p>
    <w:p w:rsidR="7DDAA205" w:rsidRDefault="7DDAA205" w:rsidP="7DDAA205">
      <w:pPr>
        <w:contextualSpacing/>
      </w:pPr>
    </w:p>
    <w:p w:rsidR="2D53E150" w:rsidRDefault="1CB0A701" w:rsidP="659037A2">
      <w:pPr>
        <w:contextualSpacing/>
        <w:jc w:val="both"/>
      </w:pPr>
      <w:r>
        <w:t xml:space="preserve">One offline promotional strategy which could be greatly beneficial to Cadbury is sponsoring school sport events. One hand, this will increase the brand awareness and popularity, but also will have a positive outcome to the image of the brand. Cadbury will be associated with healthy initiatives and a supporter of healthy lifestyle and exercising among young children and teenagers. The whole image of the company will be changed for good in times when people are more considerate of their health and eating habits, the organisations will not be linked only to sugar and sweet anymore, but healthy, better </w:t>
      </w:r>
      <w:bookmarkStart w:id="24" w:name="_Int_EJWjpAZe"/>
      <w:r>
        <w:t>but yet</w:t>
      </w:r>
      <w:bookmarkEnd w:id="24"/>
      <w:r>
        <w:t xml:space="preserve"> delicious choices. </w:t>
      </w:r>
      <w:bookmarkStart w:id="25" w:name="_Int_7eOgpycS"/>
      <w:proofErr w:type="gramStart"/>
      <w:r>
        <w:t>Additionally</w:t>
      </w:r>
      <w:bookmarkEnd w:id="25"/>
      <w:proofErr w:type="gramEnd"/>
      <w:r>
        <w:t xml:space="preserve"> to that, the company can promote its healthy crunch bars and snacks, which will also increase the awareness of the product and the sales. Furthermore, Cadbury can also combine the whole sponsorship program with creating surveys among school children, teachers, and parents, gathering feedback of the tastes and products they would like to see on the market. </w:t>
      </w:r>
    </w:p>
    <w:p w:rsidR="51D22FD5" w:rsidRDefault="5B80FA5E" w:rsidP="659037A2">
      <w:pPr>
        <w:pStyle w:val="1"/>
        <w:contextualSpacing/>
        <w:jc w:val="both"/>
      </w:pPr>
      <w:bookmarkStart w:id="26" w:name="_Toc101622584"/>
      <w:bookmarkStart w:id="27" w:name="_Toc1800452874"/>
      <w:r>
        <w:lastRenderedPageBreak/>
        <w:t>Brand and brand equity</w:t>
      </w:r>
      <w:bookmarkEnd w:id="26"/>
      <w:r>
        <w:t xml:space="preserve"> </w:t>
      </w:r>
      <w:bookmarkEnd w:id="27"/>
    </w:p>
    <w:p w:rsidR="64B0BAAA" w:rsidRDefault="64B0BAAA" w:rsidP="659037A2">
      <w:pPr>
        <w:contextualSpacing/>
        <w:jc w:val="both"/>
      </w:pPr>
    </w:p>
    <w:p w:rsidR="64B0BAAA" w:rsidRDefault="64B0BAAA" w:rsidP="659037A2">
      <w:pPr>
        <w:contextualSpacing/>
        <w:jc w:val="both"/>
      </w:pPr>
      <w:r>
        <w:t>The brand is what and how people percept, see, and feel of a certain product, service, or event. The brand is not about the business or the organization, but the strong and positive emotions it creates in people. The brand is usually supported by a logo or symbol or also a special look/image of the products (</w:t>
      </w:r>
      <w:proofErr w:type="spellStart"/>
      <w:r>
        <w:t>Aaker</w:t>
      </w:r>
      <w:proofErr w:type="spellEnd"/>
      <w:r>
        <w:t xml:space="preserve">, 1996). </w:t>
      </w:r>
    </w:p>
    <w:p w:rsidR="64B0BAAA" w:rsidRDefault="64B0BAAA" w:rsidP="659037A2">
      <w:pPr>
        <w:contextualSpacing/>
        <w:jc w:val="both"/>
        <w:rPr>
          <w:rFonts w:ascii="Consolas" w:eastAsia="Consolas" w:hAnsi="Consolas" w:cs="Consolas"/>
          <w:color w:val="202124"/>
          <w:sz w:val="42"/>
          <w:szCs w:val="42"/>
          <w:lang w:val="en"/>
        </w:rPr>
      </w:pPr>
      <w:r>
        <w:t xml:space="preserve">The brand equity is a set of soft factors which control the overall success of the brand by increasing and decreasing the utility associated with a product and therefore change the customers’ purchasing decisions. </w:t>
      </w:r>
      <w:r w:rsidRPr="659037A2">
        <w:rPr>
          <w:rFonts w:eastAsiaTheme="minorEastAsia"/>
          <w:color w:val="202124"/>
          <w:lang w:val="en"/>
        </w:rPr>
        <w:t>Brand Equity is a combination of consumer preferences, awareness, loyalty and the value of seizure (Keller, 2003). The brand equity, however, can be positive and negative.</w:t>
      </w:r>
    </w:p>
    <w:p w:rsidR="64B0BAAA" w:rsidRDefault="64B0BAAA" w:rsidP="659037A2">
      <w:pPr>
        <w:contextualSpacing/>
        <w:jc w:val="both"/>
        <w:rPr>
          <w:rFonts w:ascii="Consolas" w:eastAsia="Consolas" w:hAnsi="Consolas" w:cs="Consolas"/>
          <w:color w:val="202124"/>
          <w:sz w:val="42"/>
          <w:szCs w:val="42"/>
          <w:lang w:val="en"/>
        </w:rPr>
      </w:pPr>
      <w:r w:rsidRPr="659037A2">
        <w:rPr>
          <w:rFonts w:eastAsiaTheme="minorEastAsia"/>
          <w:color w:val="202124"/>
          <w:lang w:val="en"/>
        </w:rPr>
        <w:t xml:space="preserve"> Positive brand equity is when consumers are completely satisfied with the product offered under the brand name, and in such a way as to use the brand name as a synonym for the product itself or the image that appears in the consumer's mind when thinking about the particular product, such as Nescafe for coffee, BMW for cars, Highland for still water, etc. </w:t>
      </w:r>
    </w:p>
    <w:p w:rsidR="659037A2" w:rsidRDefault="659037A2" w:rsidP="659037A2">
      <w:pPr>
        <w:contextualSpacing/>
        <w:jc w:val="both"/>
        <w:rPr>
          <w:rFonts w:eastAsiaTheme="minorEastAsia"/>
          <w:color w:val="202124"/>
          <w:lang w:val="en"/>
        </w:rPr>
      </w:pPr>
      <w:r w:rsidRPr="659037A2">
        <w:rPr>
          <w:rFonts w:eastAsiaTheme="minorEastAsia"/>
          <w:color w:val="202124"/>
          <w:lang w:val="en"/>
        </w:rPr>
        <w:t xml:space="preserve">Quite the opposite, the brand equity can have a negative effect on the customers when it does not deliver to the expected standards and therefore will provoke a negative reaction from the consumers. They would rather advise others not to buy the product because it is not good value for money. So, when the equity of the brand is high, customers will not give up on the product, even if the price for the same product is higher compared to its competitors. </w:t>
      </w:r>
    </w:p>
    <w:p w:rsidR="51D22FD5" w:rsidRDefault="51D22FD5" w:rsidP="659037A2">
      <w:pPr>
        <w:spacing w:after="0"/>
        <w:contextualSpacing/>
        <w:jc w:val="both"/>
        <w:rPr>
          <w:i/>
          <w:iCs/>
        </w:rPr>
      </w:pPr>
    </w:p>
    <w:p w:rsidR="5ACCEF65" w:rsidRDefault="5B80FA5E" w:rsidP="502210B9">
      <w:pPr>
        <w:spacing w:after="0"/>
        <w:contextualSpacing/>
        <w:jc w:val="both"/>
        <w:rPr>
          <w:rFonts w:ascii="Calibri" w:hAnsi="Calibri"/>
          <w:b/>
          <w:bCs/>
          <w:color w:val="5A5A5A"/>
          <w:sz w:val="24"/>
          <w:szCs w:val="24"/>
        </w:rPr>
      </w:pPr>
      <w:bookmarkStart w:id="28" w:name="_Toc583392469"/>
      <w:bookmarkStart w:id="29" w:name="_Toc101622585"/>
      <w:r w:rsidRPr="502210B9">
        <w:rPr>
          <w:rStyle w:val="10"/>
        </w:rPr>
        <w:t>Keller’s Brand Equity</w:t>
      </w:r>
      <w:bookmarkEnd w:id="28"/>
      <w:bookmarkEnd w:id="29"/>
    </w:p>
    <w:p w:rsidR="5ACCEF65" w:rsidRDefault="5ACCEF65" w:rsidP="7DDAA205">
      <w:pPr>
        <w:spacing w:after="0"/>
        <w:contextualSpacing/>
        <w:jc w:val="both"/>
        <w:rPr>
          <w:b/>
          <w:bCs/>
        </w:rPr>
      </w:pPr>
    </w:p>
    <w:p w:rsidR="5ACCEF65" w:rsidRDefault="40CB1B0A" w:rsidP="7DDAA205">
      <w:pPr>
        <w:pStyle w:val="ab"/>
        <w:contextualSpacing/>
        <w:rPr>
          <w:rFonts w:ascii="Calibri" w:hAnsi="Calibri"/>
          <w:b/>
          <w:bCs/>
          <w:color w:val="5A5A5A"/>
          <w:sz w:val="24"/>
          <w:szCs w:val="24"/>
        </w:rPr>
      </w:pPr>
      <w:r w:rsidRPr="7DDAA205">
        <w:rPr>
          <w:b/>
          <w:bCs/>
        </w:rPr>
        <w:t>Brand Salience</w:t>
      </w:r>
    </w:p>
    <w:p w:rsidR="5ACCEF65" w:rsidRDefault="5ACCEF65" w:rsidP="659037A2">
      <w:pPr>
        <w:spacing w:after="0"/>
        <w:contextualSpacing/>
        <w:jc w:val="both"/>
      </w:pPr>
      <w:r w:rsidRPr="659037A2">
        <w:t xml:space="preserve">Customers' perceptions of a brand and how they distinguish ne brand from another are referred as brand identity. From the customers’ point of view, it is how the brand represents itself. This stage is an essential first step in building customer brand equity and carries the weight of the rest of the pyramid. Furthermore, it is important that people get the right recognition of the brand’s identity. Fail in accomplishing this level will lead to customers not progressing further up the pyramid. </w:t>
      </w:r>
    </w:p>
    <w:p w:rsidR="659037A2" w:rsidRDefault="659037A2" w:rsidP="659037A2">
      <w:pPr>
        <w:spacing w:after="0"/>
        <w:contextualSpacing/>
        <w:jc w:val="both"/>
      </w:pPr>
    </w:p>
    <w:p w:rsidR="5ACCEF65" w:rsidRDefault="40CB1B0A" w:rsidP="659037A2">
      <w:pPr>
        <w:pStyle w:val="ab"/>
        <w:contextualSpacing/>
        <w:rPr>
          <w:rFonts w:ascii="Calibri" w:hAnsi="Calibri"/>
          <w:b/>
          <w:bCs/>
          <w:color w:val="5A5A5A"/>
          <w:sz w:val="24"/>
          <w:szCs w:val="24"/>
        </w:rPr>
      </w:pPr>
      <w:r w:rsidRPr="659037A2">
        <w:rPr>
          <w:b/>
          <w:bCs/>
        </w:rPr>
        <w:t>Brand Performance/ Brand Imagery</w:t>
      </w:r>
    </w:p>
    <w:p w:rsidR="5ACCEF65" w:rsidRDefault="5ACCEF65" w:rsidP="659037A2">
      <w:pPr>
        <w:spacing w:after="0"/>
        <w:contextualSpacing/>
        <w:jc w:val="both"/>
      </w:pPr>
      <w:r w:rsidRPr="659037A2">
        <w:t xml:space="preserve">The second stage of Keller’s CBBE model is divided into two parts- performance and imagery. The performance is about all the features and capabilities the produce/service had, I.e., functionality, reliability, style, price, durability, customer service and satisfaction. Customers will go further the pyramid if the product delivers on the promises highlighted in the brand awareness campaigns. Or, on the other hand, if it does not meet the expectations, the company risks losing its customers. </w:t>
      </w:r>
    </w:p>
    <w:p w:rsidR="5ACCEF65" w:rsidRDefault="5ACCEF65" w:rsidP="659037A2">
      <w:pPr>
        <w:spacing w:after="0"/>
        <w:contextualSpacing/>
        <w:jc w:val="both"/>
      </w:pPr>
      <w:r w:rsidRPr="659037A2">
        <w:t xml:space="preserve">The imagery is about the way the brand affects the customers and whether it meets their psychological and social needs. Those needs can be met by either direct (customer’s own experience with a product/service or indirect (with targeted marketing, or by word of mouth) approach. </w:t>
      </w:r>
    </w:p>
    <w:p w:rsidR="659037A2" w:rsidRDefault="659037A2" w:rsidP="659037A2">
      <w:pPr>
        <w:spacing w:after="0"/>
        <w:contextualSpacing/>
        <w:jc w:val="both"/>
      </w:pPr>
    </w:p>
    <w:p w:rsidR="5ACCEF65" w:rsidRDefault="40CB1B0A" w:rsidP="659037A2">
      <w:pPr>
        <w:pStyle w:val="ab"/>
        <w:contextualSpacing/>
        <w:rPr>
          <w:rFonts w:ascii="Calibri" w:hAnsi="Calibri"/>
          <w:b/>
          <w:bCs/>
          <w:color w:val="5A5A5A"/>
        </w:rPr>
      </w:pPr>
      <w:r w:rsidRPr="659037A2">
        <w:rPr>
          <w:b/>
          <w:bCs/>
        </w:rPr>
        <w:t xml:space="preserve">Customer Judgements/ Customer Feelings </w:t>
      </w:r>
    </w:p>
    <w:p w:rsidR="289D4982" w:rsidRDefault="289D4982" w:rsidP="659037A2">
      <w:pPr>
        <w:contextualSpacing/>
        <w:jc w:val="both"/>
      </w:pPr>
      <w:r>
        <w:t xml:space="preserve">This is the stage that corresponds to the customers’ feelings and response to the purchase they have made. At this stage it is vital that the product/service lives up to the reputation built earlier in the pyramid. Customers' response to the product or service will fall into two categories: judgements and feelings. The clients will judge the product based on its quality, credibility, practicality, and will also compare the brand to its competitors. Customers will also have a feelings-based response to the </w:t>
      </w:r>
      <w:r>
        <w:lastRenderedPageBreak/>
        <w:t>brand, and it will depend on the way the product/service made them feel. the brand can directly provoke feelings, but customers will also respond emotionally to how it makes them feel about themselves.</w:t>
      </w:r>
    </w:p>
    <w:p w:rsidR="659037A2" w:rsidRDefault="659037A2" w:rsidP="659037A2">
      <w:pPr>
        <w:contextualSpacing/>
        <w:jc w:val="both"/>
      </w:pPr>
    </w:p>
    <w:p w:rsidR="289D4982" w:rsidRDefault="289D4982" w:rsidP="659037A2">
      <w:pPr>
        <w:pStyle w:val="ab"/>
        <w:contextualSpacing/>
        <w:rPr>
          <w:rFonts w:ascii="Calibri" w:hAnsi="Calibri"/>
          <w:b/>
          <w:bCs/>
          <w:color w:val="5A5A5A"/>
        </w:rPr>
      </w:pPr>
      <w:r w:rsidRPr="659037A2">
        <w:rPr>
          <w:b/>
          <w:bCs/>
        </w:rPr>
        <w:t xml:space="preserve">Customer Resonance </w:t>
      </w:r>
    </w:p>
    <w:p w:rsidR="289D4982" w:rsidRDefault="289D4982" w:rsidP="659037A2">
      <w:pPr>
        <w:contextualSpacing/>
        <w:jc w:val="both"/>
      </w:pPr>
      <w:r>
        <w:t xml:space="preserve">At the top of the pyramid is the resonance, which is the most desirable and most difficult level to achieve. To achieve brand resonance, there should be a deep and psychological connection between the customer and the brand. This includes behavioural loyalty in the form of regular purchases, attitudinal attachment- where the customer loves the brand, sense of community- customers </w:t>
      </w:r>
      <w:r w:rsidR="00C927E8">
        <w:t>has</w:t>
      </w:r>
      <w:r>
        <w:t xml:space="preserve"> a sense of belonging when they interact with people associated with the brand, and active engagement- customers are actively engaged with the brand. </w:t>
      </w:r>
    </w:p>
    <w:p w:rsidR="5ACCEF65" w:rsidRDefault="5ACCEF65" w:rsidP="659037A2">
      <w:pPr>
        <w:spacing w:after="0"/>
        <w:contextualSpacing/>
        <w:jc w:val="both"/>
        <w:rPr>
          <w:b/>
          <w:bCs/>
        </w:rPr>
      </w:pPr>
    </w:p>
    <w:p w:rsidR="2D53E150" w:rsidRDefault="2D53E150" w:rsidP="659037A2">
      <w:pPr>
        <w:spacing w:after="0"/>
        <w:contextualSpacing/>
        <w:jc w:val="both"/>
        <w:rPr>
          <w:b/>
          <w:bCs/>
        </w:rPr>
      </w:pPr>
    </w:p>
    <w:p w:rsidR="2D53E150" w:rsidRDefault="2D53E150" w:rsidP="659037A2">
      <w:pPr>
        <w:spacing w:after="0"/>
        <w:contextualSpacing/>
        <w:jc w:val="both"/>
      </w:pPr>
      <w:r>
        <w:rPr>
          <w:noProof/>
          <w:lang w:eastAsia="en-GB"/>
        </w:rPr>
        <w:drawing>
          <wp:inline distT="0" distB="0" distL="0" distR="0" wp14:anchorId="5D9FDEC3" wp14:editId="5931D6E0">
            <wp:extent cx="4562475" cy="4572000"/>
            <wp:effectExtent l="0" t="0" r="0" b="0"/>
            <wp:docPr id="1505509108" name="Картина 1505509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62475" cy="4572000"/>
                    </a:xfrm>
                    <a:prstGeom prst="rect">
                      <a:avLst/>
                    </a:prstGeom>
                  </pic:spPr>
                </pic:pic>
              </a:graphicData>
            </a:graphic>
          </wp:inline>
        </w:drawing>
      </w:r>
    </w:p>
    <w:p w:rsidR="2D53E150" w:rsidRDefault="2D53E150" w:rsidP="659037A2">
      <w:pPr>
        <w:spacing w:after="0"/>
        <w:contextualSpacing/>
        <w:jc w:val="both"/>
        <w:rPr>
          <w:rFonts w:ascii="Calibri" w:eastAsia="Calibri" w:hAnsi="Calibri" w:cs="Calibri"/>
        </w:rPr>
      </w:pPr>
      <w:r>
        <w:t xml:space="preserve">Fig 3: </w:t>
      </w:r>
      <w:r w:rsidRPr="659037A2">
        <w:rPr>
          <w:rFonts w:ascii="Calibri" w:eastAsia="Calibri" w:hAnsi="Calibri" w:cs="Calibri"/>
        </w:rPr>
        <w:t>Customer Based Brand Equity Ideal Pyramid (Keller, 2003)</w:t>
      </w:r>
    </w:p>
    <w:p w:rsidR="2D53E150" w:rsidRDefault="2D53E150" w:rsidP="659037A2">
      <w:pPr>
        <w:spacing w:after="0"/>
        <w:contextualSpacing/>
        <w:jc w:val="both"/>
        <w:rPr>
          <w:rFonts w:ascii="Calibri" w:eastAsia="Calibri" w:hAnsi="Calibri" w:cs="Calibri"/>
        </w:rPr>
      </w:pPr>
    </w:p>
    <w:p w:rsidR="289D4982" w:rsidRDefault="289D4982" w:rsidP="502210B9">
      <w:pPr>
        <w:pStyle w:val="2"/>
        <w:contextualSpacing/>
        <w:rPr>
          <w:rFonts w:ascii="Calibri Light" w:hAnsi="Calibri Light"/>
        </w:rPr>
      </w:pPr>
      <w:bookmarkStart w:id="30" w:name="_Toc835461235"/>
      <w:bookmarkStart w:id="31" w:name="_Toc101622586"/>
      <w:r w:rsidRPr="502210B9">
        <w:t>Advantages and Limitations on Keller’s Brand Equity Model</w:t>
      </w:r>
      <w:bookmarkEnd w:id="30"/>
      <w:bookmarkEnd w:id="31"/>
    </w:p>
    <w:p w:rsidR="502210B9" w:rsidRDefault="502210B9" w:rsidP="502210B9">
      <w:pPr>
        <w:contextualSpacing/>
      </w:pPr>
    </w:p>
    <w:p w:rsidR="502210B9" w:rsidRDefault="502210B9" w:rsidP="502210B9">
      <w:pPr>
        <w:contextualSpacing/>
        <w:jc w:val="both"/>
      </w:pPr>
      <w:r w:rsidRPr="502210B9">
        <w:t xml:space="preserve">The main advantage of the model is that is allows businesses to initiate a real, intense, and active relationship between the brand and its customers based on their feelings, judgements and overall opinion of the brand and its products. Another advantage of the model is that brands that manage to </w:t>
      </w:r>
      <w:r w:rsidRPr="502210B9">
        <w:lastRenderedPageBreak/>
        <w:t xml:space="preserve">reach and fulfil all four levels of the pyramid gain a lot of valuable benefits, including higher price premiums and more efficient marketing campaigns. </w:t>
      </w:r>
    </w:p>
    <w:p w:rsidR="502210B9" w:rsidRDefault="502210B9" w:rsidP="502210B9">
      <w:pPr>
        <w:contextualSpacing/>
        <w:jc w:val="both"/>
      </w:pPr>
      <w:r w:rsidRPr="502210B9">
        <w:t>The main disadvantage of the CBBE model is that it does not focus on B2B market and builds value only on B2C businesses. This is because Keller’s model is focused mainly on individual’s perceptions of the brand in the assessment of brand equity. In B2B context, however, those other influencers can also have an impact on the brand equity (Gorgon, et al., 1993). Additionally, B2B products are often marketed under the manufacturer label where the company’s name is used with a specific product name, while Keller’s model is focused on the individual brand (Mitchell et al., 2001). As a result, the company name becomes a crucial decision variable. The company behind the brand is critical in a B2B context, while, in Keller’s model it is only a minor component (</w:t>
      </w:r>
      <w:proofErr w:type="spellStart"/>
      <w:r w:rsidRPr="502210B9">
        <w:t>Selnes</w:t>
      </w:r>
      <w:proofErr w:type="spellEnd"/>
      <w:r w:rsidRPr="502210B9">
        <w:t xml:space="preserve">, 1993). </w:t>
      </w:r>
    </w:p>
    <w:p w:rsidR="659037A2" w:rsidRDefault="659037A2" w:rsidP="659037A2">
      <w:pPr>
        <w:contextualSpacing/>
        <w:jc w:val="both"/>
      </w:pPr>
    </w:p>
    <w:p w:rsidR="2D53E150" w:rsidRDefault="55E25357" w:rsidP="659037A2">
      <w:pPr>
        <w:pStyle w:val="2"/>
        <w:contextualSpacing/>
        <w:jc w:val="both"/>
      </w:pPr>
      <w:bookmarkStart w:id="32" w:name="_Toc1813019434"/>
      <w:bookmarkStart w:id="33" w:name="_Toc101622587"/>
      <w:r>
        <w:t>Keller’s Brand Equity Model in Cadbury</w:t>
      </w:r>
      <w:bookmarkEnd w:id="32"/>
      <w:bookmarkEnd w:id="33"/>
    </w:p>
    <w:p w:rsidR="7DDAA205" w:rsidRDefault="7DDAA205" w:rsidP="7DDAA205">
      <w:pPr>
        <w:contextualSpacing/>
      </w:pPr>
    </w:p>
    <w:p w:rsidR="2D53E150" w:rsidRDefault="2D53E150" w:rsidP="7DDAA205">
      <w:pPr>
        <w:contextualSpacing/>
        <w:jc w:val="both"/>
      </w:pPr>
      <w:r>
        <w:rPr>
          <w:noProof/>
          <w:lang w:eastAsia="en-GB"/>
        </w:rPr>
        <w:drawing>
          <wp:inline distT="0" distB="0" distL="0" distR="0" wp14:anchorId="680D28C3" wp14:editId="5BE1B56D">
            <wp:extent cx="4572000" cy="3238500"/>
            <wp:effectExtent l="0" t="0" r="0" b="0"/>
            <wp:docPr id="436542275" name="Картина 436542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72000" cy="3238500"/>
                    </a:xfrm>
                    <a:prstGeom prst="rect">
                      <a:avLst/>
                    </a:prstGeom>
                  </pic:spPr>
                </pic:pic>
              </a:graphicData>
            </a:graphic>
          </wp:inline>
        </w:drawing>
      </w:r>
    </w:p>
    <w:p w:rsidR="55E25357" w:rsidRDefault="55E25357" w:rsidP="7DDAA205">
      <w:pPr>
        <w:rPr>
          <w:rFonts w:eastAsiaTheme="minorEastAsia"/>
          <w:color w:val="444444"/>
        </w:rPr>
      </w:pPr>
      <w:r>
        <w:t xml:space="preserve">Fig 4: </w:t>
      </w:r>
      <w:r w:rsidRPr="7DDAA205">
        <w:t>CBBE Pyramid (The Cadbury Chocolatier, 2012)</w:t>
      </w:r>
    </w:p>
    <w:p w:rsidR="7DDAA205" w:rsidRDefault="7DDAA205" w:rsidP="7DDAA205">
      <w:pPr>
        <w:contextualSpacing/>
      </w:pPr>
    </w:p>
    <w:p w:rsidR="659037A2" w:rsidRDefault="659037A2" w:rsidP="659037A2">
      <w:pPr>
        <w:contextualSpacing/>
      </w:pPr>
    </w:p>
    <w:p w:rsidR="2D53E150" w:rsidRDefault="55E25357" w:rsidP="659037A2">
      <w:pPr>
        <w:pStyle w:val="ab"/>
        <w:contextualSpacing/>
        <w:rPr>
          <w:rFonts w:ascii="Calibri" w:hAnsi="Calibri"/>
          <w:b/>
          <w:bCs/>
          <w:color w:val="5A5A5A"/>
          <w:sz w:val="24"/>
          <w:szCs w:val="24"/>
        </w:rPr>
      </w:pPr>
      <w:r w:rsidRPr="7DDAA205">
        <w:rPr>
          <w:b/>
          <w:bCs/>
        </w:rPr>
        <w:t xml:space="preserve"> Brand Salience</w:t>
      </w:r>
    </w:p>
    <w:p w:rsidR="2D53E150" w:rsidRDefault="2D53E150" w:rsidP="659037A2">
      <w:pPr>
        <w:contextualSpacing/>
        <w:jc w:val="both"/>
      </w:pPr>
      <w:r>
        <w:t xml:space="preserve">As it can be seen from Fig 4., Cadbury has created an extremely high brand salience in a whole. Cadbury has achieved that through creating very easily recognisable products. Customers instantly link the products with its trademark purple colour. Furthermore, Cadbury are very well known for their “Glass and Half Full” symbol which attains moderate brand recognition. </w:t>
      </w:r>
    </w:p>
    <w:p w:rsidR="2D53E150" w:rsidRDefault="55E25357" w:rsidP="659037A2">
      <w:pPr>
        <w:pStyle w:val="ab"/>
        <w:contextualSpacing/>
        <w:rPr>
          <w:rFonts w:ascii="Calibri" w:hAnsi="Calibri"/>
          <w:b/>
          <w:bCs/>
          <w:color w:val="5A5A5A"/>
          <w:sz w:val="24"/>
          <w:szCs w:val="24"/>
        </w:rPr>
      </w:pPr>
      <w:r w:rsidRPr="7DDAA205">
        <w:rPr>
          <w:b/>
          <w:bCs/>
        </w:rPr>
        <w:t>Brand Performance/ Brand Imagery</w:t>
      </w:r>
    </w:p>
    <w:p w:rsidR="2D53E150" w:rsidRDefault="2D53E150" w:rsidP="659037A2">
      <w:pPr>
        <w:contextualSpacing/>
        <w:jc w:val="both"/>
      </w:pPr>
      <w:r>
        <w:t>Cadbury has been a leading brand in the chocolate market for years and despite facing minor problems with packaging and quality in the past, the brand now rates very highly in the performance category. The company has always been associated with high quality and richness in chocolate. Cadbury packages evolve over time, but with the fact that people of all ages need to continue to identify the product, they retain many attributes as a sign of a solid brand that retains much of its significant value.</w:t>
      </w:r>
    </w:p>
    <w:p w:rsidR="2D53E150" w:rsidRDefault="55E25357" w:rsidP="659037A2">
      <w:pPr>
        <w:pStyle w:val="ab"/>
        <w:contextualSpacing/>
        <w:rPr>
          <w:rFonts w:ascii="Calibri" w:hAnsi="Calibri"/>
          <w:b/>
          <w:bCs/>
          <w:color w:val="5A5A5A"/>
          <w:sz w:val="24"/>
          <w:szCs w:val="24"/>
        </w:rPr>
      </w:pPr>
      <w:r w:rsidRPr="7DDAA205">
        <w:rPr>
          <w:b/>
          <w:bCs/>
        </w:rPr>
        <w:lastRenderedPageBreak/>
        <w:t>Customer Judgement/ Customer Feelings</w:t>
      </w:r>
    </w:p>
    <w:p w:rsidR="2D53E150" w:rsidRDefault="2D53E150" w:rsidP="659037A2">
      <w:pPr>
        <w:contextualSpacing/>
        <w:jc w:val="both"/>
      </w:pPr>
      <w:r>
        <w:t xml:space="preserve">Over the years Cadbury has created a high brand and product quality. It has also built itself a formidable reputation for its powerful heritage. Consumers trust the brand and feel that they can safely buy products not only for themselves but also for their family and friends. Customers are aware of the quality control that Cadbury applies to their products and feel that the company is highly credible. Cadbury is a brand that focuses not only on the individual, but also brings the family together. It can be consumed by individuals needs and used as gifts for others or celebrations. The brand evokes a lot of positive feelings in its consumers, such as warmth, happiness, and excitement. </w:t>
      </w:r>
    </w:p>
    <w:p w:rsidR="2D53E150" w:rsidRDefault="55E25357" w:rsidP="659037A2">
      <w:pPr>
        <w:pStyle w:val="ab"/>
        <w:contextualSpacing/>
        <w:rPr>
          <w:rFonts w:ascii="Calibri" w:hAnsi="Calibri"/>
          <w:b/>
          <w:bCs/>
          <w:color w:val="5A5A5A"/>
          <w:sz w:val="24"/>
          <w:szCs w:val="24"/>
        </w:rPr>
      </w:pPr>
      <w:r w:rsidRPr="7DDAA205">
        <w:rPr>
          <w:b/>
          <w:bCs/>
        </w:rPr>
        <w:t>Customer Resonance</w:t>
      </w:r>
    </w:p>
    <w:p w:rsidR="2D53E150" w:rsidRDefault="2D53E150" w:rsidP="659037A2">
      <w:pPr>
        <w:contextualSpacing/>
        <w:jc w:val="both"/>
      </w:pPr>
      <w:r>
        <w:t xml:space="preserve">Cadbury has a very loyal customer base with clients spanning both children and the elderly. Customers feel connected and loyal to the company due to its high range of choices, quality, and performance. It is also considered a dessert alternative in some countries. </w:t>
      </w:r>
    </w:p>
    <w:p w:rsidR="2D53E150" w:rsidRDefault="2D53E150" w:rsidP="7DDAA205">
      <w:pPr>
        <w:contextualSpacing/>
        <w:jc w:val="both"/>
      </w:pPr>
    </w:p>
    <w:p w:rsidR="2D53E150" w:rsidRDefault="2D53E150" w:rsidP="659037A2">
      <w:pPr>
        <w:contextualSpacing/>
        <w:jc w:val="both"/>
      </w:pPr>
    </w:p>
    <w:p w:rsidR="51D22FD5" w:rsidRDefault="5B80FA5E" w:rsidP="659037A2">
      <w:pPr>
        <w:pStyle w:val="1"/>
        <w:contextualSpacing/>
        <w:jc w:val="both"/>
      </w:pPr>
      <w:bookmarkStart w:id="34" w:name="_Toc768959081"/>
      <w:bookmarkStart w:id="35" w:name="_Toc101622588"/>
      <w:r>
        <w:t>Customer Journey Map</w:t>
      </w:r>
      <w:bookmarkEnd w:id="34"/>
      <w:bookmarkEnd w:id="35"/>
    </w:p>
    <w:p w:rsidR="51D22FD5" w:rsidRDefault="51D22FD5" w:rsidP="659037A2">
      <w:pPr>
        <w:contextualSpacing/>
        <w:jc w:val="both"/>
      </w:pPr>
    </w:p>
    <w:p w:rsidR="51D22FD5" w:rsidRDefault="64B0BAAA" w:rsidP="502210B9">
      <w:pPr>
        <w:contextualSpacing/>
        <w:jc w:val="both"/>
        <w:rPr>
          <w:rFonts w:ascii="Calibri Light" w:hAnsi="Calibri Light"/>
          <w:i/>
          <w:iCs/>
          <w:color w:val="2F5496" w:themeColor="accent1" w:themeShade="BF"/>
          <w:sz w:val="26"/>
          <w:szCs w:val="26"/>
        </w:rPr>
      </w:pPr>
      <w:r>
        <w:t xml:space="preserve">A customer journey map depicts every interaction your consumer has with your service, brand, or product in a visual plot. The building of a journey map immerses you in the thinking of the customer, allowing you to understand where you are underperforming, what you are doing well, and where you may improve throughout the client's lifespan. </w:t>
      </w:r>
      <w:r w:rsidRPr="502210B9">
        <w:rPr>
          <w:rFonts w:ascii="Calibri" w:eastAsia="Calibri" w:hAnsi="Calibri" w:cs="Calibri"/>
          <w:sz w:val="21"/>
          <w:szCs w:val="21"/>
        </w:rPr>
        <w:t>A journey map shows all the touchpoints your customers may have with your brand, from how they first heard about you through social media or brand advertising, to their direct interactions with your product, website or your support team and includes all the actions your customer takes to achieve a goal over certain period.</w:t>
      </w:r>
    </w:p>
    <w:p w:rsidR="51D22FD5" w:rsidRDefault="64B0BAAA" w:rsidP="502210B9">
      <w:pPr>
        <w:contextualSpacing/>
        <w:jc w:val="both"/>
        <w:rPr>
          <w:rFonts w:ascii="Calibri" w:eastAsia="Calibri" w:hAnsi="Calibri" w:cs="Calibri"/>
          <w:sz w:val="21"/>
          <w:szCs w:val="21"/>
        </w:rPr>
      </w:pPr>
      <w:r w:rsidRPr="502210B9">
        <w:rPr>
          <w:rFonts w:ascii="Calibri" w:eastAsia="Calibri" w:hAnsi="Calibri" w:cs="Calibri"/>
          <w:sz w:val="21"/>
          <w:szCs w:val="21"/>
        </w:rPr>
        <w:t>The advantages of creating a customer journey map are that it allows companies and businesses to outline their current process by visualizing what the customers experience in real time. It can also pinpoint and address areas that need improvement by collecting feedback to meet the customer’s needs and wants.</w:t>
      </w:r>
    </w:p>
    <w:p w:rsidR="2D53E150" w:rsidRDefault="55E25357" w:rsidP="659037A2">
      <w:pPr>
        <w:pStyle w:val="ab"/>
        <w:contextualSpacing/>
        <w:rPr>
          <w:rFonts w:ascii="Calibri" w:hAnsi="Calibri"/>
          <w:b/>
          <w:bCs/>
          <w:color w:val="5A5A5A"/>
        </w:rPr>
      </w:pPr>
      <w:r w:rsidRPr="659037A2">
        <w:rPr>
          <w:b/>
          <w:bCs/>
        </w:rPr>
        <w:t>Awareness</w:t>
      </w:r>
    </w:p>
    <w:p w:rsidR="2D53E150" w:rsidRDefault="2D53E150" w:rsidP="659037A2">
      <w:pPr>
        <w:contextualSpacing/>
        <w:jc w:val="both"/>
      </w:pPr>
      <w:r w:rsidRPr="659037A2">
        <w:t xml:space="preserve">The first stage of the customer journey is the awareness, and this is the stage where the potential customer is now researching information, products, or services they would require. At this stage, the potential customer builds his first impressions of a business, brand, or company and decides whether to proceed with it. </w:t>
      </w:r>
    </w:p>
    <w:p w:rsidR="2D53E150" w:rsidRDefault="55E25357" w:rsidP="659037A2">
      <w:pPr>
        <w:pStyle w:val="ab"/>
        <w:contextualSpacing/>
        <w:rPr>
          <w:rFonts w:ascii="Calibri" w:hAnsi="Calibri"/>
          <w:b/>
          <w:bCs/>
          <w:color w:val="5A5A5A"/>
        </w:rPr>
      </w:pPr>
      <w:r w:rsidRPr="659037A2">
        <w:rPr>
          <w:b/>
          <w:bCs/>
        </w:rPr>
        <w:t>Consideration</w:t>
      </w:r>
    </w:p>
    <w:p w:rsidR="2D53E150" w:rsidRDefault="2D53E150" w:rsidP="659037A2">
      <w:pPr>
        <w:contextualSpacing/>
        <w:jc w:val="both"/>
      </w:pPr>
      <w:r w:rsidRPr="659037A2">
        <w:t xml:space="preserve">At this stage, the potential customer has now narrowed down his options down and is considering which one would suit them the best. At this stage, the product or service is being compared to other solutions on the market. </w:t>
      </w:r>
    </w:p>
    <w:p w:rsidR="2D53E150" w:rsidRDefault="55E25357" w:rsidP="659037A2">
      <w:pPr>
        <w:pStyle w:val="ab"/>
        <w:contextualSpacing/>
        <w:rPr>
          <w:rFonts w:ascii="Calibri" w:hAnsi="Calibri"/>
          <w:b/>
          <w:bCs/>
          <w:color w:val="5A5A5A"/>
        </w:rPr>
      </w:pPr>
      <w:r w:rsidRPr="659037A2">
        <w:rPr>
          <w:b/>
          <w:bCs/>
        </w:rPr>
        <w:t xml:space="preserve">Purchase/ Decision </w:t>
      </w:r>
    </w:p>
    <w:p w:rsidR="2D53E150" w:rsidRDefault="2D53E150" w:rsidP="659037A2">
      <w:pPr>
        <w:contextualSpacing/>
        <w:jc w:val="both"/>
      </w:pPr>
      <w:r w:rsidRPr="659037A2">
        <w:t xml:space="preserve">During this stage, the customer has now done his research and is ready to do a purchase. They are well informed of the product/service that will fit their needs best and believe that the chosen company will also be best fit. At this point the customer’s reviews are vital because this is the moment when the potential customer may choose a competitor’s product/service. </w:t>
      </w:r>
    </w:p>
    <w:p w:rsidR="2D53E150" w:rsidRDefault="55E25357" w:rsidP="659037A2">
      <w:pPr>
        <w:pStyle w:val="ab"/>
        <w:contextualSpacing/>
        <w:rPr>
          <w:rFonts w:ascii="Calibri" w:hAnsi="Calibri"/>
          <w:b/>
          <w:bCs/>
          <w:color w:val="5A5A5A"/>
        </w:rPr>
      </w:pPr>
      <w:r w:rsidRPr="659037A2">
        <w:rPr>
          <w:b/>
          <w:bCs/>
        </w:rPr>
        <w:t>Retention</w:t>
      </w:r>
    </w:p>
    <w:p w:rsidR="2D53E150" w:rsidRDefault="2D53E150" w:rsidP="659037A2">
      <w:pPr>
        <w:contextualSpacing/>
        <w:jc w:val="both"/>
      </w:pPr>
      <w:r w:rsidRPr="659037A2">
        <w:lastRenderedPageBreak/>
        <w:t xml:space="preserve">The retention stage refers to the ability of the company to retain its customers over a certain time of period and build loyalty with its customers through regular usage and value. </w:t>
      </w:r>
    </w:p>
    <w:p w:rsidR="2D53E150" w:rsidRDefault="55E25357" w:rsidP="659037A2">
      <w:pPr>
        <w:pStyle w:val="ab"/>
        <w:contextualSpacing/>
        <w:rPr>
          <w:rFonts w:ascii="Calibri" w:hAnsi="Calibri"/>
          <w:b/>
          <w:bCs/>
          <w:color w:val="5A5A5A"/>
          <w:sz w:val="24"/>
          <w:szCs w:val="24"/>
        </w:rPr>
      </w:pPr>
      <w:r w:rsidRPr="659037A2">
        <w:rPr>
          <w:b/>
          <w:bCs/>
        </w:rPr>
        <w:t xml:space="preserve">Advocacy </w:t>
      </w:r>
    </w:p>
    <w:p w:rsidR="51D22FD5" w:rsidRDefault="2D53E150" w:rsidP="659037A2">
      <w:pPr>
        <w:contextualSpacing/>
        <w:jc w:val="both"/>
      </w:pPr>
      <w:r>
        <w:t xml:space="preserve">The final stage of the customer journey map is the advocacy stage, and this is when the customer becomes an active advocate for the brand through providing and spreading positive feedback. </w:t>
      </w:r>
    </w:p>
    <w:p w:rsidR="7DDAA205" w:rsidRDefault="7DDAA205" w:rsidP="7DDAA205">
      <w:pPr>
        <w:contextualSpacing/>
        <w:jc w:val="both"/>
      </w:pPr>
    </w:p>
    <w:p w:rsidR="2D53E150" w:rsidRDefault="55E25357" w:rsidP="659037A2">
      <w:pPr>
        <w:pStyle w:val="1"/>
        <w:contextualSpacing/>
        <w:rPr>
          <w:rFonts w:ascii="Calibri Light" w:hAnsi="Calibri Light"/>
        </w:rPr>
      </w:pPr>
      <w:bookmarkStart w:id="36" w:name="_Toc590829368"/>
      <w:bookmarkStart w:id="37" w:name="_Toc101622589"/>
      <w:r>
        <w:t xml:space="preserve">Cadbury’s </w:t>
      </w:r>
      <w:r w:rsidR="00C927E8">
        <w:t>customers’</w:t>
      </w:r>
      <w:r>
        <w:t xml:space="preserve"> touchpoints</w:t>
      </w:r>
      <w:bookmarkEnd w:id="36"/>
      <w:bookmarkEnd w:id="37"/>
    </w:p>
    <w:p w:rsidR="644F69E1" w:rsidRDefault="644F69E1" w:rsidP="659037A2">
      <w:pPr>
        <w:contextualSpacing/>
        <w:jc w:val="both"/>
      </w:pPr>
    </w:p>
    <w:p w:rsidR="644F69E1" w:rsidRDefault="644F69E1" w:rsidP="659037A2">
      <w:pPr>
        <w:contextualSpacing/>
        <w:jc w:val="both"/>
      </w:pPr>
      <w:r>
        <w:t xml:space="preserve">Some of the main Cadbury’s competitors include Ferrero </w:t>
      </w:r>
      <w:proofErr w:type="spellStart"/>
      <w:r>
        <w:t>Rocher</w:t>
      </w:r>
      <w:proofErr w:type="spellEnd"/>
      <w:r>
        <w:t xml:space="preserve">, Nestle, and </w:t>
      </w:r>
      <w:proofErr w:type="spellStart"/>
      <w:r>
        <w:t>Lindt</w:t>
      </w:r>
      <w:proofErr w:type="spellEnd"/>
      <w:r>
        <w:t>. All these brands offer variety of chocolate products, such as chocolate bars, blocks, and boxes chocolates (Gilliland, 2016). Hence, it is vital for Cadbury to stand out from its competitors and achieve a sustainable competitive advantage. To achieve that, the company uses the consumer behaviour concept of decision making which consists of pre-purchase (need recognition, research, evaluation of alternatives), purchase, and post-purchase stages (</w:t>
      </w:r>
      <w:proofErr w:type="spellStart"/>
      <w:r>
        <w:t>Karimi</w:t>
      </w:r>
      <w:proofErr w:type="spellEnd"/>
      <w:r>
        <w:t xml:space="preserve">, et al., 2015). </w:t>
      </w:r>
    </w:p>
    <w:p w:rsidR="7DDAA205" w:rsidRDefault="7DDAA205" w:rsidP="7DDAA205">
      <w:pPr>
        <w:contextualSpacing/>
        <w:jc w:val="both"/>
      </w:pPr>
    </w:p>
    <w:p w:rsidR="2D53E150" w:rsidRDefault="55E25357" w:rsidP="7DDAA205">
      <w:pPr>
        <w:pStyle w:val="ab"/>
        <w:contextualSpacing/>
        <w:rPr>
          <w:rFonts w:ascii="Calibri" w:hAnsi="Calibri"/>
          <w:b/>
          <w:bCs/>
          <w:color w:val="5A5A5A"/>
          <w:sz w:val="26"/>
          <w:szCs w:val="26"/>
        </w:rPr>
      </w:pPr>
      <w:bookmarkStart w:id="38" w:name="_Toc160589206"/>
      <w:r w:rsidRPr="7DDAA205">
        <w:rPr>
          <w:b/>
          <w:bCs/>
        </w:rPr>
        <w:t>Cadbury Brand Pre-purchase touchpoint</w:t>
      </w:r>
      <w:bookmarkEnd w:id="38"/>
    </w:p>
    <w:p w:rsidR="659037A2" w:rsidRDefault="659037A2" w:rsidP="659037A2">
      <w:pPr>
        <w:contextualSpacing/>
        <w:jc w:val="both"/>
      </w:pPr>
    </w:p>
    <w:p w:rsidR="659037A2" w:rsidRDefault="659037A2" w:rsidP="659037A2">
      <w:pPr>
        <w:contextualSpacing/>
        <w:jc w:val="both"/>
      </w:pPr>
      <w:r>
        <w:t xml:space="preserve">The first touchpoint Cadbury makes with its customers is during the pre-purchase phase and this is when they need to introduce their new products in such a way that they cause a wave of excitement and desire in customers to go and buy this product as soon as possible. Throughout the year Cadbury has run many different campaigns to gain the attention of the target market, as well as advertisements and the social media platforms. An example of successful advertisement is the one of the drumming gorillas which the company created back in 2007. However, the commercials felt stale and irrelevant to the new and young generation, which is why the corporation launched a content-driven campaign consisting of a series of advertisements (D&amp;AD, 2010). The first gorilla in the series, the drumming gorilla, was a big commercial success and skyrocketed Cadbury’s sales. However, despite having many successful advertisements and campaigns, the company concentrates on the social media as a pre-purchase touchpoint with its customers (Moth, 2012). Their most recent well-loved campaign "Easter Egg Hunt” is another example of successful engagement with the customers. Everyone around the world can participate in it and so far, there are 140000 hidden eggs waiting to be found (Evans, 2022). </w:t>
      </w:r>
    </w:p>
    <w:p w:rsidR="2D53E150" w:rsidRDefault="55E25357" w:rsidP="7DDAA205">
      <w:pPr>
        <w:pStyle w:val="ab"/>
        <w:contextualSpacing/>
        <w:rPr>
          <w:rFonts w:ascii="Calibri" w:hAnsi="Calibri"/>
          <w:b/>
          <w:bCs/>
          <w:color w:val="5A5A5A"/>
          <w:sz w:val="26"/>
          <w:szCs w:val="26"/>
        </w:rPr>
      </w:pPr>
      <w:bookmarkStart w:id="39" w:name="_Toc912212158"/>
      <w:r w:rsidRPr="7DDAA205">
        <w:rPr>
          <w:b/>
          <w:bCs/>
        </w:rPr>
        <w:t>Cadbury Brand Purchase Touchpoint</w:t>
      </w:r>
      <w:bookmarkEnd w:id="39"/>
    </w:p>
    <w:p w:rsidR="659037A2" w:rsidRDefault="659037A2" w:rsidP="659037A2">
      <w:pPr>
        <w:contextualSpacing/>
        <w:jc w:val="both"/>
      </w:pPr>
      <w:r>
        <w:t xml:space="preserve">The purchase touchpoint is the phase where the customer has already decided to purchase a product from chosen brand and is now browsing through their option. For Cadbury to satisfy on that phase, they try to create enjoyable experience by being flexible, adapting to sudden changes, and creating enjoyable experience. According to Claire Low, marketing director of Cadbury, customers are short on time, therefore their interaction with the brand and the products should be frictionless. This begins with the basics: improving product visibility, pictures, and thumbnails, emphasising positive reviews, and so on (Hamill, 2021). Example of such moves is the recent pandemic when the online shopping became the main way of product purchasing. During that time, Cadbury has managed to maintain and keep their customers satisfied and happy by offering their full variety of products online on multiple channels. I personally, as a customer, have never been disappointed with the brand. It is available in every shop and there is always a wide variety of products available. However, what I would really like </w:t>
      </w:r>
      <w:r>
        <w:lastRenderedPageBreak/>
        <w:t xml:space="preserve">to also see is bigger variety of healthy options, such as protein shakes and drinks, chocolatey-fruit snacks, as well as cereals for the younger part of the target market. </w:t>
      </w:r>
    </w:p>
    <w:p w:rsidR="2D53E150" w:rsidRDefault="55E25357" w:rsidP="7DDAA205">
      <w:pPr>
        <w:pStyle w:val="ab"/>
        <w:contextualSpacing/>
        <w:rPr>
          <w:rFonts w:ascii="Calibri" w:hAnsi="Calibri"/>
          <w:b/>
          <w:bCs/>
          <w:color w:val="5A5A5A"/>
          <w:sz w:val="26"/>
          <w:szCs w:val="26"/>
        </w:rPr>
      </w:pPr>
      <w:bookmarkStart w:id="40" w:name="_Toc7089914"/>
      <w:r w:rsidRPr="7DDAA205">
        <w:rPr>
          <w:b/>
          <w:bCs/>
        </w:rPr>
        <w:t>Cadbury Brand Post-Purchase Touchpoint</w:t>
      </w:r>
      <w:bookmarkEnd w:id="40"/>
    </w:p>
    <w:p w:rsidR="659037A2" w:rsidRDefault="659037A2" w:rsidP="659037A2">
      <w:pPr>
        <w:contextualSpacing/>
        <w:jc w:val="both"/>
      </w:pPr>
    </w:p>
    <w:p w:rsidR="644F69E1" w:rsidRDefault="659037A2" w:rsidP="659037A2">
      <w:pPr>
        <w:contextualSpacing/>
        <w:jc w:val="both"/>
      </w:pPr>
      <w:r>
        <w:t>The post-purchase customer point is all about the way customers felt about the product, whether they were satisfied and enjoyed the experience. It is the moment when feedback is provided, and Cadbury can use that feedback to reflect on the factors that need to be improved for the future. Cadbury's main place for feedback are their social media platforms, however they also have information how to contact them on their website. As a customer who regularly buys Cadbury products, I personally do not feel any post-purchase communication or engagement with the company. I feel like it only relies on the taste and the quality that will make me come back for more. However, something that would really touch me personally and make me even more loyal to the brand would be, for example, finding a “Thank you for believing in us” or “Thank you for choosing us” message written on the inside packaging of the chocolate bars. Additionally, customer satisfaction surveys could be made, as well as monthly discount coupons for gift hampers that can be purchased from the website can be printed off in newspapers or magazines.</w:t>
      </w:r>
    </w:p>
    <w:p w:rsidR="51D22FD5" w:rsidRDefault="51D22FD5" w:rsidP="7DDAA205">
      <w:pPr>
        <w:spacing w:after="0"/>
        <w:contextualSpacing/>
        <w:jc w:val="both"/>
        <w:rPr>
          <w:i/>
          <w:iCs/>
        </w:rPr>
      </w:pPr>
    </w:p>
    <w:p w:rsidR="64B0BAAA" w:rsidRDefault="64B0BAAA" w:rsidP="7DDAA205">
      <w:pPr>
        <w:contextualSpacing/>
        <w:jc w:val="both"/>
      </w:pPr>
      <w:r>
        <w:rPr>
          <w:noProof/>
          <w:lang w:eastAsia="en-GB"/>
        </w:rPr>
        <w:drawing>
          <wp:inline distT="0" distB="0" distL="0" distR="0" wp14:anchorId="7CFA08B6" wp14:editId="1F2D2076">
            <wp:extent cx="5629275" cy="2714625"/>
            <wp:effectExtent l="0" t="0" r="0" b="0"/>
            <wp:docPr id="324562558" name="Картина 3245625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629275" cy="2714625"/>
                    </a:xfrm>
                    <a:prstGeom prst="rect">
                      <a:avLst/>
                    </a:prstGeom>
                  </pic:spPr>
                </pic:pic>
              </a:graphicData>
            </a:graphic>
          </wp:inline>
        </w:drawing>
      </w:r>
    </w:p>
    <w:p w:rsidR="64B0BAAA" w:rsidRDefault="64B0BAAA" w:rsidP="7DDAA205">
      <w:pPr>
        <w:contextualSpacing/>
        <w:jc w:val="both"/>
      </w:pPr>
      <w:r w:rsidRPr="7DDAA205">
        <w:rPr>
          <w:b/>
          <w:bCs/>
        </w:rPr>
        <w:t>Fig 3:</w:t>
      </w:r>
      <w:r>
        <w:t xml:space="preserve"> A Customer Journey Map (Visser, M., 2017).</w:t>
      </w:r>
    </w:p>
    <w:p w:rsidR="7DDAA205" w:rsidRDefault="7DDAA205" w:rsidP="7DDAA205">
      <w:pPr>
        <w:contextualSpacing/>
        <w:jc w:val="both"/>
      </w:pPr>
    </w:p>
    <w:p w:rsidR="7DDAA205" w:rsidRDefault="7DDAA205" w:rsidP="7DDAA205">
      <w:pPr>
        <w:pStyle w:val="2"/>
        <w:contextualSpacing/>
        <w:rPr>
          <w:rFonts w:ascii="Calibri Light" w:hAnsi="Calibri Light"/>
        </w:rPr>
      </w:pPr>
      <w:bookmarkStart w:id="41" w:name="_Toc592271564"/>
      <w:bookmarkStart w:id="42" w:name="_Toc101622590"/>
      <w:r>
        <w:t>Strengths and Weaknesses of Cadbury’s customer Journey map</w:t>
      </w:r>
      <w:bookmarkEnd w:id="41"/>
      <w:bookmarkEnd w:id="42"/>
    </w:p>
    <w:p w:rsidR="7DDAA205" w:rsidRDefault="7DDAA205" w:rsidP="7DDAA205">
      <w:pPr>
        <w:contextualSpacing/>
      </w:pPr>
    </w:p>
    <w:p w:rsidR="7DDAA205" w:rsidRDefault="7DDAA205" w:rsidP="7DDAA205">
      <w:pPr>
        <w:contextualSpacing/>
      </w:pPr>
      <w:r>
        <w:t xml:space="preserve">After analysing the various stages of the </w:t>
      </w:r>
      <w:r w:rsidR="00C927E8">
        <w:t>customers’</w:t>
      </w:r>
      <w:r>
        <w:t xml:space="preserve"> journey map, as well as identifying the current existing customer touchpoints of Cadbury, in conclusion we can summarise the strengths and the weaknesses of the company and its customer journey map in general.</w:t>
      </w:r>
    </w:p>
    <w:p w:rsidR="7DDAA205" w:rsidRDefault="7DDAA205" w:rsidP="7DDAA205">
      <w:pPr>
        <w:contextualSpacing/>
      </w:pPr>
      <w:r>
        <w:t xml:space="preserve">The strengths of Cadbury are that the company has created an extraordinarily strong brand and brand equity, the products are easily recognisable and available in both small and big supermarkets. The brand also offers wide variety of products with good taste and affordable price which associates the brand with excellent value for money. This, on the other hand, has built a strong customer satisfaction and loyalty. Cadbury has also proved to value its customers by being flexible and adapting to sudden changes and crisis, such as Covid-19 pandemic and making more products available on their direct channel of distribution. </w:t>
      </w:r>
    </w:p>
    <w:p w:rsidR="7DDAA205" w:rsidRDefault="7DDAA205" w:rsidP="7DDAA205">
      <w:pPr>
        <w:contextualSpacing/>
      </w:pPr>
      <w:r>
        <w:lastRenderedPageBreak/>
        <w:t xml:space="preserve">A significant weakness that the author has found in Cadbury’s journey map, however, is at the post-purchase customer touchpoint. Once a purchase has been done through an indirect channel of distribution, the contact between the company and the customer ends. Unless the customer wants to leave feedback in social media channel, such as Facebook or Instagram, or directly emailing the company, there is not any other form of post purchase connection such as surveys, coupons, etc. </w:t>
      </w:r>
    </w:p>
    <w:p w:rsidR="7DDAA205" w:rsidRDefault="7DDAA205" w:rsidP="7DDAA205">
      <w:pPr>
        <w:pStyle w:val="1"/>
        <w:contextualSpacing/>
        <w:rPr>
          <w:rFonts w:ascii="Calibri Light" w:hAnsi="Calibri Light"/>
        </w:rPr>
      </w:pPr>
      <w:bookmarkStart w:id="43" w:name="_Toc1454951162"/>
      <w:bookmarkStart w:id="44" w:name="_Toc101622591"/>
      <w:r>
        <w:t>Kotler’s Five Product Level model</w:t>
      </w:r>
      <w:bookmarkEnd w:id="43"/>
      <w:bookmarkEnd w:id="44"/>
    </w:p>
    <w:p w:rsidR="51D22FD5" w:rsidRDefault="51D22FD5" w:rsidP="7DDAA205">
      <w:pPr>
        <w:spacing w:after="0"/>
        <w:contextualSpacing/>
        <w:jc w:val="both"/>
        <w:rPr>
          <w:i/>
          <w:iCs/>
        </w:rPr>
      </w:pPr>
    </w:p>
    <w:p w:rsidR="51D22FD5" w:rsidRDefault="1F23EE90" w:rsidP="1F23EE90">
      <w:pPr>
        <w:contextualSpacing/>
      </w:pPr>
      <w:r>
        <w:t xml:space="preserve">According to McIlroy and Barnet (2000), loyalty cannot be taken for granted and it will continue for as long as the customers feel they receive better value than they would obtain from another supplier. Day (1994) claims that being able to identify and satisfy customers’ needs leads to improved customer retention, and Clark (1997) also adds that customer retention is one of the greatest strategic advantages for surviving in today’s competitive environment. Many studies have shown that for a company to be successful on the long-term, it must create and maintain loyal and satisfied customers by adapting and listening to the customers’ needs and changing preferences. Additionally, companies should always take actions for improving those connections created. Kotler (2000) says that satisfaction is “a person’s feelings of pleasure or disappointment resulting from comparing a product’s perceived performance or outcome in relation to his or her expectations.” he also explains that customers’ need state the felt deprivation of a customer, while the customer’s wants are changeable and dependent on the individual personality and culture. According to Kotler, the product is not just a physical object, but also something that should be produced with the aim to satisfy a wide range of customer’s needs and expectations. Therefore, he creates a model which identifies five basic levels that all products need to fulfil in order to increase customers’ satisfaction which will also have a positive effect on the brand equity and business awareness. </w:t>
      </w:r>
    </w:p>
    <w:p w:rsidR="7DDAA205" w:rsidRDefault="7DDAA205" w:rsidP="7DDAA205">
      <w:pPr>
        <w:contextualSpacing/>
      </w:pPr>
    </w:p>
    <w:p w:rsidR="7DDAA205" w:rsidRDefault="7DDAA205" w:rsidP="7DDAA205">
      <w:pPr>
        <w:contextualSpacing/>
      </w:pPr>
    </w:p>
    <w:p w:rsidR="7DDAA205" w:rsidRDefault="7DDAA205" w:rsidP="7DDAA205">
      <w:pPr>
        <w:contextualSpacing/>
      </w:pPr>
      <w:r w:rsidRPr="7DDAA205">
        <w:rPr>
          <w:rStyle w:val="aa"/>
          <w:b/>
          <w:bCs/>
        </w:rPr>
        <w:t>Core level products</w:t>
      </w:r>
      <w:r>
        <w:t xml:space="preserve">- from fig.4. we can see that the core level products are those which address the fundamental needs of customers, such as food, water, home needs. For example, a customer who does a grocery shopping has a core need for food and eating. Or someone who buys a car has a core value to travel quickly and conveniently from one place to another. </w:t>
      </w:r>
    </w:p>
    <w:p w:rsidR="7DDAA205" w:rsidRDefault="7DDAA205" w:rsidP="7DDAA205">
      <w:pPr>
        <w:contextualSpacing/>
      </w:pPr>
    </w:p>
    <w:p w:rsidR="7DDAA205" w:rsidRDefault="7DDAA205" w:rsidP="7DDAA205">
      <w:pPr>
        <w:contextualSpacing/>
      </w:pPr>
      <w:r w:rsidRPr="7DDAA205">
        <w:rPr>
          <w:rStyle w:val="aa"/>
          <w:b/>
          <w:bCs/>
        </w:rPr>
        <w:t>Basic level products</w:t>
      </w:r>
      <w:r>
        <w:t>- the basic level products are such that offer only attributes or characteristics that are necessary for it to function, there are not any extra features included. Hence, because of the lack of features and attributes, businesses that only offer generic products experience high competition on the market and find it challenging to build strong brand equity. Examples of such products are bottled water, mirrors, and beds.</w:t>
      </w:r>
    </w:p>
    <w:p w:rsidR="7DDAA205" w:rsidRDefault="7DDAA205" w:rsidP="7DDAA205">
      <w:pPr>
        <w:contextualSpacing/>
      </w:pPr>
    </w:p>
    <w:p w:rsidR="7DDAA205" w:rsidRDefault="7DDAA205" w:rsidP="7DDAA205">
      <w:pPr>
        <w:contextualSpacing/>
      </w:pPr>
      <w:r w:rsidRPr="7DDAA205">
        <w:rPr>
          <w:rStyle w:val="aa"/>
          <w:b/>
          <w:bCs/>
        </w:rPr>
        <w:t>Expected level products</w:t>
      </w:r>
      <w:r>
        <w:t xml:space="preserve">- the expected level products are different from the previous two levels because those products have added value features. However, the problem with those is that with the time they become normalised and even revert to core level products. </w:t>
      </w:r>
    </w:p>
    <w:p w:rsidR="7DDAA205" w:rsidRDefault="7DDAA205" w:rsidP="7DDAA205">
      <w:pPr>
        <w:contextualSpacing/>
      </w:pPr>
    </w:p>
    <w:p w:rsidR="7DDAA205" w:rsidRDefault="7DDAA205" w:rsidP="7DDAA205">
      <w:pPr>
        <w:contextualSpacing/>
      </w:pPr>
      <w:r w:rsidRPr="7DDAA205">
        <w:rPr>
          <w:rStyle w:val="aa"/>
          <w:b/>
          <w:bCs/>
        </w:rPr>
        <w:t>Augmented level products</w:t>
      </w:r>
      <w:r>
        <w:t xml:space="preserve">- these products have extra features added that have competitive advantage as well and make them the better value for money among the competitors. For example, laptops that come with a warranty for a no-extra cost are augmented level products. </w:t>
      </w:r>
    </w:p>
    <w:p w:rsidR="7DDAA205" w:rsidRDefault="7DDAA205" w:rsidP="7DDAA205">
      <w:pPr>
        <w:contextualSpacing/>
      </w:pPr>
    </w:p>
    <w:p w:rsidR="7DDAA205" w:rsidRDefault="7DDAA205" w:rsidP="7DDAA205">
      <w:pPr>
        <w:contextualSpacing/>
      </w:pPr>
      <w:r w:rsidRPr="7DDAA205">
        <w:rPr>
          <w:rStyle w:val="aa"/>
          <w:b/>
          <w:bCs/>
        </w:rPr>
        <w:t>Potential products</w:t>
      </w:r>
      <w:r>
        <w:t xml:space="preserve">- the potential products are the updated and innovated augmented level products. It is important that businesses stay up to date with the market and customers’ needs, </w:t>
      </w:r>
      <w:r>
        <w:lastRenderedPageBreak/>
        <w:t>wants and expectations. Otherwise, if t</w:t>
      </w:r>
      <w:r w:rsidR="00C927E8">
        <w:t>he augmented products do not get</w:t>
      </w:r>
      <w:r>
        <w:t xml:space="preserve"> upgrade to the next and final level, they risk falling back to the lower level of the model. </w:t>
      </w:r>
    </w:p>
    <w:p w:rsidR="7DDAA205" w:rsidRDefault="7DDAA205" w:rsidP="7DDAA205">
      <w:pPr>
        <w:contextualSpacing/>
      </w:pPr>
    </w:p>
    <w:p w:rsidR="7DDAA205" w:rsidRDefault="7DDAA205" w:rsidP="7DDAA205">
      <w:pPr>
        <w:contextualSpacing/>
      </w:pPr>
      <w:r>
        <w:rPr>
          <w:noProof/>
          <w:lang w:eastAsia="en-GB"/>
        </w:rPr>
        <w:drawing>
          <wp:inline distT="0" distB="0" distL="0" distR="0" wp14:anchorId="2143098A" wp14:editId="23D1AF3A">
            <wp:extent cx="4948719" cy="2752725"/>
            <wp:effectExtent l="0" t="0" r="0" b="0"/>
            <wp:docPr id="1873044682" name="Картина 18730446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948719" cy="2752725"/>
                    </a:xfrm>
                    <a:prstGeom prst="rect">
                      <a:avLst/>
                    </a:prstGeom>
                  </pic:spPr>
                </pic:pic>
              </a:graphicData>
            </a:graphic>
          </wp:inline>
        </w:drawing>
      </w:r>
    </w:p>
    <w:p w:rsidR="7DDAA205" w:rsidRDefault="7DDAA205" w:rsidP="7DDAA205">
      <w:pPr>
        <w:contextualSpacing/>
      </w:pPr>
      <w:r w:rsidRPr="7DDAA205">
        <w:rPr>
          <w:b/>
          <w:bCs/>
        </w:rPr>
        <w:t>Fig. 4.</w:t>
      </w:r>
      <w:r>
        <w:t xml:space="preserve"> Five Products Level model (Kotler,2000)</w:t>
      </w:r>
    </w:p>
    <w:p w:rsidR="7DDAA205" w:rsidRDefault="7DDAA205" w:rsidP="7DDAA205">
      <w:pPr>
        <w:contextualSpacing/>
      </w:pPr>
    </w:p>
    <w:p w:rsidR="7DDAA205" w:rsidRDefault="7DDAA205" w:rsidP="7DDAA205">
      <w:pPr>
        <w:contextualSpacing/>
      </w:pPr>
    </w:p>
    <w:p w:rsidR="7DDAA205" w:rsidRDefault="7DDAA205" w:rsidP="7DDAA205">
      <w:pPr>
        <w:pStyle w:val="2"/>
        <w:contextualSpacing/>
        <w:rPr>
          <w:rFonts w:ascii="Calibri Light" w:hAnsi="Calibri Light"/>
        </w:rPr>
      </w:pPr>
      <w:bookmarkStart w:id="45" w:name="_Toc1082615016"/>
      <w:bookmarkStart w:id="46" w:name="_Toc101622592"/>
      <w:r>
        <w:t>Kotler’s Five Product Level model in Cadbury</w:t>
      </w:r>
      <w:bookmarkEnd w:id="45"/>
      <w:bookmarkEnd w:id="46"/>
    </w:p>
    <w:p w:rsidR="7DDAA205" w:rsidRDefault="7DDAA205" w:rsidP="7DDAA205">
      <w:pPr>
        <w:contextualSpacing/>
      </w:pPr>
    </w:p>
    <w:p w:rsidR="7DDAA205" w:rsidRDefault="7DDAA205" w:rsidP="7DDAA205">
      <w:pPr>
        <w:contextualSpacing/>
      </w:pPr>
      <w:r w:rsidRPr="7DDAA205">
        <w:rPr>
          <w:rStyle w:val="aa"/>
          <w:b/>
          <w:bCs/>
        </w:rPr>
        <w:t>Core product</w:t>
      </w:r>
      <w:r>
        <w:t xml:space="preserve">- at the core level, Cadbury products aim to satisfy customers’ need for food and sweet craving. Additionally, it also aims to quench a customer’s thirst through their drinking chocolate. </w:t>
      </w:r>
    </w:p>
    <w:p w:rsidR="7DDAA205" w:rsidRDefault="7DDAA205" w:rsidP="7DDAA205">
      <w:pPr>
        <w:contextualSpacing/>
      </w:pPr>
    </w:p>
    <w:p w:rsidR="7DDAA205" w:rsidRDefault="7DDAA205" w:rsidP="7DDAA205">
      <w:pPr>
        <w:contextualSpacing/>
      </w:pPr>
      <w:r w:rsidRPr="7DDAA205">
        <w:rPr>
          <w:rStyle w:val="aa"/>
          <w:b/>
          <w:bCs/>
        </w:rPr>
        <w:t>Basic product</w:t>
      </w:r>
      <w:r>
        <w:t xml:space="preserve">- chocolates come in various flavours, types, and packages. The company also offers products for special occasions, gift hampers, gift boxes, as well as festive chocolates and chocolate boxes. The drinking chocolate also comes in various flavours, variants, and packaging sizes. </w:t>
      </w:r>
    </w:p>
    <w:p w:rsidR="7DDAA205" w:rsidRDefault="7DDAA205" w:rsidP="7DDAA205">
      <w:pPr>
        <w:contextualSpacing/>
      </w:pPr>
    </w:p>
    <w:p w:rsidR="7DDAA205" w:rsidRDefault="7DDAA205" w:rsidP="7DDAA205">
      <w:pPr>
        <w:contextualSpacing/>
      </w:pPr>
      <w:r w:rsidRPr="7DDAA205">
        <w:rPr>
          <w:rStyle w:val="aa"/>
          <w:b/>
          <w:bCs/>
        </w:rPr>
        <w:t>Expected product</w:t>
      </w:r>
      <w:r>
        <w:t xml:space="preserve">- when it comes to value- adding, Cadbury does also offer ice-cream which is a great option for the hot part of the year. Furthermore, the company’s healthy bars are another form of expected product. </w:t>
      </w:r>
    </w:p>
    <w:p w:rsidR="7DDAA205" w:rsidRDefault="7DDAA205" w:rsidP="7DDAA205">
      <w:pPr>
        <w:contextualSpacing/>
      </w:pPr>
    </w:p>
    <w:p w:rsidR="7DDAA205" w:rsidRDefault="7DDAA205" w:rsidP="7DDAA205">
      <w:pPr>
        <w:contextualSpacing/>
      </w:pPr>
      <w:r w:rsidRPr="7DDAA205">
        <w:rPr>
          <w:rStyle w:val="aa"/>
          <w:b/>
          <w:bCs/>
        </w:rPr>
        <w:t>Augmented product</w:t>
      </w:r>
      <w:r>
        <w:t xml:space="preserve">- Cadbury's products exceed customer’s expectations with taste, quality, value for money, and wide variety. The company has also managed to differentiate its brand from the competitors with its never changed well-known purple packaging, as well as various campaigns. </w:t>
      </w:r>
    </w:p>
    <w:p w:rsidR="7DDAA205" w:rsidRDefault="7DDAA205" w:rsidP="7DDAA205">
      <w:pPr>
        <w:contextualSpacing/>
      </w:pPr>
    </w:p>
    <w:p w:rsidR="7DDAA205" w:rsidRDefault="7DDAA205" w:rsidP="7DDAA205">
      <w:pPr>
        <w:contextualSpacing/>
      </w:pPr>
      <w:r w:rsidRPr="7DDAA205">
        <w:rPr>
          <w:rStyle w:val="aa"/>
          <w:b/>
          <w:bCs/>
        </w:rPr>
        <w:t>Potential product</w:t>
      </w:r>
      <w:r>
        <w:t xml:space="preserve">- due to significant brand equity and value there is a minor risk for Cadbury’s augmented products to fall to lower levels of the model. However, the company can </w:t>
      </w:r>
      <w:r w:rsidR="00C927E8">
        <w:t xml:space="preserve">still focus on creating more and new </w:t>
      </w:r>
      <w:r>
        <w:t>healthier options and even maybe breakfast cereal options to the market.</w:t>
      </w:r>
    </w:p>
    <w:p w:rsidR="7DDAA205" w:rsidRDefault="7DDAA205" w:rsidP="7DDAA205">
      <w:pPr>
        <w:contextualSpacing/>
      </w:pPr>
    </w:p>
    <w:p w:rsidR="7DDAA205" w:rsidRDefault="7DDAA205" w:rsidP="7DDAA205">
      <w:pPr>
        <w:contextualSpacing/>
      </w:pPr>
      <w:r>
        <w:t xml:space="preserve">In summary, Cadbury fulfils each level of Kotler's product model by offering wide variety of products with high quality and affordable price, meaning that both customers' needs, and expectations are met. The product is also available at every shop, both in smaller and bigger sizes. The only field of improvement on which the company could focus is the healthy bars and expanding its existing </w:t>
      </w:r>
      <w:r>
        <w:lastRenderedPageBreak/>
        <w:t xml:space="preserve">range. Furthermore, Cadbury could potentially consider the younger part of the target market by offering cereals and focusing on the baby food production. </w:t>
      </w:r>
    </w:p>
    <w:p w:rsidR="51D22FD5" w:rsidRDefault="5B80FA5E" w:rsidP="502210B9">
      <w:pPr>
        <w:pStyle w:val="1"/>
        <w:contextualSpacing/>
        <w:jc w:val="both"/>
        <w:rPr>
          <w:rFonts w:ascii="Calibri Light" w:hAnsi="Calibri Light"/>
          <w:b/>
          <w:bCs/>
        </w:rPr>
      </w:pPr>
      <w:bookmarkStart w:id="47" w:name="_Toc2120108316"/>
      <w:bookmarkStart w:id="48" w:name="_Toc101622593"/>
      <w:r>
        <w:t>Recommendations and conclusion</w:t>
      </w:r>
      <w:bookmarkEnd w:id="47"/>
      <w:bookmarkEnd w:id="48"/>
    </w:p>
    <w:p w:rsidR="502210B9" w:rsidRDefault="502210B9" w:rsidP="502210B9">
      <w:pPr>
        <w:contextualSpacing/>
        <w:rPr>
          <w:rStyle w:val="20"/>
          <w:color w:val="auto"/>
        </w:rPr>
      </w:pPr>
      <w:r>
        <w:t xml:space="preserve">To sum up, Cadbury is an extraordinarily strong well renowned brand which gains their success through remarkably successful strategic and competitive marketing decision. The company has always been focussing on the customer’s needs and expectations and have fulfilled that level by offering more than 14 products on the market with various tastes, sizes, and affordable prices. The company manages to keep customers interested, entertained, and engaged by creating various marketing campaigns and communicating through many social media channels. </w:t>
      </w:r>
    </w:p>
    <w:p w:rsidR="502210B9" w:rsidRDefault="502210B9" w:rsidP="502210B9">
      <w:pPr>
        <w:contextualSpacing/>
        <w:rPr>
          <w:rStyle w:val="20"/>
          <w:color w:val="auto"/>
        </w:rPr>
      </w:pPr>
      <w:r>
        <w:t xml:space="preserve">However, a few recommendations could be made for the future development of the company. Firstly, based on the expanding healthy eating campaign in the world, Cadbury need to launch </w:t>
      </w:r>
      <w:r w:rsidR="00C927E8">
        <w:t>healthier</w:t>
      </w:r>
      <w:r>
        <w:t xml:space="preserve"> solutions for their customers, such as healthy cereal, protein bars, and protein drinks. Additionally to that, they could also consider them step into the baby food market by developing few baby purees and nectars. </w:t>
      </w:r>
    </w:p>
    <w:p w:rsidR="502210B9" w:rsidRDefault="502210B9" w:rsidP="502210B9">
      <w:pPr>
        <w:contextualSpacing/>
        <w:rPr>
          <w:rStyle w:val="20"/>
          <w:color w:val="auto"/>
        </w:rPr>
      </w:pPr>
      <w:r>
        <w:t>Although Cadbury has a stable connection with its customers, it would be a good idea to put a hint of personal attitude to each of them by creating a new customer post-purchase touchpoint for all their products offered through indirect channel of distribution. A thank you note in the packaging of the products, coupons on the newspapers or monthly discounts could be a strategic marketing decision for not only keeping customers’ loyalty and satisfaction, but also attracting new customers and increasing sales.</w:t>
      </w:r>
    </w:p>
    <w:p w:rsidR="502210B9" w:rsidRDefault="502210B9" w:rsidP="502210B9">
      <w:pPr>
        <w:spacing w:after="0"/>
        <w:contextualSpacing/>
        <w:jc w:val="both"/>
        <w:rPr>
          <w:rStyle w:val="20"/>
        </w:rPr>
      </w:pPr>
    </w:p>
    <w:p w:rsidR="502210B9" w:rsidRDefault="502210B9" w:rsidP="502210B9">
      <w:pPr>
        <w:contextualSpacing/>
      </w:pPr>
      <w:r>
        <w:t xml:space="preserve">In conclusion, the report provided a definition of communication and analysis of Shannon and Weaver’s model of communication. The definition of Integrated marketing communication and its advantages and disadvantages was also included and analysed. A discussion of Cadbury’s promotional strategies was provided, and new ideas of online and offline strategies was also given. The paper also explained the idea of brand and brand equity as well as analysed Keller’s brand equity model and its advantages and limitations. Next, the report focused on analysis of </w:t>
      </w:r>
      <w:r w:rsidR="00C927E8">
        <w:t>customers’</w:t>
      </w:r>
      <w:r>
        <w:t xml:space="preserve"> journey map and the </w:t>
      </w:r>
      <w:r w:rsidR="00C927E8">
        <w:t>customers’</w:t>
      </w:r>
      <w:r>
        <w:t xml:space="preserve"> touchpoint in Cadbury as well as the strength and weaknesses of the company’s journey map. At the end, the report examined Kotler’s five product level model and the way Cadbury implements the model in order to achieve </w:t>
      </w:r>
      <w:r w:rsidR="00C927E8">
        <w:t>customers’</w:t>
      </w:r>
      <w:r>
        <w:t xml:space="preserve"> satisfaction and loyalty. The paper concluded with recommendations for future developments and marketing strategies and new customer touchpoints Cadbury could focus on in order to achieve better customer satisfaction and to increase its revenue. </w:t>
      </w:r>
    </w:p>
    <w:p w:rsidR="502210B9" w:rsidRDefault="502210B9" w:rsidP="502210B9">
      <w:pPr>
        <w:spacing w:after="0"/>
        <w:contextualSpacing/>
        <w:jc w:val="both"/>
        <w:rPr>
          <w:rStyle w:val="20"/>
        </w:rPr>
      </w:pPr>
    </w:p>
    <w:p w:rsidR="659037A2" w:rsidRDefault="659037A2" w:rsidP="659037A2">
      <w:pPr>
        <w:spacing w:after="0"/>
        <w:contextualSpacing/>
        <w:jc w:val="both"/>
        <w:rPr>
          <w:rStyle w:val="20"/>
        </w:rPr>
      </w:pPr>
    </w:p>
    <w:p w:rsidR="51D22FD5" w:rsidRDefault="51D22FD5" w:rsidP="659037A2">
      <w:pPr>
        <w:spacing w:after="0"/>
        <w:contextualSpacing/>
        <w:jc w:val="both"/>
        <w:rPr>
          <w:i/>
          <w:iCs/>
        </w:rPr>
      </w:pPr>
    </w:p>
    <w:p w:rsidR="51D22FD5" w:rsidRDefault="51D22FD5" w:rsidP="659037A2">
      <w:pPr>
        <w:spacing w:after="0"/>
        <w:contextualSpacing/>
        <w:jc w:val="both"/>
        <w:rPr>
          <w:b/>
          <w:bCs/>
        </w:rPr>
      </w:pPr>
    </w:p>
    <w:p w:rsidR="00016CF3" w:rsidRDefault="00016CF3" w:rsidP="659037A2">
      <w:pPr>
        <w:spacing w:after="0"/>
        <w:contextualSpacing/>
        <w:jc w:val="both"/>
        <w:rPr>
          <w:b/>
          <w:bCs/>
        </w:rPr>
      </w:pPr>
    </w:p>
    <w:p w:rsidR="00016CF3" w:rsidRDefault="00016CF3" w:rsidP="659037A2">
      <w:pPr>
        <w:spacing w:after="0"/>
        <w:contextualSpacing/>
        <w:jc w:val="both"/>
        <w:rPr>
          <w:b/>
          <w:bCs/>
        </w:rPr>
      </w:pPr>
    </w:p>
    <w:p w:rsidR="00016CF3" w:rsidRDefault="00016CF3" w:rsidP="659037A2">
      <w:pPr>
        <w:spacing w:after="0"/>
        <w:contextualSpacing/>
        <w:jc w:val="both"/>
        <w:rPr>
          <w:b/>
          <w:bCs/>
        </w:rPr>
      </w:pPr>
    </w:p>
    <w:p w:rsidR="00016CF3" w:rsidRDefault="00016CF3" w:rsidP="659037A2">
      <w:pPr>
        <w:spacing w:after="0"/>
        <w:contextualSpacing/>
        <w:jc w:val="both"/>
        <w:rPr>
          <w:b/>
          <w:bCs/>
        </w:rPr>
      </w:pPr>
    </w:p>
    <w:p w:rsidR="00016CF3" w:rsidRDefault="00016CF3" w:rsidP="659037A2">
      <w:pPr>
        <w:spacing w:after="0"/>
        <w:contextualSpacing/>
        <w:jc w:val="both"/>
        <w:rPr>
          <w:b/>
          <w:bCs/>
        </w:rPr>
      </w:pPr>
    </w:p>
    <w:p w:rsidR="00016CF3" w:rsidRDefault="00016CF3" w:rsidP="659037A2">
      <w:pPr>
        <w:spacing w:after="0"/>
        <w:contextualSpacing/>
        <w:jc w:val="both"/>
        <w:rPr>
          <w:b/>
          <w:bCs/>
        </w:rPr>
      </w:pPr>
    </w:p>
    <w:p w:rsidR="00016CF3" w:rsidRDefault="00016CF3" w:rsidP="659037A2">
      <w:pPr>
        <w:spacing w:after="0"/>
        <w:contextualSpacing/>
        <w:jc w:val="both"/>
        <w:rPr>
          <w:b/>
          <w:bCs/>
        </w:rPr>
      </w:pPr>
    </w:p>
    <w:p w:rsidR="00016CF3" w:rsidRDefault="00016CF3" w:rsidP="659037A2">
      <w:pPr>
        <w:spacing w:after="0"/>
        <w:contextualSpacing/>
        <w:jc w:val="both"/>
        <w:rPr>
          <w:b/>
          <w:bCs/>
        </w:rPr>
      </w:pPr>
    </w:p>
    <w:p w:rsidR="00016CF3" w:rsidRDefault="00016CF3" w:rsidP="659037A2">
      <w:pPr>
        <w:spacing w:after="0"/>
        <w:contextualSpacing/>
        <w:jc w:val="both"/>
        <w:rPr>
          <w:b/>
          <w:bCs/>
        </w:rPr>
      </w:pPr>
    </w:p>
    <w:p w:rsidR="00016CF3" w:rsidRDefault="00016CF3" w:rsidP="659037A2">
      <w:pPr>
        <w:spacing w:after="0"/>
        <w:contextualSpacing/>
        <w:jc w:val="both"/>
        <w:rPr>
          <w:b/>
          <w:bCs/>
        </w:rPr>
      </w:pPr>
    </w:p>
    <w:p w:rsidR="00016CF3" w:rsidRDefault="00016CF3" w:rsidP="659037A2">
      <w:pPr>
        <w:spacing w:after="0"/>
        <w:contextualSpacing/>
        <w:jc w:val="both"/>
        <w:rPr>
          <w:b/>
          <w:bCs/>
        </w:rPr>
      </w:pPr>
    </w:p>
    <w:p w:rsidR="00016CF3" w:rsidRDefault="00016CF3" w:rsidP="659037A2">
      <w:pPr>
        <w:spacing w:after="0"/>
        <w:contextualSpacing/>
        <w:jc w:val="both"/>
        <w:rPr>
          <w:b/>
          <w:bCs/>
        </w:rPr>
      </w:pPr>
    </w:p>
    <w:p w:rsidR="573A2B54" w:rsidRDefault="77B5D6E2" w:rsidP="659037A2">
      <w:pPr>
        <w:pStyle w:val="1"/>
        <w:contextualSpacing/>
        <w:jc w:val="both"/>
        <w:rPr>
          <w:rFonts w:ascii="Calibri Light" w:hAnsi="Calibri Light"/>
          <w:b/>
          <w:bCs/>
        </w:rPr>
      </w:pPr>
      <w:bookmarkStart w:id="49" w:name="_Toc101622594"/>
      <w:r>
        <w:t>References:</w:t>
      </w:r>
      <w:bookmarkEnd w:id="49"/>
    </w:p>
    <w:p w:rsidR="573A2B54" w:rsidRDefault="573A2B54" w:rsidP="659037A2">
      <w:pPr>
        <w:spacing w:after="0"/>
        <w:contextualSpacing/>
        <w:jc w:val="both"/>
        <w:rPr>
          <w:rFonts w:eastAsiaTheme="minorEastAsia"/>
        </w:rPr>
      </w:pPr>
    </w:p>
    <w:p w:rsidR="006B69AF" w:rsidRDefault="006B69AF" w:rsidP="006B69AF">
      <w:pPr>
        <w:pStyle w:val="a9"/>
        <w:numPr>
          <w:ilvl w:val="0"/>
          <w:numId w:val="6"/>
        </w:numPr>
        <w:spacing w:after="0"/>
        <w:jc w:val="both"/>
        <w:rPr>
          <w:rFonts w:eastAsiaTheme="minorEastAsia"/>
          <w:color w:val="000000" w:themeColor="text1"/>
        </w:rPr>
      </w:pPr>
      <w:r w:rsidRPr="006B69AF">
        <w:rPr>
          <w:rFonts w:eastAsiaTheme="minorEastAsia"/>
          <w:color w:val="000000" w:themeColor="text1"/>
        </w:rPr>
        <w:t xml:space="preserve">Beyer, G., (2012). </w:t>
      </w:r>
      <w:r w:rsidRPr="006B69AF">
        <w:rPr>
          <w:rFonts w:eastAsiaTheme="minorEastAsia"/>
          <w:i/>
          <w:iCs/>
          <w:color w:val="000000" w:themeColor="text1"/>
        </w:rPr>
        <w:t xml:space="preserve">The Shannon-Weaver Model - </w:t>
      </w:r>
      <w:proofErr w:type="spellStart"/>
      <w:r w:rsidRPr="006B69AF">
        <w:rPr>
          <w:rFonts w:eastAsiaTheme="minorEastAsia"/>
          <w:i/>
          <w:iCs/>
          <w:color w:val="000000" w:themeColor="text1"/>
        </w:rPr>
        <w:t>GarthBox</w:t>
      </w:r>
      <w:proofErr w:type="spellEnd"/>
      <w:r w:rsidRPr="006B69AF">
        <w:rPr>
          <w:rFonts w:eastAsiaTheme="minorEastAsia"/>
          <w:color w:val="000000" w:themeColor="text1"/>
        </w:rPr>
        <w:t xml:space="preserve">. [Online] Available at: </w:t>
      </w:r>
      <w:hyperlink r:id="rId12">
        <w:r w:rsidRPr="006B69AF">
          <w:rPr>
            <w:rStyle w:val="a8"/>
            <w:rFonts w:eastAsiaTheme="minorEastAsia"/>
          </w:rPr>
          <w:t>http://garthbox.com/the-shannon-weaver-model/</w:t>
        </w:r>
      </w:hyperlink>
      <w:r w:rsidRPr="006B69AF">
        <w:rPr>
          <w:rFonts w:eastAsiaTheme="minorEastAsia"/>
          <w:color w:val="000000" w:themeColor="text1"/>
        </w:rPr>
        <w:t xml:space="preserve">  [Accessed 8 March 2022]. </w:t>
      </w:r>
    </w:p>
    <w:p w:rsidR="00C927E8" w:rsidRDefault="00C927E8" w:rsidP="00C927E8">
      <w:pPr>
        <w:pStyle w:val="a9"/>
        <w:spacing w:after="0"/>
        <w:jc w:val="both"/>
        <w:rPr>
          <w:rFonts w:eastAsiaTheme="minorEastAsia"/>
          <w:color w:val="000000" w:themeColor="text1"/>
        </w:rPr>
      </w:pPr>
    </w:p>
    <w:p w:rsidR="00C927E8" w:rsidRPr="006B69AF" w:rsidRDefault="00C927E8" w:rsidP="00C927E8">
      <w:pPr>
        <w:pStyle w:val="a9"/>
        <w:numPr>
          <w:ilvl w:val="0"/>
          <w:numId w:val="6"/>
        </w:numPr>
        <w:spacing w:after="0"/>
        <w:rPr>
          <w:rFonts w:eastAsiaTheme="minorEastAsia"/>
          <w:color w:val="000000" w:themeColor="text1"/>
        </w:rPr>
      </w:pPr>
      <w:r>
        <w:rPr>
          <w:rFonts w:eastAsiaTheme="minorEastAsia"/>
          <w:color w:val="000000" w:themeColor="text1"/>
        </w:rPr>
        <w:t xml:space="preserve">Cadbury., (2020). </w:t>
      </w:r>
      <w:r w:rsidRPr="00C927E8">
        <w:rPr>
          <w:rFonts w:eastAsiaTheme="minorEastAsia"/>
          <w:i/>
          <w:color w:val="000000" w:themeColor="text1"/>
        </w:rPr>
        <w:t>Cadbury Chocolate. Our Story</w:t>
      </w:r>
      <w:r>
        <w:rPr>
          <w:rFonts w:eastAsiaTheme="minorEastAsia"/>
          <w:color w:val="000000" w:themeColor="text1"/>
        </w:rPr>
        <w:t xml:space="preserve">. [Online] Available at: </w:t>
      </w:r>
      <w:hyperlink r:id="rId13" w:history="1">
        <w:r w:rsidRPr="005969D0">
          <w:rPr>
            <w:rStyle w:val="a8"/>
            <w:rFonts w:eastAsiaTheme="minorEastAsia"/>
          </w:rPr>
          <w:t>https://www.cadbury.co.uk/our-story</w:t>
        </w:r>
      </w:hyperlink>
      <w:r>
        <w:rPr>
          <w:rFonts w:eastAsiaTheme="minorEastAsia"/>
          <w:color w:val="000000" w:themeColor="text1"/>
        </w:rPr>
        <w:t xml:space="preserve"> [Accessed 20 April 2022].</w:t>
      </w:r>
    </w:p>
    <w:p w:rsidR="006B69AF" w:rsidRDefault="006B69AF" w:rsidP="006B69AF">
      <w:pPr>
        <w:spacing w:after="0"/>
        <w:contextualSpacing/>
        <w:jc w:val="both"/>
        <w:rPr>
          <w:rFonts w:eastAsiaTheme="minorEastAsia"/>
          <w:color w:val="000000" w:themeColor="text1"/>
        </w:rPr>
      </w:pPr>
    </w:p>
    <w:p w:rsidR="006B69AF" w:rsidRPr="006B69AF" w:rsidRDefault="006B69AF" w:rsidP="006B69AF">
      <w:pPr>
        <w:pStyle w:val="a9"/>
        <w:numPr>
          <w:ilvl w:val="0"/>
          <w:numId w:val="6"/>
        </w:numPr>
        <w:rPr>
          <w:rFonts w:eastAsiaTheme="minorEastAsia"/>
        </w:rPr>
      </w:pPr>
      <w:r w:rsidRPr="006B69AF">
        <w:rPr>
          <w:rFonts w:eastAsiaTheme="minorEastAsia"/>
        </w:rPr>
        <w:t xml:space="preserve">Clark, M., (1997). ‘Modelling the Impact of Customer-Employee Relationships on Customer Retention Rates in a Major UK Retail Bank’, </w:t>
      </w:r>
      <w:r w:rsidRPr="006B69AF">
        <w:rPr>
          <w:rFonts w:eastAsiaTheme="minorEastAsia"/>
          <w:i/>
          <w:iCs/>
        </w:rPr>
        <w:t>Management Decisions</w:t>
      </w:r>
      <w:r w:rsidRPr="006B69AF">
        <w:rPr>
          <w:rFonts w:eastAsiaTheme="minorEastAsia"/>
        </w:rPr>
        <w:t>, 35 (4), pp. 293-301.</w:t>
      </w:r>
    </w:p>
    <w:p w:rsidR="006B69AF" w:rsidRDefault="006B69AF" w:rsidP="006B69AF">
      <w:pPr>
        <w:spacing w:after="0"/>
        <w:contextualSpacing/>
        <w:jc w:val="both"/>
        <w:rPr>
          <w:rFonts w:eastAsiaTheme="minorEastAsia"/>
          <w:color w:val="000000" w:themeColor="text1"/>
        </w:rPr>
      </w:pPr>
    </w:p>
    <w:p w:rsidR="006B69AF" w:rsidRPr="006B69AF" w:rsidRDefault="006B69AF" w:rsidP="006B69AF">
      <w:pPr>
        <w:pStyle w:val="a9"/>
        <w:numPr>
          <w:ilvl w:val="0"/>
          <w:numId w:val="6"/>
        </w:numPr>
        <w:rPr>
          <w:rFonts w:eastAsiaTheme="minorEastAsia"/>
        </w:rPr>
      </w:pPr>
      <w:r w:rsidRPr="006B69AF">
        <w:rPr>
          <w:rFonts w:eastAsiaTheme="minorEastAsia"/>
        </w:rPr>
        <w:t xml:space="preserve">Day, S., (1994). ‘The Capabilities of Market- Driven Organisations’, </w:t>
      </w:r>
      <w:r w:rsidRPr="006B69AF">
        <w:rPr>
          <w:rFonts w:eastAsiaTheme="minorEastAsia"/>
          <w:i/>
          <w:iCs/>
        </w:rPr>
        <w:t>Journal of Marketing</w:t>
      </w:r>
      <w:r w:rsidRPr="006B69AF">
        <w:rPr>
          <w:rFonts w:eastAsiaTheme="minorEastAsia"/>
        </w:rPr>
        <w:t>, 58 (4), pp. 37-52.</w:t>
      </w:r>
    </w:p>
    <w:p w:rsidR="006B69AF" w:rsidRPr="006B69AF" w:rsidRDefault="006B69AF" w:rsidP="006B69AF">
      <w:pPr>
        <w:pStyle w:val="a9"/>
        <w:numPr>
          <w:ilvl w:val="0"/>
          <w:numId w:val="6"/>
        </w:numPr>
        <w:jc w:val="both"/>
      </w:pPr>
      <w:r w:rsidRPr="006B69AF">
        <w:rPr>
          <w:rFonts w:ascii="Calibri" w:eastAsia="Calibri" w:hAnsi="Calibri" w:cs="Calibri"/>
        </w:rPr>
        <w:t xml:space="preserve">D&amp;AD., (2010). </w:t>
      </w:r>
      <w:r w:rsidRPr="006B69AF">
        <w:rPr>
          <w:rFonts w:ascii="Calibri" w:eastAsia="Calibri" w:hAnsi="Calibri" w:cs="Calibri"/>
          <w:i/>
          <w:iCs/>
        </w:rPr>
        <w:t>Cadbury</w:t>
      </w:r>
      <w:r w:rsidRPr="006B69AF">
        <w:rPr>
          <w:rFonts w:ascii="Calibri" w:eastAsia="Calibri" w:hAnsi="Calibri" w:cs="Calibri"/>
        </w:rPr>
        <w:t xml:space="preserve"> </w:t>
      </w:r>
      <w:r w:rsidRPr="006B69AF">
        <w:rPr>
          <w:rFonts w:ascii="Calibri" w:eastAsia="Calibri" w:hAnsi="Calibri" w:cs="Calibri"/>
          <w:i/>
          <w:iCs/>
        </w:rPr>
        <w:t xml:space="preserve">Gorilla. </w:t>
      </w:r>
      <w:r w:rsidRPr="006B69AF">
        <w:rPr>
          <w:rFonts w:ascii="Calibri" w:eastAsia="Calibri" w:hAnsi="Calibri" w:cs="Calibri"/>
        </w:rPr>
        <w:t>[Online] Available at:</w:t>
      </w:r>
      <w:r w:rsidRPr="006B69AF">
        <w:rPr>
          <w:rFonts w:ascii="Calibri" w:eastAsia="Calibri" w:hAnsi="Calibri" w:cs="Calibri"/>
          <w:i/>
          <w:iCs/>
        </w:rPr>
        <w:t xml:space="preserve"> </w:t>
      </w:r>
      <w:r w:rsidRPr="006B69AF">
        <w:rPr>
          <w:rFonts w:ascii="Calibri" w:eastAsia="Calibri" w:hAnsi="Calibri" w:cs="Calibri"/>
        </w:rPr>
        <w:t xml:space="preserve"> </w:t>
      </w:r>
      <w:hyperlink r:id="rId14">
        <w:r w:rsidRPr="006B69AF">
          <w:rPr>
            <w:rStyle w:val="a8"/>
            <w:rFonts w:ascii="Calibri" w:eastAsia="Calibri" w:hAnsi="Calibri" w:cs="Calibri"/>
          </w:rPr>
          <w:t>http://www.dandad.org/en/cadbury-gorilla/</w:t>
        </w:r>
      </w:hyperlink>
      <w:r w:rsidRPr="006B69AF">
        <w:rPr>
          <w:rFonts w:ascii="Calibri" w:eastAsia="Calibri" w:hAnsi="Calibri" w:cs="Calibri"/>
        </w:rPr>
        <w:t xml:space="preserve"> [Assessed 13 Apr 2022].</w:t>
      </w:r>
    </w:p>
    <w:p w:rsidR="006B69AF" w:rsidRDefault="006B69AF" w:rsidP="006B69AF">
      <w:pPr>
        <w:pStyle w:val="a9"/>
        <w:jc w:val="both"/>
      </w:pPr>
    </w:p>
    <w:p w:rsidR="006B69AF" w:rsidRPr="006B69AF" w:rsidRDefault="006B69AF" w:rsidP="006B69AF">
      <w:pPr>
        <w:pStyle w:val="a9"/>
        <w:numPr>
          <w:ilvl w:val="0"/>
          <w:numId w:val="6"/>
        </w:numPr>
        <w:spacing w:after="0"/>
        <w:jc w:val="both"/>
        <w:rPr>
          <w:rFonts w:eastAsiaTheme="minorEastAsia"/>
        </w:rPr>
      </w:pPr>
      <w:r w:rsidRPr="006B69AF">
        <w:rPr>
          <w:rFonts w:eastAsiaTheme="minorEastAsia"/>
        </w:rPr>
        <w:t xml:space="preserve">Evans, M., (2022). </w:t>
      </w:r>
      <w:r w:rsidRPr="006B69AF">
        <w:rPr>
          <w:rFonts w:eastAsiaTheme="minorEastAsia"/>
          <w:i/>
          <w:iCs/>
        </w:rPr>
        <w:t>Cadbury’s Easter Egg Hunt 2022 allows chocoholics to hide egg anywhere in world</w:t>
      </w:r>
      <w:r w:rsidRPr="006B69AF">
        <w:rPr>
          <w:rFonts w:eastAsiaTheme="minorEastAsia"/>
        </w:rPr>
        <w:t xml:space="preserve">. [Online] Available at: </w:t>
      </w:r>
      <w:hyperlink r:id="rId15">
        <w:r w:rsidRPr="006B69AF">
          <w:rPr>
            <w:rStyle w:val="a8"/>
            <w:rFonts w:eastAsiaTheme="minorEastAsia"/>
          </w:rPr>
          <w:t>https://www.dailypost.co.uk/news/north-wales-news/cadburys-easter-egg-hunt-2022-23552042</w:t>
        </w:r>
      </w:hyperlink>
      <w:r w:rsidRPr="006B69AF">
        <w:rPr>
          <w:rFonts w:eastAsiaTheme="minorEastAsia"/>
        </w:rPr>
        <w:t xml:space="preserve">  [Accessed 13 Apr. 2022].</w:t>
      </w:r>
    </w:p>
    <w:p w:rsidR="006B69AF" w:rsidRDefault="006B69AF" w:rsidP="006B69AF">
      <w:pPr>
        <w:spacing w:after="0"/>
        <w:contextualSpacing/>
        <w:jc w:val="both"/>
        <w:rPr>
          <w:rFonts w:eastAsiaTheme="minorEastAsia"/>
          <w:color w:val="000000" w:themeColor="text1"/>
        </w:rPr>
      </w:pPr>
    </w:p>
    <w:p w:rsidR="006B69AF" w:rsidRPr="006B69AF" w:rsidRDefault="006B69AF" w:rsidP="006B69AF">
      <w:pPr>
        <w:pStyle w:val="a9"/>
        <w:numPr>
          <w:ilvl w:val="0"/>
          <w:numId w:val="6"/>
        </w:numPr>
        <w:spacing w:after="0"/>
        <w:jc w:val="both"/>
        <w:rPr>
          <w:rFonts w:eastAsiaTheme="minorEastAsia"/>
        </w:rPr>
      </w:pPr>
      <w:r w:rsidRPr="006B69AF">
        <w:rPr>
          <w:rFonts w:eastAsiaTheme="minorEastAsia"/>
        </w:rPr>
        <w:t xml:space="preserve">Gilliland, N., (2018). </w:t>
      </w:r>
      <w:r w:rsidRPr="006B69AF">
        <w:rPr>
          <w:rFonts w:eastAsiaTheme="minorEastAsia"/>
          <w:i/>
          <w:iCs/>
        </w:rPr>
        <w:t xml:space="preserve">How Cadbury is using experiential marketing to delight consumers – </w:t>
      </w:r>
      <w:proofErr w:type="spellStart"/>
      <w:r w:rsidRPr="006B69AF">
        <w:rPr>
          <w:rFonts w:eastAsiaTheme="minorEastAsia"/>
          <w:i/>
          <w:iCs/>
        </w:rPr>
        <w:t>Econsultancy</w:t>
      </w:r>
      <w:proofErr w:type="spellEnd"/>
      <w:r w:rsidRPr="006B69AF">
        <w:rPr>
          <w:rFonts w:eastAsiaTheme="minorEastAsia"/>
        </w:rPr>
        <w:t xml:space="preserve">. [Online] Available at: </w:t>
      </w:r>
      <w:hyperlink r:id="rId16">
        <w:r w:rsidRPr="006B69AF">
          <w:rPr>
            <w:rStyle w:val="a8"/>
            <w:rFonts w:eastAsiaTheme="minorEastAsia"/>
            <w:color w:val="0070C0"/>
          </w:rPr>
          <w:t>https://econsultancy.com/how-cadbury-is-using-experiential-marketing-to-delight-consumers/</w:t>
        </w:r>
      </w:hyperlink>
      <w:r w:rsidRPr="006B69AF">
        <w:rPr>
          <w:rFonts w:eastAsiaTheme="minorEastAsia"/>
          <w:color w:val="0070C0"/>
        </w:rPr>
        <w:t xml:space="preserve"> </w:t>
      </w:r>
      <w:r w:rsidRPr="006B69AF">
        <w:rPr>
          <w:rFonts w:eastAsiaTheme="minorEastAsia"/>
        </w:rPr>
        <w:t xml:space="preserve">[Accessed 9 March 2022]. </w:t>
      </w:r>
    </w:p>
    <w:p w:rsidR="006B69AF" w:rsidRDefault="006B69AF" w:rsidP="006B69AF">
      <w:pPr>
        <w:spacing w:after="0"/>
        <w:contextualSpacing/>
        <w:jc w:val="both"/>
        <w:rPr>
          <w:rFonts w:eastAsiaTheme="minorEastAsia"/>
          <w:color w:val="000000" w:themeColor="text1"/>
        </w:rPr>
      </w:pPr>
    </w:p>
    <w:p w:rsidR="006B69AF" w:rsidRPr="006B69AF" w:rsidRDefault="006B69AF" w:rsidP="006B69AF">
      <w:pPr>
        <w:pStyle w:val="a9"/>
        <w:numPr>
          <w:ilvl w:val="0"/>
          <w:numId w:val="6"/>
        </w:numPr>
        <w:rPr>
          <w:rFonts w:ascii="Calibri" w:eastAsia="Calibri" w:hAnsi="Calibri" w:cs="Calibri"/>
        </w:rPr>
      </w:pPr>
      <w:r w:rsidRPr="006B69AF">
        <w:rPr>
          <w:rFonts w:ascii="Calibri" w:eastAsia="Calibri" w:hAnsi="Calibri" w:cs="Calibri"/>
        </w:rPr>
        <w:t xml:space="preserve">Gordon, L., </w:t>
      </w:r>
      <w:proofErr w:type="spellStart"/>
      <w:r w:rsidRPr="006B69AF">
        <w:rPr>
          <w:rFonts w:ascii="Calibri" w:eastAsia="Calibri" w:hAnsi="Calibri" w:cs="Calibri"/>
        </w:rPr>
        <w:t>Calantone</w:t>
      </w:r>
      <w:proofErr w:type="spellEnd"/>
      <w:r w:rsidRPr="006B69AF">
        <w:rPr>
          <w:rFonts w:ascii="Calibri" w:eastAsia="Calibri" w:hAnsi="Calibri" w:cs="Calibri"/>
        </w:rPr>
        <w:t xml:space="preserve">, J. and di Benedetto, C., (1993). ‘Brand equity in the business-to-business sector: An exploratory study’, </w:t>
      </w:r>
      <w:r w:rsidRPr="006B69AF">
        <w:rPr>
          <w:rFonts w:ascii="Calibri" w:eastAsia="Calibri" w:hAnsi="Calibri" w:cs="Calibri"/>
          <w:i/>
          <w:iCs/>
        </w:rPr>
        <w:t>Journal of Product and Brand Management</w:t>
      </w:r>
      <w:r w:rsidRPr="006B69AF">
        <w:rPr>
          <w:rFonts w:ascii="Calibri" w:eastAsia="Calibri" w:hAnsi="Calibri" w:cs="Calibri"/>
        </w:rPr>
        <w:t>, 2(3), pp. 4-16.</w:t>
      </w:r>
    </w:p>
    <w:p w:rsidR="006B69AF" w:rsidRDefault="006B69AF" w:rsidP="006B69AF">
      <w:pPr>
        <w:spacing w:after="0"/>
        <w:contextualSpacing/>
        <w:jc w:val="both"/>
        <w:rPr>
          <w:rFonts w:eastAsiaTheme="minorEastAsia"/>
          <w:color w:val="000000" w:themeColor="text1"/>
        </w:rPr>
      </w:pPr>
    </w:p>
    <w:p w:rsidR="006B69AF" w:rsidRPr="006B69AF" w:rsidRDefault="006B69AF" w:rsidP="006B69AF">
      <w:pPr>
        <w:pStyle w:val="a9"/>
        <w:numPr>
          <w:ilvl w:val="0"/>
          <w:numId w:val="6"/>
        </w:numPr>
        <w:spacing w:after="0"/>
        <w:rPr>
          <w:rFonts w:eastAsiaTheme="minorEastAsia"/>
          <w:color w:val="000000" w:themeColor="text1"/>
        </w:rPr>
      </w:pPr>
      <w:r w:rsidRPr="006B69AF">
        <w:rPr>
          <w:rFonts w:eastAsiaTheme="minorEastAsia"/>
          <w:color w:val="000000" w:themeColor="text1"/>
        </w:rPr>
        <w:t xml:space="preserve">Hill, A., (2021). </w:t>
      </w:r>
      <w:r w:rsidRPr="006B69AF">
        <w:rPr>
          <w:rFonts w:eastAsiaTheme="minorEastAsia"/>
          <w:i/>
          <w:iCs/>
          <w:color w:val="000000" w:themeColor="text1"/>
        </w:rPr>
        <w:t>Cadbury’s Claire Low: Why creativity and practicality matter for brand experiences</w:t>
      </w:r>
      <w:r>
        <w:rPr>
          <w:rFonts w:eastAsiaTheme="minorEastAsia"/>
          <w:color w:val="000000" w:themeColor="text1"/>
        </w:rPr>
        <w:t xml:space="preserve">. [Online] Available at: </w:t>
      </w:r>
      <w:hyperlink r:id="rId17">
        <w:r w:rsidRPr="006B69AF">
          <w:rPr>
            <w:rStyle w:val="a8"/>
            <w:rFonts w:eastAsiaTheme="minorEastAsia"/>
          </w:rPr>
          <w:t>https://www.warc.com/newsandopinion/opinion/cadburys-claire-low-why-creativity-and-practicality-matter-for-brand-experiences/en-gb/4448</w:t>
        </w:r>
      </w:hyperlink>
      <w:r w:rsidRPr="006B69AF">
        <w:rPr>
          <w:rFonts w:eastAsiaTheme="minorEastAsia"/>
          <w:color w:val="000000" w:themeColor="text1"/>
        </w:rPr>
        <w:t xml:space="preserve">  [Accessed 13 April 2022].</w:t>
      </w:r>
    </w:p>
    <w:p w:rsidR="006B69AF" w:rsidRDefault="006B69AF" w:rsidP="006B69AF">
      <w:pPr>
        <w:spacing w:after="0"/>
        <w:contextualSpacing/>
        <w:jc w:val="both"/>
        <w:rPr>
          <w:rFonts w:eastAsiaTheme="minorEastAsia"/>
          <w:color w:val="000000" w:themeColor="text1"/>
        </w:rPr>
      </w:pPr>
    </w:p>
    <w:p w:rsidR="006B69AF" w:rsidRPr="006B69AF" w:rsidRDefault="006B69AF" w:rsidP="006B69AF">
      <w:pPr>
        <w:pStyle w:val="a9"/>
        <w:numPr>
          <w:ilvl w:val="0"/>
          <w:numId w:val="6"/>
        </w:numPr>
        <w:spacing w:after="0"/>
        <w:jc w:val="both"/>
        <w:rPr>
          <w:rFonts w:eastAsiaTheme="minorEastAsia"/>
          <w:color w:val="1C1D1E"/>
        </w:rPr>
      </w:pPr>
      <w:r w:rsidRPr="006B69AF">
        <w:rPr>
          <w:rFonts w:eastAsiaTheme="minorEastAsia"/>
          <w:color w:val="1C1D1E"/>
        </w:rPr>
        <w:t xml:space="preserve">Johnson, R. and Schultz, E., (2004). ‘A focus on </w:t>
      </w:r>
      <w:bookmarkStart w:id="50" w:name="_Int_4AzpYlaP"/>
      <w:r w:rsidRPr="006B69AF">
        <w:rPr>
          <w:rFonts w:eastAsiaTheme="minorEastAsia"/>
          <w:color w:val="1C1D1E"/>
        </w:rPr>
        <w:t>customers’</w:t>
      </w:r>
      <w:bookmarkEnd w:id="50"/>
      <w:r w:rsidRPr="006B69AF">
        <w:rPr>
          <w:rFonts w:eastAsiaTheme="minorEastAsia"/>
          <w:color w:val="1C1D1E"/>
        </w:rPr>
        <w:t xml:space="preserve">. </w:t>
      </w:r>
      <w:r w:rsidRPr="006B69AF">
        <w:rPr>
          <w:rFonts w:eastAsiaTheme="minorEastAsia"/>
          <w:i/>
          <w:iCs/>
          <w:color w:val="1C1D1E"/>
        </w:rPr>
        <w:t>Marketing Management</w:t>
      </w:r>
      <w:r w:rsidRPr="006B69AF">
        <w:rPr>
          <w:rFonts w:eastAsiaTheme="minorEastAsia"/>
          <w:color w:val="1C1D1E"/>
        </w:rPr>
        <w:t>, 13 (5), 21– 26.</w:t>
      </w:r>
    </w:p>
    <w:p w:rsidR="006B69AF" w:rsidRDefault="006B69AF" w:rsidP="006B69AF">
      <w:pPr>
        <w:spacing w:after="0"/>
        <w:contextualSpacing/>
        <w:jc w:val="both"/>
        <w:rPr>
          <w:rFonts w:eastAsiaTheme="minorEastAsia"/>
          <w:color w:val="000000" w:themeColor="text1"/>
        </w:rPr>
      </w:pPr>
    </w:p>
    <w:p w:rsidR="006B69AF" w:rsidRPr="006B69AF" w:rsidRDefault="006B69AF" w:rsidP="006B69AF">
      <w:pPr>
        <w:pStyle w:val="a9"/>
        <w:numPr>
          <w:ilvl w:val="0"/>
          <w:numId w:val="6"/>
        </w:numPr>
        <w:spacing w:after="0"/>
        <w:jc w:val="both"/>
        <w:rPr>
          <w:rFonts w:eastAsiaTheme="minorEastAsia"/>
        </w:rPr>
      </w:pPr>
      <w:proofErr w:type="spellStart"/>
      <w:r w:rsidRPr="006B69AF">
        <w:rPr>
          <w:rFonts w:eastAsiaTheme="minorEastAsia"/>
        </w:rPr>
        <w:t>Karimi</w:t>
      </w:r>
      <w:proofErr w:type="spellEnd"/>
      <w:r w:rsidRPr="006B69AF">
        <w:rPr>
          <w:rFonts w:eastAsiaTheme="minorEastAsia"/>
        </w:rPr>
        <w:t xml:space="preserve">, S., </w:t>
      </w:r>
      <w:proofErr w:type="spellStart"/>
      <w:r w:rsidRPr="006B69AF">
        <w:rPr>
          <w:rFonts w:eastAsiaTheme="minorEastAsia"/>
        </w:rPr>
        <w:t>Papamichail</w:t>
      </w:r>
      <w:proofErr w:type="spellEnd"/>
      <w:r w:rsidRPr="006B69AF">
        <w:rPr>
          <w:rFonts w:eastAsiaTheme="minorEastAsia"/>
        </w:rPr>
        <w:t xml:space="preserve">, N., and Holland, P., (2015). ‘The effect of prior knowledge and decision-making style on the online purchase decision-making process: A typology of consumer shopping behaviour’, </w:t>
      </w:r>
      <w:r w:rsidRPr="006B69AF">
        <w:rPr>
          <w:rFonts w:eastAsiaTheme="minorEastAsia"/>
          <w:i/>
          <w:iCs/>
        </w:rPr>
        <w:t>Decision support systems</w:t>
      </w:r>
      <w:r w:rsidRPr="006B69AF">
        <w:rPr>
          <w:rFonts w:eastAsiaTheme="minorEastAsia"/>
        </w:rPr>
        <w:t>, 77 (167-9236), pp. 137-147.</w:t>
      </w:r>
    </w:p>
    <w:p w:rsidR="006B69AF" w:rsidRDefault="006B69AF" w:rsidP="006B69AF">
      <w:pPr>
        <w:spacing w:after="0"/>
        <w:contextualSpacing/>
        <w:jc w:val="both"/>
        <w:rPr>
          <w:rFonts w:eastAsiaTheme="minorEastAsia"/>
        </w:rPr>
      </w:pPr>
    </w:p>
    <w:p w:rsidR="006B69AF" w:rsidRDefault="006B69AF" w:rsidP="006B69AF">
      <w:pPr>
        <w:spacing w:after="0"/>
        <w:contextualSpacing/>
        <w:jc w:val="both"/>
        <w:rPr>
          <w:rFonts w:eastAsiaTheme="minorEastAsia"/>
        </w:rPr>
      </w:pPr>
    </w:p>
    <w:p w:rsidR="006B69AF" w:rsidRPr="006B69AF" w:rsidRDefault="006B69AF" w:rsidP="006B69AF">
      <w:pPr>
        <w:pStyle w:val="a9"/>
        <w:numPr>
          <w:ilvl w:val="0"/>
          <w:numId w:val="6"/>
        </w:numPr>
        <w:spacing w:after="0"/>
        <w:jc w:val="both"/>
        <w:rPr>
          <w:rFonts w:ascii="Calibri" w:eastAsia="Calibri" w:hAnsi="Calibri" w:cs="Calibri"/>
        </w:rPr>
      </w:pPr>
      <w:r w:rsidRPr="006B69AF">
        <w:rPr>
          <w:rFonts w:ascii="Calibri" w:eastAsia="Calibri" w:hAnsi="Calibri" w:cs="Calibri"/>
        </w:rPr>
        <w:lastRenderedPageBreak/>
        <w:t>Keller, K., (2003). Strategic Brand Management: Building, Measuring and Managing Brand Equity. Upper Saddle River, New Jersey, Prentice Hall.</w:t>
      </w:r>
    </w:p>
    <w:p w:rsidR="006B69AF" w:rsidRDefault="006B69AF" w:rsidP="006B69AF">
      <w:pPr>
        <w:spacing w:after="0"/>
        <w:contextualSpacing/>
        <w:jc w:val="both"/>
        <w:rPr>
          <w:rFonts w:eastAsiaTheme="minorEastAsia"/>
          <w:color w:val="000000" w:themeColor="text1"/>
        </w:rPr>
      </w:pPr>
    </w:p>
    <w:p w:rsidR="006B69AF" w:rsidRPr="00C927E8" w:rsidRDefault="006B69AF" w:rsidP="00C927E8">
      <w:pPr>
        <w:pStyle w:val="a9"/>
        <w:numPr>
          <w:ilvl w:val="0"/>
          <w:numId w:val="6"/>
        </w:numPr>
        <w:spacing w:after="0"/>
        <w:jc w:val="both"/>
        <w:rPr>
          <w:rFonts w:ascii="Calibri" w:eastAsia="Calibri" w:hAnsi="Calibri" w:cs="Calibri"/>
        </w:rPr>
      </w:pPr>
      <w:r w:rsidRPr="00C927E8">
        <w:rPr>
          <w:rFonts w:eastAsiaTheme="minorEastAsia"/>
        </w:rPr>
        <w:t xml:space="preserve">Kotler, P., (2000). </w:t>
      </w:r>
      <w:r w:rsidRPr="00C927E8">
        <w:rPr>
          <w:rFonts w:eastAsiaTheme="minorEastAsia"/>
          <w:i/>
          <w:iCs/>
        </w:rPr>
        <w:t>Marketing Management</w:t>
      </w:r>
      <w:r w:rsidRPr="00C927E8">
        <w:rPr>
          <w:rFonts w:eastAsiaTheme="minorEastAsia"/>
        </w:rPr>
        <w:t xml:space="preserve">. </w:t>
      </w:r>
      <w:r w:rsidRPr="00C927E8">
        <w:rPr>
          <w:rFonts w:ascii="Calibri" w:eastAsia="Calibri" w:hAnsi="Calibri" w:cs="Calibri"/>
        </w:rPr>
        <w:t>Upper Saddle River, New Jersey, Prentice Hall.</w:t>
      </w:r>
    </w:p>
    <w:p w:rsidR="006B69AF" w:rsidRDefault="006B69AF" w:rsidP="006B69AF">
      <w:pPr>
        <w:spacing w:after="0"/>
        <w:contextualSpacing/>
        <w:jc w:val="both"/>
        <w:rPr>
          <w:rFonts w:eastAsiaTheme="minorEastAsia"/>
          <w:color w:val="000000" w:themeColor="text1"/>
        </w:rPr>
      </w:pPr>
    </w:p>
    <w:p w:rsidR="006B69AF" w:rsidRPr="00C927E8" w:rsidRDefault="006B69AF" w:rsidP="00C927E8">
      <w:pPr>
        <w:pStyle w:val="a9"/>
        <w:numPr>
          <w:ilvl w:val="0"/>
          <w:numId w:val="6"/>
        </w:numPr>
        <w:spacing w:after="0"/>
        <w:jc w:val="both"/>
        <w:rPr>
          <w:rFonts w:eastAsiaTheme="minorEastAsia"/>
        </w:rPr>
      </w:pPr>
      <w:r w:rsidRPr="00C927E8">
        <w:rPr>
          <w:rFonts w:eastAsiaTheme="minorEastAsia"/>
        </w:rPr>
        <w:t xml:space="preserve">Littlejohn, W., and Foss, A., (2009). </w:t>
      </w:r>
      <w:r w:rsidRPr="00C927E8">
        <w:rPr>
          <w:rFonts w:eastAsiaTheme="minorEastAsia"/>
          <w:i/>
          <w:iCs/>
        </w:rPr>
        <w:t>Encyclopedia of communication theory</w:t>
      </w:r>
      <w:r w:rsidRPr="00C927E8">
        <w:rPr>
          <w:rFonts w:eastAsiaTheme="minorEastAsia"/>
        </w:rPr>
        <w:t xml:space="preserve"> (Vol. 1). London: Sage.</w:t>
      </w:r>
    </w:p>
    <w:p w:rsidR="006B69AF" w:rsidRDefault="006B69AF" w:rsidP="006B69AF">
      <w:pPr>
        <w:spacing w:after="0"/>
        <w:contextualSpacing/>
        <w:jc w:val="both"/>
        <w:rPr>
          <w:rFonts w:eastAsiaTheme="minorEastAsia"/>
          <w:color w:val="000000" w:themeColor="text1"/>
        </w:rPr>
      </w:pPr>
    </w:p>
    <w:p w:rsidR="006B69AF" w:rsidRPr="00C927E8" w:rsidRDefault="006B69AF" w:rsidP="00C927E8">
      <w:pPr>
        <w:pStyle w:val="a9"/>
        <w:numPr>
          <w:ilvl w:val="0"/>
          <w:numId w:val="6"/>
        </w:numPr>
        <w:spacing w:after="0"/>
        <w:jc w:val="both"/>
        <w:rPr>
          <w:rFonts w:eastAsiaTheme="minorEastAsia"/>
        </w:rPr>
      </w:pPr>
      <w:r w:rsidRPr="00C927E8">
        <w:rPr>
          <w:rFonts w:eastAsiaTheme="minorEastAsia"/>
        </w:rPr>
        <w:t xml:space="preserve">McIlroy, A. and Barnett, S., (2000). ‘Building Customer Relationships: Do Discount Cards Work?’, </w:t>
      </w:r>
      <w:r w:rsidRPr="00C927E8">
        <w:rPr>
          <w:rFonts w:eastAsiaTheme="minorEastAsia"/>
          <w:i/>
          <w:iCs/>
        </w:rPr>
        <w:t>Managing Service Quality</w:t>
      </w:r>
      <w:r w:rsidRPr="00C927E8">
        <w:rPr>
          <w:rFonts w:eastAsiaTheme="minorEastAsia"/>
        </w:rPr>
        <w:t>, 10 (6), pp. 347-355.</w:t>
      </w:r>
    </w:p>
    <w:p w:rsidR="006B69AF" w:rsidRDefault="006B69AF" w:rsidP="006B69AF">
      <w:pPr>
        <w:spacing w:after="0"/>
        <w:contextualSpacing/>
        <w:jc w:val="both"/>
        <w:rPr>
          <w:rFonts w:eastAsiaTheme="minorEastAsia"/>
          <w:color w:val="000000" w:themeColor="text1"/>
        </w:rPr>
      </w:pPr>
    </w:p>
    <w:p w:rsidR="006B69AF" w:rsidRPr="00C927E8" w:rsidRDefault="006B69AF" w:rsidP="00C927E8">
      <w:pPr>
        <w:pStyle w:val="a9"/>
        <w:numPr>
          <w:ilvl w:val="0"/>
          <w:numId w:val="6"/>
        </w:numPr>
        <w:spacing w:after="0"/>
        <w:jc w:val="both"/>
        <w:rPr>
          <w:rFonts w:eastAsiaTheme="minorEastAsia"/>
          <w:color w:val="1C1D1E"/>
        </w:rPr>
      </w:pPr>
      <w:r w:rsidRPr="00C927E8">
        <w:rPr>
          <w:rFonts w:eastAsiaTheme="minorEastAsia"/>
          <w:color w:val="1C1D1E"/>
        </w:rPr>
        <w:t xml:space="preserve">McGrath, M., (2005b). ‘A pilot study testing aspect of the integrated marketing communications concept.’ </w:t>
      </w:r>
      <w:r w:rsidRPr="00C927E8">
        <w:rPr>
          <w:rFonts w:eastAsiaTheme="minorEastAsia"/>
          <w:i/>
          <w:iCs/>
          <w:color w:val="1C1D1E"/>
        </w:rPr>
        <w:t>Journal of Marketing Communications</w:t>
      </w:r>
      <w:r w:rsidRPr="00C927E8">
        <w:rPr>
          <w:rFonts w:eastAsiaTheme="minorEastAsia"/>
          <w:color w:val="1C1D1E"/>
        </w:rPr>
        <w:t>, 11 (3), 1– 20.</w:t>
      </w:r>
    </w:p>
    <w:p w:rsidR="006B69AF" w:rsidRDefault="006B69AF" w:rsidP="006B69AF">
      <w:pPr>
        <w:spacing w:after="0"/>
        <w:contextualSpacing/>
        <w:jc w:val="both"/>
        <w:rPr>
          <w:rFonts w:eastAsiaTheme="minorEastAsia"/>
          <w:color w:val="000000" w:themeColor="text1"/>
        </w:rPr>
      </w:pPr>
    </w:p>
    <w:p w:rsidR="006B69AF" w:rsidRPr="00C927E8" w:rsidRDefault="006B69AF" w:rsidP="006B69AF">
      <w:pPr>
        <w:pStyle w:val="a9"/>
        <w:numPr>
          <w:ilvl w:val="0"/>
          <w:numId w:val="6"/>
        </w:numPr>
        <w:jc w:val="both"/>
        <w:rPr>
          <w:rFonts w:ascii="Calibri" w:eastAsia="Calibri" w:hAnsi="Calibri" w:cs="Calibri"/>
          <w:color w:val="000000" w:themeColor="text1"/>
        </w:rPr>
      </w:pPr>
      <w:proofErr w:type="spellStart"/>
      <w:r w:rsidRPr="00C927E8">
        <w:rPr>
          <w:rFonts w:ascii="Calibri" w:eastAsia="Calibri" w:hAnsi="Calibri" w:cs="Calibri"/>
          <w:color w:val="000000" w:themeColor="text1"/>
        </w:rPr>
        <w:t>Michell</w:t>
      </w:r>
      <w:proofErr w:type="spellEnd"/>
      <w:r w:rsidRPr="00C927E8">
        <w:rPr>
          <w:rFonts w:ascii="Calibri" w:eastAsia="Calibri" w:hAnsi="Calibri" w:cs="Calibri"/>
          <w:color w:val="000000" w:themeColor="text1"/>
        </w:rPr>
        <w:t xml:space="preserve">, P., King, J. and </w:t>
      </w:r>
      <w:proofErr w:type="spellStart"/>
      <w:r w:rsidRPr="00C927E8">
        <w:rPr>
          <w:rFonts w:ascii="Calibri" w:eastAsia="Calibri" w:hAnsi="Calibri" w:cs="Calibri"/>
          <w:color w:val="000000" w:themeColor="text1"/>
        </w:rPr>
        <w:t>Reast</w:t>
      </w:r>
      <w:proofErr w:type="spellEnd"/>
      <w:r w:rsidRPr="00C927E8">
        <w:rPr>
          <w:rFonts w:ascii="Calibri" w:eastAsia="Calibri" w:hAnsi="Calibri" w:cs="Calibri"/>
          <w:color w:val="000000" w:themeColor="text1"/>
        </w:rPr>
        <w:t xml:space="preserve">, J., (2001). ‘Brand values related to industrial products’, </w:t>
      </w:r>
      <w:r w:rsidRPr="00C927E8">
        <w:rPr>
          <w:rFonts w:ascii="Calibri" w:eastAsia="Calibri" w:hAnsi="Calibri" w:cs="Calibri"/>
          <w:i/>
          <w:iCs/>
          <w:color w:val="000000" w:themeColor="text1"/>
        </w:rPr>
        <w:t>Industrial Marketing Management</w:t>
      </w:r>
      <w:r w:rsidRPr="00C927E8">
        <w:rPr>
          <w:rFonts w:ascii="Calibri" w:eastAsia="Calibri" w:hAnsi="Calibri" w:cs="Calibri"/>
          <w:color w:val="000000" w:themeColor="text1"/>
        </w:rPr>
        <w:t>, 30(5), pp. 415-425.</w:t>
      </w:r>
    </w:p>
    <w:p w:rsidR="006B69AF" w:rsidRDefault="006B69AF" w:rsidP="006B69AF">
      <w:pPr>
        <w:spacing w:after="0"/>
        <w:contextualSpacing/>
        <w:jc w:val="both"/>
        <w:rPr>
          <w:rFonts w:eastAsiaTheme="minorEastAsia"/>
          <w:color w:val="000000" w:themeColor="text1"/>
        </w:rPr>
      </w:pPr>
    </w:p>
    <w:p w:rsidR="00C927E8" w:rsidRDefault="006B69AF" w:rsidP="00C927E8">
      <w:pPr>
        <w:pStyle w:val="a9"/>
        <w:numPr>
          <w:ilvl w:val="0"/>
          <w:numId w:val="6"/>
        </w:numPr>
        <w:jc w:val="both"/>
        <w:rPr>
          <w:rFonts w:ascii="Calibri" w:eastAsia="Calibri" w:hAnsi="Calibri" w:cs="Calibri"/>
        </w:rPr>
      </w:pPr>
      <w:r w:rsidRPr="00C927E8">
        <w:rPr>
          <w:rFonts w:ascii="Calibri" w:eastAsia="Calibri" w:hAnsi="Calibri" w:cs="Calibri"/>
        </w:rPr>
        <w:t xml:space="preserve">Moth, D., (2012). </w:t>
      </w:r>
      <w:r w:rsidRPr="00C927E8">
        <w:rPr>
          <w:rFonts w:ascii="Calibri" w:eastAsia="Calibri" w:hAnsi="Calibri" w:cs="Calibri"/>
          <w:i/>
          <w:iCs/>
        </w:rPr>
        <w:t>Cadbury’s shift to social means no more drumming gorillas.</w:t>
      </w:r>
      <w:r w:rsidRPr="00C927E8">
        <w:rPr>
          <w:rFonts w:ascii="Calibri" w:eastAsia="Calibri" w:hAnsi="Calibri" w:cs="Calibri"/>
        </w:rPr>
        <w:t xml:space="preserve"> [Online]Available at: </w:t>
      </w:r>
      <w:hyperlink r:id="rId18">
        <w:r w:rsidRPr="00C927E8">
          <w:rPr>
            <w:rStyle w:val="a8"/>
            <w:rFonts w:ascii="Calibri" w:eastAsia="Calibri" w:hAnsi="Calibri" w:cs="Calibri"/>
          </w:rPr>
          <w:t>https://econsultancy.com/blog/10370-cadbury-s-shift-to-social-means-no-more-drumming-gorillas</w:t>
        </w:r>
      </w:hyperlink>
      <w:r w:rsidRPr="00C927E8">
        <w:rPr>
          <w:rFonts w:ascii="Calibri" w:eastAsia="Calibri" w:hAnsi="Calibri" w:cs="Calibri"/>
        </w:rPr>
        <w:t xml:space="preserve"> [Assessed 13 Apr 2022].</w:t>
      </w:r>
    </w:p>
    <w:p w:rsidR="00C927E8" w:rsidRPr="00C927E8" w:rsidRDefault="00C927E8" w:rsidP="00C927E8">
      <w:pPr>
        <w:pStyle w:val="a9"/>
        <w:rPr>
          <w:rFonts w:ascii="Calibri" w:eastAsia="Calibri" w:hAnsi="Calibri" w:cs="Calibri"/>
        </w:rPr>
      </w:pPr>
    </w:p>
    <w:p w:rsidR="00C927E8" w:rsidRPr="00C927E8" w:rsidRDefault="00C927E8" w:rsidP="00C927E8">
      <w:pPr>
        <w:pStyle w:val="a9"/>
        <w:jc w:val="both"/>
        <w:rPr>
          <w:rFonts w:ascii="Calibri" w:eastAsia="Calibri" w:hAnsi="Calibri" w:cs="Calibri"/>
        </w:rPr>
      </w:pPr>
    </w:p>
    <w:p w:rsidR="006B69AF" w:rsidRPr="00C927E8" w:rsidRDefault="006B69AF" w:rsidP="00C927E8">
      <w:pPr>
        <w:pStyle w:val="a9"/>
        <w:numPr>
          <w:ilvl w:val="0"/>
          <w:numId w:val="6"/>
        </w:numPr>
        <w:spacing w:after="0"/>
        <w:jc w:val="both"/>
        <w:rPr>
          <w:rFonts w:eastAsiaTheme="minorEastAsia"/>
          <w:color w:val="1C1D1E"/>
        </w:rPr>
      </w:pPr>
      <w:proofErr w:type="spellStart"/>
      <w:r w:rsidRPr="00C927E8">
        <w:rPr>
          <w:rFonts w:eastAsiaTheme="minorEastAsia"/>
          <w:color w:val="1C1D1E"/>
        </w:rPr>
        <w:t>Ratnatunga</w:t>
      </w:r>
      <w:proofErr w:type="spellEnd"/>
      <w:r w:rsidRPr="00C927E8">
        <w:rPr>
          <w:rFonts w:eastAsiaTheme="minorEastAsia"/>
          <w:color w:val="1C1D1E"/>
        </w:rPr>
        <w:t xml:space="preserve">, J. and Ewing, M., (2005). ‘The brand capability value of integrated marketing communication (IMC)’. </w:t>
      </w:r>
      <w:r w:rsidRPr="00C927E8">
        <w:rPr>
          <w:rFonts w:eastAsiaTheme="minorEastAsia"/>
          <w:i/>
          <w:iCs/>
          <w:color w:val="1C1D1E"/>
        </w:rPr>
        <w:t>Journal of Advertising</w:t>
      </w:r>
      <w:r w:rsidRPr="00C927E8">
        <w:rPr>
          <w:rFonts w:eastAsiaTheme="minorEastAsia"/>
          <w:color w:val="1C1D1E"/>
        </w:rPr>
        <w:t>, 34 (4), 25– 40.</w:t>
      </w:r>
    </w:p>
    <w:p w:rsidR="006B69AF" w:rsidRDefault="006B69AF" w:rsidP="006B69AF">
      <w:pPr>
        <w:spacing w:after="0"/>
        <w:contextualSpacing/>
        <w:jc w:val="both"/>
        <w:rPr>
          <w:rFonts w:eastAsiaTheme="minorEastAsia"/>
          <w:color w:val="000000" w:themeColor="text1"/>
        </w:rPr>
      </w:pPr>
    </w:p>
    <w:p w:rsidR="006B69AF" w:rsidRPr="00C927E8" w:rsidRDefault="006B69AF" w:rsidP="00C927E8">
      <w:pPr>
        <w:pStyle w:val="a9"/>
        <w:numPr>
          <w:ilvl w:val="0"/>
          <w:numId w:val="6"/>
        </w:numPr>
        <w:spacing w:after="0"/>
        <w:jc w:val="both"/>
        <w:rPr>
          <w:rFonts w:eastAsiaTheme="minorEastAsia"/>
          <w:color w:val="1C1D1E"/>
        </w:rPr>
      </w:pPr>
      <w:r w:rsidRPr="00C927E8">
        <w:rPr>
          <w:rFonts w:eastAsiaTheme="minorEastAsia"/>
          <w:color w:val="1C1D1E"/>
        </w:rPr>
        <w:t xml:space="preserve">Reid, M., (2003). ‘IMC-performance relationship: further insight and evidence from the Australian marketplace.’ </w:t>
      </w:r>
      <w:r w:rsidRPr="00C927E8">
        <w:rPr>
          <w:rFonts w:eastAsiaTheme="minorEastAsia"/>
          <w:i/>
          <w:iCs/>
          <w:color w:val="1C1D1E"/>
        </w:rPr>
        <w:t>International Journal of Advertising</w:t>
      </w:r>
      <w:r w:rsidRPr="00C927E8">
        <w:rPr>
          <w:rFonts w:eastAsiaTheme="minorEastAsia"/>
          <w:color w:val="1C1D1E"/>
        </w:rPr>
        <w:t>, 22 (2), 227– 248.</w:t>
      </w:r>
    </w:p>
    <w:p w:rsidR="006B69AF" w:rsidRDefault="006B69AF" w:rsidP="006B69AF">
      <w:pPr>
        <w:spacing w:after="0"/>
        <w:contextualSpacing/>
        <w:jc w:val="both"/>
        <w:rPr>
          <w:rFonts w:eastAsiaTheme="minorEastAsia"/>
          <w:color w:val="000000" w:themeColor="text1"/>
        </w:rPr>
      </w:pPr>
    </w:p>
    <w:p w:rsidR="14B54AD0" w:rsidRPr="00C927E8" w:rsidRDefault="573A2B54" w:rsidP="00C927E8">
      <w:pPr>
        <w:pStyle w:val="a9"/>
        <w:numPr>
          <w:ilvl w:val="0"/>
          <w:numId w:val="6"/>
        </w:numPr>
        <w:spacing w:after="0"/>
        <w:jc w:val="both"/>
        <w:rPr>
          <w:rFonts w:eastAsiaTheme="minorEastAsia"/>
        </w:rPr>
      </w:pPr>
      <w:r w:rsidRPr="00C927E8">
        <w:rPr>
          <w:rFonts w:eastAsiaTheme="minorEastAsia"/>
        </w:rPr>
        <w:t xml:space="preserve">Shannon, C., (1948). ‘A Mathematical Theory of Communication’. </w:t>
      </w:r>
      <w:r w:rsidRPr="00C927E8">
        <w:rPr>
          <w:rFonts w:eastAsiaTheme="minorEastAsia"/>
          <w:i/>
          <w:iCs/>
        </w:rPr>
        <w:t>The Bell System Technical Journal</w:t>
      </w:r>
      <w:r w:rsidRPr="00C927E8">
        <w:rPr>
          <w:rFonts w:eastAsiaTheme="minorEastAsia"/>
        </w:rPr>
        <w:t xml:space="preserve">, </w:t>
      </w:r>
      <w:r w:rsidRPr="00C927E8">
        <w:rPr>
          <w:rFonts w:eastAsiaTheme="minorEastAsia"/>
          <w:i/>
          <w:iCs/>
        </w:rPr>
        <w:t>27</w:t>
      </w:r>
      <w:r w:rsidRPr="00C927E8">
        <w:rPr>
          <w:rFonts w:eastAsiaTheme="minorEastAsia"/>
        </w:rPr>
        <w:t xml:space="preserve">(1): 379-423. </w:t>
      </w:r>
    </w:p>
    <w:p w:rsidR="14B54AD0" w:rsidRDefault="14B54AD0" w:rsidP="659037A2">
      <w:pPr>
        <w:spacing w:after="0"/>
        <w:contextualSpacing/>
        <w:jc w:val="both"/>
        <w:rPr>
          <w:rFonts w:eastAsiaTheme="minorEastAsia"/>
        </w:rPr>
      </w:pPr>
    </w:p>
    <w:p w:rsidR="006B69AF" w:rsidRPr="00C927E8" w:rsidRDefault="006B69AF" w:rsidP="006B69AF">
      <w:pPr>
        <w:pStyle w:val="a9"/>
        <w:numPr>
          <w:ilvl w:val="0"/>
          <w:numId w:val="6"/>
        </w:numPr>
        <w:rPr>
          <w:rFonts w:ascii="Calibri" w:eastAsia="Calibri" w:hAnsi="Calibri" w:cs="Calibri"/>
          <w:color w:val="000000" w:themeColor="text1"/>
        </w:rPr>
      </w:pPr>
      <w:proofErr w:type="spellStart"/>
      <w:r w:rsidRPr="00C927E8">
        <w:rPr>
          <w:rFonts w:ascii="Calibri" w:eastAsia="Calibri" w:hAnsi="Calibri" w:cs="Calibri"/>
          <w:color w:val="000000" w:themeColor="text1"/>
        </w:rPr>
        <w:t>Selnes</w:t>
      </w:r>
      <w:proofErr w:type="spellEnd"/>
      <w:r w:rsidRPr="00C927E8">
        <w:rPr>
          <w:rFonts w:ascii="Calibri" w:eastAsia="Calibri" w:hAnsi="Calibri" w:cs="Calibri"/>
          <w:color w:val="000000" w:themeColor="text1"/>
        </w:rPr>
        <w:t xml:space="preserve">, F., (1993). ‘An examination of the effect of product performance on brand reputation, satisfaction and loyalty’, </w:t>
      </w:r>
      <w:r w:rsidRPr="00C927E8">
        <w:rPr>
          <w:rFonts w:ascii="Calibri" w:eastAsia="Calibri" w:hAnsi="Calibri" w:cs="Calibri"/>
          <w:i/>
          <w:iCs/>
          <w:color w:val="000000" w:themeColor="text1"/>
        </w:rPr>
        <w:t>European Journal of Marketing</w:t>
      </w:r>
      <w:r w:rsidRPr="00C927E8">
        <w:rPr>
          <w:rFonts w:ascii="Calibri" w:eastAsia="Calibri" w:hAnsi="Calibri" w:cs="Calibri"/>
          <w:color w:val="000000" w:themeColor="text1"/>
        </w:rPr>
        <w:t>, 27 (9), pp. 19-35.</w:t>
      </w:r>
    </w:p>
    <w:p w:rsidR="51D22FD5" w:rsidRDefault="51D22FD5" w:rsidP="659037A2">
      <w:pPr>
        <w:spacing w:after="0"/>
        <w:contextualSpacing/>
        <w:jc w:val="both"/>
        <w:rPr>
          <w:rFonts w:eastAsiaTheme="minorEastAsia"/>
        </w:rPr>
      </w:pPr>
    </w:p>
    <w:p w:rsidR="51D22FD5" w:rsidRPr="00C927E8" w:rsidRDefault="006B69AF" w:rsidP="00C927E8">
      <w:pPr>
        <w:pStyle w:val="a9"/>
        <w:numPr>
          <w:ilvl w:val="0"/>
          <w:numId w:val="6"/>
        </w:numPr>
        <w:spacing w:after="0"/>
        <w:jc w:val="both"/>
        <w:rPr>
          <w:rFonts w:eastAsiaTheme="minorEastAsia"/>
        </w:rPr>
      </w:pPr>
      <w:r w:rsidRPr="00C927E8">
        <w:rPr>
          <w:rFonts w:eastAsiaTheme="minorEastAsia"/>
        </w:rPr>
        <w:t xml:space="preserve">The Cadbury Chocolatier., (2012). </w:t>
      </w:r>
      <w:r w:rsidRPr="00C927E8">
        <w:rPr>
          <w:rFonts w:eastAsiaTheme="minorEastAsia"/>
          <w:i/>
          <w:iCs/>
        </w:rPr>
        <w:t>CBBE Pyramid</w:t>
      </w:r>
      <w:r w:rsidRPr="00C927E8">
        <w:rPr>
          <w:rFonts w:eastAsiaTheme="minorEastAsia"/>
        </w:rPr>
        <w:t xml:space="preserve">. [Online] Available at: </w:t>
      </w:r>
      <w:hyperlink r:id="rId19">
        <w:r w:rsidRPr="00C927E8">
          <w:rPr>
            <w:rStyle w:val="a8"/>
            <w:rFonts w:eastAsiaTheme="minorEastAsia"/>
            <w:color w:val="auto"/>
          </w:rPr>
          <w:t>https://thecadburychocolatier.wordpress.com/cbbe-pyramid/</w:t>
        </w:r>
      </w:hyperlink>
      <w:r w:rsidRPr="00C927E8">
        <w:rPr>
          <w:rFonts w:eastAsiaTheme="minorEastAsia"/>
        </w:rPr>
        <w:t xml:space="preserve"> [Assessed 23 March 2022].</w:t>
      </w:r>
    </w:p>
    <w:p w:rsidR="64B0BAAA" w:rsidRDefault="64B0BAAA" w:rsidP="659037A2">
      <w:pPr>
        <w:spacing w:after="0"/>
        <w:contextualSpacing/>
        <w:jc w:val="both"/>
        <w:rPr>
          <w:rFonts w:eastAsiaTheme="minorEastAsia"/>
          <w:color w:val="1C1D1E"/>
        </w:rPr>
      </w:pPr>
    </w:p>
    <w:p w:rsidR="64B0BAAA" w:rsidRPr="00C927E8" w:rsidRDefault="64B0BAAA" w:rsidP="00C927E8">
      <w:pPr>
        <w:pStyle w:val="a9"/>
        <w:numPr>
          <w:ilvl w:val="0"/>
          <w:numId w:val="6"/>
        </w:numPr>
        <w:spacing w:after="0"/>
        <w:jc w:val="both"/>
        <w:rPr>
          <w:rFonts w:eastAsiaTheme="minorEastAsia"/>
          <w:color w:val="000000" w:themeColor="text1"/>
        </w:rPr>
      </w:pPr>
      <w:r w:rsidRPr="00C927E8">
        <w:rPr>
          <w:rFonts w:eastAsiaTheme="minorEastAsia"/>
          <w:color w:val="000000" w:themeColor="text1"/>
        </w:rPr>
        <w:t xml:space="preserve">Visser, M., (2017). </w:t>
      </w:r>
      <w:r w:rsidRPr="00C927E8">
        <w:rPr>
          <w:rFonts w:eastAsiaTheme="minorEastAsia"/>
          <w:i/>
          <w:iCs/>
          <w:color w:val="000000" w:themeColor="text1"/>
        </w:rPr>
        <w:t>Learn Customer Journey Mapping… in 7 Bookmarks</w:t>
      </w:r>
      <w:r w:rsidRPr="00C927E8">
        <w:rPr>
          <w:rFonts w:eastAsiaTheme="minorEastAsia"/>
          <w:color w:val="000000" w:themeColor="text1"/>
        </w:rPr>
        <w:t xml:space="preserve">. [online] Available at: </w:t>
      </w:r>
      <w:hyperlink r:id="rId20">
        <w:r w:rsidRPr="00C927E8">
          <w:rPr>
            <w:rStyle w:val="a8"/>
            <w:rFonts w:eastAsiaTheme="minorEastAsia"/>
          </w:rPr>
          <w:t>https://medium.com/@azviss4/customer-journey-mapping-in-7-bookmarks-d116da67a0c2</w:t>
        </w:r>
      </w:hyperlink>
      <w:r w:rsidRPr="00C927E8">
        <w:rPr>
          <w:rFonts w:eastAsiaTheme="minorEastAsia"/>
          <w:color w:val="000000" w:themeColor="text1"/>
        </w:rPr>
        <w:t xml:space="preserve">  [Accessed 8 March 2022].</w:t>
      </w:r>
    </w:p>
    <w:p w:rsidR="64B0BAAA" w:rsidRDefault="64B0BAAA" w:rsidP="659037A2">
      <w:pPr>
        <w:spacing w:after="0"/>
        <w:contextualSpacing/>
        <w:jc w:val="both"/>
        <w:rPr>
          <w:rFonts w:eastAsiaTheme="minorEastAsia"/>
          <w:color w:val="000000" w:themeColor="text1"/>
        </w:rPr>
      </w:pPr>
    </w:p>
    <w:p w:rsidR="644F69E1" w:rsidRDefault="644F69E1" w:rsidP="659037A2">
      <w:pPr>
        <w:spacing w:after="0"/>
        <w:contextualSpacing/>
        <w:jc w:val="both"/>
        <w:rPr>
          <w:rFonts w:eastAsiaTheme="minorEastAsia"/>
          <w:color w:val="000000" w:themeColor="text1"/>
        </w:rPr>
      </w:pPr>
    </w:p>
    <w:p w:rsidR="2D53E150" w:rsidRDefault="2D53E150" w:rsidP="659037A2">
      <w:pPr>
        <w:spacing w:after="0"/>
        <w:contextualSpacing/>
        <w:jc w:val="both"/>
        <w:rPr>
          <w:rFonts w:ascii="Calibri" w:eastAsia="Calibri" w:hAnsi="Calibri" w:cs="Calibri"/>
        </w:rPr>
      </w:pPr>
    </w:p>
    <w:p w:rsidR="659037A2" w:rsidRDefault="659037A2" w:rsidP="659037A2">
      <w:pPr>
        <w:spacing w:after="0"/>
        <w:contextualSpacing/>
        <w:jc w:val="both"/>
        <w:rPr>
          <w:rFonts w:eastAsiaTheme="minorEastAsia"/>
        </w:rPr>
      </w:pPr>
    </w:p>
    <w:p w:rsidR="659037A2" w:rsidRDefault="659037A2" w:rsidP="659037A2">
      <w:pPr>
        <w:spacing w:after="0"/>
        <w:contextualSpacing/>
        <w:jc w:val="both"/>
        <w:rPr>
          <w:rFonts w:eastAsiaTheme="minorEastAsia"/>
        </w:rPr>
      </w:pPr>
    </w:p>
    <w:p w:rsidR="2D81F5DB" w:rsidRDefault="2D81F5DB" w:rsidP="2D81F5DB">
      <w:pPr>
        <w:spacing w:after="0"/>
        <w:contextualSpacing/>
        <w:jc w:val="both"/>
        <w:rPr>
          <w:rFonts w:eastAsiaTheme="minorEastAsia"/>
          <w:color w:val="000000" w:themeColor="text1"/>
        </w:rPr>
      </w:pPr>
    </w:p>
    <w:p w:rsidR="2D81F5DB" w:rsidRDefault="2D81F5DB" w:rsidP="2D81F5DB">
      <w:pPr>
        <w:spacing w:after="0"/>
        <w:contextualSpacing/>
        <w:jc w:val="both"/>
        <w:rPr>
          <w:rFonts w:eastAsiaTheme="minorEastAsia"/>
        </w:rPr>
      </w:pPr>
    </w:p>
    <w:p w:rsidR="502210B9" w:rsidRDefault="502210B9" w:rsidP="502210B9">
      <w:pPr>
        <w:spacing w:after="0"/>
        <w:contextualSpacing/>
        <w:jc w:val="both"/>
        <w:rPr>
          <w:rFonts w:ascii="Calibri" w:eastAsia="Calibri" w:hAnsi="Calibri" w:cs="Calibri"/>
        </w:rPr>
      </w:pPr>
    </w:p>
    <w:p w:rsidR="502210B9" w:rsidRDefault="502210B9" w:rsidP="502210B9">
      <w:pPr>
        <w:spacing w:after="0"/>
        <w:contextualSpacing/>
        <w:jc w:val="both"/>
        <w:rPr>
          <w:rFonts w:ascii="Calibri" w:eastAsia="Calibri" w:hAnsi="Calibri" w:cs="Calibri"/>
        </w:rPr>
      </w:pPr>
    </w:p>
    <w:p w:rsidR="502210B9" w:rsidRDefault="502210B9" w:rsidP="502210B9">
      <w:pPr>
        <w:contextualSpacing/>
        <w:rPr>
          <w:rFonts w:ascii="Calibri" w:eastAsia="Calibri" w:hAnsi="Calibri" w:cs="Calibri"/>
          <w:color w:val="000000" w:themeColor="text1"/>
        </w:rPr>
      </w:pPr>
    </w:p>
    <w:p w:rsidR="502210B9" w:rsidRDefault="502210B9" w:rsidP="502210B9">
      <w:pPr>
        <w:contextualSpacing/>
        <w:rPr>
          <w:rFonts w:ascii="Calibri" w:eastAsia="Calibri" w:hAnsi="Calibri" w:cs="Calibri"/>
          <w:color w:val="000000" w:themeColor="text1"/>
        </w:rPr>
      </w:pPr>
    </w:p>
    <w:p w:rsidR="502210B9" w:rsidRDefault="502210B9" w:rsidP="502210B9">
      <w:pPr>
        <w:spacing w:after="0"/>
        <w:contextualSpacing/>
        <w:jc w:val="both"/>
        <w:rPr>
          <w:rFonts w:ascii="Calibri" w:eastAsia="Calibri" w:hAnsi="Calibri" w:cs="Calibri"/>
        </w:rPr>
      </w:pPr>
    </w:p>
    <w:p w:rsidR="2D81F5DB" w:rsidRDefault="2D81F5DB" w:rsidP="2D81F5DB">
      <w:pPr>
        <w:spacing w:after="0"/>
        <w:contextualSpacing/>
        <w:jc w:val="both"/>
        <w:rPr>
          <w:rFonts w:eastAsiaTheme="minorEastAsia"/>
        </w:rPr>
      </w:pPr>
    </w:p>
    <w:sectPr w:rsidR="2D81F5D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intelligence2.xml><?xml version="1.0" encoding="utf-8"?>
<int2:intelligence xmlns:int2="http://schemas.microsoft.com/office/intelligence/2020/intelligence">
  <int2:observations>
    <int2:textHash int2:hashCode="YqqI4Vi4b11W3T" int2:id="YGnQELAc">
      <int2:state int2:type="AugLoop_Text_Critique" int2:value="Rejected"/>
    </int2:textHash>
    <int2:textHash int2:hashCode="PYnffsKRasW23P" int2:id="O2GUo5WX">
      <int2:state int2:type="AugLoop_Text_Critique" int2:value="Rejected"/>
    </int2:textHash>
    <int2:textHash int2:hashCode="7+L9PnxGQgG8C5" int2:id="zBVkzOlf">
      <int2:state int2:type="AugLoop_Text_Critique" int2:value="Rejected"/>
    </int2:textHash>
    <int2:textHash int2:hashCode="KQpZw7sgsbJwqp" int2:id="yzG5Hnui">
      <int2:state int2:type="AugLoop_Text_Critique" int2:value="Rejected"/>
    </int2:textHash>
    <int2:textHash int2:hashCode="JzZr6GgjAl0Mwl" int2:id="MREXCZdu">
      <int2:state int2:type="LegacyProofing" int2:value="Rejected"/>
    </int2:textHash>
    <int2:textHash int2:hashCode="Jne8XCboDCEI2H" int2:id="7OajJdEZ">
      <int2:state int2:type="LegacyProofing" int2:value="Rejected"/>
    </int2:textHash>
    <int2:textHash int2:hashCode="T3cnv3gDcnh0cF" int2:id="CbXF7M36">
      <int2:state int2:type="LegacyProofing" int2:value="Rejected"/>
    </int2:textHash>
    <int2:textHash int2:hashCode="e0dMsLOcF3PXGS" int2:id="U6YtpR4S">
      <int2:state int2:type="AugLoop_Text_Critique" int2:value="Rejected"/>
    </int2:textHash>
    <int2:textHash int2:hashCode="WFRypwwAO3Dgs9" int2:id="ZanDU5Mw">
      <int2:state int2:type="LegacyProofing" int2:value="Rejected"/>
    </int2:textHash>
    <int2:textHash int2:hashCode="GmQUmLCujJfs5S" int2:id="oCuwiFfn">
      <int2:state int2:type="AugLoop_Text_Critique" int2:value="Rejected"/>
    </int2:textHash>
    <int2:bookmark int2:bookmarkName="_Int_4AzpYlaP" int2:invalidationBookmarkName="" int2:hashCode="OBZM4w8vru4MNA" int2:id="1dVuSQZi">
      <int2:state int2:type="LegacyProofing" int2:value="Rejected"/>
    </int2:bookmark>
    <int2:bookmark int2:bookmarkName="_Int_EJWjpAZe" int2:invalidationBookmarkName="" int2:hashCode="7+L9PnxGQgG8C5" int2:id="2H9tM2a8">
      <int2:state int2:type="LegacyProofing" int2:value="Rejected"/>
    </int2:bookmark>
    <int2:bookmark int2:bookmarkName="_Int_7eOgpycS" int2:invalidationBookmarkName="" int2:hashCode="++QFjF3PhAyDTS" int2:id="tNrRHm7m">
      <int2:state int2:type="LegacyProofing" int2:value="Rejected"/>
    </int2:bookmark>
    <int2:bookmark int2:bookmarkName="_Int_JvhIe0mm" int2:invalidationBookmarkName="" int2:hashCode="qzzMjboqDPehzk" int2:id="WWcfVjhP">
      <int2:state int2:type="LegacyProofing" int2:value="Rejected"/>
    </int2:bookmark>
    <int2:bookmark int2:bookmarkName="_Int_tut9RQiv" int2:invalidationBookmarkName="" int2:hashCode="GmQUmLCujJfs5S" int2:id="rY9Q5Qun">
      <int2:state int2:type="LegacyProofing" int2:value="Rejected"/>
    </int2:bookmark>
    <int2:bookmark int2:bookmarkName="_Int_yBAkVo2f" int2:invalidationBookmarkName="" int2:hashCode="7TbL8sm7c8pEXB" int2:id="IKV2ickO">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A31B1E"/>
    <w:multiLevelType w:val="hybridMultilevel"/>
    <w:tmpl w:val="EC726BA8"/>
    <w:lvl w:ilvl="0" w:tplc="A6164782">
      <w:start w:val="1"/>
      <w:numFmt w:val="bullet"/>
      <w:lvlText w:val="▫"/>
      <w:lvlJc w:val="left"/>
      <w:pPr>
        <w:ind w:left="720" w:hanging="360"/>
      </w:pPr>
      <w:rPr>
        <w:rFonts w:ascii="Courier New" w:hAnsi="Courier New" w:hint="default"/>
      </w:rPr>
    </w:lvl>
    <w:lvl w:ilvl="1" w:tplc="CC4C0A22">
      <w:start w:val="1"/>
      <w:numFmt w:val="bullet"/>
      <w:lvlText w:val="o"/>
      <w:lvlJc w:val="left"/>
      <w:pPr>
        <w:ind w:left="1440" w:hanging="360"/>
      </w:pPr>
      <w:rPr>
        <w:rFonts w:ascii="Courier New" w:hAnsi="Courier New" w:hint="default"/>
      </w:rPr>
    </w:lvl>
    <w:lvl w:ilvl="2" w:tplc="244A7194">
      <w:start w:val="1"/>
      <w:numFmt w:val="bullet"/>
      <w:lvlText w:val=""/>
      <w:lvlJc w:val="left"/>
      <w:pPr>
        <w:ind w:left="2160" w:hanging="360"/>
      </w:pPr>
      <w:rPr>
        <w:rFonts w:ascii="Wingdings" w:hAnsi="Wingdings" w:hint="default"/>
      </w:rPr>
    </w:lvl>
    <w:lvl w:ilvl="3" w:tplc="D1925490">
      <w:start w:val="1"/>
      <w:numFmt w:val="bullet"/>
      <w:lvlText w:val=""/>
      <w:lvlJc w:val="left"/>
      <w:pPr>
        <w:ind w:left="2880" w:hanging="360"/>
      </w:pPr>
      <w:rPr>
        <w:rFonts w:ascii="Symbol" w:hAnsi="Symbol" w:hint="default"/>
      </w:rPr>
    </w:lvl>
    <w:lvl w:ilvl="4" w:tplc="A9362996">
      <w:start w:val="1"/>
      <w:numFmt w:val="bullet"/>
      <w:lvlText w:val="o"/>
      <w:lvlJc w:val="left"/>
      <w:pPr>
        <w:ind w:left="3600" w:hanging="360"/>
      </w:pPr>
      <w:rPr>
        <w:rFonts w:ascii="Courier New" w:hAnsi="Courier New" w:hint="default"/>
      </w:rPr>
    </w:lvl>
    <w:lvl w:ilvl="5" w:tplc="DC44A96E">
      <w:start w:val="1"/>
      <w:numFmt w:val="bullet"/>
      <w:lvlText w:val=""/>
      <w:lvlJc w:val="left"/>
      <w:pPr>
        <w:ind w:left="4320" w:hanging="360"/>
      </w:pPr>
      <w:rPr>
        <w:rFonts w:ascii="Wingdings" w:hAnsi="Wingdings" w:hint="default"/>
      </w:rPr>
    </w:lvl>
    <w:lvl w:ilvl="6" w:tplc="8EC6C194">
      <w:start w:val="1"/>
      <w:numFmt w:val="bullet"/>
      <w:lvlText w:val=""/>
      <w:lvlJc w:val="left"/>
      <w:pPr>
        <w:ind w:left="5040" w:hanging="360"/>
      </w:pPr>
      <w:rPr>
        <w:rFonts w:ascii="Symbol" w:hAnsi="Symbol" w:hint="default"/>
      </w:rPr>
    </w:lvl>
    <w:lvl w:ilvl="7" w:tplc="F6662F8C">
      <w:start w:val="1"/>
      <w:numFmt w:val="bullet"/>
      <w:lvlText w:val="o"/>
      <w:lvlJc w:val="left"/>
      <w:pPr>
        <w:ind w:left="5760" w:hanging="360"/>
      </w:pPr>
      <w:rPr>
        <w:rFonts w:ascii="Courier New" w:hAnsi="Courier New" w:hint="default"/>
      </w:rPr>
    </w:lvl>
    <w:lvl w:ilvl="8" w:tplc="74BEFCD8">
      <w:start w:val="1"/>
      <w:numFmt w:val="bullet"/>
      <w:lvlText w:val=""/>
      <w:lvlJc w:val="left"/>
      <w:pPr>
        <w:ind w:left="6480" w:hanging="360"/>
      </w:pPr>
      <w:rPr>
        <w:rFonts w:ascii="Wingdings" w:hAnsi="Wingdings" w:hint="default"/>
      </w:rPr>
    </w:lvl>
  </w:abstractNum>
  <w:abstractNum w:abstractNumId="1" w15:restartNumberingAfterBreak="0">
    <w:nsid w:val="38ED2120"/>
    <w:multiLevelType w:val="hybridMultilevel"/>
    <w:tmpl w:val="FE8609B0"/>
    <w:lvl w:ilvl="0" w:tplc="F1362FF0">
      <w:start w:val="1"/>
      <w:numFmt w:val="bullet"/>
      <w:lvlText w:val="▫"/>
      <w:lvlJc w:val="left"/>
      <w:pPr>
        <w:ind w:left="720" w:hanging="360"/>
      </w:pPr>
      <w:rPr>
        <w:rFonts w:ascii="Courier New" w:hAnsi="Courier New" w:hint="default"/>
      </w:rPr>
    </w:lvl>
    <w:lvl w:ilvl="1" w:tplc="58ECB44A">
      <w:start w:val="1"/>
      <w:numFmt w:val="bullet"/>
      <w:lvlText w:val="o"/>
      <w:lvlJc w:val="left"/>
      <w:pPr>
        <w:ind w:left="1440" w:hanging="360"/>
      </w:pPr>
      <w:rPr>
        <w:rFonts w:ascii="Courier New" w:hAnsi="Courier New" w:hint="default"/>
      </w:rPr>
    </w:lvl>
    <w:lvl w:ilvl="2" w:tplc="0868DF6A">
      <w:start w:val="1"/>
      <w:numFmt w:val="bullet"/>
      <w:lvlText w:val=""/>
      <w:lvlJc w:val="left"/>
      <w:pPr>
        <w:ind w:left="2160" w:hanging="360"/>
      </w:pPr>
      <w:rPr>
        <w:rFonts w:ascii="Wingdings" w:hAnsi="Wingdings" w:hint="default"/>
      </w:rPr>
    </w:lvl>
    <w:lvl w:ilvl="3" w:tplc="6804BFAE">
      <w:start w:val="1"/>
      <w:numFmt w:val="bullet"/>
      <w:lvlText w:val=""/>
      <w:lvlJc w:val="left"/>
      <w:pPr>
        <w:ind w:left="2880" w:hanging="360"/>
      </w:pPr>
      <w:rPr>
        <w:rFonts w:ascii="Symbol" w:hAnsi="Symbol" w:hint="default"/>
      </w:rPr>
    </w:lvl>
    <w:lvl w:ilvl="4" w:tplc="1D9094DE">
      <w:start w:val="1"/>
      <w:numFmt w:val="bullet"/>
      <w:lvlText w:val="o"/>
      <w:lvlJc w:val="left"/>
      <w:pPr>
        <w:ind w:left="3600" w:hanging="360"/>
      </w:pPr>
      <w:rPr>
        <w:rFonts w:ascii="Courier New" w:hAnsi="Courier New" w:hint="default"/>
      </w:rPr>
    </w:lvl>
    <w:lvl w:ilvl="5" w:tplc="9DAA1F92">
      <w:start w:val="1"/>
      <w:numFmt w:val="bullet"/>
      <w:lvlText w:val=""/>
      <w:lvlJc w:val="left"/>
      <w:pPr>
        <w:ind w:left="4320" w:hanging="360"/>
      </w:pPr>
      <w:rPr>
        <w:rFonts w:ascii="Wingdings" w:hAnsi="Wingdings" w:hint="default"/>
      </w:rPr>
    </w:lvl>
    <w:lvl w:ilvl="6" w:tplc="AB78A6D6">
      <w:start w:val="1"/>
      <w:numFmt w:val="bullet"/>
      <w:lvlText w:val=""/>
      <w:lvlJc w:val="left"/>
      <w:pPr>
        <w:ind w:left="5040" w:hanging="360"/>
      </w:pPr>
      <w:rPr>
        <w:rFonts w:ascii="Symbol" w:hAnsi="Symbol" w:hint="default"/>
      </w:rPr>
    </w:lvl>
    <w:lvl w:ilvl="7" w:tplc="CAAE12DE">
      <w:start w:val="1"/>
      <w:numFmt w:val="bullet"/>
      <w:lvlText w:val="o"/>
      <w:lvlJc w:val="left"/>
      <w:pPr>
        <w:ind w:left="5760" w:hanging="360"/>
      </w:pPr>
      <w:rPr>
        <w:rFonts w:ascii="Courier New" w:hAnsi="Courier New" w:hint="default"/>
      </w:rPr>
    </w:lvl>
    <w:lvl w:ilvl="8" w:tplc="3E70BE1A">
      <w:start w:val="1"/>
      <w:numFmt w:val="bullet"/>
      <w:lvlText w:val=""/>
      <w:lvlJc w:val="left"/>
      <w:pPr>
        <w:ind w:left="6480" w:hanging="360"/>
      </w:pPr>
      <w:rPr>
        <w:rFonts w:ascii="Wingdings" w:hAnsi="Wingdings" w:hint="default"/>
      </w:rPr>
    </w:lvl>
  </w:abstractNum>
  <w:abstractNum w:abstractNumId="2" w15:restartNumberingAfterBreak="0">
    <w:nsid w:val="39577B75"/>
    <w:multiLevelType w:val="hybridMultilevel"/>
    <w:tmpl w:val="68028A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0262A8"/>
    <w:multiLevelType w:val="hybridMultilevel"/>
    <w:tmpl w:val="0492988C"/>
    <w:lvl w:ilvl="0" w:tplc="C576DD74">
      <w:start w:val="1"/>
      <w:numFmt w:val="bullet"/>
      <w:lvlText w:val="-"/>
      <w:lvlJc w:val="left"/>
      <w:pPr>
        <w:ind w:left="720" w:hanging="360"/>
      </w:pPr>
      <w:rPr>
        <w:rFonts w:ascii="Calibri" w:hAnsi="Calibri" w:hint="default"/>
      </w:rPr>
    </w:lvl>
    <w:lvl w:ilvl="1" w:tplc="480EB1F4">
      <w:start w:val="1"/>
      <w:numFmt w:val="bullet"/>
      <w:lvlText w:val="o"/>
      <w:lvlJc w:val="left"/>
      <w:pPr>
        <w:ind w:left="1440" w:hanging="360"/>
      </w:pPr>
      <w:rPr>
        <w:rFonts w:ascii="Courier New" w:hAnsi="Courier New" w:hint="default"/>
      </w:rPr>
    </w:lvl>
    <w:lvl w:ilvl="2" w:tplc="5280693C">
      <w:start w:val="1"/>
      <w:numFmt w:val="bullet"/>
      <w:lvlText w:val=""/>
      <w:lvlJc w:val="left"/>
      <w:pPr>
        <w:ind w:left="2160" w:hanging="360"/>
      </w:pPr>
      <w:rPr>
        <w:rFonts w:ascii="Wingdings" w:hAnsi="Wingdings" w:hint="default"/>
      </w:rPr>
    </w:lvl>
    <w:lvl w:ilvl="3" w:tplc="7F22DD74">
      <w:start w:val="1"/>
      <w:numFmt w:val="bullet"/>
      <w:lvlText w:val=""/>
      <w:lvlJc w:val="left"/>
      <w:pPr>
        <w:ind w:left="2880" w:hanging="360"/>
      </w:pPr>
      <w:rPr>
        <w:rFonts w:ascii="Symbol" w:hAnsi="Symbol" w:hint="default"/>
      </w:rPr>
    </w:lvl>
    <w:lvl w:ilvl="4" w:tplc="30D00492">
      <w:start w:val="1"/>
      <w:numFmt w:val="bullet"/>
      <w:lvlText w:val="o"/>
      <w:lvlJc w:val="left"/>
      <w:pPr>
        <w:ind w:left="3600" w:hanging="360"/>
      </w:pPr>
      <w:rPr>
        <w:rFonts w:ascii="Courier New" w:hAnsi="Courier New" w:hint="default"/>
      </w:rPr>
    </w:lvl>
    <w:lvl w:ilvl="5" w:tplc="CAE2CA14">
      <w:start w:val="1"/>
      <w:numFmt w:val="bullet"/>
      <w:lvlText w:val=""/>
      <w:lvlJc w:val="left"/>
      <w:pPr>
        <w:ind w:left="4320" w:hanging="360"/>
      </w:pPr>
      <w:rPr>
        <w:rFonts w:ascii="Wingdings" w:hAnsi="Wingdings" w:hint="default"/>
      </w:rPr>
    </w:lvl>
    <w:lvl w:ilvl="6" w:tplc="070219C4">
      <w:start w:val="1"/>
      <w:numFmt w:val="bullet"/>
      <w:lvlText w:val=""/>
      <w:lvlJc w:val="left"/>
      <w:pPr>
        <w:ind w:left="5040" w:hanging="360"/>
      </w:pPr>
      <w:rPr>
        <w:rFonts w:ascii="Symbol" w:hAnsi="Symbol" w:hint="default"/>
      </w:rPr>
    </w:lvl>
    <w:lvl w:ilvl="7" w:tplc="C6C65850">
      <w:start w:val="1"/>
      <w:numFmt w:val="bullet"/>
      <w:lvlText w:val="o"/>
      <w:lvlJc w:val="left"/>
      <w:pPr>
        <w:ind w:left="5760" w:hanging="360"/>
      </w:pPr>
      <w:rPr>
        <w:rFonts w:ascii="Courier New" w:hAnsi="Courier New" w:hint="default"/>
      </w:rPr>
    </w:lvl>
    <w:lvl w:ilvl="8" w:tplc="8C9A7556">
      <w:start w:val="1"/>
      <w:numFmt w:val="bullet"/>
      <w:lvlText w:val=""/>
      <w:lvlJc w:val="left"/>
      <w:pPr>
        <w:ind w:left="6480" w:hanging="360"/>
      </w:pPr>
      <w:rPr>
        <w:rFonts w:ascii="Wingdings" w:hAnsi="Wingdings" w:hint="default"/>
      </w:rPr>
    </w:lvl>
  </w:abstractNum>
  <w:abstractNum w:abstractNumId="4" w15:restartNumberingAfterBreak="0">
    <w:nsid w:val="51F2736F"/>
    <w:multiLevelType w:val="hybridMultilevel"/>
    <w:tmpl w:val="654803B2"/>
    <w:lvl w:ilvl="0" w:tplc="2F1ED81C">
      <w:start w:val="1"/>
      <w:numFmt w:val="bullet"/>
      <w:lvlText w:val="▫"/>
      <w:lvlJc w:val="left"/>
      <w:pPr>
        <w:ind w:left="720" w:hanging="360"/>
      </w:pPr>
      <w:rPr>
        <w:rFonts w:ascii="Courier New" w:hAnsi="Courier New" w:hint="default"/>
      </w:rPr>
    </w:lvl>
    <w:lvl w:ilvl="1" w:tplc="5770FB30">
      <w:start w:val="1"/>
      <w:numFmt w:val="bullet"/>
      <w:lvlText w:val="o"/>
      <w:lvlJc w:val="left"/>
      <w:pPr>
        <w:ind w:left="1440" w:hanging="360"/>
      </w:pPr>
      <w:rPr>
        <w:rFonts w:ascii="Courier New" w:hAnsi="Courier New" w:hint="default"/>
      </w:rPr>
    </w:lvl>
    <w:lvl w:ilvl="2" w:tplc="FB742F82">
      <w:start w:val="1"/>
      <w:numFmt w:val="bullet"/>
      <w:lvlText w:val=""/>
      <w:lvlJc w:val="left"/>
      <w:pPr>
        <w:ind w:left="2160" w:hanging="360"/>
      </w:pPr>
      <w:rPr>
        <w:rFonts w:ascii="Wingdings" w:hAnsi="Wingdings" w:hint="default"/>
      </w:rPr>
    </w:lvl>
    <w:lvl w:ilvl="3" w:tplc="D48A641E">
      <w:start w:val="1"/>
      <w:numFmt w:val="bullet"/>
      <w:lvlText w:val=""/>
      <w:lvlJc w:val="left"/>
      <w:pPr>
        <w:ind w:left="2880" w:hanging="360"/>
      </w:pPr>
      <w:rPr>
        <w:rFonts w:ascii="Symbol" w:hAnsi="Symbol" w:hint="default"/>
      </w:rPr>
    </w:lvl>
    <w:lvl w:ilvl="4" w:tplc="734EE61A">
      <w:start w:val="1"/>
      <w:numFmt w:val="bullet"/>
      <w:lvlText w:val="o"/>
      <w:lvlJc w:val="left"/>
      <w:pPr>
        <w:ind w:left="3600" w:hanging="360"/>
      </w:pPr>
      <w:rPr>
        <w:rFonts w:ascii="Courier New" w:hAnsi="Courier New" w:hint="default"/>
      </w:rPr>
    </w:lvl>
    <w:lvl w:ilvl="5" w:tplc="1A4E965C">
      <w:start w:val="1"/>
      <w:numFmt w:val="bullet"/>
      <w:lvlText w:val=""/>
      <w:lvlJc w:val="left"/>
      <w:pPr>
        <w:ind w:left="4320" w:hanging="360"/>
      </w:pPr>
      <w:rPr>
        <w:rFonts w:ascii="Wingdings" w:hAnsi="Wingdings" w:hint="default"/>
      </w:rPr>
    </w:lvl>
    <w:lvl w:ilvl="6" w:tplc="EB32A58A">
      <w:start w:val="1"/>
      <w:numFmt w:val="bullet"/>
      <w:lvlText w:val=""/>
      <w:lvlJc w:val="left"/>
      <w:pPr>
        <w:ind w:left="5040" w:hanging="360"/>
      </w:pPr>
      <w:rPr>
        <w:rFonts w:ascii="Symbol" w:hAnsi="Symbol" w:hint="default"/>
      </w:rPr>
    </w:lvl>
    <w:lvl w:ilvl="7" w:tplc="428ECB94">
      <w:start w:val="1"/>
      <w:numFmt w:val="bullet"/>
      <w:lvlText w:val="o"/>
      <w:lvlJc w:val="left"/>
      <w:pPr>
        <w:ind w:left="5760" w:hanging="360"/>
      </w:pPr>
      <w:rPr>
        <w:rFonts w:ascii="Courier New" w:hAnsi="Courier New" w:hint="default"/>
      </w:rPr>
    </w:lvl>
    <w:lvl w:ilvl="8" w:tplc="79089C48">
      <w:start w:val="1"/>
      <w:numFmt w:val="bullet"/>
      <w:lvlText w:val=""/>
      <w:lvlJc w:val="left"/>
      <w:pPr>
        <w:ind w:left="6480" w:hanging="360"/>
      </w:pPr>
      <w:rPr>
        <w:rFonts w:ascii="Wingdings" w:hAnsi="Wingdings" w:hint="default"/>
      </w:rPr>
    </w:lvl>
  </w:abstractNum>
  <w:abstractNum w:abstractNumId="5" w15:restartNumberingAfterBreak="0">
    <w:nsid w:val="7BCC030B"/>
    <w:multiLevelType w:val="hybridMultilevel"/>
    <w:tmpl w:val="BA526DFA"/>
    <w:lvl w:ilvl="0" w:tplc="7CA6855A">
      <w:start w:val="1"/>
      <w:numFmt w:val="bullet"/>
      <w:lvlText w:val="-"/>
      <w:lvlJc w:val="left"/>
      <w:pPr>
        <w:ind w:left="720" w:hanging="360"/>
      </w:pPr>
      <w:rPr>
        <w:rFonts w:ascii="Calibri" w:hAnsi="Calibri" w:hint="default"/>
      </w:rPr>
    </w:lvl>
    <w:lvl w:ilvl="1" w:tplc="36CC9E96">
      <w:start w:val="1"/>
      <w:numFmt w:val="bullet"/>
      <w:lvlText w:val="o"/>
      <w:lvlJc w:val="left"/>
      <w:pPr>
        <w:ind w:left="1440" w:hanging="360"/>
      </w:pPr>
      <w:rPr>
        <w:rFonts w:ascii="Courier New" w:hAnsi="Courier New" w:hint="default"/>
      </w:rPr>
    </w:lvl>
    <w:lvl w:ilvl="2" w:tplc="4A2A839E">
      <w:start w:val="1"/>
      <w:numFmt w:val="bullet"/>
      <w:lvlText w:val=""/>
      <w:lvlJc w:val="left"/>
      <w:pPr>
        <w:ind w:left="2160" w:hanging="360"/>
      </w:pPr>
      <w:rPr>
        <w:rFonts w:ascii="Wingdings" w:hAnsi="Wingdings" w:hint="default"/>
      </w:rPr>
    </w:lvl>
    <w:lvl w:ilvl="3" w:tplc="C4B00820">
      <w:start w:val="1"/>
      <w:numFmt w:val="bullet"/>
      <w:lvlText w:val=""/>
      <w:lvlJc w:val="left"/>
      <w:pPr>
        <w:ind w:left="2880" w:hanging="360"/>
      </w:pPr>
      <w:rPr>
        <w:rFonts w:ascii="Symbol" w:hAnsi="Symbol" w:hint="default"/>
      </w:rPr>
    </w:lvl>
    <w:lvl w:ilvl="4" w:tplc="FFF06062">
      <w:start w:val="1"/>
      <w:numFmt w:val="bullet"/>
      <w:lvlText w:val="o"/>
      <w:lvlJc w:val="left"/>
      <w:pPr>
        <w:ind w:left="3600" w:hanging="360"/>
      </w:pPr>
      <w:rPr>
        <w:rFonts w:ascii="Courier New" w:hAnsi="Courier New" w:hint="default"/>
      </w:rPr>
    </w:lvl>
    <w:lvl w:ilvl="5" w:tplc="24F637C8">
      <w:start w:val="1"/>
      <w:numFmt w:val="bullet"/>
      <w:lvlText w:val=""/>
      <w:lvlJc w:val="left"/>
      <w:pPr>
        <w:ind w:left="4320" w:hanging="360"/>
      </w:pPr>
      <w:rPr>
        <w:rFonts w:ascii="Wingdings" w:hAnsi="Wingdings" w:hint="default"/>
      </w:rPr>
    </w:lvl>
    <w:lvl w:ilvl="6" w:tplc="5E4E406A">
      <w:start w:val="1"/>
      <w:numFmt w:val="bullet"/>
      <w:lvlText w:val=""/>
      <w:lvlJc w:val="left"/>
      <w:pPr>
        <w:ind w:left="5040" w:hanging="360"/>
      </w:pPr>
      <w:rPr>
        <w:rFonts w:ascii="Symbol" w:hAnsi="Symbol" w:hint="default"/>
      </w:rPr>
    </w:lvl>
    <w:lvl w:ilvl="7" w:tplc="8A66067E">
      <w:start w:val="1"/>
      <w:numFmt w:val="bullet"/>
      <w:lvlText w:val="o"/>
      <w:lvlJc w:val="left"/>
      <w:pPr>
        <w:ind w:left="5760" w:hanging="360"/>
      </w:pPr>
      <w:rPr>
        <w:rFonts w:ascii="Courier New" w:hAnsi="Courier New" w:hint="default"/>
      </w:rPr>
    </w:lvl>
    <w:lvl w:ilvl="8" w:tplc="71381120">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0"/>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0BD982"/>
    <w:rsid w:val="00016CF3"/>
    <w:rsid w:val="001BBA7D"/>
    <w:rsid w:val="00315018"/>
    <w:rsid w:val="006B69AF"/>
    <w:rsid w:val="007C1A7B"/>
    <w:rsid w:val="0087535C"/>
    <w:rsid w:val="009607DC"/>
    <w:rsid w:val="00992849"/>
    <w:rsid w:val="00C927E8"/>
    <w:rsid w:val="00D75C88"/>
    <w:rsid w:val="010BD982"/>
    <w:rsid w:val="0131078F"/>
    <w:rsid w:val="0160CB1B"/>
    <w:rsid w:val="0170F8ED"/>
    <w:rsid w:val="01940A00"/>
    <w:rsid w:val="01B28818"/>
    <w:rsid w:val="01BB9F79"/>
    <w:rsid w:val="01C7564E"/>
    <w:rsid w:val="01C9CFC8"/>
    <w:rsid w:val="01EFB02C"/>
    <w:rsid w:val="02044D28"/>
    <w:rsid w:val="023150A2"/>
    <w:rsid w:val="023AAB5E"/>
    <w:rsid w:val="02597F8F"/>
    <w:rsid w:val="02B5A535"/>
    <w:rsid w:val="02B8655B"/>
    <w:rsid w:val="02E10E2D"/>
    <w:rsid w:val="031DADAA"/>
    <w:rsid w:val="034E5879"/>
    <w:rsid w:val="03576FDA"/>
    <w:rsid w:val="0368F0DA"/>
    <w:rsid w:val="041952BD"/>
    <w:rsid w:val="041F3C72"/>
    <w:rsid w:val="048676B3"/>
    <w:rsid w:val="04AB84D7"/>
    <w:rsid w:val="04B0336C"/>
    <w:rsid w:val="04C4AD34"/>
    <w:rsid w:val="04C68ABA"/>
    <w:rsid w:val="0539315B"/>
    <w:rsid w:val="053BEDEA"/>
    <w:rsid w:val="05705E31"/>
    <w:rsid w:val="057A471F"/>
    <w:rsid w:val="058AFC73"/>
    <w:rsid w:val="05912051"/>
    <w:rsid w:val="05B87027"/>
    <w:rsid w:val="05EC872B"/>
    <w:rsid w:val="0608E105"/>
    <w:rsid w:val="0616192B"/>
    <w:rsid w:val="06319B00"/>
    <w:rsid w:val="0656FF72"/>
    <w:rsid w:val="06D547B8"/>
    <w:rsid w:val="070C2E92"/>
    <w:rsid w:val="073F565C"/>
    <w:rsid w:val="07685BEF"/>
    <w:rsid w:val="07BE1775"/>
    <w:rsid w:val="07EA2327"/>
    <w:rsid w:val="08656370"/>
    <w:rsid w:val="088E29EE"/>
    <w:rsid w:val="089D6AF8"/>
    <w:rsid w:val="08F2AD95"/>
    <w:rsid w:val="09729829"/>
    <w:rsid w:val="099B67B0"/>
    <w:rsid w:val="09C78841"/>
    <w:rsid w:val="0A23C1C5"/>
    <w:rsid w:val="0A29FA4F"/>
    <w:rsid w:val="0A3F71C8"/>
    <w:rsid w:val="0A7297B7"/>
    <w:rsid w:val="0AA78EBD"/>
    <w:rsid w:val="0AD2F7B5"/>
    <w:rsid w:val="0AE98A4E"/>
    <w:rsid w:val="0B495962"/>
    <w:rsid w:val="0BC69E02"/>
    <w:rsid w:val="0BCB18BD"/>
    <w:rsid w:val="0BE069FE"/>
    <w:rsid w:val="0C084F5B"/>
    <w:rsid w:val="0C0CF8B1"/>
    <w:rsid w:val="0C35A6EF"/>
    <w:rsid w:val="0C435F1E"/>
    <w:rsid w:val="0C722CAD"/>
    <w:rsid w:val="0C918898"/>
    <w:rsid w:val="0CB696BC"/>
    <w:rsid w:val="0D465397"/>
    <w:rsid w:val="0D570BB6"/>
    <w:rsid w:val="0D7AC36E"/>
    <w:rsid w:val="0DB1879A"/>
    <w:rsid w:val="0DE8CF87"/>
    <w:rsid w:val="0E04E193"/>
    <w:rsid w:val="0E0DFD0E"/>
    <w:rsid w:val="0E5715B2"/>
    <w:rsid w:val="0EA54A8D"/>
    <w:rsid w:val="0EE2D030"/>
    <w:rsid w:val="0EFE3EC4"/>
    <w:rsid w:val="0F080108"/>
    <w:rsid w:val="0F0A988B"/>
    <w:rsid w:val="0F3CABED"/>
    <w:rsid w:val="0F4CA8B2"/>
    <w:rsid w:val="0F523BD6"/>
    <w:rsid w:val="0F63F2EA"/>
    <w:rsid w:val="0F863E17"/>
    <w:rsid w:val="0F976596"/>
    <w:rsid w:val="0F9F6674"/>
    <w:rsid w:val="0FC9295A"/>
    <w:rsid w:val="0FD3D694"/>
    <w:rsid w:val="101CCA85"/>
    <w:rsid w:val="104F6168"/>
    <w:rsid w:val="104FC857"/>
    <w:rsid w:val="10577B23"/>
    <w:rsid w:val="10901524"/>
    <w:rsid w:val="109851F2"/>
    <w:rsid w:val="10A668EC"/>
    <w:rsid w:val="10E069D4"/>
    <w:rsid w:val="1116D041"/>
    <w:rsid w:val="112C4112"/>
    <w:rsid w:val="112FF89E"/>
    <w:rsid w:val="1196A3FA"/>
    <w:rsid w:val="11C1DD9F"/>
    <w:rsid w:val="11D18BF9"/>
    <w:rsid w:val="11DFF392"/>
    <w:rsid w:val="124BE1A8"/>
    <w:rsid w:val="1263E878"/>
    <w:rsid w:val="127790DF"/>
    <w:rsid w:val="12820903"/>
    <w:rsid w:val="12844974"/>
    <w:rsid w:val="12AD34BC"/>
    <w:rsid w:val="13197A6F"/>
    <w:rsid w:val="1325D840"/>
    <w:rsid w:val="13A54022"/>
    <w:rsid w:val="13CE8A91"/>
    <w:rsid w:val="13D1CC8D"/>
    <w:rsid w:val="13F523A2"/>
    <w:rsid w:val="142098C1"/>
    <w:rsid w:val="1484FB1F"/>
    <w:rsid w:val="1495674A"/>
    <w:rsid w:val="14B54AD0"/>
    <w:rsid w:val="14C1861C"/>
    <w:rsid w:val="150240C8"/>
    <w:rsid w:val="15179454"/>
    <w:rsid w:val="156F478D"/>
    <w:rsid w:val="159AB29A"/>
    <w:rsid w:val="159B893A"/>
    <w:rsid w:val="159FB15C"/>
    <w:rsid w:val="15B9A9C5"/>
    <w:rsid w:val="15EACE6E"/>
    <w:rsid w:val="163035DD"/>
    <w:rsid w:val="166A151D"/>
    <w:rsid w:val="16A8CC3E"/>
    <w:rsid w:val="16B05C72"/>
    <w:rsid w:val="16F044F2"/>
    <w:rsid w:val="17055F48"/>
    <w:rsid w:val="1757ECF3"/>
    <w:rsid w:val="176D6FCD"/>
    <w:rsid w:val="17AA4C75"/>
    <w:rsid w:val="182A67A7"/>
    <w:rsid w:val="1878B145"/>
    <w:rsid w:val="18BE29C1"/>
    <w:rsid w:val="18F1BAEB"/>
    <w:rsid w:val="18F409E4"/>
    <w:rsid w:val="18F4F9DC"/>
    <w:rsid w:val="1929CFAC"/>
    <w:rsid w:val="197C1166"/>
    <w:rsid w:val="197D7569"/>
    <w:rsid w:val="19938927"/>
    <w:rsid w:val="19AEE61F"/>
    <w:rsid w:val="1A129CD6"/>
    <w:rsid w:val="1A14E64D"/>
    <w:rsid w:val="1A9A9D67"/>
    <w:rsid w:val="1ADF30A8"/>
    <w:rsid w:val="1B4AB680"/>
    <w:rsid w:val="1B7C3D61"/>
    <w:rsid w:val="1BC3B615"/>
    <w:rsid w:val="1BD5B5F0"/>
    <w:rsid w:val="1BDBEE7A"/>
    <w:rsid w:val="1BE67697"/>
    <w:rsid w:val="1BF516D7"/>
    <w:rsid w:val="1BF5CA83"/>
    <w:rsid w:val="1C2F374A"/>
    <w:rsid w:val="1C7F34FC"/>
    <w:rsid w:val="1C9B9C15"/>
    <w:rsid w:val="1C9BEDCE"/>
    <w:rsid w:val="1CB0A701"/>
    <w:rsid w:val="1CC68ABE"/>
    <w:rsid w:val="1CD4A80C"/>
    <w:rsid w:val="1D02B5D3"/>
    <w:rsid w:val="1D067599"/>
    <w:rsid w:val="1D4BE8C2"/>
    <w:rsid w:val="1D77BEDB"/>
    <w:rsid w:val="1D9AF74B"/>
    <w:rsid w:val="1DC51DF6"/>
    <w:rsid w:val="1DDE4653"/>
    <w:rsid w:val="1DDE5766"/>
    <w:rsid w:val="1E00659C"/>
    <w:rsid w:val="1E0ECFAA"/>
    <w:rsid w:val="1E1E42B6"/>
    <w:rsid w:val="1E35479C"/>
    <w:rsid w:val="1E713981"/>
    <w:rsid w:val="1F23EE90"/>
    <w:rsid w:val="1F4194E0"/>
    <w:rsid w:val="1F4B1303"/>
    <w:rsid w:val="1F637BC5"/>
    <w:rsid w:val="1F9123AA"/>
    <w:rsid w:val="1FE8A820"/>
    <w:rsid w:val="2004FF46"/>
    <w:rsid w:val="2093E53C"/>
    <w:rsid w:val="20BEF181"/>
    <w:rsid w:val="20E55A7B"/>
    <w:rsid w:val="20E6E364"/>
    <w:rsid w:val="20FCBEB8"/>
    <w:rsid w:val="2143E030"/>
    <w:rsid w:val="214B01AB"/>
    <w:rsid w:val="21D1FED4"/>
    <w:rsid w:val="2232F799"/>
    <w:rsid w:val="22812328"/>
    <w:rsid w:val="2281C3CD"/>
    <w:rsid w:val="228E39A6"/>
    <w:rsid w:val="22A7EDE8"/>
    <w:rsid w:val="22B8544B"/>
    <w:rsid w:val="22EE7088"/>
    <w:rsid w:val="2317A839"/>
    <w:rsid w:val="23308E42"/>
    <w:rsid w:val="238C520C"/>
    <w:rsid w:val="239DF18A"/>
    <w:rsid w:val="23B86DB7"/>
    <w:rsid w:val="23C7C596"/>
    <w:rsid w:val="23CB85FE"/>
    <w:rsid w:val="24330856"/>
    <w:rsid w:val="244D87D7"/>
    <w:rsid w:val="2509F74A"/>
    <w:rsid w:val="2510D835"/>
    <w:rsid w:val="25231FA7"/>
    <w:rsid w:val="25273E0B"/>
    <w:rsid w:val="254D9E86"/>
    <w:rsid w:val="25AC8681"/>
    <w:rsid w:val="25B0D664"/>
    <w:rsid w:val="265AEE7D"/>
    <w:rsid w:val="26648444"/>
    <w:rsid w:val="26BEF008"/>
    <w:rsid w:val="26F00E79"/>
    <w:rsid w:val="274CA6C5"/>
    <w:rsid w:val="275624E8"/>
    <w:rsid w:val="27568B67"/>
    <w:rsid w:val="277B5F0B"/>
    <w:rsid w:val="278B811D"/>
    <w:rsid w:val="27C1E1AB"/>
    <w:rsid w:val="28251CE0"/>
    <w:rsid w:val="287EBDAB"/>
    <w:rsid w:val="288D3766"/>
    <w:rsid w:val="289D4982"/>
    <w:rsid w:val="289FDD2B"/>
    <w:rsid w:val="28B92F64"/>
    <w:rsid w:val="290FBE23"/>
    <w:rsid w:val="29135420"/>
    <w:rsid w:val="2939FB79"/>
    <w:rsid w:val="293B0074"/>
    <w:rsid w:val="2977B6A5"/>
    <w:rsid w:val="29E208E7"/>
    <w:rsid w:val="29FB9390"/>
    <w:rsid w:val="2A164381"/>
    <w:rsid w:val="2A33B669"/>
    <w:rsid w:val="2A47A1A3"/>
    <w:rsid w:val="2A797A53"/>
    <w:rsid w:val="2A91CEEF"/>
    <w:rsid w:val="2A9B3743"/>
    <w:rsid w:val="2AA3A0FE"/>
    <w:rsid w:val="2ACD4411"/>
    <w:rsid w:val="2B3B720F"/>
    <w:rsid w:val="2B44CD3D"/>
    <w:rsid w:val="2B7F6826"/>
    <w:rsid w:val="2BF5672E"/>
    <w:rsid w:val="2BFC9A61"/>
    <w:rsid w:val="2C28DC0E"/>
    <w:rsid w:val="2C311357"/>
    <w:rsid w:val="2C609855"/>
    <w:rsid w:val="2C6BCD6D"/>
    <w:rsid w:val="2CE3824E"/>
    <w:rsid w:val="2CE5D537"/>
    <w:rsid w:val="2CFAB27E"/>
    <w:rsid w:val="2D0F3185"/>
    <w:rsid w:val="2D19A9A9"/>
    <w:rsid w:val="2D53E150"/>
    <w:rsid w:val="2D619A10"/>
    <w:rsid w:val="2D6AE71B"/>
    <w:rsid w:val="2D7A55CA"/>
    <w:rsid w:val="2D81F5DB"/>
    <w:rsid w:val="2DBBE849"/>
    <w:rsid w:val="2DE53FC7"/>
    <w:rsid w:val="2DE6C543"/>
    <w:rsid w:val="2DFC68B6"/>
    <w:rsid w:val="2E04E4D3"/>
    <w:rsid w:val="2F09E7B2"/>
    <w:rsid w:val="2F0BC3BD"/>
    <w:rsid w:val="2F5FA630"/>
    <w:rsid w:val="2F6136CD"/>
    <w:rsid w:val="2FAF34FA"/>
    <w:rsid w:val="301B7C2C"/>
    <w:rsid w:val="3051ACB7"/>
    <w:rsid w:val="30A23921"/>
    <w:rsid w:val="3101B5C3"/>
    <w:rsid w:val="31162F8B"/>
    <w:rsid w:val="311FB20B"/>
    <w:rsid w:val="3123ACAF"/>
    <w:rsid w:val="313C8595"/>
    <w:rsid w:val="31A74183"/>
    <w:rsid w:val="31FA9D4B"/>
    <w:rsid w:val="31FEC355"/>
    <w:rsid w:val="3264A8B2"/>
    <w:rsid w:val="32838CDC"/>
    <w:rsid w:val="328CE550"/>
    <w:rsid w:val="3292CCA4"/>
    <w:rsid w:val="32C6E556"/>
    <w:rsid w:val="32D855F6"/>
    <w:rsid w:val="336D08A1"/>
    <w:rsid w:val="3426E250"/>
    <w:rsid w:val="34395685"/>
    <w:rsid w:val="345270CA"/>
    <w:rsid w:val="345B4D71"/>
    <w:rsid w:val="346BAA3A"/>
    <w:rsid w:val="349F20A4"/>
    <w:rsid w:val="34AB96ED"/>
    <w:rsid w:val="34C0A1D9"/>
    <w:rsid w:val="34C3AD00"/>
    <w:rsid w:val="34EEED4F"/>
    <w:rsid w:val="350DD3A2"/>
    <w:rsid w:val="3568721E"/>
    <w:rsid w:val="35762202"/>
    <w:rsid w:val="35A0E210"/>
    <w:rsid w:val="35C31B24"/>
    <w:rsid w:val="35C54928"/>
    <w:rsid w:val="35D526E6"/>
    <w:rsid w:val="35E25726"/>
    <w:rsid w:val="35FF5624"/>
    <w:rsid w:val="3617FC6B"/>
    <w:rsid w:val="367255F7"/>
    <w:rsid w:val="368CB77D"/>
    <w:rsid w:val="3692521A"/>
    <w:rsid w:val="36C87975"/>
    <w:rsid w:val="3707E4DE"/>
    <w:rsid w:val="370E854D"/>
    <w:rsid w:val="37117AA5"/>
    <w:rsid w:val="374D156A"/>
    <w:rsid w:val="3762CA8F"/>
    <w:rsid w:val="37F8429B"/>
    <w:rsid w:val="38268E11"/>
    <w:rsid w:val="38568D82"/>
    <w:rsid w:val="385B6778"/>
    <w:rsid w:val="386449D6"/>
    <w:rsid w:val="3898B646"/>
    <w:rsid w:val="38BCDCFD"/>
    <w:rsid w:val="38CF5ED5"/>
    <w:rsid w:val="38E8E5CB"/>
    <w:rsid w:val="38EE19D0"/>
    <w:rsid w:val="38FE9AF0"/>
    <w:rsid w:val="39068876"/>
    <w:rsid w:val="39081913"/>
    <w:rsid w:val="3927259D"/>
    <w:rsid w:val="393782FD"/>
    <w:rsid w:val="39B31D68"/>
    <w:rsid w:val="39CE6852"/>
    <w:rsid w:val="39D7DAFB"/>
    <w:rsid w:val="3A3F41BC"/>
    <w:rsid w:val="3A3F85A0"/>
    <w:rsid w:val="3A491B67"/>
    <w:rsid w:val="3A59850A"/>
    <w:rsid w:val="3A5C1ACE"/>
    <w:rsid w:val="3A7ECED8"/>
    <w:rsid w:val="3A97F735"/>
    <w:rsid w:val="3A98BA4B"/>
    <w:rsid w:val="3ACE67E0"/>
    <w:rsid w:val="3B235156"/>
    <w:rsid w:val="3BAD87BB"/>
    <w:rsid w:val="3BDB80D6"/>
    <w:rsid w:val="3BF963F8"/>
    <w:rsid w:val="3C1A9F39"/>
    <w:rsid w:val="3C6E3721"/>
    <w:rsid w:val="3C81F137"/>
    <w:rsid w:val="3CEB6AD2"/>
    <w:rsid w:val="3CF581D8"/>
    <w:rsid w:val="3D43FDA2"/>
    <w:rsid w:val="3D5ABA31"/>
    <w:rsid w:val="3D685298"/>
    <w:rsid w:val="3D6B7765"/>
    <w:rsid w:val="3D8E04AC"/>
    <w:rsid w:val="3E34C872"/>
    <w:rsid w:val="3E4DE53C"/>
    <w:rsid w:val="3E6A8F46"/>
    <w:rsid w:val="3E7CA738"/>
    <w:rsid w:val="3E9D63FF"/>
    <w:rsid w:val="3EB56ACF"/>
    <w:rsid w:val="3EC08B6A"/>
    <w:rsid w:val="3EC5CF06"/>
    <w:rsid w:val="3F0DC301"/>
    <w:rsid w:val="3F21E18F"/>
    <w:rsid w:val="3F32F088"/>
    <w:rsid w:val="3F47C456"/>
    <w:rsid w:val="3F58274F"/>
    <w:rsid w:val="3F5B4712"/>
    <w:rsid w:val="3FF6C279"/>
    <w:rsid w:val="400A2687"/>
    <w:rsid w:val="40506490"/>
    <w:rsid w:val="405D7B0E"/>
    <w:rsid w:val="40653D0A"/>
    <w:rsid w:val="40724B75"/>
    <w:rsid w:val="40735404"/>
    <w:rsid w:val="4091C30B"/>
    <w:rsid w:val="40B61374"/>
    <w:rsid w:val="40C5A56E"/>
    <w:rsid w:val="40CB1B0A"/>
    <w:rsid w:val="40D7B689"/>
    <w:rsid w:val="40F4221B"/>
    <w:rsid w:val="41167451"/>
    <w:rsid w:val="4126F714"/>
    <w:rsid w:val="413790A7"/>
    <w:rsid w:val="415A96E5"/>
    <w:rsid w:val="417FC46C"/>
    <w:rsid w:val="4187AF1F"/>
    <w:rsid w:val="4187F51B"/>
    <w:rsid w:val="41A1E8E1"/>
    <w:rsid w:val="41AA54FD"/>
    <w:rsid w:val="41F27423"/>
    <w:rsid w:val="420C8CE2"/>
    <w:rsid w:val="421CC93F"/>
    <w:rsid w:val="423BC3BB"/>
    <w:rsid w:val="4276411B"/>
    <w:rsid w:val="4289E0BD"/>
    <w:rsid w:val="42E8B66C"/>
    <w:rsid w:val="43237F80"/>
    <w:rsid w:val="433FED70"/>
    <w:rsid w:val="4473DABF"/>
    <w:rsid w:val="44792777"/>
    <w:rsid w:val="449237A7"/>
    <w:rsid w:val="44991DEB"/>
    <w:rsid w:val="44BF4FE1"/>
    <w:rsid w:val="44CA339C"/>
    <w:rsid w:val="451BE82D"/>
    <w:rsid w:val="45504F5D"/>
    <w:rsid w:val="45690D19"/>
    <w:rsid w:val="4582631C"/>
    <w:rsid w:val="4584F358"/>
    <w:rsid w:val="45898497"/>
    <w:rsid w:val="4591F0B3"/>
    <w:rsid w:val="45FE22C3"/>
    <w:rsid w:val="462E9DA8"/>
    <w:rsid w:val="4634002A"/>
    <w:rsid w:val="465C78CE"/>
    <w:rsid w:val="4679680B"/>
    <w:rsid w:val="4689B2EA"/>
    <w:rsid w:val="46A4593C"/>
    <w:rsid w:val="46DD6A89"/>
    <w:rsid w:val="46E85452"/>
    <w:rsid w:val="46F03A62"/>
    <w:rsid w:val="471EDFB5"/>
    <w:rsid w:val="47262103"/>
    <w:rsid w:val="4734E6F2"/>
    <w:rsid w:val="47753AEA"/>
    <w:rsid w:val="47ACA9D5"/>
    <w:rsid w:val="47B38AC0"/>
    <w:rsid w:val="47C2825B"/>
    <w:rsid w:val="47CD6266"/>
    <w:rsid w:val="47E8AC01"/>
    <w:rsid w:val="47F6F0A3"/>
    <w:rsid w:val="4815386C"/>
    <w:rsid w:val="482D70D1"/>
    <w:rsid w:val="484F6496"/>
    <w:rsid w:val="487D5D5A"/>
    <w:rsid w:val="48B61792"/>
    <w:rsid w:val="48BE2430"/>
    <w:rsid w:val="48EBC4FB"/>
    <w:rsid w:val="48EE8630"/>
    <w:rsid w:val="4A04E939"/>
    <w:rsid w:val="4A192DBB"/>
    <w:rsid w:val="4A28415D"/>
    <w:rsid w:val="4A2FD9BD"/>
    <w:rsid w:val="4A441484"/>
    <w:rsid w:val="4A73A1BC"/>
    <w:rsid w:val="4A7FE465"/>
    <w:rsid w:val="4A9387B4"/>
    <w:rsid w:val="4B367EEB"/>
    <w:rsid w:val="4B39D9C7"/>
    <w:rsid w:val="4C2F5815"/>
    <w:rsid w:val="4C7D4D69"/>
    <w:rsid w:val="4C886AC7"/>
    <w:rsid w:val="4C9E461B"/>
    <w:rsid w:val="4CCF8132"/>
    <w:rsid w:val="4CE7B997"/>
    <w:rsid w:val="4D1115E5"/>
    <w:rsid w:val="4D307835"/>
    <w:rsid w:val="4D48FE82"/>
    <w:rsid w:val="4D5D6CAE"/>
    <w:rsid w:val="4D78EEC9"/>
    <w:rsid w:val="4D790A7C"/>
    <w:rsid w:val="4D8988B5"/>
    <w:rsid w:val="4D8B0019"/>
    <w:rsid w:val="4DB588C9"/>
    <w:rsid w:val="4DB7E9CE"/>
    <w:rsid w:val="4E55F55D"/>
    <w:rsid w:val="4E680F97"/>
    <w:rsid w:val="4E810C80"/>
    <w:rsid w:val="4EC05657"/>
    <w:rsid w:val="4ED37681"/>
    <w:rsid w:val="4EEFFB25"/>
    <w:rsid w:val="4EFBB280"/>
    <w:rsid w:val="4F0571CF"/>
    <w:rsid w:val="4F255916"/>
    <w:rsid w:val="4F28D6A9"/>
    <w:rsid w:val="4F3F7A7F"/>
    <w:rsid w:val="4F58427F"/>
    <w:rsid w:val="4F708CC6"/>
    <w:rsid w:val="4F8BEDC4"/>
    <w:rsid w:val="4F9B0ADE"/>
    <w:rsid w:val="501F5A59"/>
    <w:rsid w:val="502210B9"/>
    <w:rsid w:val="503785E5"/>
    <w:rsid w:val="5066885A"/>
    <w:rsid w:val="507DF44B"/>
    <w:rsid w:val="50F8820A"/>
    <w:rsid w:val="5129F2C0"/>
    <w:rsid w:val="5177A0F3"/>
    <w:rsid w:val="51828C9F"/>
    <w:rsid w:val="51D22FD5"/>
    <w:rsid w:val="524C51D4"/>
    <w:rsid w:val="527793A1"/>
    <w:rsid w:val="5286272F"/>
    <w:rsid w:val="528FE341"/>
    <w:rsid w:val="52A82D88"/>
    <w:rsid w:val="52E2C21F"/>
    <w:rsid w:val="535963DC"/>
    <w:rsid w:val="53618338"/>
    <w:rsid w:val="53702378"/>
    <w:rsid w:val="53AC55D4"/>
    <w:rsid w:val="544B9160"/>
    <w:rsid w:val="545665AB"/>
    <w:rsid w:val="54961958"/>
    <w:rsid w:val="54C80B6E"/>
    <w:rsid w:val="54D04002"/>
    <w:rsid w:val="5500070F"/>
    <w:rsid w:val="551F7695"/>
    <w:rsid w:val="554AA58B"/>
    <w:rsid w:val="555F3CA9"/>
    <w:rsid w:val="558685A2"/>
    <w:rsid w:val="55E25357"/>
    <w:rsid w:val="55F2360C"/>
    <w:rsid w:val="56149413"/>
    <w:rsid w:val="56156AB3"/>
    <w:rsid w:val="5655FDC2"/>
    <w:rsid w:val="5663DBCF"/>
    <w:rsid w:val="569EFB31"/>
    <w:rsid w:val="56B05E68"/>
    <w:rsid w:val="56DAA3D4"/>
    <w:rsid w:val="573A2B54"/>
    <w:rsid w:val="5743F3EF"/>
    <w:rsid w:val="576D562C"/>
    <w:rsid w:val="577C2646"/>
    <w:rsid w:val="577EADEC"/>
    <w:rsid w:val="57825ED0"/>
    <w:rsid w:val="57CABB25"/>
    <w:rsid w:val="57CED989"/>
    <w:rsid w:val="57CFBDEB"/>
    <w:rsid w:val="580EC669"/>
    <w:rsid w:val="581547EF"/>
    <w:rsid w:val="58367D5A"/>
    <w:rsid w:val="586D75E6"/>
    <w:rsid w:val="587A417C"/>
    <w:rsid w:val="587B1862"/>
    <w:rsid w:val="588562CD"/>
    <w:rsid w:val="58872A28"/>
    <w:rsid w:val="5897908B"/>
    <w:rsid w:val="58B8854F"/>
    <w:rsid w:val="58BB9358"/>
    <w:rsid w:val="58DFC450"/>
    <w:rsid w:val="58EF0604"/>
    <w:rsid w:val="591E2F31"/>
    <w:rsid w:val="59527407"/>
    <w:rsid w:val="59668B86"/>
    <w:rsid w:val="5978AE7F"/>
    <w:rsid w:val="597CC923"/>
    <w:rsid w:val="59B168D1"/>
    <w:rsid w:val="59DF64FC"/>
    <w:rsid w:val="5A3E6527"/>
    <w:rsid w:val="5A5D4D6E"/>
    <w:rsid w:val="5AAB9AE3"/>
    <w:rsid w:val="5AC9B239"/>
    <w:rsid w:val="5ACCEF65"/>
    <w:rsid w:val="5AF6CBF1"/>
    <w:rsid w:val="5B025BE7"/>
    <w:rsid w:val="5B3F8186"/>
    <w:rsid w:val="5B4D3932"/>
    <w:rsid w:val="5B5F1807"/>
    <w:rsid w:val="5B80FA5E"/>
    <w:rsid w:val="5BB2B924"/>
    <w:rsid w:val="5C2E7BC0"/>
    <w:rsid w:val="5C3380E7"/>
    <w:rsid w:val="5C387A80"/>
    <w:rsid w:val="5C3D7AE8"/>
    <w:rsid w:val="5C7973F5"/>
    <w:rsid w:val="5C7F2C41"/>
    <w:rsid w:val="5C8503EB"/>
    <w:rsid w:val="5CC9DC45"/>
    <w:rsid w:val="5CFAE868"/>
    <w:rsid w:val="5D05CAE7"/>
    <w:rsid w:val="5D08657E"/>
    <w:rsid w:val="5D1705BE"/>
    <w:rsid w:val="5D201675"/>
    <w:rsid w:val="5D532A02"/>
    <w:rsid w:val="5D55B770"/>
    <w:rsid w:val="5D752F06"/>
    <w:rsid w:val="5DAC3289"/>
    <w:rsid w:val="5DB22CE4"/>
    <w:rsid w:val="5DEDEF70"/>
    <w:rsid w:val="5E154456"/>
    <w:rsid w:val="5E3A5EF2"/>
    <w:rsid w:val="5E7BBE79"/>
    <w:rsid w:val="5E8CAAD4"/>
    <w:rsid w:val="5EB62B09"/>
    <w:rsid w:val="5EBBE6D6"/>
    <w:rsid w:val="5EDCB76A"/>
    <w:rsid w:val="5EE44EFB"/>
    <w:rsid w:val="5F0961C8"/>
    <w:rsid w:val="5F6B21A9"/>
    <w:rsid w:val="5F7F0C06"/>
    <w:rsid w:val="5F87382B"/>
    <w:rsid w:val="5FC14527"/>
    <w:rsid w:val="5FCFF560"/>
    <w:rsid w:val="60400640"/>
    <w:rsid w:val="60C63E4E"/>
    <w:rsid w:val="60F0A2FB"/>
    <w:rsid w:val="60FD1944"/>
    <w:rsid w:val="6123088C"/>
    <w:rsid w:val="6156C7CB"/>
    <w:rsid w:val="61580071"/>
    <w:rsid w:val="6158750E"/>
    <w:rsid w:val="617C23D4"/>
    <w:rsid w:val="61F38798"/>
    <w:rsid w:val="61F486F4"/>
    <w:rsid w:val="61FCE00C"/>
    <w:rsid w:val="621D0409"/>
    <w:rsid w:val="623E2E80"/>
    <w:rsid w:val="6261790F"/>
    <w:rsid w:val="627FA3AC"/>
    <w:rsid w:val="6290DB5C"/>
    <w:rsid w:val="62DF2051"/>
    <w:rsid w:val="632B98EF"/>
    <w:rsid w:val="634F2F9C"/>
    <w:rsid w:val="63BE8C1D"/>
    <w:rsid w:val="63D9FEE1"/>
    <w:rsid w:val="63FD4970"/>
    <w:rsid w:val="643928FE"/>
    <w:rsid w:val="644F69E1"/>
    <w:rsid w:val="647ABDE1"/>
    <w:rsid w:val="64B0BAAA"/>
    <w:rsid w:val="64DE7646"/>
    <w:rsid w:val="64E663CC"/>
    <w:rsid w:val="64F5626B"/>
    <w:rsid w:val="659037A2"/>
    <w:rsid w:val="65B5F541"/>
    <w:rsid w:val="65CE1F91"/>
    <w:rsid w:val="65F2DF0C"/>
    <w:rsid w:val="65FDDF9A"/>
    <w:rsid w:val="661FEAA9"/>
    <w:rsid w:val="66B3556C"/>
    <w:rsid w:val="66C6F8BB"/>
    <w:rsid w:val="66FC99B6"/>
    <w:rsid w:val="6702E8EF"/>
    <w:rsid w:val="67962FB1"/>
    <w:rsid w:val="67C1DEE8"/>
    <w:rsid w:val="67D9D98B"/>
    <w:rsid w:val="67FF0A12"/>
    <w:rsid w:val="6828C552"/>
    <w:rsid w:val="686EF01A"/>
    <w:rsid w:val="687DACEA"/>
    <w:rsid w:val="687F911B"/>
    <w:rsid w:val="68B0BE70"/>
    <w:rsid w:val="68C0A616"/>
    <w:rsid w:val="6918AD26"/>
    <w:rsid w:val="691D3615"/>
    <w:rsid w:val="693607F7"/>
    <w:rsid w:val="696897D1"/>
    <w:rsid w:val="696B1727"/>
    <w:rsid w:val="696B1CC5"/>
    <w:rsid w:val="69935326"/>
    <w:rsid w:val="69A0AC92"/>
    <w:rsid w:val="69FE997D"/>
    <w:rsid w:val="6A238E6A"/>
    <w:rsid w:val="6AD0235C"/>
    <w:rsid w:val="6ADD6D8B"/>
    <w:rsid w:val="6AECA0A3"/>
    <w:rsid w:val="6B253543"/>
    <w:rsid w:val="6B5561DC"/>
    <w:rsid w:val="6B64A3EF"/>
    <w:rsid w:val="6B76FA53"/>
    <w:rsid w:val="6BA19743"/>
    <w:rsid w:val="6BBDADC5"/>
    <w:rsid w:val="6BBF5ECB"/>
    <w:rsid w:val="6BCD8B83"/>
    <w:rsid w:val="6C1E5B89"/>
    <w:rsid w:val="6C6CA0C4"/>
    <w:rsid w:val="6C9D6784"/>
    <w:rsid w:val="6CF12EA3"/>
    <w:rsid w:val="6D363A3F"/>
    <w:rsid w:val="6D64AD4F"/>
    <w:rsid w:val="6D8DBC54"/>
    <w:rsid w:val="6D95CB93"/>
    <w:rsid w:val="6DC00919"/>
    <w:rsid w:val="6DF050BD"/>
    <w:rsid w:val="6E09791A"/>
    <w:rsid w:val="6E0C00C0"/>
    <w:rsid w:val="6E29FD32"/>
    <w:rsid w:val="6E3937E5"/>
    <w:rsid w:val="6E8D4612"/>
    <w:rsid w:val="6EB61946"/>
    <w:rsid w:val="6EC65F6F"/>
    <w:rsid w:val="6ED98FB3"/>
    <w:rsid w:val="6F8098F5"/>
    <w:rsid w:val="6FB7173B"/>
    <w:rsid w:val="6FD19A23"/>
    <w:rsid w:val="6FDA58AB"/>
    <w:rsid w:val="6FDF218B"/>
    <w:rsid w:val="6FF8A666"/>
    <w:rsid w:val="700294AA"/>
    <w:rsid w:val="701EE045"/>
    <w:rsid w:val="70381512"/>
    <w:rsid w:val="7075C887"/>
    <w:rsid w:val="70EA3A30"/>
    <w:rsid w:val="7103B109"/>
    <w:rsid w:val="71337816"/>
    <w:rsid w:val="7173A9B6"/>
    <w:rsid w:val="71BD4D52"/>
    <w:rsid w:val="721AEF6E"/>
    <w:rsid w:val="7249336E"/>
    <w:rsid w:val="7253FC55"/>
    <w:rsid w:val="72937A3C"/>
    <w:rsid w:val="72ACE895"/>
    <w:rsid w:val="72B839B7"/>
    <w:rsid w:val="7316F739"/>
    <w:rsid w:val="7317679D"/>
    <w:rsid w:val="731ECACE"/>
    <w:rsid w:val="7360B735"/>
    <w:rsid w:val="736BF56C"/>
    <w:rsid w:val="73820C38"/>
    <w:rsid w:val="73BF750B"/>
    <w:rsid w:val="74024A90"/>
    <w:rsid w:val="74104F25"/>
    <w:rsid w:val="741C6862"/>
    <w:rsid w:val="74224104"/>
    <w:rsid w:val="74422F4C"/>
    <w:rsid w:val="744872FA"/>
    <w:rsid w:val="74A2972A"/>
    <w:rsid w:val="753F90C9"/>
    <w:rsid w:val="754AA498"/>
    <w:rsid w:val="759E1AF1"/>
    <w:rsid w:val="75A8541A"/>
    <w:rsid w:val="761CE616"/>
    <w:rsid w:val="76444EDF"/>
    <w:rsid w:val="76499A2F"/>
    <w:rsid w:val="764E97FB"/>
    <w:rsid w:val="7657847F"/>
    <w:rsid w:val="76668DA2"/>
    <w:rsid w:val="76E674F9"/>
    <w:rsid w:val="76F4941F"/>
    <w:rsid w:val="770698F6"/>
    <w:rsid w:val="771CE5A4"/>
    <w:rsid w:val="77617CEB"/>
    <w:rsid w:val="776E4260"/>
    <w:rsid w:val="77AD1E34"/>
    <w:rsid w:val="77B5D6E2"/>
    <w:rsid w:val="7817F7B8"/>
    <w:rsid w:val="781ED4CC"/>
    <w:rsid w:val="78557D5B"/>
    <w:rsid w:val="786F2EBC"/>
    <w:rsid w:val="787197D3"/>
    <w:rsid w:val="78BC9356"/>
    <w:rsid w:val="7938520D"/>
    <w:rsid w:val="7948EE95"/>
    <w:rsid w:val="794C2BC1"/>
    <w:rsid w:val="795486D8"/>
    <w:rsid w:val="79A54709"/>
    <w:rsid w:val="7AB991EE"/>
    <w:rsid w:val="7ABAFA11"/>
    <w:rsid w:val="7B04A290"/>
    <w:rsid w:val="7B4D34D7"/>
    <w:rsid w:val="7B535CBE"/>
    <w:rsid w:val="7BD14110"/>
    <w:rsid w:val="7C1B610A"/>
    <w:rsid w:val="7C390A44"/>
    <w:rsid w:val="7C45403D"/>
    <w:rsid w:val="7C46FB76"/>
    <w:rsid w:val="7C58A44B"/>
    <w:rsid w:val="7C70DCB0"/>
    <w:rsid w:val="7CB01D2B"/>
    <w:rsid w:val="7CCF76A2"/>
    <w:rsid w:val="7CF65EA4"/>
    <w:rsid w:val="7D308A4B"/>
    <w:rsid w:val="7D68C339"/>
    <w:rsid w:val="7DC90BB4"/>
    <w:rsid w:val="7DDAA205"/>
    <w:rsid w:val="7E3C4352"/>
    <w:rsid w:val="7E844982"/>
    <w:rsid w:val="7EAF0F02"/>
    <w:rsid w:val="7F505C8D"/>
    <w:rsid w:val="7F536673"/>
    <w:rsid w:val="7F9239CD"/>
    <w:rsid w:val="7FB3058F"/>
    <w:rsid w:val="7FD233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E0ED5"/>
  <w15:chartTrackingRefBased/>
  <w15:docId w15:val="{D6BBDBA1-1B56-4CEC-AE3A-555D98473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a4">
    <w:name w:val="Горен колонтитул Знак"/>
    <w:basedOn w:val="a0"/>
    <w:link w:val="a5"/>
    <w:uiPriority w:val="99"/>
  </w:style>
  <w:style w:type="paragraph" w:styleId="a5">
    <w:name w:val="header"/>
    <w:basedOn w:val="a"/>
    <w:link w:val="a4"/>
    <w:uiPriority w:val="99"/>
    <w:unhideWhenUsed/>
    <w:pPr>
      <w:tabs>
        <w:tab w:val="center" w:pos="4680"/>
        <w:tab w:val="right" w:pos="9360"/>
      </w:tabs>
      <w:spacing w:after="0" w:line="240" w:lineRule="auto"/>
    </w:pPr>
  </w:style>
  <w:style w:type="character" w:customStyle="1" w:styleId="a6">
    <w:name w:val="Долен колонтитул Знак"/>
    <w:basedOn w:val="a0"/>
    <w:link w:val="a7"/>
    <w:uiPriority w:val="99"/>
  </w:style>
  <w:style w:type="paragraph" w:styleId="a7">
    <w:name w:val="footer"/>
    <w:basedOn w:val="a"/>
    <w:link w:val="a6"/>
    <w:uiPriority w:val="99"/>
    <w:unhideWhenUsed/>
    <w:pPr>
      <w:tabs>
        <w:tab w:val="center" w:pos="4680"/>
        <w:tab w:val="right" w:pos="9360"/>
      </w:tabs>
      <w:spacing w:after="0" w:line="240" w:lineRule="auto"/>
    </w:pPr>
  </w:style>
  <w:style w:type="character" w:styleId="a8">
    <w:name w:val="Hyperlink"/>
    <w:basedOn w:val="a0"/>
    <w:uiPriority w:val="99"/>
    <w:unhideWhenUsed/>
    <w:rPr>
      <w:color w:val="0563C1" w:themeColor="hyperlink"/>
      <w:u w:val="single"/>
    </w:rPr>
  </w:style>
  <w:style w:type="paragraph" w:styleId="11">
    <w:name w:val="toc 1"/>
    <w:basedOn w:val="a"/>
    <w:next w:val="a"/>
    <w:autoRedefine/>
    <w:uiPriority w:val="39"/>
    <w:unhideWhenUsed/>
    <w:pPr>
      <w:spacing w:after="100"/>
    </w:pPr>
  </w:style>
  <w:style w:type="paragraph" w:styleId="21">
    <w:name w:val="toc 2"/>
    <w:basedOn w:val="a"/>
    <w:next w:val="a"/>
    <w:autoRedefine/>
    <w:uiPriority w:val="39"/>
    <w:unhideWhenUsed/>
    <w:pPr>
      <w:spacing w:after="100"/>
      <w:ind w:left="220"/>
    </w:pPr>
  </w:style>
  <w:style w:type="character" w:customStyle="1" w:styleId="10">
    <w:name w:val="Заглавие 1 Знак"/>
    <w:basedOn w:val="a0"/>
    <w:link w:val="1"/>
    <w:uiPriority w:val="9"/>
    <w:rPr>
      <w:rFonts w:asciiTheme="majorHAnsi" w:eastAsiaTheme="majorEastAsia" w:hAnsiTheme="majorHAnsi" w:cstheme="majorBidi"/>
      <w:color w:val="2F5496" w:themeColor="accent1" w:themeShade="BF"/>
      <w:sz w:val="32"/>
      <w:szCs w:val="32"/>
    </w:rPr>
  </w:style>
  <w:style w:type="character" w:customStyle="1" w:styleId="20">
    <w:name w:val="Заглавие 2 Знак"/>
    <w:basedOn w:val="a0"/>
    <w:link w:val="2"/>
    <w:uiPriority w:val="9"/>
    <w:rPr>
      <w:rFonts w:asciiTheme="majorHAnsi" w:eastAsiaTheme="majorEastAsia" w:hAnsiTheme="majorHAnsi" w:cstheme="majorBidi"/>
      <w:color w:val="2F5496" w:themeColor="accent1" w:themeShade="BF"/>
      <w:sz w:val="26"/>
      <w:szCs w:val="26"/>
    </w:rPr>
  </w:style>
  <w:style w:type="paragraph" w:styleId="a9">
    <w:name w:val="List Paragraph"/>
    <w:basedOn w:val="a"/>
    <w:uiPriority w:val="34"/>
    <w:qFormat/>
    <w:pPr>
      <w:ind w:left="720"/>
      <w:contextualSpacing/>
    </w:pPr>
  </w:style>
  <w:style w:type="paragraph" w:styleId="31">
    <w:name w:val="toc 3"/>
    <w:basedOn w:val="a"/>
    <w:next w:val="a"/>
    <w:autoRedefine/>
    <w:uiPriority w:val="39"/>
    <w:unhideWhenUsed/>
    <w:pPr>
      <w:spacing w:after="100"/>
      <w:ind w:left="440"/>
    </w:pPr>
  </w:style>
  <w:style w:type="character" w:customStyle="1" w:styleId="30">
    <w:name w:val="Заглавие 3 Знак"/>
    <w:basedOn w:val="a0"/>
    <w:link w:val="3"/>
    <w:uiPriority w:val="9"/>
    <w:rPr>
      <w:rFonts w:asciiTheme="majorHAnsi" w:eastAsiaTheme="majorEastAsia" w:hAnsiTheme="majorHAnsi" w:cstheme="majorBidi"/>
      <w:color w:val="1F3763" w:themeColor="accent1" w:themeShade="7F"/>
      <w:sz w:val="24"/>
      <w:szCs w:val="24"/>
    </w:rPr>
  </w:style>
  <w:style w:type="character" w:customStyle="1" w:styleId="aa">
    <w:name w:val="Подзаглавие Знак"/>
    <w:basedOn w:val="a0"/>
    <w:link w:val="ab"/>
    <w:uiPriority w:val="11"/>
    <w:rPr>
      <w:rFonts w:eastAsiaTheme="minorEastAsia"/>
      <w:color w:val="5A5A5A" w:themeColor="text1" w:themeTint="A5"/>
      <w:spacing w:val="15"/>
    </w:rPr>
  </w:style>
  <w:style w:type="paragraph" w:styleId="ab">
    <w:name w:val="Subtitle"/>
    <w:basedOn w:val="a"/>
    <w:next w:val="a"/>
    <w:link w:val="aa"/>
    <w:uiPriority w:val="11"/>
    <w:qFormat/>
    <w:pPr>
      <w:numPr>
        <w:ilvl w:val="1"/>
      </w:numPr>
    </w:pPr>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adbury.co.uk/our-story" TargetMode="External"/><Relationship Id="rId18" Type="http://schemas.openxmlformats.org/officeDocument/2006/relationships/hyperlink" Target="https://econsultancy.com/blog/10370-cadbury-s-shift-to-social-means-no-more-drumming-gorilla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onlinelibrary.wiley.com/doi/full/10.1002/9781444316568.wiem04001" TargetMode="External"/><Relationship Id="rId12" Type="http://schemas.openxmlformats.org/officeDocument/2006/relationships/hyperlink" Target="http://garthbox.com/the-shannon-weaver-model/" TargetMode="External"/><Relationship Id="rId17" Type="http://schemas.openxmlformats.org/officeDocument/2006/relationships/hyperlink" Target="https://www.warc.com/newsandopinion/opinion/cadburys-claire-low-why-creativity-and-practicality-matter-for-brand-experiences/en-gb/4448" TargetMode="External"/><Relationship Id="rId2" Type="http://schemas.openxmlformats.org/officeDocument/2006/relationships/styles" Target="styles.xml"/><Relationship Id="rId16" Type="http://schemas.openxmlformats.org/officeDocument/2006/relationships/hyperlink" Target="https://econsultancy.com/how-cadbury-is-using-experiential-marketing-to-delight-consumers/" TargetMode="External"/><Relationship Id="rId20" Type="http://schemas.openxmlformats.org/officeDocument/2006/relationships/hyperlink" Target="https://medium.com/@azviss4/customer-journey-mapping-in-7-bookmarks-d116da67a0c2"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jpg"/><Relationship Id="R41d32389e63f4977" Type="http://schemas.microsoft.com/office/2020/10/relationships/intelligence" Target="intelligence2.xml"/><Relationship Id="rId5" Type="http://schemas.openxmlformats.org/officeDocument/2006/relationships/image" Target="media/image1.jpeg"/><Relationship Id="rId15" Type="http://schemas.openxmlformats.org/officeDocument/2006/relationships/hyperlink" Target="https://www.dailypost.co.uk/news/north-wales-news/cadburys-easter-egg-hunt-2022-23552042" TargetMode="External"/><Relationship Id="rId10" Type="http://schemas.openxmlformats.org/officeDocument/2006/relationships/image" Target="media/image5.png"/><Relationship Id="rId19" Type="http://schemas.openxmlformats.org/officeDocument/2006/relationships/hyperlink" Target="https://thecadburychocolatier.wordpress.com/cbbe-pyramid/"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hyperlink" Target="http://www.dandad.org/en/cadbury-gorilla/"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6328</Words>
  <Characters>36076</Characters>
  <Application>Microsoft Office Word</Application>
  <DocSecurity>0</DocSecurity>
  <Lines>300</Lines>
  <Paragraphs>84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42320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Yoana Georgieva (1714886)</dc:creator>
  <cp:keywords/>
  <dc:description/>
  <cp:lastModifiedBy>Yoana</cp:lastModifiedBy>
  <cp:revision>3</cp:revision>
  <dcterms:created xsi:type="dcterms:W3CDTF">2022-04-23T15:11:00Z</dcterms:created>
  <dcterms:modified xsi:type="dcterms:W3CDTF">2022-04-23T15:13:00Z</dcterms:modified>
</cp:coreProperties>
</file>