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DF2A0" w14:textId="77777777" w:rsidR="001C1215" w:rsidRPr="00BC207C" w:rsidRDefault="001C1215" w:rsidP="00BC207C">
      <w:pPr>
        <w:spacing w:line="360" w:lineRule="auto"/>
        <w:rPr>
          <w:rFonts w:ascii="Calibri" w:hAnsi="Calibri" w:cs="Calibri"/>
          <w:b/>
          <w:bCs/>
        </w:rPr>
      </w:pPr>
      <w:r w:rsidRPr="00BC207C">
        <w:rPr>
          <w:rFonts w:ascii="Calibri" w:hAnsi="Calibri" w:cs="Calibri"/>
          <w:b/>
          <w:bCs/>
        </w:rPr>
        <w:t>Evaluate the Challenges Associated with the Concept of Men’s Rea and the Confirmation of Criminal Liability within Law</w:t>
      </w:r>
    </w:p>
    <w:p w14:paraId="05B1CBE8" w14:textId="77777777" w:rsidR="001C1215" w:rsidRPr="00BC207C" w:rsidRDefault="001C1215" w:rsidP="00BC207C">
      <w:pPr>
        <w:spacing w:line="360" w:lineRule="auto"/>
        <w:rPr>
          <w:rFonts w:ascii="Calibri" w:hAnsi="Calibri" w:cs="Calibri"/>
        </w:rPr>
      </w:pPr>
    </w:p>
    <w:p w14:paraId="09610E87" w14:textId="030A9E05" w:rsidR="00E345E5" w:rsidRPr="00BC207C" w:rsidRDefault="00E345E5" w:rsidP="00BC207C">
      <w:pPr>
        <w:spacing w:line="360" w:lineRule="auto"/>
        <w:rPr>
          <w:rFonts w:ascii="Calibri" w:eastAsia="Times New Roman" w:hAnsi="Calibri" w:cs="Calibri"/>
          <w:kern w:val="0"/>
          <w:lang w:eastAsia="en-GB"/>
          <w14:ligatures w14:val="none"/>
        </w:rPr>
      </w:pPr>
    </w:p>
    <w:p w14:paraId="6B770258" w14:textId="62F97653" w:rsidR="00E345E5" w:rsidRPr="00BC207C" w:rsidRDefault="00E345E5" w:rsidP="00BC207C">
      <w:pPr>
        <w:spacing w:line="360" w:lineRule="auto"/>
        <w:rPr>
          <w:rFonts w:ascii="Calibri" w:hAnsi="Calibri" w:cs="Calibri"/>
        </w:rPr>
      </w:pPr>
      <w:r w:rsidRPr="00BC207C">
        <w:rPr>
          <w:rFonts w:ascii="Calibri" w:hAnsi="Calibri" w:cs="Calibri"/>
        </w:rPr>
        <w:t>The concept of mens rea, Latin for "guilty mind," occupies a central position in the foundation of the criminal justice system. It refers to the defendant's mental state or intent at the time of the</w:t>
      </w:r>
      <w:r w:rsidR="005E0774" w:rsidRPr="00BC207C">
        <w:rPr>
          <w:rFonts w:ascii="Calibri" w:hAnsi="Calibri" w:cs="Calibri"/>
        </w:rPr>
        <w:t xml:space="preserve"> </w:t>
      </w:r>
      <w:r w:rsidRPr="00BC207C">
        <w:rPr>
          <w:rFonts w:ascii="Calibri" w:hAnsi="Calibri" w:cs="Calibri"/>
        </w:rPr>
        <w:t xml:space="preserve">alleged crime, playing a crucial role in determining their culpability and moral blameworthiness (Ashworth, 2006). Establishing mens rea is fundamental, ensuring that only individuals who </w:t>
      </w:r>
      <w:r w:rsidR="005E0774" w:rsidRPr="00BC207C">
        <w:rPr>
          <w:rFonts w:ascii="Calibri" w:hAnsi="Calibri" w:cs="Calibri"/>
        </w:rPr>
        <w:t>possess</w:t>
      </w:r>
      <w:r w:rsidRPr="00BC207C">
        <w:rPr>
          <w:rFonts w:ascii="Calibri" w:hAnsi="Calibri" w:cs="Calibri"/>
        </w:rPr>
        <w:t xml:space="preserve"> the necessary culpable mental state for a specific crime are held accountable (Hussain, 2019). This principle upholds fairness and proportionality in punishment, preventing individuals from being penalized for acts they did not intend or foresee.</w:t>
      </w:r>
    </w:p>
    <w:p w14:paraId="4FA1D7BD" w14:textId="165E73C4" w:rsidR="00E345E5" w:rsidRPr="00BC207C" w:rsidRDefault="00E345E5" w:rsidP="00BC207C">
      <w:pPr>
        <w:spacing w:line="360" w:lineRule="auto"/>
        <w:rPr>
          <w:rFonts w:ascii="Calibri" w:hAnsi="Calibri" w:cs="Calibri"/>
        </w:rPr>
      </w:pPr>
      <w:r w:rsidRPr="00BC207C">
        <w:rPr>
          <w:rFonts w:ascii="Calibri" w:hAnsi="Calibri" w:cs="Calibri"/>
        </w:rPr>
        <w:t>However, applying the concept of mens rea in real-world scenarios presents several significant challenges that impact the determination of criminal liability. This essay delve</w:t>
      </w:r>
      <w:r w:rsidR="00CB0BE6" w:rsidRPr="00BC207C">
        <w:rPr>
          <w:rFonts w:ascii="Calibri" w:hAnsi="Calibri" w:cs="Calibri"/>
        </w:rPr>
        <w:t xml:space="preserve">s </w:t>
      </w:r>
      <w:r w:rsidRPr="00BC207C">
        <w:rPr>
          <w:rFonts w:ascii="Calibri" w:hAnsi="Calibri" w:cs="Calibri"/>
        </w:rPr>
        <w:t>into three key challenges: determining the defendant's mental state, differentiating between different forms of intent, and confirming criminal liability with a high burden of proof.</w:t>
      </w:r>
    </w:p>
    <w:p w14:paraId="0EDE4B8C" w14:textId="23F739E9" w:rsidR="00E345E5" w:rsidRPr="00BC207C" w:rsidRDefault="00E345E5" w:rsidP="00BC207C">
      <w:pPr>
        <w:spacing w:line="360" w:lineRule="auto"/>
        <w:rPr>
          <w:rFonts w:ascii="Calibri" w:hAnsi="Calibri" w:cs="Calibri"/>
        </w:rPr>
      </w:pPr>
      <w:r w:rsidRPr="00BC207C">
        <w:rPr>
          <w:rFonts w:ascii="Calibri" w:hAnsi="Calibri" w:cs="Calibri"/>
          <w:b/>
          <w:bCs/>
        </w:rPr>
        <w:t>Determining the Defendant's Mental State</w:t>
      </w:r>
    </w:p>
    <w:p w14:paraId="01050431" w14:textId="28D61116" w:rsidR="00E345E5" w:rsidRPr="00BC207C" w:rsidRDefault="00E345E5" w:rsidP="00BC207C">
      <w:pPr>
        <w:spacing w:line="360" w:lineRule="auto"/>
        <w:rPr>
          <w:rFonts w:ascii="Calibri" w:hAnsi="Calibri" w:cs="Calibri"/>
        </w:rPr>
      </w:pPr>
      <w:r w:rsidRPr="00BC207C">
        <w:rPr>
          <w:rFonts w:ascii="Calibri" w:hAnsi="Calibri" w:cs="Calibri"/>
        </w:rPr>
        <w:t>Unlike physical evidence, such as fingerprints or DNA, mental states are inherently subjective and difficult to prove definitively (Fletcher, 20</w:t>
      </w:r>
      <w:r w:rsidR="0086128E" w:rsidRPr="00BC207C">
        <w:rPr>
          <w:rFonts w:ascii="Calibri" w:hAnsi="Calibri" w:cs="Calibri"/>
        </w:rPr>
        <w:t>00</w:t>
      </w:r>
      <w:r w:rsidRPr="00BC207C">
        <w:rPr>
          <w:rFonts w:ascii="Calibri" w:hAnsi="Calibri" w:cs="Calibri"/>
        </w:rPr>
        <w:t>). This poses a significant challenge, particularly in cases involving mental health issues or intoxication, where the defendant's capacity to form the requisite intent may be diminished. In complex scenarios like these, accurately assessing whether the defendant possessed the necessary mens rea necessitates expertise in psychology and careful consideration of their medical history, both past and present (Simester &amp; Sullivan, 2018).</w:t>
      </w:r>
    </w:p>
    <w:p w14:paraId="387E8678" w14:textId="77777777" w:rsidR="00E345E5" w:rsidRPr="00BC207C" w:rsidRDefault="00E345E5" w:rsidP="00BC207C">
      <w:pPr>
        <w:spacing w:line="360" w:lineRule="auto"/>
        <w:rPr>
          <w:rFonts w:ascii="Calibri" w:hAnsi="Calibri" w:cs="Calibri"/>
        </w:rPr>
      </w:pPr>
      <w:r w:rsidRPr="00BC207C">
        <w:rPr>
          <w:rFonts w:ascii="Calibri" w:hAnsi="Calibri" w:cs="Calibri"/>
        </w:rPr>
        <w:t xml:space="preserve">Furthermore, even in cases without apparent mental health concerns, determining the defendant's mental state can remain a daunting task. Recollection of events may be unreliable, and evidence of the defendant's thoughts and intentions often relies on subjective interpretations of their statements and actions (Ashworth, 2009). This inherent </w:t>
      </w:r>
      <w:r w:rsidRPr="00BC207C">
        <w:rPr>
          <w:rFonts w:ascii="Calibri" w:hAnsi="Calibri" w:cs="Calibri"/>
        </w:rPr>
        <w:lastRenderedPageBreak/>
        <w:t>subjectivity can lead to inconsistencies in case outcomes, raising concerns about the fairness and consistency of the legal process.</w:t>
      </w:r>
    </w:p>
    <w:p w14:paraId="68F98C0C" w14:textId="0DFB76B3" w:rsidR="00E345E5" w:rsidRPr="00BC207C" w:rsidRDefault="00E345E5" w:rsidP="00BC207C">
      <w:pPr>
        <w:spacing w:line="360" w:lineRule="auto"/>
        <w:rPr>
          <w:rFonts w:ascii="Calibri" w:hAnsi="Calibri" w:cs="Calibri"/>
        </w:rPr>
      </w:pPr>
      <w:r w:rsidRPr="00BC207C">
        <w:rPr>
          <w:rFonts w:ascii="Calibri" w:hAnsi="Calibri" w:cs="Calibri"/>
          <w:b/>
          <w:bCs/>
        </w:rPr>
        <w:t>Differentiating Between Levels of Mens Rea</w:t>
      </w:r>
    </w:p>
    <w:p w14:paraId="487EA796" w14:textId="6818866E" w:rsidR="00E345E5" w:rsidRPr="00BC207C" w:rsidRDefault="00E345E5" w:rsidP="00BC207C">
      <w:pPr>
        <w:spacing w:line="360" w:lineRule="auto"/>
        <w:rPr>
          <w:rFonts w:ascii="Calibri" w:hAnsi="Calibri" w:cs="Calibri"/>
        </w:rPr>
      </w:pPr>
      <w:r w:rsidRPr="00BC207C">
        <w:rPr>
          <w:rFonts w:ascii="Calibri" w:hAnsi="Calibri" w:cs="Calibri"/>
        </w:rPr>
        <w:t xml:space="preserve">Criminal law </w:t>
      </w:r>
      <w:proofErr w:type="gramStart"/>
      <w:r w:rsidRPr="00BC207C">
        <w:rPr>
          <w:rFonts w:ascii="Calibri" w:hAnsi="Calibri" w:cs="Calibri"/>
        </w:rPr>
        <w:t>recogni</w:t>
      </w:r>
      <w:r w:rsidR="00167765" w:rsidRPr="00BC207C">
        <w:rPr>
          <w:rFonts w:ascii="Calibri" w:hAnsi="Calibri" w:cs="Calibri"/>
        </w:rPr>
        <w:t>se</w:t>
      </w:r>
      <w:proofErr w:type="gramEnd"/>
      <w:r w:rsidR="00167765" w:rsidRPr="00BC207C">
        <w:rPr>
          <w:rFonts w:ascii="Calibri" w:hAnsi="Calibri" w:cs="Calibri"/>
        </w:rPr>
        <w:t xml:space="preserve"> </w:t>
      </w:r>
      <w:r w:rsidRPr="00BC207C">
        <w:rPr>
          <w:rFonts w:ascii="Calibri" w:hAnsi="Calibri" w:cs="Calibri"/>
        </w:rPr>
        <w:t xml:space="preserve">various </w:t>
      </w:r>
      <w:r w:rsidR="00CB0BE6" w:rsidRPr="00BC207C">
        <w:rPr>
          <w:rFonts w:ascii="Calibri" w:hAnsi="Calibri" w:cs="Calibri"/>
        </w:rPr>
        <w:t>levels</w:t>
      </w:r>
      <w:r w:rsidRPr="00BC207C">
        <w:rPr>
          <w:rFonts w:ascii="Calibri" w:hAnsi="Calibri" w:cs="Calibri"/>
        </w:rPr>
        <w:t xml:space="preserve"> of mens rea, ranging from specific intent (deliberately intending a specific outcome) to </w:t>
      </w:r>
      <w:r w:rsidRPr="00BC207C">
        <w:rPr>
          <w:rFonts w:ascii="Calibri" w:hAnsi="Calibri" w:cs="Calibri"/>
          <w:b/>
          <w:bCs/>
        </w:rPr>
        <w:t>recklessness</w:t>
      </w:r>
      <w:r w:rsidRPr="00BC207C">
        <w:rPr>
          <w:rFonts w:ascii="Calibri" w:hAnsi="Calibri" w:cs="Calibri"/>
        </w:rPr>
        <w:t xml:space="preserve"> (conscious disregard for a substantial risk of harm). These</w:t>
      </w:r>
      <w:r w:rsidR="00CB0BE6" w:rsidRPr="00BC207C">
        <w:rPr>
          <w:rFonts w:ascii="Calibri" w:hAnsi="Calibri" w:cs="Calibri"/>
        </w:rPr>
        <w:t xml:space="preserve"> various levels of mens rea</w:t>
      </w:r>
      <w:r w:rsidRPr="00BC207C">
        <w:rPr>
          <w:rFonts w:ascii="Calibri" w:hAnsi="Calibri" w:cs="Calibri"/>
        </w:rPr>
        <w:t xml:space="preserve"> are crucial for ensuring fair and just application of the law, as they inform the level of culpability and, consequently, the </w:t>
      </w:r>
      <w:r w:rsidR="004D3E59" w:rsidRPr="00BC207C">
        <w:rPr>
          <w:rFonts w:ascii="Calibri" w:hAnsi="Calibri" w:cs="Calibri"/>
        </w:rPr>
        <w:t>severity of potential punishment (Gomez &amp; Ashworth, 2017).</w:t>
      </w:r>
      <w:r w:rsidRPr="00BC207C">
        <w:rPr>
          <w:rFonts w:ascii="Calibri" w:hAnsi="Calibri" w:cs="Calibri"/>
        </w:rPr>
        <w:t xml:space="preserve"> However, differentiating between these levels can be intricate and fraught with challenges.</w:t>
      </w:r>
    </w:p>
    <w:p w14:paraId="6F515408" w14:textId="77777777" w:rsidR="00CA0C40" w:rsidRPr="00BC207C" w:rsidRDefault="00CA0C40" w:rsidP="00BC207C">
      <w:pPr>
        <w:pStyle w:val="NormalWeb"/>
        <w:shd w:val="clear" w:color="auto" w:fill="FFFFFF"/>
        <w:spacing w:line="360" w:lineRule="auto"/>
        <w:rPr>
          <w:rFonts w:ascii="Calibri" w:hAnsi="Calibri" w:cs="Calibri"/>
          <w:color w:val="1F1F1F"/>
        </w:rPr>
      </w:pPr>
      <w:r w:rsidRPr="00BC207C">
        <w:rPr>
          <w:rFonts w:ascii="Calibri" w:hAnsi="Calibri" w:cs="Calibri"/>
          <w:color w:val="1F1F1F"/>
        </w:rPr>
        <w:t xml:space="preserve">Consider the scenario of a driver who exceeds the speed limit. While exceeding the limit constitutes the </w:t>
      </w:r>
      <w:r w:rsidRPr="00BC207C">
        <w:rPr>
          <w:rStyle w:val="Strong"/>
          <w:rFonts w:ascii="Calibri" w:eastAsiaTheme="majorEastAsia" w:hAnsi="Calibri" w:cs="Calibri"/>
          <w:color w:val="1F1F1F"/>
        </w:rPr>
        <w:t>actus reus</w:t>
      </w:r>
      <w:r w:rsidRPr="00BC207C">
        <w:rPr>
          <w:rFonts w:ascii="Calibri" w:hAnsi="Calibri" w:cs="Calibri"/>
          <w:color w:val="1F1F1F"/>
        </w:rPr>
        <w:t xml:space="preserve"> (physical act) (Ashworth, 2009), the driver's intent remains unclear. Were they simply </w:t>
      </w:r>
      <w:r w:rsidRPr="00BC207C">
        <w:rPr>
          <w:rStyle w:val="Strong"/>
          <w:rFonts w:ascii="Calibri" w:eastAsiaTheme="majorEastAsia" w:hAnsi="Calibri" w:cs="Calibri"/>
          <w:color w:val="1F1F1F"/>
        </w:rPr>
        <w:t>negligent</w:t>
      </w:r>
      <w:r w:rsidRPr="00BC207C">
        <w:rPr>
          <w:rFonts w:ascii="Calibri" w:hAnsi="Calibri" w:cs="Calibri"/>
          <w:color w:val="1F1F1F"/>
        </w:rPr>
        <w:t xml:space="preserve"> (von Hirsch, 2010), exceeding the limit out of inattention? Or did they act </w:t>
      </w:r>
      <w:r w:rsidRPr="00BC207C">
        <w:rPr>
          <w:rStyle w:val="Strong"/>
          <w:rFonts w:ascii="Calibri" w:eastAsiaTheme="majorEastAsia" w:hAnsi="Calibri" w:cs="Calibri"/>
          <w:color w:val="1F1F1F"/>
        </w:rPr>
        <w:t>recklessly</w:t>
      </w:r>
      <w:r w:rsidRPr="00BC207C">
        <w:rPr>
          <w:rFonts w:ascii="Calibri" w:hAnsi="Calibri" w:cs="Calibri"/>
          <w:color w:val="1F1F1F"/>
        </w:rPr>
        <w:t xml:space="preserve">, consciously disregarding the potential risk of harm to themselves or others (Ashworth, 2009)? Determining the appropriate level of </w:t>
      </w:r>
      <w:r w:rsidRPr="00BC207C">
        <w:rPr>
          <w:rStyle w:val="Strong"/>
          <w:rFonts w:ascii="Calibri" w:eastAsiaTheme="majorEastAsia" w:hAnsi="Calibri" w:cs="Calibri"/>
          <w:color w:val="1F1F1F"/>
        </w:rPr>
        <w:t>mens rea</w:t>
      </w:r>
      <w:r w:rsidRPr="00BC207C">
        <w:rPr>
          <w:rFonts w:ascii="Calibri" w:hAnsi="Calibri" w:cs="Calibri"/>
          <w:color w:val="1F1F1F"/>
        </w:rPr>
        <w:t xml:space="preserve"> in such cases often hinges on discerning subtle nuances in the evidence, potentially impacting the final judgment and sentencing significantly (Mackenzie, 2014).</w:t>
      </w:r>
    </w:p>
    <w:p w14:paraId="1E11BC81" w14:textId="77777777" w:rsidR="00CA0C40" w:rsidRPr="00BC207C" w:rsidRDefault="00CA0C40" w:rsidP="00BC207C">
      <w:pPr>
        <w:pStyle w:val="NormalWeb"/>
        <w:shd w:val="clear" w:color="auto" w:fill="FFFFFF"/>
        <w:spacing w:line="360" w:lineRule="auto"/>
        <w:rPr>
          <w:rFonts w:ascii="Calibri" w:hAnsi="Calibri" w:cs="Calibri"/>
          <w:color w:val="1F1F1F"/>
        </w:rPr>
      </w:pPr>
      <w:r w:rsidRPr="00BC207C">
        <w:rPr>
          <w:rStyle w:val="Strong"/>
          <w:rFonts w:ascii="Calibri" w:eastAsiaTheme="majorEastAsia" w:hAnsi="Calibri" w:cs="Calibri"/>
          <w:b w:val="0"/>
          <w:bCs w:val="0"/>
          <w:color w:val="1F1F1F"/>
        </w:rPr>
        <w:t>Ambiguous definitions of different mens rea levels can further complicate matters</w:t>
      </w:r>
      <w:r w:rsidRPr="00BC207C">
        <w:rPr>
          <w:rFonts w:ascii="Calibri" w:hAnsi="Calibri" w:cs="Calibri"/>
          <w:color w:val="1F1F1F"/>
        </w:rPr>
        <w:t xml:space="preserve"> (Ashworth, 2009), leading to confusion and inconsistencies in sentencing. For instance, the distinction between "recklessness" and "gross negligence" might lack a clear demarcation, potentially leading to situations where individuals with varying degrees of culpability receive the same punishment. This highlights the importance of clear and consistent definitions within the legal framework to ensure fair and proportional application of the law (Ashworth, 2009).</w:t>
      </w:r>
    </w:p>
    <w:p w14:paraId="3826F3C7" w14:textId="152714D6" w:rsidR="00E345E5" w:rsidRPr="00BC207C" w:rsidRDefault="00E345E5" w:rsidP="00BC207C">
      <w:pPr>
        <w:spacing w:line="360" w:lineRule="auto"/>
        <w:rPr>
          <w:rFonts w:ascii="Calibri" w:hAnsi="Calibri" w:cs="Calibri"/>
        </w:rPr>
      </w:pPr>
      <w:r w:rsidRPr="00BC207C">
        <w:rPr>
          <w:rFonts w:ascii="Calibri" w:hAnsi="Calibri" w:cs="Calibri"/>
        </w:rPr>
        <w:t>Confirming Criminal Liability Beyond a Reasonable Doubt</w:t>
      </w:r>
    </w:p>
    <w:p w14:paraId="4962EC77" w14:textId="77777777" w:rsidR="00E345E5" w:rsidRPr="00BC207C" w:rsidRDefault="00E345E5" w:rsidP="00BC207C">
      <w:pPr>
        <w:spacing w:line="360" w:lineRule="auto"/>
        <w:rPr>
          <w:rFonts w:ascii="Calibri" w:hAnsi="Calibri" w:cs="Calibri"/>
        </w:rPr>
      </w:pPr>
      <w:r w:rsidRPr="00BC207C">
        <w:rPr>
          <w:rFonts w:ascii="Calibri" w:hAnsi="Calibri" w:cs="Calibri"/>
        </w:rPr>
        <w:t>Establishing both the actus reus (the physical act itself) and the mens rea beyond a reasonable doubt is necessary for confirming criminal liability (Fletcher, 2000). However, proving the defendant's mental state often presents a unique challenge due to its inherent subjectivity and reliance on inference and circumstantial evidence, rather than direct evidence like confessions or eyewitness testimonies (Roberts, 2015).</w:t>
      </w:r>
    </w:p>
    <w:p w14:paraId="09B26C44" w14:textId="319557A6" w:rsidR="00D61216" w:rsidRPr="00BC207C" w:rsidRDefault="005F4720" w:rsidP="00BC207C">
      <w:pPr>
        <w:rPr>
          <w:rFonts w:ascii="Calibri" w:eastAsia="Times New Roman" w:hAnsi="Calibri" w:cs="Calibri"/>
          <w:kern w:val="0"/>
          <w:lang w:eastAsia="en-GB"/>
          <w14:ligatures w14:val="none"/>
        </w:rPr>
      </w:pPr>
      <w:r w:rsidRPr="005F4720">
        <w:rPr>
          <w:rFonts w:ascii="Calibri" w:eastAsia="Times New Roman" w:hAnsi="Calibri" w:cs="Calibri"/>
          <w:kern w:val="0"/>
          <w:lang w:eastAsia="en-GB"/>
          <w14:ligatures w14:val="none"/>
        </w:rPr>
        <w:lastRenderedPageBreak/>
        <w:t xml:space="preserve">Erroneous convictions are more likely in cases with ambiguous evidence, when the defendant's mental state is still unknown </w:t>
      </w:r>
      <w:r w:rsidR="0068678A" w:rsidRPr="00BC207C">
        <w:rPr>
          <w:rFonts w:ascii="Calibri" w:eastAsia="Times New Roman" w:hAnsi="Calibri" w:cs="Calibri"/>
          <w:kern w:val="0"/>
          <w:lang w:eastAsia="en-GB"/>
          <w14:ligatures w14:val="none"/>
        </w:rPr>
        <w:t>because of</w:t>
      </w:r>
      <w:r w:rsidRPr="005F4720">
        <w:rPr>
          <w:rFonts w:ascii="Calibri" w:eastAsia="Times New Roman" w:hAnsi="Calibri" w:cs="Calibri"/>
          <w:kern w:val="0"/>
          <w:lang w:eastAsia="en-GB"/>
          <w14:ligatures w14:val="none"/>
        </w:rPr>
        <w:t xml:space="preserve"> conflicting or insufficient evidence (Smith &amp; Hogan, 2020). This creates questions about the efficacy and fairness of the criminal justice system since it could result in imprisonment or other serious consequences </w:t>
      </w:r>
      <w:r w:rsidR="004117EA">
        <w:rPr>
          <w:rFonts w:ascii="Calibri" w:eastAsia="Times New Roman" w:hAnsi="Calibri" w:cs="Calibri"/>
          <w:kern w:val="0"/>
          <w:lang w:eastAsia="en-GB"/>
          <w14:ligatures w14:val="none"/>
        </w:rPr>
        <w:t>for</w:t>
      </w:r>
      <w:r w:rsidRPr="005F4720">
        <w:rPr>
          <w:rFonts w:ascii="Calibri" w:eastAsia="Times New Roman" w:hAnsi="Calibri" w:cs="Calibri"/>
          <w:kern w:val="0"/>
          <w:lang w:eastAsia="en-GB"/>
          <w14:ligatures w14:val="none"/>
        </w:rPr>
        <w:t xml:space="preserve"> innocent people due to an insufficient knowledge of their mental state at the time of the alleged crime.</w:t>
      </w:r>
      <w:r w:rsidRPr="005F4720">
        <w:rPr>
          <w:rFonts w:ascii="Calibri" w:eastAsia="Times New Roman" w:hAnsi="Calibri" w:cs="Calibri"/>
          <w:kern w:val="0"/>
          <w:lang w:eastAsia="en-GB"/>
          <w14:ligatures w14:val="none"/>
        </w:rPr>
        <w:br/>
      </w:r>
      <w:r w:rsidRPr="005F4720">
        <w:rPr>
          <w:rFonts w:ascii="Calibri" w:eastAsia="Times New Roman" w:hAnsi="Calibri" w:cs="Calibri"/>
          <w:kern w:val="0"/>
          <w:lang w:eastAsia="en-GB"/>
          <w14:ligatures w14:val="none"/>
        </w:rPr>
        <w:br/>
        <w:t xml:space="preserve">In addition, the high burden of proof might make it difficult to ensure the prompt and effective resolution of criminal cases, even while it is essential for preventing erroneous convictions (Herring, 2018). Comprehensive inquiries and testimony from experts, which are frequently required to prove mens rea, or guilty mentality, can be time- and resource-consuming, potentially </w:t>
      </w:r>
      <w:r w:rsidRPr="00BC207C">
        <w:rPr>
          <w:rFonts w:ascii="Calibri" w:eastAsia="Times New Roman" w:hAnsi="Calibri" w:cs="Calibri"/>
          <w:kern w:val="0"/>
          <w:lang w:eastAsia="en-GB"/>
          <w14:ligatures w14:val="none"/>
        </w:rPr>
        <w:t>having</w:t>
      </w:r>
      <w:r w:rsidR="00D61216" w:rsidRPr="00BC207C">
        <w:rPr>
          <w:rFonts w:ascii="Calibri" w:eastAsia="Times New Roman" w:hAnsi="Calibri" w:cs="Calibri"/>
          <w:kern w:val="0"/>
          <w:lang w:eastAsia="en-GB"/>
          <w14:ligatures w14:val="none"/>
        </w:rPr>
        <w:t xml:space="preserve"> an adverse effect on the criminal justice system's overall effectiveness.</w:t>
      </w:r>
    </w:p>
    <w:p w14:paraId="26A089D2" w14:textId="1CF026ED" w:rsidR="005F4720" w:rsidRPr="005F4720" w:rsidRDefault="005F4720" w:rsidP="00BC207C">
      <w:pPr>
        <w:spacing w:after="0" w:line="240" w:lineRule="auto"/>
        <w:rPr>
          <w:rFonts w:ascii="Calibri" w:eastAsia="Times New Roman" w:hAnsi="Calibri" w:cs="Calibri"/>
          <w:kern w:val="0"/>
          <w:lang w:eastAsia="en-GB"/>
          <w14:ligatures w14:val="none"/>
        </w:rPr>
      </w:pPr>
    </w:p>
    <w:p w14:paraId="757B8D15" w14:textId="77777777" w:rsidR="005F4720" w:rsidRPr="00BC207C" w:rsidRDefault="005F4720" w:rsidP="00BC207C">
      <w:pPr>
        <w:spacing w:line="360" w:lineRule="auto"/>
        <w:rPr>
          <w:rFonts w:ascii="Calibri" w:hAnsi="Calibri" w:cs="Calibri"/>
          <w:b/>
          <w:bCs/>
        </w:rPr>
      </w:pPr>
    </w:p>
    <w:p w14:paraId="49B47042" w14:textId="19EEB3FC" w:rsidR="00D63BBF" w:rsidRPr="00BC207C" w:rsidRDefault="0013274E" w:rsidP="00BC207C">
      <w:pPr>
        <w:spacing w:line="360" w:lineRule="auto"/>
        <w:rPr>
          <w:rFonts w:ascii="Calibri" w:hAnsi="Calibri" w:cs="Calibri"/>
          <w:b/>
          <w:bCs/>
        </w:rPr>
      </w:pPr>
      <w:r w:rsidRPr="00BC207C">
        <w:rPr>
          <w:rFonts w:ascii="Calibri" w:hAnsi="Calibri" w:cs="Calibri"/>
          <w:b/>
          <w:bCs/>
        </w:rPr>
        <w:t>Navigating the Complexities of Balancing Justice and Fairness</w:t>
      </w:r>
    </w:p>
    <w:p w14:paraId="7E716751" w14:textId="1B3E28E4" w:rsidR="005E357B" w:rsidRPr="00BC207C" w:rsidRDefault="005E357B" w:rsidP="00BC207C">
      <w:pPr>
        <w:spacing w:after="0" w:line="360" w:lineRule="auto"/>
        <w:rPr>
          <w:rFonts w:ascii="Calibri" w:eastAsia="Times New Roman" w:hAnsi="Calibri" w:cs="Calibri"/>
          <w:kern w:val="0"/>
          <w:lang w:eastAsia="en-GB"/>
          <w14:ligatures w14:val="none"/>
        </w:rPr>
      </w:pPr>
      <w:r w:rsidRPr="00BC207C">
        <w:rPr>
          <w:rFonts w:ascii="Calibri" w:eastAsia="Times New Roman" w:hAnsi="Calibri" w:cs="Calibri"/>
          <w:kern w:val="0"/>
          <w:lang w:eastAsia="en-GB"/>
          <w14:ligatures w14:val="none"/>
        </w:rPr>
        <w:t>The concept of mens rea is filled with difficulty, which highlights the fine balancing act that the criminal justice system must do. Maintaining social order through deterrence and sustaining the just desserts principle need responsibility (Herring, 2018). (von Hirsch, 2010). But assigning responsibility properly necessitates a legal structure that clearly proves the perpetrator's responsible mental state at the time of the conduct (Ashworth, 2009).</w:t>
      </w:r>
      <w:r w:rsidRPr="00BC207C">
        <w:rPr>
          <w:rFonts w:ascii="Calibri" w:eastAsia="Times New Roman" w:hAnsi="Calibri" w:cs="Calibri"/>
          <w:kern w:val="0"/>
          <w:lang w:eastAsia="en-GB"/>
          <w14:ligatures w14:val="none"/>
        </w:rPr>
        <w:br/>
      </w:r>
      <w:r w:rsidRPr="00BC207C">
        <w:rPr>
          <w:rFonts w:ascii="Calibri" w:eastAsia="Times New Roman" w:hAnsi="Calibri" w:cs="Calibri"/>
          <w:kern w:val="0"/>
          <w:lang w:eastAsia="en-GB"/>
          <w14:ligatures w14:val="none"/>
        </w:rPr>
        <w:br/>
      </w:r>
      <w:r w:rsidR="00BC207C" w:rsidRPr="00BC207C">
        <w:rPr>
          <w:rFonts w:ascii="Calibri" w:eastAsia="Times New Roman" w:hAnsi="Calibri" w:cs="Calibri"/>
          <w:kern w:val="0"/>
          <w:lang w:eastAsia="en-GB"/>
          <w14:ligatures w14:val="none"/>
        </w:rPr>
        <w:t xml:space="preserve">   </w:t>
      </w:r>
      <w:r w:rsidRPr="00BC207C">
        <w:rPr>
          <w:rFonts w:ascii="Calibri" w:eastAsia="Times New Roman" w:hAnsi="Calibri" w:cs="Calibri"/>
          <w:kern w:val="0"/>
          <w:lang w:eastAsia="en-GB"/>
          <w14:ligatures w14:val="none"/>
        </w:rPr>
        <w:t>This is where the main difficulty resides. It is difficult to prove mens rea when dealing with a complex web of issues like mental illness, error, and intoxication. Insufficient proof of mens rea can have disastrous repercussions, including the possibility of erroneous convictions and a reduction in public confidence in the legal system.</w:t>
      </w:r>
    </w:p>
    <w:p w14:paraId="3920C94F" w14:textId="59F5EA3F" w:rsidR="00D63BBF" w:rsidRPr="00BC207C" w:rsidRDefault="00D63BBF" w:rsidP="00BC207C">
      <w:pPr>
        <w:pStyle w:val="ListParagraph"/>
        <w:spacing w:after="0" w:line="360" w:lineRule="auto"/>
        <w:rPr>
          <w:rFonts w:ascii="Calibri" w:eastAsia="Times New Roman" w:hAnsi="Calibri" w:cs="Calibri"/>
          <w:kern w:val="0"/>
          <w:lang w:eastAsia="en-GB"/>
          <w14:ligatures w14:val="none"/>
        </w:rPr>
      </w:pPr>
    </w:p>
    <w:p w14:paraId="0A8F56D7" w14:textId="7C67DFBE" w:rsidR="00D63BBF" w:rsidRPr="00BC207C" w:rsidRDefault="0013274E" w:rsidP="00BC207C">
      <w:pPr>
        <w:spacing w:line="360" w:lineRule="auto"/>
        <w:ind w:left="720"/>
        <w:rPr>
          <w:rFonts w:ascii="Calibri" w:hAnsi="Calibri" w:cs="Calibri"/>
        </w:rPr>
      </w:pPr>
      <w:r w:rsidRPr="00BC207C">
        <w:rPr>
          <w:rFonts w:ascii="Calibri" w:hAnsi="Calibri" w:cs="Calibri"/>
        </w:rPr>
        <w:t xml:space="preserve">The severity of the </w:t>
      </w:r>
      <w:r w:rsidR="00144BED">
        <w:rPr>
          <w:rFonts w:ascii="Calibri" w:hAnsi="Calibri" w:cs="Calibri"/>
        </w:rPr>
        <w:t>offence</w:t>
      </w:r>
      <w:r w:rsidRPr="00BC207C">
        <w:rPr>
          <w:rFonts w:ascii="Calibri" w:hAnsi="Calibri" w:cs="Calibri"/>
          <w:b/>
          <w:bCs/>
        </w:rPr>
        <w:t>:</w:t>
      </w:r>
      <w:r w:rsidRPr="00BC207C">
        <w:rPr>
          <w:rFonts w:ascii="Calibri" w:hAnsi="Calibri" w:cs="Calibri"/>
        </w:rPr>
        <w:t xml:space="preserve"> The level of mens rea required for conviction often correlates with the severity of the </w:t>
      </w:r>
      <w:r w:rsidR="00144BED">
        <w:rPr>
          <w:rFonts w:ascii="Calibri" w:hAnsi="Calibri" w:cs="Calibri"/>
        </w:rPr>
        <w:t>offence</w:t>
      </w:r>
      <w:r w:rsidRPr="00BC207C">
        <w:rPr>
          <w:rFonts w:ascii="Calibri" w:hAnsi="Calibri" w:cs="Calibri"/>
        </w:rPr>
        <w:t xml:space="preserve">. For instance, crimes like </w:t>
      </w:r>
      <w:r w:rsidR="00DD42DB" w:rsidRPr="00BC207C">
        <w:rPr>
          <w:rFonts w:ascii="Calibri" w:hAnsi="Calibri" w:cs="Calibri"/>
        </w:rPr>
        <w:t xml:space="preserve">murder </w:t>
      </w:r>
      <w:r w:rsidRPr="00BC207C">
        <w:rPr>
          <w:rFonts w:ascii="Calibri" w:hAnsi="Calibri" w:cs="Calibri"/>
        </w:rPr>
        <w:t>typically require a higher level of mens rea (e.g., specific intent) compared to traffic violations, which may involve lesser forms of intent (e.g., negligence).</w:t>
      </w:r>
    </w:p>
    <w:p w14:paraId="064B0D85" w14:textId="77777777" w:rsidR="0013274E" w:rsidRPr="00BC207C" w:rsidRDefault="0013274E" w:rsidP="00BC207C">
      <w:pPr>
        <w:spacing w:line="360" w:lineRule="auto"/>
        <w:ind w:left="720"/>
        <w:rPr>
          <w:rFonts w:ascii="Calibri" w:hAnsi="Calibri" w:cs="Calibri"/>
        </w:rPr>
      </w:pPr>
      <w:r w:rsidRPr="00BC207C">
        <w:rPr>
          <w:rFonts w:ascii="Calibri" w:hAnsi="Calibri" w:cs="Calibri"/>
        </w:rPr>
        <w:t>The strength of the evidence</w:t>
      </w:r>
      <w:r w:rsidRPr="00BC207C">
        <w:rPr>
          <w:rFonts w:ascii="Calibri" w:hAnsi="Calibri" w:cs="Calibri"/>
          <w:b/>
          <w:bCs/>
        </w:rPr>
        <w:t>:</w:t>
      </w:r>
      <w:r w:rsidRPr="00BC207C">
        <w:rPr>
          <w:rFonts w:ascii="Calibri" w:hAnsi="Calibri" w:cs="Calibri"/>
        </w:rPr>
        <w:t xml:space="preserve"> The clarity and strength of the evidence, particularly regarding the defendant's mental state, play a crucial role in determining the </w:t>
      </w:r>
      <w:r w:rsidRPr="00BC207C">
        <w:rPr>
          <w:rFonts w:ascii="Calibri" w:hAnsi="Calibri" w:cs="Calibri"/>
        </w:rPr>
        <w:lastRenderedPageBreak/>
        <w:t>likelihood of a fair outcome. Cases with strong and compelling evidence, even circumstantial in nature, can mitigate the risk of wrongful convictions.</w:t>
      </w:r>
    </w:p>
    <w:p w14:paraId="08524870" w14:textId="77777777" w:rsidR="0013274E" w:rsidRPr="00BC207C" w:rsidRDefault="0013274E" w:rsidP="00BC207C">
      <w:pPr>
        <w:spacing w:line="360" w:lineRule="auto"/>
        <w:ind w:left="720"/>
        <w:rPr>
          <w:rFonts w:ascii="Calibri" w:hAnsi="Calibri" w:cs="Calibri"/>
        </w:rPr>
      </w:pPr>
      <w:r w:rsidRPr="00BC207C">
        <w:rPr>
          <w:rFonts w:ascii="Calibri" w:hAnsi="Calibri" w:cs="Calibri"/>
        </w:rPr>
        <w:t>The potential consequences for the defendant and society</w:t>
      </w:r>
      <w:r w:rsidRPr="00BC207C">
        <w:rPr>
          <w:rFonts w:ascii="Calibri" w:hAnsi="Calibri" w:cs="Calibri"/>
          <w:b/>
          <w:bCs/>
        </w:rPr>
        <w:t>:</w:t>
      </w:r>
      <w:r w:rsidRPr="00BC207C">
        <w:rPr>
          <w:rFonts w:ascii="Calibri" w:hAnsi="Calibri" w:cs="Calibri"/>
        </w:rPr>
        <w:t xml:space="preserve"> The potential consequences of both conviction and acquittal must be weighed carefully. While holding individuals accountable is essential, the potential impact of a wrongful conviction on the defendant, their family, and society </w:t>
      </w:r>
      <w:proofErr w:type="gramStart"/>
      <w:r w:rsidRPr="00BC207C">
        <w:rPr>
          <w:rFonts w:ascii="Calibri" w:hAnsi="Calibri" w:cs="Calibri"/>
        </w:rPr>
        <w:t>as a whole cannot</w:t>
      </w:r>
      <w:proofErr w:type="gramEnd"/>
      <w:r w:rsidRPr="00BC207C">
        <w:rPr>
          <w:rFonts w:ascii="Calibri" w:hAnsi="Calibri" w:cs="Calibri"/>
        </w:rPr>
        <w:t xml:space="preserve"> be disregarded.</w:t>
      </w:r>
    </w:p>
    <w:p w14:paraId="57B1AF1A" w14:textId="07DB0831" w:rsidR="0013274E" w:rsidRPr="00BC207C" w:rsidRDefault="0013274E" w:rsidP="00BC207C">
      <w:pPr>
        <w:spacing w:line="360" w:lineRule="auto"/>
        <w:rPr>
          <w:rFonts w:ascii="Calibri" w:hAnsi="Calibri" w:cs="Calibri"/>
        </w:rPr>
      </w:pPr>
      <w:r w:rsidRPr="00BC207C">
        <w:rPr>
          <w:rFonts w:ascii="Calibri" w:hAnsi="Calibri" w:cs="Calibri"/>
          <w:b/>
          <w:bCs/>
        </w:rPr>
        <w:t>Effective Strategies towards a More Balanced Approach</w:t>
      </w:r>
    </w:p>
    <w:p w14:paraId="56975E0C" w14:textId="77777777" w:rsidR="0013274E" w:rsidRPr="00BC207C" w:rsidRDefault="0013274E" w:rsidP="00BC207C">
      <w:pPr>
        <w:spacing w:line="360" w:lineRule="auto"/>
        <w:rPr>
          <w:rFonts w:ascii="Calibri" w:hAnsi="Calibri" w:cs="Calibri"/>
        </w:rPr>
      </w:pPr>
      <w:r w:rsidRPr="00BC207C">
        <w:rPr>
          <w:rFonts w:ascii="Calibri" w:hAnsi="Calibri" w:cs="Calibri"/>
        </w:rPr>
        <w:t>Finding effective strategies to navigate the challenges associated with mens rea is an ongoing pursuit aimed at upholding the principles of justice and fairness within the criminal justice system. Several potential strategies have been proposed:</w:t>
      </w:r>
    </w:p>
    <w:p w14:paraId="07FFD7E4" w14:textId="6CD3C411" w:rsidR="0013274E" w:rsidRPr="00BC207C" w:rsidRDefault="0013274E" w:rsidP="00BC207C">
      <w:pPr>
        <w:spacing w:line="360" w:lineRule="auto"/>
        <w:ind w:left="720"/>
        <w:rPr>
          <w:rFonts w:ascii="Calibri" w:hAnsi="Calibri" w:cs="Calibri"/>
        </w:rPr>
      </w:pPr>
      <w:r w:rsidRPr="00BC207C">
        <w:rPr>
          <w:rFonts w:ascii="Calibri" w:hAnsi="Calibri" w:cs="Calibri"/>
        </w:rPr>
        <w:t>Investing in expert mental health resources</w:t>
      </w:r>
      <w:r w:rsidRPr="00BC207C">
        <w:rPr>
          <w:rFonts w:ascii="Calibri" w:hAnsi="Calibri" w:cs="Calibri"/>
          <w:b/>
          <w:bCs/>
        </w:rPr>
        <w:t>:</w:t>
      </w:r>
      <w:r w:rsidRPr="00BC207C">
        <w:rPr>
          <w:rFonts w:ascii="Calibri" w:hAnsi="Calibri" w:cs="Calibri"/>
        </w:rPr>
        <w:t> Ensuring access to qualified mental health professionals for thorough assessments of defendants' mental state, particularly in relevant cases, can be crucial for accurate determination of mens rea.</w:t>
      </w:r>
    </w:p>
    <w:p w14:paraId="7D09FE05" w14:textId="77777777" w:rsidR="0013274E" w:rsidRPr="00BC207C" w:rsidRDefault="0013274E" w:rsidP="00BC207C">
      <w:pPr>
        <w:spacing w:line="360" w:lineRule="auto"/>
        <w:ind w:left="720"/>
        <w:rPr>
          <w:rFonts w:ascii="Calibri" w:hAnsi="Calibri" w:cs="Calibri"/>
        </w:rPr>
      </w:pPr>
      <w:r w:rsidRPr="00BC207C">
        <w:rPr>
          <w:rFonts w:ascii="Calibri" w:hAnsi="Calibri" w:cs="Calibri"/>
        </w:rPr>
        <w:t>Developing clearer legal frameworks</w:t>
      </w:r>
      <w:r w:rsidRPr="00BC207C">
        <w:rPr>
          <w:rFonts w:ascii="Calibri" w:hAnsi="Calibri" w:cs="Calibri"/>
          <w:b/>
          <w:bCs/>
        </w:rPr>
        <w:t>:</w:t>
      </w:r>
      <w:r w:rsidRPr="00BC207C">
        <w:rPr>
          <w:rFonts w:ascii="Calibri" w:hAnsi="Calibri" w:cs="Calibri"/>
        </w:rPr>
        <w:t> Refining legal definitions of different mens rea levels and establishing clear guidelines for their application can promote consistency and reduce ambiguity in sentencing practices.</w:t>
      </w:r>
    </w:p>
    <w:p w14:paraId="03630EDD" w14:textId="77777777" w:rsidR="0013274E" w:rsidRPr="00BC207C" w:rsidRDefault="0013274E" w:rsidP="00BC207C">
      <w:pPr>
        <w:spacing w:line="360" w:lineRule="auto"/>
        <w:ind w:left="720"/>
        <w:rPr>
          <w:rFonts w:ascii="Calibri" w:hAnsi="Calibri" w:cs="Calibri"/>
        </w:rPr>
      </w:pPr>
      <w:r w:rsidRPr="00BC207C">
        <w:rPr>
          <w:rFonts w:ascii="Calibri" w:hAnsi="Calibri" w:cs="Calibri"/>
        </w:rPr>
        <w:t>Exploring alternative sentencing options</w:t>
      </w:r>
      <w:r w:rsidRPr="00BC207C">
        <w:rPr>
          <w:rFonts w:ascii="Calibri" w:hAnsi="Calibri" w:cs="Calibri"/>
          <w:b/>
          <w:bCs/>
        </w:rPr>
        <w:t>:</w:t>
      </w:r>
      <w:r w:rsidRPr="00BC207C">
        <w:rPr>
          <w:rFonts w:ascii="Calibri" w:hAnsi="Calibri" w:cs="Calibri"/>
        </w:rPr>
        <w:t> Utilizing a wider range of sentencing options, including probation, community service, and restorative justice programs, can offer greater flexibility in addressing different levels of culpability while ensuring accountability.</w:t>
      </w:r>
    </w:p>
    <w:p w14:paraId="1FA2346F" w14:textId="77777777" w:rsidR="005E357B" w:rsidRPr="00BC207C" w:rsidRDefault="005E357B" w:rsidP="00BC207C">
      <w:pPr>
        <w:spacing w:line="360" w:lineRule="auto"/>
        <w:rPr>
          <w:rFonts w:ascii="Calibri" w:hAnsi="Calibri" w:cs="Calibri"/>
          <w:b/>
          <w:bCs/>
        </w:rPr>
      </w:pPr>
    </w:p>
    <w:p w14:paraId="0A3DF04E" w14:textId="1F92134A" w:rsidR="0013274E" w:rsidRPr="00BC207C" w:rsidRDefault="0013274E" w:rsidP="00BC207C">
      <w:pPr>
        <w:spacing w:line="360" w:lineRule="auto"/>
        <w:rPr>
          <w:rFonts w:ascii="Calibri" w:hAnsi="Calibri" w:cs="Calibri"/>
        </w:rPr>
      </w:pPr>
    </w:p>
    <w:p w14:paraId="0538A6C6" w14:textId="597D22B1" w:rsidR="0013274E" w:rsidRPr="00BC207C" w:rsidRDefault="00325726" w:rsidP="00BC207C">
      <w:pPr>
        <w:spacing w:line="360" w:lineRule="auto"/>
        <w:rPr>
          <w:rFonts w:ascii="Calibri" w:hAnsi="Calibri" w:cs="Calibri"/>
        </w:rPr>
      </w:pPr>
      <w:r>
        <w:rPr>
          <w:rFonts w:ascii="Calibri" w:hAnsi="Calibri" w:cs="Calibri"/>
        </w:rPr>
        <w:t>Conclusion:</w:t>
      </w:r>
      <w:r w:rsidR="00E732A8">
        <w:rPr>
          <w:rFonts w:ascii="Calibri" w:hAnsi="Calibri" w:cs="Calibri"/>
        </w:rPr>
        <w:t xml:space="preserve"> Men’s</w:t>
      </w:r>
      <w:r w:rsidR="0013274E" w:rsidRPr="00BC207C">
        <w:rPr>
          <w:rFonts w:ascii="Calibri" w:hAnsi="Calibri" w:cs="Calibri"/>
        </w:rPr>
        <w:t xml:space="preserve"> rea plays a pivotal role in ensuring that individuals are held accountable for their actions in a just and fair manner. While the challenges associated with its application pose significant complexities within the criminal justice system, its importance in preventing wrongful convictions and upholding individual rights cannot be overstated. Finding effective strategies to navigate these challenges, while also ensuring swift and fair </w:t>
      </w:r>
      <w:r w:rsidR="0013274E" w:rsidRPr="00BC207C">
        <w:rPr>
          <w:rFonts w:ascii="Calibri" w:hAnsi="Calibri" w:cs="Calibri"/>
        </w:rPr>
        <w:lastRenderedPageBreak/>
        <w:t>resolution of criminal cases, remains an ongoing pursuit. As the understanding of human behaviour and legal frameworks evolves, the ongoing search for a balanced approach to applying the concept of men’s rea will continue to influence the pursuit of justice and fairness in criminal proceedings.</w:t>
      </w:r>
    </w:p>
    <w:p w14:paraId="7FBE75D0" w14:textId="77777777" w:rsidR="0013274E" w:rsidRPr="00BC207C" w:rsidRDefault="0013274E" w:rsidP="00BC207C">
      <w:pPr>
        <w:spacing w:line="360" w:lineRule="auto"/>
        <w:rPr>
          <w:rFonts w:ascii="Calibri" w:hAnsi="Calibri" w:cs="Calibri"/>
        </w:rPr>
      </w:pPr>
    </w:p>
    <w:p w14:paraId="3CAAEB24" w14:textId="77777777" w:rsidR="0013274E" w:rsidRPr="00BC207C" w:rsidRDefault="0013274E" w:rsidP="00BC207C">
      <w:pPr>
        <w:spacing w:line="360" w:lineRule="auto"/>
        <w:rPr>
          <w:rFonts w:ascii="Calibri" w:hAnsi="Calibri" w:cs="Calibri"/>
        </w:rPr>
      </w:pPr>
    </w:p>
    <w:p w14:paraId="4ACA8828" w14:textId="77777777" w:rsidR="0013274E" w:rsidRPr="00BC207C" w:rsidRDefault="0013274E" w:rsidP="00BC207C">
      <w:pPr>
        <w:spacing w:line="360" w:lineRule="auto"/>
        <w:rPr>
          <w:rFonts w:ascii="Calibri" w:hAnsi="Calibri" w:cs="Calibri"/>
        </w:rPr>
      </w:pPr>
    </w:p>
    <w:p w14:paraId="767E5684" w14:textId="77777777" w:rsidR="0013274E" w:rsidRPr="00BC207C" w:rsidRDefault="0013274E" w:rsidP="00BC207C">
      <w:pPr>
        <w:spacing w:line="360" w:lineRule="auto"/>
        <w:rPr>
          <w:rFonts w:ascii="Calibri" w:hAnsi="Calibri" w:cs="Calibri"/>
        </w:rPr>
      </w:pPr>
    </w:p>
    <w:p w14:paraId="48810A90" w14:textId="77777777" w:rsidR="0013274E" w:rsidRPr="00BC207C" w:rsidRDefault="0013274E" w:rsidP="00BC207C">
      <w:pPr>
        <w:spacing w:line="360" w:lineRule="auto"/>
        <w:rPr>
          <w:rFonts w:ascii="Calibri" w:hAnsi="Calibri" w:cs="Calibri"/>
        </w:rPr>
      </w:pPr>
    </w:p>
    <w:p w14:paraId="39A724D5" w14:textId="77777777" w:rsidR="0013274E" w:rsidRPr="00BC207C" w:rsidRDefault="0013274E" w:rsidP="00BC207C">
      <w:pPr>
        <w:spacing w:line="360" w:lineRule="auto"/>
        <w:rPr>
          <w:rFonts w:ascii="Calibri" w:hAnsi="Calibri" w:cs="Calibri"/>
        </w:rPr>
      </w:pPr>
    </w:p>
    <w:p w14:paraId="26156321" w14:textId="77777777" w:rsidR="0013274E" w:rsidRPr="00BC207C" w:rsidRDefault="0013274E" w:rsidP="00BC207C">
      <w:pPr>
        <w:spacing w:line="360" w:lineRule="auto"/>
        <w:rPr>
          <w:rFonts w:ascii="Calibri" w:hAnsi="Calibri" w:cs="Calibri"/>
        </w:rPr>
      </w:pPr>
    </w:p>
    <w:p w14:paraId="1F685611" w14:textId="77777777" w:rsidR="0013274E" w:rsidRPr="00BC207C" w:rsidRDefault="0013274E" w:rsidP="00BC207C">
      <w:pPr>
        <w:spacing w:line="360" w:lineRule="auto"/>
        <w:rPr>
          <w:rFonts w:ascii="Calibri" w:hAnsi="Calibri" w:cs="Calibri"/>
        </w:rPr>
      </w:pPr>
    </w:p>
    <w:p w14:paraId="0DA41F25" w14:textId="77777777" w:rsidR="0013274E" w:rsidRPr="00BC207C" w:rsidRDefault="0013274E" w:rsidP="00BC207C">
      <w:pPr>
        <w:spacing w:line="360" w:lineRule="auto"/>
        <w:rPr>
          <w:rFonts w:ascii="Calibri" w:hAnsi="Calibri" w:cs="Calibri"/>
        </w:rPr>
      </w:pPr>
    </w:p>
    <w:p w14:paraId="6F35428C" w14:textId="77777777" w:rsidR="0013274E" w:rsidRPr="00BC207C" w:rsidRDefault="0013274E" w:rsidP="00BC207C">
      <w:pPr>
        <w:spacing w:line="360" w:lineRule="auto"/>
        <w:rPr>
          <w:rFonts w:ascii="Calibri" w:hAnsi="Calibri" w:cs="Calibri"/>
        </w:rPr>
      </w:pPr>
    </w:p>
    <w:p w14:paraId="5D858E90" w14:textId="77777777" w:rsidR="0013274E" w:rsidRPr="00BC207C" w:rsidRDefault="0013274E" w:rsidP="00BC207C">
      <w:pPr>
        <w:spacing w:line="360" w:lineRule="auto"/>
        <w:rPr>
          <w:rFonts w:ascii="Calibri" w:hAnsi="Calibri" w:cs="Calibri"/>
        </w:rPr>
      </w:pPr>
    </w:p>
    <w:p w14:paraId="0D72B425" w14:textId="77777777" w:rsidR="0013274E" w:rsidRPr="00BC207C" w:rsidRDefault="0013274E" w:rsidP="00BC207C">
      <w:pPr>
        <w:spacing w:line="360" w:lineRule="auto"/>
        <w:rPr>
          <w:rFonts w:ascii="Calibri" w:hAnsi="Calibri" w:cs="Calibri"/>
        </w:rPr>
      </w:pPr>
    </w:p>
    <w:p w14:paraId="2F934792" w14:textId="77777777" w:rsidR="0013274E" w:rsidRPr="00BC207C" w:rsidRDefault="0013274E" w:rsidP="00BC207C">
      <w:pPr>
        <w:spacing w:line="360" w:lineRule="auto"/>
        <w:rPr>
          <w:rFonts w:ascii="Calibri" w:hAnsi="Calibri" w:cs="Calibri"/>
        </w:rPr>
      </w:pPr>
    </w:p>
    <w:p w14:paraId="2C030B18" w14:textId="77777777" w:rsidR="0013274E" w:rsidRPr="00BC207C" w:rsidRDefault="0013274E" w:rsidP="00BC207C">
      <w:pPr>
        <w:spacing w:line="360" w:lineRule="auto"/>
        <w:rPr>
          <w:rFonts w:ascii="Calibri" w:hAnsi="Calibri" w:cs="Calibri"/>
        </w:rPr>
      </w:pPr>
    </w:p>
    <w:p w14:paraId="77B5172A" w14:textId="77777777" w:rsidR="0013274E" w:rsidRPr="00BC207C" w:rsidRDefault="0013274E" w:rsidP="00BC207C">
      <w:pPr>
        <w:spacing w:line="360" w:lineRule="auto"/>
        <w:rPr>
          <w:rFonts w:ascii="Calibri" w:hAnsi="Calibri" w:cs="Calibri"/>
        </w:rPr>
      </w:pPr>
    </w:p>
    <w:p w14:paraId="266CCE9E" w14:textId="77777777" w:rsidR="0013274E" w:rsidRPr="00BC207C" w:rsidRDefault="0013274E" w:rsidP="00BC207C">
      <w:pPr>
        <w:spacing w:line="360" w:lineRule="auto"/>
        <w:rPr>
          <w:rFonts w:ascii="Calibri" w:hAnsi="Calibri" w:cs="Calibri"/>
        </w:rPr>
      </w:pPr>
    </w:p>
    <w:p w14:paraId="1025F5AB" w14:textId="77777777" w:rsidR="0013274E" w:rsidRPr="00BC207C" w:rsidRDefault="0013274E" w:rsidP="00BC207C">
      <w:pPr>
        <w:spacing w:line="360" w:lineRule="auto"/>
        <w:rPr>
          <w:rFonts w:ascii="Calibri" w:hAnsi="Calibri" w:cs="Calibri"/>
        </w:rPr>
      </w:pPr>
    </w:p>
    <w:p w14:paraId="2A23DFD2" w14:textId="77777777" w:rsidR="0013274E" w:rsidRPr="00BC207C" w:rsidRDefault="0013274E" w:rsidP="00BC207C">
      <w:pPr>
        <w:spacing w:line="360" w:lineRule="auto"/>
        <w:rPr>
          <w:rFonts w:ascii="Calibri" w:hAnsi="Calibri" w:cs="Calibri"/>
        </w:rPr>
      </w:pPr>
    </w:p>
    <w:p w14:paraId="43B4D4F6" w14:textId="77777777" w:rsidR="00247F16" w:rsidRPr="00BC207C" w:rsidRDefault="00247F16" w:rsidP="00BC207C">
      <w:pPr>
        <w:spacing w:line="360" w:lineRule="auto"/>
        <w:rPr>
          <w:rFonts w:ascii="Calibri" w:hAnsi="Calibri" w:cs="Calibri"/>
          <w:b/>
          <w:bCs/>
        </w:rPr>
      </w:pPr>
    </w:p>
    <w:p w14:paraId="4E82DF2D" w14:textId="3566CC35" w:rsidR="00E345E5" w:rsidRPr="00BC207C" w:rsidRDefault="00E345E5" w:rsidP="00BC207C">
      <w:pPr>
        <w:spacing w:line="360" w:lineRule="auto"/>
        <w:rPr>
          <w:rFonts w:ascii="Calibri" w:hAnsi="Calibri" w:cs="Calibri"/>
        </w:rPr>
      </w:pPr>
      <w:r w:rsidRPr="00BC207C">
        <w:rPr>
          <w:rFonts w:ascii="Calibri" w:hAnsi="Calibri" w:cs="Calibri"/>
          <w:b/>
          <w:bCs/>
        </w:rPr>
        <w:t>Reference List:</w:t>
      </w:r>
    </w:p>
    <w:p w14:paraId="0DB8999E" w14:textId="77777777" w:rsidR="00E345E5" w:rsidRPr="00BC207C" w:rsidRDefault="00E345E5" w:rsidP="00BC207C">
      <w:pPr>
        <w:numPr>
          <w:ilvl w:val="0"/>
          <w:numId w:val="1"/>
        </w:numPr>
        <w:spacing w:line="360" w:lineRule="auto"/>
        <w:rPr>
          <w:rFonts w:ascii="Calibri" w:hAnsi="Calibri" w:cs="Calibri"/>
        </w:rPr>
      </w:pPr>
      <w:r w:rsidRPr="00BC207C">
        <w:rPr>
          <w:rFonts w:ascii="Calibri" w:hAnsi="Calibri" w:cs="Calibri"/>
        </w:rPr>
        <w:lastRenderedPageBreak/>
        <w:t>Ashworth, A. (2006). Principles of criminal law (4th ed.). Oxford University Press.</w:t>
      </w:r>
    </w:p>
    <w:p w14:paraId="136225DC" w14:textId="26147A09" w:rsidR="00E345E5" w:rsidRPr="00BC207C" w:rsidRDefault="00E345E5" w:rsidP="00BC207C">
      <w:pPr>
        <w:numPr>
          <w:ilvl w:val="0"/>
          <w:numId w:val="1"/>
        </w:numPr>
        <w:spacing w:line="360" w:lineRule="auto"/>
        <w:rPr>
          <w:rFonts w:ascii="Calibri" w:hAnsi="Calibri" w:cs="Calibri"/>
        </w:rPr>
      </w:pPr>
      <w:r w:rsidRPr="00BC207C">
        <w:rPr>
          <w:rFonts w:ascii="Calibri" w:hAnsi="Calibri" w:cs="Calibri"/>
        </w:rPr>
        <w:t>Ashworth, A. (2009). Sentencing and criminal justice (6th ed.). Cambridge University Press.</w:t>
      </w:r>
    </w:p>
    <w:p w14:paraId="37532F48" w14:textId="77777777" w:rsidR="00E345E5" w:rsidRPr="00BC207C" w:rsidRDefault="00E345E5" w:rsidP="00BC207C">
      <w:pPr>
        <w:numPr>
          <w:ilvl w:val="0"/>
          <w:numId w:val="1"/>
        </w:numPr>
        <w:spacing w:line="360" w:lineRule="auto"/>
        <w:rPr>
          <w:rFonts w:ascii="Calibri" w:hAnsi="Calibri" w:cs="Calibri"/>
        </w:rPr>
      </w:pPr>
      <w:r w:rsidRPr="00BC207C">
        <w:rPr>
          <w:rFonts w:ascii="Calibri" w:hAnsi="Calibri" w:cs="Calibri"/>
        </w:rPr>
        <w:t>Fletcher, G. P. (2000). Rethinking criminal law. Oxford University Press.</w:t>
      </w:r>
    </w:p>
    <w:p w14:paraId="0D49A624" w14:textId="77777777" w:rsidR="00E345E5" w:rsidRPr="00BC207C" w:rsidRDefault="00E345E5" w:rsidP="00BC207C">
      <w:pPr>
        <w:numPr>
          <w:ilvl w:val="0"/>
          <w:numId w:val="1"/>
        </w:numPr>
        <w:spacing w:line="360" w:lineRule="auto"/>
        <w:rPr>
          <w:rFonts w:ascii="Calibri" w:hAnsi="Calibri" w:cs="Calibri"/>
        </w:rPr>
      </w:pPr>
      <w:r w:rsidRPr="00BC207C">
        <w:rPr>
          <w:rFonts w:ascii="Calibri" w:hAnsi="Calibri" w:cs="Calibri"/>
        </w:rPr>
        <w:t>Gomez, I., &amp; Ashworth, A. (2017). Criminal law (8th ed.). Oxford University Press.</w:t>
      </w:r>
    </w:p>
    <w:p w14:paraId="5D776368" w14:textId="77777777" w:rsidR="00E345E5" w:rsidRPr="00BC207C" w:rsidRDefault="00E345E5" w:rsidP="00BC207C">
      <w:pPr>
        <w:numPr>
          <w:ilvl w:val="0"/>
          <w:numId w:val="1"/>
        </w:numPr>
        <w:spacing w:line="360" w:lineRule="auto"/>
        <w:rPr>
          <w:rFonts w:ascii="Calibri" w:hAnsi="Calibri" w:cs="Calibri"/>
        </w:rPr>
      </w:pPr>
      <w:r w:rsidRPr="00BC207C">
        <w:rPr>
          <w:rFonts w:ascii="Calibri" w:hAnsi="Calibri" w:cs="Calibri"/>
        </w:rPr>
        <w:t>Herring, J. (2018). Criminal law: Principles and applications (7th ed.). Law Book Co.</w:t>
      </w:r>
    </w:p>
    <w:p w14:paraId="482D6CB0" w14:textId="16EB2562" w:rsidR="00E345E5" w:rsidRPr="00BC207C" w:rsidRDefault="00E345E5" w:rsidP="00BC207C">
      <w:pPr>
        <w:numPr>
          <w:ilvl w:val="0"/>
          <w:numId w:val="1"/>
        </w:numPr>
        <w:spacing w:line="360" w:lineRule="auto"/>
        <w:rPr>
          <w:rFonts w:ascii="Calibri" w:hAnsi="Calibri" w:cs="Calibri"/>
        </w:rPr>
      </w:pPr>
      <w:r w:rsidRPr="00BC207C">
        <w:rPr>
          <w:rFonts w:ascii="Calibri" w:hAnsi="Calibri" w:cs="Calibri"/>
        </w:rPr>
        <w:t xml:space="preserve">Hussain, F. A. (2019). Rethinking </w:t>
      </w:r>
      <w:r w:rsidR="0013274E" w:rsidRPr="00BC207C">
        <w:rPr>
          <w:rFonts w:ascii="Calibri" w:hAnsi="Calibri" w:cs="Calibri"/>
        </w:rPr>
        <w:t>men’s</w:t>
      </w:r>
      <w:r w:rsidRPr="00BC207C">
        <w:rPr>
          <w:rFonts w:ascii="Calibri" w:hAnsi="Calibri" w:cs="Calibri"/>
        </w:rPr>
        <w:t xml:space="preserve"> rea in the 21st century: A comparative analysis. Routledge.</w:t>
      </w:r>
    </w:p>
    <w:p w14:paraId="162603DC" w14:textId="77777777" w:rsidR="00E345E5" w:rsidRPr="00BC207C" w:rsidRDefault="00E345E5" w:rsidP="00BC207C">
      <w:pPr>
        <w:numPr>
          <w:ilvl w:val="0"/>
          <w:numId w:val="1"/>
        </w:numPr>
        <w:spacing w:line="360" w:lineRule="auto"/>
        <w:rPr>
          <w:rFonts w:ascii="Calibri" w:hAnsi="Calibri" w:cs="Calibri"/>
        </w:rPr>
      </w:pPr>
      <w:r w:rsidRPr="00BC207C">
        <w:rPr>
          <w:rFonts w:ascii="Calibri" w:hAnsi="Calibri" w:cs="Calibri"/>
        </w:rPr>
        <w:t>Simester, A., &amp; Sullivan, G. (2018). Criminal Law: Theory and Practice</w:t>
      </w:r>
    </w:p>
    <w:p w14:paraId="7A7E2CA8" w14:textId="77777777" w:rsidR="005E357B" w:rsidRPr="00BC207C" w:rsidRDefault="005E357B" w:rsidP="00BC207C">
      <w:pPr>
        <w:numPr>
          <w:ilvl w:val="0"/>
          <w:numId w:val="16"/>
        </w:numPr>
        <w:shd w:val="clear" w:color="auto" w:fill="FFFFFF"/>
        <w:spacing w:before="100" w:beforeAutospacing="1" w:after="0" w:line="360" w:lineRule="auto"/>
        <w:rPr>
          <w:rFonts w:ascii="Calibri" w:eastAsia="Times New Roman" w:hAnsi="Calibri" w:cs="Calibri"/>
          <w:color w:val="1F1F1F"/>
          <w:kern w:val="0"/>
          <w:lang w:eastAsia="en-GB"/>
          <w14:ligatures w14:val="none"/>
        </w:rPr>
      </w:pPr>
      <w:proofErr w:type="spellStart"/>
      <w:r w:rsidRPr="00BC207C">
        <w:rPr>
          <w:rFonts w:ascii="Calibri" w:eastAsia="Times New Roman" w:hAnsi="Calibri" w:cs="Calibri"/>
          <w:color w:val="1F1F1F"/>
          <w:kern w:val="0"/>
          <w:lang w:eastAsia="en-GB"/>
          <w14:ligatures w14:val="none"/>
        </w:rPr>
        <w:t>M'Naghten's</w:t>
      </w:r>
      <w:proofErr w:type="spellEnd"/>
      <w:r w:rsidRPr="00BC207C">
        <w:rPr>
          <w:rFonts w:ascii="Calibri" w:eastAsia="Times New Roman" w:hAnsi="Calibri" w:cs="Calibri"/>
          <w:color w:val="1F1F1F"/>
          <w:kern w:val="0"/>
          <w:lang w:eastAsia="en-GB"/>
          <w14:ligatures w14:val="none"/>
        </w:rPr>
        <w:t xml:space="preserve"> Case (1843) 10 Cl &amp; Fin 200.</w:t>
      </w:r>
    </w:p>
    <w:p w14:paraId="4A4E5332" w14:textId="39B218D1" w:rsidR="005E357B" w:rsidRPr="00BC207C" w:rsidRDefault="005E357B" w:rsidP="00BC207C">
      <w:pPr>
        <w:numPr>
          <w:ilvl w:val="0"/>
          <w:numId w:val="16"/>
        </w:numPr>
        <w:shd w:val="clear" w:color="auto" w:fill="FFFFFF"/>
        <w:spacing w:before="100" w:beforeAutospacing="1" w:after="0" w:line="360" w:lineRule="auto"/>
        <w:rPr>
          <w:rFonts w:ascii="Calibri" w:eastAsia="Times New Roman" w:hAnsi="Calibri" w:cs="Calibri"/>
          <w:color w:val="1F1F1F"/>
          <w:kern w:val="0"/>
          <w:lang w:eastAsia="en-GB"/>
          <w14:ligatures w14:val="none"/>
        </w:rPr>
      </w:pPr>
      <w:r w:rsidRPr="00BC207C">
        <w:rPr>
          <w:rFonts w:ascii="Calibri" w:eastAsia="Times New Roman" w:hAnsi="Calibri" w:cs="Calibri"/>
          <w:color w:val="1F1F1F"/>
          <w:kern w:val="0"/>
          <w:lang w:eastAsia="en-GB"/>
          <w14:ligatures w14:val="none"/>
        </w:rPr>
        <w:t>Bratty v Attorney-General for Northern Ireland [1963] AC 386.</w:t>
      </w:r>
    </w:p>
    <w:p w14:paraId="39DA8586" w14:textId="77777777" w:rsidR="005E357B" w:rsidRPr="00BC207C" w:rsidRDefault="005E357B" w:rsidP="00BC207C">
      <w:pPr>
        <w:numPr>
          <w:ilvl w:val="0"/>
          <w:numId w:val="17"/>
        </w:numPr>
        <w:shd w:val="clear" w:color="auto" w:fill="FFFFFF"/>
        <w:spacing w:before="100" w:beforeAutospacing="1" w:after="0" w:line="360" w:lineRule="auto"/>
        <w:rPr>
          <w:rFonts w:ascii="Calibri" w:eastAsia="Times New Roman" w:hAnsi="Calibri" w:cs="Calibri"/>
          <w:color w:val="1F1F1F"/>
          <w:kern w:val="0"/>
          <w:lang w:eastAsia="en-GB"/>
          <w14:ligatures w14:val="none"/>
        </w:rPr>
      </w:pPr>
      <w:r w:rsidRPr="00BC207C">
        <w:rPr>
          <w:rFonts w:ascii="Calibri" w:eastAsia="Times New Roman" w:hAnsi="Calibri" w:cs="Calibri"/>
          <w:color w:val="1F1F1F"/>
          <w:kern w:val="0"/>
          <w:lang w:eastAsia="en-GB"/>
          <w14:ligatures w14:val="none"/>
        </w:rPr>
        <w:t xml:space="preserve">R v </w:t>
      </w:r>
      <w:proofErr w:type="spellStart"/>
      <w:r w:rsidRPr="00BC207C">
        <w:rPr>
          <w:rFonts w:ascii="Calibri" w:eastAsia="Times New Roman" w:hAnsi="Calibri" w:cs="Calibri"/>
          <w:color w:val="1F1F1F"/>
          <w:kern w:val="0"/>
          <w:lang w:eastAsia="en-GB"/>
          <w14:ligatures w14:val="none"/>
        </w:rPr>
        <w:t>Majury</w:t>
      </w:r>
      <w:proofErr w:type="spellEnd"/>
      <w:r w:rsidRPr="00BC207C">
        <w:rPr>
          <w:rFonts w:ascii="Calibri" w:eastAsia="Times New Roman" w:hAnsi="Calibri" w:cs="Calibri"/>
          <w:color w:val="1F1F1F"/>
          <w:kern w:val="0"/>
          <w:lang w:eastAsia="en-GB"/>
          <w14:ligatures w14:val="none"/>
        </w:rPr>
        <w:t> [1991] 1 WLR 501.</w:t>
      </w:r>
    </w:p>
    <w:p w14:paraId="0F412FC9" w14:textId="77777777" w:rsidR="005E357B" w:rsidRPr="00BC207C" w:rsidRDefault="005E357B" w:rsidP="00BC207C">
      <w:pPr>
        <w:numPr>
          <w:ilvl w:val="0"/>
          <w:numId w:val="17"/>
        </w:numPr>
        <w:shd w:val="clear" w:color="auto" w:fill="FFFFFF"/>
        <w:spacing w:before="100" w:beforeAutospacing="1" w:after="0" w:line="360" w:lineRule="auto"/>
        <w:rPr>
          <w:rFonts w:ascii="Calibri" w:eastAsia="Times New Roman" w:hAnsi="Calibri" w:cs="Calibri"/>
          <w:color w:val="1F1F1F"/>
          <w:kern w:val="0"/>
          <w:lang w:eastAsia="en-GB"/>
          <w14:ligatures w14:val="none"/>
        </w:rPr>
      </w:pPr>
      <w:r w:rsidRPr="00BC207C">
        <w:rPr>
          <w:rFonts w:ascii="Calibri" w:eastAsia="Times New Roman" w:hAnsi="Calibri" w:cs="Calibri"/>
          <w:color w:val="1F1F1F"/>
          <w:kern w:val="0"/>
          <w:lang w:eastAsia="en-GB"/>
          <w14:ligatures w14:val="none"/>
        </w:rPr>
        <w:t xml:space="preserve">Director of Public Prosecutions v </w:t>
      </w:r>
      <w:proofErr w:type="spellStart"/>
      <w:r w:rsidRPr="00BC207C">
        <w:rPr>
          <w:rFonts w:ascii="Calibri" w:eastAsia="Times New Roman" w:hAnsi="Calibri" w:cs="Calibri"/>
          <w:color w:val="1F1F1F"/>
          <w:kern w:val="0"/>
          <w:lang w:eastAsia="en-GB"/>
          <w14:ligatures w14:val="none"/>
        </w:rPr>
        <w:t>Woollin</w:t>
      </w:r>
      <w:proofErr w:type="spellEnd"/>
      <w:r w:rsidRPr="00BC207C">
        <w:rPr>
          <w:rFonts w:ascii="Calibri" w:eastAsia="Times New Roman" w:hAnsi="Calibri" w:cs="Calibri"/>
          <w:color w:val="1F1F1F"/>
          <w:kern w:val="0"/>
          <w:lang w:eastAsia="en-GB"/>
          <w14:ligatures w14:val="none"/>
        </w:rPr>
        <w:t> [1999] 1 All ER 829.</w:t>
      </w:r>
    </w:p>
    <w:p w14:paraId="32F3B65A" w14:textId="77777777" w:rsidR="005E357B" w:rsidRPr="00BC207C" w:rsidRDefault="005E357B" w:rsidP="00BC207C">
      <w:pPr>
        <w:spacing w:line="360" w:lineRule="auto"/>
        <w:ind w:left="720"/>
        <w:rPr>
          <w:rFonts w:ascii="Calibri" w:hAnsi="Calibri" w:cs="Calibri"/>
        </w:rPr>
      </w:pPr>
    </w:p>
    <w:p w14:paraId="121EF292" w14:textId="77777777" w:rsidR="00E345E5" w:rsidRPr="00BC207C" w:rsidRDefault="00E345E5" w:rsidP="00BC207C">
      <w:pPr>
        <w:spacing w:line="360" w:lineRule="auto"/>
        <w:rPr>
          <w:rFonts w:ascii="Calibri" w:hAnsi="Calibri" w:cs="Calibri"/>
        </w:rPr>
      </w:pPr>
    </w:p>
    <w:p w14:paraId="2740F4DB" w14:textId="0D7567E4" w:rsidR="00E345E5" w:rsidRPr="00BC207C" w:rsidRDefault="00E345E5" w:rsidP="00BC207C">
      <w:pPr>
        <w:shd w:val="clear" w:color="auto" w:fill="FFFFFF"/>
        <w:spacing w:before="100" w:beforeAutospacing="1" w:after="0" w:line="360" w:lineRule="auto"/>
        <w:ind w:left="720"/>
        <w:rPr>
          <w:rFonts w:ascii="Calibri" w:eastAsia="Times New Roman" w:hAnsi="Calibri" w:cs="Calibri"/>
          <w:color w:val="1F1F1F"/>
          <w:kern w:val="0"/>
          <w:lang w:eastAsia="en-GB"/>
          <w14:ligatures w14:val="none"/>
        </w:rPr>
      </w:pPr>
    </w:p>
    <w:sectPr w:rsidR="00E345E5" w:rsidRPr="00BC2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B145A"/>
    <w:multiLevelType w:val="multilevel"/>
    <w:tmpl w:val="C5DA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77461"/>
    <w:multiLevelType w:val="multilevel"/>
    <w:tmpl w:val="F53E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61884"/>
    <w:multiLevelType w:val="multilevel"/>
    <w:tmpl w:val="6F5E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27C3B"/>
    <w:multiLevelType w:val="multilevel"/>
    <w:tmpl w:val="914A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A66FF"/>
    <w:multiLevelType w:val="multilevel"/>
    <w:tmpl w:val="FF62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E55EB5"/>
    <w:multiLevelType w:val="multilevel"/>
    <w:tmpl w:val="FC90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132408"/>
    <w:multiLevelType w:val="multilevel"/>
    <w:tmpl w:val="FCC0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D661AF"/>
    <w:multiLevelType w:val="multilevel"/>
    <w:tmpl w:val="679A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235453"/>
    <w:multiLevelType w:val="multilevel"/>
    <w:tmpl w:val="6768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1B5F5B"/>
    <w:multiLevelType w:val="multilevel"/>
    <w:tmpl w:val="BD88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3A2D4F"/>
    <w:multiLevelType w:val="multilevel"/>
    <w:tmpl w:val="D0FC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27402"/>
    <w:multiLevelType w:val="multilevel"/>
    <w:tmpl w:val="A0BC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CF5AD0"/>
    <w:multiLevelType w:val="multilevel"/>
    <w:tmpl w:val="4028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F00667"/>
    <w:multiLevelType w:val="multilevel"/>
    <w:tmpl w:val="A490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FF011D"/>
    <w:multiLevelType w:val="multilevel"/>
    <w:tmpl w:val="DD88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FB21E7"/>
    <w:multiLevelType w:val="multilevel"/>
    <w:tmpl w:val="A95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A3653C"/>
    <w:multiLevelType w:val="multilevel"/>
    <w:tmpl w:val="1120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8560046">
    <w:abstractNumId w:val="5"/>
  </w:num>
  <w:num w:numId="2" w16cid:durableId="1899045688">
    <w:abstractNumId w:val="15"/>
  </w:num>
  <w:num w:numId="3" w16cid:durableId="466553287">
    <w:abstractNumId w:val="12"/>
  </w:num>
  <w:num w:numId="4" w16cid:durableId="753205733">
    <w:abstractNumId w:val="10"/>
  </w:num>
  <w:num w:numId="5" w16cid:durableId="1894805447">
    <w:abstractNumId w:val="3"/>
  </w:num>
  <w:num w:numId="6" w16cid:durableId="462581403">
    <w:abstractNumId w:val="1"/>
  </w:num>
  <w:num w:numId="7" w16cid:durableId="827593775">
    <w:abstractNumId w:val="16"/>
  </w:num>
  <w:num w:numId="8" w16cid:durableId="1239245450">
    <w:abstractNumId w:val="0"/>
  </w:num>
  <w:num w:numId="9" w16cid:durableId="1225874088">
    <w:abstractNumId w:val="2"/>
  </w:num>
  <w:num w:numId="10" w16cid:durableId="1587962897">
    <w:abstractNumId w:val="4"/>
  </w:num>
  <w:num w:numId="11" w16cid:durableId="553926367">
    <w:abstractNumId w:val="6"/>
  </w:num>
  <w:num w:numId="12" w16cid:durableId="690961409">
    <w:abstractNumId w:val="7"/>
  </w:num>
  <w:num w:numId="13" w16cid:durableId="737826580">
    <w:abstractNumId w:val="11"/>
  </w:num>
  <w:num w:numId="14" w16cid:durableId="712193875">
    <w:abstractNumId w:val="9"/>
  </w:num>
  <w:num w:numId="15" w16cid:durableId="909195538">
    <w:abstractNumId w:val="13"/>
  </w:num>
  <w:num w:numId="16" w16cid:durableId="896820362">
    <w:abstractNumId w:val="14"/>
  </w:num>
  <w:num w:numId="17" w16cid:durableId="2697756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5E5"/>
    <w:rsid w:val="00123F30"/>
    <w:rsid w:val="0013274E"/>
    <w:rsid w:val="00144BED"/>
    <w:rsid w:val="00163A1D"/>
    <w:rsid w:val="00167765"/>
    <w:rsid w:val="00186D70"/>
    <w:rsid w:val="001C1215"/>
    <w:rsid w:val="001E491A"/>
    <w:rsid w:val="00236161"/>
    <w:rsid w:val="00247F16"/>
    <w:rsid w:val="002D650F"/>
    <w:rsid w:val="00325726"/>
    <w:rsid w:val="003942EC"/>
    <w:rsid w:val="004117EA"/>
    <w:rsid w:val="004A0872"/>
    <w:rsid w:val="004D3E59"/>
    <w:rsid w:val="00570469"/>
    <w:rsid w:val="005E0774"/>
    <w:rsid w:val="005E357B"/>
    <w:rsid w:val="005F4720"/>
    <w:rsid w:val="0068678A"/>
    <w:rsid w:val="006A57E9"/>
    <w:rsid w:val="006B36E9"/>
    <w:rsid w:val="0086128E"/>
    <w:rsid w:val="00865E38"/>
    <w:rsid w:val="009603B4"/>
    <w:rsid w:val="00A92D27"/>
    <w:rsid w:val="00AC4B35"/>
    <w:rsid w:val="00AF6DA0"/>
    <w:rsid w:val="00BC207C"/>
    <w:rsid w:val="00C378B7"/>
    <w:rsid w:val="00CA0C40"/>
    <w:rsid w:val="00CB0BE6"/>
    <w:rsid w:val="00D214D4"/>
    <w:rsid w:val="00D61216"/>
    <w:rsid w:val="00D63BBF"/>
    <w:rsid w:val="00DD42DB"/>
    <w:rsid w:val="00DE6504"/>
    <w:rsid w:val="00E345E5"/>
    <w:rsid w:val="00E40596"/>
    <w:rsid w:val="00E732A8"/>
    <w:rsid w:val="00ED0B9B"/>
    <w:rsid w:val="00F64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2530E"/>
  <w15:chartTrackingRefBased/>
  <w15:docId w15:val="{F24B2DCD-3951-4884-BC8B-47EE00D39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5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5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5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5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5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5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5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5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5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5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5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5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5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5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5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5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5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5E5"/>
    <w:rPr>
      <w:rFonts w:eastAsiaTheme="majorEastAsia" w:cstheme="majorBidi"/>
      <w:color w:val="272727" w:themeColor="text1" w:themeTint="D8"/>
    </w:rPr>
  </w:style>
  <w:style w:type="paragraph" w:styleId="Title">
    <w:name w:val="Title"/>
    <w:basedOn w:val="Normal"/>
    <w:next w:val="Normal"/>
    <w:link w:val="TitleChar"/>
    <w:uiPriority w:val="10"/>
    <w:qFormat/>
    <w:rsid w:val="00E345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5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5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5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5E5"/>
    <w:pPr>
      <w:spacing w:before="160"/>
      <w:jc w:val="center"/>
    </w:pPr>
    <w:rPr>
      <w:i/>
      <w:iCs/>
      <w:color w:val="404040" w:themeColor="text1" w:themeTint="BF"/>
    </w:rPr>
  </w:style>
  <w:style w:type="character" w:customStyle="1" w:styleId="QuoteChar">
    <w:name w:val="Quote Char"/>
    <w:basedOn w:val="DefaultParagraphFont"/>
    <w:link w:val="Quote"/>
    <w:uiPriority w:val="29"/>
    <w:rsid w:val="00E345E5"/>
    <w:rPr>
      <w:i/>
      <w:iCs/>
      <w:color w:val="404040" w:themeColor="text1" w:themeTint="BF"/>
    </w:rPr>
  </w:style>
  <w:style w:type="paragraph" w:styleId="ListParagraph">
    <w:name w:val="List Paragraph"/>
    <w:basedOn w:val="Normal"/>
    <w:uiPriority w:val="34"/>
    <w:qFormat/>
    <w:rsid w:val="00E345E5"/>
    <w:pPr>
      <w:ind w:left="720"/>
      <w:contextualSpacing/>
    </w:pPr>
  </w:style>
  <w:style w:type="character" w:styleId="IntenseEmphasis">
    <w:name w:val="Intense Emphasis"/>
    <w:basedOn w:val="DefaultParagraphFont"/>
    <w:uiPriority w:val="21"/>
    <w:qFormat/>
    <w:rsid w:val="00E345E5"/>
    <w:rPr>
      <w:i/>
      <w:iCs/>
      <w:color w:val="0F4761" w:themeColor="accent1" w:themeShade="BF"/>
    </w:rPr>
  </w:style>
  <w:style w:type="paragraph" w:styleId="IntenseQuote">
    <w:name w:val="Intense Quote"/>
    <w:basedOn w:val="Normal"/>
    <w:next w:val="Normal"/>
    <w:link w:val="IntenseQuoteChar"/>
    <w:uiPriority w:val="30"/>
    <w:qFormat/>
    <w:rsid w:val="00E345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5E5"/>
    <w:rPr>
      <w:i/>
      <w:iCs/>
      <w:color w:val="0F4761" w:themeColor="accent1" w:themeShade="BF"/>
    </w:rPr>
  </w:style>
  <w:style w:type="character" w:styleId="IntenseReference">
    <w:name w:val="Intense Reference"/>
    <w:basedOn w:val="DefaultParagraphFont"/>
    <w:uiPriority w:val="32"/>
    <w:qFormat/>
    <w:rsid w:val="00E345E5"/>
    <w:rPr>
      <w:b/>
      <w:bCs/>
      <w:smallCaps/>
      <w:color w:val="0F4761" w:themeColor="accent1" w:themeShade="BF"/>
      <w:spacing w:val="5"/>
    </w:rPr>
  </w:style>
  <w:style w:type="character" w:styleId="Emphasis">
    <w:name w:val="Emphasis"/>
    <w:basedOn w:val="DefaultParagraphFont"/>
    <w:uiPriority w:val="20"/>
    <w:qFormat/>
    <w:rsid w:val="006A57E9"/>
    <w:rPr>
      <w:i/>
      <w:iCs/>
    </w:rPr>
  </w:style>
  <w:style w:type="character" w:styleId="Strong">
    <w:name w:val="Strong"/>
    <w:basedOn w:val="DefaultParagraphFont"/>
    <w:uiPriority w:val="22"/>
    <w:qFormat/>
    <w:rsid w:val="005E357B"/>
    <w:rPr>
      <w:b/>
      <w:bCs/>
    </w:rPr>
  </w:style>
  <w:style w:type="paragraph" w:styleId="NormalWeb">
    <w:name w:val="Normal (Web)"/>
    <w:basedOn w:val="Normal"/>
    <w:uiPriority w:val="99"/>
    <w:semiHidden/>
    <w:unhideWhenUsed/>
    <w:rsid w:val="005E35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45173">
      <w:bodyDiv w:val="1"/>
      <w:marLeft w:val="0"/>
      <w:marRight w:val="0"/>
      <w:marTop w:val="0"/>
      <w:marBottom w:val="0"/>
      <w:divBdr>
        <w:top w:val="none" w:sz="0" w:space="0" w:color="auto"/>
        <w:left w:val="none" w:sz="0" w:space="0" w:color="auto"/>
        <w:bottom w:val="none" w:sz="0" w:space="0" w:color="auto"/>
        <w:right w:val="none" w:sz="0" w:space="0" w:color="auto"/>
      </w:divBdr>
    </w:div>
    <w:div w:id="313799869">
      <w:bodyDiv w:val="1"/>
      <w:marLeft w:val="0"/>
      <w:marRight w:val="0"/>
      <w:marTop w:val="0"/>
      <w:marBottom w:val="0"/>
      <w:divBdr>
        <w:top w:val="none" w:sz="0" w:space="0" w:color="auto"/>
        <w:left w:val="none" w:sz="0" w:space="0" w:color="auto"/>
        <w:bottom w:val="none" w:sz="0" w:space="0" w:color="auto"/>
        <w:right w:val="none" w:sz="0" w:space="0" w:color="auto"/>
      </w:divBdr>
    </w:div>
    <w:div w:id="516384751">
      <w:bodyDiv w:val="1"/>
      <w:marLeft w:val="0"/>
      <w:marRight w:val="0"/>
      <w:marTop w:val="0"/>
      <w:marBottom w:val="0"/>
      <w:divBdr>
        <w:top w:val="none" w:sz="0" w:space="0" w:color="auto"/>
        <w:left w:val="none" w:sz="0" w:space="0" w:color="auto"/>
        <w:bottom w:val="none" w:sz="0" w:space="0" w:color="auto"/>
        <w:right w:val="none" w:sz="0" w:space="0" w:color="auto"/>
      </w:divBdr>
    </w:div>
    <w:div w:id="563225176">
      <w:bodyDiv w:val="1"/>
      <w:marLeft w:val="0"/>
      <w:marRight w:val="0"/>
      <w:marTop w:val="0"/>
      <w:marBottom w:val="0"/>
      <w:divBdr>
        <w:top w:val="none" w:sz="0" w:space="0" w:color="auto"/>
        <w:left w:val="none" w:sz="0" w:space="0" w:color="auto"/>
        <w:bottom w:val="none" w:sz="0" w:space="0" w:color="auto"/>
        <w:right w:val="none" w:sz="0" w:space="0" w:color="auto"/>
      </w:divBdr>
    </w:div>
    <w:div w:id="581524271">
      <w:bodyDiv w:val="1"/>
      <w:marLeft w:val="0"/>
      <w:marRight w:val="0"/>
      <w:marTop w:val="0"/>
      <w:marBottom w:val="0"/>
      <w:divBdr>
        <w:top w:val="none" w:sz="0" w:space="0" w:color="auto"/>
        <w:left w:val="none" w:sz="0" w:space="0" w:color="auto"/>
        <w:bottom w:val="none" w:sz="0" w:space="0" w:color="auto"/>
        <w:right w:val="none" w:sz="0" w:space="0" w:color="auto"/>
      </w:divBdr>
    </w:div>
    <w:div w:id="651446969">
      <w:bodyDiv w:val="1"/>
      <w:marLeft w:val="0"/>
      <w:marRight w:val="0"/>
      <w:marTop w:val="0"/>
      <w:marBottom w:val="0"/>
      <w:divBdr>
        <w:top w:val="none" w:sz="0" w:space="0" w:color="auto"/>
        <w:left w:val="none" w:sz="0" w:space="0" w:color="auto"/>
        <w:bottom w:val="none" w:sz="0" w:space="0" w:color="auto"/>
        <w:right w:val="none" w:sz="0" w:space="0" w:color="auto"/>
      </w:divBdr>
    </w:div>
    <w:div w:id="656492233">
      <w:bodyDiv w:val="1"/>
      <w:marLeft w:val="0"/>
      <w:marRight w:val="0"/>
      <w:marTop w:val="0"/>
      <w:marBottom w:val="0"/>
      <w:divBdr>
        <w:top w:val="none" w:sz="0" w:space="0" w:color="auto"/>
        <w:left w:val="none" w:sz="0" w:space="0" w:color="auto"/>
        <w:bottom w:val="none" w:sz="0" w:space="0" w:color="auto"/>
        <w:right w:val="none" w:sz="0" w:space="0" w:color="auto"/>
      </w:divBdr>
    </w:div>
    <w:div w:id="697006946">
      <w:bodyDiv w:val="1"/>
      <w:marLeft w:val="0"/>
      <w:marRight w:val="0"/>
      <w:marTop w:val="0"/>
      <w:marBottom w:val="0"/>
      <w:divBdr>
        <w:top w:val="none" w:sz="0" w:space="0" w:color="auto"/>
        <w:left w:val="none" w:sz="0" w:space="0" w:color="auto"/>
        <w:bottom w:val="none" w:sz="0" w:space="0" w:color="auto"/>
        <w:right w:val="none" w:sz="0" w:space="0" w:color="auto"/>
      </w:divBdr>
    </w:div>
    <w:div w:id="777529284">
      <w:bodyDiv w:val="1"/>
      <w:marLeft w:val="0"/>
      <w:marRight w:val="0"/>
      <w:marTop w:val="0"/>
      <w:marBottom w:val="0"/>
      <w:divBdr>
        <w:top w:val="none" w:sz="0" w:space="0" w:color="auto"/>
        <w:left w:val="none" w:sz="0" w:space="0" w:color="auto"/>
        <w:bottom w:val="none" w:sz="0" w:space="0" w:color="auto"/>
        <w:right w:val="none" w:sz="0" w:space="0" w:color="auto"/>
      </w:divBdr>
    </w:div>
    <w:div w:id="825435900">
      <w:bodyDiv w:val="1"/>
      <w:marLeft w:val="0"/>
      <w:marRight w:val="0"/>
      <w:marTop w:val="0"/>
      <w:marBottom w:val="0"/>
      <w:divBdr>
        <w:top w:val="none" w:sz="0" w:space="0" w:color="auto"/>
        <w:left w:val="none" w:sz="0" w:space="0" w:color="auto"/>
        <w:bottom w:val="none" w:sz="0" w:space="0" w:color="auto"/>
        <w:right w:val="none" w:sz="0" w:space="0" w:color="auto"/>
      </w:divBdr>
    </w:div>
    <w:div w:id="842554604">
      <w:bodyDiv w:val="1"/>
      <w:marLeft w:val="0"/>
      <w:marRight w:val="0"/>
      <w:marTop w:val="0"/>
      <w:marBottom w:val="0"/>
      <w:divBdr>
        <w:top w:val="none" w:sz="0" w:space="0" w:color="auto"/>
        <w:left w:val="none" w:sz="0" w:space="0" w:color="auto"/>
        <w:bottom w:val="none" w:sz="0" w:space="0" w:color="auto"/>
        <w:right w:val="none" w:sz="0" w:space="0" w:color="auto"/>
      </w:divBdr>
    </w:div>
    <w:div w:id="1035885677">
      <w:bodyDiv w:val="1"/>
      <w:marLeft w:val="0"/>
      <w:marRight w:val="0"/>
      <w:marTop w:val="0"/>
      <w:marBottom w:val="0"/>
      <w:divBdr>
        <w:top w:val="none" w:sz="0" w:space="0" w:color="auto"/>
        <w:left w:val="none" w:sz="0" w:space="0" w:color="auto"/>
        <w:bottom w:val="none" w:sz="0" w:space="0" w:color="auto"/>
        <w:right w:val="none" w:sz="0" w:space="0" w:color="auto"/>
      </w:divBdr>
    </w:div>
    <w:div w:id="1102604947">
      <w:bodyDiv w:val="1"/>
      <w:marLeft w:val="0"/>
      <w:marRight w:val="0"/>
      <w:marTop w:val="0"/>
      <w:marBottom w:val="0"/>
      <w:divBdr>
        <w:top w:val="none" w:sz="0" w:space="0" w:color="auto"/>
        <w:left w:val="none" w:sz="0" w:space="0" w:color="auto"/>
        <w:bottom w:val="none" w:sz="0" w:space="0" w:color="auto"/>
        <w:right w:val="none" w:sz="0" w:space="0" w:color="auto"/>
      </w:divBdr>
    </w:div>
    <w:div w:id="1374889304">
      <w:bodyDiv w:val="1"/>
      <w:marLeft w:val="0"/>
      <w:marRight w:val="0"/>
      <w:marTop w:val="0"/>
      <w:marBottom w:val="0"/>
      <w:divBdr>
        <w:top w:val="none" w:sz="0" w:space="0" w:color="auto"/>
        <w:left w:val="none" w:sz="0" w:space="0" w:color="auto"/>
        <w:bottom w:val="none" w:sz="0" w:space="0" w:color="auto"/>
        <w:right w:val="none" w:sz="0" w:space="0" w:color="auto"/>
      </w:divBdr>
      <w:divsChild>
        <w:div w:id="1501434232">
          <w:marLeft w:val="0"/>
          <w:marRight w:val="0"/>
          <w:marTop w:val="0"/>
          <w:marBottom w:val="0"/>
          <w:divBdr>
            <w:top w:val="none" w:sz="0" w:space="0" w:color="auto"/>
            <w:left w:val="none" w:sz="0" w:space="0" w:color="auto"/>
            <w:bottom w:val="none" w:sz="0" w:space="0" w:color="auto"/>
            <w:right w:val="none" w:sz="0" w:space="0" w:color="auto"/>
          </w:divBdr>
          <w:divsChild>
            <w:div w:id="987048528">
              <w:marLeft w:val="0"/>
              <w:marRight w:val="0"/>
              <w:marTop w:val="0"/>
              <w:marBottom w:val="0"/>
              <w:divBdr>
                <w:top w:val="none" w:sz="0" w:space="0" w:color="auto"/>
                <w:left w:val="none" w:sz="0" w:space="0" w:color="auto"/>
                <w:bottom w:val="none" w:sz="0" w:space="0" w:color="auto"/>
                <w:right w:val="none" w:sz="0" w:space="0" w:color="auto"/>
              </w:divBdr>
              <w:divsChild>
                <w:div w:id="2035691211">
                  <w:marLeft w:val="0"/>
                  <w:marRight w:val="0"/>
                  <w:marTop w:val="0"/>
                  <w:marBottom w:val="0"/>
                  <w:divBdr>
                    <w:top w:val="none" w:sz="0" w:space="0" w:color="auto"/>
                    <w:left w:val="none" w:sz="0" w:space="0" w:color="auto"/>
                    <w:bottom w:val="none" w:sz="0" w:space="0" w:color="auto"/>
                    <w:right w:val="none" w:sz="0" w:space="0" w:color="auto"/>
                  </w:divBdr>
                  <w:divsChild>
                    <w:div w:id="1104575914">
                      <w:marLeft w:val="0"/>
                      <w:marRight w:val="0"/>
                      <w:marTop w:val="0"/>
                      <w:marBottom w:val="0"/>
                      <w:divBdr>
                        <w:top w:val="none" w:sz="0" w:space="0" w:color="auto"/>
                        <w:left w:val="none" w:sz="0" w:space="0" w:color="auto"/>
                        <w:bottom w:val="none" w:sz="0" w:space="0" w:color="auto"/>
                        <w:right w:val="none" w:sz="0" w:space="0" w:color="auto"/>
                      </w:divBdr>
                      <w:divsChild>
                        <w:div w:id="1198350938">
                          <w:marLeft w:val="0"/>
                          <w:marRight w:val="0"/>
                          <w:marTop w:val="0"/>
                          <w:marBottom w:val="0"/>
                          <w:divBdr>
                            <w:top w:val="none" w:sz="0" w:space="0" w:color="auto"/>
                            <w:left w:val="none" w:sz="0" w:space="0" w:color="auto"/>
                            <w:bottom w:val="none" w:sz="0" w:space="0" w:color="auto"/>
                            <w:right w:val="none" w:sz="0" w:space="0" w:color="auto"/>
                          </w:divBdr>
                          <w:divsChild>
                            <w:div w:id="1077286502">
                              <w:marLeft w:val="0"/>
                              <w:marRight w:val="0"/>
                              <w:marTop w:val="0"/>
                              <w:marBottom w:val="0"/>
                              <w:divBdr>
                                <w:top w:val="none" w:sz="0" w:space="0" w:color="auto"/>
                                <w:left w:val="none" w:sz="0" w:space="0" w:color="auto"/>
                                <w:bottom w:val="none" w:sz="0" w:space="0" w:color="auto"/>
                                <w:right w:val="none" w:sz="0" w:space="0" w:color="auto"/>
                              </w:divBdr>
                              <w:divsChild>
                                <w:div w:id="1188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690042">
                      <w:marLeft w:val="0"/>
                      <w:marRight w:val="0"/>
                      <w:marTop w:val="0"/>
                      <w:marBottom w:val="0"/>
                      <w:divBdr>
                        <w:top w:val="none" w:sz="0" w:space="0" w:color="auto"/>
                        <w:left w:val="none" w:sz="0" w:space="0" w:color="auto"/>
                        <w:bottom w:val="none" w:sz="0" w:space="0" w:color="auto"/>
                        <w:right w:val="none" w:sz="0" w:space="0" w:color="auto"/>
                      </w:divBdr>
                      <w:divsChild>
                        <w:div w:id="123238224">
                          <w:marLeft w:val="0"/>
                          <w:marRight w:val="0"/>
                          <w:marTop w:val="240"/>
                          <w:marBottom w:val="120"/>
                          <w:divBdr>
                            <w:top w:val="none" w:sz="0" w:space="0" w:color="auto"/>
                            <w:left w:val="none" w:sz="0" w:space="0" w:color="auto"/>
                            <w:bottom w:val="none" w:sz="0" w:space="0" w:color="auto"/>
                            <w:right w:val="none" w:sz="0" w:space="0" w:color="auto"/>
                          </w:divBdr>
                          <w:divsChild>
                            <w:div w:id="605890156">
                              <w:marLeft w:val="0"/>
                              <w:marRight w:val="0"/>
                              <w:marTop w:val="0"/>
                              <w:marBottom w:val="0"/>
                              <w:divBdr>
                                <w:top w:val="none" w:sz="0" w:space="0" w:color="auto"/>
                                <w:left w:val="none" w:sz="0" w:space="0" w:color="auto"/>
                                <w:bottom w:val="none" w:sz="0" w:space="0" w:color="auto"/>
                                <w:right w:val="none" w:sz="0" w:space="0" w:color="auto"/>
                              </w:divBdr>
                              <w:divsChild>
                                <w:div w:id="384373188">
                                  <w:marLeft w:val="0"/>
                                  <w:marRight w:val="0"/>
                                  <w:marTop w:val="0"/>
                                  <w:marBottom w:val="0"/>
                                  <w:divBdr>
                                    <w:top w:val="none" w:sz="0" w:space="0" w:color="auto"/>
                                    <w:left w:val="none" w:sz="0" w:space="0" w:color="auto"/>
                                    <w:bottom w:val="none" w:sz="0" w:space="0" w:color="auto"/>
                                    <w:right w:val="none" w:sz="0" w:space="0" w:color="auto"/>
                                  </w:divBdr>
                                </w:div>
                                <w:div w:id="16575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457339">
          <w:marLeft w:val="0"/>
          <w:marRight w:val="0"/>
          <w:marTop w:val="0"/>
          <w:marBottom w:val="0"/>
          <w:divBdr>
            <w:top w:val="none" w:sz="0" w:space="0" w:color="auto"/>
            <w:left w:val="none" w:sz="0" w:space="0" w:color="auto"/>
            <w:bottom w:val="none" w:sz="0" w:space="0" w:color="auto"/>
            <w:right w:val="none" w:sz="0" w:space="0" w:color="auto"/>
          </w:divBdr>
          <w:divsChild>
            <w:div w:id="1091514265">
              <w:marLeft w:val="0"/>
              <w:marRight w:val="0"/>
              <w:marTop w:val="0"/>
              <w:marBottom w:val="0"/>
              <w:divBdr>
                <w:top w:val="none" w:sz="0" w:space="0" w:color="auto"/>
                <w:left w:val="none" w:sz="0" w:space="0" w:color="auto"/>
                <w:bottom w:val="none" w:sz="0" w:space="0" w:color="auto"/>
                <w:right w:val="none" w:sz="0" w:space="0" w:color="auto"/>
              </w:divBdr>
            </w:div>
            <w:div w:id="1558785253">
              <w:marLeft w:val="0"/>
              <w:marRight w:val="0"/>
              <w:marTop w:val="0"/>
              <w:marBottom w:val="0"/>
              <w:divBdr>
                <w:top w:val="none" w:sz="0" w:space="0" w:color="auto"/>
                <w:left w:val="none" w:sz="0" w:space="0" w:color="auto"/>
                <w:bottom w:val="none" w:sz="0" w:space="0" w:color="auto"/>
                <w:right w:val="none" w:sz="0" w:space="0" w:color="auto"/>
              </w:divBdr>
              <w:divsChild>
                <w:div w:id="590965566">
                  <w:marLeft w:val="0"/>
                  <w:marRight w:val="0"/>
                  <w:marTop w:val="0"/>
                  <w:marBottom w:val="0"/>
                  <w:divBdr>
                    <w:top w:val="none" w:sz="0" w:space="0" w:color="auto"/>
                    <w:left w:val="none" w:sz="0" w:space="0" w:color="auto"/>
                    <w:bottom w:val="none" w:sz="0" w:space="0" w:color="auto"/>
                    <w:right w:val="none" w:sz="0" w:space="0" w:color="auto"/>
                  </w:divBdr>
                </w:div>
                <w:div w:id="1538009206">
                  <w:marLeft w:val="0"/>
                  <w:marRight w:val="0"/>
                  <w:marTop w:val="0"/>
                  <w:marBottom w:val="0"/>
                  <w:divBdr>
                    <w:top w:val="none" w:sz="0" w:space="0" w:color="auto"/>
                    <w:left w:val="none" w:sz="0" w:space="0" w:color="auto"/>
                    <w:bottom w:val="none" w:sz="0" w:space="0" w:color="auto"/>
                    <w:right w:val="none" w:sz="0" w:space="0" w:color="auto"/>
                  </w:divBdr>
                </w:div>
              </w:divsChild>
            </w:div>
            <w:div w:id="2125540426">
              <w:marLeft w:val="0"/>
              <w:marRight w:val="0"/>
              <w:marTop w:val="0"/>
              <w:marBottom w:val="0"/>
              <w:divBdr>
                <w:top w:val="none" w:sz="0" w:space="0" w:color="auto"/>
                <w:left w:val="none" w:sz="0" w:space="0" w:color="auto"/>
                <w:bottom w:val="none" w:sz="0" w:space="0" w:color="auto"/>
                <w:right w:val="none" w:sz="0" w:space="0" w:color="auto"/>
              </w:divBdr>
              <w:divsChild>
                <w:div w:id="914703882">
                  <w:marLeft w:val="0"/>
                  <w:marRight w:val="0"/>
                  <w:marTop w:val="0"/>
                  <w:marBottom w:val="0"/>
                  <w:divBdr>
                    <w:top w:val="none" w:sz="0" w:space="0" w:color="auto"/>
                    <w:left w:val="none" w:sz="0" w:space="0" w:color="auto"/>
                    <w:bottom w:val="none" w:sz="0" w:space="0" w:color="auto"/>
                    <w:right w:val="none" w:sz="0" w:space="0" w:color="auto"/>
                  </w:divBdr>
                  <w:divsChild>
                    <w:div w:id="365645500">
                      <w:marLeft w:val="0"/>
                      <w:marRight w:val="0"/>
                      <w:marTop w:val="0"/>
                      <w:marBottom w:val="0"/>
                      <w:divBdr>
                        <w:top w:val="none" w:sz="0" w:space="0" w:color="auto"/>
                        <w:left w:val="none" w:sz="0" w:space="0" w:color="auto"/>
                        <w:bottom w:val="none" w:sz="0" w:space="0" w:color="auto"/>
                        <w:right w:val="none" w:sz="0" w:space="0" w:color="auto"/>
                      </w:divBdr>
                      <w:divsChild>
                        <w:div w:id="1634482044">
                          <w:marLeft w:val="0"/>
                          <w:marRight w:val="0"/>
                          <w:marTop w:val="0"/>
                          <w:marBottom w:val="0"/>
                          <w:divBdr>
                            <w:top w:val="none" w:sz="0" w:space="0" w:color="auto"/>
                            <w:left w:val="none" w:sz="0" w:space="0" w:color="auto"/>
                            <w:bottom w:val="none" w:sz="0" w:space="0" w:color="auto"/>
                            <w:right w:val="none" w:sz="0" w:space="0" w:color="auto"/>
                          </w:divBdr>
                          <w:divsChild>
                            <w:div w:id="852302467">
                              <w:marLeft w:val="0"/>
                              <w:marRight w:val="0"/>
                              <w:marTop w:val="0"/>
                              <w:marBottom w:val="0"/>
                              <w:divBdr>
                                <w:top w:val="none" w:sz="0" w:space="0" w:color="auto"/>
                                <w:left w:val="none" w:sz="0" w:space="0" w:color="auto"/>
                                <w:bottom w:val="none" w:sz="0" w:space="0" w:color="auto"/>
                                <w:right w:val="none" w:sz="0" w:space="0" w:color="auto"/>
                              </w:divBdr>
                              <w:divsChild>
                                <w:div w:id="1905527673">
                                  <w:marLeft w:val="0"/>
                                  <w:marRight w:val="0"/>
                                  <w:marTop w:val="0"/>
                                  <w:marBottom w:val="0"/>
                                  <w:divBdr>
                                    <w:top w:val="none" w:sz="0" w:space="0" w:color="auto"/>
                                    <w:left w:val="none" w:sz="0" w:space="0" w:color="auto"/>
                                    <w:bottom w:val="none" w:sz="0" w:space="0" w:color="auto"/>
                                    <w:right w:val="none" w:sz="0" w:space="0" w:color="auto"/>
                                  </w:divBdr>
                                  <w:divsChild>
                                    <w:div w:id="935555997">
                                      <w:marLeft w:val="-90"/>
                                      <w:marRight w:val="-90"/>
                                      <w:marTop w:val="0"/>
                                      <w:marBottom w:val="0"/>
                                      <w:divBdr>
                                        <w:top w:val="none" w:sz="0" w:space="0" w:color="auto"/>
                                        <w:left w:val="none" w:sz="0" w:space="0" w:color="auto"/>
                                        <w:bottom w:val="none" w:sz="0" w:space="0" w:color="auto"/>
                                        <w:right w:val="none" w:sz="0" w:space="0" w:color="auto"/>
                                      </w:divBdr>
                                      <w:divsChild>
                                        <w:div w:id="237133652">
                                          <w:marLeft w:val="0"/>
                                          <w:marRight w:val="0"/>
                                          <w:marTop w:val="0"/>
                                          <w:marBottom w:val="0"/>
                                          <w:divBdr>
                                            <w:top w:val="none" w:sz="0" w:space="0" w:color="auto"/>
                                            <w:left w:val="none" w:sz="0" w:space="0" w:color="auto"/>
                                            <w:bottom w:val="none" w:sz="0" w:space="0" w:color="auto"/>
                                            <w:right w:val="none" w:sz="0" w:space="0" w:color="auto"/>
                                          </w:divBdr>
                                          <w:divsChild>
                                            <w:div w:id="1269659520">
                                              <w:marLeft w:val="0"/>
                                              <w:marRight w:val="0"/>
                                              <w:marTop w:val="0"/>
                                              <w:marBottom w:val="0"/>
                                              <w:divBdr>
                                                <w:top w:val="none" w:sz="0" w:space="0" w:color="auto"/>
                                                <w:left w:val="none" w:sz="0" w:space="0" w:color="auto"/>
                                                <w:bottom w:val="none" w:sz="0" w:space="0" w:color="auto"/>
                                                <w:right w:val="none" w:sz="0" w:space="0" w:color="auto"/>
                                              </w:divBdr>
                                            </w:div>
                                            <w:div w:id="2002929699">
                                              <w:marLeft w:val="0"/>
                                              <w:marRight w:val="0"/>
                                              <w:marTop w:val="0"/>
                                              <w:marBottom w:val="0"/>
                                              <w:divBdr>
                                                <w:top w:val="none" w:sz="0" w:space="0" w:color="auto"/>
                                                <w:left w:val="none" w:sz="0" w:space="0" w:color="auto"/>
                                                <w:bottom w:val="none" w:sz="0" w:space="0" w:color="auto"/>
                                                <w:right w:val="none" w:sz="0" w:space="0" w:color="auto"/>
                                              </w:divBdr>
                                            </w:div>
                                            <w:div w:id="46565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35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37790">
                      <w:marLeft w:val="0"/>
                      <w:marRight w:val="0"/>
                      <w:marTop w:val="0"/>
                      <w:marBottom w:val="0"/>
                      <w:divBdr>
                        <w:top w:val="none" w:sz="0" w:space="0" w:color="auto"/>
                        <w:left w:val="none" w:sz="0" w:space="0" w:color="auto"/>
                        <w:bottom w:val="none" w:sz="0" w:space="0" w:color="auto"/>
                        <w:right w:val="none" w:sz="0" w:space="0" w:color="auto"/>
                      </w:divBdr>
                      <w:divsChild>
                        <w:div w:id="1300841651">
                          <w:marLeft w:val="0"/>
                          <w:marRight w:val="0"/>
                          <w:marTop w:val="0"/>
                          <w:marBottom w:val="0"/>
                          <w:divBdr>
                            <w:top w:val="none" w:sz="0" w:space="0" w:color="auto"/>
                            <w:left w:val="none" w:sz="0" w:space="0" w:color="auto"/>
                            <w:bottom w:val="none" w:sz="0" w:space="0" w:color="auto"/>
                            <w:right w:val="none" w:sz="0" w:space="0" w:color="auto"/>
                          </w:divBdr>
                          <w:divsChild>
                            <w:div w:id="1187327888">
                              <w:marLeft w:val="0"/>
                              <w:marRight w:val="0"/>
                              <w:marTop w:val="0"/>
                              <w:marBottom w:val="0"/>
                              <w:divBdr>
                                <w:top w:val="none" w:sz="0" w:space="0" w:color="auto"/>
                                <w:left w:val="none" w:sz="0" w:space="0" w:color="auto"/>
                                <w:bottom w:val="none" w:sz="0" w:space="0" w:color="auto"/>
                                <w:right w:val="none" w:sz="0" w:space="0" w:color="auto"/>
                              </w:divBdr>
                              <w:divsChild>
                                <w:div w:id="1369523343">
                                  <w:marLeft w:val="0"/>
                                  <w:marRight w:val="0"/>
                                  <w:marTop w:val="0"/>
                                  <w:marBottom w:val="0"/>
                                  <w:divBdr>
                                    <w:top w:val="none" w:sz="0" w:space="0" w:color="auto"/>
                                    <w:left w:val="none" w:sz="0" w:space="0" w:color="auto"/>
                                    <w:bottom w:val="none" w:sz="0" w:space="0" w:color="auto"/>
                                    <w:right w:val="none" w:sz="0" w:space="0" w:color="auto"/>
                                  </w:divBdr>
                                  <w:divsChild>
                                    <w:div w:id="237522231">
                                      <w:marLeft w:val="0"/>
                                      <w:marRight w:val="0"/>
                                      <w:marTop w:val="0"/>
                                      <w:marBottom w:val="0"/>
                                      <w:divBdr>
                                        <w:top w:val="none" w:sz="0" w:space="0" w:color="auto"/>
                                        <w:left w:val="none" w:sz="0" w:space="0" w:color="auto"/>
                                        <w:bottom w:val="none" w:sz="0" w:space="0" w:color="auto"/>
                                        <w:right w:val="none" w:sz="0" w:space="0" w:color="auto"/>
                                      </w:divBdr>
                                      <w:divsChild>
                                        <w:div w:id="855582841">
                                          <w:marLeft w:val="0"/>
                                          <w:marRight w:val="0"/>
                                          <w:marTop w:val="0"/>
                                          <w:marBottom w:val="0"/>
                                          <w:divBdr>
                                            <w:top w:val="none" w:sz="0" w:space="0" w:color="auto"/>
                                            <w:left w:val="none" w:sz="0" w:space="0" w:color="auto"/>
                                            <w:bottom w:val="none" w:sz="0" w:space="0" w:color="auto"/>
                                            <w:right w:val="none" w:sz="0" w:space="0" w:color="auto"/>
                                          </w:divBdr>
                                        </w:div>
                                        <w:div w:id="116216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005878">
                          <w:marLeft w:val="0"/>
                          <w:marRight w:val="0"/>
                          <w:marTop w:val="0"/>
                          <w:marBottom w:val="0"/>
                          <w:divBdr>
                            <w:top w:val="none" w:sz="0" w:space="0" w:color="auto"/>
                            <w:left w:val="none" w:sz="0" w:space="0" w:color="auto"/>
                            <w:bottom w:val="none" w:sz="0" w:space="0" w:color="auto"/>
                            <w:right w:val="none" w:sz="0" w:space="0" w:color="auto"/>
                          </w:divBdr>
                          <w:divsChild>
                            <w:div w:id="473370376">
                              <w:marLeft w:val="0"/>
                              <w:marRight w:val="0"/>
                              <w:marTop w:val="0"/>
                              <w:marBottom w:val="0"/>
                              <w:divBdr>
                                <w:top w:val="none" w:sz="0" w:space="0" w:color="auto"/>
                                <w:left w:val="none" w:sz="0" w:space="0" w:color="auto"/>
                                <w:bottom w:val="none" w:sz="0" w:space="0" w:color="auto"/>
                                <w:right w:val="none" w:sz="0" w:space="0" w:color="auto"/>
                              </w:divBdr>
                              <w:divsChild>
                                <w:div w:id="63467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060014">
      <w:bodyDiv w:val="1"/>
      <w:marLeft w:val="0"/>
      <w:marRight w:val="0"/>
      <w:marTop w:val="0"/>
      <w:marBottom w:val="0"/>
      <w:divBdr>
        <w:top w:val="none" w:sz="0" w:space="0" w:color="auto"/>
        <w:left w:val="none" w:sz="0" w:space="0" w:color="auto"/>
        <w:bottom w:val="none" w:sz="0" w:space="0" w:color="auto"/>
        <w:right w:val="none" w:sz="0" w:space="0" w:color="auto"/>
      </w:divBdr>
    </w:div>
    <w:div w:id="186640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400</TotalTime>
  <Pages>6</Pages>
  <Words>1392</Words>
  <Characters>8330</Characters>
  <Application>Microsoft Office Word</Application>
  <DocSecurity>0</DocSecurity>
  <Lines>157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Salimata Traore</dc:creator>
  <cp:keywords/>
  <dc:description/>
  <cp:lastModifiedBy>Salimata Traore</cp:lastModifiedBy>
  <cp:revision>29</cp:revision>
  <dcterms:created xsi:type="dcterms:W3CDTF">2024-03-12T18:08:00Z</dcterms:created>
  <dcterms:modified xsi:type="dcterms:W3CDTF">2024-03-14T23:14:00Z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01d950a6-5c9b-4a07-b71c-cf6924e1ea1f</vt:lpwstr>
  </property>
</Properties>
</file>