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8D2422" w14:textId="77777777" w:rsidR="001022B7" w:rsidRPr="001776FA" w:rsidRDefault="00AE4986">
      <w:pPr>
        <w:jc w:val="center"/>
        <w:rPr>
          <w:rFonts w:ascii="Times New Roman" w:eastAsia="Times New Roman" w:hAnsi="Times New Roman" w:cs="Times New Roman"/>
          <w:b/>
          <w:color w:val="000000" w:themeColor="text1"/>
          <w:sz w:val="24"/>
          <w:szCs w:val="24"/>
        </w:rPr>
      </w:pPr>
      <w:r w:rsidRPr="001776FA">
        <w:rPr>
          <w:rFonts w:ascii="Times New Roman" w:hAnsi="Times New Roman" w:cs="Times New Roman"/>
          <w:noProof/>
          <w:color w:val="000000" w:themeColor="text1"/>
          <w:sz w:val="24"/>
          <w:szCs w:val="24"/>
          <w:lang w:eastAsia="en-GB"/>
        </w:rPr>
        <w:drawing>
          <wp:inline distT="0" distB="0" distL="0" distR="0" wp14:anchorId="656BF0DC" wp14:editId="790415FD">
            <wp:extent cx="2971800" cy="985646"/>
            <wp:effectExtent l="0" t="0" r="0" b="5080"/>
            <wp:docPr id="1026" name="Picture 4" descr="Press Releases 2020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7" cstate="print"/>
                    <a:srcRect/>
                    <a:stretch/>
                  </pic:blipFill>
                  <pic:spPr>
                    <a:xfrm>
                      <a:off x="0" y="0"/>
                      <a:ext cx="2971800" cy="985646"/>
                    </a:xfrm>
                    <a:prstGeom prst="rect">
                      <a:avLst/>
                    </a:prstGeom>
                    <a:ln>
                      <a:noFill/>
                    </a:ln>
                  </pic:spPr>
                </pic:pic>
              </a:graphicData>
            </a:graphic>
          </wp:inline>
        </w:drawing>
      </w:r>
    </w:p>
    <w:p w14:paraId="19AFFAA7" w14:textId="77777777" w:rsidR="001022B7" w:rsidRPr="001776FA" w:rsidRDefault="001022B7">
      <w:pPr>
        <w:jc w:val="center"/>
        <w:rPr>
          <w:rFonts w:ascii="Times New Roman" w:eastAsia="Times New Roman" w:hAnsi="Times New Roman" w:cs="Times New Roman"/>
          <w:b/>
          <w:color w:val="000000" w:themeColor="text1"/>
          <w:sz w:val="24"/>
          <w:szCs w:val="24"/>
        </w:rPr>
      </w:pPr>
    </w:p>
    <w:p w14:paraId="0F2FAB64" w14:textId="77777777" w:rsidR="001022B7" w:rsidRPr="001776FA" w:rsidRDefault="001022B7">
      <w:pPr>
        <w:jc w:val="center"/>
        <w:rPr>
          <w:rFonts w:ascii="Times New Roman" w:eastAsia="Times New Roman" w:hAnsi="Times New Roman" w:cs="Times New Roman"/>
          <w:b/>
          <w:color w:val="000000" w:themeColor="text1"/>
          <w:sz w:val="24"/>
          <w:szCs w:val="24"/>
        </w:rPr>
      </w:pPr>
    </w:p>
    <w:p w14:paraId="32CEE32F" w14:textId="77777777" w:rsidR="001022B7" w:rsidRPr="001776FA" w:rsidRDefault="00AE4986">
      <w:pPr>
        <w:jc w:val="center"/>
        <w:rPr>
          <w:rFonts w:ascii="Times New Roman" w:eastAsia="Times New Roman" w:hAnsi="Times New Roman" w:cs="Times New Roman"/>
          <w:b/>
          <w:color w:val="000000" w:themeColor="text1"/>
          <w:sz w:val="24"/>
          <w:szCs w:val="24"/>
        </w:rPr>
      </w:pPr>
      <w:r w:rsidRPr="001776FA">
        <w:rPr>
          <w:rFonts w:ascii="Times New Roman" w:eastAsia="Times New Roman" w:hAnsi="Times New Roman" w:cs="Times New Roman"/>
          <w:b/>
          <w:color w:val="000000" w:themeColor="text1"/>
          <w:sz w:val="24"/>
          <w:szCs w:val="24"/>
        </w:rPr>
        <w:t>LEVEL 7 ASSESSMENT SPECIFICATION</w:t>
      </w:r>
    </w:p>
    <w:p w14:paraId="45EE6355" w14:textId="77777777" w:rsidR="001022B7" w:rsidRPr="001776FA" w:rsidRDefault="001022B7">
      <w:pPr>
        <w:jc w:val="center"/>
        <w:rPr>
          <w:rFonts w:ascii="Times New Roman" w:eastAsia="Times New Roman" w:hAnsi="Times New Roman" w:cs="Times New Roman"/>
          <w:b/>
          <w:color w:val="000000" w:themeColor="text1"/>
          <w:sz w:val="24"/>
          <w:szCs w:val="24"/>
        </w:rPr>
      </w:pPr>
    </w:p>
    <w:p w14:paraId="656584E0" w14:textId="77777777" w:rsidR="001022B7" w:rsidRPr="001776FA" w:rsidRDefault="00AE4986">
      <w:pPr>
        <w:jc w:val="center"/>
        <w:rPr>
          <w:rFonts w:ascii="Times New Roman" w:eastAsia="Times New Roman" w:hAnsi="Times New Roman" w:cs="Times New Roman"/>
          <w:b/>
          <w:color w:val="000000" w:themeColor="text1"/>
          <w:sz w:val="24"/>
          <w:szCs w:val="24"/>
        </w:rPr>
      </w:pPr>
      <w:r w:rsidRPr="001776FA">
        <w:rPr>
          <w:rFonts w:ascii="Times New Roman" w:eastAsia="Times New Roman" w:hAnsi="Times New Roman" w:cs="Times New Roman"/>
          <w:b/>
          <w:color w:val="000000" w:themeColor="text1"/>
          <w:sz w:val="24"/>
          <w:szCs w:val="24"/>
        </w:rPr>
        <w:t>MBA – Master of Business Administration</w:t>
      </w:r>
    </w:p>
    <w:p w14:paraId="02A76CC8" w14:textId="77777777" w:rsidR="001022B7" w:rsidRPr="001776FA" w:rsidRDefault="001022B7">
      <w:pPr>
        <w:jc w:val="center"/>
        <w:rPr>
          <w:rFonts w:ascii="Times New Roman" w:eastAsia="Times New Roman" w:hAnsi="Times New Roman" w:cs="Times New Roman"/>
          <w:b/>
          <w:color w:val="000000" w:themeColor="text1"/>
          <w:sz w:val="24"/>
          <w:szCs w:val="24"/>
        </w:rPr>
      </w:pPr>
    </w:p>
    <w:p w14:paraId="6C04DB3E" w14:textId="77777777" w:rsidR="001022B7" w:rsidRPr="001776FA" w:rsidRDefault="001022B7">
      <w:pPr>
        <w:jc w:val="center"/>
        <w:rPr>
          <w:rFonts w:ascii="Times New Roman" w:eastAsia="Times New Roman" w:hAnsi="Times New Roman" w:cs="Times New Roman"/>
          <w:b/>
          <w:color w:val="000000" w:themeColor="text1"/>
          <w:sz w:val="24"/>
          <w:szCs w:val="24"/>
        </w:rPr>
      </w:pPr>
    </w:p>
    <w:p w14:paraId="115BC846" w14:textId="77777777" w:rsidR="001022B7" w:rsidRPr="001776FA" w:rsidRDefault="001022B7">
      <w:pPr>
        <w:jc w:val="center"/>
        <w:rPr>
          <w:rFonts w:ascii="Times New Roman" w:eastAsia="Times New Roman" w:hAnsi="Times New Roman" w:cs="Times New Roman"/>
          <w:b/>
          <w:color w:val="000000" w:themeColor="text1"/>
          <w:sz w:val="24"/>
          <w:szCs w:val="24"/>
        </w:rPr>
      </w:pPr>
    </w:p>
    <w:p w14:paraId="091EDB75" w14:textId="77777777" w:rsidR="001022B7" w:rsidRPr="001776FA" w:rsidRDefault="001022B7">
      <w:pPr>
        <w:jc w:val="center"/>
        <w:rPr>
          <w:rFonts w:ascii="Times New Roman" w:eastAsia="Times New Roman" w:hAnsi="Times New Roman" w:cs="Times New Roman"/>
          <w:b/>
          <w:color w:val="000000" w:themeColor="text1"/>
          <w:sz w:val="24"/>
          <w:szCs w:val="24"/>
        </w:rPr>
      </w:pPr>
    </w:p>
    <w:p w14:paraId="7FD5C98D" w14:textId="77777777" w:rsidR="001022B7" w:rsidRPr="001776FA" w:rsidRDefault="00AE4986">
      <w:pPr>
        <w:jc w:val="center"/>
        <w:rPr>
          <w:rFonts w:ascii="Times New Roman" w:eastAsia="Times New Roman" w:hAnsi="Times New Roman" w:cs="Times New Roman"/>
          <w:b/>
          <w:color w:val="000000" w:themeColor="text1"/>
          <w:sz w:val="24"/>
          <w:szCs w:val="24"/>
        </w:rPr>
      </w:pPr>
      <w:r w:rsidRPr="001776FA">
        <w:rPr>
          <w:rFonts w:ascii="Times New Roman" w:eastAsia="Times New Roman" w:hAnsi="Times New Roman" w:cs="Times New Roman"/>
          <w:b/>
          <w:color w:val="000000" w:themeColor="text1"/>
          <w:sz w:val="24"/>
          <w:szCs w:val="24"/>
        </w:rPr>
        <w:t>LCMB7012</w:t>
      </w:r>
    </w:p>
    <w:p w14:paraId="47A23350" w14:textId="77777777" w:rsidR="001022B7" w:rsidRPr="001776FA" w:rsidRDefault="00AE4986">
      <w:pPr>
        <w:jc w:val="center"/>
        <w:rPr>
          <w:rFonts w:ascii="Times New Roman" w:eastAsia="Times New Roman" w:hAnsi="Times New Roman" w:cs="Times New Roman"/>
          <w:b/>
          <w:color w:val="000000" w:themeColor="text1"/>
          <w:sz w:val="24"/>
          <w:szCs w:val="24"/>
        </w:rPr>
      </w:pPr>
      <w:r w:rsidRPr="001776FA">
        <w:rPr>
          <w:rFonts w:ascii="Times New Roman" w:eastAsia="Times New Roman" w:hAnsi="Times New Roman" w:cs="Times New Roman"/>
          <w:b/>
          <w:color w:val="000000" w:themeColor="text1"/>
          <w:sz w:val="24"/>
          <w:szCs w:val="24"/>
        </w:rPr>
        <w:t>Banking Financial Management and Financial Markets</w:t>
      </w:r>
    </w:p>
    <w:p w14:paraId="34975F1A" w14:textId="77777777" w:rsidR="001022B7" w:rsidRPr="001776FA" w:rsidRDefault="001022B7">
      <w:pPr>
        <w:jc w:val="center"/>
        <w:rPr>
          <w:rFonts w:ascii="Times New Roman" w:eastAsia="Times New Roman" w:hAnsi="Times New Roman" w:cs="Times New Roman"/>
          <w:b/>
          <w:color w:val="000000" w:themeColor="text1"/>
          <w:sz w:val="24"/>
          <w:szCs w:val="24"/>
        </w:rPr>
      </w:pPr>
    </w:p>
    <w:p w14:paraId="2E283686" w14:textId="77777777" w:rsidR="001022B7" w:rsidRPr="001776FA" w:rsidRDefault="001022B7">
      <w:pPr>
        <w:jc w:val="center"/>
        <w:rPr>
          <w:rFonts w:ascii="Times New Roman" w:eastAsia="Times New Roman" w:hAnsi="Times New Roman" w:cs="Times New Roman"/>
          <w:b/>
          <w:color w:val="000000" w:themeColor="text1"/>
          <w:sz w:val="24"/>
          <w:szCs w:val="24"/>
        </w:rPr>
      </w:pPr>
    </w:p>
    <w:p w14:paraId="57C0707F" w14:textId="77777777" w:rsidR="001022B7" w:rsidRPr="001776FA" w:rsidRDefault="001022B7">
      <w:pPr>
        <w:jc w:val="center"/>
        <w:rPr>
          <w:rFonts w:ascii="Times New Roman" w:eastAsia="Times New Roman" w:hAnsi="Times New Roman" w:cs="Times New Roman"/>
          <w:b/>
          <w:color w:val="000000" w:themeColor="text1"/>
          <w:sz w:val="24"/>
          <w:szCs w:val="24"/>
        </w:rPr>
      </w:pPr>
    </w:p>
    <w:p w14:paraId="0CA88C5C" w14:textId="77777777" w:rsidR="001022B7" w:rsidRPr="001776FA" w:rsidRDefault="001022B7">
      <w:pPr>
        <w:jc w:val="center"/>
        <w:rPr>
          <w:rFonts w:ascii="Times New Roman" w:eastAsia="Times New Roman" w:hAnsi="Times New Roman" w:cs="Times New Roman"/>
          <w:b/>
          <w:color w:val="000000" w:themeColor="text1"/>
          <w:sz w:val="24"/>
          <w:szCs w:val="24"/>
        </w:rPr>
      </w:pPr>
    </w:p>
    <w:p w14:paraId="391D5F31" w14:textId="438DE311" w:rsidR="001022B7" w:rsidRPr="001776FA" w:rsidRDefault="00AE4986">
      <w:pPr>
        <w:jc w:val="center"/>
        <w:rPr>
          <w:rFonts w:ascii="Times New Roman" w:eastAsia="Times New Roman" w:hAnsi="Times New Roman" w:cs="Times New Roman"/>
          <w:b/>
          <w:color w:val="000000" w:themeColor="text1"/>
          <w:sz w:val="24"/>
          <w:szCs w:val="24"/>
        </w:rPr>
      </w:pPr>
      <w:r w:rsidRPr="001776FA">
        <w:rPr>
          <w:rFonts w:ascii="Times New Roman" w:eastAsia="Times New Roman" w:hAnsi="Times New Roman" w:cs="Times New Roman"/>
          <w:b/>
          <w:color w:val="000000" w:themeColor="text1"/>
          <w:sz w:val="24"/>
          <w:szCs w:val="24"/>
        </w:rPr>
        <w:t>Student Name:</w:t>
      </w:r>
      <w:r>
        <w:rPr>
          <w:rFonts w:ascii="Times New Roman" w:eastAsia="Times New Roman" w:hAnsi="Times New Roman" w:cs="Times New Roman"/>
          <w:b/>
          <w:color w:val="000000" w:themeColor="text1"/>
          <w:sz w:val="24"/>
          <w:szCs w:val="24"/>
        </w:rPr>
        <w:t xml:space="preserve"> Priti Chhabda</w:t>
      </w:r>
    </w:p>
    <w:p w14:paraId="36D9B65D" w14:textId="62DE43A3" w:rsidR="001022B7" w:rsidRPr="001776FA" w:rsidRDefault="00AE4986">
      <w:pPr>
        <w:jc w:val="center"/>
        <w:rPr>
          <w:rFonts w:ascii="Times New Roman" w:eastAsia="Times New Roman" w:hAnsi="Times New Roman" w:cs="Times New Roman"/>
          <w:b/>
          <w:color w:val="000000" w:themeColor="text1"/>
          <w:sz w:val="24"/>
          <w:szCs w:val="24"/>
        </w:rPr>
      </w:pPr>
      <w:r w:rsidRPr="001776FA">
        <w:rPr>
          <w:rFonts w:ascii="Times New Roman" w:eastAsia="Times New Roman" w:hAnsi="Times New Roman" w:cs="Times New Roman"/>
          <w:b/>
          <w:color w:val="000000" w:themeColor="text1"/>
          <w:sz w:val="24"/>
          <w:szCs w:val="24"/>
        </w:rPr>
        <w:t>Student ID:</w:t>
      </w:r>
      <w:r>
        <w:rPr>
          <w:rFonts w:ascii="Times New Roman" w:eastAsia="Times New Roman" w:hAnsi="Times New Roman" w:cs="Times New Roman"/>
          <w:b/>
          <w:color w:val="000000" w:themeColor="text1"/>
          <w:sz w:val="24"/>
          <w:szCs w:val="24"/>
        </w:rPr>
        <w:t>2208700</w:t>
      </w:r>
    </w:p>
    <w:p w14:paraId="5935E646" w14:textId="047E3060" w:rsidR="001022B7" w:rsidRPr="001776FA" w:rsidRDefault="00AE4986">
      <w:pPr>
        <w:jc w:val="center"/>
        <w:rPr>
          <w:rFonts w:ascii="Times New Roman" w:eastAsia="Times New Roman" w:hAnsi="Times New Roman" w:cs="Times New Roman"/>
          <w:b/>
          <w:color w:val="000000" w:themeColor="text1"/>
          <w:sz w:val="24"/>
          <w:szCs w:val="24"/>
        </w:rPr>
      </w:pPr>
      <w:r w:rsidRPr="001776FA">
        <w:rPr>
          <w:rFonts w:ascii="Times New Roman" w:eastAsia="Times New Roman" w:hAnsi="Times New Roman" w:cs="Times New Roman"/>
          <w:b/>
          <w:color w:val="000000" w:themeColor="text1"/>
          <w:sz w:val="24"/>
          <w:szCs w:val="24"/>
        </w:rPr>
        <w:t>Module Number:</w:t>
      </w:r>
      <w:r>
        <w:rPr>
          <w:rFonts w:ascii="Times New Roman" w:eastAsia="Times New Roman" w:hAnsi="Times New Roman" w:cs="Times New Roman"/>
          <w:b/>
          <w:color w:val="000000" w:themeColor="text1"/>
          <w:sz w:val="24"/>
          <w:szCs w:val="24"/>
        </w:rPr>
        <w:t xml:space="preserve"> LCMB7012</w:t>
      </w:r>
    </w:p>
    <w:p w14:paraId="03CFF921" w14:textId="77777777" w:rsidR="001022B7" w:rsidRPr="001776FA" w:rsidRDefault="00AE4986">
      <w:pPr>
        <w:jc w:val="center"/>
        <w:rPr>
          <w:rFonts w:ascii="Times New Roman" w:eastAsia="Times New Roman" w:hAnsi="Times New Roman" w:cs="Times New Roman"/>
          <w:b/>
          <w:color w:val="000000" w:themeColor="text1"/>
          <w:sz w:val="24"/>
          <w:szCs w:val="24"/>
        </w:rPr>
      </w:pPr>
      <w:r w:rsidRPr="001776FA">
        <w:rPr>
          <w:rFonts w:ascii="Times New Roman" w:eastAsia="Times New Roman" w:hAnsi="Times New Roman" w:cs="Times New Roman"/>
          <w:b/>
          <w:color w:val="000000" w:themeColor="text1"/>
          <w:sz w:val="24"/>
          <w:szCs w:val="24"/>
        </w:rPr>
        <w:t>Module Leader: David Coker</w:t>
      </w:r>
    </w:p>
    <w:p w14:paraId="5C951777" w14:textId="77777777" w:rsidR="001022B7" w:rsidRPr="001776FA" w:rsidRDefault="001022B7">
      <w:pPr>
        <w:jc w:val="center"/>
        <w:rPr>
          <w:rFonts w:ascii="Times New Roman" w:eastAsia="Times New Roman" w:hAnsi="Times New Roman" w:cs="Times New Roman"/>
          <w:b/>
          <w:color w:val="000000" w:themeColor="text1"/>
          <w:sz w:val="24"/>
          <w:szCs w:val="24"/>
        </w:rPr>
      </w:pPr>
    </w:p>
    <w:p w14:paraId="5EB21E13" w14:textId="20AA8B40" w:rsidR="001022B7" w:rsidRPr="001776FA" w:rsidRDefault="00AE4986">
      <w:pPr>
        <w:jc w:val="center"/>
        <w:rPr>
          <w:rFonts w:ascii="Times New Roman" w:eastAsia="Times New Roman" w:hAnsi="Times New Roman" w:cs="Times New Roman"/>
          <w:b/>
          <w:color w:val="000000" w:themeColor="text1"/>
          <w:sz w:val="24"/>
          <w:szCs w:val="24"/>
        </w:rPr>
      </w:pPr>
      <w:r w:rsidRPr="001776FA">
        <w:rPr>
          <w:rFonts w:ascii="Times New Roman" w:eastAsia="Times New Roman" w:hAnsi="Times New Roman" w:cs="Times New Roman"/>
          <w:b/>
          <w:color w:val="000000" w:themeColor="text1"/>
          <w:sz w:val="24"/>
          <w:szCs w:val="24"/>
        </w:rPr>
        <w:t xml:space="preserve">Word Count: </w:t>
      </w:r>
      <w:r w:rsidR="007C118E">
        <w:rPr>
          <w:rFonts w:ascii="Times New Roman" w:eastAsia="Times New Roman" w:hAnsi="Times New Roman" w:cs="Times New Roman"/>
          <w:b/>
          <w:color w:val="000000" w:themeColor="text1"/>
          <w:sz w:val="24"/>
          <w:szCs w:val="24"/>
        </w:rPr>
        <w:t>5221</w:t>
      </w:r>
    </w:p>
    <w:p w14:paraId="7238A3AE" w14:textId="77777777" w:rsidR="001022B7" w:rsidRPr="001776FA" w:rsidRDefault="001022B7">
      <w:pPr>
        <w:jc w:val="center"/>
        <w:rPr>
          <w:rFonts w:ascii="Times New Roman" w:eastAsia="Times New Roman" w:hAnsi="Times New Roman" w:cs="Times New Roman"/>
          <w:color w:val="000000" w:themeColor="text1"/>
          <w:sz w:val="24"/>
          <w:szCs w:val="24"/>
        </w:rPr>
      </w:pPr>
    </w:p>
    <w:p w14:paraId="01EC2FD1" w14:textId="77777777" w:rsidR="001022B7" w:rsidRPr="001776FA" w:rsidRDefault="001022B7">
      <w:pPr>
        <w:jc w:val="center"/>
        <w:rPr>
          <w:rFonts w:ascii="Times New Roman" w:eastAsia="Times New Roman" w:hAnsi="Times New Roman" w:cs="Times New Roman"/>
          <w:color w:val="000000" w:themeColor="text1"/>
          <w:sz w:val="24"/>
          <w:szCs w:val="24"/>
        </w:rPr>
      </w:pPr>
      <w:bookmarkStart w:id="0" w:name="_GoBack"/>
      <w:bookmarkEnd w:id="0"/>
    </w:p>
    <w:p w14:paraId="5CF32417" w14:textId="77777777" w:rsidR="001022B7" w:rsidRPr="001776FA" w:rsidRDefault="00AE4986">
      <w:pPr>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br w:type="page"/>
      </w:r>
    </w:p>
    <w:p w14:paraId="76BC64EA" w14:textId="77777777" w:rsidR="001022B7" w:rsidRPr="005467A9" w:rsidRDefault="00AE4986">
      <w:pPr>
        <w:jc w:val="center"/>
        <w:rPr>
          <w:rFonts w:ascii="Times New Roman" w:eastAsia="Times New Roman" w:hAnsi="Times New Roman" w:cs="Times New Roman"/>
          <w:b/>
          <w:bCs/>
          <w:color w:val="000000" w:themeColor="text1"/>
          <w:sz w:val="28"/>
          <w:szCs w:val="28"/>
        </w:rPr>
      </w:pPr>
      <w:r w:rsidRPr="005467A9">
        <w:rPr>
          <w:rFonts w:ascii="Times New Roman" w:eastAsia="Times New Roman" w:hAnsi="Times New Roman" w:cs="Times New Roman"/>
          <w:b/>
          <w:bCs/>
          <w:color w:val="000000" w:themeColor="text1"/>
          <w:sz w:val="28"/>
          <w:szCs w:val="28"/>
        </w:rPr>
        <w:lastRenderedPageBreak/>
        <w:t xml:space="preserve">Table of Content </w:t>
      </w:r>
    </w:p>
    <w:p w14:paraId="34785EB1" w14:textId="77777777" w:rsidR="001022B7" w:rsidRPr="001776FA" w:rsidRDefault="001022B7">
      <w:pPr>
        <w:pStyle w:val="TOCHeading"/>
        <w:spacing w:before="0" w:line="360" w:lineRule="auto"/>
        <w:jc w:val="both"/>
        <w:rPr>
          <w:rFonts w:ascii="Times New Roman" w:hAnsi="Times New Roman" w:cs="Times New Roman"/>
          <w:color w:val="000000" w:themeColor="text1"/>
          <w:sz w:val="24"/>
          <w:szCs w:val="24"/>
        </w:rPr>
      </w:pPr>
    </w:p>
    <w:p w14:paraId="20E41C1B" w14:textId="5201AA05" w:rsidR="005467A9" w:rsidRPr="005467A9" w:rsidRDefault="00AE4986" w:rsidP="005467A9">
      <w:pPr>
        <w:pStyle w:val="TOC1"/>
        <w:tabs>
          <w:tab w:val="right" w:leader="dot" w:pos="9019"/>
        </w:tabs>
        <w:spacing w:line="360" w:lineRule="auto"/>
        <w:jc w:val="both"/>
        <w:rPr>
          <w:rFonts w:ascii="Times New Roman" w:eastAsiaTheme="minorEastAsia" w:hAnsi="Times New Roman" w:cs="Times New Roman"/>
          <w:noProof/>
          <w:sz w:val="24"/>
          <w:szCs w:val="24"/>
          <w:lang w:val="en-US"/>
        </w:rPr>
      </w:pPr>
      <w:r w:rsidRPr="001776FA">
        <w:rPr>
          <w:rFonts w:ascii="Times New Roman" w:hAnsi="Times New Roman" w:cs="Times New Roman"/>
          <w:color w:val="000000" w:themeColor="text1"/>
          <w:sz w:val="24"/>
          <w:szCs w:val="24"/>
        </w:rPr>
        <w:fldChar w:fldCharType="begin"/>
      </w:r>
      <w:r w:rsidRPr="001776FA">
        <w:rPr>
          <w:rFonts w:ascii="Times New Roman" w:hAnsi="Times New Roman" w:cs="Times New Roman"/>
          <w:color w:val="000000" w:themeColor="text1"/>
          <w:sz w:val="24"/>
          <w:szCs w:val="24"/>
        </w:rPr>
        <w:instrText xml:space="preserve"> TOC \o "1-3" \h \z \u </w:instrText>
      </w:r>
      <w:r w:rsidRPr="001776FA">
        <w:rPr>
          <w:rFonts w:ascii="Times New Roman" w:hAnsi="Times New Roman" w:cs="Times New Roman"/>
          <w:color w:val="000000" w:themeColor="text1"/>
          <w:sz w:val="24"/>
          <w:szCs w:val="24"/>
        </w:rPr>
        <w:fldChar w:fldCharType="separate"/>
      </w:r>
      <w:hyperlink w:anchor="_Toc133877508" w:history="1">
        <w:r w:rsidR="005467A9" w:rsidRPr="005467A9">
          <w:rPr>
            <w:rStyle w:val="Hyperlink"/>
            <w:rFonts w:ascii="Times New Roman" w:hAnsi="Times New Roman" w:cs="Times New Roman"/>
            <w:noProof/>
            <w:sz w:val="24"/>
            <w:szCs w:val="24"/>
          </w:rPr>
          <w:t>Introduction</w:t>
        </w:r>
        <w:r w:rsidR="005467A9" w:rsidRPr="005467A9">
          <w:rPr>
            <w:rFonts w:ascii="Times New Roman" w:hAnsi="Times New Roman" w:cs="Times New Roman"/>
            <w:noProof/>
            <w:webHidden/>
            <w:sz w:val="24"/>
            <w:szCs w:val="24"/>
          </w:rPr>
          <w:tab/>
        </w:r>
        <w:r w:rsidR="005467A9" w:rsidRPr="005467A9">
          <w:rPr>
            <w:rFonts w:ascii="Times New Roman" w:hAnsi="Times New Roman" w:cs="Times New Roman"/>
            <w:noProof/>
            <w:webHidden/>
            <w:sz w:val="24"/>
            <w:szCs w:val="24"/>
          </w:rPr>
          <w:fldChar w:fldCharType="begin"/>
        </w:r>
        <w:r w:rsidR="005467A9" w:rsidRPr="005467A9">
          <w:rPr>
            <w:rFonts w:ascii="Times New Roman" w:hAnsi="Times New Roman" w:cs="Times New Roman"/>
            <w:noProof/>
            <w:webHidden/>
            <w:sz w:val="24"/>
            <w:szCs w:val="24"/>
          </w:rPr>
          <w:instrText xml:space="preserve"> PAGEREF _Toc133877508 \h </w:instrText>
        </w:r>
        <w:r w:rsidR="005467A9" w:rsidRPr="005467A9">
          <w:rPr>
            <w:rFonts w:ascii="Times New Roman" w:hAnsi="Times New Roman" w:cs="Times New Roman"/>
            <w:noProof/>
            <w:webHidden/>
            <w:sz w:val="24"/>
            <w:szCs w:val="24"/>
          </w:rPr>
        </w:r>
        <w:r w:rsidR="005467A9" w:rsidRPr="005467A9">
          <w:rPr>
            <w:rFonts w:ascii="Times New Roman" w:hAnsi="Times New Roman" w:cs="Times New Roman"/>
            <w:noProof/>
            <w:webHidden/>
            <w:sz w:val="24"/>
            <w:szCs w:val="24"/>
          </w:rPr>
          <w:fldChar w:fldCharType="separate"/>
        </w:r>
        <w:r w:rsidR="005467A9" w:rsidRPr="005467A9">
          <w:rPr>
            <w:rFonts w:ascii="Times New Roman" w:hAnsi="Times New Roman" w:cs="Times New Roman"/>
            <w:noProof/>
            <w:webHidden/>
            <w:sz w:val="24"/>
            <w:szCs w:val="24"/>
          </w:rPr>
          <w:t>3</w:t>
        </w:r>
        <w:r w:rsidR="005467A9" w:rsidRPr="005467A9">
          <w:rPr>
            <w:rFonts w:ascii="Times New Roman" w:hAnsi="Times New Roman" w:cs="Times New Roman"/>
            <w:noProof/>
            <w:webHidden/>
            <w:sz w:val="24"/>
            <w:szCs w:val="24"/>
          </w:rPr>
          <w:fldChar w:fldCharType="end"/>
        </w:r>
      </w:hyperlink>
    </w:p>
    <w:p w14:paraId="6A16FD1D" w14:textId="791FB91D" w:rsidR="005467A9" w:rsidRPr="005467A9" w:rsidRDefault="00AE4986" w:rsidP="005467A9">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877509" w:history="1">
        <w:r w:rsidR="005467A9" w:rsidRPr="005467A9">
          <w:rPr>
            <w:rStyle w:val="Hyperlink"/>
            <w:rFonts w:ascii="Times New Roman" w:hAnsi="Times New Roman" w:cs="Times New Roman"/>
            <w:noProof/>
            <w:sz w:val="24"/>
            <w:szCs w:val="24"/>
          </w:rPr>
          <w:t>Overview of Santander Bank UK</w:t>
        </w:r>
        <w:r w:rsidR="005467A9" w:rsidRPr="005467A9">
          <w:rPr>
            <w:rFonts w:ascii="Times New Roman" w:hAnsi="Times New Roman" w:cs="Times New Roman"/>
            <w:noProof/>
            <w:webHidden/>
            <w:sz w:val="24"/>
            <w:szCs w:val="24"/>
          </w:rPr>
          <w:tab/>
        </w:r>
        <w:r w:rsidR="005467A9" w:rsidRPr="005467A9">
          <w:rPr>
            <w:rFonts w:ascii="Times New Roman" w:hAnsi="Times New Roman" w:cs="Times New Roman"/>
            <w:noProof/>
            <w:webHidden/>
            <w:sz w:val="24"/>
            <w:szCs w:val="24"/>
          </w:rPr>
          <w:fldChar w:fldCharType="begin"/>
        </w:r>
        <w:r w:rsidR="005467A9" w:rsidRPr="005467A9">
          <w:rPr>
            <w:rFonts w:ascii="Times New Roman" w:hAnsi="Times New Roman" w:cs="Times New Roman"/>
            <w:noProof/>
            <w:webHidden/>
            <w:sz w:val="24"/>
            <w:szCs w:val="24"/>
          </w:rPr>
          <w:instrText xml:space="preserve"> PAGEREF _Toc133877509 \h </w:instrText>
        </w:r>
        <w:r w:rsidR="005467A9" w:rsidRPr="005467A9">
          <w:rPr>
            <w:rFonts w:ascii="Times New Roman" w:hAnsi="Times New Roman" w:cs="Times New Roman"/>
            <w:noProof/>
            <w:webHidden/>
            <w:sz w:val="24"/>
            <w:szCs w:val="24"/>
          </w:rPr>
        </w:r>
        <w:r w:rsidR="005467A9" w:rsidRPr="005467A9">
          <w:rPr>
            <w:rFonts w:ascii="Times New Roman" w:hAnsi="Times New Roman" w:cs="Times New Roman"/>
            <w:noProof/>
            <w:webHidden/>
            <w:sz w:val="24"/>
            <w:szCs w:val="24"/>
          </w:rPr>
          <w:fldChar w:fldCharType="separate"/>
        </w:r>
        <w:r w:rsidR="005467A9" w:rsidRPr="005467A9">
          <w:rPr>
            <w:rFonts w:ascii="Times New Roman" w:hAnsi="Times New Roman" w:cs="Times New Roman"/>
            <w:noProof/>
            <w:webHidden/>
            <w:sz w:val="24"/>
            <w:szCs w:val="24"/>
          </w:rPr>
          <w:t>3</w:t>
        </w:r>
        <w:r w:rsidR="005467A9" w:rsidRPr="005467A9">
          <w:rPr>
            <w:rFonts w:ascii="Times New Roman" w:hAnsi="Times New Roman" w:cs="Times New Roman"/>
            <w:noProof/>
            <w:webHidden/>
            <w:sz w:val="24"/>
            <w:szCs w:val="24"/>
          </w:rPr>
          <w:fldChar w:fldCharType="end"/>
        </w:r>
      </w:hyperlink>
    </w:p>
    <w:p w14:paraId="0EF9426A" w14:textId="1FC674BA" w:rsidR="005467A9" w:rsidRPr="005467A9" w:rsidRDefault="00AE4986" w:rsidP="005467A9">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877510" w:history="1">
        <w:r w:rsidR="005467A9" w:rsidRPr="005467A9">
          <w:rPr>
            <w:rStyle w:val="Hyperlink"/>
            <w:rFonts w:ascii="Times New Roman" w:hAnsi="Times New Roman" w:cs="Times New Roman"/>
            <w:noProof/>
            <w:sz w:val="24"/>
            <w:szCs w:val="24"/>
          </w:rPr>
          <w:t>Impacts of the post-2008 Financial Crisis</w:t>
        </w:r>
        <w:r w:rsidR="005467A9" w:rsidRPr="005467A9">
          <w:rPr>
            <w:rFonts w:ascii="Times New Roman" w:hAnsi="Times New Roman" w:cs="Times New Roman"/>
            <w:noProof/>
            <w:webHidden/>
            <w:sz w:val="24"/>
            <w:szCs w:val="24"/>
          </w:rPr>
          <w:tab/>
        </w:r>
        <w:r w:rsidR="005467A9" w:rsidRPr="005467A9">
          <w:rPr>
            <w:rFonts w:ascii="Times New Roman" w:hAnsi="Times New Roman" w:cs="Times New Roman"/>
            <w:noProof/>
            <w:webHidden/>
            <w:sz w:val="24"/>
            <w:szCs w:val="24"/>
          </w:rPr>
          <w:fldChar w:fldCharType="begin"/>
        </w:r>
        <w:r w:rsidR="005467A9" w:rsidRPr="005467A9">
          <w:rPr>
            <w:rFonts w:ascii="Times New Roman" w:hAnsi="Times New Roman" w:cs="Times New Roman"/>
            <w:noProof/>
            <w:webHidden/>
            <w:sz w:val="24"/>
            <w:szCs w:val="24"/>
          </w:rPr>
          <w:instrText xml:space="preserve"> PAGEREF _Toc133877510 \h </w:instrText>
        </w:r>
        <w:r w:rsidR="005467A9" w:rsidRPr="005467A9">
          <w:rPr>
            <w:rFonts w:ascii="Times New Roman" w:hAnsi="Times New Roman" w:cs="Times New Roman"/>
            <w:noProof/>
            <w:webHidden/>
            <w:sz w:val="24"/>
            <w:szCs w:val="24"/>
          </w:rPr>
        </w:r>
        <w:r w:rsidR="005467A9" w:rsidRPr="005467A9">
          <w:rPr>
            <w:rFonts w:ascii="Times New Roman" w:hAnsi="Times New Roman" w:cs="Times New Roman"/>
            <w:noProof/>
            <w:webHidden/>
            <w:sz w:val="24"/>
            <w:szCs w:val="24"/>
          </w:rPr>
          <w:fldChar w:fldCharType="separate"/>
        </w:r>
        <w:r w:rsidR="005467A9" w:rsidRPr="005467A9">
          <w:rPr>
            <w:rFonts w:ascii="Times New Roman" w:hAnsi="Times New Roman" w:cs="Times New Roman"/>
            <w:noProof/>
            <w:webHidden/>
            <w:sz w:val="24"/>
            <w:szCs w:val="24"/>
          </w:rPr>
          <w:t>3</w:t>
        </w:r>
        <w:r w:rsidR="005467A9" w:rsidRPr="005467A9">
          <w:rPr>
            <w:rFonts w:ascii="Times New Roman" w:hAnsi="Times New Roman" w:cs="Times New Roman"/>
            <w:noProof/>
            <w:webHidden/>
            <w:sz w:val="24"/>
            <w:szCs w:val="24"/>
          </w:rPr>
          <w:fldChar w:fldCharType="end"/>
        </w:r>
      </w:hyperlink>
    </w:p>
    <w:p w14:paraId="0B75A02C" w14:textId="079CA83E" w:rsidR="005467A9" w:rsidRPr="005467A9" w:rsidRDefault="00AE4986" w:rsidP="005467A9">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877511" w:history="1">
        <w:r w:rsidR="005467A9" w:rsidRPr="005467A9">
          <w:rPr>
            <w:rStyle w:val="Hyperlink"/>
            <w:rFonts w:ascii="Times New Roman" w:hAnsi="Times New Roman" w:cs="Times New Roman"/>
            <w:noProof/>
            <w:sz w:val="24"/>
            <w:szCs w:val="24"/>
          </w:rPr>
          <w:t>Identification of the laws, Regulations and Contracts</w:t>
        </w:r>
        <w:r w:rsidR="005467A9" w:rsidRPr="005467A9">
          <w:rPr>
            <w:rFonts w:ascii="Times New Roman" w:hAnsi="Times New Roman" w:cs="Times New Roman"/>
            <w:noProof/>
            <w:webHidden/>
            <w:sz w:val="24"/>
            <w:szCs w:val="24"/>
          </w:rPr>
          <w:tab/>
        </w:r>
        <w:r w:rsidR="005467A9" w:rsidRPr="005467A9">
          <w:rPr>
            <w:rFonts w:ascii="Times New Roman" w:hAnsi="Times New Roman" w:cs="Times New Roman"/>
            <w:noProof/>
            <w:webHidden/>
            <w:sz w:val="24"/>
            <w:szCs w:val="24"/>
          </w:rPr>
          <w:fldChar w:fldCharType="begin"/>
        </w:r>
        <w:r w:rsidR="005467A9" w:rsidRPr="005467A9">
          <w:rPr>
            <w:rFonts w:ascii="Times New Roman" w:hAnsi="Times New Roman" w:cs="Times New Roman"/>
            <w:noProof/>
            <w:webHidden/>
            <w:sz w:val="24"/>
            <w:szCs w:val="24"/>
          </w:rPr>
          <w:instrText xml:space="preserve"> PAGEREF _Toc133877511 \h </w:instrText>
        </w:r>
        <w:r w:rsidR="005467A9" w:rsidRPr="005467A9">
          <w:rPr>
            <w:rFonts w:ascii="Times New Roman" w:hAnsi="Times New Roman" w:cs="Times New Roman"/>
            <w:noProof/>
            <w:webHidden/>
            <w:sz w:val="24"/>
            <w:szCs w:val="24"/>
          </w:rPr>
        </w:r>
        <w:r w:rsidR="005467A9" w:rsidRPr="005467A9">
          <w:rPr>
            <w:rFonts w:ascii="Times New Roman" w:hAnsi="Times New Roman" w:cs="Times New Roman"/>
            <w:noProof/>
            <w:webHidden/>
            <w:sz w:val="24"/>
            <w:szCs w:val="24"/>
          </w:rPr>
          <w:fldChar w:fldCharType="separate"/>
        </w:r>
        <w:r w:rsidR="005467A9" w:rsidRPr="005467A9">
          <w:rPr>
            <w:rFonts w:ascii="Times New Roman" w:hAnsi="Times New Roman" w:cs="Times New Roman"/>
            <w:noProof/>
            <w:webHidden/>
            <w:sz w:val="24"/>
            <w:szCs w:val="24"/>
          </w:rPr>
          <w:t>4</w:t>
        </w:r>
        <w:r w:rsidR="005467A9" w:rsidRPr="005467A9">
          <w:rPr>
            <w:rFonts w:ascii="Times New Roman" w:hAnsi="Times New Roman" w:cs="Times New Roman"/>
            <w:noProof/>
            <w:webHidden/>
            <w:sz w:val="24"/>
            <w:szCs w:val="24"/>
          </w:rPr>
          <w:fldChar w:fldCharType="end"/>
        </w:r>
      </w:hyperlink>
    </w:p>
    <w:p w14:paraId="3A8E6C49" w14:textId="0A751CD8" w:rsidR="005467A9" w:rsidRPr="005467A9" w:rsidRDefault="00AE4986" w:rsidP="005467A9">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877512" w:history="1">
        <w:r w:rsidR="005467A9" w:rsidRPr="005467A9">
          <w:rPr>
            <w:rStyle w:val="Hyperlink"/>
            <w:rFonts w:ascii="Times New Roman" w:hAnsi="Times New Roman" w:cs="Times New Roman"/>
            <w:noProof/>
            <w:sz w:val="24"/>
            <w:szCs w:val="24"/>
          </w:rPr>
          <w:t>Contribution of the Reforms in the Stability of the financial sector and the different banking institutions</w:t>
        </w:r>
        <w:r w:rsidR="005467A9" w:rsidRPr="005467A9">
          <w:rPr>
            <w:rFonts w:ascii="Times New Roman" w:hAnsi="Times New Roman" w:cs="Times New Roman"/>
            <w:noProof/>
            <w:webHidden/>
            <w:sz w:val="24"/>
            <w:szCs w:val="24"/>
          </w:rPr>
          <w:tab/>
        </w:r>
        <w:r w:rsidR="005467A9" w:rsidRPr="005467A9">
          <w:rPr>
            <w:rFonts w:ascii="Times New Roman" w:hAnsi="Times New Roman" w:cs="Times New Roman"/>
            <w:noProof/>
            <w:webHidden/>
            <w:sz w:val="24"/>
            <w:szCs w:val="24"/>
          </w:rPr>
          <w:fldChar w:fldCharType="begin"/>
        </w:r>
        <w:r w:rsidR="005467A9" w:rsidRPr="005467A9">
          <w:rPr>
            <w:rFonts w:ascii="Times New Roman" w:hAnsi="Times New Roman" w:cs="Times New Roman"/>
            <w:noProof/>
            <w:webHidden/>
            <w:sz w:val="24"/>
            <w:szCs w:val="24"/>
          </w:rPr>
          <w:instrText xml:space="preserve"> PAGEREF _Toc133877512 \h </w:instrText>
        </w:r>
        <w:r w:rsidR="005467A9" w:rsidRPr="005467A9">
          <w:rPr>
            <w:rFonts w:ascii="Times New Roman" w:hAnsi="Times New Roman" w:cs="Times New Roman"/>
            <w:noProof/>
            <w:webHidden/>
            <w:sz w:val="24"/>
            <w:szCs w:val="24"/>
          </w:rPr>
        </w:r>
        <w:r w:rsidR="005467A9" w:rsidRPr="005467A9">
          <w:rPr>
            <w:rFonts w:ascii="Times New Roman" w:hAnsi="Times New Roman" w:cs="Times New Roman"/>
            <w:noProof/>
            <w:webHidden/>
            <w:sz w:val="24"/>
            <w:szCs w:val="24"/>
          </w:rPr>
          <w:fldChar w:fldCharType="separate"/>
        </w:r>
        <w:r w:rsidR="005467A9" w:rsidRPr="005467A9">
          <w:rPr>
            <w:rFonts w:ascii="Times New Roman" w:hAnsi="Times New Roman" w:cs="Times New Roman"/>
            <w:noProof/>
            <w:webHidden/>
            <w:sz w:val="24"/>
            <w:szCs w:val="24"/>
          </w:rPr>
          <w:t>6</w:t>
        </w:r>
        <w:r w:rsidR="005467A9" w:rsidRPr="005467A9">
          <w:rPr>
            <w:rFonts w:ascii="Times New Roman" w:hAnsi="Times New Roman" w:cs="Times New Roman"/>
            <w:noProof/>
            <w:webHidden/>
            <w:sz w:val="24"/>
            <w:szCs w:val="24"/>
          </w:rPr>
          <w:fldChar w:fldCharType="end"/>
        </w:r>
      </w:hyperlink>
    </w:p>
    <w:p w14:paraId="04DCFE1F" w14:textId="61A7C0C7" w:rsidR="005467A9" w:rsidRPr="005467A9" w:rsidRDefault="00AE4986" w:rsidP="005467A9">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877513" w:history="1">
        <w:r w:rsidR="005467A9" w:rsidRPr="005467A9">
          <w:rPr>
            <w:rStyle w:val="Hyperlink"/>
            <w:rFonts w:ascii="Times New Roman" w:hAnsi="Times New Roman" w:cs="Times New Roman"/>
            <w:noProof/>
            <w:sz w:val="24"/>
            <w:szCs w:val="24"/>
          </w:rPr>
          <w:t>Impact of the crisis on the business operation of AIG</w:t>
        </w:r>
        <w:r w:rsidR="005467A9" w:rsidRPr="005467A9">
          <w:rPr>
            <w:rFonts w:ascii="Times New Roman" w:hAnsi="Times New Roman" w:cs="Times New Roman"/>
            <w:noProof/>
            <w:webHidden/>
            <w:sz w:val="24"/>
            <w:szCs w:val="24"/>
          </w:rPr>
          <w:tab/>
        </w:r>
        <w:r w:rsidR="005467A9" w:rsidRPr="005467A9">
          <w:rPr>
            <w:rFonts w:ascii="Times New Roman" w:hAnsi="Times New Roman" w:cs="Times New Roman"/>
            <w:noProof/>
            <w:webHidden/>
            <w:sz w:val="24"/>
            <w:szCs w:val="24"/>
          </w:rPr>
          <w:fldChar w:fldCharType="begin"/>
        </w:r>
        <w:r w:rsidR="005467A9" w:rsidRPr="005467A9">
          <w:rPr>
            <w:rFonts w:ascii="Times New Roman" w:hAnsi="Times New Roman" w:cs="Times New Roman"/>
            <w:noProof/>
            <w:webHidden/>
            <w:sz w:val="24"/>
            <w:szCs w:val="24"/>
          </w:rPr>
          <w:instrText xml:space="preserve"> PAGEREF _Toc133877513 \h </w:instrText>
        </w:r>
        <w:r w:rsidR="005467A9" w:rsidRPr="005467A9">
          <w:rPr>
            <w:rFonts w:ascii="Times New Roman" w:hAnsi="Times New Roman" w:cs="Times New Roman"/>
            <w:noProof/>
            <w:webHidden/>
            <w:sz w:val="24"/>
            <w:szCs w:val="24"/>
          </w:rPr>
        </w:r>
        <w:r w:rsidR="005467A9" w:rsidRPr="005467A9">
          <w:rPr>
            <w:rFonts w:ascii="Times New Roman" w:hAnsi="Times New Roman" w:cs="Times New Roman"/>
            <w:noProof/>
            <w:webHidden/>
            <w:sz w:val="24"/>
            <w:szCs w:val="24"/>
          </w:rPr>
          <w:fldChar w:fldCharType="separate"/>
        </w:r>
        <w:r w:rsidR="005467A9" w:rsidRPr="005467A9">
          <w:rPr>
            <w:rFonts w:ascii="Times New Roman" w:hAnsi="Times New Roman" w:cs="Times New Roman"/>
            <w:noProof/>
            <w:webHidden/>
            <w:sz w:val="24"/>
            <w:szCs w:val="24"/>
          </w:rPr>
          <w:t>16</w:t>
        </w:r>
        <w:r w:rsidR="005467A9" w:rsidRPr="005467A9">
          <w:rPr>
            <w:rFonts w:ascii="Times New Roman" w:hAnsi="Times New Roman" w:cs="Times New Roman"/>
            <w:noProof/>
            <w:webHidden/>
            <w:sz w:val="24"/>
            <w:szCs w:val="24"/>
          </w:rPr>
          <w:fldChar w:fldCharType="end"/>
        </w:r>
      </w:hyperlink>
    </w:p>
    <w:p w14:paraId="2D0D9752" w14:textId="1F95D36D" w:rsidR="005467A9" w:rsidRPr="005467A9" w:rsidRDefault="00AE4986" w:rsidP="005467A9">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877514" w:history="1">
        <w:r w:rsidR="005467A9" w:rsidRPr="005467A9">
          <w:rPr>
            <w:rStyle w:val="Hyperlink"/>
            <w:rFonts w:ascii="Times New Roman" w:eastAsia="Times New Roman" w:hAnsi="Times New Roman" w:cs="Times New Roman"/>
            <w:noProof/>
            <w:sz w:val="24"/>
            <w:szCs w:val="24"/>
          </w:rPr>
          <w:t>Conclusion</w:t>
        </w:r>
        <w:r w:rsidR="005467A9" w:rsidRPr="005467A9">
          <w:rPr>
            <w:rFonts w:ascii="Times New Roman" w:hAnsi="Times New Roman" w:cs="Times New Roman"/>
            <w:noProof/>
            <w:webHidden/>
            <w:sz w:val="24"/>
            <w:szCs w:val="24"/>
          </w:rPr>
          <w:tab/>
        </w:r>
        <w:r w:rsidR="005467A9" w:rsidRPr="005467A9">
          <w:rPr>
            <w:rFonts w:ascii="Times New Roman" w:hAnsi="Times New Roman" w:cs="Times New Roman"/>
            <w:noProof/>
            <w:webHidden/>
            <w:sz w:val="24"/>
            <w:szCs w:val="24"/>
          </w:rPr>
          <w:fldChar w:fldCharType="begin"/>
        </w:r>
        <w:r w:rsidR="005467A9" w:rsidRPr="005467A9">
          <w:rPr>
            <w:rFonts w:ascii="Times New Roman" w:hAnsi="Times New Roman" w:cs="Times New Roman"/>
            <w:noProof/>
            <w:webHidden/>
            <w:sz w:val="24"/>
            <w:szCs w:val="24"/>
          </w:rPr>
          <w:instrText xml:space="preserve"> PAGEREF _Toc133877514 \h </w:instrText>
        </w:r>
        <w:r w:rsidR="005467A9" w:rsidRPr="005467A9">
          <w:rPr>
            <w:rFonts w:ascii="Times New Roman" w:hAnsi="Times New Roman" w:cs="Times New Roman"/>
            <w:noProof/>
            <w:webHidden/>
            <w:sz w:val="24"/>
            <w:szCs w:val="24"/>
          </w:rPr>
        </w:r>
        <w:r w:rsidR="005467A9" w:rsidRPr="005467A9">
          <w:rPr>
            <w:rFonts w:ascii="Times New Roman" w:hAnsi="Times New Roman" w:cs="Times New Roman"/>
            <w:noProof/>
            <w:webHidden/>
            <w:sz w:val="24"/>
            <w:szCs w:val="24"/>
          </w:rPr>
          <w:fldChar w:fldCharType="separate"/>
        </w:r>
        <w:r w:rsidR="005467A9" w:rsidRPr="005467A9">
          <w:rPr>
            <w:rFonts w:ascii="Times New Roman" w:hAnsi="Times New Roman" w:cs="Times New Roman"/>
            <w:noProof/>
            <w:webHidden/>
            <w:sz w:val="24"/>
            <w:szCs w:val="24"/>
          </w:rPr>
          <w:t>18</w:t>
        </w:r>
        <w:r w:rsidR="005467A9" w:rsidRPr="005467A9">
          <w:rPr>
            <w:rFonts w:ascii="Times New Roman" w:hAnsi="Times New Roman" w:cs="Times New Roman"/>
            <w:noProof/>
            <w:webHidden/>
            <w:sz w:val="24"/>
            <w:szCs w:val="24"/>
          </w:rPr>
          <w:fldChar w:fldCharType="end"/>
        </w:r>
      </w:hyperlink>
    </w:p>
    <w:p w14:paraId="7D72F722" w14:textId="2F1CE1DA" w:rsidR="005467A9" w:rsidRPr="005467A9" w:rsidRDefault="00AE4986" w:rsidP="005467A9">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33877515" w:history="1">
        <w:r w:rsidR="005467A9" w:rsidRPr="005467A9">
          <w:rPr>
            <w:rStyle w:val="Hyperlink"/>
            <w:rFonts w:ascii="Times New Roman" w:hAnsi="Times New Roman" w:cs="Times New Roman"/>
            <w:noProof/>
            <w:sz w:val="24"/>
            <w:szCs w:val="24"/>
          </w:rPr>
          <w:t>References</w:t>
        </w:r>
        <w:r w:rsidR="005467A9" w:rsidRPr="005467A9">
          <w:rPr>
            <w:rFonts w:ascii="Times New Roman" w:hAnsi="Times New Roman" w:cs="Times New Roman"/>
            <w:noProof/>
            <w:webHidden/>
            <w:sz w:val="24"/>
            <w:szCs w:val="24"/>
          </w:rPr>
          <w:tab/>
        </w:r>
        <w:r w:rsidR="005467A9" w:rsidRPr="005467A9">
          <w:rPr>
            <w:rFonts w:ascii="Times New Roman" w:hAnsi="Times New Roman" w:cs="Times New Roman"/>
            <w:noProof/>
            <w:webHidden/>
            <w:sz w:val="24"/>
            <w:szCs w:val="24"/>
          </w:rPr>
          <w:fldChar w:fldCharType="begin"/>
        </w:r>
        <w:r w:rsidR="005467A9" w:rsidRPr="005467A9">
          <w:rPr>
            <w:rFonts w:ascii="Times New Roman" w:hAnsi="Times New Roman" w:cs="Times New Roman"/>
            <w:noProof/>
            <w:webHidden/>
            <w:sz w:val="24"/>
            <w:szCs w:val="24"/>
          </w:rPr>
          <w:instrText xml:space="preserve"> PAGEREF _Toc133877515 \h </w:instrText>
        </w:r>
        <w:r w:rsidR="005467A9" w:rsidRPr="005467A9">
          <w:rPr>
            <w:rFonts w:ascii="Times New Roman" w:hAnsi="Times New Roman" w:cs="Times New Roman"/>
            <w:noProof/>
            <w:webHidden/>
            <w:sz w:val="24"/>
            <w:szCs w:val="24"/>
          </w:rPr>
        </w:r>
        <w:r w:rsidR="005467A9" w:rsidRPr="005467A9">
          <w:rPr>
            <w:rFonts w:ascii="Times New Roman" w:hAnsi="Times New Roman" w:cs="Times New Roman"/>
            <w:noProof/>
            <w:webHidden/>
            <w:sz w:val="24"/>
            <w:szCs w:val="24"/>
          </w:rPr>
          <w:fldChar w:fldCharType="separate"/>
        </w:r>
        <w:r w:rsidR="005467A9" w:rsidRPr="005467A9">
          <w:rPr>
            <w:rFonts w:ascii="Times New Roman" w:hAnsi="Times New Roman" w:cs="Times New Roman"/>
            <w:noProof/>
            <w:webHidden/>
            <w:sz w:val="24"/>
            <w:szCs w:val="24"/>
          </w:rPr>
          <w:t>20</w:t>
        </w:r>
        <w:r w:rsidR="005467A9" w:rsidRPr="005467A9">
          <w:rPr>
            <w:rFonts w:ascii="Times New Roman" w:hAnsi="Times New Roman" w:cs="Times New Roman"/>
            <w:noProof/>
            <w:webHidden/>
            <w:sz w:val="24"/>
            <w:szCs w:val="24"/>
          </w:rPr>
          <w:fldChar w:fldCharType="end"/>
        </w:r>
      </w:hyperlink>
    </w:p>
    <w:p w14:paraId="6997BB77" w14:textId="3E7FC518" w:rsidR="001022B7" w:rsidRPr="001776FA" w:rsidRDefault="00AE4986">
      <w:pPr>
        <w:spacing w:line="360" w:lineRule="auto"/>
        <w:jc w:val="both"/>
        <w:rPr>
          <w:rFonts w:ascii="Times New Roman" w:hAnsi="Times New Roman" w:cs="Times New Roman"/>
          <w:color w:val="000000" w:themeColor="text1"/>
          <w:sz w:val="24"/>
          <w:szCs w:val="24"/>
        </w:rPr>
      </w:pPr>
      <w:r w:rsidRPr="001776FA">
        <w:rPr>
          <w:rFonts w:ascii="Times New Roman" w:hAnsi="Times New Roman" w:cs="Times New Roman"/>
          <w:b/>
          <w:bCs/>
          <w:noProof/>
          <w:color w:val="000000" w:themeColor="text1"/>
          <w:sz w:val="24"/>
          <w:szCs w:val="24"/>
        </w:rPr>
        <w:fldChar w:fldCharType="end"/>
      </w:r>
    </w:p>
    <w:p w14:paraId="7CFFA8C8" w14:textId="77777777" w:rsidR="001022B7" w:rsidRPr="001776FA" w:rsidRDefault="001022B7">
      <w:pPr>
        <w:jc w:val="center"/>
        <w:rPr>
          <w:rFonts w:ascii="Times New Roman" w:eastAsia="Times New Roman" w:hAnsi="Times New Roman" w:cs="Times New Roman"/>
          <w:b/>
          <w:bCs/>
          <w:color w:val="000000" w:themeColor="text1"/>
          <w:sz w:val="24"/>
          <w:szCs w:val="24"/>
        </w:rPr>
      </w:pPr>
    </w:p>
    <w:p w14:paraId="76FAF7B7" w14:textId="77777777" w:rsidR="001022B7" w:rsidRPr="001776FA" w:rsidRDefault="00AE4986">
      <w:pPr>
        <w:jc w:val="center"/>
        <w:rPr>
          <w:rFonts w:ascii="Times New Roman" w:eastAsia="Times New Roman" w:hAnsi="Times New Roman" w:cs="Times New Roman"/>
          <w:color w:val="000000" w:themeColor="text1"/>
          <w:sz w:val="24"/>
          <w:szCs w:val="24"/>
        </w:rPr>
      </w:pPr>
      <w:r w:rsidRPr="001776FA">
        <w:rPr>
          <w:rFonts w:ascii="Times New Roman" w:hAnsi="Times New Roman" w:cs="Times New Roman"/>
          <w:color w:val="000000" w:themeColor="text1"/>
          <w:sz w:val="24"/>
          <w:szCs w:val="24"/>
        </w:rPr>
        <w:br w:type="page"/>
      </w:r>
    </w:p>
    <w:p w14:paraId="14FE1973" w14:textId="77777777" w:rsidR="001022B7" w:rsidRPr="001776FA" w:rsidRDefault="00AE4986" w:rsidP="0054280F">
      <w:pPr>
        <w:pStyle w:val="Heading1"/>
        <w:rPr>
          <w:rFonts w:cs="Times New Roman"/>
          <w:b w:val="0"/>
          <w:color w:val="000000" w:themeColor="text1"/>
          <w:sz w:val="24"/>
          <w:szCs w:val="24"/>
        </w:rPr>
      </w:pPr>
      <w:bookmarkStart w:id="1" w:name="_gjdgxs" w:colFirst="0" w:colLast="0"/>
      <w:bookmarkStart w:id="2" w:name="_Toc133877508"/>
      <w:bookmarkEnd w:id="1"/>
      <w:r w:rsidRPr="001776FA">
        <w:rPr>
          <w:rFonts w:cs="Times New Roman"/>
          <w:color w:val="000000" w:themeColor="text1"/>
          <w:sz w:val="24"/>
          <w:szCs w:val="24"/>
        </w:rPr>
        <w:lastRenderedPageBreak/>
        <w:t>Introduction</w:t>
      </w:r>
      <w:bookmarkEnd w:id="2"/>
      <w:r w:rsidRPr="001776FA">
        <w:rPr>
          <w:rFonts w:cs="Times New Roman"/>
          <w:color w:val="000000" w:themeColor="text1"/>
          <w:sz w:val="24"/>
          <w:szCs w:val="24"/>
        </w:rPr>
        <w:t xml:space="preserve">  </w:t>
      </w:r>
    </w:p>
    <w:p w14:paraId="73230EE4" w14:textId="5D6EF9A4" w:rsidR="008D236F" w:rsidRPr="00AE40A4" w:rsidRDefault="008D236F" w:rsidP="00AE40A4">
      <w:pPr>
        <w:spacing w:after="240" w:line="360" w:lineRule="auto"/>
        <w:jc w:val="both"/>
        <w:rPr>
          <w:rFonts w:ascii="Times New Roman" w:hAnsi="Times New Roman" w:cs="Times New Roman"/>
          <w:b/>
          <w:sz w:val="24"/>
          <w:szCs w:val="24"/>
        </w:rPr>
      </w:pPr>
      <w:r w:rsidRPr="00AE40A4">
        <w:rPr>
          <w:rFonts w:ascii="Times New Roman" w:hAnsi="Times New Roman" w:cs="Times New Roman"/>
          <w:sz w:val="24"/>
          <w:szCs w:val="24"/>
        </w:rPr>
        <w:t xml:space="preserve">The financial crisis of 2008 destroyed the entire financial system is going to be explored in this report. Further, the description of the pricing of financial assets will be triggered so that the post scenario of the entire disaster can be encountered to draw out various aspects of the banking sectors. The bank performances will also be measured through various findings of the reforms induced for addressing the regulations and their impacts on the UK, US and EU. The finance theory will be mentioned for better understanding. Thus, the various laws must be identified in the various countries to explore the norms individually to get a clear view to broadening the knowledge. In the following part, a critical review of the reforms that were inclined to help financial stability will also be performed. Hence, the purpose of the research process aims to identify the importance of financial markets that collapsed due to the huge crisis in 2008. </w:t>
      </w:r>
      <w:r w:rsidR="00AE40A4">
        <w:rPr>
          <w:rFonts w:ascii="Times New Roman" w:hAnsi="Times New Roman" w:cs="Times New Roman"/>
          <w:sz w:val="24"/>
          <w:szCs w:val="24"/>
        </w:rPr>
        <w:t xml:space="preserve"> </w:t>
      </w:r>
    </w:p>
    <w:p w14:paraId="22FF30EC" w14:textId="77777777" w:rsidR="008D236F" w:rsidRPr="00AE40A4" w:rsidRDefault="008D236F" w:rsidP="00AE40A4">
      <w:pPr>
        <w:spacing w:after="240" w:line="360" w:lineRule="auto"/>
        <w:jc w:val="both"/>
        <w:rPr>
          <w:rFonts w:ascii="Times New Roman" w:hAnsi="Times New Roman" w:cs="Times New Roman"/>
          <w:b/>
          <w:sz w:val="24"/>
          <w:szCs w:val="24"/>
        </w:rPr>
      </w:pPr>
      <w:r w:rsidRPr="00AE40A4">
        <w:rPr>
          <w:rFonts w:ascii="Times New Roman" w:hAnsi="Times New Roman" w:cs="Times New Roman"/>
          <w:sz w:val="24"/>
          <w:szCs w:val="24"/>
        </w:rPr>
        <w:t xml:space="preserve">Furthermore, the role of the financial assets will also be examined to verify the bank's performance. The various valuation methods will also be accounted for in the presentation. Later the different operations will be particularly analysed to understand the impact of the laws, and regulations on Santander Bank. These findings will later be attributed to account for the various issues that were faced in banking management and their effects will also be measured. This will provide a new insight that will attract the attention of the readers to generate curiosity regarding the past 2008 crisis more specifically. </w:t>
      </w:r>
    </w:p>
    <w:p w14:paraId="33049D62" w14:textId="77777777" w:rsidR="001022B7" w:rsidRPr="001776FA" w:rsidRDefault="00AE4986" w:rsidP="0054280F">
      <w:pPr>
        <w:pStyle w:val="Heading1"/>
        <w:rPr>
          <w:rFonts w:cs="Times New Roman"/>
          <w:color w:val="000000" w:themeColor="text1"/>
          <w:sz w:val="24"/>
          <w:szCs w:val="24"/>
        </w:rPr>
      </w:pPr>
      <w:bookmarkStart w:id="3" w:name="_Toc133877509"/>
      <w:r w:rsidRPr="001776FA">
        <w:rPr>
          <w:rFonts w:cs="Times New Roman"/>
          <w:color w:val="000000" w:themeColor="text1"/>
          <w:sz w:val="24"/>
          <w:szCs w:val="24"/>
        </w:rPr>
        <w:t>Overview of Santander Bank UK</w:t>
      </w:r>
      <w:bookmarkEnd w:id="3"/>
    </w:p>
    <w:p w14:paraId="531695A9" w14:textId="77777777" w:rsidR="0054280F" w:rsidRPr="00AE40A4" w:rsidRDefault="008D236F" w:rsidP="00AE40A4">
      <w:pPr>
        <w:spacing w:after="240" w:line="360" w:lineRule="auto"/>
        <w:jc w:val="both"/>
        <w:rPr>
          <w:rFonts w:ascii="Times New Roman" w:hAnsi="Times New Roman" w:cs="Times New Roman"/>
          <w:b/>
          <w:sz w:val="24"/>
          <w:szCs w:val="24"/>
        </w:rPr>
      </w:pPr>
      <w:r w:rsidRPr="00AE40A4">
        <w:rPr>
          <w:rFonts w:ascii="Times New Roman" w:hAnsi="Times New Roman" w:cs="Times New Roman"/>
          <w:sz w:val="24"/>
          <w:szCs w:val="24"/>
        </w:rPr>
        <w:t xml:space="preserve">Santander Bank UK is a British Bank and is owned by the Spanish Santander Bank. The UK plc controls the affairs autonomously. The organisation also consists of an own built local management team. The bank has its sole stability and responsibility to perform its best efforts. It was founded on 11th January 2010 (Bank, 2018). The headquarters of the bank is situated in London, United Kingdom. The bank has a division in </w:t>
      </w:r>
      <w:proofErr w:type="spellStart"/>
      <w:r w:rsidRPr="00AE40A4">
        <w:rPr>
          <w:rFonts w:ascii="Times New Roman" w:hAnsi="Times New Roman" w:cs="Times New Roman"/>
          <w:sz w:val="24"/>
          <w:szCs w:val="24"/>
        </w:rPr>
        <w:t>Cahoot</w:t>
      </w:r>
      <w:proofErr w:type="spellEnd"/>
      <w:r w:rsidRPr="00AE40A4">
        <w:rPr>
          <w:rFonts w:ascii="Times New Roman" w:hAnsi="Times New Roman" w:cs="Times New Roman"/>
          <w:sz w:val="24"/>
          <w:szCs w:val="24"/>
        </w:rPr>
        <w:t>, Santander Corporate and Commercial Banking and Santander Private Banking. The office is located at 2 Triton Square, Regent's Place. The bank has over 25, 000 employees working in the organisation. It has been the leading personal financial service and provides mortgages and savings to the United Kingdom.</w:t>
      </w:r>
    </w:p>
    <w:p w14:paraId="2478652A" w14:textId="77777777" w:rsidR="001022B7" w:rsidRPr="001776FA" w:rsidRDefault="008D236F" w:rsidP="0054280F">
      <w:pPr>
        <w:pStyle w:val="Heading2"/>
        <w:rPr>
          <w:rFonts w:cs="Times New Roman"/>
          <w:color w:val="000000" w:themeColor="text1"/>
          <w:sz w:val="24"/>
          <w:szCs w:val="24"/>
        </w:rPr>
      </w:pPr>
      <w:r w:rsidRPr="008D236F">
        <w:rPr>
          <w:rFonts w:eastAsia="Times New Roman" w:cs="Times New Roman"/>
          <w:b w:val="0"/>
          <w:color w:val="000000" w:themeColor="text1"/>
          <w:sz w:val="24"/>
          <w:szCs w:val="24"/>
        </w:rPr>
        <w:t xml:space="preserve"> </w:t>
      </w:r>
      <w:bookmarkStart w:id="4" w:name="_Toc133877510"/>
      <w:r w:rsidRPr="001776FA">
        <w:rPr>
          <w:rFonts w:cs="Times New Roman"/>
          <w:color w:val="000000" w:themeColor="text1"/>
          <w:sz w:val="24"/>
          <w:szCs w:val="24"/>
        </w:rPr>
        <w:t xml:space="preserve">Impacts of </w:t>
      </w:r>
      <w:r w:rsidR="0054280F">
        <w:rPr>
          <w:rFonts w:cs="Times New Roman"/>
          <w:color w:val="000000" w:themeColor="text1"/>
          <w:sz w:val="24"/>
          <w:szCs w:val="24"/>
        </w:rPr>
        <w:t>the post-2008</w:t>
      </w:r>
      <w:r w:rsidRPr="001776FA">
        <w:rPr>
          <w:rFonts w:cs="Times New Roman"/>
          <w:color w:val="000000" w:themeColor="text1"/>
          <w:sz w:val="24"/>
          <w:szCs w:val="24"/>
        </w:rPr>
        <w:t xml:space="preserve"> Financial Crisis</w:t>
      </w:r>
      <w:bookmarkEnd w:id="4"/>
      <w:r w:rsidRPr="001776FA">
        <w:rPr>
          <w:rFonts w:cs="Times New Roman"/>
          <w:color w:val="000000" w:themeColor="text1"/>
          <w:sz w:val="24"/>
          <w:szCs w:val="24"/>
        </w:rPr>
        <w:t> </w:t>
      </w:r>
    </w:p>
    <w:p w14:paraId="284A1D05" w14:textId="77777777" w:rsidR="00075743" w:rsidRDefault="00AE4986" w:rsidP="0054280F">
      <w:pPr>
        <w:spacing w:after="12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 xml:space="preserve">The 2008 financial crisis had stopped in the year 2009 but the effects were </w:t>
      </w:r>
      <w:r w:rsidR="001776FA">
        <w:rPr>
          <w:rFonts w:ascii="Times New Roman" w:eastAsia="Times New Roman" w:hAnsi="Times New Roman" w:cs="Times New Roman"/>
          <w:color w:val="000000" w:themeColor="text1"/>
          <w:sz w:val="24"/>
          <w:szCs w:val="24"/>
        </w:rPr>
        <w:t>long-lasting</w:t>
      </w:r>
      <w:r w:rsidRPr="001776FA">
        <w:rPr>
          <w:rFonts w:ascii="Times New Roman" w:eastAsia="Times New Roman" w:hAnsi="Times New Roman" w:cs="Times New Roman"/>
          <w:color w:val="000000" w:themeColor="text1"/>
          <w:sz w:val="24"/>
          <w:szCs w:val="24"/>
        </w:rPr>
        <w:t xml:space="preserve"> which affected the </w:t>
      </w:r>
      <w:r w:rsidRPr="001776FA">
        <w:rPr>
          <w:rFonts w:ascii="Times New Roman" w:eastAsia="Times New Roman" w:hAnsi="Times New Roman" w:cs="Times New Roman"/>
          <w:color w:val="000000" w:themeColor="text1"/>
          <w:sz w:val="24"/>
          <w:szCs w:val="24"/>
        </w:rPr>
        <w:t xml:space="preserve">global banking sectors </w:t>
      </w:r>
      <w:r w:rsidR="001776FA">
        <w:rPr>
          <w:rFonts w:ascii="Times New Roman" w:eastAsia="Times New Roman" w:hAnsi="Times New Roman" w:cs="Times New Roman"/>
          <w:color w:val="000000" w:themeColor="text1"/>
          <w:sz w:val="24"/>
          <w:szCs w:val="24"/>
        </w:rPr>
        <w:t>and</w:t>
      </w:r>
      <w:r w:rsidRPr="001776FA">
        <w:rPr>
          <w:rFonts w:ascii="Times New Roman" w:eastAsia="Times New Roman" w:hAnsi="Times New Roman" w:cs="Times New Roman"/>
          <w:color w:val="000000" w:themeColor="text1"/>
          <w:sz w:val="24"/>
          <w:szCs w:val="24"/>
        </w:rPr>
        <w:t xml:space="preserve"> caused </w:t>
      </w:r>
      <w:r w:rsidR="001776FA">
        <w:rPr>
          <w:rFonts w:ascii="Times New Roman" w:eastAsia="Times New Roman" w:hAnsi="Times New Roman" w:cs="Times New Roman"/>
          <w:color w:val="000000" w:themeColor="text1"/>
          <w:sz w:val="24"/>
          <w:szCs w:val="24"/>
        </w:rPr>
        <w:t>long-term</w:t>
      </w:r>
      <w:r w:rsidRPr="001776FA">
        <w:rPr>
          <w:rFonts w:ascii="Times New Roman" w:eastAsia="Times New Roman" w:hAnsi="Times New Roman" w:cs="Times New Roman"/>
          <w:color w:val="000000" w:themeColor="text1"/>
          <w:sz w:val="24"/>
          <w:szCs w:val="24"/>
        </w:rPr>
        <w:t xml:space="preserve"> consequences. The first and foremost thing that was observed was excessive lending and risk-taking which was unsupported by the adequate liquidity and capital buffers (</w:t>
      </w:r>
      <w:proofErr w:type="spellStart"/>
      <w:r w:rsidRPr="001776FA">
        <w:rPr>
          <w:rFonts w:ascii="Times New Roman" w:eastAsia="Times New Roman" w:hAnsi="Times New Roman" w:cs="Times New Roman"/>
          <w:color w:val="000000" w:themeColor="text1"/>
          <w:sz w:val="24"/>
          <w:szCs w:val="24"/>
        </w:rPr>
        <w:t>Senbeto</w:t>
      </w:r>
      <w:proofErr w:type="spellEnd"/>
      <w:r w:rsidRPr="001776FA">
        <w:rPr>
          <w:rFonts w:ascii="Times New Roman" w:eastAsia="Times New Roman" w:hAnsi="Times New Roman" w:cs="Times New Roman"/>
          <w:color w:val="000000" w:themeColor="text1"/>
          <w:sz w:val="24"/>
          <w:szCs w:val="24"/>
        </w:rPr>
        <w:t xml:space="preserve"> and Hon, 2020). </w:t>
      </w:r>
    </w:p>
    <w:p w14:paraId="44AB8452" w14:textId="77777777" w:rsidR="00075743" w:rsidRDefault="00075743" w:rsidP="00075743">
      <w:pPr>
        <w:spacing w:after="120" w:line="360" w:lineRule="auto"/>
        <w:jc w:val="center"/>
        <w:rPr>
          <w:rFonts w:ascii="Times New Roman" w:eastAsia="Times New Roman" w:hAnsi="Times New Roman" w:cs="Times New Roman"/>
          <w:color w:val="000000" w:themeColor="text1"/>
          <w:sz w:val="24"/>
          <w:szCs w:val="24"/>
        </w:rPr>
      </w:pPr>
      <w:r w:rsidRPr="00075743">
        <w:rPr>
          <w:rFonts w:ascii="Times New Roman" w:eastAsia="Times New Roman" w:hAnsi="Times New Roman" w:cs="Times New Roman"/>
          <w:noProof/>
          <w:color w:val="000000" w:themeColor="text1"/>
          <w:sz w:val="24"/>
          <w:szCs w:val="24"/>
          <w:lang w:eastAsia="en-GB"/>
        </w:rPr>
        <w:drawing>
          <wp:inline distT="0" distB="0" distL="0" distR="0" wp14:anchorId="1FBF1728" wp14:editId="00E82D4E">
            <wp:extent cx="5380186" cy="3414056"/>
            <wp:effectExtent l="0" t="0" r="0" b="0"/>
            <wp:docPr id="2114932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32308" name=""/>
                    <pic:cNvPicPr/>
                  </pic:nvPicPr>
                  <pic:blipFill>
                    <a:blip r:embed="rId8"/>
                    <a:stretch>
                      <a:fillRect/>
                    </a:stretch>
                  </pic:blipFill>
                  <pic:spPr>
                    <a:xfrm>
                      <a:off x="0" y="0"/>
                      <a:ext cx="5380186" cy="3414056"/>
                    </a:xfrm>
                    <a:prstGeom prst="rect">
                      <a:avLst/>
                    </a:prstGeom>
                  </pic:spPr>
                </pic:pic>
              </a:graphicData>
            </a:graphic>
          </wp:inline>
        </w:drawing>
      </w:r>
    </w:p>
    <w:p w14:paraId="6B0E03C0" w14:textId="5399EC86" w:rsidR="00075743" w:rsidRPr="00075743" w:rsidRDefault="00075743" w:rsidP="00075743">
      <w:pPr>
        <w:spacing w:after="120" w:line="360" w:lineRule="auto"/>
        <w:jc w:val="center"/>
        <w:rPr>
          <w:rFonts w:ascii="Times New Roman" w:eastAsia="Times New Roman" w:hAnsi="Times New Roman" w:cs="Times New Roman"/>
          <w:b/>
          <w:bCs/>
          <w:color w:val="000000" w:themeColor="text1"/>
          <w:sz w:val="24"/>
          <w:szCs w:val="24"/>
        </w:rPr>
      </w:pPr>
      <w:r w:rsidRPr="00075743">
        <w:rPr>
          <w:rFonts w:ascii="Times New Roman" w:eastAsia="Times New Roman" w:hAnsi="Times New Roman" w:cs="Times New Roman"/>
          <w:b/>
          <w:bCs/>
          <w:color w:val="000000" w:themeColor="text1"/>
          <w:sz w:val="24"/>
          <w:szCs w:val="24"/>
        </w:rPr>
        <w:t>Figure</w:t>
      </w:r>
      <w:r>
        <w:rPr>
          <w:rFonts w:ascii="Times New Roman" w:eastAsia="Times New Roman" w:hAnsi="Times New Roman" w:cs="Times New Roman"/>
          <w:b/>
          <w:bCs/>
          <w:color w:val="000000" w:themeColor="text1"/>
          <w:sz w:val="24"/>
          <w:szCs w:val="24"/>
        </w:rPr>
        <w:t xml:space="preserve"> 1</w:t>
      </w:r>
      <w:r w:rsidRPr="00075743">
        <w:rPr>
          <w:rFonts w:ascii="Times New Roman" w:eastAsia="Times New Roman" w:hAnsi="Times New Roman" w:cs="Times New Roman"/>
          <w:b/>
          <w:bCs/>
          <w:color w:val="000000" w:themeColor="text1"/>
          <w:sz w:val="24"/>
          <w:szCs w:val="24"/>
        </w:rPr>
        <w:t>: Volatility Index</w:t>
      </w:r>
    </w:p>
    <w:p w14:paraId="5204A486" w14:textId="5C5C57A8" w:rsidR="00075743" w:rsidRDefault="00075743" w:rsidP="00075743">
      <w:pPr>
        <w:spacing w:after="12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Source: </w:t>
      </w:r>
      <w:r>
        <w:t>(</w:t>
      </w:r>
      <w:proofErr w:type="spellStart"/>
      <w:r>
        <w:t>Mantell</w:t>
      </w:r>
      <w:proofErr w:type="spellEnd"/>
      <w:r>
        <w:t>, 2013)</w:t>
      </w:r>
    </w:p>
    <w:p w14:paraId="39CDBDE5" w14:textId="6CA9AAC8" w:rsidR="001022B7" w:rsidRPr="001776FA" w:rsidRDefault="00075743" w:rsidP="0054280F">
      <w:pPr>
        <w:spacing w:after="12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above index describes the volatility that was seen after the crisis. </w:t>
      </w:r>
      <w:r w:rsidRPr="00075743">
        <w:rPr>
          <w:rFonts w:ascii="Times New Roman" w:eastAsia="Times New Roman" w:hAnsi="Times New Roman" w:cs="Times New Roman"/>
          <w:color w:val="000000" w:themeColor="text1"/>
          <w:sz w:val="24"/>
          <w:szCs w:val="24"/>
        </w:rPr>
        <w:t>The "</w:t>
      </w:r>
      <w:proofErr w:type="spellStart"/>
      <w:r w:rsidRPr="00075743">
        <w:rPr>
          <w:rFonts w:ascii="Times New Roman" w:eastAsia="Times New Roman" w:hAnsi="Times New Roman" w:cs="Times New Roman"/>
          <w:color w:val="000000" w:themeColor="text1"/>
          <w:sz w:val="24"/>
          <w:szCs w:val="24"/>
        </w:rPr>
        <w:t>Cboe</w:t>
      </w:r>
      <w:proofErr w:type="spellEnd"/>
      <w:r w:rsidRPr="00075743">
        <w:rPr>
          <w:rFonts w:ascii="Times New Roman" w:eastAsia="Times New Roman" w:hAnsi="Times New Roman" w:cs="Times New Roman"/>
          <w:color w:val="000000" w:themeColor="text1"/>
          <w:sz w:val="24"/>
          <w:szCs w:val="24"/>
        </w:rPr>
        <w:t xml:space="preserve"> Volatility Index" (VIX), which peaked at 80.74 on November 21st, 2008, has </w:t>
      </w:r>
      <w:r>
        <w:rPr>
          <w:rFonts w:ascii="Times New Roman" w:eastAsia="Times New Roman" w:hAnsi="Times New Roman" w:cs="Times New Roman"/>
          <w:color w:val="000000" w:themeColor="text1"/>
          <w:sz w:val="24"/>
          <w:szCs w:val="24"/>
        </w:rPr>
        <w:t xml:space="preserve">shown how the market panicked after the financial crisis of 2008.  </w:t>
      </w:r>
      <w:r w:rsidRPr="001776FA">
        <w:rPr>
          <w:rFonts w:ascii="Times New Roman" w:eastAsia="Times New Roman" w:hAnsi="Times New Roman" w:cs="Times New Roman"/>
          <w:color w:val="000000" w:themeColor="text1"/>
          <w:sz w:val="24"/>
          <w:szCs w:val="24"/>
        </w:rPr>
        <w:t>The other effects that were observed were the net migration rates among advanced economies that had declined drastically after the crisis.  </w:t>
      </w:r>
      <w:r w:rsidR="004E468A">
        <w:rPr>
          <w:rFonts w:ascii="Times New Roman" w:eastAsia="Times New Roman" w:hAnsi="Times New Roman" w:cs="Times New Roman"/>
          <w:color w:val="000000" w:themeColor="text1"/>
          <w:sz w:val="24"/>
          <w:szCs w:val="24"/>
        </w:rPr>
        <w:t xml:space="preserve"> </w:t>
      </w:r>
    </w:p>
    <w:p w14:paraId="24FAD887" w14:textId="77777777" w:rsidR="001022B7" w:rsidRPr="001776FA" w:rsidRDefault="00AE4986" w:rsidP="0054280F">
      <w:pPr>
        <w:pStyle w:val="Heading1"/>
        <w:rPr>
          <w:rFonts w:cs="Times New Roman"/>
          <w:b w:val="0"/>
          <w:color w:val="000000" w:themeColor="text1"/>
          <w:sz w:val="24"/>
          <w:szCs w:val="24"/>
        </w:rPr>
      </w:pPr>
      <w:bookmarkStart w:id="5" w:name="_1fob9te" w:colFirst="0" w:colLast="0"/>
      <w:bookmarkStart w:id="6" w:name="_Toc133877511"/>
      <w:bookmarkEnd w:id="5"/>
      <w:r w:rsidRPr="001776FA">
        <w:rPr>
          <w:rFonts w:cs="Times New Roman"/>
          <w:color w:val="000000" w:themeColor="text1"/>
          <w:sz w:val="24"/>
          <w:szCs w:val="24"/>
        </w:rPr>
        <w:t>Identification of the laws, Regulations and Con</w:t>
      </w:r>
      <w:r w:rsidRPr="001776FA">
        <w:rPr>
          <w:rFonts w:cs="Times New Roman"/>
          <w:color w:val="000000" w:themeColor="text1"/>
          <w:sz w:val="24"/>
          <w:szCs w:val="24"/>
        </w:rPr>
        <w:t>tracts</w:t>
      </w:r>
      <w:bookmarkEnd w:id="6"/>
    </w:p>
    <w:p w14:paraId="3FC7C098" w14:textId="0574A1F3" w:rsidR="008D236F" w:rsidRPr="004E468A" w:rsidRDefault="008D236F" w:rsidP="004E468A">
      <w:pPr>
        <w:spacing w:after="240" w:line="360" w:lineRule="auto"/>
        <w:jc w:val="both"/>
        <w:rPr>
          <w:rFonts w:ascii="Times New Roman" w:hAnsi="Times New Roman" w:cs="Times New Roman"/>
          <w:b/>
          <w:sz w:val="24"/>
          <w:szCs w:val="24"/>
        </w:rPr>
      </w:pPr>
      <w:bookmarkStart w:id="7" w:name="_3dy6vkm" w:colFirst="0" w:colLast="0"/>
      <w:bookmarkEnd w:id="7"/>
      <w:r w:rsidRPr="004E468A">
        <w:rPr>
          <w:rFonts w:ascii="Times New Roman" w:hAnsi="Times New Roman" w:cs="Times New Roman"/>
          <w:sz w:val="24"/>
          <w:szCs w:val="24"/>
        </w:rPr>
        <w:t>There were several laws implemented to evaluate the various disruptions that took place via different methods that were legally implemented in the countries to get control over the losses. Valuation is a crucial integral activity performed in an organisation that helps to detect mispriced securities and also determine the existence of a project to judge its incitement. The specific reasons for valuation are purchasing and selling of a business. It helps the buyer and the seller both to get benefitted from the valuation so that the ultimate decision can proceed (Group, 2021). The UK, US, and EU enacted multiple laws, regulations and contracts to end the economic downturn at Santander Bank. The Financial Services Act 2012 was enacted in the UK to improve and enhance the financial regulatory environment of the country. It established new laws for banks, including capital reserve and liquidity requirements, as well as a new top Managers' Regime to improve top executives' responsibility. The Banking Reform Act of 2013 was also passed to safeguard banks' financial viability and protect customers passed by Santander Bank. The Consumer Protection Act of 2010 and the Dodd-Frank Wall Street Reform were passed in the US to improve financial institution transparency and responsibility, enhance the financial regulatory system and safeguard consumers (King, 2022).  Another regulation, The Volcker</w:t>
      </w:r>
      <w:r w:rsidR="00AF6505" w:rsidRPr="004E468A">
        <w:rPr>
          <w:rFonts w:ascii="Times New Roman" w:hAnsi="Times New Roman" w:cs="Times New Roman"/>
          <w:sz w:val="24"/>
          <w:szCs w:val="24"/>
        </w:rPr>
        <w:t>’s</w:t>
      </w:r>
      <w:r w:rsidRPr="004E468A">
        <w:rPr>
          <w:rFonts w:ascii="Times New Roman" w:hAnsi="Times New Roman" w:cs="Times New Roman"/>
          <w:sz w:val="24"/>
          <w:szCs w:val="24"/>
        </w:rPr>
        <w:t xml:space="preserve"> Rule was also implemented to prohibit the banks from making certain risky or dangerous investments. New laws enacted by The US also include requirements for capital reserves and liquidity. In addition, the EU took a variety of steps to resolve Santander Bank's financial problem. </w:t>
      </w:r>
    </w:p>
    <w:p w14:paraId="3F892ED2" w14:textId="6A3E09E2" w:rsidR="00B4443E" w:rsidRDefault="008D236F" w:rsidP="00B63029">
      <w:pPr>
        <w:spacing w:after="240" w:line="360" w:lineRule="auto"/>
        <w:jc w:val="both"/>
        <w:rPr>
          <w:rFonts w:ascii="Times New Roman" w:hAnsi="Times New Roman" w:cs="Times New Roman"/>
          <w:sz w:val="24"/>
          <w:szCs w:val="24"/>
        </w:rPr>
      </w:pPr>
      <w:r w:rsidRPr="00B63029">
        <w:rPr>
          <w:rFonts w:ascii="Times New Roman" w:hAnsi="Times New Roman" w:cs="Times New Roman"/>
          <w:sz w:val="24"/>
          <w:szCs w:val="24"/>
        </w:rPr>
        <w:t>New regulations for banks, such as those about capital reserves and liquidity, were implemented by the Capital Requirements Directive IV (Martin, 2022).  To guarantee that banks could be restructured or resolved with the least amount of disturbance to the financial system, the Bank Recovery and Resolution Directive was also put into place</w:t>
      </w:r>
      <w:r w:rsidRPr="00B63029">
        <w:rPr>
          <w:rFonts w:ascii="Times New Roman" w:hAnsi="Times New Roman" w:cs="Times New Roman"/>
          <w:bCs/>
          <w:sz w:val="24"/>
          <w:szCs w:val="24"/>
        </w:rPr>
        <w:t>. To boost banks' capital reserves and guarantee more effective risk management procedures, the Basel III Capital Accord was also implemented. It established additional capital specifications for banks, such as Tier 1 common stock capital requirements that must be safeguarded against operational, market, and credit risks</w:t>
      </w:r>
      <w:r w:rsidRPr="00B63029">
        <w:rPr>
          <w:rFonts w:ascii="Times New Roman" w:hAnsi="Times New Roman" w:cs="Times New Roman"/>
          <w:sz w:val="24"/>
          <w:szCs w:val="24"/>
        </w:rPr>
        <w:t xml:space="preserve">. </w:t>
      </w:r>
      <w:r w:rsidR="00647FCB">
        <w:rPr>
          <w:rFonts w:ascii="Times New Roman" w:hAnsi="Times New Roman" w:cs="Times New Roman"/>
          <w:sz w:val="24"/>
          <w:szCs w:val="24"/>
        </w:rPr>
        <w:t xml:space="preserve"> </w:t>
      </w:r>
    </w:p>
    <w:p w14:paraId="59C058DA" w14:textId="431D95B0" w:rsidR="00647FCB" w:rsidRPr="00B63029" w:rsidRDefault="00647FCB" w:rsidP="00647FCB">
      <w:pPr>
        <w:spacing w:after="240" w:line="360" w:lineRule="auto"/>
        <w:jc w:val="center"/>
        <w:rPr>
          <w:rFonts w:ascii="Times New Roman" w:hAnsi="Times New Roman" w:cs="Times New Roman"/>
          <w:b/>
          <w:sz w:val="24"/>
          <w:szCs w:val="24"/>
        </w:rPr>
      </w:pPr>
      <w:r w:rsidRPr="00E32F9D">
        <w:rPr>
          <w:rFonts w:eastAsia="Times New Roman" w:cs="Times New Roman"/>
          <w:b/>
          <w:noProof/>
          <w:color w:val="000000" w:themeColor="text1"/>
          <w:sz w:val="24"/>
          <w:szCs w:val="24"/>
          <w:lang w:eastAsia="en-GB"/>
        </w:rPr>
        <w:drawing>
          <wp:inline distT="0" distB="0" distL="0" distR="0" wp14:anchorId="61044964" wp14:editId="64E2C21F">
            <wp:extent cx="5733415" cy="3460115"/>
            <wp:effectExtent l="0" t="0" r="635" b="6985"/>
            <wp:docPr id="968766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766477" name=""/>
                    <pic:cNvPicPr/>
                  </pic:nvPicPr>
                  <pic:blipFill>
                    <a:blip r:embed="rId9"/>
                    <a:stretch>
                      <a:fillRect/>
                    </a:stretch>
                  </pic:blipFill>
                  <pic:spPr>
                    <a:xfrm>
                      <a:off x="0" y="0"/>
                      <a:ext cx="5733415" cy="3460115"/>
                    </a:xfrm>
                    <a:prstGeom prst="rect">
                      <a:avLst/>
                    </a:prstGeom>
                  </pic:spPr>
                </pic:pic>
              </a:graphicData>
            </a:graphic>
          </wp:inline>
        </w:drawing>
      </w:r>
    </w:p>
    <w:p w14:paraId="7E5140C8" w14:textId="6FA52FFB" w:rsidR="00B4443E" w:rsidRPr="00B4443E" w:rsidRDefault="00B4443E" w:rsidP="00B4443E">
      <w:pPr>
        <w:rPr>
          <w:b/>
          <w:bCs/>
        </w:rPr>
      </w:pPr>
      <w:r w:rsidRPr="00B4443E">
        <w:rPr>
          <w:b/>
          <w:bCs/>
        </w:rPr>
        <w:t>Figure</w:t>
      </w:r>
      <w:r w:rsidR="007B5AD8">
        <w:rPr>
          <w:b/>
          <w:bCs/>
        </w:rPr>
        <w:t xml:space="preserve"> 2</w:t>
      </w:r>
      <w:r w:rsidRPr="00B4443E">
        <w:rPr>
          <w:b/>
          <w:bCs/>
        </w:rPr>
        <w:t>: Bond Volatility after 2008</w:t>
      </w:r>
    </w:p>
    <w:p w14:paraId="6D810D43" w14:textId="1A3D8BB7" w:rsidR="00B4443E" w:rsidRDefault="00B4443E" w:rsidP="00B4443E">
      <w:r>
        <w:t>Source: (</w:t>
      </w:r>
      <w:proofErr w:type="spellStart"/>
      <w:r>
        <w:t>Wiltermuth</w:t>
      </w:r>
      <w:proofErr w:type="spellEnd"/>
      <w:r>
        <w:t>, 2023)</w:t>
      </w:r>
    </w:p>
    <w:p w14:paraId="2B5E66D9" w14:textId="77777777" w:rsidR="00B4443E" w:rsidRPr="00B4443E" w:rsidRDefault="00B4443E" w:rsidP="00B4443E"/>
    <w:p w14:paraId="6D346BEC" w14:textId="356BAB71" w:rsidR="008D236F" w:rsidRPr="00615478" w:rsidRDefault="00B4443E" w:rsidP="00615478">
      <w:pPr>
        <w:spacing w:after="240" w:line="360" w:lineRule="auto"/>
        <w:jc w:val="both"/>
        <w:rPr>
          <w:rFonts w:ascii="Times New Roman" w:hAnsi="Times New Roman" w:cs="Times New Roman"/>
          <w:b/>
          <w:sz w:val="24"/>
          <w:szCs w:val="24"/>
        </w:rPr>
      </w:pPr>
      <w:r w:rsidRPr="00615478">
        <w:rPr>
          <w:rFonts w:ascii="Times New Roman" w:hAnsi="Times New Roman" w:cs="Times New Roman"/>
          <w:sz w:val="24"/>
          <w:szCs w:val="24"/>
        </w:rPr>
        <w:t xml:space="preserve">The above graph describes the bond volatility that was witnessed after the financial crisis. </w:t>
      </w:r>
      <w:r w:rsidR="00E32F9D" w:rsidRPr="00615478">
        <w:rPr>
          <w:rFonts w:ascii="Times New Roman" w:hAnsi="Times New Roman" w:cs="Times New Roman"/>
          <w:sz w:val="24"/>
          <w:szCs w:val="24"/>
        </w:rPr>
        <w:t xml:space="preserve">MOVE index rose to all time high in 2008. </w:t>
      </w:r>
      <w:r w:rsidR="008D236F" w:rsidRPr="00615478">
        <w:rPr>
          <w:rFonts w:ascii="Times New Roman" w:hAnsi="Times New Roman" w:cs="Times New Roman"/>
          <w:sz w:val="24"/>
          <w:szCs w:val="24"/>
        </w:rPr>
        <w:t>The financial stability board was formed to cooperate with the reaction of the global financial authorities to the crisis. Several banking principles and guidelines were established by The FSB which include the Principles for Sound Liquidity Risk Management and the Principles for Effective Deposit Insurance. These principles and criteria were created to improve banks' financial stability and assure their capacity to absorb shocks.</w:t>
      </w:r>
    </w:p>
    <w:p w14:paraId="0F1D1B5F" w14:textId="77777777" w:rsidR="001022B7" w:rsidRPr="001776FA" w:rsidRDefault="00AE4986" w:rsidP="0054280F">
      <w:pPr>
        <w:pStyle w:val="Heading1"/>
        <w:rPr>
          <w:rFonts w:cs="Times New Roman"/>
          <w:b w:val="0"/>
          <w:color w:val="000000" w:themeColor="text1"/>
          <w:sz w:val="24"/>
          <w:szCs w:val="24"/>
        </w:rPr>
      </w:pPr>
      <w:bookmarkStart w:id="8" w:name="_Toc133877512"/>
      <w:r w:rsidRPr="001776FA">
        <w:rPr>
          <w:rFonts w:cs="Times New Roman"/>
          <w:color w:val="000000" w:themeColor="text1"/>
          <w:sz w:val="24"/>
          <w:szCs w:val="24"/>
        </w:rPr>
        <w:t xml:space="preserve">Contribution of the Reforms in the </w:t>
      </w:r>
      <w:r w:rsidRPr="001776FA">
        <w:rPr>
          <w:rFonts w:cs="Times New Roman"/>
          <w:color w:val="000000" w:themeColor="text1"/>
          <w:sz w:val="24"/>
          <w:szCs w:val="24"/>
        </w:rPr>
        <w:t>Stability of the financial sector and the different banking institutions</w:t>
      </w:r>
      <w:bookmarkEnd w:id="8"/>
    </w:p>
    <w:p w14:paraId="6AAFCEDF" w14:textId="56896913" w:rsidR="001022B7" w:rsidRPr="006901DF" w:rsidRDefault="00AE4986" w:rsidP="006901DF">
      <w:pPr>
        <w:spacing w:after="240" w:line="360" w:lineRule="auto"/>
        <w:jc w:val="both"/>
        <w:rPr>
          <w:rFonts w:ascii="Times New Roman" w:hAnsi="Times New Roman" w:cs="Times New Roman"/>
          <w:sz w:val="24"/>
          <w:szCs w:val="24"/>
        </w:rPr>
      </w:pPr>
      <w:r w:rsidRPr="006901DF">
        <w:rPr>
          <w:rFonts w:ascii="Times New Roman" w:hAnsi="Times New Roman" w:cs="Times New Roman"/>
          <w:sz w:val="24"/>
          <w:szCs w:val="24"/>
        </w:rPr>
        <w:t xml:space="preserve">The wide-ranging and important impact of the changes implemented to increase the stability of the financial industry and the various banking institutions, including Santander Bank. </w:t>
      </w:r>
      <w:r w:rsidRPr="006901DF">
        <w:rPr>
          <w:rFonts w:ascii="Times New Roman" w:hAnsi="Times New Roman" w:cs="Times New Roman"/>
          <w:sz w:val="24"/>
          <w:szCs w:val="24"/>
        </w:rPr>
        <w:t>These changes' main pillars have been the laws, rules, and contracts. The Dodd-Frank Wall Street Reform and Consumer Protection Act had a significant role to retain the security or stability of the financial sector and the banking institutions.</w:t>
      </w:r>
      <w:r w:rsidRPr="006901DF">
        <w:rPr>
          <w:rFonts w:ascii="Times New Roman" w:hAnsi="Times New Roman" w:cs="Times New Roman"/>
          <w:sz w:val="24"/>
          <w:szCs w:val="24"/>
          <w:lang w:val="en-US"/>
        </w:rPr>
        <w:t xml:space="preserve"> This reform</w:t>
      </w:r>
      <w:r w:rsidRPr="006901DF">
        <w:rPr>
          <w:rFonts w:ascii="Times New Roman" w:hAnsi="Times New Roman" w:cs="Times New Roman"/>
          <w:sz w:val="24"/>
          <w:szCs w:val="24"/>
          <w:lang w:val="en-US"/>
        </w:rPr>
        <w:t xml:space="preserve"> </w:t>
      </w:r>
      <w:r w:rsidR="001776FA" w:rsidRPr="006901DF">
        <w:rPr>
          <w:rFonts w:ascii="Times New Roman" w:hAnsi="Times New Roman" w:cs="Times New Roman"/>
          <w:sz w:val="24"/>
          <w:szCs w:val="24"/>
          <w:lang w:val="en-US"/>
        </w:rPr>
        <w:t>was</w:t>
      </w:r>
      <w:r w:rsidRPr="006901DF">
        <w:rPr>
          <w:rFonts w:ascii="Times New Roman" w:hAnsi="Times New Roman" w:cs="Times New Roman"/>
          <w:sz w:val="24"/>
          <w:szCs w:val="24"/>
          <w:lang w:val="en-US"/>
        </w:rPr>
        <w:t xml:space="preserve"> established for improvements for </w:t>
      </w:r>
      <w:r w:rsidR="001776FA" w:rsidRPr="006901DF">
        <w:rPr>
          <w:rFonts w:ascii="Times New Roman" w:hAnsi="Times New Roman" w:cs="Times New Roman"/>
          <w:sz w:val="24"/>
          <w:szCs w:val="24"/>
          <w:lang w:val="en-US"/>
        </w:rPr>
        <w:t>Santander</w:t>
      </w:r>
      <w:r w:rsidRPr="006901DF">
        <w:rPr>
          <w:rFonts w:ascii="Times New Roman" w:hAnsi="Times New Roman" w:cs="Times New Roman"/>
          <w:sz w:val="24"/>
          <w:szCs w:val="24"/>
          <w:lang w:val="en-US"/>
        </w:rPr>
        <w:t xml:space="preserve"> Bank.</w:t>
      </w:r>
      <w:r w:rsidRPr="006901DF">
        <w:rPr>
          <w:rFonts w:ascii="Times New Roman" w:hAnsi="Times New Roman" w:cs="Times New Roman"/>
          <w:sz w:val="24"/>
          <w:szCs w:val="24"/>
        </w:rPr>
        <w:t xml:space="preserve"> The regulation of the financial sector was increased by this legislation and also with the establishment of the Consumer Financial Protection Bureau protects consumers from illegal or unethical lending </w:t>
      </w:r>
      <w:r w:rsidRPr="006901DF">
        <w:rPr>
          <w:rFonts w:ascii="Times New Roman" w:hAnsi="Times New Roman" w:cs="Times New Roman"/>
          <w:sz w:val="24"/>
          <w:szCs w:val="24"/>
        </w:rPr>
        <w:t>practices (Noll, 2021). The Dodd-Frank Act also imposed a high amount of capital requirements on banks. It made it difficult for the banks to take excessive risks. Regulations like the Basel Accords have contributed to the financial sector's increased stab</w:t>
      </w:r>
      <w:r w:rsidRPr="006901DF">
        <w:rPr>
          <w:rFonts w:ascii="Times New Roman" w:hAnsi="Times New Roman" w:cs="Times New Roman"/>
          <w:sz w:val="24"/>
          <w:szCs w:val="24"/>
        </w:rPr>
        <w:t>ility. These rules oblige banks to have specific levels of liquidity and capital, lowering the possibility of financial instability. The Basel Accords also put additional rules on the banking industry, such as prohibitions on specific activities that might</w:t>
      </w:r>
      <w:r w:rsidRPr="006901DF">
        <w:rPr>
          <w:rFonts w:ascii="Times New Roman" w:hAnsi="Times New Roman" w:cs="Times New Roman"/>
          <w:sz w:val="24"/>
          <w:szCs w:val="24"/>
        </w:rPr>
        <w:t xml:space="preserve"> help curb excessive risk-taking. In the end, agreements between banks and their clients also contribute to the financial sector's increased stability</w:t>
      </w:r>
      <w:r w:rsidRPr="006901DF">
        <w:rPr>
          <w:rFonts w:ascii="Times New Roman" w:hAnsi="Times New Roman" w:cs="Times New Roman"/>
          <w:sz w:val="24"/>
          <w:szCs w:val="24"/>
          <w:lang w:val="en-US"/>
        </w:rPr>
        <w:t xml:space="preserve"> in Santander Bank</w:t>
      </w:r>
      <w:r w:rsidRPr="006901DF">
        <w:rPr>
          <w:rFonts w:ascii="Times New Roman" w:hAnsi="Times New Roman" w:cs="Times New Roman"/>
          <w:sz w:val="24"/>
          <w:szCs w:val="24"/>
        </w:rPr>
        <w:t>. These agreements offer a framework for how banks should communicate with their clients</w:t>
      </w:r>
      <w:r w:rsidRPr="006901DF">
        <w:rPr>
          <w:rFonts w:ascii="Times New Roman" w:hAnsi="Times New Roman" w:cs="Times New Roman"/>
          <w:sz w:val="24"/>
          <w:szCs w:val="24"/>
        </w:rPr>
        <w:t xml:space="preserve"> and can support preserving the interests of clients. </w:t>
      </w:r>
      <w:r w:rsidR="006901DF">
        <w:rPr>
          <w:rFonts w:ascii="Times New Roman" w:hAnsi="Times New Roman" w:cs="Times New Roman"/>
          <w:sz w:val="24"/>
          <w:szCs w:val="24"/>
        </w:rPr>
        <w:t xml:space="preserve"> </w:t>
      </w:r>
    </w:p>
    <w:p w14:paraId="75A02629" w14:textId="7917A0AC" w:rsidR="001022B7" w:rsidRPr="001776FA" w:rsidRDefault="00AE4986" w:rsidP="0054280F">
      <w:pPr>
        <w:spacing w:after="12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 xml:space="preserve">The Reform and the consumer act were passed to control the restoration of stability and strengthen the look over the financial systems so that repetition of such crises could be avoided. The lowering </w:t>
      </w:r>
      <w:r w:rsidRPr="001776FA">
        <w:rPr>
          <w:rFonts w:ascii="Times New Roman" w:eastAsia="Times New Roman" w:hAnsi="Times New Roman" w:cs="Times New Roman"/>
          <w:color w:val="000000" w:themeColor="text1"/>
          <w:sz w:val="24"/>
          <w:szCs w:val="24"/>
        </w:rPr>
        <w:t xml:space="preserve">of the interest rates was introduced with the monetary policy by the BOE to stabilise the economy and enhance growth opportunities (Chen and </w:t>
      </w:r>
      <w:proofErr w:type="spellStart"/>
      <w:r w:rsidRPr="001776FA">
        <w:rPr>
          <w:rFonts w:ascii="Times New Roman" w:eastAsia="Times New Roman" w:hAnsi="Times New Roman" w:cs="Times New Roman"/>
          <w:color w:val="000000" w:themeColor="text1"/>
          <w:sz w:val="24"/>
          <w:szCs w:val="24"/>
        </w:rPr>
        <w:t>Yeh</w:t>
      </w:r>
      <w:proofErr w:type="spellEnd"/>
      <w:r w:rsidRPr="001776FA">
        <w:rPr>
          <w:rFonts w:ascii="Times New Roman" w:eastAsia="Times New Roman" w:hAnsi="Times New Roman" w:cs="Times New Roman"/>
          <w:color w:val="000000" w:themeColor="text1"/>
          <w:sz w:val="24"/>
          <w:szCs w:val="24"/>
        </w:rPr>
        <w:t xml:space="preserve">, 2021). </w:t>
      </w:r>
      <w:r w:rsidR="005519E1" w:rsidRPr="005519E1">
        <w:rPr>
          <w:rFonts w:ascii="Times New Roman" w:eastAsia="Times New Roman" w:hAnsi="Times New Roman" w:cs="Times New Roman"/>
          <w:color w:val="000000" w:themeColor="text1"/>
          <w:sz w:val="24"/>
          <w:szCs w:val="24"/>
        </w:rPr>
        <w:t xml:space="preserve">The BOE, like with a number of other central banks, successfully responded to the pandemic shock by reviving liquidity. The Forex and "cross-currency" switches markets indicated an international appetite for US dollars, while the Gilt liquidity was under strain due to a substantial mismatch between supply and demand that the market operators were unable to adequately manage. </w:t>
      </w:r>
      <w:r w:rsidRPr="001776FA">
        <w:rPr>
          <w:rFonts w:ascii="Times New Roman" w:eastAsia="Times New Roman" w:hAnsi="Times New Roman" w:cs="Times New Roman"/>
          <w:color w:val="000000" w:themeColor="text1"/>
          <w:sz w:val="24"/>
          <w:szCs w:val="24"/>
        </w:rPr>
        <w:t xml:space="preserve">Further recovery acts were passed to resolve the issue of long-term unemployment so that the deepest UK recessions could be overcome. Bank performances are the pillar of fulfilling the purposes of financial activities. The results aided </w:t>
      </w:r>
      <w:r w:rsidRPr="001776FA">
        <w:rPr>
          <w:rFonts w:ascii="Times New Roman" w:eastAsia="Times New Roman" w:hAnsi="Times New Roman" w:cs="Times New Roman"/>
          <w:color w:val="000000" w:themeColor="text1"/>
          <w:sz w:val="24"/>
          <w:szCs w:val="24"/>
        </w:rPr>
        <w:t>the global economy in determining the rate of investment assets as well as the return upon equity. Individual ratios illustrate the accounting value constructions on the past expense presumption in elements of economic evaluation since it leads to the quie</w:t>
      </w:r>
      <w:r w:rsidRPr="001776FA">
        <w:rPr>
          <w:rFonts w:ascii="Times New Roman" w:eastAsia="Times New Roman" w:hAnsi="Times New Roman" w:cs="Times New Roman"/>
          <w:color w:val="000000" w:themeColor="text1"/>
          <w:sz w:val="24"/>
          <w:szCs w:val="24"/>
        </w:rPr>
        <w:t xml:space="preserve">scence in the measuring of performance difference from the prevailing value. An index of the market constitutes a standardised value that represents a business's financial responsibility that is significant for investors </w:t>
      </w:r>
      <w:r w:rsidR="001776FA">
        <w:rPr>
          <w:rFonts w:ascii="Times New Roman" w:eastAsia="Times New Roman" w:hAnsi="Times New Roman" w:cs="Times New Roman"/>
          <w:color w:val="000000" w:themeColor="text1"/>
          <w:sz w:val="24"/>
          <w:szCs w:val="24"/>
        </w:rPr>
        <w:t>who</w:t>
      </w:r>
      <w:r w:rsidRPr="001776FA">
        <w:rPr>
          <w:rFonts w:ascii="Times New Roman" w:eastAsia="Times New Roman" w:hAnsi="Times New Roman" w:cs="Times New Roman"/>
          <w:color w:val="000000" w:themeColor="text1"/>
          <w:sz w:val="24"/>
          <w:szCs w:val="24"/>
        </w:rPr>
        <w:t xml:space="preserve"> prioritise market value rather </w:t>
      </w:r>
      <w:r w:rsidRPr="001776FA">
        <w:rPr>
          <w:rFonts w:ascii="Times New Roman" w:eastAsia="Times New Roman" w:hAnsi="Times New Roman" w:cs="Times New Roman"/>
          <w:color w:val="000000" w:themeColor="text1"/>
          <w:sz w:val="24"/>
          <w:szCs w:val="24"/>
        </w:rPr>
        <w:t>than ROA, where ROE is derived from the organization's approach. (</w:t>
      </w:r>
      <w:r w:rsidR="00092E00" w:rsidRPr="001776FA">
        <w:rPr>
          <w:rFonts w:ascii="Times New Roman" w:eastAsia="Times New Roman" w:hAnsi="Times New Roman" w:cs="Times New Roman"/>
          <w:color w:val="000000" w:themeColor="text1"/>
          <w:sz w:val="24"/>
          <w:szCs w:val="24"/>
        </w:rPr>
        <w:t>Corporate</w:t>
      </w:r>
      <w:r w:rsidRPr="001776FA">
        <w:rPr>
          <w:rFonts w:ascii="Times New Roman" w:eastAsia="Times New Roman" w:hAnsi="Times New Roman" w:cs="Times New Roman"/>
          <w:color w:val="000000" w:themeColor="text1"/>
          <w:sz w:val="24"/>
          <w:szCs w:val="24"/>
        </w:rPr>
        <w:t xml:space="preserve"> finance institute, 2022). </w:t>
      </w:r>
    </w:p>
    <w:p w14:paraId="1BE4FB57" w14:textId="184EF94B" w:rsidR="001022B7" w:rsidRPr="001776FA" w:rsidRDefault="00AE4986" w:rsidP="0054280F">
      <w:pPr>
        <w:spacing w:after="120" w:line="360" w:lineRule="auto"/>
        <w:jc w:val="both"/>
        <w:rPr>
          <w:rFonts w:ascii="Times New Roman" w:eastAsia="Times New Roman" w:hAnsi="Times New Roman" w:cs="Times New Roman"/>
          <w:color w:val="000000" w:themeColor="text1"/>
          <w:sz w:val="24"/>
          <w:szCs w:val="24"/>
        </w:rPr>
      </w:pPr>
      <w:r w:rsidRPr="00092E00">
        <w:rPr>
          <w:rFonts w:ascii="Times New Roman" w:eastAsia="Times New Roman" w:hAnsi="Times New Roman" w:cs="Times New Roman"/>
          <w:b/>
          <w:bCs/>
          <w:color w:val="000000" w:themeColor="text1"/>
          <w:sz w:val="24"/>
          <w:szCs w:val="24"/>
        </w:rPr>
        <w:t xml:space="preserve">The worldwide economic downturn of 2008 prompted nations as well as global economies to recognise the vital success of banking from its business operations that necessitate supervised surveillance. The CAMELS rating procedure denotes and groups the fiscal </w:t>
      </w:r>
      <w:r w:rsidRPr="00092E00">
        <w:rPr>
          <w:rFonts w:ascii="Times New Roman" w:eastAsia="Times New Roman" w:hAnsi="Times New Roman" w:cs="Times New Roman"/>
          <w:b/>
          <w:bCs/>
          <w:color w:val="000000" w:themeColor="text1"/>
          <w:sz w:val="24"/>
          <w:szCs w:val="24"/>
        </w:rPr>
        <w:t xml:space="preserve">conditions of all financial measurements in the banking revenue sector. The decision to use the official Financial Institutions Rating System, known as CAMEL, was made through the Federal Financial System Examination Council (FFIEC). </w:t>
      </w:r>
      <w:r w:rsidRPr="001776FA">
        <w:rPr>
          <w:rFonts w:ascii="Times New Roman" w:eastAsia="Times New Roman" w:hAnsi="Times New Roman" w:cs="Times New Roman"/>
          <w:color w:val="000000" w:themeColor="text1"/>
          <w:sz w:val="24"/>
          <w:szCs w:val="24"/>
        </w:rPr>
        <w:t>It designated each fin</w:t>
      </w:r>
      <w:r w:rsidRPr="001776FA">
        <w:rPr>
          <w:rFonts w:ascii="Times New Roman" w:eastAsia="Times New Roman" w:hAnsi="Times New Roman" w:cs="Times New Roman"/>
          <w:color w:val="000000" w:themeColor="text1"/>
          <w:sz w:val="24"/>
          <w:szCs w:val="24"/>
        </w:rPr>
        <w:t>ancial institution into an amalgam ranking that consists of six crucial indicators of a financial condition and activities encapsulated into a composite “CAMELS '' rating. So, most banks use this model covering the spherule as a performance estimation proc</w:t>
      </w:r>
      <w:r w:rsidRPr="001776FA">
        <w:rPr>
          <w:rFonts w:ascii="Times New Roman" w:eastAsia="Times New Roman" w:hAnsi="Times New Roman" w:cs="Times New Roman"/>
          <w:color w:val="000000" w:themeColor="text1"/>
          <w:sz w:val="24"/>
          <w:szCs w:val="24"/>
        </w:rPr>
        <w:t>edure. The US faced a grave economic crisis in the past like between 1929 to 1933 which collapsed the banking system. The price of financial assets makes way for the investors to get access to the roots of assets to determine the future stream of cash flow</w:t>
      </w:r>
      <w:r w:rsidRPr="001776FA">
        <w:rPr>
          <w:rFonts w:ascii="Times New Roman" w:eastAsia="Times New Roman" w:hAnsi="Times New Roman" w:cs="Times New Roman"/>
          <w:color w:val="000000" w:themeColor="text1"/>
          <w:sz w:val="24"/>
          <w:szCs w:val="24"/>
        </w:rPr>
        <w:t xml:space="preserve">. </w:t>
      </w:r>
      <w:r w:rsidR="005519E1" w:rsidRPr="005519E1">
        <w:rPr>
          <w:rFonts w:ascii="Times New Roman" w:eastAsia="Times New Roman" w:hAnsi="Times New Roman" w:cs="Times New Roman"/>
          <w:color w:val="000000" w:themeColor="text1"/>
          <w:sz w:val="24"/>
          <w:szCs w:val="24"/>
        </w:rPr>
        <w:t xml:space="preserve">A strong framework for monetary stability benefits the U.K. banking system. The FSAP team has determined that the core </w:t>
      </w:r>
      <w:r w:rsidR="005519E1">
        <w:rPr>
          <w:rFonts w:ascii="Times New Roman" w:eastAsia="Times New Roman" w:hAnsi="Times New Roman" w:cs="Times New Roman"/>
          <w:color w:val="000000" w:themeColor="text1"/>
          <w:sz w:val="24"/>
          <w:szCs w:val="24"/>
        </w:rPr>
        <w:t>banks’</w:t>
      </w:r>
      <w:r w:rsidR="005519E1" w:rsidRPr="005519E1">
        <w:rPr>
          <w:rFonts w:ascii="Times New Roman" w:eastAsia="Times New Roman" w:hAnsi="Times New Roman" w:cs="Times New Roman"/>
          <w:color w:val="000000" w:themeColor="text1"/>
          <w:sz w:val="24"/>
          <w:szCs w:val="24"/>
        </w:rPr>
        <w:t xml:space="preserve"> and insurers' capital and liquidity levels are strong—even in the face of certain extremely </w:t>
      </w:r>
      <w:proofErr w:type="spellStart"/>
      <w:r w:rsidR="005519E1">
        <w:rPr>
          <w:rFonts w:ascii="Times New Roman" w:eastAsia="Times New Roman" w:hAnsi="Times New Roman" w:cs="Times New Roman"/>
          <w:color w:val="000000" w:themeColor="text1"/>
          <w:sz w:val="24"/>
          <w:szCs w:val="24"/>
        </w:rPr>
        <w:t>unfavorable</w:t>
      </w:r>
      <w:proofErr w:type="spellEnd"/>
      <w:r w:rsidR="005519E1" w:rsidRPr="005519E1">
        <w:rPr>
          <w:rFonts w:ascii="Times New Roman" w:eastAsia="Times New Roman" w:hAnsi="Times New Roman" w:cs="Times New Roman"/>
          <w:color w:val="000000" w:themeColor="text1"/>
          <w:sz w:val="24"/>
          <w:szCs w:val="24"/>
        </w:rPr>
        <w:t xml:space="preserve"> circumstances, such as the resurgence of the epidemic and a more aggressive monetary policy approach. Effective collaboration among agencies is the foundation of the institutional framework for stability in the economy.</w:t>
      </w:r>
    </w:p>
    <w:p w14:paraId="3A8B099B" w14:textId="77777777" w:rsidR="001022B7" w:rsidRPr="001776FA" w:rsidRDefault="00AE4986" w:rsidP="0054280F">
      <w:pPr>
        <w:spacing w:after="120" w:line="360" w:lineRule="auto"/>
        <w:jc w:val="center"/>
        <w:rPr>
          <w:rFonts w:ascii="Times New Roman" w:eastAsia="Times New Roman" w:hAnsi="Times New Roman" w:cs="Times New Roman"/>
          <w:color w:val="000000" w:themeColor="text1"/>
          <w:sz w:val="24"/>
          <w:szCs w:val="24"/>
        </w:rPr>
      </w:pPr>
      <w:r w:rsidRPr="001776FA">
        <w:rPr>
          <w:rFonts w:ascii="Times New Roman" w:hAnsi="Times New Roman" w:cs="Times New Roman"/>
          <w:noProof/>
          <w:color w:val="000000" w:themeColor="text1"/>
          <w:sz w:val="24"/>
          <w:szCs w:val="24"/>
          <w:lang w:eastAsia="en-GB"/>
        </w:rPr>
        <w:drawing>
          <wp:inline distT="0" distB="0" distL="0" distR="0" wp14:anchorId="4AD7E0A4" wp14:editId="56D1C579">
            <wp:extent cx="5731200" cy="4254500"/>
            <wp:effectExtent l="0" t="0" r="0" b="0"/>
            <wp:docPr id="1027"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0" cstate="print"/>
                    <a:srcRect/>
                    <a:stretch/>
                  </pic:blipFill>
                  <pic:spPr>
                    <a:xfrm>
                      <a:off x="0" y="0"/>
                      <a:ext cx="5731200" cy="4254500"/>
                    </a:xfrm>
                    <a:prstGeom prst="rect">
                      <a:avLst/>
                    </a:prstGeom>
                    <a:ln w="9525" cap="flat" cmpd="sng">
                      <a:solidFill>
                        <a:srgbClr val="000000"/>
                      </a:solidFill>
                      <a:prstDash val="solid"/>
                      <a:round/>
                      <a:headEnd/>
                      <a:tailEnd/>
                    </a:ln>
                  </pic:spPr>
                </pic:pic>
              </a:graphicData>
            </a:graphic>
          </wp:inline>
        </w:drawing>
      </w:r>
    </w:p>
    <w:p w14:paraId="02FC405A" w14:textId="00FF3C37" w:rsidR="001022B7" w:rsidRPr="001776FA" w:rsidRDefault="00AE4986" w:rsidP="0054280F">
      <w:pPr>
        <w:spacing w:after="120" w:line="360" w:lineRule="auto"/>
        <w:jc w:val="center"/>
        <w:rPr>
          <w:rFonts w:ascii="Times New Roman" w:eastAsia="Times New Roman" w:hAnsi="Times New Roman" w:cs="Times New Roman"/>
          <w:b/>
          <w:color w:val="000000" w:themeColor="text1"/>
          <w:sz w:val="24"/>
          <w:szCs w:val="24"/>
        </w:rPr>
      </w:pPr>
      <w:r w:rsidRPr="001776FA">
        <w:rPr>
          <w:rFonts w:ascii="Times New Roman" w:eastAsia="Times New Roman" w:hAnsi="Times New Roman" w:cs="Times New Roman"/>
          <w:b/>
          <w:color w:val="000000" w:themeColor="text1"/>
          <w:sz w:val="24"/>
          <w:szCs w:val="24"/>
        </w:rPr>
        <w:t xml:space="preserve">Figure </w:t>
      </w:r>
      <w:r w:rsidR="00854A6F">
        <w:rPr>
          <w:rFonts w:ascii="Times New Roman" w:eastAsia="Times New Roman" w:hAnsi="Times New Roman" w:cs="Times New Roman"/>
          <w:b/>
          <w:color w:val="000000" w:themeColor="text1"/>
          <w:sz w:val="24"/>
          <w:szCs w:val="24"/>
        </w:rPr>
        <w:t>3</w:t>
      </w:r>
      <w:r w:rsidRPr="001776FA">
        <w:rPr>
          <w:rFonts w:ascii="Times New Roman" w:eastAsia="Times New Roman" w:hAnsi="Times New Roman" w:cs="Times New Roman"/>
          <w:b/>
          <w:color w:val="000000" w:themeColor="text1"/>
          <w:sz w:val="24"/>
          <w:szCs w:val="24"/>
        </w:rPr>
        <w:t>: Credit losses and write</w:t>
      </w:r>
      <w:r w:rsidR="0054280F">
        <w:rPr>
          <w:rFonts w:ascii="Times New Roman" w:eastAsia="Times New Roman" w:hAnsi="Times New Roman" w:cs="Times New Roman"/>
          <w:b/>
          <w:color w:val="000000" w:themeColor="text1"/>
          <w:sz w:val="24"/>
          <w:szCs w:val="24"/>
        </w:rPr>
        <w:t>-</w:t>
      </w:r>
      <w:r w:rsidRPr="001776FA">
        <w:rPr>
          <w:rFonts w:ascii="Times New Roman" w:eastAsia="Times New Roman" w:hAnsi="Times New Roman" w:cs="Times New Roman"/>
          <w:b/>
          <w:color w:val="000000" w:themeColor="text1"/>
          <w:sz w:val="24"/>
          <w:szCs w:val="24"/>
        </w:rPr>
        <w:t>downs during</w:t>
      </w:r>
      <w:r w:rsidR="0054280F">
        <w:rPr>
          <w:rFonts w:ascii="Times New Roman" w:eastAsia="Times New Roman" w:hAnsi="Times New Roman" w:cs="Times New Roman"/>
          <w:b/>
          <w:color w:val="000000" w:themeColor="text1"/>
          <w:sz w:val="24"/>
          <w:szCs w:val="24"/>
        </w:rPr>
        <w:t xml:space="preserve"> the</w:t>
      </w:r>
      <w:r w:rsidRPr="001776FA">
        <w:rPr>
          <w:rFonts w:ascii="Times New Roman" w:eastAsia="Times New Roman" w:hAnsi="Times New Roman" w:cs="Times New Roman"/>
          <w:b/>
          <w:color w:val="000000" w:themeColor="text1"/>
          <w:sz w:val="24"/>
          <w:szCs w:val="24"/>
        </w:rPr>
        <w:t xml:space="preserve"> financial crisis</w:t>
      </w:r>
    </w:p>
    <w:p w14:paraId="223D6349" w14:textId="77777777" w:rsidR="001022B7" w:rsidRPr="001776FA" w:rsidRDefault="00AE4986" w:rsidP="0054280F">
      <w:pPr>
        <w:spacing w:after="120" w:line="360" w:lineRule="auto"/>
        <w:jc w:val="center"/>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b/>
          <w:color w:val="000000" w:themeColor="text1"/>
          <w:sz w:val="24"/>
          <w:szCs w:val="24"/>
        </w:rPr>
        <w:t xml:space="preserve">Source: </w:t>
      </w:r>
      <w:r w:rsidRPr="001776FA">
        <w:rPr>
          <w:rFonts w:ascii="Times New Roman" w:eastAsia="Times New Roman" w:hAnsi="Times New Roman" w:cs="Times New Roman"/>
          <w:color w:val="000000" w:themeColor="text1"/>
          <w:sz w:val="24"/>
          <w:szCs w:val="24"/>
        </w:rPr>
        <w:t>(</w:t>
      </w:r>
      <w:proofErr w:type="spellStart"/>
      <w:r w:rsidRPr="001776FA">
        <w:rPr>
          <w:rFonts w:ascii="Times New Roman" w:eastAsia="Times New Roman" w:hAnsi="Times New Roman" w:cs="Times New Roman"/>
          <w:color w:val="000000" w:themeColor="text1"/>
          <w:sz w:val="24"/>
          <w:szCs w:val="24"/>
        </w:rPr>
        <w:t>Rudden</w:t>
      </w:r>
      <w:proofErr w:type="spellEnd"/>
      <w:r w:rsidRPr="001776FA">
        <w:rPr>
          <w:rFonts w:ascii="Times New Roman" w:eastAsia="Times New Roman" w:hAnsi="Times New Roman" w:cs="Times New Roman"/>
          <w:color w:val="000000" w:themeColor="text1"/>
          <w:sz w:val="24"/>
          <w:szCs w:val="24"/>
        </w:rPr>
        <w:t>, 2008)</w:t>
      </w:r>
    </w:p>
    <w:p w14:paraId="2816AFE8" w14:textId="538E6A1E" w:rsidR="001022B7" w:rsidRPr="001776FA" w:rsidRDefault="00AE4986" w:rsidP="0054280F">
      <w:pPr>
        <w:spacing w:after="12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The lower the cost of the asset the return on investment will be high which will enhance the investor's interest more effectively. The asset pricing model is the ideal portrayal of the process of financial market pr</w:t>
      </w:r>
      <w:r w:rsidRPr="001776FA">
        <w:rPr>
          <w:rFonts w:ascii="Times New Roman" w:eastAsia="Times New Roman" w:hAnsi="Times New Roman" w:cs="Times New Roman"/>
          <w:color w:val="000000" w:themeColor="text1"/>
          <w:sz w:val="24"/>
          <w:szCs w:val="24"/>
        </w:rPr>
        <w:t xml:space="preserve">ice securities so that the expected return on investment can be determined (Al </w:t>
      </w:r>
      <w:proofErr w:type="spellStart"/>
      <w:r w:rsidRPr="001776FA">
        <w:rPr>
          <w:rFonts w:ascii="Times New Roman" w:eastAsia="Times New Roman" w:hAnsi="Times New Roman" w:cs="Times New Roman"/>
          <w:color w:val="000000" w:themeColor="text1"/>
          <w:sz w:val="24"/>
          <w:szCs w:val="24"/>
        </w:rPr>
        <w:t>Ahbabi</w:t>
      </w:r>
      <w:proofErr w:type="spellEnd"/>
      <w:r w:rsidRPr="001776FA">
        <w:rPr>
          <w:rFonts w:ascii="Times New Roman" w:eastAsia="Times New Roman" w:hAnsi="Times New Roman" w:cs="Times New Roman"/>
          <w:color w:val="000000" w:themeColor="text1"/>
          <w:sz w:val="24"/>
          <w:szCs w:val="24"/>
        </w:rPr>
        <w:t xml:space="preserve"> and </w:t>
      </w:r>
      <w:proofErr w:type="spellStart"/>
      <w:r w:rsidRPr="001776FA">
        <w:rPr>
          <w:rFonts w:ascii="Times New Roman" w:eastAsia="Times New Roman" w:hAnsi="Times New Roman" w:cs="Times New Roman"/>
          <w:color w:val="000000" w:themeColor="text1"/>
          <w:sz w:val="24"/>
          <w:szCs w:val="24"/>
        </w:rPr>
        <w:t>Nobanee</w:t>
      </w:r>
      <w:proofErr w:type="spellEnd"/>
      <w:r w:rsidRPr="001776FA">
        <w:rPr>
          <w:rFonts w:ascii="Times New Roman" w:eastAsia="Times New Roman" w:hAnsi="Times New Roman" w:cs="Times New Roman"/>
          <w:color w:val="000000" w:themeColor="text1"/>
          <w:sz w:val="24"/>
          <w:szCs w:val="24"/>
        </w:rPr>
        <w:t>, 2019)</w:t>
      </w:r>
      <w:r w:rsidR="005519E1">
        <w:rPr>
          <w:rFonts w:ascii="Times New Roman" w:eastAsia="Times New Roman" w:hAnsi="Times New Roman" w:cs="Times New Roman"/>
          <w:color w:val="000000" w:themeColor="text1"/>
          <w:sz w:val="24"/>
          <w:szCs w:val="24"/>
        </w:rPr>
        <w:t xml:space="preserve">. </w:t>
      </w:r>
      <w:r w:rsidRPr="001776FA">
        <w:rPr>
          <w:rFonts w:ascii="Times New Roman" w:eastAsia="Times New Roman" w:hAnsi="Times New Roman" w:cs="Times New Roman"/>
          <w:color w:val="000000" w:themeColor="text1"/>
          <w:sz w:val="24"/>
          <w:szCs w:val="24"/>
        </w:rPr>
        <w:t xml:space="preserve">The method in the pricing is used to quantify the risk to translate that risk into estimates of expected return on equity. The theory of price states </w:t>
      </w:r>
      <w:r w:rsidRPr="001776FA">
        <w:rPr>
          <w:rFonts w:ascii="Times New Roman" w:eastAsia="Times New Roman" w:hAnsi="Times New Roman" w:cs="Times New Roman"/>
          <w:color w:val="000000" w:themeColor="text1"/>
          <w:sz w:val="24"/>
          <w:szCs w:val="24"/>
        </w:rPr>
        <w:t xml:space="preserve">that the price of a specific product or service is acquired from the relationship between its supply and demand. In this scenario, it is seen that if demand exceeds supply, then the prices of the asset should rise automatically and on the other way if the </w:t>
      </w:r>
      <w:r w:rsidRPr="001776FA">
        <w:rPr>
          <w:rFonts w:ascii="Times New Roman" w:eastAsia="Times New Roman" w:hAnsi="Times New Roman" w:cs="Times New Roman"/>
          <w:color w:val="000000" w:themeColor="text1"/>
          <w:sz w:val="24"/>
          <w:szCs w:val="24"/>
        </w:rPr>
        <w:t xml:space="preserve">rise in supply exceeds demand, then the prices of the commodities fall gradually. </w:t>
      </w:r>
      <w:r w:rsidR="00765514" w:rsidRPr="00765514">
        <w:rPr>
          <w:rFonts w:ascii="Times New Roman" w:eastAsia="Times New Roman" w:hAnsi="Times New Roman" w:cs="Times New Roman"/>
          <w:color w:val="000000" w:themeColor="text1"/>
          <w:sz w:val="24"/>
          <w:szCs w:val="24"/>
        </w:rPr>
        <w:t xml:space="preserve">A broader and more comprehensive solution to neoclassical modelling of values is offered by price theory in the context of "post-Keynesian economics" and institution-based economics, particularly the economics of "American institutionalism". </w:t>
      </w:r>
      <w:r w:rsidRPr="001776FA">
        <w:rPr>
          <w:rFonts w:ascii="Times New Roman" w:eastAsia="Times New Roman" w:hAnsi="Times New Roman" w:cs="Times New Roman"/>
          <w:color w:val="000000" w:themeColor="text1"/>
          <w:sz w:val="24"/>
          <w:szCs w:val="24"/>
        </w:rPr>
        <w:t xml:space="preserve">The optimal market value is the point where the entire number of items available can be consumed reasonably by potential customers. </w:t>
      </w:r>
    </w:p>
    <w:p w14:paraId="09670D3C" w14:textId="77777777" w:rsidR="001022B7" w:rsidRPr="001776FA" w:rsidRDefault="00AE4986" w:rsidP="0054280F">
      <w:pPr>
        <w:spacing w:after="12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Supply of assets can be affected by the availability of</w:t>
      </w:r>
      <w:r w:rsidRPr="001776FA">
        <w:rPr>
          <w:rFonts w:ascii="Times New Roman" w:eastAsia="Times New Roman" w:hAnsi="Times New Roman" w:cs="Times New Roman"/>
          <w:color w:val="000000" w:themeColor="text1"/>
          <w:sz w:val="24"/>
          <w:szCs w:val="24"/>
        </w:rPr>
        <w:t xml:space="preserve"> raw materials whereas the demand fluctuates depending on the other competitors in the market. This microeconomic principle affects the pricing of a financial asset that is considered in the market which completely depends on the supply and demand factors </w:t>
      </w:r>
      <w:r w:rsidRPr="001776FA">
        <w:rPr>
          <w:rFonts w:ascii="Times New Roman" w:eastAsia="Times New Roman" w:hAnsi="Times New Roman" w:cs="Times New Roman"/>
          <w:color w:val="000000" w:themeColor="text1"/>
          <w:sz w:val="24"/>
          <w:szCs w:val="24"/>
        </w:rPr>
        <w:t>(</w:t>
      </w:r>
      <w:proofErr w:type="spellStart"/>
      <w:r w:rsidRPr="001776FA">
        <w:rPr>
          <w:rFonts w:ascii="Times New Roman" w:eastAsia="Times New Roman" w:hAnsi="Times New Roman" w:cs="Times New Roman"/>
          <w:color w:val="000000" w:themeColor="text1"/>
          <w:sz w:val="24"/>
          <w:szCs w:val="24"/>
        </w:rPr>
        <w:t>Ghorbel</w:t>
      </w:r>
      <w:proofErr w:type="spellEnd"/>
      <w:r w:rsidRPr="001776FA">
        <w:rPr>
          <w:rFonts w:ascii="Times New Roman" w:eastAsia="Times New Roman" w:hAnsi="Times New Roman" w:cs="Times New Roman"/>
          <w:color w:val="000000" w:themeColor="text1"/>
          <w:sz w:val="24"/>
          <w:szCs w:val="24"/>
        </w:rPr>
        <w:t xml:space="preserve"> and </w:t>
      </w:r>
      <w:proofErr w:type="spellStart"/>
      <w:r w:rsidRPr="001776FA">
        <w:rPr>
          <w:rFonts w:ascii="Times New Roman" w:eastAsia="Times New Roman" w:hAnsi="Times New Roman" w:cs="Times New Roman"/>
          <w:color w:val="000000" w:themeColor="text1"/>
          <w:sz w:val="24"/>
          <w:szCs w:val="24"/>
        </w:rPr>
        <w:t>Jeribi</w:t>
      </w:r>
      <w:proofErr w:type="spellEnd"/>
      <w:r w:rsidRPr="001776FA">
        <w:rPr>
          <w:rFonts w:ascii="Times New Roman" w:eastAsia="Times New Roman" w:hAnsi="Times New Roman" w:cs="Times New Roman"/>
          <w:color w:val="000000" w:themeColor="text1"/>
          <w:sz w:val="24"/>
          <w:szCs w:val="24"/>
        </w:rPr>
        <w:t>, 2021). The global financial crisis (GFC), also known as the great recession, was caused by the subprime mortgage crisis, which originated in the United States and spread to Europe and the rest of the world (</w:t>
      </w:r>
      <w:proofErr w:type="spellStart"/>
      <w:r w:rsidRPr="001776FA">
        <w:rPr>
          <w:rFonts w:ascii="Times New Roman" w:eastAsia="Times New Roman" w:hAnsi="Times New Roman" w:cs="Times New Roman"/>
          <w:color w:val="000000" w:themeColor="text1"/>
          <w:sz w:val="24"/>
          <w:szCs w:val="24"/>
        </w:rPr>
        <w:t>DesJardine</w:t>
      </w:r>
      <w:proofErr w:type="spellEnd"/>
      <w:r w:rsidRPr="001776FA">
        <w:rPr>
          <w:rFonts w:ascii="Times New Roman" w:eastAsia="Times New Roman" w:hAnsi="Times New Roman" w:cs="Times New Roman"/>
          <w:color w:val="000000" w:themeColor="text1"/>
          <w:sz w:val="24"/>
          <w:szCs w:val="24"/>
        </w:rPr>
        <w:t xml:space="preserve"> </w:t>
      </w:r>
      <w:r w:rsidRPr="001776FA">
        <w:rPr>
          <w:rFonts w:ascii="Times New Roman" w:eastAsia="Times New Roman" w:hAnsi="Times New Roman" w:cs="Times New Roman"/>
          <w:i/>
          <w:iCs/>
          <w:color w:val="000000" w:themeColor="text1"/>
          <w:sz w:val="24"/>
          <w:szCs w:val="24"/>
        </w:rPr>
        <w:t>et al.,</w:t>
      </w:r>
      <w:r w:rsidRPr="001776FA">
        <w:rPr>
          <w:rFonts w:ascii="Times New Roman" w:eastAsia="Times New Roman" w:hAnsi="Times New Roman" w:cs="Times New Roman"/>
          <w:color w:val="000000" w:themeColor="text1"/>
          <w:sz w:val="24"/>
          <w:szCs w:val="24"/>
        </w:rPr>
        <w:t xml:space="preserve"> 2019). Th</w:t>
      </w:r>
      <w:r w:rsidRPr="001776FA">
        <w:rPr>
          <w:rFonts w:ascii="Times New Roman" w:eastAsia="Times New Roman" w:hAnsi="Times New Roman" w:cs="Times New Roman"/>
          <w:color w:val="000000" w:themeColor="text1"/>
          <w:sz w:val="24"/>
          <w:szCs w:val="24"/>
        </w:rPr>
        <w:t>e November 2008 G20 summit declared several steps to create resiliency in the financial sector in the USA. Systematic risk-assessing measures were taken by the authorities for the detection of any kind of irregularities in the system. The financial stabili</w:t>
      </w:r>
      <w:r w:rsidRPr="001776FA">
        <w:rPr>
          <w:rFonts w:ascii="Times New Roman" w:eastAsia="Times New Roman" w:hAnsi="Times New Roman" w:cs="Times New Roman"/>
          <w:color w:val="000000" w:themeColor="text1"/>
          <w:sz w:val="24"/>
          <w:szCs w:val="24"/>
        </w:rPr>
        <w:t>ty forum (FSF) and also the IMF did a detailed study of the crisis and highlighted the lack of a proper regulatory environment in the financial market. The “Over-the-counter” derivatives market was reformed to make it safer from the risks by providing suff</w:t>
      </w:r>
      <w:r w:rsidRPr="001776FA">
        <w:rPr>
          <w:rFonts w:ascii="Times New Roman" w:eastAsia="Times New Roman" w:hAnsi="Times New Roman" w:cs="Times New Roman"/>
          <w:color w:val="000000" w:themeColor="text1"/>
          <w:sz w:val="24"/>
          <w:szCs w:val="24"/>
        </w:rPr>
        <w:t>icient capital for the Non centrally cleared derivatives (</w:t>
      </w:r>
      <w:proofErr w:type="spellStart"/>
      <w:r w:rsidRPr="001776FA">
        <w:rPr>
          <w:rFonts w:ascii="Times New Roman" w:eastAsia="Times New Roman" w:hAnsi="Times New Roman" w:cs="Times New Roman"/>
          <w:color w:val="000000" w:themeColor="text1"/>
          <w:sz w:val="24"/>
          <w:szCs w:val="24"/>
        </w:rPr>
        <w:t>Brem</w:t>
      </w:r>
      <w:proofErr w:type="spellEnd"/>
      <w:r w:rsidRPr="001776FA">
        <w:rPr>
          <w:rFonts w:ascii="Times New Roman" w:eastAsia="Times New Roman" w:hAnsi="Times New Roman" w:cs="Times New Roman"/>
          <w:color w:val="000000" w:themeColor="text1"/>
          <w:sz w:val="24"/>
          <w:szCs w:val="24"/>
        </w:rPr>
        <w:t xml:space="preserve"> </w:t>
      </w:r>
      <w:r w:rsidRPr="001776FA">
        <w:rPr>
          <w:rFonts w:ascii="Times New Roman" w:eastAsia="Times New Roman" w:hAnsi="Times New Roman" w:cs="Times New Roman"/>
          <w:i/>
          <w:iCs/>
          <w:color w:val="000000" w:themeColor="text1"/>
          <w:sz w:val="24"/>
          <w:szCs w:val="24"/>
        </w:rPr>
        <w:t>et al.,</w:t>
      </w:r>
      <w:r w:rsidRPr="001776FA">
        <w:rPr>
          <w:rFonts w:ascii="Times New Roman" w:eastAsia="Times New Roman" w:hAnsi="Times New Roman" w:cs="Times New Roman"/>
          <w:color w:val="000000" w:themeColor="text1"/>
          <w:sz w:val="24"/>
          <w:szCs w:val="24"/>
        </w:rPr>
        <w:t xml:space="preserve"> 2020). In July 2010, the Dodd-Frank Act was passed which has the provision to safeguard investors' financial interests.  </w:t>
      </w:r>
    </w:p>
    <w:p w14:paraId="517361E1" w14:textId="77777777" w:rsidR="001022B7" w:rsidRPr="001776FA" w:rsidRDefault="00AE4986" w:rsidP="0054280F">
      <w:pPr>
        <w:spacing w:after="120" w:line="360" w:lineRule="auto"/>
        <w:jc w:val="center"/>
        <w:rPr>
          <w:rFonts w:ascii="Times New Roman" w:eastAsia="Times New Roman" w:hAnsi="Times New Roman" w:cs="Times New Roman"/>
          <w:color w:val="000000" w:themeColor="text1"/>
          <w:sz w:val="24"/>
          <w:szCs w:val="24"/>
        </w:rPr>
      </w:pPr>
      <w:r w:rsidRPr="001776FA">
        <w:rPr>
          <w:rFonts w:ascii="Times New Roman" w:hAnsi="Times New Roman" w:cs="Times New Roman"/>
          <w:noProof/>
          <w:color w:val="000000" w:themeColor="text1"/>
          <w:sz w:val="24"/>
          <w:szCs w:val="24"/>
          <w:lang w:eastAsia="en-GB"/>
        </w:rPr>
        <w:drawing>
          <wp:inline distT="0" distB="0" distL="0" distR="0" wp14:anchorId="4891A140" wp14:editId="15E3FC7A">
            <wp:extent cx="5731200" cy="5727700"/>
            <wp:effectExtent l="0" t="0" r="0" b="0"/>
            <wp:docPr id="1028"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1" cstate="print"/>
                    <a:srcRect t="-19934" b="19934"/>
                    <a:stretch/>
                  </pic:blipFill>
                  <pic:spPr>
                    <a:xfrm>
                      <a:off x="0" y="0"/>
                      <a:ext cx="5731200" cy="5727700"/>
                    </a:xfrm>
                    <a:prstGeom prst="rect">
                      <a:avLst/>
                    </a:prstGeom>
                    <a:ln w="9525" cap="flat" cmpd="sng">
                      <a:solidFill>
                        <a:srgbClr val="000000"/>
                      </a:solidFill>
                      <a:prstDash val="solid"/>
                      <a:round/>
                      <a:headEnd/>
                      <a:tailEnd/>
                    </a:ln>
                  </pic:spPr>
                </pic:pic>
              </a:graphicData>
            </a:graphic>
          </wp:inline>
        </w:drawing>
      </w:r>
    </w:p>
    <w:p w14:paraId="527EDF96" w14:textId="068E8193" w:rsidR="001022B7" w:rsidRPr="001776FA" w:rsidRDefault="00AE4986" w:rsidP="0054280F">
      <w:pPr>
        <w:spacing w:after="120" w:line="360" w:lineRule="auto"/>
        <w:jc w:val="center"/>
        <w:rPr>
          <w:rFonts w:ascii="Times New Roman" w:eastAsia="Times New Roman" w:hAnsi="Times New Roman" w:cs="Times New Roman"/>
          <w:b/>
          <w:color w:val="000000" w:themeColor="text1"/>
          <w:sz w:val="24"/>
          <w:szCs w:val="24"/>
        </w:rPr>
      </w:pPr>
      <w:r w:rsidRPr="001776FA">
        <w:rPr>
          <w:rFonts w:ascii="Times New Roman" w:eastAsia="Times New Roman" w:hAnsi="Times New Roman" w:cs="Times New Roman"/>
          <w:b/>
          <w:color w:val="000000" w:themeColor="text1"/>
          <w:sz w:val="24"/>
          <w:szCs w:val="24"/>
        </w:rPr>
        <w:t xml:space="preserve">Figure </w:t>
      </w:r>
      <w:r w:rsidR="00854A6F">
        <w:rPr>
          <w:rFonts w:ascii="Times New Roman" w:eastAsia="Times New Roman" w:hAnsi="Times New Roman" w:cs="Times New Roman"/>
          <w:b/>
          <w:color w:val="000000" w:themeColor="text1"/>
          <w:sz w:val="24"/>
          <w:szCs w:val="24"/>
        </w:rPr>
        <w:t>4</w:t>
      </w:r>
      <w:r w:rsidRPr="001776FA">
        <w:rPr>
          <w:rFonts w:ascii="Times New Roman" w:eastAsia="Times New Roman" w:hAnsi="Times New Roman" w:cs="Times New Roman"/>
          <w:b/>
          <w:color w:val="000000" w:themeColor="text1"/>
          <w:sz w:val="24"/>
          <w:szCs w:val="24"/>
        </w:rPr>
        <w:t xml:space="preserve">: Largest fall in UK employment during </w:t>
      </w:r>
      <w:r w:rsidR="001776FA">
        <w:rPr>
          <w:rFonts w:ascii="Times New Roman" w:eastAsia="Times New Roman" w:hAnsi="Times New Roman" w:cs="Times New Roman"/>
          <w:b/>
          <w:color w:val="000000" w:themeColor="text1"/>
          <w:sz w:val="24"/>
          <w:szCs w:val="24"/>
        </w:rPr>
        <w:t xml:space="preserve">the </w:t>
      </w:r>
      <w:r w:rsidRPr="001776FA">
        <w:rPr>
          <w:rFonts w:ascii="Times New Roman" w:eastAsia="Times New Roman" w:hAnsi="Times New Roman" w:cs="Times New Roman"/>
          <w:b/>
          <w:color w:val="000000" w:themeColor="text1"/>
          <w:sz w:val="24"/>
          <w:szCs w:val="24"/>
        </w:rPr>
        <w:t xml:space="preserve">financial </w:t>
      </w:r>
      <w:r w:rsidRPr="001776FA">
        <w:rPr>
          <w:rFonts w:ascii="Times New Roman" w:eastAsia="Times New Roman" w:hAnsi="Times New Roman" w:cs="Times New Roman"/>
          <w:b/>
          <w:color w:val="000000" w:themeColor="text1"/>
          <w:sz w:val="24"/>
          <w:szCs w:val="24"/>
        </w:rPr>
        <w:t>crisis</w:t>
      </w:r>
    </w:p>
    <w:p w14:paraId="68545814" w14:textId="77777777" w:rsidR="001022B7" w:rsidRPr="001776FA" w:rsidRDefault="00AE4986" w:rsidP="0054280F">
      <w:pPr>
        <w:spacing w:after="120" w:line="360" w:lineRule="auto"/>
        <w:jc w:val="center"/>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b/>
          <w:color w:val="000000" w:themeColor="text1"/>
          <w:sz w:val="24"/>
          <w:szCs w:val="24"/>
        </w:rPr>
        <w:t xml:space="preserve">Source: </w:t>
      </w:r>
      <w:r w:rsidRPr="001776FA">
        <w:rPr>
          <w:rFonts w:ascii="Times New Roman" w:eastAsia="Times New Roman" w:hAnsi="Times New Roman" w:cs="Times New Roman"/>
          <w:color w:val="000000" w:themeColor="text1"/>
          <w:sz w:val="24"/>
          <w:szCs w:val="24"/>
        </w:rPr>
        <w:t xml:space="preserve">(Armstrong, and Richter, 2020) </w:t>
      </w:r>
    </w:p>
    <w:p w14:paraId="06C3E843" w14:textId="77777777" w:rsidR="0054280F" w:rsidRDefault="0054280F" w:rsidP="00207BAE">
      <w:pPr>
        <w:pStyle w:val="NormalWeb"/>
        <w:spacing w:before="0" w:beforeAutospacing="0" w:after="0" w:afterAutospacing="0" w:line="360" w:lineRule="auto"/>
        <w:jc w:val="both"/>
        <w:rPr>
          <w:color w:val="0E101A"/>
        </w:rPr>
      </w:pPr>
      <w:r>
        <w:rPr>
          <w:color w:val="0E101A"/>
        </w:rPr>
        <w:t xml:space="preserve">A proper bailout system without splurging the taxpayer's money was also introduced to avoid any kind of repeat of the 2008 financial crisis. Significant advancements towards a </w:t>
      </w:r>
      <w:proofErr w:type="spellStart"/>
      <w:r>
        <w:rPr>
          <w:color w:val="0E101A"/>
        </w:rPr>
        <w:t>eurozone</w:t>
      </w:r>
      <w:proofErr w:type="spellEnd"/>
      <w:r>
        <w:rPr>
          <w:color w:val="0E101A"/>
        </w:rPr>
        <w:t xml:space="preserve"> banking union and a solid economic framework for Europe were achieved after the 2008 financial crisis. The 30 rules proposed by the EU were made the basic framework of the 28 states (Chen and </w:t>
      </w:r>
      <w:proofErr w:type="spellStart"/>
      <w:r>
        <w:rPr>
          <w:color w:val="0E101A"/>
        </w:rPr>
        <w:t>Yeh</w:t>
      </w:r>
      <w:proofErr w:type="spellEnd"/>
      <w:r>
        <w:rPr>
          <w:color w:val="0E101A"/>
        </w:rPr>
        <w:t>, 2021). Banks and sovereigns are caught in a vicious cycle that was focused on after the 2008 crisis. The framework that was adopted by the EU ensured that any kind of bailout program will not be done with the taxpayer's money which added stability to the market. The financial market plays a vital role in expediting the allocation of resources to create business and entrepreneurship liquidity for future developments. It is the market that alleviates the need for sellers and buyers to trade financial holdings. </w:t>
      </w:r>
    </w:p>
    <w:p w14:paraId="24B20285" w14:textId="77777777" w:rsidR="0054280F" w:rsidRDefault="0054280F" w:rsidP="00207BAE">
      <w:pPr>
        <w:pStyle w:val="NormalWeb"/>
        <w:spacing w:before="0" w:beforeAutospacing="0" w:after="0" w:afterAutospacing="0" w:line="360" w:lineRule="auto"/>
        <w:jc w:val="both"/>
        <w:rPr>
          <w:color w:val="0E101A"/>
        </w:rPr>
      </w:pPr>
      <w:r>
        <w:rPr>
          <w:color w:val="0E101A"/>
        </w:rPr>
        <w:t>The financial markets generate security products to provide a return for those who have excess funds (</w:t>
      </w:r>
      <w:proofErr w:type="spellStart"/>
      <w:r>
        <w:rPr>
          <w:color w:val="0E101A"/>
        </w:rPr>
        <w:t>Notteboom</w:t>
      </w:r>
      <w:proofErr w:type="spellEnd"/>
      <w:r>
        <w:rPr>
          <w:color w:val="0E101A"/>
        </w:rPr>
        <w:t> </w:t>
      </w:r>
      <w:r>
        <w:rPr>
          <w:rStyle w:val="Emphasis"/>
          <w:color w:val="0E101A"/>
        </w:rPr>
        <w:t>et al.,</w:t>
      </w:r>
      <w:r>
        <w:rPr>
          <w:color w:val="0E101A"/>
        </w:rPr>
        <w:t> 2021). Financial markets are created by purchasing and selling different types of financial tools which include equities, currencies, bonds and derivatives. Financial markets depend highly on data transparency to affirm that the markets set prices that are structured and pertinent. The market prices of securities may not be denoting their congenital value for the reason that of macroeconomic forces like taxes. The financial markets are comprehensive in scale and scope. The amalgamation of the sellers and buyers is processed by the financial markets through the help of regulations and fundamental actions allowing the capital to flow fluently to make the global economy run smoothly (</w:t>
      </w:r>
      <w:proofErr w:type="spellStart"/>
      <w:r>
        <w:rPr>
          <w:color w:val="0E101A"/>
        </w:rPr>
        <w:t>Probasco</w:t>
      </w:r>
      <w:proofErr w:type="spellEnd"/>
      <w:r>
        <w:rPr>
          <w:color w:val="0E101A"/>
        </w:rPr>
        <w:t>, 2022).  </w:t>
      </w:r>
    </w:p>
    <w:p w14:paraId="5C177A49" w14:textId="77777777" w:rsidR="0054280F" w:rsidRDefault="0054280F" w:rsidP="00207BAE">
      <w:pPr>
        <w:pStyle w:val="NormalWeb"/>
        <w:spacing w:before="0" w:beforeAutospacing="0" w:after="0" w:afterAutospacing="0" w:line="360" w:lineRule="auto"/>
        <w:jc w:val="both"/>
        <w:rPr>
          <w:color w:val="0E101A"/>
        </w:rPr>
      </w:pPr>
      <w:r>
        <w:rPr>
          <w:color w:val="0E101A"/>
        </w:rPr>
        <w:t>The whole supervision system of the EU financial sectors was revamped after the crisis. The European Banking Authority (EBA) introduced the system to understand the need for the recapitalization of the banks whenever needed (</w:t>
      </w:r>
      <w:proofErr w:type="spellStart"/>
      <w:r>
        <w:rPr>
          <w:color w:val="0E101A"/>
        </w:rPr>
        <w:t>Notteboom</w:t>
      </w:r>
      <w:proofErr w:type="spellEnd"/>
      <w:r>
        <w:rPr>
          <w:color w:val="0E101A"/>
        </w:rPr>
        <w:t> </w:t>
      </w:r>
      <w:r>
        <w:rPr>
          <w:rStyle w:val="Emphasis"/>
          <w:color w:val="0E101A"/>
        </w:rPr>
        <w:t>et al.,</w:t>
      </w:r>
      <w:r>
        <w:rPr>
          <w:color w:val="0E101A"/>
        </w:rPr>
        <w:t> 2021). The European Securities and Market authorities supervised the various trade repositories and credit rating agencies. A single rulebook of the various legislative texts was introduced for all financial institutions. The European system of Financial Supervision that was established in the year of 2011 was instrumental in the creation of transparency and efficiency in the financial markets. The Omnibus II directive was further adopted in the same year to clarify the authorities of the supervisory councils, especially in the financial sectors. </w:t>
      </w:r>
    </w:p>
    <w:p w14:paraId="0BBB37C9" w14:textId="77777777" w:rsidR="0054280F" w:rsidRDefault="0054280F" w:rsidP="00207BAE">
      <w:pPr>
        <w:pStyle w:val="NormalWeb"/>
        <w:spacing w:before="0" w:beforeAutospacing="0" w:after="0" w:afterAutospacing="0" w:line="360" w:lineRule="auto"/>
        <w:jc w:val="both"/>
        <w:rPr>
          <w:color w:val="0E101A"/>
        </w:rPr>
      </w:pPr>
      <w:r>
        <w:rPr>
          <w:color w:val="0E101A"/>
        </w:rPr>
        <w:t xml:space="preserve">The financial assets are available at all class's important roles in the net worth. The identification of the financial asset is highly important so that the purpose of </w:t>
      </w:r>
      <w:proofErr w:type="spellStart"/>
      <w:r>
        <w:rPr>
          <w:color w:val="0E101A"/>
        </w:rPr>
        <w:t>utilisation</w:t>
      </w:r>
      <w:proofErr w:type="spellEnd"/>
      <w:r>
        <w:rPr>
          <w:color w:val="0E101A"/>
        </w:rPr>
        <w:t xml:space="preserve"> is determined which helps in systematic financial planning. Therefore, financial assets are tangible and can be converted quickly into cash that is owned by people (</w:t>
      </w:r>
      <w:proofErr w:type="spellStart"/>
      <w:r>
        <w:rPr>
          <w:color w:val="0E101A"/>
        </w:rPr>
        <w:t>Kliestik</w:t>
      </w:r>
      <w:proofErr w:type="spellEnd"/>
      <w:r>
        <w:rPr>
          <w:color w:val="0E101A"/>
        </w:rPr>
        <w:t> </w:t>
      </w:r>
      <w:r>
        <w:rPr>
          <w:rStyle w:val="Emphasis"/>
          <w:color w:val="0E101A"/>
        </w:rPr>
        <w:t>et al.,</w:t>
      </w:r>
      <w:r>
        <w:rPr>
          <w:color w:val="0E101A"/>
        </w:rPr>
        <w:t xml:space="preserve"> 2020). The tangible assets can also be a piece of paper that can be traded for cash. In order to improve protections for customers and promote transparency in the financial sector, the Dodd-Frank Wall Street Reform and Consumer Protection Act was passed in the US in 2010 which </w:t>
      </w:r>
      <w:proofErr w:type="spellStart"/>
      <w:r>
        <w:rPr>
          <w:color w:val="0E101A"/>
        </w:rPr>
        <w:t>stabilised</w:t>
      </w:r>
      <w:proofErr w:type="spellEnd"/>
      <w:r>
        <w:rPr>
          <w:color w:val="0E101A"/>
        </w:rPr>
        <w:t xml:space="preserve"> the market to a great extent. The subsequent economic growth that is achieved after the measures also helped to </w:t>
      </w:r>
      <w:proofErr w:type="spellStart"/>
      <w:r>
        <w:rPr>
          <w:color w:val="0E101A"/>
        </w:rPr>
        <w:t>stabilise</w:t>
      </w:r>
      <w:proofErr w:type="spellEnd"/>
      <w:r>
        <w:rPr>
          <w:color w:val="0E101A"/>
        </w:rPr>
        <w:t xml:space="preserve"> the market to a great extent. The banks were pushed to hold more assets against the risks that they were taking in the market (</w:t>
      </w:r>
      <w:proofErr w:type="spellStart"/>
      <w:r>
        <w:rPr>
          <w:color w:val="0E101A"/>
        </w:rPr>
        <w:t>Ansca</w:t>
      </w:r>
      <w:proofErr w:type="spellEnd"/>
      <w:r>
        <w:rPr>
          <w:color w:val="0E101A"/>
        </w:rPr>
        <w:t> </w:t>
      </w:r>
      <w:r>
        <w:rPr>
          <w:rStyle w:val="Emphasis"/>
          <w:color w:val="0E101A"/>
        </w:rPr>
        <w:t>et al.,</w:t>
      </w:r>
      <w:r>
        <w:rPr>
          <w:color w:val="0E101A"/>
        </w:rPr>
        <w:t> 2019). </w:t>
      </w:r>
    </w:p>
    <w:p w14:paraId="2857D7C3" w14:textId="77777777" w:rsidR="0054280F" w:rsidRDefault="0054280F" w:rsidP="00207BAE">
      <w:pPr>
        <w:pStyle w:val="NormalWeb"/>
        <w:spacing w:before="0" w:beforeAutospacing="0" w:after="0" w:afterAutospacing="0" w:line="360" w:lineRule="auto"/>
        <w:jc w:val="both"/>
        <w:rPr>
          <w:color w:val="0E101A"/>
        </w:rPr>
      </w:pPr>
      <w:r>
        <w:rPr>
          <w:color w:val="0E101A"/>
        </w:rPr>
        <w:t xml:space="preserve">Proprietary trading activities were banned from the investment banks' activities and it </w:t>
      </w:r>
      <w:proofErr w:type="spellStart"/>
      <w:r>
        <w:rPr>
          <w:color w:val="0E101A"/>
        </w:rPr>
        <w:t>focussed</w:t>
      </w:r>
      <w:proofErr w:type="spellEnd"/>
      <w:r>
        <w:rPr>
          <w:color w:val="0E101A"/>
        </w:rPr>
        <w:t xml:space="preserve"> more on giving services to the trades of the clients. The reforms also led to the merger of several financially stressed banks and financial institutions with their stronger counterparts (Vlachos </w:t>
      </w:r>
      <w:r>
        <w:rPr>
          <w:rStyle w:val="Emphasis"/>
          <w:color w:val="0E101A"/>
        </w:rPr>
        <w:t>et al.,</w:t>
      </w:r>
      <w:r>
        <w:rPr>
          <w:color w:val="0E101A"/>
        </w:rPr>
        <w:t xml:space="preserve"> 2019). Keynesian Fiscal stimulation was adopted by all the governments which boosted the economy through measures such as tax cuts and increased government spending. Macro and Micro prudential policies were also introduced by the authorities for assessing systematic risks which </w:t>
      </w:r>
      <w:proofErr w:type="spellStart"/>
      <w:r>
        <w:rPr>
          <w:color w:val="0E101A"/>
        </w:rPr>
        <w:t>stabilised</w:t>
      </w:r>
      <w:proofErr w:type="spellEnd"/>
      <w:r>
        <w:rPr>
          <w:color w:val="0E101A"/>
        </w:rPr>
        <w:t xml:space="preserve"> the market further. The economic recession of 2008 had adverse effects on different parts of the world, which is why an effective and powerful supervision team was created by the governments of different nations. An effective supervision team helped governments to </w:t>
      </w:r>
      <w:proofErr w:type="spellStart"/>
      <w:r>
        <w:rPr>
          <w:color w:val="0E101A"/>
        </w:rPr>
        <w:t>analyse</w:t>
      </w:r>
      <w:proofErr w:type="spellEnd"/>
      <w:r>
        <w:rPr>
          <w:color w:val="0E101A"/>
        </w:rPr>
        <w:t xml:space="preserve"> the various factors which are hindering economic stability and helped the governments to find a better way to deal with </w:t>
      </w:r>
      <w:proofErr w:type="spellStart"/>
      <w:r>
        <w:rPr>
          <w:color w:val="0E101A"/>
        </w:rPr>
        <w:t>destabilised</w:t>
      </w:r>
      <w:proofErr w:type="spellEnd"/>
      <w:r>
        <w:rPr>
          <w:color w:val="0E101A"/>
        </w:rPr>
        <w:t xml:space="preserve"> economic conditions (</w:t>
      </w:r>
      <w:proofErr w:type="spellStart"/>
      <w:r>
        <w:rPr>
          <w:color w:val="0E101A"/>
        </w:rPr>
        <w:t>Benos</w:t>
      </w:r>
      <w:proofErr w:type="spellEnd"/>
      <w:r>
        <w:rPr>
          <w:color w:val="0E101A"/>
        </w:rPr>
        <w:t> </w:t>
      </w:r>
      <w:r>
        <w:rPr>
          <w:rStyle w:val="Emphasis"/>
          <w:color w:val="0E101A"/>
        </w:rPr>
        <w:t>et al.,</w:t>
      </w:r>
      <w:r>
        <w:rPr>
          <w:color w:val="0E101A"/>
        </w:rPr>
        <w:t xml:space="preserve"> 2020). The governments also decided to deploy an LEI system or Legal Entity Identifier which helped the nation to figure out various objectives which could help to </w:t>
      </w:r>
      <w:proofErr w:type="spellStart"/>
      <w:r>
        <w:rPr>
          <w:color w:val="0E101A"/>
        </w:rPr>
        <w:t>stabilise</w:t>
      </w:r>
      <w:proofErr w:type="spellEnd"/>
      <w:r>
        <w:rPr>
          <w:color w:val="0E101A"/>
        </w:rPr>
        <w:t xml:space="preserve"> the economic crisis. </w:t>
      </w:r>
    </w:p>
    <w:p w14:paraId="4CFD2117" w14:textId="555EEBD5" w:rsidR="0054280F" w:rsidRDefault="0054280F" w:rsidP="00207BAE">
      <w:pPr>
        <w:pStyle w:val="NormalWeb"/>
        <w:spacing w:before="0" w:beforeAutospacing="0" w:after="0" w:afterAutospacing="0" w:line="360" w:lineRule="auto"/>
        <w:jc w:val="both"/>
        <w:rPr>
          <w:color w:val="0E101A"/>
        </w:rPr>
      </w:pPr>
      <w:r>
        <w:rPr>
          <w:color w:val="0E101A"/>
        </w:rPr>
        <w:t xml:space="preserve">The LEI system also helped the nations to assess macro-prudential and micro risks which can be resolved by the effective resolutions provided by the system. The LEI system also helped various firms to </w:t>
      </w:r>
      <w:proofErr w:type="spellStart"/>
      <w:r>
        <w:rPr>
          <w:color w:val="0E101A"/>
        </w:rPr>
        <w:t>analyse</w:t>
      </w:r>
      <w:proofErr w:type="spellEnd"/>
      <w:r>
        <w:rPr>
          <w:color w:val="0E101A"/>
        </w:rPr>
        <w:t xml:space="preserve"> their risk management plans and helped them to improve them by providing effective resolutions (</w:t>
      </w:r>
      <w:proofErr w:type="spellStart"/>
      <w:r>
        <w:rPr>
          <w:color w:val="0E101A"/>
        </w:rPr>
        <w:t>Leledakis</w:t>
      </w:r>
      <w:proofErr w:type="spellEnd"/>
      <w:r>
        <w:rPr>
          <w:color w:val="0E101A"/>
        </w:rPr>
        <w:t xml:space="preserve"> and </w:t>
      </w:r>
      <w:proofErr w:type="spellStart"/>
      <w:r>
        <w:rPr>
          <w:color w:val="0E101A"/>
        </w:rPr>
        <w:t>Pyrgiotakis</w:t>
      </w:r>
      <w:proofErr w:type="spellEnd"/>
      <w:r>
        <w:rPr>
          <w:color w:val="0E101A"/>
        </w:rPr>
        <w:t xml:space="preserve">, 2022). The banking sectors took help from various reforms such as the Dodd-Frank Wall Street Act which enabled the federal reserve to closely watch large banks, insurance agencies, and large financial institutions. It helped the banks to have a detailed observation of the daily activities happening in the financial institutions (Lund, 2018). The consumer protection Act was another important reform </w:t>
      </w:r>
      <w:r w:rsidR="00854A6F">
        <w:rPr>
          <w:color w:val="0E101A"/>
        </w:rPr>
        <w:t>that</w:t>
      </w:r>
      <w:r>
        <w:rPr>
          <w:color w:val="0E101A"/>
        </w:rPr>
        <w:t xml:space="preserve"> helped to </w:t>
      </w:r>
      <w:proofErr w:type="spellStart"/>
      <w:r>
        <w:rPr>
          <w:color w:val="0E101A"/>
        </w:rPr>
        <w:t>stabilise</w:t>
      </w:r>
      <w:proofErr w:type="spellEnd"/>
      <w:r>
        <w:rPr>
          <w:color w:val="0E101A"/>
        </w:rPr>
        <w:t xml:space="preserve"> the banking sector since it also helped the banks to observe their daily procedures and make them accurate. </w:t>
      </w:r>
    </w:p>
    <w:p w14:paraId="25EB539D" w14:textId="77777777" w:rsidR="0054280F" w:rsidRDefault="0054280F" w:rsidP="00207BAE">
      <w:pPr>
        <w:pStyle w:val="NormalWeb"/>
        <w:spacing w:before="0" w:beforeAutospacing="0" w:after="0" w:afterAutospacing="0" w:line="360" w:lineRule="auto"/>
        <w:jc w:val="both"/>
        <w:rPr>
          <w:color w:val="0E101A"/>
        </w:rPr>
      </w:pPr>
      <w:r>
        <w:rPr>
          <w:color w:val="0E101A"/>
        </w:rPr>
        <w:t xml:space="preserve">The consumer protection Act also helped to </w:t>
      </w:r>
      <w:proofErr w:type="spellStart"/>
      <w:r>
        <w:rPr>
          <w:color w:val="0E101A"/>
        </w:rPr>
        <w:t>analyse</w:t>
      </w:r>
      <w:proofErr w:type="spellEnd"/>
      <w:r>
        <w:rPr>
          <w:color w:val="0E101A"/>
        </w:rPr>
        <w:t xml:space="preserve"> the upcoming risks so that consumers can be protected by regulating their procedures properly. The emergency economic </w:t>
      </w:r>
      <w:proofErr w:type="spellStart"/>
      <w:r>
        <w:rPr>
          <w:color w:val="0E101A"/>
        </w:rPr>
        <w:t>stabilisation</w:t>
      </w:r>
      <w:proofErr w:type="spellEnd"/>
      <w:r>
        <w:rPr>
          <w:color w:val="0E101A"/>
        </w:rPr>
        <w:t xml:space="preserve"> act also played an important role in </w:t>
      </w:r>
      <w:proofErr w:type="spellStart"/>
      <w:r>
        <w:rPr>
          <w:color w:val="0E101A"/>
        </w:rPr>
        <w:t>stabilising</w:t>
      </w:r>
      <w:proofErr w:type="spellEnd"/>
      <w:r>
        <w:rPr>
          <w:color w:val="0E101A"/>
        </w:rPr>
        <w:t xml:space="preserve"> the banking sectors throughout the world since it helped the major banks to </w:t>
      </w:r>
      <w:proofErr w:type="spellStart"/>
      <w:r>
        <w:rPr>
          <w:color w:val="0E101A"/>
        </w:rPr>
        <w:t>analyse</w:t>
      </w:r>
      <w:proofErr w:type="spellEnd"/>
      <w:r>
        <w:rPr>
          <w:color w:val="0E101A"/>
        </w:rPr>
        <w:t xml:space="preserve"> weak points and provided resolutions to deal with them </w:t>
      </w:r>
      <w:r w:rsidR="00C76A74">
        <w:rPr>
          <w:color w:val="0E101A"/>
        </w:rPr>
        <w:t>effectively</w:t>
      </w:r>
      <w:r>
        <w:rPr>
          <w:color w:val="0E101A"/>
        </w:rPr>
        <w:t xml:space="preserve"> (</w:t>
      </w:r>
      <w:proofErr w:type="spellStart"/>
      <w:r>
        <w:rPr>
          <w:color w:val="0E101A"/>
        </w:rPr>
        <w:t>obamawhitehouse</w:t>
      </w:r>
      <w:proofErr w:type="spellEnd"/>
      <w:r>
        <w:rPr>
          <w:color w:val="0E101A"/>
        </w:rPr>
        <w:t xml:space="preserve">, 2019). The emergency economic </w:t>
      </w:r>
      <w:proofErr w:type="spellStart"/>
      <w:r>
        <w:rPr>
          <w:color w:val="0E101A"/>
        </w:rPr>
        <w:t>stabilisation</w:t>
      </w:r>
      <w:proofErr w:type="spellEnd"/>
      <w:r>
        <w:rPr>
          <w:color w:val="0E101A"/>
        </w:rPr>
        <w:t xml:space="preserve"> act also helped the banks to deal with </w:t>
      </w:r>
      <w:r w:rsidR="00C76A74">
        <w:rPr>
          <w:color w:val="0E101A"/>
        </w:rPr>
        <w:t>crises</w:t>
      </w:r>
      <w:r>
        <w:rPr>
          <w:color w:val="0E101A"/>
        </w:rPr>
        <w:t xml:space="preserve"> in a much more efficient way. </w:t>
      </w:r>
    </w:p>
    <w:p w14:paraId="4FF362DC" w14:textId="03CF3D98" w:rsidR="0054280F" w:rsidRDefault="0054280F" w:rsidP="00207BAE">
      <w:pPr>
        <w:pStyle w:val="NormalWeb"/>
        <w:spacing w:before="0" w:beforeAutospacing="0" w:after="0" w:afterAutospacing="0" w:line="360" w:lineRule="auto"/>
        <w:jc w:val="both"/>
        <w:rPr>
          <w:color w:val="0E101A"/>
        </w:rPr>
      </w:pPr>
      <w:r>
        <w:rPr>
          <w:color w:val="0E101A"/>
        </w:rPr>
        <w:t xml:space="preserve">When the banking sectors took help from the various reforms which were implied to help the banking sector get </w:t>
      </w:r>
      <w:proofErr w:type="spellStart"/>
      <w:r>
        <w:rPr>
          <w:color w:val="0E101A"/>
        </w:rPr>
        <w:t>stabilised</w:t>
      </w:r>
      <w:proofErr w:type="spellEnd"/>
      <w:r>
        <w:rPr>
          <w:color w:val="0E101A"/>
        </w:rPr>
        <w:t>, Volcker</w:t>
      </w:r>
      <w:r w:rsidR="00AF6505">
        <w:rPr>
          <w:color w:val="0E101A"/>
        </w:rPr>
        <w:t>’s</w:t>
      </w:r>
      <w:r>
        <w:rPr>
          <w:color w:val="0E101A"/>
        </w:rPr>
        <w:t xml:space="preserve"> rule played a huge role in its </w:t>
      </w:r>
      <w:proofErr w:type="spellStart"/>
      <w:r>
        <w:rPr>
          <w:color w:val="0E101A"/>
        </w:rPr>
        <w:t>stabilisation</w:t>
      </w:r>
      <w:proofErr w:type="spellEnd"/>
      <w:r>
        <w:rPr>
          <w:color w:val="0E101A"/>
        </w:rPr>
        <w:t>. Speculative investments have the potential to draw a lot of unwanted risk upon a major banking institution, which is why Volcker</w:t>
      </w:r>
      <w:r w:rsidR="00A420D8">
        <w:rPr>
          <w:color w:val="0E101A"/>
        </w:rPr>
        <w:t>’s</w:t>
      </w:r>
      <w:r>
        <w:rPr>
          <w:color w:val="0E101A"/>
        </w:rPr>
        <w:t xml:space="preserve"> rule worked on limiting investments </w:t>
      </w:r>
      <w:r w:rsidR="00C76A74">
        <w:rPr>
          <w:color w:val="0E101A"/>
        </w:rPr>
        <w:t>that</w:t>
      </w:r>
      <w:r>
        <w:rPr>
          <w:color w:val="0E101A"/>
        </w:rPr>
        <w:t xml:space="preserve"> required speculations, ultimately decreasing the risk factors (Merle, 2018). Volcker</w:t>
      </w:r>
      <w:r w:rsidR="00A420D8">
        <w:rPr>
          <w:color w:val="0E101A"/>
        </w:rPr>
        <w:t>’s</w:t>
      </w:r>
      <w:r>
        <w:rPr>
          <w:color w:val="0E101A"/>
        </w:rPr>
        <w:t xml:space="preserve"> rule also limited the proprietary trading by institutions that were depository by enacting a ban called de facto. The troubled asset relief program helped major banking institutions to restore their economic growth. TARP used to achieve its objectives by buying the endangered financial institution's stocks and assets backed by mortgages (Weinberg, 2023). </w:t>
      </w:r>
    </w:p>
    <w:p w14:paraId="47246DEF" w14:textId="77777777" w:rsidR="001022B7" w:rsidRPr="001776FA" w:rsidRDefault="00AE4986" w:rsidP="0054280F">
      <w:pPr>
        <w:spacing w:after="120" w:line="360" w:lineRule="auto"/>
        <w:jc w:val="both"/>
        <w:rPr>
          <w:rFonts w:ascii="Times New Roman" w:eastAsia="Times New Roman" w:hAnsi="Times New Roman" w:cs="Times New Roman"/>
          <w:b/>
          <w:color w:val="000000" w:themeColor="text1"/>
          <w:sz w:val="24"/>
          <w:szCs w:val="24"/>
        </w:rPr>
      </w:pPr>
      <w:r w:rsidRPr="001776FA">
        <w:rPr>
          <w:rFonts w:ascii="Times New Roman" w:eastAsia="Times New Roman" w:hAnsi="Times New Roman" w:cs="Times New Roman"/>
          <w:b/>
          <w:color w:val="000000" w:themeColor="text1"/>
          <w:sz w:val="24"/>
          <w:szCs w:val="24"/>
        </w:rPr>
        <w:t xml:space="preserve">Issues faced by banking management in the </w:t>
      </w:r>
      <w:r w:rsidR="0054280F">
        <w:rPr>
          <w:rFonts w:ascii="Times New Roman" w:eastAsia="Times New Roman" w:hAnsi="Times New Roman" w:cs="Times New Roman"/>
          <w:b/>
          <w:color w:val="000000" w:themeColor="text1"/>
          <w:sz w:val="24"/>
          <w:szCs w:val="24"/>
        </w:rPr>
        <w:t>post-2008</w:t>
      </w:r>
      <w:r w:rsidRPr="001776FA">
        <w:rPr>
          <w:rFonts w:ascii="Times New Roman" w:eastAsia="Times New Roman" w:hAnsi="Times New Roman" w:cs="Times New Roman"/>
          <w:b/>
          <w:color w:val="000000" w:themeColor="text1"/>
          <w:sz w:val="24"/>
          <w:szCs w:val="24"/>
        </w:rPr>
        <w:t xml:space="preserve"> crisis </w:t>
      </w:r>
    </w:p>
    <w:p w14:paraId="5B9A45C3" w14:textId="77777777" w:rsidR="001022B7" w:rsidRPr="001776FA" w:rsidRDefault="00AE4986" w:rsidP="0054280F">
      <w:pPr>
        <w:spacing w:after="12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The value of the tangential financial asset can fluctuate according to the market value. In t</w:t>
      </w:r>
      <w:r w:rsidRPr="001776FA">
        <w:rPr>
          <w:rFonts w:ascii="Times New Roman" w:eastAsia="Times New Roman" w:hAnsi="Times New Roman" w:cs="Times New Roman"/>
          <w:color w:val="000000" w:themeColor="text1"/>
          <w:sz w:val="24"/>
          <w:szCs w:val="24"/>
        </w:rPr>
        <w:t>his case, it is seen that when the supply is high and the demand is low the prices of the asset reduce whereas when the demand is high compared to that of supply the prices of the asset decrease instantly. Financial assets can also be precious metals or th</w:t>
      </w:r>
      <w:r w:rsidRPr="001776FA">
        <w:rPr>
          <w:rFonts w:ascii="Times New Roman" w:eastAsia="Times New Roman" w:hAnsi="Times New Roman" w:cs="Times New Roman"/>
          <w:color w:val="000000" w:themeColor="text1"/>
          <w:sz w:val="24"/>
          <w:szCs w:val="24"/>
        </w:rPr>
        <w:t xml:space="preserve">ings like property. Intangible assets on the other way can be trademarks </w:t>
      </w:r>
      <w:r w:rsidR="001776FA">
        <w:rPr>
          <w:rFonts w:ascii="Times New Roman" w:eastAsia="Times New Roman" w:hAnsi="Times New Roman" w:cs="Times New Roman"/>
          <w:color w:val="000000" w:themeColor="text1"/>
          <w:sz w:val="24"/>
          <w:szCs w:val="24"/>
        </w:rPr>
        <w:t>that</w:t>
      </w:r>
      <w:r w:rsidRPr="001776FA">
        <w:rPr>
          <w:rFonts w:ascii="Times New Roman" w:eastAsia="Times New Roman" w:hAnsi="Times New Roman" w:cs="Times New Roman"/>
          <w:color w:val="000000" w:themeColor="text1"/>
          <w:sz w:val="24"/>
          <w:szCs w:val="24"/>
        </w:rPr>
        <w:t xml:space="preserve"> are valuable but can't be physically dealt with. The combination of tangible and intangible assets is both certified values of financial assets that are owned by people (Park and</w:t>
      </w:r>
      <w:r w:rsidRPr="001776FA">
        <w:rPr>
          <w:rFonts w:ascii="Times New Roman" w:eastAsia="Times New Roman" w:hAnsi="Times New Roman" w:cs="Times New Roman"/>
          <w:color w:val="000000" w:themeColor="text1"/>
          <w:sz w:val="24"/>
          <w:szCs w:val="24"/>
        </w:rPr>
        <w:t xml:space="preserve"> Kim, 2020). </w:t>
      </w:r>
    </w:p>
    <w:p w14:paraId="48731ECF" w14:textId="77777777" w:rsidR="001022B7" w:rsidRPr="001776FA" w:rsidRDefault="00AE4986" w:rsidP="0054280F">
      <w:pPr>
        <w:spacing w:after="12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Some of the liquid assets can gain interest by increasing the net value of the asset which is a powerful benefit of owning financial assets. The governments of various nations also decided to decrease their reliance on credit ratings, so that</w:t>
      </w:r>
      <w:r w:rsidRPr="001776FA">
        <w:rPr>
          <w:rFonts w:ascii="Times New Roman" w:eastAsia="Times New Roman" w:hAnsi="Times New Roman" w:cs="Times New Roman"/>
          <w:color w:val="000000" w:themeColor="text1"/>
          <w:sz w:val="24"/>
          <w:szCs w:val="24"/>
        </w:rPr>
        <w:t xml:space="preserve"> the cliff effects can be avoided along with avoiding systemic disruption. These reforms helped the governments to improve their financial sector significantly. A shift in culture affects management due to changes in work style. The inducements of digitali</w:t>
      </w:r>
      <w:r w:rsidRPr="001776FA">
        <w:rPr>
          <w:rFonts w:ascii="Times New Roman" w:eastAsia="Times New Roman" w:hAnsi="Times New Roman" w:cs="Times New Roman"/>
          <w:color w:val="000000" w:themeColor="text1"/>
          <w:sz w:val="24"/>
          <w:szCs w:val="24"/>
        </w:rPr>
        <w:t xml:space="preserve">sed technology through AI needs innovation to compete with challenges affecting drastically to raise instability (Liu, 2021). Regulatory compliance has been a common challenge. </w:t>
      </w:r>
    </w:p>
    <w:p w14:paraId="0371C44B" w14:textId="77777777" w:rsidR="001022B7" w:rsidRPr="001776FA" w:rsidRDefault="00AE4986" w:rsidP="0054280F">
      <w:pPr>
        <w:spacing w:after="120" w:line="360" w:lineRule="auto"/>
        <w:jc w:val="center"/>
        <w:rPr>
          <w:rFonts w:ascii="Times New Roman" w:eastAsia="Times New Roman" w:hAnsi="Times New Roman" w:cs="Times New Roman"/>
          <w:color w:val="000000" w:themeColor="text1"/>
          <w:sz w:val="24"/>
          <w:szCs w:val="24"/>
        </w:rPr>
      </w:pPr>
      <w:r w:rsidRPr="001776FA">
        <w:rPr>
          <w:rFonts w:ascii="Times New Roman" w:hAnsi="Times New Roman" w:cs="Times New Roman"/>
          <w:noProof/>
          <w:color w:val="000000" w:themeColor="text1"/>
          <w:sz w:val="24"/>
          <w:szCs w:val="24"/>
          <w:lang w:eastAsia="en-GB"/>
        </w:rPr>
        <w:drawing>
          <wp:inline distT="0" distB="0" distL="0" distR="0" wp14:anchorId="6659A132" wp14:editId="1789E2F1">
            <wp:extent cx="5731200" cy="4470400"/>
            <wp:effectExtent l="0" t="0" r="0" b="0"/>
            <wp:docPr id="1029" name="image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2" cstate="print"/>
                    <a:srcRect b="21794"/>
                    <a:stretch/>
                  </pic:blipFill>
                  <pic:spPr>
                    <a:xfrm>
                      <a:off x="0" y="0"/>
                      <a:ext cx="5731200" cy="4470400"/>
                    </a:xfrm>
                    <a:prstGeom prst="rect">
                      <a:avLst/>
                    </a:prstGeom>
                    <a:ln w="9525" cap="flat" cmpd="sng">
                      <a:solidFill>
                        <a:srgbClr val="000000"/>
                      </a:solidFill>
                      <a:prstDash val="solid"/>
                      <a:round/>
                      <a:headEnd/>
                      <a:tailEnd/>
                    </a:ln>
                  </pic:spPr>
                </pic:pic>
              </a:graphicData>
            </a:graphic>
          </wp:inline>
        </w:drawing>
      </w:r>
    </w:p>
    <w:p w14:paraId="3E842399" w14:textId="3B6B1AE6" w:rsidR="001022B7" w:rsidRPr="001776FA" w:rsidRDefault="00AE4986" w:rsidP="0054280F">
      <w:pPr>
        <w:spacing w:after="120" w:line="360" w:lineRule="auto"/>
        <w:jc w:val="center"/>
        <w:rPr>
          <w:rFonts w:ascii="Times New Roman" w:eastAsia="Times New Roman" w:hAnsi="Times New Roman" w:cs="Times New Roman"/>
          <w:b/>
          <w:color w:val="000000" w:themeColor="text1"/>
          <w:sz w:val="24"/>
          <w:szCs w:val="24"/>
        </w:rPr>
      </w:pPr>
      <w:r w:rsidRPr="001776FA">
        <w:rPr>
          <w:rFonts w:ascii="Times New Roman" w:eastAsia="Times New Roman" w:hAnsi="Times New Roman" w:cs="Times New Roman"/>
          <w:b/>
          <w:color w:val="000000" w:themeColor="text1"/>
          <w:sz w:val="24"/>
          <w:szCs w:val="24"/>
        </w:rPr>
        <w:t xml:space="preserve">Figure </w:t>
      </w:r>
      <w:r w:rsidR="00854A6F">
        <w:rPr>
          <w:rFonts w:ascii="Times New Roman" w:eastAsia="Times New Roman" w:hAnsi="Times New Roman" w:cs="Times New Roman"/>
          <w:b/>
          <w:color w:val="000000" w:themeColor="text1"/>
          <w:sz w:val="24"/>
          <w:szCs w:val="24"/>
        </w:rPr>
        <w:t>5</w:t>
      </w:r>
      <w:r w:rsidRPr="001776FA">
        <w:rPr>
          <w:rFonts w:ascii="Times New Roman" w:eastAsia="Times New Roman" w:hAnsi="Times New Roman" w:cs="Times New Roman"/>
          <w:b/>
          <w:color w:val="000000" w:themeColor="text1"/>
          <w:sz w:val="24"/>
          <w:szCs w:val="24"/>
        </w:rPr>
        <w:t>: SVB and signature failures Evoke memories of 2008</w:t>
      </w:r>
    </w:p>
    <w:p w14:paraId="6E5680D1" w14:textId="77777777" w:rsidR="001022B7" w:rsidRPr="001776FA" w:rsidRDefault="00AE4986" w:rsidP="0054280F">
      <w:pPr>
        <w:spacing w:after="120" w:line="360" w:lineRule="auto"/>
        <w:jc w:val="center"/>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b/>
          <w:color w:val="000000" w:themeColor="text1"/>
          <w:sz w:val="24"/>
          <w:szCs w:val="24"/>
        </w:rPr>
        <w:t xml:space="preserve">Source: </w:t>
      </w:r>
      <w:r w:rsidRPr="001776FA">
        <w:rPr>
          <w:rFonts w:ascii="Times New Roman" w:eastAsia="Times New Roman" w:hAnsi="Times New Roman" w:cs="Times New Roman"/>
          <w:color w:val="000000" w:themeColor="text1"/>
          <w:sz w:val="24"/>
          <w:szCs w:val="24"/>
        </w:rPr>
        <w:t xml:space="preserve">(Armstrong and Richter, 2023) </w:t>
      </w:r>
    </w:p>
    <w:p w14:paraId="0798C2C6" w14:textId="77777777" w:rsidR="0054280F" w:rsidRDefault="0054280F" w:rsidP="00207BAE">
      <w:pPr>
        <w:pStyle w:val="NormalWeb"/>
        <w:spacing w:before="0" w:beforeAutospacing="0" w:after="0" w:afterAutospacing="0" w:line="360" w:lineRule="auto"/>
        <w:jc w:val="both"/>
        <w:rPr>
          <w:color w:val="0E101A"/>
        </w:rPr>
      </w:pPr>
      <w:r>
        <w:rPr>
          <w:color w:val="0E101A"/>
        </w:rPr>
        <w:t>Changes in banking regulation have also been problematic for the business. Lack of proportional enhancement and risk mitigation. The changing business models are a result of costs associated with compliance management which are affecting the financial institutions to change their way of committing businesses resulting in decreased proprietary trading. Customers are usually swayed by recommended evaluations that highlight the company's prominent online visibility on numerous social media outlets. There are key viewpoints affecting behavior among customers, such as increasing understanding of products. Ratings of credit have a considerable impact on equity returns. As a consequence of bad credit ratings, various financial issues have been found. It has been discovered that most business facilities are plagued by credit ratings, which also influence the complete business process. </w:t>
      </w:r>
    </w:p>
    <w:p w14:paraId="0A74C853" w14:textId="77777777" w:rsidR="0054280F" w:rsidRDefault="0054280F" w:rsidP="00207BAE">
      <w:pPr>
        <w:pStyle w:val="NormalWeb"/>
        <w:spacing w:before="0" w:beforeAutospacing="0" w:after="0" w:afterAutospacing="0" w:line="360" w:lineRule="auto"/>
        <w:jc w:val="both"/>
        <w:rPr>
          <w:color w:val="0E101A"/>
        </w:rPr>
      </w:pPr>
      <w:r>
        <w:rPr>
          <w:color w:val="0E101A"/>
        </w:rPr>
        <w:t>Furthermore, credit ratings hurt the stability and growth rate of company establishments. Credit ratings are a source of income for the banking sector that is related to lenders for completing or starting a business. It is vital to notice that if the credit ratings change, commerce with the collaborating enterprises fails. Changes in credit ratings have an impact on the banking sector's high criteria for non-performing loans owed to borrowers. The link between credit score and statistic ownership shows debtors' ability to repay loans on schedule.</w:t>
      </w:r>
    </w:p>
    <w:p w14:paraId="3D35D9F1" w14:textId="77777777" w:rsidR="0054280F" w:rsidRDefault="0054280F" w:rsidP="00207BAE">
      <w:pPr>
        <w:pStyle w:val="NormalWeb"/>
        <w:spacing w:before="0" w:beforeAutospacing="0" w:after="0" w:afterAutospacing="0" w:line="360" w:lineRule="auto"/>
        <w:jc w:val="both"/>
        <w:rPr>
          <w:color w:val="0E101A"/>
        </w:rPr>
      </w:pPr>
      <w:r>
        <w:rPr>
          <w:color w:val="0E101A"/>
        </w:rPr>
        <w:t>When consumers experience numerous problems, the initial step is to begin looking for answers. It has also been found that customers feel unsure about the possibility of selecting a certain product from among so many. Because customers tend to imitate the conduct of individuals who affect them, social evidence additionally serves as a valuable tool for making purchasing decisions. Customers who are pleased with your products and services are more likely to promote them to others. This is mostly accomplished by making the article more transparent via vlogs, life-changing videos, and other means. This inspires buyers to choose the product based on the opinions of others. As a result, the banking institution takes steps to underline that they are satisfied clients by sharing photographs, feedback, and footage, as case reports, which will assist them get more trust and strengthen the brand name. As a result, the power of online proof cannot be ignored, as these online communities are together mingled among the public all over the world. </w:t>
      </w:r>
    </w:p>
    <w:p w14:paraId="55F6B875" w14:textId="77777777" w:rsidR="0054280F" w:rsidRDefault="0054280F" w:rsidP="00207BAE">
      <w:pPr>
        <w:pStyle w:val="NormalWeb"/>
        <w:spacing w:before="0" w:beforeAutospacing="0" w:after="0" w:afterAutospacing="0" w:line="360" w:lineRule="auto"/>
        <w:jc w:val="both"/>
        <w:rPr>
          <w:color w:val="0E101A"/>
        </w:rPr>
      </w:pPr>
      <w:r>
        <w:rPr>
          <w:color w:val="0E101A"/>
        </w:rPr>
        <w:t xml:space="preserve">Thus, consumers and sellers are working together to improve output and stable financial circumstances of banking industries all around the world by </w:t>
      </w:r>
      <w:proofErr w:type="spellStart"/>
      <w:r>
        <w:rPr>
          <w:color w:val="0E101A"/>
        </w:rPr>
        <w:t>utilising</w:t>
      </w:r>
      <w:proofErr w:type="spellEnd"/>
      <w:r>
        <w:rPr>
          <w:color w:val="0E101A"/>
        </w:rPr>
        <w:t xml:space="preserve"> the essence of social media proof. The regulation of credit and cash flow are important because firms and banks cannot pay invoices or make expenditures without regulating the flow of cash. In order to bring new items to market and hire new personnel, investment needs to be made. Furthermore, it is vital to remember that in credit comes back, the creditor must confirm sure the creditors can refund the acquired amount. It deals with the method of managing and overseeing receivables accounts in a corporation. Purchasers' obligations have still not been paid. It is watched extremely closely with the support of credit management, and all delinquent payments serve to improve the firm. Companies must come up with defined procedures to govern the system of credits. </w:t>
      </w:r>
    </w:p>
    <w:p w14:paraId="750F4C66" w14:textId="77777777" w:rsidR="0054280F" w:rsidRPr="006901DF" w:rsidRDefault="0054280F" w:rsidP="006901DF">
      <w:pPr>
        <w:spacing w:after="240" w:line="360" w:lineRule="auto"/>
        <w:jc w:val="both"/>
        <w:rPr>
          <w:rFonts w:ascii="Times New Roman" w:hAnsi="Times New Roman" w:cs="Times New Roman"/>
          <w:b/>
          <w:sz w:val="24"/>
          <w:szCs w:val="24"/>
        </w:rPr>
      </w:pPr>
      <w:r w:rsidRPr="006901DF">
        <w:rPr>
          <w:rFonts w:ascii="Times New Roman" w:hAnsi="Times New Roman" w:cs="Times New Roman"/>
          <w:sz w:val="24"/>
          <w:szCs w:val="24"/>
        </w:rPr>
        <w:t>Credit supervision and leadership are important for commercial operations since they aid in the construction of an accurate timeline. This helps to ensure reimbursements and delays, as well as to avoid unnecessary delays. Ensuring the quickness of paying bills by reminding customers aids in the preparation of a proper timetable when orders are fulfilled. During an economic recession, banks must submit multiple invoices for debt payments. It is important to remember that that is quite beneficial for banks to forward the debt to a reliable accurate professional commercial loan collection agency so that the debts may be recovered from these individuals who have taken the financial obligations.</w:t>
      </w:r>
    </w:p>
    <w:p w14:paraId="66F2D479" w14:textId="77777777" w:rsidR="001022B7" w:rsidRPr="001776FA" w:rsidRDefault="00AE4986" w:rsidP="0054280F">
      <w:pPr>
        <w:pStyle w:val="Heading1"/>
        <w:rPr>
          <w:rFonts w:cs="Times New Roman"/>
          <w:b w:val="0"/>
          <w:color w:val="000000" w:themeColor="text1"/>
          <w:sz w:val="24"/>
          <w:szCs w:val="24"/>
        </w:rPr>
      </w:pPr>
      <w:bookmarkStart w:id="9" w:name="_Toc133877513"/>
      <w:r w:rsidRPr="001776FA">
        <w:rPr>
          <w:rFonts w:cs="Times New Roman"/>
          <w:color w:val="000000" w:themeColor="text1"/>
          <w:sz w:val="24"/>
          <w:szCs w:val="24"/>
        </w:rPr>
        <w:t>Impact of the crisis on the business operation of AIG</w:t>
      </w:r>
      <w:bookmarkEnd w:id="9"/>
      <w:r w:rsidRPr="001776FA">
        <w:rPr>
          <w:rFonts w:cs="Times New Roman"/>
          <w:color w:val="000000" w:themeColor="text1"/>
          <w:sz w:val="24"/>
          <w:szCs w:val="24"/>
        </w:rPr>
        <w:t xml:space="preserve"> </w:t>
      </w:r>
    </w:p>
    <w:p w14:paraId="0CCE03B2" w14:textId="77777777" w:rsidR="001022B7" w:rsidRPr="00207BAE" w:rsidRDefault="00AE4986" w:rsidP="00207BAE">
      <w:pPr>
        <w:spacing w:after="120" w:line="360" w:lineRule="auto"/>
        <w:jc w:val="both"/>
        <w:rPr>
          <w:rFonts w:ascii="Times New Roman" w:eastAsia="Times New Roman" w:hAnsi="Times New Roman" w:cs="Times New Roman"/>
          <w:color w:val="000000" w:themeColor="text1"/>
          <w:sz w:val="24"/>
          <w:szCs w:val="24"/>
        </w:rPr>
      </w:pPr>
      <w:r w:rsidRPr="00207BAE">
        <w:rPr>
          <w:rFonts w:ascii="Times New Roman" w:eastAsia="Times New Roman" w:hAnsi="Times New Roman" w:cs="Times New Roman"/>
          <w:color w:val="000000" w:themeColor="text1"/>
          <w:sz w:val="24"/>
          <w:szCs w:val="24"/>
        </w:rPr>
        <w:t xml:space="preserve">AIG had the biggest fall after the crisis of 2008. Several restructuring initiatives were taken after the crisis. Stress was given to the asset </w:t>
      </w:r>
      <w:r w:rsidRPr="00207BAE">
        <w:rPr>
          <w:rFonts w:ascii="Times New Roman" w:eastAsia="Times New Roman" w:hAnsi="Times New Roman" w:cs="Times New Roman"/>
          <w:color w:val="000000" w:themeColor="text1"/>
          <w:sz w:val="24"/>
          <w:szCs w:val="24"/>
        </w:rPr>
        <w:t xml:space="preserve">quality of the mortgages before insuring a certain project. Better corporate governance was introduced in the business operations to control the restoration. AIG was one of the few USA-based financial organisations which were deemed too big to fail before </w:t>
      </w:r>
      <w:r w:rsidRPr="00207BAE">
        <w:rPr>
          <w:rFonts w:ascii="Times New Roman" w:eastAsia="Times New Roman" w:hAnsi="Times New Roman" w:cs="Times New Roman"/>
          <w:color w:val="000000" w:themeColor="text1"/>
          <w:sz w:val="24"/>
          <w:szCs w:val="24"/>
        </w:rPr>
        <w:t>the financial crisis. The US government had to take a stake in the company. The London sister concern of this company called AIG financial products was the centre of the source of the crisis. This division was responsible for selling insurance against inve</w:t>
      </w:r>
      <w:r w:rsidRPr="00207BAE">
        <w:rPr>
          <w:rFonts w:ascii="Times New Roman" w:eastAsia="Times New Roman" w:hAnsi="Times New Roman" w:cs="Times New Roman"/>
          <w:color w:val="000000" w:themeColor="text1"/>
          <w:sz w:val="24"/>
          <w:szCs w:val="24"/>
        </w:rPr>
        <w:t>stment losses including real estate. The rapid fall of real estate prices in the USA after the meltdown of the mortgage-backed securities in the US housing sector (</w:t>
      </w:r>
      <w:proofErr w:type="spellStart"/>
      <w:r w:rsidRPr="00207BAE">
        <w:rPr>
          <w:rFonts w:ascii="Times New Roman" w:eastAsia="Times New Roman" w:hAnsi="Times New Roman" w:cs="Times New Roman"/>
          <w:color w:val="000000" w:themeColor="text1"/>
          <w:sz w:val="24"/>
          <w:szCs w:val="24"/>
        </w:rPr>
        <w:t>Amadeo</w:t>
      </w:r>
      <w:proofErr w:type="spellEnd"/>
      <w:r w:rsidRPr="00207BAE">
        <w:rPr>
          <w:rFonts w:ascii="Times New Roman" w:eastAsia="Times New Roman" w:hAnsi="Times New Roman" w:cs="Times New Roman"/>
          <w:color w:val="000000" w:themeColor="text1"/>
          <w:sz w:val="24"/>
          <w:szCs w:val="24"/>
        </w:rPr>
        <w:t>, 2020). The rising number of borrowers in the real estate market defaulted on their l</w:t>
      </w:r>
      <w:r w:rsidRPr="00207BAE">
        <w:rPr>
          <w:rFonts w:ascii="Times New Roman" w:eastAsia="Times New Roman" w:hAnsi="Times New Roman" w:cs="Times New Roman"/>
          <w:color w:val="000000" w:themeColor="text1"/>
          <w:sz w:val="24"/>
          <w:szCs w:val="24"/>
        </w:rPr>
        <w:t xml:space="preserve">oans and created pressure on the business operations of AIG in a significant manner. </w:t>
      </w:r>
    </w:p>
    <w:p w14:paraId="5670800E" w14:textId="77777777" w:rsidR="001022B7" w:rsidRPr="001776FA" w:rsidRDefault="00AE4986" w:rsidP="0054280F">
      <w:pPr>
        <w:spacing w:after="12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AIG had an asset value of nearly $1 trillion before the crisis. It lost nearly $99 billion after the crisis. The crisis had put an end to the dealings with the securities</w:t>
      </w:r>
      <w:r w:rsidRPr="001776FA">
        <w:rPr>
          <w:rFonts w:ascii="Times New Roman" w:eastAsia="Times New Roman" w:hAnsi="Times New Roman" w:cs="Times New Roman"/>
          <w:color w:val="000000" w:themeColor="text1"/>
          <w:sz w:val="24"/>
          <w:szCs w:val="24"/>
        </w:rPr>
        <w:t xml:space="preserve"> of the banks which were backed by subprime Mortgages which was the main reason for the start of the 2008 financial crisis. Throughout many years, the internet marketplace continues to be quickly expanding, and the impact may be observed in other industrie</w:t>
      </w:r>
      <w:r w:rsidRPr="001776FA">
        <w:rPr>
          <w:rFonts w:ascii="Times New Roman" w:eastAsia="Times New Roman" w:hAnsi="Times New Roman" w:cs="Times New Roman"/>
          <w:color w:val="000000" w:themeColor="text1"/>
          <w:sz w:val="24"/>
          <w:szCs w:val="24"/>
        </w:rPr>
        <w:t xml:space="preserve">s. This study report demonstrates the impact of the internet-based market having on the traditional marketplace. The study's report has concluded the many pieces of data obtained via the various sorts of research obtained through the investigation and the </w:t>
      </w:r>
      <w:r w:rsidRPr="001776FA">
        <w:rPr>
          <w:rFonts w:ascii="Times New Roman" w:eastAsia="Times New Roman" w:hAnsi="Times New Roman" w:cs="Times New Roman"/>
          <w:color w:val="000000" w:themeColor="text1"/>
          <w:sz w:val="24"/>
          <w:szCs w:val="24"/>
        </w:rPr>
        <w:t xml:space="preserve">interviews conducted. The impact of the internet-based company on the traditional market is clear from knowing that many offline businesses closed in the </w:t>
      </w:r>
      <w:proofErr w:type="spellStart"/>
      <w:r w:rsidRPr="001776FA">
        <w:rPr>
          <w:rFonts w:ascii="Times New Roman" w:eastAsia="Times New Roman" w:hAnsi="Times New Roman" w:cs="Times New Roman"/>
          <w:color w:val="000000" w:themeColor="text1"/>
          <w:sz w:val="24"/>
          <w:szCs w:val="24"/>
        </w:rPr>
        <w:t>Covid</w:t>
      </w:r>
      <w:proofErr w:type="spellEnd"/>
      <w:r w:rsidRPr="001776FA">
        <w:rPr>
          <w:rFonts w:ascii="Times New Roman" w:eastAsia="Times New Roman" w:hAnsi="Times New Roman" w:cs="Times New Roman"/>
          <w:color w:val="000000" w:themeColor="text1"/>
          <w:sz w:val="24"/>
          <w:szCs w:val="24"/>
        </w:rPr>
        <w:t xml:space="preserve"> period due to the digital form of business. </w:t>
      </w:r>
    </w:p>
    <w:p w14:paraId="34ED825C" w14:textId="77777777" w:rsidR="001022B7" w:rsidRPr="001776FA" w:rsidRDefault="00AE4986" w:rsidP="0054280F">
      <w:pPr>
        <w:spacing w:after="12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Small firms in the banking industry provide signifi</w:t>
      </w:r>
      <w:r w:rsidRPr="001776FA">
        <w:rPr>
          <w:rFonts w:ascii="Times New Roman" w:eastAsia="Times New Roman" w:hAnsi="Times New Roman" w:cs="Times New Roman"/>
          <w:color w:val="000000" w:themeColor="text1"/>
          <w:sz w:val="24"/>
          <w:szCs w:val="24"/>
        </w:rPr>
        <w:t>cant contributions to local enterprises, which are the foundation of any economy. Small and medium-sized businesses are to blame for the many methods of producing employment that have an impact on the marketplace. Many people were unable to put money in th</w:t>
      </w:r>
      <w:r w:rsidRPr="001776FA">
        <w:rPr>
          <w:rFonts w:ascii="Times New Roman" w:eastAsia="Times New Roman" w:hAnsi="Times New Roman" w:cs="Times New Roman"/>
          <w:color w:val="000000" w:themeColor="text1"/>
          <w:sz w:val="24"/>
          <w:szCs w:val="24"/>
        </w:rPr>
        <w:t>eir locations owing to unstable causes, which is why the market's expansion in offline bankers has slowed. Small businesses were harmed as a result of the economic downturn of 2008. According to the findings of this study, the primary cause of such an issu</w:t>
      </w:r>
      <w:r w:rsidRPr="001776FA">
        <w:rPr>
          <w:rFonts w:ascii="Times New Roman" w:eastAsia="Times New Roman" w:hAnsi="Times New Roman" w:cs="Times New Roman"/>
          <w:color w:val="000000" w:themeColor="text1"/>
          <w:sz w:val="24"/>
          <w:szCs w:val="24"/>
        </w:rPr>
        <w:t xml:space="preserve">e can be linked to the realisation that the many parts of the manner that was offered in the retail environment changed dramatically as a result of the effect of economic insecurity. </w:t>
      </w:r>
    </w:p>
    <w:p w14:paraId="16AEE522" w14:textId="5A78D9B8" w:rsidR="001022B7" w:rsidRPr="001776FA" w:rsidRDefault="00AE4986" w:rsidP="0054280F">
      <w:pPr>
        <w:spacing w:after="12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 xml:space="preserve">Buying things online effectively eliminates </w:t>
      </w:r>
      <w:r w:rsidR="001776FA">
        <w:rPr>
          <w:rFonts w:ascii="Times New Roman" w:eastAsia="Times New Roman" w:hAnsi="Times New Roman" w:cs="Times New Roman"/>
          <w:color w:val="000000" w:themeColor="text1"/>
          <w:sz w:val="24"/>
          <w:szCs w:val="24"/>
        </w:rPr>
        <w:t>middlemen</w:t>
      </w:r>
      <w:r w:rsidRPr="001776FA">
        <w:rPr>
          <w:rFonts w:ascii="Times New Roman" w:eastAsia="Times New Roman" w:hAnsi="Times New Roman" w:cs="Times New Roman"/>
          <w:color w:val="000000" w:themeColor="text1"/>
          <w:sz w:val="24"/>
          <w:szCs w:val="24"/>
        </w:rPr>
        <w:t xml:space="preserve"> from the distribution chain, benefiting all stakeholders. They can offer things at significantly lower prices than offline gamers. The outcomes of the exchanges offline, which were obvious in the study, show that physical stores are hampered in their sale</w:t>
      </w:r>
      <w:r w:rsidRPr="001776FA">
        <w:rPr>
          <w:rFonts w:ascii="Times New Roman" w:eastAsia="Times New Roman" w:hAnsi="Times New Roman" w:cs="Times New Roman"/>
          <w:color w:val="000000" w:themeColor="text1"/>
          <w:sz w:val="24"/>
          <w:szCs w:val="24"/>
        </w:rPr>
        <w:t xml:space="preserve">s. </w:t>
      </w:r>
      <w:r w:rsidR="001776FA">
        <w:rPr>
          <w:rFonts w:ascii="Times New Roman" w:eastAsia="Times New Roman" w:hAnsi="Times New Roman" w:cs="Times New Roman"/>
          <w:color w:val="000000" w:themeColor="text1"/>
          <w:sz w:val="24"/>
          <w:szCs w:val="24"/>
        </w:rPr>
        <w:t>To</w:t>
      </w:r>
      <w:r w:rsidRPr="001776FA">
        <w:rPr>
          <w:rFonts w:ascii="Times New Roman" w:eastAsia="Times New Roman" w:hAnsi="Times New Roman" w:cs="Times New Roman"/>
          <w:color w:val="000000" w:themeColor="text1"/>
          <w:sz w:val="24"/>
          <w:szCs w:val="24"/>
        </w:rPr>
        <w:t xml:space="preserve"> charm market share, a traditional player has little choice but to give clients cheaper alternatives. Because of the many features of online marketplaces, the collections that these companies are making might be sold at a lower price. Loyalty cards pr</w:t>
      </w:r>
      <w:r w:rsidRPr="001776FA">
        <w:rPr>
          <w:rFonts w:ascii="Times New Roman" w:eastAsia="Times New Roman" w:hAnsi="Times New Roman" w:cs="Times New Roman"/>
          <w:color w:val="000000" w:themeColor="text1"/>
          <w:sz w:val="24"/>
          <w:szCs w:val="24"/>
        </w:rPr>
        <w:t xml:space="preserve">ovided by digital financial institutions bring them additional customers based on a variety of variables. </w:t>
      </w:r>
      <w:r w:rsidR="00207BAE">
        <w:rPr>
          <w:rFonts w:ascii="Times New Roman" w:eastAsia="Times New Roman" w:hAnsi="Times New Roman" w:cs="Times New Roman"/>
          <w:color w:val="000000" w:themeColor="text1"/>
          <w:sz w:val="24"/>
          <w:szCs w:val="24"/>
        </w:rPr>
        <w:t xml:space="preserve"> </w:t>
      </w:r>
    </w:p>
    <w:p w14:paraId="4E98F76F" w14:textId="77777777" w:rsidR="0054280F" w:rsidRDefault="00AE4986" w:rsidP="0054280F">
      <w:pPr>
        <w:spacing w:after="120" w:line="360" w:lineRule="auto"/>
        <w:jc w:val="both"/>
        <w:rPr>
          <w:rFonts w:ascii="Times New Roman" w:hAnsi="Times New Roman" w:cs="Times New Roman"/>
          <w:b/>
          <w:color w:val="000000" w:themeColor="text1"/>
          <w:sz w:val="24"/>
          <w:szCs w:val="24"/>
        </w:rPr>
      </w:pPr>
      <w:r w:rsidRPr="001776FA">
        <w:rPr>
          <w:rFonts w:ascii="Times New Roman" w:hAnsi="Times New Roman" w:cs="Times New Roman"/>
          <w:b/>
          <w:color w:val="000000" w:themeColor="text1"/>
          <w:sz w:val="24"/>
          <w:szCs w:val="24"/>
        </w:rPr>
        <w:t xml:space="preserve">Analysis </w:t>
      </w:r>
      <w:r w:rsidR="001776FA">
        <w:rPr>
          <w:rFonts w:ascii="Times New Roman" w:hAnsi="Times New Roman" w:cs="Times New Roman"/>
          <w:b/>
          <w:color w:val="000000" w:themeColor="text1"/>
          <w:sz w:val="24"/>
          <w:szCs w:val="24"/>
        </w:rPr>
        <w:t>of</w:t>
      </w:r>
      <w:r w:rsidRPr="001776FA">
        <w:rPr>
          <w:rFonts w:ascii="Times New Roman" w:hAnsi="Times New Roman" w:cs="Times New Roman"/>
          <w:b/>
          <w:color w:val="000000" w:themeColor="text1"/>
          <w:sz w:val="24"/>
          <w:szCs w:val="24"/>
        </w:rPr>
        <w:t xml:space="preserve"> Santander Bank</w:t>
      </w:r>
      <w:bookmarkStart w:id="10" w:name="_17dp8vu" w:colFirst="0" w:colLast="0"/>
      <w:bookmarkEnd w:id="10"/>
    </w:p>
    <w:p w14:paraId="5D592BFF" w14:textId="77777777" w:rsidR="0054280F" w:rsidRPr="0054280F" w:rsidRDefault="0054280F" w:rsidP="0054280F">
      <w:pPr>
        <w:spacing w:after="120" w:line="360" w:lineRule="auto"/>
        <w:jc w:val="both"/>
        <w:rPr>
          <w:rFonts w:ascii="Times New Roman" w:hAnsi="Times New Roman" w:cs="Times New Roman"/>
          <w:b/>
          <w:color w:val="000000" w:themeColor="text1"/>
          <w:sz w:val="24"/>
          <w:szCs w:val="24"/>
        </w:rPr>
      </w:pPr>
      <w:r w:rsidRPr="0054280F">
        <w:rPr>
          <w:rFonts w:ascii="Times New Roman" w:eastAsia="Times New Roman" w:hAnsi="Times New Roman" w:cs="Times New Roman"/>
          <w:color w:val="000000" w:themeColor="text1"/>
          <w:sz w:val="24"/>
          <w:szCs w:val="24"/>
        </w:rPr>
        <w:t xml:space="preserve">Banks throughout the world have increased their resistance to future threats by significantly increasing their liquidity and capital buffers. The various threats could be mitigated by implementing new technologies in the Santander Bank as assumed as per the research. The increased use of stress analyses by institutions and government agencies throughout the financial crisis gives a greater degree of foresight resilience, which should help preserve liquidity in times of prosperity and turmoil. Furthermore, created-economy banks have shifted to more dependable sources of funds as well as investments in less hazardous and complex assets. Because some of these changes may be impacted by cycle variables including accommodating monetary policy, they may dissipate when conditions change. Consequences from the recession, along with regulatory improvements, have resulted in a significant reduction in risk and growth at an assortment of major banks, particularly Santander Bank. </w:t>
      </w:r>
    </w:p>
    <w:p w14:paraId="40F9CB33" w14:textId="77777777" w:rsidR="0054280F" w:rsidRPr="006901DF" w:rsidRDefault="0054280F" w:rsidP="006901DF">
      <w:pPr>
        <w:spacing w:after="240" w:line="360" w:lineRule="auto"/>
        <w:jc w:val="both"/>
        <w:rPr>
          <w:rFonts w:ascii="Times New Roman" w:hAnsi="Times New Roman" w:cs="Times New Roman"/>
          <w:b/>
          <w:sz w:val="24"/>
          <w:szCs w:val="24"/>
        </w:rPr>
      </w:pPr>
      <w:r w:rsidRPr="006901DF">
        <w:rPr>
          <w:rFonts w:ascii="Times New Roman" w:hAnsi="Times New Roman" w:cs="Times New Roman"/>
          <w:sz w:val="24"/>
          <w:szCs w:val="24"/>
        </w:rPr>
        <w:t xml:space="preserve">Bank-intermediated lending patterns have been inconsistent over time and between nations, reflecting disparities in disaster experience and lending burden. Credit fell dramatically relative to economic activity in the developed countries that suffered the burden of the crisis, and most nations only began to recover in 2015. However, in others, the adjustment is still underway, reflecting, in part, an accumulation of issues with assets for banks that keeps hindering the development of new loans. In contrast, developed economy financial institutions that were not harmed by the crisis managed to post healthy loan growth despite tougher rules. Higher risk-weighted capital requirements would raise both the amount and quality of assets requirements. </w:t>
      </w:r>
    </w:p>
    <w:p w14:paraId="49F53D24" w14:textId="77777777" w:rsidR="0054280F" w:rsidRPr="006901DF" w:rsidRDefault="0054280F" w:rsidP="006901DF">
      <w:pPr>
        <w:spacing w:line="360" w:lineRule="auto"/>
        <w:jc w:val="both"/>
        <w:rPr>
          <w:rFonts w:ascii="Times New Roman" w:hAnsi="Times New Roman" w:cs="Times New Roman"/>
          <w:b/>
          <w:sz w:val="24"/>
          <w:szCs w:val="24"/>
        </w:rPr>
      </w:pPr>
      <w:r w:rsidRPr="006901DF">
        <w:rPr>
          <w:rFonts w:ascii="Times New Roman" w:hAnsi="Times New Roman" w:cs="Times New Roman"/>
          <w:sz w:val="24"/>
          <w:szCs w:val="24"/>
        </w:rPr>
        <w:t xml:space="preserve">Authorities potentially trigger a countercyclical macro prudential liquidity buffer for every financial institution in a jurisdiction, as hazards increase during the financial cycle and hence lessen </w:t>
      </w:r>
      <w:proofErr w:type="spellStart"/>
      <w:r w:rsidRPr="006901DF">
        <w:rPr>
          <w:rFonts w:ascii="Times New Roman" w:hAnsi="Times New Roman" w:cs="Times New Roman"/>
          <w:sz w:val="24"/>
          <w:szCs w:val="24"/>
        </w:rPr>
        <w:t>procyclicality</w:t>
      </w:r>
      <w:proofErr w:type="spellEnd"/>
      <w:r w:rsidRPr="006901DF">
        <w:rPr>
          <w:rFonts w:ascii="Times New Roman" w:hAnsi="Times New Roman" w:cs="Times New Roman"/>
          <w:sz w:val="24"/>
          <w:szCs w:val="24"/>
        </w:rPr>
        <w:t xml:space="preserve">. Santander Bank also benefited from the newly implemented laws and regulations of the post-crisis situation. To address dangers presented by systemically significant banking groups, minimise hidden public subsidies, and enable effective restructuring of banks, changes to the international regulatory structure aim to make banks more resilient to unfavourable shocks. </w:t>
      </w:r>
    </w:p>
    <w:p w14:paraId="6CFA1C06" w14:textId="023B9311" w:rsidR="007B5AD8" w:rsidRDefault="007B5AD8" w:rsidP="00BD1A89">
      <w:pPr>
        <w:spacing w:line="360" w:lineRule="auto"/>
        <w:jc w:val="center"/>
      </w:pPr>
      <w:r w:rsidRPr="007B5AD8">
        <w:rPr>
          <w:noProof/>
          <w:lang w:eastAsia="en-GB"/>
        </w:rPr>
        <w:drawing>
          <wp:inline distT="0" distB="0" distL="0" distR="0" wp14:anchorId="4285956B" wp14:editId="4FCE0B9A">
            <wp:extent cx="5733415" cy="2834640"/>
            <wp:effectExtent l="0" t="0" r="635" b="3810"/>
            <wp:docPr id="1251954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954011" name=""/>
                    <pic:cNvPicPr/>
                  </pic:nvPicPr>
                  <pic:blipFill>
                    <a:blip r:embed="rId13"/>
                    <a:stretch>
                      <a:fillRect/>
                    </a:stretch>
                  </pic:blipFill>
                  <pic:spPr>
                    <a:xfrm>
                      <a:off x="0" y="0"/>
                      <a:ext cx="5733415" cy="2834640"/>
                    </a:xfrm>
                    <a:prstGeom prst="rect">
                      <a:avLst/>
                    </a:prstGeom>
                  </pic:spPr>
                </pic:pic>
              </a:graphicData>
            </a:graphic>
          </wp:inline>
        </w:drawing>
      </w:r>
    </w:p>
    <w:p w14:paraId="4948A14F" w14:textId="7E8C6426" w:rsidR="007B5AD8" w:rsidRPr="00854A6F" w:rsidRDefault="007B5AD8" w:rsidP="00BD1A89">
      <w:pPr>
        <w:spacing w:line="360" w:lineRule="auto"/>
        <w:jc w:val="center"/>
        <w:rPr>
          <w:b/>
          <w:bCs/>
        </w:rPr>
      </w:pPr>
      <w:r w:rsidRPr="00854A6F">
        <w:rPr>
          <w:b/>
          <w:bCs/>
        </w:rPr>
        <w:t>Figure</w:t>
      </w:r>
      <w:r w:rsidR="00854A6F" w:rsidRPr="00854A6F">
        <w:rPr>
          <w:b/>
          <w:bCs/>
        </w:rPr>
        <w:t xml:space="preserve"> 6</w:t>
      </w:r>
      <w:r w:rsidRPr="00854A6F">
        <w:rPr>
          <w:b/>
          <w:bCs/>
        </w:rPr>
        <w:t>: Housing prices crash after 2008 in UK</w:t>
      </w:r>
    </w:p>
    <w:p w14:paraId="42038BFC" w14:textId="3B3A593D" w:rsidR="007B5AD8" w:rsidRDefault="007B5AD8" w:rsidP="00BD1A89">
      <w:pPr>
        <w:spacing w:line="360" w:lineRule="auto"/>
        <w:jc w:val="center"/>
      </w:pPr>
      <w:r>
        <w:t>Source: (</w:t>
      </w:r>
      <w:proofErr w:type="spellStart"/>
      <w:r>
        <w:t>housepricecrash</w:t>
      </w:r>
      <w:proofErr w:type="spellEnd"/>
      <w:r>
        <w:t>, 2021)</w:t>
      </w:r>
    </w:p>
    <w:p w14:paraId="75B6FC73" w14:textId="77777777" w:rsidR="007B5AD8" w:rsidRPr="007B5AD8" w:rsidRDefault="007B5AD8" w:rsidP="007B5AD8"/>
    <w:p w14:paraId="49FEE402" w14:textId="084FAC27" w:rsidR="0054280F" w:rsidRPr="00176E54" w:rsidRDefault="007B5AD8" w:rsidP="00176E54">
      <w:pPr>
        <w:spacing w:after="240" w:line="360" w:lineRule="auto"/>
        <w:jc w:val="both"/>
        <w:rPr>
          <w:rFonts w:ascii="Times New Roman" w:hAnsi="Times New Roman" w:cs="Times New Roman"/>
          <w:b/>
          <w:sz w:val="24"/>
          <w:szCs w:val="24"/>
        </w:rPr>
      </w:pPr>
      <w:r w:rsidRPr="00176E54">
        <w:rPr>
          <w:rFonts w:ascii="Times New Roman" w:hAnsi="Times New Roman" w:cs="Times New Roman"/>
          <w:sz w:val="24"/>
          <w:szCs w:val="24"/>
        </w:rPr>
        <w:t xml:space="preserve">The above figure shows the effect of 2008 crisis on the housing sector in the UK. The </w:t>
      </w:r>
      <w:proofErr w:type="spellStart"/>
      <w:r w:rsidRPr="00176E54">
        <w:rPr>
          <w:rFonts w:ascii="Times New Roman" w:hAnsi="Times New Roman" w:cs="Times New Roman"/>
          <w:sz w:val="24"/>
          <w:szCs w:val="24"/>
        </w:rPr>
        <w:t>vrash</w:t>
      </w:r>
      <w:proofErr w:type="spellEnd"/>
      <w:r w:rsidRPr="00176E54">
        <w:rPr>
          <w:rFonts w:ascii="Times New Roman" w:hAnsi="Times New Roman" w:cs="Times New Roman"/>
          <w:sz w:val="24"/>
          <w:szCs w:val="24"/>
        </w:rPr>
        <w:t xml:space="preserve"> in the housing affected the asset quality of the </w:t>
      </w:r>
      <w:proofErr w:type="spellStart"/>
      <w:r w:rsidRPr="00176E54">
        <w:rPr>
          <w:rFonts w:ascii="Times New Roman" w:hAnsi="Times New Roman" w:cs="Times New Roman"/>
          <w:sz w:val="24"/>
          <w:szCs w:val="24"/>
        </w:rPr>
        <w:t>Santanders</w:t>
      </w:r>
      <w:proofErr w:type="spellEnd"/>
      <w:r w:rsidRPr="00176E54">
        <w:rPr>
          <w:rFonts w:ascii="Times New Roman" w:hAnsi="Times New Roman" w:cs="Times New Roman"/>
          <w:sz w:val="24"/>
          <w:szCs w:val="24"/>
        </w:rPr>
        <w:t xml:space="preserve"> with negative credit growth rate. Housing crash also affected the mortgage-based security business by a huge </w:t>
      </w:r>
      <w:proofErr w:type="spellStart"/>
      <w:r w:rsidRPr="00176E54">
        <w:rPr>
          <w:rFonts w:ascii="Times New Roman" w:hAnsi="Times New Roman" w:cs="Times New Roman"/>
          <w:sz w:val="24"/>
          <w:szCs w:val="24"/>
        </w:rPr>
        <w:t>marging</w:t>
      </w:r>
      <w:proofErr w:type="spellEnd"/>
      <w:r w:rsidRPr="00176E54">
        <w:rPr>
          <w:rFonts w:ascii="Times New Roman" w:hAnsi="Times New Roman" w:cs="Times New Roman"/>
          <w:sz w:val="24"/>
          <w:szCs w:val="24"/>
        </w:rPr>
        <w:t xml:space="preserve"> in the UK which in turn, hampered the business of groups like the AIG. </w:t>
      </w:r>
      <w:r w:rsidR="0054280F" w:rsidRPr="00176E54">
        <w:rPr>
          <w:rFonts w:ascii="Times New Roman" w:hAnsi="Times New Roman" w:cs="Times New Roman"/>
          <w:sz w:val="24"/>
          <w:szCs w:val="24"/>
        </w:rPr>
        <w:t xml:space="preserve">By following such measures, the financial system's capacity to endure the failure of an important organisation will be considerably enhanced, and the likelihood of default for large, internationally engaged banks will be decreased to a negligible fraction. By doing this, the reforms expand on improving the fiscal health of specific banks and take a macro-prudential, or structure-wide, view of the threats to the stability of the economy. The investor public has also upped its demands on banks, which is a reflection of both the continued underperformance of numerous financial institutions and changes in market concerns and views. This process has impacted banks' financing costs and encouraged modifications to their operations; for instance, rating agencies now place a lot more emphasis on the volume of money provided by deposits. More broadly, regulatory agencies and consumers, in general, have called for changes in the corporate atmosphere, compensation policies, and customer service of banks. </w:t>
      </w:r>
    </w:p>
    <w:p w14:paraId="527DEDD4" w14:textId="77777777" w:rsidR="001022B7" w:rsidRPr="001776FA" w:rsidRDefault="00AE4986" w:rsidP="0054280F">
      <w:pPr>
        <w:pStyle w:val="Heading1"/>
        <w:spacing w:before="0"/>
        <w:rPr>
          <w:rFonts w:eastAsia="Times New Roman" w:cs="Times New Roman"/>
          <w:b w:val="0"/>
          <w:color w:val="000000" w:themeColor="text1"/>
          <w:sz w:val="24"/>
          <w:szCs w:val="24"/>
        </w:rPr>
      </w:pPr>
      <w:bookmarkStart w:id="11" w:name="_Toc133877514"/>
      <w:r w:rsidRPr="001776FA">
        <w:rPr>
          <w:rFonts w:eastAsia="Times New Roman" w:cs="Times New Roman"/>
          <w:color w:val="000000" w:themeColor="text1"/>
          <w:sz w:val="24"/>
          <w:szCs w:val="24"/>
        </w:rPr>
        <w:t>Conclusion</w:t>
      </w:r>
      <w:bookmarkEnd w:id="11"/>
      <w:r w:rsidRPr="001776FA">
        <w:rPr>
          <w:rFonts w:eastAsia="Times New Roman" w:cs="Times New Roman"/>
          <w:color w:val="000000" w:themeColor="text1"/>
          <w:sz w:val="24"/>
          <w:szCs w:val="24"/>
        </w:rPr>
        <w:t xml:space="preserve"> </w:t>
      </w:r>
    </w:p>
    <w:p w14:paraId="4419B455" w14:textId="77777777" w:rsidR="0054280F" w:rsidRPr="00176E54" w:rsidRDefault="0054280F" w:rsidP="00176E54">
      <w:pPr>
        <w:spacing w:after="240" w:line="360" w:lineRule="auto"/>
        <w:jc w:val="both"/>
        <w:rPr>
          <w:rFonts w:ascii="Times New Roman" w:hAnsi="Times New Roman" w:cs="Times New Roman"/>
          <w:b/>
          <w:sz w:val="24"/>
          <w:szCs w:val="24"/>
        </w:rPr>
      </w:pPr>
      <w:r w:rsidRPr="00176E54">
        <w:rPr>
          <w:rFonts w:ascii="Times New Roman" w:hAnsi="Times New Roman" w:cs="Times New Roman"/>
          <w:sz w:val="24"/>
          <w:szCs w:val="24"/>
        </w:rPr>
        <w:t xml:space="preserve">The various observations seem to be related to financial activities. The impact of the financial crisis led to poor performance in the economy. The effect was on the major countries like the US, UK AND EU. The promotion of transparency was circulated regarding compliance with regulations which seemed to be vital for the banking sector. It can be concluded from the above study that the reforms that were undertaken after the 2008 economic crisis had a far-reaching impact. The various reforms like the Dodd-Frank Act for the financial stability act played a significant role in stabilising the world economy after the crisis. The necessary steps that are taken by the AIG were also discussed in the study. </w:t>
      </w:r>
    </w:p>
    <w:p w14:paraId="2928044F" w14:textId="77777777" w:rsidR="0054280F" w:rsidRPr="0054280F" w:rsidRDefault="0054280F" w:rsidP="0054280F">
      <w:pPr>
        <w:pStyle w:val="Heading1"/>
        <w:rPr>
          <w:rFonts w:eastAsia="Times New Roman" w:cs="Times New Roman"/>
          <w:b w:val="0"/>
          <w:color w:val="000000" w:themeColor="text1"/>
          <w:sz w:val="24"/>
          <w:szCs w:val="24"/>
        </w:rPr>
      </w:pPr>
    </w:p>
    <w:p w14:paraId="7F3A25F5" w14:textId="77777777" w:rsidR="0054280F" w:rsidRDefault="0054280F">
      <w:pPr>
        <w:rPr>
          <w:rFonts w:ascii="Times New Roman" w:eastAsia="Times New Roman" w:hAnsi="Times New Roman" w:cs="Times New Roman"/>
          <w:color w:val="000000" w:themeColor="text1"/>
          <w:sz w:val="24"/>
          <w:szCs w:val="24"/>
        </w:rPr>
      </w:pPr>
      <w:r>
        <w:rPr>
          <w:rFonts w:eastAsia="Times New Roman" w:cs="Times New Roman"/>
          <w:b/>
          <w:color w:val="000000" w:themeColor="text1"/>
          <w:sz w:val="24"/>
          <w:szCs w:val="24"/>
        </w:rPr>
        <w:br w:type="page"/>
      </w:r>
    </w:p>
    <w:p w14:paraId="74CF3158" w14:textId="77777777" w:rsidR="001022B7" w:rsidRPr="001776FA" w:rsidRDefault="00AE4986" w:rsidP="0054280F">
      <w:pPr>
        <w:pStyle w:val="Heading1"/>
        <w:rPr>
          <w:rFonts w:cs="Times New Roman"/>
          <w:color w:val="000000" w:themeColor="text1"/>
          <w:sz w:val="24"/>
          <w:szCs w:val="24"/>
        </w:rPr>
      </w:pPr>
      <w:bookmarkStart w:id="12" w:name="_Toc133877515"/>
      <w:r w:rsidRPr="001776FA">
        <w:rPr>
          <w:rFonts w:cs="Times New Roman"/>
          <w:color w:val="000000" w:themeColor="text1"/>
          <w:sz w:val="24"/>
          <w:szCs w:val="24"/>
        </w:rPr>
        <w:t>References</w:t>
      </w:r>
      <w:bookmarkEnd w:id="12"/>
      <w:r w:rsidRPr="001776FA">
        <w:rPr>
          <w:rFonts w:cs="Times New Roman"/>
          <w:color w:val="000000" w:themeColor="text1"/>
          <w:sz w:val="24"/>
          <w:szCs w:val="24"/>
        </w:rPr>
        <w:t xml:space="preserve"> </w:t>
      </w:r>
    </w:p>
    <w:p w14:paraId="4BA4FB39"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 xml:space="preserve">Al </w:t>
      </w:r>
      <w:proofErr w:type="spellStart"/>
      <w:r w:rsidRPr="001776FA">
        <w:rPr>
          <w:rFonts w:ascii="Times New Roman" w:eastAsia="Times New Roman" w:hAnsi="Times New Roman" w:cs="Times New Roman"/>
          <w:color w:val="000000" w:themeColor="text1"/>
          <w:sz w:val="24"/>
          <w:szCs w:val="24"/>
        </w:rPr>
        <w:t>Ahbabi</w:t>
      </w:r>
      <w:proofErr w:type="spellEnd"/>
      <w:r w:rsidRPr="001776FA">
        <w:rPr>
          <w:rFonts w:ascii="Times New Roman" w:eastAsia="Times New Roman" w:hAnsi="Times New Roman" w:cs="Times New Roman"/>
          <w:color w:val="000000" w:themeColor="text1"/>
          <w:sz w:val="24"/>
          <w:szCs w:val="24"/>
        </w:rPr>
        <w:t xml:space="preserve">, A.R. and </w:t>
      </w:r>
      <w:proofErr w:type="spellStart"/>
      <w:r w:rsidRPr="001776FA">
        <w:rPr>
          <w:rFonts w:ascii="Times New Roman" w:eastAsia="Times New Roman" w:hAnsi="Times New Roman" w:cs="Times New Roman"/>
          <w:color w:val="000000" w:themeColor="text1"/>
          <w:sz w:val="24"/>
          <w:szCs w:val="24"/>
        </w:rPr>
        <w:t>Nobanee</w:t>
      </w:r>
      <w:proofErr w:type="spellEnd"/>
      <w:r w:rsidRPr="001776FA">
        <w:rPr>
          <w:rFonts w:ascii="Times New Roman" w:eastAsia="Times New Roman" w:hAnsi="Times New Roman" w:cs="Times New Roman"/>
          <w:color w:val="000000" w:themeColor="text1"/>
          <w:sz w:val="24"/>
          <w:szCs w:val="24"/>
        </w:rPr>
        <w:t xml:space="preserve">, H., 2019. Conceptual building of sustainable financial management &amp; sustainable financial growth. Available at SSRN 3472313. Available at: </w:t>
      </w:r>
      <w:hyperlink r:id="rId14" w:history="1">
        <w:r w:rsidRPr="001776FA">
          <w:rPr>
            <w:rStyle w:val="Hyperlink"/>
            <w:rFonts w:ascii="Times New Roman" w:eastAsia="Times New Roman" w:hAnsi="Times New Roman" w:cs="Times New Roman"/>
            <w:color w:val="000000" w:themeColor="text1"/>
            <w:sz w:val="24"/>
            <w:szCs w:val="24"/>
          </w:rPr>
          <w:t>https://www.researchgate.net/profile/Haitham-Nob</w:t>
        </w:r>
        <w:r w:rsidRPr="001776FA">
          <w:rPr>
            <w:rStyle w:val="Hyperlink"/>
            <w:rFonts w:ascii="Times New Roman" w:eastAsia="Times New Roman" w:hAnsi="Times New Roman" w:cs="Times New Roman"/>
            <w:color w:val="000000" w:themeColor="text1"/>
            <w:sz w:val="24"/>
            <w:szCs w:val="24"/>
          </w:rPr>
          <w:t>anee/publication/336913485_Conceptual_Building_of_Sustainable_Financial_Management_Sustainable_Financial_Growth/links/5f044777a6fdcc4ca452f953/Conceptual-Building-of-Sustainable-Financial-Management-Sustainable-Financial-Growth.pdf</w:t>
        </w:r>
      </w:hyperlink>
      <w:r w:rsidRPr="001776FA">
        <w:rPr>
          <w:rFonts w:ascii="Times New Roman" w:eastAsia="Times New Roman" w:hAnsi="Times New Roman" w:cs="Times New Roman"/>
          <w:color w:val="000000" w:themeColor="text1"/>
          <w:sz w:val="24"/>
          <w:szCs w:val="24"/>
        </w:rPr>
        <w:t xml:space="preserve"> </w:t>
      </w:r>
    </w:p>
    <w:p w14:paraId="13469619"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proofErr w:type="spellStart"/>
      <w:r w:rsidRPr="001776FA">
        <w:rPr>
          <w:rFonts w:ascii="Times New Roman" w:eastAsia="Times New Roman" w:hAnsi="Times New Roman" w:cs="Times New Roman"/>
          <w:color w:val="000000" w:themeColor="text1"/>
          <w:sz w:val="24"/>
          <w:szCs w:val="24"/>
        </w:rPr>
        <w:t>Amadeo</w:t>
      </w:r>
      <w:proofErr w:type="spellEnd"/>
      <w:r w:rsidRPr="001776FA">
        <w:rPr>
          <w:rFonts w:ascii="Times New Roman" w:eastAsia="Times New Roman" w:hAnsi="Times New Roman" w:cs="Times New Roman"/>
          <w:color w:val="000000" w:themeColor="text1"/>
          <w:sz w:val="24"/>
          <w:szCs w:val="24"/>
        </w:rPr>
        <w:t xml:space="preserve">, K. (2020) This </w:t>
      </w:r>
      <w:r w:rsidRPr="001776FA">
        <w:rPr>
          <w:rFonts w:ascii="Times New Roman" w:eastAsia="Times New Roman" w:hAnsi="Times New Roman" w:cs="Times New Roman"/>
          <w:color w:val="000000" w:themeColor="text1"/>
          <w:sz w:val="24"/>
          <w:szCs w:val="24"/>
        </w:rPr>
        <w:t xml:space="preserve">bailout made Bernanke angrier than anything else in the recession, The Balance. Available at: https://www.thebalancemoney.com/aig-bailout-cost-timeline-bonuses-causes-effects-3305693 (Accessed: April 20, 2023). </w:t>
      </w:r>
    </w:p>
    <w:p w14:paraId="15F8EF23"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proofErr w:type="spellStart"/>
      <w:r w:rsidRPr="001776FA">
        <w:rPr>
          <w:rFonts w:ascii="Times New Roman" w:eastAsia="Times New Roman" w:hAnsi="Times New Roman" w:cs="Times New Roman"/>
          <w:color w:val="000000" w:themeColor="text1"/>
          <w:sz w:val="24"/>
          <w:szCs w:val="24"/>
        </w:rPr>
        <w:t>Ansca</w:t>
      </w:r>
      <w:proofErr w:type="spellEnd"/>
      <w:r w:rsidRPr="001776FA">
        <w:rPr>
          <w:rFonts w:ascii="Times New Roman" w:eastAsia="Times New Roman" w:hAnsi="Times New Roman" w:cs="Times New Roman"/>
          <w:color w:val="000000" w:themeColor="text1"/>
          <w:sz w:val="24"/>
          <w:szCs w:val="24"/>
        </w:rPr>
        <w:t xml:space="preserve">, C.C., </w:t>
      </w:r>
      <w:proofErr w:type="spellStart"/>
      <w:r w:rsidRPr="001776FA">
        <w:rPr>
          <w:rFonts w:ascii="Times New Roman" w:eastAsia="Times New Roman" w:hAnsi="Times New Roman" w:cs="Times New Roman"/>
          <w:color w:val="000000" w:themeColor="text1"/>
          <w:sz w:val="24"/>
          <w:szCs w:val="24"/>
        </w:rPr>
        <w:t>Suyapto</w:t>
      </w:r>
      <w:proofErr w:type="spellEnd"/>
      <w:r w:rsidRPr="001776FA">
        <w:rPr>
          <w:rFonts w:ascii="Times New Roman" w:eastAsia="Times New Roman" w:hAnsi="Times New Roman" w:cs="Times New Roman"/>
          <w:color w:val="000000" w:themeColor="text1"/>
          <w:sz w:val="24"/>
          <w:szCs w:val="24"/>
        </w:rPr>
        <w:t xml:space="preserve">, K.A., </w:t>
      </w:r>
      <w:proofErr w:type="spellStart"/>
      <w:r w:rsidRPr="001776FA">
        <w:rPr>
          <w:rFonts w:ascii="Times New Roman" w:eastAsia="Times New Roman" w:hAnsi="Times New Roman" w:cs="Times New Roman"/>
          <w:color w:val="000000" w:themeColor="text1"/>
          <w:sz w:val="24"/>
          <w:szCs w:val="24"/>
        </w:rPr>
        <w:t>Pranoto</w:t>
      </w:r>
      <w:proofErr w:type="spellEnd"/>
      <w:r w:rsidRPr="001776FA">
        <w:rPr>
          <w:rFonts w:ascii="Times New Roman" w:eastAsia="Times New Roman" w:hAnsi="Times New Roman" w:cs="Times New Roman"/>
          <w:color w:val="000000" w:themeColor="text1"/>
          <w:sz w:val="24"/>
          <w:szCs w:val="24"/>
        </w:rPr>
        <w:t xml:space="preserve">, T. and </w:t>
      </w:r>
      <w:proofErr w:type="spellStart"/>
      <w:r w:rsidRPr="001776FA">
        <w:rPr>
          <w:rFonts w:ascii="Times New Roman" w:eastAsia="Times New Roman" w:hAnsi="Times New Roman" w:cs="Times New Roman"/>
          <w:color w:val="000000" w:themeColor="text1"/>
          <w:sz w:val="24"/>
          <w:szCs w:val="24"/>
        </w:rPr>
        <w:t>Gunawan</w:t>
      </w:r>
      <w:proofErr w:type="spellEnd"/>
      <w:r w:rsidRPr="001776FA">
        <w:rPr>
          <w:rFonts w:ascii="Times New Roman" w:eastAsia="Times New Roman" w:hAnsi="Times New Roman" w:cs="Times New Roman"/>
          <w:color w:val="000000" w:themeColor="text1"/>
          <w:sz w:val="24"/>
          <w:szCs w:val="24"/>
        </w:rPr>
        <w:t xml:space="preserve">, V.P., 2019. The effect of capital structure and financial structure on firm performance (an empirical study of the financial crisis 2008 and 2009 in Indonesia). </w:t>
      </w:r>
      <w:proofErr w:type="spellStart"/>
      <w:r w:rsidRPr="001776FA">
        <w:rPr>
          <w:rFonts w:ascii="Times New Roman" w:eastAsia="Times New Roman" w:hAnsi="Times New Roman" w:cs="Times New Roman"/>
          <w:color w:val="000000" w:themeColor="text1"/>
          <w:sz w:val="24"/>
          <w:szCs w:val="24"/>
        </w:rPr>
        <w:t>Jurnal</w:t>
      </w:r>
      <w:proofErr w:type="spellEnd"/>
      <w:r w:rsidRPr="001776FA">
        <w:rPr>
          <w:rFonts w:ascii="Times New Roman" w:eastAsia="Times New Roman" w:hAnsi="Times New Roman" w:cs="Times New Roman"/>
          <w:color w:val="000000" w:themeColor="text1"/>
          <w:sz w:val="24"/>
          <w:szCs w:val="24"/>
        </w:rPr>
        <w:t xml:space="preserve"> </w:t>
      </w:r>
      <w:proofErr w:type="spellStart"/>
      <w:r w:rsidRPr="001776FA">
        <w:rPr>
          <w:rFonts w:ascii="Times New Roman" w:eastAsia="Times New Roman" w:hAnsi="Times New Roman" w:cs="Times New Roman"/>
          <w:color w:val="000000" w:themeColor="text1"/>
          <w:sz w:val="24"/>
          <w:szCs w:val="24"/>
        </w:rPr>
        <w:t>Akuntansi</w:t>
      </w:r>
      <w:proofErr w:type="spellEnd"/>
      <w:r w:rsidRPr="001776FA">
        <w:rPr>
          <w:rFonts w:ascii="Times New Roman" w:eastAsia="Times New Roman" w:hAnsi="Times New Roman" w:cs="Times New Roman"/>
          <w:color w:val="000000" w:themeColor="text1"/>
          <w:sz w:val="24"/>
          <w:szCs w:val="24"/>
        </w:rPr>
        <w:t xml:space="preserve"> </w:t>
      </w:r>
      <w:proofErr w:type="spellStart"/>
      <w:r w:rsidRPr="001776FA">
        <w:rPr>
          <w:rFonts w:ascii="Times New Roman" w:eastAsia="Times New Roman" w:hAnsi="Times New Roman" w:cs="Times New Roman"/>
          <w:color w:val="000000" w:themeColor="text1"/>
          <w:sz w:val="24"/>
          <w:szCs w:val="24"/>
        </w:rPr>
        <w:t>dan</w:t>
      </w:r>
      <w:proofErr w:type="spellEnd"/>
      <w:r w:rsidRPr="001776FA">
        <w:rPr>
          <w:rFonts w:ascii="Times New Roman" w:eastAsia="Times New Roman" w:hAnsi="Times New Roman" w:cs="Times New Roman"/>
          <w:color w:val="000000" w:themeColor="text1"/>
          <w:sz w:val="24"/>
          <w:szCs w:val="24"/>
        </w:rPr>
        <w:t xml:space="preserve"> </w:t>
      </w:r>
      <w:proofErr w:type="spellStart"/>
      <w:r w:rsidRPr="001776FA">
        <w:rPr>
          <w:rFonts w:ascii="Times New Roman" w:eastAsia="Times New Roman" w:hAnsi="Times New Roman" w:cs="Times New Roman"/>
          <w:color w:val="000000" w:themeColor="text1"/>
          <w:sz w:val="24"/>
          <w:szCs w:val="24"/>
        </w:rPr>
        <w:t>Keuangan</w:t>
      </w:r>
      <w:proofErr w:type="spellEnd"/>
      <w:r w:rsidRPr="001776FA">
        <w:rPr>
          <w:rFonts w:ascii="Times New Roman" w:eastAsia="Times New Roman" w:hAnsi="Times New Roman" w:cs="Times New Roman"/>
          <w:color w:val="000000" w:themeColor="text1"/>
          <w:sz w:val="24"/>
          <w:szCs w:val="24"/>
        </w:rPr>
        <w:t xml:space="preserve"> Indonesia, 16(2), p.5. DOI: 10.21002/jaki.2019.11 </w:t>
      </w:r>
    </w:p>
    <w:p w14:paraId="09FAD215" w14:textId="77777777" w:rsidR="001022B7" w:rsidRPr="001776FA" w:rsidRDefault="00AE4986">
      <w:pPr>
        <w:spacing w:before="240" w:after="24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Armst</w:t>
      </w:r>
      <w:r w:rsidRPr="001776FA">
        <w:rPr>
          <w:rFonts w:ascii="Times New Roman" w:eastAsia="Times New Roman" w:hAnsi="Times New Roman" w:cs="Times New Roman"/>
          <w:color w:val="000000" w:themeColor="text1"/>
          <w:sz w:val="24"/>
          <w:szCs w:val="24"/>
        </w:rPr>
        <w:t xml:space="preserve">rong, M. and Richter, F. (2020) Infographic: Largest fall in UK employment since financial crisis, Statista Infographics. Available at: https://www.statista.com/chart/22523/uk-quarterly-change-in-employment-percent/ (Accessed: April 22, 2023). </w:t>
      </w:r>
    </w:p>
    <w:p w14:paraId="765A243A"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 xml:space="preserve">Armstrong, </w:t>
      </w:r>
      <w:r w:rsidRPr="001776FA">
        <w:rPr>
          <w:rFonts w:ascii="Times New Roman" w:eastAsia="Times New Roman" w:hAnsi="Times New Roman" w:cs="Times New Roman"/>
          <w:color w:val="000000" w:themeColor="text1"/>
          <w:sz w:val="24"/>
          <w:szCs w:val="24"/>
        </w:rPr>
        <w:t xml:space="preserve">M. and Richter, F. (2023) Infographic: SVB and signature failures evoke memories of 2008, Statista Infographics. Available at: https://www.statista.com/chart/29479/us-commercial-bank-failures-and-associated-assets/ (Accessed: April 22, 2023). </w:t>
      </w:r>
    </w:p>
    <w:p w14:paraId="7B2CB28A" w14:textId="77777777" w:rsidR="001022B7" w:rsidRPr="001776FA" w:rsidRDefault="00AE4986">
      <w:pPr>
        <w:spacing w:after="240" w:line="360" w:lineRule="auto"/>
        <w:jc w:val="both"/>
        <w:rPr>
          <w:rFonts w:ascii="Times New Roman" w:eastAsia="Times New Roman" w:hAnsi="Times New Roman" w:cs="Times New Roman"/>
          <w:b/>
          <w:color w:val="000000" w:themeColor="text1"/>
          <w:sz w:val="24"/>
          <w:szCs w:val="24"/>
        </w:rPr>
      </w:pPr>
      <w:r w:rsidRPr="001776FA">
        <w:rPr>
          <w:rFonts w:ascii="Times New Roman" w:eastAsia="Times New Roman" w:hAnsi="Times New Roman" w:cs="Times New Roman"/>
          <w:color w:val="000000" w:themeColor="text1"/>
          <w:sz w:val="24"/>
          <w:szCs w:val="24"/>
        </w:rPr>
        <w:t>Bank, S. (20</w:t>
      </w:r>
      <w:r w:rsidRPr="001776FA">
        <w:rPr>
          <w:rFonts w:ascii="Times New Roman" w:eastAsia="Times New Roman" w:hAnsi="Times New Roman" w:cs="Times New Roman"/>
          <w:color w:val="000000" w:themeColor="text1"/>
          <w:sz w:val="24"/>
          <w:szCs w:val="24"/>
        </w:rPr>
        <w:t xml:space="preserve">18) Transfer to one of our fixed rate </w:t>
      </w:r>
      <w:proofErr w:type="spellStart"/>
      <w:r w:rsidRPr="001776FA">
        <w:rPr>
          <w:rFonts w:ascii="Times New Roman" w:eastAsia="Times New Roman" w:hAnsi="Times New Roman" w:cs="Times New Roman"/>
          <w:color w:val="000000" w:themeColor="text1"/>
          <w:sz w:val="24"/>
          <w:szCs w:val="24"/>
        </w:rPr>
        <w:t>Isas</w:t>
      </w:r>
      <w:proofErr w:type="spellEnd"/>
      <w:r w:rsidRPr="001776FA">
        <w:rPr>
          <w:rFonts w:ascii="Times New Roman" w:eastAsia="Times New Roman" w:hAnsi="Times New Roman" w:cs="Times New Roman"/>
          <w:color w:val="000000" w:themeColor="text1"/>
          <w:sz w:val="24"/>
          <w:szCs w:val="24"/>
        </w:rPr>
        <w:t xml:space="preserve"> and get a £50 e-voucher, Personal | Santander UK. Available at: https://www.santander.co.uk/ (Accessed: April 24, 2023). </w:t>
      </w:r>
    </w:p>
    <w:p w14:paraId="7CCA4081"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proofErr w:type="spellStart"/>
      <w:r w:rsidRPr="001776FA">
        <w:rPr>
          <w:rFonts w:ascii="Times New Roman" w:eastAsia="Times New Roman" w:hAnsi="Times New Roman" w:cs="Times New Roman"/>
          <w:color w:val="000000" w:themeColor="text1"/>
          <w:sz w:val="24"/>
          <w:szCs w:val="24"/>
        </w:rPr>
        <w:t>Benos</w:t>
      </w:r>
      <w:proofErr w:type="spellEnd"/>
      <w:r w:rsidRPr="001776FA">
        <w:rPr>
          <w:rFonts w:ascii="Times New Roman" w:eastAsia="Times New Roman" w:hAnsi="Times New Roman" w:cs="Times New Roman"/>
          <w:color w:val="000000" w:themeColor="text1"/>
          <w:sz w:val="24"/>
          <w:szCs w:val="24"/>
        </w:rPr>
        <w:t xml:space="preserve">, E., Payne, R. and </w:t>
      </w:r>
      <w:proofErr w:type="spellStart"/>
      <w:r w:rsidRPr="001776FA">
        <w:rPr>
          <w:rFonts w:ascii="Times New Roman" w:eastAsia="Times New Roman" w:hAnsi="Times New Roman" w:cs="Times New Roman"/>
          <w:color w:val="000000" w:themeColor="text1"/>
          <w:sz w:val="24"/>
          <w:szCs w:val="24"/>
        </w:rPr>
        <w:t>Vasios</w:t>
      </w:r>
      <w:proofErr w:type="spellEnd"/>
      <w:r w:rsidRPr="001776FA">
        <w:rPr>
          <w:rFonts w:ascii="Times New Roman" w:eastAsia="Times New Roman" w:hAnsi="Times New Roman" w:cs="Times New Roman"/>
          <w:color w:val="000000" w:themeColor="text1"/>
          <w:sz w:val="24"/>
          <w:szCs w:val="24"/>
        </w:rPr>
        <w:t xml:space="preserve">, M., 2020. Centralized trading, transparency, and interest </w:t>
      </w:r>
      <w:r w:rsidRPr="001776FA">
        <w:rPr>
          <w:rFonts w:ascii="Times New Roman" w:eastAsia="Times New Roman" w:hAnsi="Times New Roman" w:cs="Times New Roman"/>
          <w:color w:val="000000" w:themeColor="text1"/>
          <w:sz w:val="24"/>
          <w:szCs w:val="24"/>
        </w:rPr>
        <w:t xml:space="preserve">rate swap market liquidity: Evidence from the implementation of the </w:t>
      </w:r>
      <w:proofErr w:type="spellStart"/>
      <w:r w:rsidRPr="001776FA">
        <w:rPr>
          <w:rFonts w:ascii="Times New Roman" w:eastAsia="Times New Roman" w:hAnsi="Times New Roman" w:cs="Times New Roman"/>
          <w:color w:val="000000" w:themeColor="text1"/>
          <w:sz w:val="24"/>
          <w:szCs w:val="24"/>
        </w:rPr>
        <w:t>dodd</w:t>
      </w:r>
      <w:proofErr w:type="spellEnd"/>
      <w:r w:rsidRPr="001776FA">
        <w:rPr>
          <w:rFonts w:ascii="Times New Roman" w:eastAsia="Times New Roman" w:hAnsi="Times New Roman" w:cs="Times New Roman"/>
          <w:color w:val="000000" w:themeColor="text1"/>
          <w:sz w:val="24"/>
          <w:szCs w:val="24"/>
        </w:rPr>
        <w:t xml:space="preserve">–frank act. Journal of Financial and Quantitative Analysis, 55(1), pp.159-192. DOI: http://dx.doi.org/10.1017/S0022109018001527 </w:t>
      </w:r>
    </w:p>
    <w:p w14:paraId="7619961D"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proofErr w:type="spellStart"/>
      <w:r w:rsidRPr="001776FA">
        <w:rPr>
          <w:rFonts w:ascii="Times New Roman" w:eastAsia="Times New Roman" w:hAnsi="Times New Roman" w:cs="Times New Roman"/>
          <w:color w:val="000000" w:themeColor="text1"/>
          <w:sz w:val="24"/>
          <w:szCs w:val="24"/>
        </w:rPr>
        <w:t>Brem</w:t>
      </w:r>
      <w:proofErr w:type="spellEnd"/>
      <w:r w:rsidRPr="001776FA">
        <w:rPr>
          <w:rFonts w:ascii="Times New Roman" w:eastAsia="Times New Roman" w:hAnsi="Times New Roman" w:cs="Times New Roman"/>
          <w:color w:val="000000" w:themeColor="text1"/>
          <w:sz w:val="24"/>
          <w:szCs w:val="24"/>
        </w:rPr>
        <w:t xml:space="preserve">, A., </w:t>
      </w:r>
      <w:proofErr w:type="spellStart"/>
      <w:r w:rsidRPr="001776FA">
        <w:rPr>
          <w:rFonts w:ascii="Times New Roman" w:eastAsia="Times New Roman" w:hAnsi="Times New Roman" w:cs="Times New Roman"/>
          <w:color w:val="000000" w:themeColor="text1"/>
          <w:sz w:val="24"/>
          <w:szCs w:val="24"/>
        </w:rPr>
        <w:t>Nylund</w:t>
      </w:r>
      <w:proofErr w:type="spellEnd"/>
      <w:r w:rsidRPr="001776FA">
        <w:rPr>
          <w:rFonts w:ascii="Times New Roman" w:eastAsia="Times New Roman" w:hAnsi="Times New Roman" w:cs="Times New Roman"/>
          <w:color w:val="000000" w:themeColor="text1"/>
          <w:sz w:val="24"/>
          <w:szCs w:val="24"/>
        </w:rPr>
        <w:t xml:space="preserve">, P. and </w:t>
      </w:r>
      <w:proofErr w:type="spellStart"/>
      <w:r w:rsidRPr="001776FA">
        <w:rPr>
          <w:rFonts w:ascii="Times New Roman" w:eastAsia="Times New Roman" w:hAnsi="Times New Roman" w:cs="Times New Roman"/>
          <w:color w:val="000000" w:themeColor="text1"/>
          <w:sz w:val="24"/>
          <w:szCs w:val="24"/>
        </w:rPr>
        <w:t>Viardot</w:t>
      </w:r>
      <w:proofErr w:type="spellEnd"/>
      <w:r w:rsidRPr="001776FA">
        <w:rPr>
          <w:rFonts w:ascii="Times New Roman" w:eastAsia="Times New Roman" w:hAnsi="Times New Roman" w:cs="Times New Roman"/>
          <w:color w:val="000000" w:themeColor="text1"/>
          <w:sz w:val="24"/>
          <w:szCs w:val="24"/>
        </w:rPr>
        <w:t xml:space="preserve">, E., 2020. The impact </w:t>
      </w:r>
      <w:r w:rsidRPr="001776FA">
        <w:rPr>
          <w:rFonts w:ascii="Times New Roman" w:eastAsia="Times New Roman" w:hAnsi="Times New Roman" w:cs="Times New Roman"/>
          <w:color w:val="000000" w:themeColor="text1"/>
          <w:sz w:val="24"/>
          <w:szCs w:val="24"/>
        </w:rPr>
        <w:t xml:space="preserve">of the 2008 financial crisis on innovation: A dominant design perspective. Journal of Business Research, 110, pp.360-369. DOI: https://doi.org/10.1016/j.jbusres.2020.01.048 </w:t>
      </w:r>
    </w:p>
    <w:p w14:paraId="4EA0BD1D"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 xml:space="preserve">Chen, H.C. and </w:t>
      </w:r>
      <w:proofErr w:type="spellStart"/>
      <w:r w:rsidRPr="001776FA">
        <w:rPr>
          <w:rFonts w:ascii="Times New Roman" w:eastAsia="Times New Roman" w:hAnsi="Times New Roman" w:cs="Times New Roman"/>
          <w:color w:val="000000" w:themeColor="text1"/>
          <w:sz w:val="24"/>
          <w:szCs w:val="24"/>
        </w:rPr>
        <w:t>Yeh</w:t>
      </w:r>
      <w:proofErr w:type="spellEnd"/>
      <w:r w:rsidRPr="001776FA">
        <w:rPr>
          <w:rFonts w:ascii="Times New Roman" w:eastAsia="Times New Roman" w:hAnsi="Times New Roman" w:cs="Times New Roman"/>
          <w:color w:val="000000" w:themeColor="text1"/>
          <w:sz w:val="24"/>
          <w:szCs w:val="24"/>
        </w:rPr>
        <w:t>, C.W., 2021. Global financial crisis and COVID-19: Industrial r</w:t>
      </w:r>
      <w:r w:rsidRPr="001776FA">
        <w:rPr>
          <w:rFonts w:ascii="Times New Roman" w:eastAsia="Times New Roman" w:hAnsi="Times New Roman" w:cs="Times New Roman"/>
          <w:color w:val="000000" w:themeColor="text1"/>
          <w:sz w:val="24"/>
          <w:szCs w:val="24"/>
        </w:rPr>
        <w:t xml:space="preserve">eactions. Finance Research Letters, 42, p.101940. DOI: https://doi.org/10.1016%2Fj.frl.2021.101940 </w:t>
      </w:r>
    </w:p>
    <w:p w14:paraId="0783CEA4"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 xml:space="preserve">Chen, Q., Goldstein, I., Huang, Z. and </w:t>
      </w:r>
      <w:proofErr w:type="spellStart"/>
      <w:r w:rsidRPr="001776FA">
        <w:rPr>
          <w:rFonts w:ascii="Times New Roman" w:eastAsia="Times New Roman" w:hAnsi="Times New Roman" w:cs="Times New Roman"/>
          <w:color w:val="000000" w:themeColor="text1"/>
          <w:sz w:val="24"/>
          <w:szCs w:val="24"/>
        </w:rPr>
        <w:t>Vashishtha</w:t>
      </w:r>
      <w:proofErr w:type="spellEnd"/>
      <w:r w:rsidRPr="001776FA">
        <w:rPr>
          <w:rFonts w:ascii="Times New Roman" w:eastAsia="Times New Roman" w:hAnsi="Times New Roman" w:cs="Times New Roman"/>
          <w:color w:val="000000" w:themeColor="text1"/>
          <w:sz w:val="24"/>
          <w:szCs w:val="24"/>
        </w:rPr>
        <w:t>, R., 2022. Bank transparency and deposit flows. Journal of Financial Economics, 146(2), pp.475-501. Availa</w:t>
      </w:r>
      <w:r w:rsidRPr="001776FA">
        <w:rPr>
          <w:rFonts w:ascii="Times New Roman" w:eastAsia="Times New Roman" w:hAnsi="Times New Roman" w:cs="Times New Roman"/>
          <w:color w:val="000000" w:themeColor="text1"/>
          <w:sz w:val="24"/>
          <w:szCs w:val="24"/>
        </w:rPr>
        <w:t xml:space="preserve">ble at: https://fnce.wharton.upenn.edu/wp-content/uploads/2022/09/Paper4_Goldstein.pdf </w:t>
      </w:r>
    </w:p>
    <w:p w14:paraId="669B1988"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 xml:space="preserve">Chen, X., </w:t>
      </w:r>
      <w:proofErr w:type="spellStart"/>
      <w:r w:rsidRPr="001776FA">
        <w:rPr>
          <w:rFonts w:ascii="Times New Roman" w:eastAsia="Times New Roman" w:hAnsi="Times New Roman" w:cs="Times New Roman"/>
          <w:color w:val="000000" w:themeColor="text1"/>
          <w:sz w:val="24"/>
          <w:szCs w:val="24"/>
        </w:rPr>
        <w:t>Xie</w:t>
      </w:r>
      <w:proofErr w:type="spellEnd"/>
      <w:r w:rsidRPr="001776FA">
        <w:rPr>
          <w:rFonts w:ascii="Times New Roman" w:eastAsia="Times New Roman" w:hAnsi="Times New Roman" w:cs="Times New Roman"/>
          <w:color w:val="000000" w:themeColor="text1"/>
          <w:sz w:val="24"/>
          <w:szCs w:val="24"/>
        </w:rPr>
        <w:t>, H., Zou, D. and Hwang, G.J., 2020. Application and theory gaps during the rise of artificial intelligence in education. Computers and Education: Artifici</w:t>
      </w:r>
      <w:r w:rsidRPr="001776FA">
        <w:rPr>
          <w:rFonts w:ascii="Times New Roman" w:eastAsia="Times New Roman" w:hAnsi="Times New Roman" w:cs="Times New Roman"/>
          <w:color w:val="000000" w:themeColor="text1"/>
          <w:sz w:val="24"/>
          <w:szCs w:val="24"/>
        </w:rPr>
        <w:t>al Intelligence, 1, p.100002. DOI: https://doi.org/10.1016/j.caeai.2020.100002</w:t>
      </w:r>
    </w:p>
    <w:p w14:paraId="672F59D6"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proofErr w:type="spellStart"/>
      <w:r w:rsidRPr="001776FA">
        <w:rPr>
          <w:rFonts w:ascii="Times New Roman" w:eastAsia="Times New Roman" w:hAnsi="Times New Roman" w:cs="Times New Roman"/>
          <w:color w:val="000000" w:themeColor="text1"/>
          <w:sz w:val="24"/>
          <w:szCs w:val="24"/>
        </w:rPr>
        <w:t>corporatefinanceinstitute</w:t>
      </w:r>
      <w:proofErr w:type="spellEnd"/>
      <w:r w:rsidRPr="001776FA">
        <w:rPr>
          <w:rFonts w:ascii="Times New Roman" w:eastAsia="Times New Roman" w:hAnsi="Times New Roman" w:cs="Times New Roman"/>
          <w:color w:val="000000" w:themeColor="text1"/>
          <w:sz w:val="24"/>
          <w:szCs w:val="24"/>
        </w:rPr>
        <w:t xml:space="preserve"> (2022) Camels rating system, Corporate Finance Institute. Available at: https://corporatefinanceinstitute.com/resources/wealth-management/camels-rating</w:t>
      </w:r>
      <w:r w:rsidRPr="001776FA">
        <w:rPr>
          <w:rFonts w:ascii="Times New Roman" w:eastAsia="Times New Roman" w:hAnsi="Times New Roman" w:cs="Times New Roman"/>
          <w:color w:val="000000" w:themeColor="text1"/>
          <w:sz w:val="24"/>
          <w:szCs w:val="24"/>
        </w:rPr>
        <w:t>-system/ (Accessed: April 20, 2023).</w:t>
      </w:r>
    </w:p>
    <w:p w14:paraId="1E964202"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 xml:space="preserve">de </w:t>
      </w:r>
      <w:proofErr w:type="spellStart"/>
      <w:r w:rsidRPr="001776FA">
        <w:rPr>
          <w:rFonts w:ascii="Times New Roman" w:eastAsia="Times New Roman" w:hAnsi="Times New Roman" w:cs="Times New Roman"/>
          <w:color w:val="000000" w:themeColor="text1"/>
          <w:sz w:val="24"/>
          <w:szCs w:val="24"/>
        </w:rPr>
        <w:t>Moraes</w:t>
      </w:r>
      <w:proofErr w:type="spellEnd"/>
      <w:r w:rsidRPr="001776FA">
        <w:rPr>
          <w:rFonts w:ascii="Times New Roman" w:eastAsia="Times New Roman" w:hAnsi="Times New Roman" w:cs="Times New Roman"/>
          <w:color w:val="000000" w:themeColor="text1"/>
          <w:sz w:val="24"/>
          <w:szCs w:val="24"/>
        </w:rPr>
        <w:t xml:space="preserve">, C.O., </w:t>
      </w:r>
      <w:proofErr w:type="spellStart"/>
      <w:r w:rsidRPr="001776FA">
        <w:rPr>
          <w:rFonts w:ascii="Times New Roman" w:eastAsia="Times New Roman" w:hAnsi="Times New Roman" w:cs="Times New Roman"/>
          <w:color w:val="000000" w:themeColor="text1"/>
          <w:sz w:val="24"/>
          <w:szCs w:val="24"/>
        </w:rPr>
        <w:t>Grapiuna</w:t>
      </w:r>
      <w:proofErr w:type="spellEnd"/>
      <w:r w:rsidRPr="001776FA">
        <w:rPr>
          <w:rFonts w:ascii="Times New Roman" w:eastAsia="Times New Roman" w:hAnsi="Times New Roman" w:cs="Times New Roman"/>
          <w:color w:val="000000" w:themeColor="text1"/>
          <w:sz w:val="24"/>
          <w:szCs w:val="24"/>
        </w:rPr>
        <w:t xml:space="preserve">, L.S. and </w:t>
      </w:r>
      <w:proofErr w:type="spellStart"/>
      <w:r w:rsidRPr="001776FA">
        <w:rPr>
          <w:rFonts w:ascii="Times New Roman" w:eastAsia="Times New Roman" w:hAnsi="Times New Roman" w:cs="Times New Roman"/>
          <w:color w:val="000000" w:themeColor="text1"/>
          <w:sz w:val="24"/>
          <w:szCs w:val="24"/>
        </w:rPr>
        <w:t>Antunes</w:t>
      </w:r>
      <w:proofErr w:type="spellEnd"/>
      <w:r w:rsidRPr="001776FA">
        <w:rPr>
          <w:rFonts w:ascii="Times New Roman" w:eastAsia="Times New Roman" w:hAnsi="Times New Roman" w:cs="Times New Roman"/>
          <w:color w:val="000000" w:themeColor="text1"/>
          <w:sz w:val="24"/>
          <w:szCs w:val="24"/>
        </w:rPr>
        <w:t xml:space="preserve">, J.A.P., 2023. What do we know about the relationship between banks’ risk measures and social-environmental sustainability </w:t>
      </w:r>
      <w:proofErr w:type="gramStart"/>
      <w:r w:rsidRPr="001776FA">
        <w:rPr>
          <w:rFonts w:ascii="Times New Roman" w:eastAsia="Times New Roman" w:hAnsi="Times New Roman" w:cs="Times New Roman"/>
          <w:color w:val="000000" w:themeColor="text1"/>
          <w:sz w:val="24"/>
          <w:szCs w:val="24"/>
        </w:rPr>
        <w:t>transparency?.</w:t>
      </w:r>
      <w:proofErr w:type="gramEnd"/>
      <w:r w:rsidRPr="001776FA">
        <w:rPr>
          <w:rFonts w:ascii="Times New Roman" w:eastAsia="Times New Roman" w:hAnsi="Times New Roman" w:cs="Times New Roman"/>
          <w:color w:val="000000" w:themeColor="text1"/>
          <w:sz w:val="24"/>
          <w:szCs w:val="24"/>
        </w:rPr>
        <w:t xml:space="preserve"> </w:t>
      </w:r>
      <w:proofErr w:type="spellStart"/>
      <w:r w:rsidRPr="001776FA">
        <w:rPr>
          <w:rFonts w:ascii="Times New Roman" w:eastAsia="Times New Roman" w:hAnsi="Times New Roman" w:cs="Times New Roman"/>
          <w:color w:val="000000" w:themeColor="text1"/>
          <w:sz w:val="24"/>
          <w:szCs w:val="24"/>
        </w:rPr>
        <w:t>Borsa</w:t>
      </w:r>
      <w:proofErr w:type="spellEnd"/>
      <w:r w:rsidRPr="001776FA">
        <w:rPr>
          <w:rFonts w:ascii="Times New Roman" w:eastAsia="Times New Roman" w:hAnsi="Times New Roman" w:cs="Times New Roman"/>
          <w:color w:val="000000" w:themeColor="text1"/>
          <w:sz w:val="24"/>
          <w:szCs w:val="24"/>
        </w:rPr>
        <w:t xml:space="preserve"> Istanbul Review. DOI: https://d</w:t>
      </w:r>
      <w:r w:rsidRPr="001776FA">
        <w:rPr>
          <w:rFonts w:ascii="Times New Roman" w:eastAsia="Times New Roman" w:hAnsi="Times New Roman" w:cs="Times New Roman"/>
          <w:color w:val="000000" w:themeColor="text1"/>
          <w:sz w:val="24"/>
          <w:szCs w:val="24"/>
        </w:rPr>
        <w:t xml:space="preserve">oi.org/10.1016/j.bir.2023.01.013 </w:t>
      </w:r>
    </w:p>
    <w:p w14:paraId="056F0359"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proofErr w:type="spellStart"/>
      <w:r w:rsidRPr="001776FA">
        <w:rPr>
          <w:rFonts w:ascii="Times New Roman" w:eastAsia="Times New Roman" w:hAnsi="Times New Roman" w:cs="Times New Roman"/>
          <w:color w:val="000000" w:themeColor="text1"/>
          <w:sz w:val="24"/>
          <w:szCs w:val="24"/>
        </w:rPr>
        <w:t>DesJardine</w:t>
      </w:r>
      <w:proofErr w:type="spellEnd"/>
      <w:r w:rsidRPr="001776FA">
        <w:rPr>
          <w:rFonts w:ascii="Times New Roman" w:eastAsia="Times New Roman" w:hAnsi="Times New Roman" w:cs="Times New Roman"/>
          <w:color w:val="000000" w:themeColor="text1"/>
          <w:sz w:val="24"/>
          <w:szCs w:val="24"/>
        </w:rPr>
        <w:t>, M., Bansal, P. and Yang, Y., 2019. Bouncing back: Building resilience through social and environmental practices in the context of the 2008 global financial crisis. Journal of Management, 45(4), pp.1434-1460. D</w:t>
      </w:r>
      <w:r w:rsidRPr="001776FA">
        <w:rPr>
          <w:rFonts w:ascii="Times New Roman" w:eastAsia="Times New Roman" w:hAnsi="Times New Roman" w:cs="Times New Roman"/>
          <w:color w:val="000000" w:themeColor="text1"/>
          <w:sz w:val="24"/>
          <w:szCs w:val="24"/>
        </w:rPr>
        <w:t xml:space="preserve">OI: 10.1177/0149206317708854 </w:t>
      </w:r>
    </w:p>
    <w:p w14:paraId="0EE01ECA"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proofErr w:type="spellStart"/>
      <w:r w:rsidRPr="001776FA">
        <w:rPr>
          <w:rFonts w:ascii="Times New Roman" w:eastAsia="Times New Roman" w:hAnsi="Times New Roman" w:cs="Times New Roman"/>
          <w:color w:val="000000" w:themeColor="text1"/>
          <w:sz w:val="24"/>
          <w:szCs w:val="24"/>
        </w:rPr>
        <w:t>Elsayed</w:t>
      </w:r>
      <w:proofErr w:type="spellEnd"/>
      <w:r w:rsidRPr="001776FA">
        <w:rPr>
          <w:rFonts w:ascii="Times New Roman" w:eastAsia="Times New Roman" w:hAnsi="Times New Roman" w:cs="Times New Roman"/>
          <w:color w:val="000000" w:themeColor="text1"/>
          <w:sz w:val="24"/>
          <w:szCs w:val="24"/>
        </w:rPr>
        <w:t xml:space="preserve">, A.H., </w:t>
      </w:r>
      <w:proofErr w:type="spellStart"/>
      <w:r w:rsidRPr="001776FA">
        <w:rPr>
          <w:rFonts w:ascii="Times New Roman" w:eastAsia="Times New Roman" w:hAnsi="Times New Roman" w:cs="Times New Roman"/>
          <w:color w:val="000000" w:themeColor="text1"/>
          <w:sz w:val="24"/>
          <w:szCs w:val="24"/>
        </w:rPr>
        <w:t>Nasreen</w:t>
      </w:r>
      <w:proofErr w:type="spellEnd"/>
      <w:r w:rsidRPr="001776FA">
        <w:rPr>
          <w:rFonts w:ascii="Times New Roman" w:eastAsia="Times New Roman" w:hAnsi="Times New Roman" w:cs="Times New Roman"/>
          <w:color w:val="000000" w:themeColor="text1"/>
          <w:sz w:val="24"/>
          <w:szCs w:val="24"/>
        </w:rPr>
        <w:t>, S. and Tiwari, A.K., 2020. Time-varying co-movements between energy market and global financial markets: Implication for portfolio diversification and hedging strategies. Energy Economics, 90, p.104847.</w:t>
      </w:r>
      <w:r w:rsidRPr="001776FA">
        <w:rPr>
          <w:rFonts w:ascii="Times New Roman" w:eastAsia="Times New Roman" w:hAnsi="Times New Roman" w:cs="Times New Roman"/>
          <w:color w:val="000000" w:themeColor="text1"/>
          <w:sz w:val="24"/>
          <w:szCs w:val="24"/>
        </w:rPr>
        <w:t xml:space="preserve"> DOI: https://doi.org/10.1016/j.eneco.2020.104847 </w:t>
      </w:r>
    </w:p>
    <w:p w14:paraId="4709DA5D"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proofErr w:type="spellStart"/>
      <w:r w:rsidRPr="001776FA">
        <w:rPr>
          <w:rFonts w:ascii="Times New Roman" w:eastAsia="Times New Roman" w:hAnsi="Times New Roman" w:cs="Times New Roman"/>
          <w:color w:val="000000" w:themeColor="text1"/>
          <w:sz w:val="24"/>
          <w:szCs w:val="24"/>
        </w:rPr>
        <w:t>Ghorbel</w:t>
      </w:r>
      <w:proofErr w:type="spellEnd"/>
      <w:r w:rsidRPr="001776FA">
        <w:rPr>
          <w:rFonts w:ascii="Times New Roman" w:eastAsia="Times New Roman" w:hAnsi="Times New Roman" w:cs="Times New Roman"/>
          <w:color w:val="000000" w:themeColor="text1"/>
          <w:sz w:val="24"/>
          <w:szCs w:val="24"/>
        </w:rPr>
        <w:t xml:space="preserve">, A. and </w:t>
      </w:r>
      <w:proofErr w:type="spellStart"/>
      <w:r w:rsidRPr="001776FA">
        <w:rPr>
          <w:rFonts w:ascii="Times New Roman" w:eastAsia="Times New Roman" w:hAnsi="Times New Roman" w:cs="Times New Roman"/>
          <w:color w:val="000000" w:themeColor="text1"/>
          <w:sz w:val="24"/>
          <w:szCs w:val="24"/>
        </w:rPr>
        <w:t>Jeribi</w:t>
      </w:r>
      <w:proofErr w:type="spellEnd"/>
      <w:r w:rsidRPr="001776FA">
        <w:rPr>
          <w:rFonts w:ascii="Times New Roman" w:eastAsia="Times New Roman" w:hAnsi="Times New Roman" w:cs="Times New Roman"/>
          <w:color w:val="000000" w:themeColor="text1"/>
          <w:sz w:val="24"/>
          <w:szCs w:val="24"/>
        </w:rPr>
        <w:t>, A., 2021. Investigating the relationship between volatilities of cryptocurrencies and other financial assets. Decisions in Economics and Finance, 44, pp.817-843. DOI: https://doi.or</w:t>
      </w:r>
      <w:r w:rsidRPr="001776FA">
        <w:rPr>
          <w:rFonts w:ascii="Times New Roman" w:eastAsia="Times New Roman" w:hAnsi="Times New Roman" w:cs="Times New Roman"/>
          <w:color w:val="000000" w:themeColor="text1"/>
          <w:sz w:val="24"/>
          <w:szCs w:val="24"/>
        </w:rPr>
        <w:t>g/10.1007/s10203-020-00312-9</w:t>
      </w:r>
    </w:p>
    <w:p w14:paraId="600AF75A" w14:textId="77777777" w:rsidR="001022B7" w:rsidRDefault="00AE4986">
      <w:pPr>
        <w:spacing w:after="24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Group, V. (2021) Valuation methods: A guide, Transfer Pricing &amp; Valuation Specialists. Available at: https://www.valentiam.com/newsandinsights/valuation-methods#:~:text=Three%20main%20types%20of%20valuation,to%20which%20each%20</w:t>
      </w:r>
      <w:r w:rsidRPr="001776FA">
        <w:rPr>
          <w:rFonts w:ascii="Times New Roman" w:eastAsia="Times New Roman" w:hAnsi="Times New Roman" w:cs="Times New Roman"/>
          <w:color w:val="000000" w:themeColor="text1"/>
          <w:sz w:val="24"/>
          <w:szCs w:val="24"/>
        </w:rPr>
        <w:t xml:space="preserve">is%20suited. (Accessed: April 20, 2023). </w:t>
      </w:r>
    </w:p>
    <w:p w14:paraId="63093F0E" w14:textId="77777777" w:rsidR="007B5AD8" w:rsidRDefault="007B5AD8" w:rsidP="007B5AD8">
      <w:pPr>
        <w:pStyle w:val="NormalWeb"/>
        <w:spacing w:line="360" w:lineRule="auto"/>
        <w:ind w:left="567" w:hanging="567"/>
        <w:jc w:val="both"/>
      </w:pPr>
      <w:proofErr w:type="spellStart"/>
      <w:r>
        <w:t>housepricecrash</w:t>
      </w:r>
      <w:proofErr w:type="spellEnd"/>
      <w:r>
        <w:t xml:space="preserve"> (2021) </w:t>
      </w:r>
      <w:r>
        <w:rPr>
          <w:i/>
          <w:iCs/>
        </w:rPr>
        <w:t>The last UK house price crash with graph</w:t>
      </w:r>
      <w:r>
        <w:t xml:space="preserve">, </w:t>
      </w:r>
      <w:proofErr w:type="spellStart"/>
      <w:r>
        <w:rPr>
          <w:i/>
          <w:iCs/>
        </w:rPr>
        <w:t>HousePriceCrash</w:t>
      </w:r>
      <w:proofErr w:type="spellEnd"/>
      <w:r>
        <w:t xml:space="preserve">. Available at: https://www.housepricecrash.co.uk/graphs-last-house-price-crash/ (Accessed: May 1, 2023). </w:t>
      </w:r>
    </w:p>
    <w:p w14:paraId="1FC0222C"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 xml:space="preserve">King, S., 2022. Why Bigger </w:t>
      </w:r>
      <w:r w:rsidRPr="001776FA">
        <w:rPr>
          <w:rFonts w:ascii="Times New Roman" w:eastAsia="Times New Roman" w:hAnsi="Times New Roman" w:cs="Times New Roman"/>
          <w:color w:val="000000" w:themeColor="text1"/>
          <w:sz w:val="24"/>
          <w:szCs w:val="24"/>
        </w:rPr>
        <w:t>Is Not Always Better: Dodd-Frank &amp; Its Impact on Small Banks &amp; Businesses. Journal of Civil Rights and Economic Development, 36(1), p.5. Available at: https://scholarship.law.stjohns.edu/cgi/viewcontent.cgi?article=1931&amp;context=jcred</w:t>
      </w:r>
    </w:p>
    <w:p w14:paraId="28EBA9BC"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proofErr w:type="spellStart"/>
      <w:r w:rsidRPr="001776FA">
        <w:rPr>
          <w:rFonts w:ascii="Times New Roman" w:eastAsia="Times New Roman" w:hAnsi="Times New Roman" w:cs="Times New Roman"/>
          <w:color w:val="000000" w:themeColor="text1"/>
          <w:sz w:val="24"/>
          <w:szCs w:val="24"/>
        </w:rPr>
        <w:t>Kliestik</w:t>
      </w:r>
      <w:proofErr w:type="spellEnd"/>
      <w:r w:rsidRPr="001776FA">
        <w:rPr>
          <w:rFonts w:ascii="Times New Roman" w:eastAsia="Times New Roman" w:hAnsi="Times New Roman" w:cs="Times New Roman"/>
          <w:color w:val="000000" w:themeColor="text1"/>
          <w:sz w:val="24"/>
          <w:szCs w:val="24"/>
        </w:rPr>
        <w:t xml:space="preserve">, T., </w:t>
      </w:r>
      <w:proofErr w:type="spellStart"/>
      <w:r w:rsidRPr="001776FA">
        <w:rPr>
          <w:rFonts w:ascii="Times New Roman" w:eastAsia="Times New Roman" w:hAnsi="Times New Roman" w:cs="Times New Roman"/>
          <w:color w:val="000000" w:themeColor="text1"/>
          <w:sz w:val="24"/>
          <w:szCs w:val="24"/>
        </w:rPr>
        <w:t>Valaskov</w:t>
      </w:r>
      <w:r w:rsidRPr="001776FA">
        <w:rPr>
          <w:rFonts w:ascii="Times New Roman" w:eastAsia="Times New Roman" w:hAnsi="Times New Roman" w:cs="Times New Roman"/>
          <w:color w:val="000000" w:themeColor="text1"/>
          <w:sz w:val="24"/>
          <w:szCs w:val="24"/>
        </w:rPr>
        <w:t>a</w:t>
      </w:r>
      <w:proofErr w:type="spellEnd"/>
      <w:r w:rsidRPr="001776FA">
        <w:rPr>
          <w:rFonts w:ascii="Times New Roman" w:eastAsia="Times New Roman" w:hAnsi="Times New Roman" w:cs="Times New Roman"/>
          <w:color w:val="000000" w:themeColor="text1"/>
          <w:sz w:val="24"/>
          <w:szCs w:val="24"/>
        </w:rPr>
        <w:t xml:space="preserve">, K., </w:t>
      </w:r>
      <w:proofErr w:type="spellStart"/>
      <w:r w:rsidRPr="001776FA">
        <w:rPr>
          <w:rFonts w:ascii="Times New Roman" w:eastAsia="Times New Roman" w:hAnsi="Times New Roman" w:cs="Times New Roman"/>
          <w:color w:val="000000" w:themeColor="text1"/>
          <w:sz w:val="24"/>
          <w:szCs w:val="24"/>
        </w:rPr>
        <w:t>Lazaroiu</w:t>
      </w:r>
      <w:proofErr w:type="spellEnd"/>
      <w:r w:rsidRPr="001776FA">
        <w:rPr>
          <w:rFonts w:ascii="Times New Roman" w:eastAsia="Times New Roman" w:hAnsi="Times New Roman" w:cs="Times New Roman"/>
          <w:color w:val="000000" w:themeColor="text1"/>
          <w:sz w:val="24"/>
          <w:szCs w:val="24"/>
        </w:rPr>
        <w:t xml:space="preserve">, G., </w:t>
      </w:r>
      <w:proofErr w:type="spellStart"/>
      <w:r w:rsidRPr="001776FA">
        <w:rPr>
          <w:rFonts w:ascii="Times New Roman" w:eastAsia="Times New Roman" w:hAnsi="Times New Roman" w:cs="Times New Roman"/>
          <w:color w:val="000000" w:themeColor="text1"/>
          <w:sz w:val="24"/>
          <w:szCs w:val="24"/>
        </w:rPr>
        <w:t>Kovacova</w:t>
      </w:r>
      <w:proofErr w:type="spellEnd"/>
      <w:r w:rsidRPr="001776FA">
        <w:rPr>
          <w:rFonts w:ascii="Times New Roman" w:eastAsia="Times New Roman" w:hAnsi="Times New Roman" w:cs="Times New Roman"/>
          <w:color w:val="000000" w:themeColor="text1"/>
          <w:sz w:val="24"/>
          <w:szCs w:val="24"/>
        </w:rPr>
        <w:t xml:space="preserve">, M. and </w:t>
      </w:r>
      <w:proofErr w:type="spellStart"/>
      <w:r w:rsidRPr="001776FA">
        <w:rPr>
          <w:rFonts w:ascii="Times New Roman" w:eastAsia="Times New Roman" w:hAnsi="Times New Roman" w:cs="Times New Roman"/>
          <w:color w:val="000000" w:themeColor="text1"/>
          <w:sz w:val="24"/>
          <w:szCs w:val="24"/>
        </w:rPr>
        <w:t>Vrbka</w:t>
      </w:r>
      <w:proofErr w:type="spellEnd"/>
      <w:r w:rsidRPr="001776FA">
        <w:rPr>
          <w:rFonts w:ascii="Times New Roman" w:eastAsia="Times New Roman" w:hAnsi="Times New Roman" w:cs="Times New Roman"/>
          <w:color w:val="000000" w:themeColor="text1"/>
          <w:sz w:val="24"/>
          <w:szCs w:val="24"/>
        </w:rPr>
        <w:t>, J., 2020. Remaining financially healthy and competitive: The role of financial predictors. Journal of Competitiveness, 12(1), p.74. DOI: https://doi.org/10.7441/joc.2020.01.05</w:t>
      </w:r>
    </w:p>
    <w:p w14:paraId="73DB4A2A"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proofErr w:type="spellStart"/>
      <w:r w:rsidRPr="001776FA">
        <w:rPr>
          <w:rFonts w:ascii="Times New Roman" w:eastAsia="Times New Roman" w:hAnsi="Times New Roman" w:cs="Times New Roman"/>
          <w:color w:val="000000" w:themeColor="text1"/>
          <w:sz w:val="24"/>
          <w:szCs w:val="24"/>
        </w:rPr>
        <w:t>Leledakis</w:t>
      </w:r>
      <w:proofErr w:type="spellEnd"/>
      <w:r w:rsidRPr="001776FA">
        <w:rPr>
          <w:rFonts w:ascii="Times New Roman" w:eastAsia="Times New Roman" w:hAnsi="Times New Roman" w:cs="Times New Roman"/>
          <w:color w:val="000000" w:themeColor="text1"/>
          <w:sz w:val="24"/>
          <w:szCs w:val="24"/>
        </w:rPr>
        <w:t xml:space="preserve">, G.N. and </w:t>
      </w:r>
      <w:proofErr w:type="spellStart"/>
      <w:r w:rsidRPr="001776FA">
        <w:rPr>
          <w:rFonts w:ascii="Times New Roman" w:eastAsia="Times New Roman" w:hAnsi="Times New Roman" w:cs="Times New Roman"/>
          <w:color w:val="000000" w:themeColor="text1"/>
          <w:sz w:val="24"/>
          <w:szCs w:val="24"/>
        </w:rPr>
        <w:t>Pyrgiotakis</w:t>
      </w:r>
      <w:proofErr w:type="spellEnd"/>
      <w:r w:rsidRPr="001776FA">
        <w:rPr>
          <w:rFonts w:ascii="Times New Roman" w:eastAsia="Times New Roman" w:hAnsi="Times New Roman" w:cs="Times New Roman"/>
          <w:color w:val="000000" w:themeColor="text1"/>
          <w:sz w:val="24"/>
          <w:szCs w:val="24"/>
        </w:rPr>
        <w:t>, E.</w:t>
      </w:r>
      <w:r w:rsidRPr="001776FA">
        <w:rPr>
          <w:rFonts w:ascii="Times New Roman" w:eastAsia="Times New Roman" w:hAnsi="Times New Roman" w:cs="Times New Roman"/>
          <w:color w:val="000000" w:themeColor="text1"/>
          <w:sz w:val="24"/>
          <w:szCs w:val="24"/>
        </w:rPr>
        <w:t xml:space="preserve">G., 2022. US bank M&amp;As in the post-Dodd–Frank Act era: Do they create </w:t>
      </w:r>
      <w:proofErr w:type="gramStart"/>
      <w:r w:rsidRPr="001776FA">
        <w:rPr>
          <w:rFonts w:ascii="Times New Roman" w:eastAsia="Times New Roman" w:hAnsi="Times New Roman" w:cs="Times New Roman"/>
          <w:color w:val="000000" w:themeColor="text1"/>
          <w:sz w:val="24"/>
          <w:szCs w:val="24"/>
        </w:rPr>
        <w:t>value?.</w:t>
      </w:r>
      <w:proofErr w:type="gramEnd"/>
      <w:r w:rsidRPr="001776FA">
        <w:rPr>
          <w:rFonts w:ascii="Times New Roman" w:eastAsia="Times New Roman" w:hAnsi="Times New Roman" w:cs="Times New Roman"/>
          <w:color w:val="000000" w:themeColor="text1"/>
          <w:sz w:val="24"/>
          <w:szCs w:val="24"/>
        </w:rPr>
        <w:t xml:space="preserve"> Journal of Banking &amp; Finance, 135, p.105576. Available at: https://mpra.ub.uni-muenchen.de/93207/1/MPRA_paper_93207.pdf </w:t>
      </w:r>
    </w:p>
    <w:p w14:paraId="3EB9284A"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proofErr w:type="spellStart"/>
      <w:r w:rsidRPr="001776FA">
        <w:rPr>
          <w:rFonts w:ascii="Times New Roman" w:eastAsia="Times New Roman" w:hAnsi="Times New Roman" w:cs="Times New Roman"/>
          <w:color w:val="000000" w:themeColor="text1"/>
          <w:sz w:val="24"/>
          <w:szCs w:val="24"/>
        </w:rPr>
        <w:t>Lentner</w:t>
      </w:r>
      <w:proofErr w:type="spellEnd"/>
      <w:r w:rsidRPr="001776FA">
        <w:rPr>
          <w:rFonts w:ascii="Times New Roman" w:eastAsia="Times New Roman" w:hAnsi="Times New Roman" w:cs="Times New Roman"/>
          <w:color w:val="000000" w:themeColor="text1"/>
          <w:sz w:val="24"/>
          <w:szCs w:val="24"/>
        </w:rPr>
        <w:t xml:space="preserve">, C. and </w:t>
      </w:r>
      <w:proofErr w:type="spellStart"/>
      <w:r w:rsidRPr="001776FA">
        <w:rPr>
          <w:rFonts w:ascii="Times New Roman" w:eastAsia="Times New Roman" w:hAnsi="Times New Roman" w:cs="Times New Roman"/>
          <w:color w:val="000000" w:themeColor="text1"/>
          <w:sz w:val="24"/>
          <w:szCs w:val="24"/>
        </w:rPr>
        <w:t>Kolozsi</w:t>
      </w:r>
      <w:proofErr w:type="spellEnd"/>
      <w:r w:rsidRPr="001776FA">
        <w:rPr>
          <w:rFonts w:ascii="Times New Roman" w:eastAsia="Times New Roman" w:hAnsi="Times New Roman" w:cs="Times New Roman"/>
          <w:color w:val="000000" w:themeColor="text1"/>
          <w:sz w:val="24"/>
          <w:szCs w:val="24"/>
        </w:rPr>
        <w:t>, P.P., 2019. Innovative ways of t</w:t>
      </w:r>
      <w:r w:rsidRPr="001776FA">
        <w:rPr>
          <w:rFonts w:ascii="Times New Roman" w:eastAsia="Times New Roman" w:hAnsi="Times New Roman" w:cs="Times New Roman"/>
          <w:color w:val="000000" w:themeColor="text1"/>
          <w:sz w:val="24"/>
          <w:szCs w:val="24"/>
        </w:rPr>
        <w:t xml:space="preserve">hinking concerning economic governance after the global financial crisis. Problems and Perspectives in Management, 17(3), p.122. DOI: http://dx.doi.org/10.21511/ppm.17(3).2019.10 </w:t>
      </w:r>
    </w:p>
    <w:p w14:paraId="604B829C"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 xml:space="preserve">Liu, E. (2021) Stay competitive in the digital age: The future of banks1, </w:t>
      </w:r>
      <w:proofErr w:type="spellStart"/>
      <w:r w:rsidRPr="001776FA">
        <w:rPr>
          <w:rFonts w:ascii="Times New Roman" w:eastAsia="Times New Roman" w:hAnsi="Times New Roman" w:cs="Times New Roman"/>
          <w:color w:val="000000" w:themeColor="text1"/>
          <w:sz w:val="24"/>
          <w:szCs w:val="24"/>
        </w:rPr>
        <w:t>im</w:t>
      </w:r>
      <w:r w:rsidRPr="001776FA">
        <w:rPr>
          <w:rFonts w:ascii="Times New Roman" w:eastAsia="Times New Roman" w:hAnsi="Times New Roman" w:cs="Times New Roman"/>
          <w:color w:val="000000" w:themeColor="text1"/>
          <w:sz w:val="24"/>
          <w:szCs w:val="24"/>
        </w:rPr>
        <w:t>fsg</w:t>
      </w:r>
      <w:proofErr w:type="spellEnd"/>
      <w:r w:rsidRPr="001776FA">
        <w:rPr>
          <w:rFonts w:ascii="Times New Roman" w:eastAsia="Times New Roman" w:hAnsi="Times New Roman" w:cs="Times New Roman"/>
          <w:color w:val="000000" w:themeColor="text1"/>
          <w:sz w:val="24"/>
          <w:szCs w:val="24"/>
        </w:rPr>
        <w:t xml:space="preserve">. International Monetary Fund. Available at: https://www.elibrary.imf.org/view/journals/001/2021/046/article-A001-en.xml (Accessed: April 20, 2023). </w:t>
      </w:r>
    </w:p>
    <w:p w14:paraId="4BDE91CF" w14:textId="77777777" w:rsidR="001022B7" w:rsidRDefault="00AE4986">
      <w:pPr>
        <w:spacing w:after="24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 xml:space="preserve">Lund, S. (2018) A decade after the global financial crisis: What has (and hasn't) </w:t>
      </w:r>
      <w:proofErr w:type="gramStart"/>
      <w:r w:rsidRPr="001776FA">
        <w:rPr>
          <w:rFonts w:ascii="Times New Roman" w:eastAsia="Times New Roman" w:hAnsi="Times New Roman" w:cs="Times New Roman"/>
          <w:color w:val="000000" w:themeColor="text1"/>
          <w:sz w:val="24"/>
          <w:szCs w:val="24"/>
        </w:rPr>
        <w:t>changed?,</w:t>
      </w:r>
      <w:proofErr w:type="gramEnd"/>
      <w:r w:rsidRPr="001776FA">
        <w:rPr>
          <w:rFonts w:ascii="Times New Roman" w:eastAsia="Times New Roman" w:hAnsi="Times New Roman" w:cs="Times New Roman"/>
          <w:color w:val="000000" w:themeColor="text1"/>
          <w:sz w:val="24"/>
          <w:szCs w:val="24"/>
        </w:rPr>
        <w:t xml:space="preserve"> McKinsey &amp; </w:t>
      </w:r>
      <w:r w:rsidRPr="001776FA">
        <w:rPr>
          <w:rFonts w:ascii="Times New Roman" w:eastAsia="Times New Roman" w:hAnsi="Times New Roman" w:cs="Times New Roman"/>
          <w:color w:val="000000" w:themeColor="text1"/>
          <w:sz w:val="24"/>
          <w:szCs w:val="24"/>
        </w:rPr>
        <w:t xml:space="preserve">Company. McKinsey &amp; Company. Available at: https://www.mckinsey.com/industries/financial-services/our-insights/a-decade-after-the-global-financial-crisis-what-has-and-hasnt-changed (Accessed: April 20, 2023). </w:t>
      </w:r>
    </w:p>
    <w:p w14:paraId="64674C00" w14:textId="77777777" w:rsidR="00075743" w:rsidRDefault="00075743" w:rsidP="00075743">
      <w:pPr>
        <w:pStyle w:val="NormalWeb"/>
        <w:spacing w:line="360" w:lineRule="auto"/>
        <w:ind w:left="567" w:hanging="567"/>
        <w:jc w:val="both"/>
      </w:pPr>
      <w:proofErr w:type="spellStart"/>
      <w:r>
        <w:t>Mantell</w:t>
      </w:r>
      <w:proofErr w:type="spellEnd"/>
      <w:r>
        <w:t xml:space="preserve">, R. (2013) </w:t>
      </w:r>
      <w:r>
        <w:rPr>
          <w:i/>
          <w:iCs/>
        </w:rPr>
        <w:t>From 2008 to now: Charts of the financial crisis</w:t>
      </w:r>
      <w:r>
        <w:t xml:space="preserve">, </w:t>
      </w:r>
      <w:proofErr w:type="spellStart"/>
      <w:r>
        <w:rPr>
          <w:i/>
          <w:iCs/>
        </w:rPr>
        <w:t>MarketWatch</w:t>
      </w:r>
      <w:proofErr w:type="spellEnd"/>
      <w:r>
        <w:t xml:space="preserve">. </w:t>
      </w:r>
      <w:proofErr w:type="spellStart"/>
      <w:r>
        <w:t>MarketWatch</w:t>
      </w:r>
      <w:proofErr w:type="spellEnd"/>
      <w:r>
        <w:t xml:space="preserve">. Available at: https://www.marketwatch.com/story/from-2008-to-now-charts-of-the-financial-crisis-2013-09-18 (Accessed: May 1, 2023). </w:t>
      </w:r>
    </w:p>
    <w:p w14:paraId="348C84B2"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 xml:space="preserve">Martin, V., 2022. Basel 3.1–New Regulatory Framework for Banks. </w:t>
      </w:r>
      <w:proofErr w:type="spellStart"/>
      <w:r w:rsidRPr="001776FA">
        <w:rPr>
          <w:rFonts w:ascii="Times New Roman" w:eastAsia="Times New Roman" w:hAnsi="Times New Roman" w:cs="Times New Roman"/>
          <w:color w:val="000000" w:themeColor="text1"/>
          <w:sz w:val="24"/>
          <w:szCs w:val="24"/>
        </w:rPr>
        <w:t>PaKSoM</w:t>
      </w:r>
      <w:proofErr w:type="spellEnd"/>
      <w:r w:rsidRPr="001776FA">
        <w:rPr>
          <w:rFonts w:ascii="Times New Roman" w:eastAsia="Times New Roman" w:hAnsi="Times New Roman" w:cs="Times New Roman"/>
          <w:color w:val="000000" w:themeColor="text1"/>
          <w:sz w:val="24"/>
          <w:szCs w:val="24"/>
        </w:rPr>
        <w:t xml:space="preserve"> 202</w:t>
      </w:r>
      <w:r w:rsidRPr="001776FA">
        <w:rPr>
          <w:rFonts w:ascii="Times New Roman" w:eastAsia="Times New Roman" w:hAnsi="Times New Roman" w:cs="Times New Roman"/>
          <w:color w:val="000000" w:themeColor="text1"/>
          <w:sz w:val="24"/>
          <w:szCs w:val="24"/>
        </w:rPr>
        <w:t xml:space="preserve">2, p.173.  Available at: </w:t>
      </w:r>
      <w:hyperlink r:id="rId15" w:anchor="page=188" w:history="1">
        <w:r w:rsidRPr="001776FA">
          <w:rPr>
            <w:rFonts w:ascii="Times New Roman" w:eastAsia="Times New Roman" w:hAnsi="Times New Roman" w:cs="Times New Roman"/>
            <w:color w:val="000000" w:themeColor="text1"/>
            <w:sz w:val="24"/>
            <w:szCs w:val="24"/>
            <w:u w:val="single"/>
          </w:rPr>
          <w:t>https://www.researchgate.net/profile/Nenad-Peric/publication/369644721_The_Influence_of_Mobile_Phones_on_Children_and_Youth_-_General_Overview/links/6425b31ba1b72772e439e448/The-Influence-of-Mobile-Phones-on-C</w:t>
        </w:r>
        <w:r w:rsidRPr="001776FA">
          <w:rPr>
            <w:rFonts w:ascii="Times New Roman" w:eastAsia="Times New Roman" w:hAnsi="Times New Roman" w:cs="Times New Roman"/>
            <w:color w:val="000000" w:themeColor="text1"/>
            <w:sz w:val="24"/>
            <w:szCs w:val="24"/>
            <w:u w:val="single"/>
          </w:rPr>
          <w:t>hildren-and-Youth-General-Overview.pdf#page=188</w:t>
        </w:r>
      </w:hyperlink>
    </w:p>
    <w:p w14:paraId="0DCB79FB"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Merle, R. (2018) A guide to the financial crisis - 10 years later, The Washington Post. WP Company. Available at: https://www.washingtonpost.com/business/economy/a-guide-to-the-financial-crisis--10-years-late</w:t>
      </w:r>
      <w:r w:rsidRPr="001776FA">
        <w:rPr>
          <w:rFonts w:ascii="Times New Roman" w:eastAsia="Times New Roman" w:hAnsi="Times New Roman" w:cs="Times New Roman"/>
          <w:color w:val="000000" w:themeColor="text1"/>
          <w:sz w:val="24"/>
          <w:szCs w:val="24"/>
        </w:rPr>
        <w:t xml:space="preserve">r/2018/09/10/114b76ba-af10-11e8-a20b-5f4f84429666_story.html (Accessed: April 20, 2023). </w:t>
      </w:r>
    </w:p>
    <w:p w14:paraId="52135971"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 xml:space="preserve">Noll, D.L., 2021. Administrative sabotage. Mich. L. Rev., 120, p.753.  Available at: </w:t>
      </w:r>
      <w:hyperlink r:id="rId16" w:history="1">
        <w:r w:rsidRPr="001776FA">
          <w:rPr>
            <w:rFonts w:ascii="Times New Roman" w:eastAsia="Times New Roman" w:hAnsi="Times New Roman" w:cs="Times New Roman"/>
            <w:color w:val="000000" w:themeColor="text1"/>
            <w:sz w:val="24"/>
            <w:szCs w:val="24"/>
            <w:u w:val="single"/>
          </w:rPr>
          <w:t>https://repository.law.umich.edu/cgi/viewcontent.cgi?article=8398&amp;context=mlr</w:t>
        </w:r>
      </w:hyperlink>
    </w:p>
    <w:p w14:paraId="4B5B13ED"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proofErr w:type="spellStart"/>
      <w:r w:rsidRPr="001776FA">
        <w:rPr>
          <w:rFonts w:ascii="Times New Roman" w:eastAsia="Times New Roman" w:hAnsi="Times New Roman" w:cs="Times New Roman"/>
          <w:color w:val="000000" w:themeColor="text1"/>
          <w:sz w:val="24"/>
          <w:szCs w:val="24"/>
        </w:rPr>
        <w:t>Notteboom</w:t>
      </w:r>
      <w:proofErr w:type="spellEnd"/>
      <w:r w:rsidRPr="001776FA">
        <w:rPr>
          <w:rFonts w:ascii="Times New Roman" w:eastAsia="Times New Roman" w:hAnsi="Times New Roman" w:cs="Times New Roman"/>
          <w:color w:val="000000" w:themeColor="text1"/>
          <w:sz w:val="24"/>
          <w:szCs w:val="24"/>
        </w:rPr>
        <w:t xml:space="preserve">, T., </w:t>
      </w:r>
      <w:proofErr w:type="spellStart"/>
      <w:r w:rsidRPr="001776FA">
        <w:rPr>
          <w:rFonts w:ascii="Times New Roman" w:eastAsia="Times New Roman" w:hAnsi="Times New Roman" w:cs="Times New Roman"/>
          <w:color w:val="000000" w:themeColor="text1"/>
          <w:sz w:val="24"/>
          <w:szCs w:val="24"/>
        </w:rPr>
        <w:t>Pallis</w:t>
      </w:r>
      <w:proofErr w:type="spellEnd"/>
      <w:r w:rsidRPr="001776FA">
        <w:rPr>
          <w:rFonts w:ascii="Times New Roman" w:eastAsia="Times New Roman" w:hAnsi="Times New Roman" w:cs="Times New Roman"/>
          <w:color w:val="000000" w:themeColor="text1"/>
          <w:sz w:val="24"/>
          <w:szCs w:val="24"/>
        </w:rPr>
        <w:t xml:space="preserve">, T. and </w:t>
      </w:r>
      <w:proofErr w:type="spellStart"/>
      <w:r w:rsidRPr="001776FA">
        <w:rPr>
          <w:rFonts w:ascii="Times New Roman" w:eastAsia="Times New Roman" w:hAnsi="Times New Roman" w:cs="Times New Roman"/>
          <w:color w:val="000000" w:themeColor="text1"/>
          <w:sz w:val="24"/>
          <w:szCs w:val="24"/>
        </w:rPr>
        <w:t>Rodrigue</w:t>
      </w:r>
      <w:proofErr w:type="spellEnd"/>
      <w:r w:rsidRPr="001776FA">
        <w:rPr>
          <w:rFonts w:ascii="Times New Roman" w:eastAsia="Times New Roman" w:hAnsi="Times New Roman" w:cs="Times New Roman"/>
          <w:color w:val="000000" w:themeColor="text1"/>
          <w:sz w:val="24"/>
          <w:szCs w:val="24"/>
        </w:rPr>
        <w:t>, J.P., 2021. Disruptions and resilience in global container shipping and ports: the COVID-19 pandemic versus the 2008–2009 fin</w:t>
      </w:r>
      <w:r w:rsidRPr="001776FA">
        <w:rPr>
          <w:rFonts w:ascii="Times New Roman" w:eastAsia="Times New Roman" w:hAnsi="Times New Roman" w:cs="Times New Roman"/>
          <w:color w:val="000000" w:themeColor="text1"/>
          <w:sz w:val="24"/>
          <w:szCs w:val="24"/>
        </w:rPr>
        <w:t xml:space="preserve">ancial crisis. Maritime Economics &amp; Logistics, 23, pp.179-210. Available at: https://link.springer.com/article/10.1057/s41278-020-00180-5 </w:t>
      </w:r>
    </w:p>
    <w:p w14:paraId="001836B4"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proofErr w:type="spellStart"/>
      <w:r w:rsidRPr="001776FA">
        <w:rPr>
          <w:rFonts w:ascii="Times New Roman" w:eastAsia="Times New Roman" w:hAnsi="Times New Roman" w:cs="Times New Roman"/>
          <w:color w:val="000000" w:themeColor="text1"/>
          <w:sz w:val="24"/>
          <w:szCs w:val="24"/>
        </w:rPr>
        <w:t>Notteboom</w:t>
      </w:r>
      <w:proofErr w:type="spellEnd"/>
      <w:r w:rsidRPr="001776FA">
        <w:rPr>
          <w:rFonts w:ascii="Times New Roman" w:eastAsia="Times New Roman" w:hAnsi="Times New Roman" w:cs="Times New Roman"/>
          <w:color w:val="000000" w:themeColor="text1"/>
          <w:sz w:val="24"/>
          <w:szCs w:val="24"/>
        </w:rPr>
        <w:t xml:space="preserve">, T., </w:t>
      </w:r>
      <w:proofErr w:type="spellStart"/>
      <w:r w:rsidRPr="001776FA">
        <w:rPr>
          <w:rFonts w:ascii="Times New Roman" w:eastAsia="Times New Roman" w:hAnsi="Times New Roman" w:cs="Times New Roman"/>
          <w:color w:val="000000" w:themeColor="text1"/>
          <w:sz w:val="24"/>
          <w:szCs w:val="24"/>
        </w:rPr>
        <w:t>Pallis</w:t>
      </w:r>
      <w:proofErr w:type="spellEnd"/>
      <w:r w:rsidRPr="001776FA">
        <w:rPr>
          <w:rFonts w:ascii="Times New Roman" w:eastAsia="Times New Roman" w:hAnsi="Times New Roman" w:cs="Times New Roman"/>
          <w:color w:val="000000" w:themeColor="text1"/>
          <w:sz w:val="24"/>
          <w:szCs w:val="24"/>
        </w:rPr>
        <w:t xml:space="preserve">, T. and </w:t>
      </w:r>
      <w:proofErr w:type="spellStart"/>
      <w:r w:rsidRPr="001776FA">
        <w:rPr>
          <w:rFonts w:ascii="Times New Roman" w:eastAsia="Times New Roman" w:hAnsi="Times New Roman" w:cs="Times New Roman"/>
          <w:color w:val="000000" w:themeColor="text1"/>
          <w:sz w:val="24"/>
          <w:szCs w:val="24"/>
        </w:rPr>
        <w:t>Rodrigue</w:t>
      </w:r>
      <w:proofErr w:type="spellEnd"/>
      <w:r w:rsidRPr="001776FA">
        <w:rPr>
          <w:rFonts w:ascii="Times New Roman" w:eastAsia="Times New Roman" w:hAnsi="Times New Roman" w:cs="Times New Roman"/>
          <w:color w:val="000000" w:themeColor="text1"/>
          <w:sz w:val="24"/>
          <w:szCs w:val="24"/>
        </w:rPr>
        <w:t>, J.P., 2021. Disruptions and resilience in global container shipping and ports</w:t>
      </w:r>
      <w:r w:rsidRPr="001776FA">
        <w:rPr>
          <w:rFonts w:ascii="Times New Roman" w:eastAsia="Times New Roman" w:hAnsi="Times New Roman" w:cs="Times New Roman"/>
          <w:color w:val="000000" w:themeColor="text1"/>
          <w:sz w:val="24"/>
          <w:szCs w:val="24"/>
        </w:rPr>
        <w:t xml:space="preserve">: the COVID-19 pandemic versus the 2008–2009 financial crisis. Maritime Economics &amp; Logistics, 23, pp.179-210. Available at: https://link.springer.com/article/10.1057/s41278-020-00180-5 </w:t>
      </w:r>
    </w:p>
    <w:p w14:paraId="3BF7556F"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proofErr w:type="spellStart"/>
      <w:r w:rsidRPr="001776FA">
        <w:rPr>
          <w:rFonts w:ascii="Times New Roman" w:eastAsia="Times New Roman" w:hAnsi="Times New Roman" w:cs="Times New Roman"/>
          <w:color w:val="000000" w:themeColor="text1"/>
          <w:sz w:val="24"/>
          <w:szCs w:val="24"/>
        </w:rPr>
        <w:t>obamawhitehouse</w:t>
      </w:r>
      <w:proofErr w:type="spellEnd"/>
      <w:r w:rsidRPr="001776FA">
        <w:rPr>
          <w:rFonts w:ascii="Times New Roman" w:eastAsia="Times New Roman" w:hAnsi="Times New Roman" w:cs="Times New Roman"/>
          <w:color w:val="000000" w:themeColor="text1"/>
          <w:sz w:val="24"/>
          <w:szCs w:val="24"/>
        </w:rPr>
        <w:t xml:space="preserve"> (2019) Wall street reform: The </w:t>
      </w:r>
      <w:proofErr w:type="spellStart"/>
      <w:r w:rsidRPr="001776FA">
        <w:rPr>
          <w:rFonts w:ascii="Times New Roman" w:eastAsia="Times New Roman" w:hAnsi="Times New Roman" w:cs="Times New Roman"/>
          <w:color w:val="000000" w:themeColor="text1"/>
          <w:sz w:val="24"/>
          <w:szCs w:val="24"/>
        </w:rPr>
        <w:t>dodd</w:t>
      </w:r>
      <w:proofErr w:type="spellEnd"/>
      <w:r w:rsidRPr="001776FA">
        <w:rPr>
          <w:rFonts w:ascii="Times New Roman" w:eastAsia="Times New Roman" w:hAnsi="Times New Roman" w:cs="Times New Roman"/>
          <w:color w:val="000000" w:themeColor="text1"/>
          <w:sz w:val="24"/>
          <w:szCs w:val="24"/>
        </w:rPr>
        <w:t>-frank act, Nation</w:t>
      </w:r>
      <w:r w:rsidRPr="001776FA">
        <w:rPr>
          <w:rFonts w:ascii="Times New Roman" w:eastAsia="Times New Roman" w:hAnsi="Times New Roman" w:cs="Times New Roman"/>
          <w:color w:val="000000" w:themeColor="text1"/>
          <w:sz w:val="24"/>
          <w:szCs w:val="24"/>
        </w:rPr>
        <w:t xml:space="preserve">al Archives and Records Administration. National Archives and Records Administration. Available at: https://obamawhitehouse.archives.gov/economy/middle-class/dodd-frank-wall-street-reform (Accessed: April 20, 2023). </w:t>
      </w:r>
    </w:p>
    <w:p w14:paraId="1A954617"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Park, H. and Kim, J.D., 2020. Transitio</w:t>
      </w:r>
      <w:r w:rsidRPr="001776FA">
        <w:rPr>
          <w:rFonts w:ascii="Times New Roman" w:eastAsia="Times New Roman" w:hAnsi="Times New Roman" w:cs="Times New Roman"/>
          <w:color w:val="000000" w:themeColor="text1"/>
          <w:sz w:val="24"/>
          <w:szCs w:val="24"/>
        </w:rPr>
        <w:t>n towards green banking: role of financial regulators and financial institutions. Asian Journal of Sustainability and Social Responsibility, 5(1), pp.1-25. DOI: https://doi.org/10.1186/s41180-020-00034-3</w:t>
      </w:r>
    </w:p>
    <w:p w14:paraId="6BAE9B66"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proofErr w:type="spellStart"/>
      <w:r w:rsidRPr="001776FA">
        <w:rPr>
          <w:rFonts w:ascii="Times New Roman" w:eastAsia="Times New Roman" w:hAnsi="Times New Roman" w:cs="Times New Roman"/>
          <w:color w:val="000000" w:themeColor="text1"/>
          <w:sz w:val="24"/>
          <w:szCs w:val="24"/>
        </w:rPr>
        <w:t>Probasco</w:t>
      </w:r>
      <w:proofErr w:type="spellEnd"/>
      <w:r w:rsidRPr="001776FA">
        <w:rPr>
          <w:rFonts w:ascii="Times New Roman" w:eastAsia="Times New Roman" w:hAnsi="Times New Roman" w:cs="Times New Roman"/>
          <w:color w:val="000000" w:themeColor="text1"/>
          <w:sz w:val="24"/>
          <w:szCs w:val="24"/>
        </w:rPr>
        <w:t>, J. (2022) Keynesian economics: A Depressio</w:t>
      </w:r>
      <w:r w:rsidRPr="001776FA">
        <w:rPr>
          <w:rFonts w:ascii="Times New Roman" w:eastAsia="Times New Roman" w:hAnsi="Times New Roman" w:cs="Times New Roman"/>
          <w:color w:val="000000" w:themeColor="text1"/>
          <w:sz w:val="24"/>
          <w:szCs w:val="24"/>
        </w:rPr>
        <w:t xml:space="preserve">n-era idea that's seen a resurgence in the 21st century, Business Insider. Business Insider. Available at: https://www.businessinsider.com/personal-finance/keynesian-economics?IR=T (Accessed: April 20, 2023). </w:t>
      </w:r>
    </w:p>
    <w:p w14:paraId="248C76FE" w14:textId="77777777" w:rsidR="001022B7" w:rsidRPr="001776FA" w:rsidRDefault="00AE4986">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1776FA">
        <w:rPr>
          <w:rFonts w:ascii="Times New Roman" w:eastAsia="Times New Roman" w:hAnsi="Times New Roman" w:cs="Times New Roman"/>
          <w:color w:val="000000" w:themeColor="text1"/>
          <w:sz w:val="24"/>
          <w:szCs w:val="24"/>
        </w:rPr>
        <w:t>Rudden</w:t>
      </w:r>
      <w:proofErr w:type="spellEnd"/>
      <w:r w:rsidRPr="001776FA">
        <w:rPr>
          <w:rFonts w:ascii="Times New Roman" w:eastAsia="Times New Roman" w:hAnsi="Times New Roman" w:cs="Times New Roman"/>
          <w:color w:val="000000" w:themeColor="text1"/>
          <w:sz w:val="24"/>
          <w:szCs w:val="24"/>
        </w:rPr>
        <w:t xml:space="preserve">, J. (2008) </w:t>
      </w:r>
      <w:r w:rsidRPr="001776FA">
        <w:rPr>
          <w:rFonts w:ascii="Times New Roman" w:eastAsia="Times New Roman" w:hAnsi="Times New Roman" w:cs="Times New Roman"/>
          <w:i/>
          <w:color w:val="000000" w:themeColor="text1"/>
          <w:sz w:val="24"/>
          <w:szCs w:val="24"/>
        </w:rPr>
        <w:t>Financial crisis: Credit los</w:t>
      </w:r>
      <w:r w:rsidRPr="001776FA">
        <w:rPr>
          <w:rFonts w:ascii="Times New Roman" w:eastAsia="Times New Roman" w:hAnsi="Times New Roman" w:cs="Times New Roman"/>
          <w:i/>
          <w:color w:val="000000" w:themeColor="text1"/>
          <w:sz w:val="24"/>
          <w:szCs w:val="24"/>
        </w:rPr>
        <w:t xml:space="preserve">ses and </w:t>
      </w:r>
      <w:proofErr w:type="spellStart"/>
      <w:r w:rsidRPr="001776FA">
        <w:rPr>
          <w:rFonts w:ascii="Times New Roman" w:eastAsia="Times New Roman" w:hAnsi="Times New Roman" w:cs="Times New Roman"/>
          <w:i/>
          <w:color w:val="000000" w:themeColor="text1"/>
          <w:sz w:val="24"/>
          <w:szCs w:val="24"/>
        </w:rPr>
        <w:t>writedowns</w:t>
      </w:r>
      <w:proofErr w:type="spellEnd"/>
      <w:r w:rsidRPr="001776FA">
        <w:rPr>
          <w:rFonts w:ascii="Times New Roman" w:eastAsia="Times New Roman" w:hAnsi="Times New Roman" w:cs="Times New Roman"/>
          <w:i/>
          <w:color w:val="000000" w:themeColor="text1"/>
          <w:sz w:val="24"/>
          <w:szCs w:val="24"/>
        </w:rPr>
        <w:t xml:space="preserve"> of insurance 2008</w:t>
      </w:r>
      <w:r w:rsidRPr="001776FA">
        <w:rPr>
          <w:rFonts w:ascii="Times New Roman" w:eastAsia="Times New Roman" w:hAnsi="Times New Roman" w:cs="Times New Roman"/>
          <w:color w:val="000000" w:themeColor="text1"/>
          <w:sz w:val="24"/>
          <w:szCs w:val="24"/>
        </w:rPr>
        <w:t xml:space="preserve">, </w:t>
      </w:r>
      <w:r w:rsidRPr="001776FA">
        <w:rPr>
          <w:rFonts w:ascii="Times New Roman" w:eastAsia="Times New Roman" w:hAnsi="Times New Roman" w:cs="Times New Roman"/>
          <w:i/>
          <w:color w:val="000000" w:themeColor="text1"/>
          <w:sz w:val="24"/>
          <w:szCs w:val="24"/>
        </w:rPr>
        <w:t>Statista</w:t>
      </w:r>
      <w:r w:rsidRPr="001776FA">
        <w:rPr>
          <w:rFonts w:ascii="Times New Roman" w:eastAsia="Times New Roman" w:hAnsi="Times New Roman" w:cs="Times New Roman"/>
          <w:color w:val="000000" w:themeColor="text1"/>
          <w:sz w:val="24"/>
          <w:szCs w:val="24"/>
        </w:rPr>
        <w:t xml:space="preserve">. Available at: https://www.statista.com/statistics/269594/credit-losses-and-writedowns-at-insurances-in-the-financial-crisis/ (Accessed: April 22, 2023). </w:t>
      </w:r>
    </w:p>
    <w:p w14:paraId="3BBDA725"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 xml:space="preserve">sec202 (2020) American International Group, Inc., July 27, 2020 - SEC. Available at: https://www.sec.gov/divisions/corpfin/cf-noaction/2020/aig072720-rule405.pdf (Accessed: April 20, 2023). </w:t>
      </w:r>
    </w:p>
    <w:p w14:paraId="75C20B1B" w14:textId="77777777" w:rsidR="001022B7" w:rsidRPr="001776FA" w:rsidRDefault="00AE4986">
      <w:pPr>
        <w:spacing w:after="240" w:line="360" w:lineRule="auto"/>
        <w:jc w:val="both"/>
        <w:rPr>
          <w:rFonts w:ascii="Times New Roman" w:eastAsia="Times New Roman" w:hAnsi="Times New Roman" w:cs="Times New Roman"/>
          <w:b/>
          <w:color w:val="000000" w:themeColor="text1"/>
          <w:sz w:val="24"/>
          <w:szCs w:val="24"/>
        </w:rPr>
      </w:pPr>
      <w:proofErr w:type="spellStart"/>
      <w:r w:rsidRPr="001776FA">
        <w:rPr>
          <w:rFonts w:ascii="Times New Roman" w:eastAsia="Times New Roman" w:hAnsi="Times New Roman" w:cs="Times New Roman"/>
          <w:color w:val="000000" w:themeColor="text1"/>
          <w:sz w:val="24"/>
          <w:szCs w:val="24"/>
        </w:rPr>
        <w:t>Senbeto</w:t>
      </w:r>
      <w:proofErr w:type="spellEnd"/>
      <w:r w:rsidRPr="001776FA">
        <w:rPr>
          <w:rFonts w:ascii="Times New Roman" w:eastAsia="Times New Roman" w:hAnsi="Times New Roman" w:cs="Times New Roman"/>
          <w:color w:val="000000" w:themeColor="text1"/>
          <w:sz w:val="24"/>
          <w:szCs w:val="24"/>
        </w:rPr>
        <w:t>, D.L. and Hon, A.H., 2020. The impacts of social and econ</w:t>
      </w:r>
      <w:r w:rsidRPr="001776FA">
        <w:rPr>
          <w:rFonts w:ascii="Times New Roman" w:eastAsia="Times New Roman" w:hAnsi="Times New Roman" w:cs="Times New Roman"/>
          <w:color w:val="000000" w:themeColor="text1"/>
          <w:sz w:val="24"/>
          <w:szCs w:val="24"/>
        </w:rPr>
        <w:t xml:space="preserve">omic crises on tourist behaviour and expenditure: an evolutionary approach. Current Issues in Tourism, 23(6), pp.740-755. DOI: </w:t>
      </w:r>
      <w:hyperlink r:id="rId17" w:history="1">
        <w:r w:rsidRPr="001776FA">
          <w:rPr>
            <w:rFonts w:ascii="Times New Roman" w:eastAsia="Times New Roman" w:hAnsi="Times New Roman" w:cs="Times New Roman"/>
            <w:color w:val="000000" w:themeColor="text1"/>
            <w:sz w:val="24"/>
            <w:szCs w:val="24"/>
            <w:u w:val="single"/>
          </w:rPr>
          <w:t>https://doi.org/10.1080/13683500.2018.1546674</w:t>
        </w:r>
      </w:hyperlink>
    </w:p>
    <w:p w14:paraId="303114C1"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proofErr w:type="spellStart"/>
      <w:r w:rsidRPr="001776FA">
        <w:rPr>
          <w:rFonts w:ascii="Times New Roman" w:eastAsia="Times New Roman" w:hAnsi="Times New Roman" w:cs="Times New Roman"/>
          <w:color w:val="000000" w:themeColor="text1"/>
          <w:sz w:val="24"/>
          <w:szCs w:val="24"/>
        </w:rPr>
        <w:t>Shafiei</w:t>
      </w:r>
      <w:proofErr w:type="spellEnd"/>
      <w:r w:rsidRPr="001776FA">
        <w:rPr>
          <w:rFonts w:ascii="Times New Roman" w:eastAsia="Times New Roman" w:hAnsi="Times New Roman" w:cs="Times New Roman"/>
          <w:color w:val="000000" w:themeColor="text1"/>
          <w:sz w:val="24"/>
          <w:szCs w:val="24"/>
        </w:rPr>
        <w:t xml:space="preserve">, A. and </w:t>
      </w:r>
      <w:proofErr w:type="spellStart"/>
      <w:r w:rsidRPr="001776FA">
        <w:rPr>
          <w:rFonts w:ascii="Times New Roman" w:eastAsia="Times New Roman" w:hAnsi="Times New Roman" w:cs="Times New Roman"/>
          <w:color w:val="000000" w:themeColor="text1"/>
          <w:sz w:val="24"/>
          <w:szCs w:val="24"/>
        </w:rPr>
        <w:t>Malek</w:t>
      </w:r>
      <w:r w:rsidRPr="001776FA">
        <w:rPr>
          <w:rFonts w:ascii="Times New Roman" w:eastAsia="Times New Roman" w:hAnsi="Times New Roman" w:cs="Times New Roman"/>
          <w:color w:val="000000" w:themeColor="text1"/>
          <w:sz w:val="24"/>
          <w:szCs w:val="24"/>
        </w:rPr>
        <w:t>saeidi</w:t>
      </w:r>
      <w:proofErr w:type="spellEnd"/>
      <w:r w:rsidRPr="001776FA">
        <w:rPr>
          <w:rFonts w:ascii="Times New Roman" w:eastAsia="Times New Roman" w:hAnsi="Times New Roman" w:cs="Times New Roman"/>
          <w:color w:val="000000" w:themeColor="text1"/>
          <w:sz w:val="24"/>
          <w:szCs w:val="24"/>
        </w:rPr>
        <w:t xml:space="preserve">, H., 2020. Pro-environmental </w:t>
      </w:r>
      <w:proofErr w:type="spellStart"/>
      <w:r w:rsidRPr="001776FA">
        <w:rPr>
          <w:rFonts w:ascii="Times New Roman" w:eastAsia="Times New Roman" w:hAnsi="Times New Roman" w:cs="Times New Roman"/>
          <w:color w:val="000000" w:themeColor="text1"/>
          <w:sz w:val="24"/>
          <w:szCs w:val="24"/>
        </w:rPr>
        <w:t>behavior</w:t>
      </w:r>
      <w:proofErr w:type="spellEnd"/>
      <w:r w:rsidRPr="001776FA">
        <w:rPr>
          <w:rFonts w:ascii="Times New Roman" w:eastAsia="Times New Roman" w:hAnsi="Times New Roman" w:cs="Times New Roman"/>
          <w:color w:val="000000" w:themeColor="text1"/>
          <w:sz w:val="24"/>
          <w:szCs w:val="24"/>
        </w:rPr>
        <w:t xml:space="preserve"> of university students: Application of protection motivation theory. Global Ecology and Conservation, 22, </w:t>
      </w:r>
      <w:proofErr w:type="gramStart"/>
      <w:r w:rsidRPr="001776FA">
        <w:rPr>
          <w:rFonts w:ascii="Times New Roman" w:eastAsia="Times New Roman" w:hAnsi="Times New Roman" w:cs="Times New Roman"/>
          <w:color w:val="000000" w:themeColor="text1"/>
          <w:sz w:val="24"/>
          <w:szCs w:val="24"/>
        </w:rPr>
        <w:t>p.e</w:t>
      </w:r>
      <w:proofErr w:type="gramEnd"/>
      <w:r w:rsidRPr="001776FA">
        <w:rPr>
          <w:rFonts w:ascii="Times New Roman" w:eastAsia="Times New Roman" w:hAnsi="Times New Roman" w:cs="Times New Roman"/>
          <w:color w:val="000000" w:themeColor="text1"/>
          <w:sz w:val="24"/>
          <w:szCs w:val="24"/>
        </w:rPr>
        <w:t>00908. DOI: https://doi.org/10.1016/j.gecco.2020.e00908</w:t>
      </w:r>
    </w:p>
    <w:p w14:paraId="65F5F306"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 xml:space="preserve">Vaidya, D. (2022) Valuation methods, </w:t>
      </w:r>
      <w:proofErr w:type="spellStart"/>
      <w:r w:rsidRPr="001776FA">
        <w:rPr>
          <w:rFonts w:ascii="Times New Roman" w:eastAsia="Times New Roman" w:hAnsi="Times New Roman" w:cs="Times New Roman"/>
          <w:color w:val="000000" w:themeColor="text1"/>
          <w:sz w:val="24"/>
          <w:szCs w:val="24"/>
        </w:rPr>
        <w:t>WallStree</w:t>
      </w:r>
      <w:r w:rsidRPr="001776FA">
        <w:rPr>
          <w:rFonts w:ascii="Times New Roman" w:eastAsia="Times New Roman" w:hAnsi="Times New Roman" w:cs="Times New Roman"/>
          <w:color w:val="000000" w:themeColor="text1"/>
          <w:sz w:val="24"/>
          <w:szCs w:val="24"/>
        </w:rPr>
        <w:t>tMojo</w:t>
      </w:r>
      <w:proofErr w:type="spellEnd"/>
      <w:r w:rsidRPr="001776FA">
        <w:rPr>
          <w:rFonts w:ascii="Times New Roman" w:eastAsia="Times New Roman" w:hAnsi="Times New Roman" w:cs="Times New Roman"/>
          <w:color w:val="000000" w:themeColor="text1"/>
          <w:sz w:val="24"/>
          <w:szCs w:val="24"/>
        </w:rPr>
        <w:t xml:space="preserve">. Available at: https://www.wallstreetmojo.com/valuation-methods/ (Accessed: April 20, 2023). </w:t>
      </w:r>
    </w:p>
    <w:p w14:paraId="27790EE3" w14:textId="77777777" w:rsidR="001022B7" w:rsidRPr="001776FA" w:rsidRDefault="00AE4986">
      <w:pPr>
        <w:spacing w:after="24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 xml:space="preserve">Vlachos, V.A., </w:t>
      </w:r>
      <w:proofErr w:type="spellStart"/>
      <w:r w:rsidRPr="001776FA">
        <w:rPr>
          <w:rFonts w:ascii="Times New Roman" w:eastAsia="Times New Roman" w:hAnsi="Times New Roman" w:cs="Times New Roman"/>
          <w:color w:val="000000" w:themeColor="text1"/>
          <w:sz w:val="24"/>
          <w:szCs w:val="24"/>
        </w:rPr>
        <w:t>Mitrakos</w:t>
      </w:r>
      <w:proofErr w:type="spellEnd"/>
      <w:r w:rsidRPr="001776FA">
        <w:rPr>
          <w:rFonts w:ascii="Times New Roman" w:eastAsia="Times New Roman" w:hAnsi="Times New Roman" w:cs="Times New Roman"/>
          <w:color w:val="000000" w:themeColor="text1"/>
          <w:sz w:val="24"/>
          <w:szCs w:val="24"/>
        </w:rPr>
        <w:t xml:space="preserve">, P., </w:t>
      </w:r>
      <w:proofErr w:type="spellStart"/>
      <w:r w:rsidRPr="001776FA">
        <w:rPr>
          <w:rFonts w:ascii="Times New Roman" w:eastAsia="Times New Roman" w:hAnsi="Times New Roman" w:cs="Times New Roman"/>
          <w:color w:val="000000" w:themeColor="text1"/>
          <w:sz w:val="24"/>
          <w:szCs w:val="24"/>
        </w:rPr>
        <w:t>Tsimpida</w:t>
      </w:r>
      <w:proofErr w:type="spellEnd"/>
      <w:r w:rsidRPr="001776FA">
        <w:rPr>
          <w:rFonts w:ascii="Times New Roman" w:eastAsia="Times New Roman" w:hAnsi="Times New Roman" w:cs="Times New Roman"/>
          <w:color w:val="000000" w:themeColor="text1"/>
          <w:sz w:val="24"/>
          <w:szCs w:val="24"/>
        </w:rPr>
        <w:t xml:space="preserve">, C., </w:t>
      </w:r>
      <w:proofErr w:type="spellStart"/>
      <w:r w:rsidRPr="001776FA">
        <w:rPr>
          <w:rFonts w:ascii="Times New Roman" w:eastAsia="Times New Roman" w:hAnsi="Times New Roman" w:cs="Times New Roman"/>
          <w:color w:val="000000" w:themeColor="text1"/>
          <w:sz w:val="24"/>
          <w:szCs w:val="24"/>
        </w:rPr>
        <w:t>Tsitouras</w:t>
      </w:r>
      <w:proofErr w:type="spellEnd"/>
      <w:r w:rsidRPr="001776FA">
        <w:rPr>
          <w:rFonts w:ascii="Times New Roman" w:eastAsia="Times New Roman" w:hAnsi="Times New Roman" w:cs="Times New Roman"/>
          <w:color w:val="000000" w:themeColor="text1"/>
          <w:sz w:val="24"/>
          <w:szCs w:val="24"/>
        </w:rPr>
        <w:t xml:space="preserve">, A. and </w:t>
      </w:r>
      <w:proofErr w:type="spellStart"/>
      <w:r w:rsidRPr="001776FA">
        <w:rPr>
          <w:rFonts w:ascii="Times New Roman" w:eastAsia="Times New Roman" w:hAnsi="Times New Roman" w:cs="Times New Roman"/>
          <w:color w:val="000000" w:themeColor="text1"/>
          <w:sz w:val="24"/>
          <w:szCs w:val="24"/>
        </w:rPr>
        <w:t>Bitzenis</w:t>
      </w:r>
      <w:proofErr w:type="spellEnd"/>
      <w:r w:rsidRPr="001776FA">
        <w:rPr>
          <w:rFonts w:ascii="Times New Roman" w:eastAsia="Times New Roman" w:hAnsi="Times New Roman" w:cs="Times New Roman"/>
          <w:color w:val="000000" w:themeColor="text1"/>
          <w:sz w:val="24"/>
          <w:szCs w:val="24"/>
        </w:rPr>
        <w:t xml:space="preserve">, A., 2019. Factors </w:t>
      </w:r>
      <w:proofErr w:type="spellStart"/>
      <w:r w:rsidRPr="001776FA">
        <w:rPr>
          <w:rFonts w:ascii="Times New Roman" w:eastAsia="Times New Roman" w:hAnsi="Times New Roman" w:cs="Times New Roman"/>
          <w:color w:val="000000" w:themeColor="text1"/>
          <w:sz w:val="24"/>
          <w:szCs w:val="24"/>
        </w:rPr>
        <w:t>favoring</w:t>
      </w:r>
      <w:proofErr w:type="spellEnd"/>
      <w:r w:rsidRPr="001776FA">
        <w:rPr>
          <w:rFonts w:ascii="Times New Roman" w:eastAsia="Times New Roman" w:hAnsi="Times New Roman" w:cs="Times New Roman"/>
          <w:color w:val="000000" w:themeColor="text1"/>
          <w:sz w:val="24"/>
          <w:szCs w:val="24"/>
        </w:rPr>
        <w:t xml:space="preserve"> Greece’s inward foreign direct investment in the aftermath</w:t>
      </w:r>
      <w:r w:rsidRPr="001776FA">
        <w:rPr>
          <w:rFonts w:ascii="Times New Roman" w:eastAsia="Times New Roman" w:hAnsi="Times New Roman" w:cs="Times New Roman"/>
          <w:color w:val="000000" w:themeColor="text1"/>
          <w:sz w:val="24"/>
          <w:szCs w:val="24"/>
        </w:rPr>
        <w:t xml:space="preserve"> of the global financial crisis: An exploratory survey. Journal of East-West Business, 25(3), pp.262-292. DOI: https://doi.org/10.1080/10669868.2019.1616647 </w:t>
      </w:r>
    </w:p>
    <w:p w14:paraId="6A3CEEE8" w14:textId="77777777" w:rsidR="001022B7" w:rsidRDefault="00AE4986">
      <w:pPr>
        <w:spacing w:after="240" w:line="360" w:lineRule="auto"/>
        <w:jc w:val="both"/>
        <w:rPr>
          <w:rFonts w:ascii="Times New Roman" w:eastAsia="Times New Roman" w:hAnsi="Times New Roman" w:cs="Times New Roman"/>
          <w:color w:val="000000" w:themeColor="text1"/>
          <w:sz w:val="24"/>
          <w:szCs w:val="24"/>
        </w:rPr>
      </w:pPr>
      <w:r w:rsidRPr="001776FA">
        <w:rPr>
          <w:rFonts w:ascii="Times New Roman" w:eastAsia="Times New Roman" w:hAnsi="Times New Roman" w:cs="Times New Roman"/>
          <w:color w:val="000000" w:themeColor="text1"/>
          <w:sz w:val="24"/>
          <w:szCs w:val="24"/>
        </w:rPr>
        <w:t xml:space="preserve">Weinberg, J. (2023) The great recession and its aftermath, Federal Reserve History. Available at: https://www.federalreservehistory.org/essays/great-recession-and-its-aftermath (Accessed: April 20, 2023). </w:t>
      </w:r>
    </w:p>
    <w:p w14:paraId="7FB646BE" w14:textId="77777777" w:rsidR="00B4443E" w:rsidRDefault="00B4443E" w:rsidP="00B4443E">
      <w:pPr>
        <w:pStyle w:val="NormalWeb"/>
        <w:spacing w:line="360" w:lineRule="auto"/>
        <w:ind w:left="567" w:hanging="567"/>
        <w:jc w:val="both"/>
      </w:pPr>
      <w:proofErr w:type="spellStart"/>
      <w:r>
        <w:t>Wiltermuth</w:t>
      </w:r>
      <w:proofErr w:type="spellEnd"/>
      <w:r>
        <w:t xml:space="preserve">, J. (2023) </w:t>
      </w:r>
      <w:r>
        <w:rPr>
          <w:i/>
          <w:iCs/>
        </w:rPr>
        <w:t>What 'unprecedented' volatility in the $24 trillion Treasury market looks like</w:t>
      </w:r>
      <w:r>
        <w:t xml:space="preserve">, </w:t>
      </w:r>
      <w:proofErr w:type="spellStart"/>
      <w:r>
        <w:rPr>
          <w:i/>
          <w:iCs/>
        </w:rPr>
        <w:t>MarketWatch</w:t>
      </w:r>
      <w:proofErr w:type="spellEnd"/>
      <w:r>
        <w:t xml:space="preserve">. </w:t>
      </w:r>
      <w:proofErr w:type="spellStart"/>
      <w:r>
        <w:t>MarketWatch</w:t>
      </w:r>
      <w:proofErr w:type="spellEnd"/>
      <w:r>
        <w:t xml:space="preserve">. Available at: https://www.marketwatch.com/story/what-unprecedented-volatility-in-the-24-trillion-treasury-bond-market-looks-like-b7295bcc (Accessed: May 1, 2023). </w:t>
      </w:r>
    </w:p>
    <w:p w14:paraId="6A0FEAF9" w14:textId="77777777" w:rsidR="00B4443E" w:rsidRDefault="00B4443E">
      <w:pPr>
        <w:spacing w:after="240" w:line="360" w:lineRule="auto"/>
        <w:jc w:val="both"/>
        <w:rPr>
          <w:rFonts w:ascii="Times New Roman" w:eastAsia="Times New Roman" w:hAnsi="Times New Roman" w:cs="Times New Roman"/>
          <w:color w:val="000000" w:themeColor="text1"/>
          <w:sz w:val="24"/>
          <w:szCs w:val="24"/>
        </w:rPr>
      </w:pPr>
    </w:p>
    <w:p w14:paraId="6DAB7896" w14:textId="77777777" w:rsidR="00075743" w:rsidRPr="001776FA" w:rsidRDefault="00075743">
      <w:pPr>
        <w:spacing w:after="240" w:line="360" w:lineRule="auto"/>
        <w:jc w:val="both"/>
        <w:rPr>
          <w:rFonts w:ascii="Times New Roman" w:eastAsia="Times New Roman" w:hAnsi="Times New Roman" w:cs="Times New Roman"/>
          <w:color w:val="000000" w:themeColor="text1"/>
          <w:sz w:val="24"/>
          <w:szCs w:val="24"/>
        </w:rPr>
      </w:pPr>
    </w:p>
    <w:sectPr w:rsidR="00075743" w:rsidRPr="001776FA">
      <w:footerReference w:type="default" r:id="rId1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FB4244" w14:textId="77777777" w:rsidR="006D7F8F" w:rsidRDefault="006D7F8F">
      <w:pPr>
        <w:spacing w:line="240" w:lineRule="auto"/>
      </w:pPr>
      <w:r>
        <w:separator/>
      </w:r>
    </w:p>
  </w:endnote>
  <w:endnote w:type="continuationSeparator" w:id="0">
    <w:p w14:paraId="205766BB" w14:textId="77777777" w:rsidR="006D7F8F" w:rsidRDefault="006D7F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altName w:val="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74CE55" w14:textId="4701EA2D" w:rsidR="001022B7" w:rsidRDefault="00AE4986">
    <w:pPr>
      <w:pStyle w:val="Footer"/>
      <w:jc w:val="right"/>
    </w:pPr>
    <w:r>
      <w:fldChar w:fldCharType="begin"/>
    </w:r>
    <w:r>
      <w:instrText xml:space="preserve"> PAGE   \* MERGEFORMAT </w:instrText>
    </w:r>
    <w:r>
      <w:fldChar w:fldCharType="separate"/>
    </w:r>
    <w:r>
      <w:rPr>
        <w:noProof/>
      </w:rPr>
      <w:t>21</w:t>
    </w:r>
    <w:r>
      <w:rPr>
        <w:noProof/>
      </w:rPr>
      <w:fldChar w:fldCharType="end"/>
    </w:r>
  </w:p>
  <w:p w14:paraId="0B1C659A" w14:textId="77777777" w:rsidR="001022B7" w:rsidRDefault="001022B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A23E78" w14:textId="77777777" w:rsidR="006D7F8F" w:rsidRDefault="006D7F8F">
      <w:pPr>
        <w:spacing w:line="240" w:lineRule="auto"/>
      </w:pPr>
      <w:r>
        <w:separator/>
      </w:r>
    </w:p>
  </w:footnote>
  <w:footnote w:type="continuationSeparator" w:id="0">
    <w:p w14:paraId="4FF45682" w14:textId="77777777" w:rsidR="006D7F8F" w:rsidRDefault="006D7F8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22B7"/>
    <w:rsid w:val="00075743"/>
    <w:rsid w:val="00092E00"/>
    <w:rsid w:val="001022B7"/>
    <w:rsid w:val="00176E54"/>
    <w:rsid w:val="001776FA"/>
    <w:rsid w:val="00207BAE"/>
    <w:rsid w:val="004E468A"/>
    <w:rsid w:val="0054280F"/>
    <w:rsid w:val="005467A9"/>
    <w:rsid w:val="005519E1"/>
    <w:rsid w:val="00615478"/>
    <w:rsid w:val="00647FCB"/>
    <w:rsid w:val="006901DF"/>
    <w:rsid w:val="006D7F8F"/>
    <w:rsid w:val="00765514"/>
    <w:rsid w:val="007B5AD8"/>
    <w:rsid w:val="007C118E"/>
    <w:rsid w:val="0082629D"/>
    <w:rsid w:val="00854A6F"/>
    <w:rsid w:val="008D236F"/>
    <w:rsid w:val="00A420D8"/>
    <w:rsid w:val="00AE40A4"/>
    <w:rsid w:val="00AE4986"/>
    <w:rsid w:val="00AF6505"/>
    <w:rsid w:val="00B25C38"/>
    <w:rsid w:val="00B4443E"/>
    <w:rsid w:val="00B63029"/>
    <w:rsid w:val="00BD1A89"/>
    <w:rsid w:val="00C76A74"/>
    <w:rsid w:val="00D71145"/>
    <w:rsid w:val="00E32F9D"/>
    <w:rsid w:val="00FA671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72CDC"/>
  <w15:docId w15:val="{6AEB2C92-E4FC-41A3-8A1F-77805DDF3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28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pPr>
      <w:keepNext/>
      <w:keepLines/>
      <w:spacing w:before="240" w:line="36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pPr>
      <w:tabs>
        <w:tab w:val="center" w:pos="4680"/>
        <w:tab w:val="right" w:pos="9360"/>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line="240" w:lineRule="auto"/>
    </w:pPr>
  </w:style>
  <w:style w:type="character" w:customStyle="1" w:styleId="FooterChar">
    <w:name w:val="Footer Char"/>
    <w:basedOn w:val="DefaultParagraphFont"/>
    <w:link w:val="Footer"/>
    <w:uiPriority w:val="99"/>
  </w:style>
  <w:style w:type="character" w:styleId="Hyperlink">
    <w:name w:val="Hyperlink"/>
    <w:basedOn w:val="DefaultParagraphFont"/>
    <w:uiPriority w:val="99"/>
    <w:rPr>
      <w:color w:val="0000FF"/>
      <w:u w:val="single"/>
    </w:rPr>
  </w:style>
  <w:style w:type="character" w:customStyle="1" w:styleId="UnresolvedMention1">
    <w:name w:val="Unresolved Mention1"/>
    <w:basedOn w:val="DefaultParagraphFont"/>
    <w:uiPriority w:val="99"/>
    <w:rPr>
      <w:color w:val="605E5C"/>
      <w:shd w:val="clear" w:color="auto" w:fill="E1DFDD"/>
    </w:rPr>
  </w:style>
  <w:style w:type="paragraph" w:styleId="TOCHeading">
    <w:name w:val="TOC Heading"/>
    <w:basedOn w:val="Heading1"/>
    <w:next w:val="Normal"/>
    <w:uiPriority w:val="39"/>
    <w:qFormat/>
    <w:pPr>
      <w:spacing w:before="240" w:line="259" w:lineRule="auto"/>
      <w:jc w:val="left"/>
      <w:outlineLvl w:val="9"/>
    </w:pPr>
    <w:rPr>
      <w:rFonts w:ascii="Calibri" w:eastAsia="SimSun" w:hAnsi="Calibri" w:cs="SimSun"/>
      <w:b w:val="0"/>
      <w:color w:val="365F91"/>
      <w:sz w:val="32"/>
      <w:szCs w:val="32"/>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paragraph" w:styleId="BalloonText">
    <w:name w:val="Balloon Text"/>
    <w:basedOn w:val="Normal"/>
    <w:link w:val="BalloonTextChar"/>
    <w:uiPriority w:val="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NormalWeb">
    <w:name w:val="Normal (Web)"/>
    <w:basedOn w:val="Normal"/>
    <w:uiPriority w:val="99"/>
    <w:semiHidden/>
    <w:unhideWhenUsed/>
    <w:rsid w:val="0054280F"/>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54280F"/>
    <w:rPr>
      <w:i/>
      <w:iCs/>
    </w:rPr>
  </w:style>
  <w:style w:type="paragraph" w:styleId="NoSpacing">
    <w:name w:val="No Spacing"/>
    <w:uiPriority w:val="1"/>
    <w:qFormat/>
    <w:rsid w:val="006901DF"/>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9518331">
      <w:bodyDiv w:val="1"/>
      <w:marLeft w:val="0"/>
      <w:marRight w:val="0"/>
      <w:marTop w:val="0"/>
      <w:marBottom w:val="0"/>
      <w:divBdr>
        <w:top w:val="none" w:sz="0" w:space="0" w:color="auto"/>
        <w:left w:val="none" w:sz="0" w:space="0" w:color="auto"/>
        <w:bottom w:val="none" w:sz="0" w:space="0" w:color="auto"/>
        <w:right w:val="none" w:sz="0" w:space="0" w:color="auto"/>
      </w:divBdr>
    </w:div>
    <w:div w:id="369309311">
      <w:bodyDiv w:val="1"/>
      <w:marLeft w:val="0"/>
      <w:marRight w:val="0"/>
      <w:marTop w:val="0"/>
      <w:marBottom w:val="0"/>
      <w:divBdr>
        <w:top w:val="none" w:sz="0" w:space="0" w:color="auto"/>
        <w:left w:val="none" w:sz="0" w:space="0" w:color="auto"/>
        <w:bottom w:val="none" w:sz="0" w:space="0" w:color="auto"/>
        <w:right w:val="none" w:sz="0" w:space="0" w:color="auto"/>
      </w:divBdr>
    </w:div>
    <w:div w:id="477502386">
      <w:bodyDiv w:val="1"/>
      <w:marLeft w:val="0"/>
      <w:marRight w:val="0"/>
      <w:marTop w:val="0"/>
      <w:marBottom w:val="0"/>
      <w:divBdr>
        <w:top w:val="none" w:sz="0" w:space="0" w:color="auto"/>
        <w:left w:val="none" w:sz="0" w:space="0" w:color="auto"/>
        <w:bottom w:val="none" w:sz="0" w:space="0" w:color="auto"/>
        <w:right w:val="none" w:sz="0" w:space="0" w:color="auto"/>
      </w:divBdr>
    </w:div>
    <w:div w:id="762380762">
      <w:bodyDiv w:val="1"/>
      <w:marLeft w:val="0"/>
      <w:marRight w:val="0"/>
      <w:marTop w:val="0"/>
      <w:marBottom w:val="0"/>
      <w:divBdr>
        <w:top w:val="none" w:sz="0" w:space="0" w:color="auto"/>
        <w:left w:val="none" w:sz="0" w:space="0" w:color="auto"/>
        <w:bottom w:val="none" w:sz="0" w:space="0" w:color="auto"/>
        <w:right w:val="none" w:sz="0" w:space="0" w:color="auto"/>
      </w:divBdr>
    </w:div>
    <w:div w:id="1419978615">
      <w:bodyDiv w:val="1"/>
      <w:marLeft w:val="0"/>
      <w:marRight w:val="0"/>
      <w:marTop w:val="0"/>
      <w:marBottom w:val="0"/>
      <w:divBdr>
        <w:top w:val="none" w:sz="0" w:space="0" w:color="auto"/>
        <w:left w:val="none" w:sz="0" w:space="0" w:color="auto"/>
        <w:bottom w:val="none" w:sz="0" w:space="0" w:color="auto"/>
        <w:right w:val="none" w:sz="0" w:space="0" w:color="auto"/>
      </w:divBdr>
    </w:div>
    <w:div w:id="21391079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doi.org/10.1080/13683500.2018.1546674" TargetMode="External"/><Relationship Id="rId2" Type="http://schemas.openxmlformats.org/officeDocument/2006/relationships/styles" Target="styles.xml"/><Relationship Id="rId16" Type="http://schemas.openxmlformats.org/officeDocument/2006/relationships/hyperlink" Target="https://repository.law.umich.edu/cgi/viewcontent.cgi?article=8398&amp;context=mlr"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researchgate.net/profile/Nenad-Peric/publication/369644721_The_Influence_of_Mobile_Phones_on_Children_and_Youth_-_General_Overview/links/6425b31ba1b72772e439e448/The-Influence-of-Mobile-Phones-on-Children-and-Youth-General-Overview.pdf"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rofile/Haitham-Nobanee/publication/336913485_Conceptual_Building_of_Sustainable_Financial_Management_Sustainable_Financial_Growth/links/5f044777a6fdcc4ca452f953/Conceptual-Building-of-Sustainable-Financial-Management-Sustainable-Financial-Growt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00DBFA-E7EB-4636-8C5E-AEC27A86F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6884</Words>
  <Characters>39240</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Priti Chhabda</cp:lastModifiedBy>
  <cp:revision>2</cp:revision>
  <dcterms:created xsi:type="dcterms:W3CDTF">2023-05-02T11:46:00Z</dcterms:created>
  <dcterms:modified xsi:type="dcterms:W3CDTF">2023-05-02T11:46:00Z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7a25c458427532f7f1656202e1a982439fa4d08c430ec1e1dea74005b43c4bb7</vt:lpwstr>
  </property>
</Properties>
</file>