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995E2B" w:rsidRPr="00CB2418" w:rsidRDefault="00995E2B">
      <w:pPr>
        <w:pStyle w:val="normal0"/>
        <w:jc w:val="center"/>
        <w:rPr>
          <w:b/>
          <w:sz w:val="32"/>
          <w:szCs w:val="32"/>
          <w:lang w:val="en-GB"/>
        </w:rPr>
      </w:pPr>
    </w:p>
    <w:p w:rsidR="006C5B60" w:rsidRPr="00CB2418" w:rsidRDefault="002C7976">
      <w:pPr>
        <w:pStyle w:val="normal0"/>
        <w:jc w:val="center"/>
        <w:rPr>
          <w:b/>
          <w:sz w:val="32"/>
          <w:szCs w:val="32"/>
          <w:lang w:val="en-GB"/>
        </w:rPr>
      </w:pPr>
      <w:r w:rsidRPr="00CB2418">
        <w:rPr>
          <w:b/>
          <w:sz w:val="32"/>
          <w:szCs w:val="32"/>
          <w:lang w:val="en-GB"/>
        </w:rPr>
        <w:t>INTERNATIONAL FINANCIAL MANAGEMENT: A CASE STUDY OF ROLLS ROYCE</w:t>
      </w:r>
      <w:r w:rsidRPr="00CB2418">
        <w:rPr>
          <w:lang w:val="en-GB"/>
        </w:rPr>
        <w:br w:type="page"/>
      </w:r>
    </w:p>
    <w:sdt>
      <w:sdtPr>
        <w:rPr>
          <w:rFonts w:ascii="Times New Roman" w:eastAsia="Times New Roman" w:hAnsi="Times New Roman" w:cs="Times New Roman"/>
          <w:b w:val="0"/>
          <w:bCs w:val="0"/>
          <w:color w:val="auto"/>
          <w:sz w:val="24"/>
          <w:szCs w:val="24"/>
          <w:lang w:val="en-GB"/>
        </w:rPr>
        <w:id w:val="1219347502"/>
        <w:docPartObj>
          <w:docPartGallery w:val="Table of Contents"/>
          <w:docPartUnique/>
        </w:docPartObj>
      </w:sdtPr>
      <w:sdtContent>
        <w:p w:rsidR="00995E2B" w:rsidRPr="00CB2418" w:rsidRDefault="00995E2B" w:rsidP="00995E2B">
          <w:pPr>
            <w:pStyle w:val="TOCHeading"/>
            <w:jc w:val="center"/>
            <w:rPr>
              <w:lang w:val="en-GB"/>
            </w:rPr>
          </w:pPr>
          <w:r w:rsidRPr="00CB2418">
            <w:rPr>
              <w:rFonts w:ascii="Times New Roman" w:hAnsi="Times New Roman" w:cs="Times New Roman"/>
              <w:color w:val="auto"/>
              <w:lang w:val="en-GB"/>
            </w:rPr>
            <w:t>Table of Contents</w:t>
          </w:r>
        </w:p>
        <w:p w:rsidR="005915D4" w:rsidRPr="00CB2418" w:rsidRDefault="000133B9">
          <w:pPr>
            <w:pStyle w:val="TOC1"/>
            <w:tabs>
              <w:tab w:val="right" w:leader="dot" w:pos="9019"/>
            </w:tabs>
            <w:rPr>
              <w:rFonts w:asciiTheme="minorHAnsi" w:eastAsiaTheme="minorEastAsia" w:hAnsiTheme="minorHAnsi" w:cstheme="minorBidi"/>
              <w:noProof/>
              <w:sz w:val="22"/>
              <w:szCs w:val="22"/>
              <w:lang w:val="en-GB"/>
            </w:rPr>
          </w:pPr>
          <w:r w:rsidRPr="00CB2418">
            <w:rPr>
              <w:lang w:val="en-GB"/>
            </w:rPr>
            <w:fldChar w:fldCharType="begin"/>
          </w:r>
          <w:r w:rsidR="00995E2B" w:rsidRPr="00CB2418">
            <w:rPr>
              <w:lang w:val="en-GB"/>
            </w:rPr>
            <w:instrText xml:space="preserve"> TOC \o "1-3" \h \z \u </w:instrText>
          </w:r>
          <w:r w:rsidRPr="00CB2418">
            <w:rPr>
              <w:lang w:val="en-GB"/>
            </w:rPr>
            <w:fldChar w:fldCharType="separate"/>
          </w:r>
          <w:hyperlink w:anchor="_Toc140324389" w:history="1">
            <w:r w:rsidR="005915D4" w:rsidRPr="00CB2418">
              <w:rPr>
                <w:rStyle w:val="Hyperlink"/>
                <w:noProof/>
                <w:lang w:val="en-GB"/>
              </w:rPr>
              <w:t>Introduction</w:t>
            </w:r>
            <w:r w:rsidR="005915D4" w:rsidRPr="00CB2418">
              <w:rPr>
                <w:noProof/>
                <w:webHidden/>
                <w:lang w:val="en-GB"/>
              </w:rPr>
              <w:tab/>
            </w:r>
            <w:r w:rsidR="005915D4" w:rsidRPr="00CB2418">
              <w:rPr>
                <w:noProof/>
                <w:webHidden/>
                <w:lang w:val="en-GB"/>
              </w:rPr>
              <w:fldChar w:fldCharType="begin"/>
            </w:r>
            <w:r w:rsidR="005915D4" w:rsidRPr="00CB2418">
              <w:rPr>
                <w:noProof/>
                <w:webHidden/>
                <w:lang w:val="en-GB"/>
              </w:rPr>
              <w:instrText xml:space="preserve"> PAGEREF _Toc140324389 \h </w:instrText>
            </w:r>
            <w:r w:rsidR="005915D4" w:rsidRPr="00CB2418">
              <w:rPr>
                <w:noProof/>
                <w:webHidden/>
                <w:lang w:val="en-GB"/>
              </w:rPr>
            </w:r>
            <w:r w:rsidR="005915D4" w:rsidRPr="00CB2418">
              <w:rPr>
                <w:noProof/>
                <w:webHidden/>
                <w:lang w:val="en-GB"/>
              </w:rPr>
              <w:fldChar w:fldCharType="separate"/>
            </w:r>
            <w:r w:rsidR="005915D4" w:rsidRPr="00CB2418">
              <w:rPr>
                <w:noProof/>
                <w:webHidden/>
                <w:lang w:val="en-GB"/>
              </w:rPr>
              <w:t>3</w:t>
            </w:r>
            <w:r w:rsidR="005915D4" w:rsidRPr="00CB2418">
              <w:rPr>
                <w:noProof/>
                <w:webHidden/>
                <w:lang w:val="en-GB"/>
              </w:rPr>
              <w:fldChar w:fldCharType="end"/>
            </w:r>
          </w:hyperlink>
        </w:p>
        <w:p w:rsidR="005915D4" w:rsidRPr="00CB2418" w:rsidRDefault="005915D4">
          <w:pPr>
            <w:pStyle w:val="TOC1"/>
            <w:tabs>
              <w:tab w:val="right" w:leader="dot" w:pos="9019"/>
            </w:tabs>
            <w:rPr>
              <w:rFonts w:asciiTheme="minorHAnsi" w:eastAsiaTheme="minorEastAsia" w:hAnsiTheme="minorHAnsi" w:cstheme="minorBidi"/>
              <w:noProof/>
              <w:sz w:val="22"/>
              <w:szCs w:val="22"/>
              <w:lang w:val="en-GB"/>
            </w:rPr>
          </w:pPr>
          <w:hyperlink w:anchor="_Toc140324390" w:history="1">
            <w:r w:rsidRPr="00CB2418">
              <w:rPr>
                <w:rStyle w:val="Hyperlink"/>
                <w:noProof/>
                <w:lang w:val="en-GB"/>
              </w:rPr>
              <w:t>Evaluation of corporation’s dividend distribution policy</w:t>
            </w:r>
            <w:r w:rsidRPr="00CB2418">
              <w:rPr>
                <w:noProof/>
                <w:webHidden/>
                <w:lang w:val="en-GB"/>
              </w:rPr>
              <w:tab/>
            </w:r>
            <w:r w:rsidRPr="00CB2418">
              <w:rPr>
                <w:noProof/>
                <w:webHidden/>
                <w:lang w:val="en-GB"/>
              </w:rPr>
              <w:fldChar w:fldCharType="begin"/>
            </w:r>
            <w:r w:rsidRPr="00CB2418">
              <w:rPr>
                <w:noProof/>
                <w:webHidden/>
                <w:lang w:val="en-GB"/>
              </w:rPr>
              <w:instrText xml:space="preserve"> PAGEREF _Toc140324390 \h </w:instrText>
            </w:r>
            <w:r w:rsidRPr="00CB2418">
              <w:rPr>
                <w:noProof/>
                <w:webHidden/>
                <w:lang w:val="en-GB"/>
              </w:rPr>
            </w:r>
            <w:r w:rsidRPr="00CB2418">
              <w:rPr>
                <w:noProof/>
                <w:webHidden/>
                <w:lang w:val="en-GB"/>
              </w:rPr>
              <w:fldChar w:fldCharType="separate"/>
            </w:r>
            <w:r w:rsidRPr="00CB2418">
              <w:rPr>
                <w:noProof/>
                <w:webHidden/>
                <w:lang w:val="en-GB"/>
              </w:rPr>
              <w:t>3</w:t>
            </w:r>
            <w:r w:rsidRPr="00CB2418">
              <w:rPr>
                <w:noProof/>
                <w:webHidden/>
                <w:lang w:val="en-GB"/>
              </w:rPr>
              <w:fldChar w:fldCharType="end"/>
            </w:r>
          </w:hyperlink>
        </w:p>
        <w:p w:rsidR="005915D4" w:rsidRPr="00CB2418" w:rsidRDefault="005915D4">
          <w:pPr>
            <w:pStyle w:val="TOC1"/>
            <w:tabs>
              <w:tab w:val="right" w:leader="dot" w:pos="9019"/>
            </w:tabs>
            <w:rPr>
              <w:rFonts w:asciiTheme="minorHAnsi" w:eastAsiaTheme="minorEastAsia" w:hAnsiTheme="minorHAnsi" w:cstheme="minorBidi"/>
              <w:noProof/>
              <w:sz w:val="22"/>
              <w:szCs w:val="22"/>
              <w:lang w:val="en-GB"/>
            </w:rPr>
          </w:pPr>
          <w:hyperlink w:anchor="_Toc140324391" w:history="1">
            <w:r w:rsidRPr="00CB2418">
              <w:rPr>
                <w:rStyle w:val="Hyperlink"/>
                <w:noProof/>
                <w:lang w:val="en-GB"/>
              </w:rPr>
              <w:t>Evaluating EMH (Efficient Market Hypothesis) of Rolls Royce</w:t>
            </w:r>
            <w:r w:rsidRPr="00CB2418">
              <w:rPr>
                <w:noProof/>
                <w:webHidden/>
                <w:lang w:val="en-GB"/>
              </w:rPr>
              <w:tab/>
            </w:r>
            <w:r w:rsidRPr="00CB2418">
              <w:rPr>
                <w:noProof/>
                <w:webHidden/>
                <w:lang w:val="en-GB"/>
              </w:rPr>
              <w:fldChar w:fldCharType="begin"/>
            </w:r>
            <w:r w:rsidRPr="00CB2418">
              <w:rPr>
                <w:noProof/>
                <w:webHidden/>
                <w:lang w:val="en-GB"/>
              </w:rPr>
              <w:instrText xml:space="preserve"> PAGEREF _Toc140324391 \h </w:instrText>
            </w:r>
            <w:r w:rsidRPr="00CB2418">
              <w:rPr>
                <w:noProof/>
                <w:webHidden/>
                <w:lang w:val="en-GB"/>
              </w:rPr>
            </w:r>
            <w:r w:rsidRPr="00CB2418">
              <w:rPr>
                <w:noProof/>
                <w:webHidden/>
                <w:lang w:val="en-GB"/>
              </w:rPr>
              <w:fldChar w:fldCharType="separate"/>
            </w:r>
            <w:r w:rsidRPr="00CB2418">
              <w:rPr>
                <w:noProof/>
                <w:webHidden/>
                <w:lang w:val="en-GB"/>
              </w:rPr>
              <w:t>4</w:t>
            </w:r>
            <w:r w:rsidRPr="00CB2418">
              <w:rPr>
                <w:noProof/>
                <w:webHidden/>
                <w:lang w:val="en-GB"/>
              </w:rPr>
              <w:fldChar w:fldCharType="end"/>
            </w:r>
          </w:hyperlink>
        </w:p>
        <w:p w:rsidR="005915D4" w:rsidRPr="00CB2418" w:rsidRDefault="005915D4">
          <w:pPr>
            <w:pStyle w:val="TOC1"/>
            <w:tabs>
              <w:tab w:val="right" w:leader="dot" w:pos="9019"/>
            </w:tabs>
            <w:rPr>
              <w:rFonts w:asciiTheme="minorHAnsi" w:eastAsiaTheme="minorEastAsia" w:hAnsiTheme="minorHAnsi" w:cstheme="minorBidi"/>
              <w:noProof/>
              <w:sz w:val="22"/>
              <w:szCs w:val="22"/>
              <w:lang w:val="en-GB"/>
            </w:rPr>
          </w:pPr>
          <w:hyperlink w:anchor="_Toc140324392" w:history="1">
            <w:r w:rsidRPr="00CB2418">
              <w:rPr>
                <w:rStyle w:val="Hyperlink"/>
                <w:noProof/>
                <w:lang w:val="en-GB"/>
              </w:rPr>
              <w:t>Critical discussion of Rolls Royce's Capital Project appraisal</w:t>
            </w:r>
            <w:r w:rsidRPr="00CB2418">
              <w:rPr>
                <w:noProof/>
                <w:webHidden/>
                <w:lang w:val="en-GB"/>
              </w:rPr>
              <w:tab/>
            </w:r>
            <w:r w:rsidRPr="00CB2418">
              <w:rPr>
                <w:noProof/>
                <w:webHidden/>
                <w:lang w:val="en-GB"/>
              </w:rPr>
              <w:fldChar w:fldCharType="begin"/>
            </w:r>
            <w:r w:rsidRPr="00CB2418">
              <w:rPr>
                <w:noProof/>
                <w:webHidden/>
                <w:lang w:val="en-GB"/>
              </w:rPr>
              <w:instrText xml:space="preserve"> PAGEREF _Toc140324392 \h </w:instrText>
            </w:r>
            <w:r w:rsidRPr="00CB2418">
              <w:rPr>
                <w:noProof/>
                <w:webHidden/>
                <w:lang w:val="en-GB"/>
              </w:rPr>
            </w:r>
            <w:r w:rsidRPr="00CB2418">
              <w:rPr>
                <w:noProof/>
                <w:webHidden/>
                <w:lang w:val="en-GB"/>
              </w:rPr>
              <w:fldChar w:fldCharType="separate"/>
            </w:r>
            <w:r w:rsidRPr="00CB2418">
              <w:rPr>
                <w:noProof/>
                <w:webHidden/>
                <w:lang w:val="en-GB"/>
              </w:rPr>
              <w:t>5</w:t>
            </w:r>
            <w:r w:rsidRPr="00CB2418">
              <w:rPr>
                <w:noProof/>
                <w:webHidden/>
                <w:lang w:val="en-GB"/>
              </w:rPr>
              <w:fldChar w:fldCharType="end"/>
            </w:r>
          </w:hyperlink>
        </w:p>
        <w:p w:rsidR="005915D4" w:rsidRPr="00CB2418" w:rsidRDefault="005915D4">
          <w:pPr>
            <w:pStyle w:val="TOC1"/>
            <w:tabs>
              <w:tab w:val="right" w:leader="dot" w:pos="9019"/>
            </w:tabs>
            <w:rPr>
              <w:rFonts w:asciiTheme="minorHAnsi" w:eastAsiaTheme="minorEastAsia" w:hAnsiTheme="minorHAnsi" w:cstheme="minorBidi"/>
              <w:noProof/>
              <w:sz w:val="22"/>
              <w:szCs w:val="22"/>
              <w:lang w:val="en-GB"/>
            </w:rPr>
          </w:pPr>
          <w:hyperlink w:anchor="_Toc140324393" w:history="1">
            <w:r w:rsidRPr="00CB2418">
              <w:rPr>
                <w:rStyle w:val="Hyperlink"/>
                <w:noProof/>
                <w:lang w:val="en-GB"/>
              </w:rPr>
              <w:t>Conclusion</w:t>
            </w:r>
            <w:r w:rsidRPr="00CB2418">
              <w:rPr>
                <w:noProof/>
                <w:webHidden/>
                <w:lang w:val="en-GB"/>
              </w:rPr>
              <w:tab/>
            </w:r>
            <w:r w:rsidRPr="00CB2418">
              <w:rPr>
                <w:noProof/>
                <w:webHidden/>
                <w:lang w:val="en-GB"/>
              </w:rPr>
              <w:fldChar w:fldCharType="begin"/>
            </w:r>
            <w:r w:rsidRPr="00CB2418">
              <w:rPr>
                <w:noProof/>
                <w:webHidden/>
                <w:lang w:val="en-GB"/>
              </w:rPr>
              <w:instrText xml:space="preserve"> PAGEREF _Toc140324393 \h </w:instrText>
            </w:r>
            <w:r w:rsidRPr="00CB2418">
              <w:rPr>
                <w:noProof/>
                <w:webHidden/>
                <w:lang w:val="en-GB"/>
              </w:rPr>
            </w:r>
            <w:r w:rsidRPr="00CB2418">
              <w:rPr>
                <w:noProof/>
                <w:webHidden/>
                <w:lang w:val="en-GB"/>
              </w:rPr>
              <w:fldChar w:fldCharType="separate"/>
            </w:r>
            <w:r w:rsidRPr="00CB2418">
              <w:rPr>
                <w:noProof/>
                <w:webHidden/>
                <w:lang w:val="en-GB"/>
              </w:rPr>
              <w:t>6</w:t>
            </w:r>
            <w:r w:rsidRPr="00CB2418">
              <w:rPr>
                <w:noProof/>
                <w:webHidden/>
                <w:lang w:val="en-GB"/>
              </w:rPr>
              <w:fldChar w:fldCharType="end"/>
            </w:r>
          </w:hyperlink>
        </w:p>
        <w:p w:rsidR="005915D4" w:rsidRPr="00CB2418" w:rsidRDefault="005915D4">
          <w:pPr>
            <w:pStyle w:val="TOC1"/>
            <w:tabs>
              <w:tab w:val="right" w:leader="dot" w:pos="9019"/>
            </w:tabs>
            <w:rPr>
              <w:rFonts w:asciiTheme="minorHAnsi" w:eastAsiaTheme="minorEastAsia" w:hAnsiTheme="minorHAnsi" w:cstheme="minorBidi"/>
              <w:noProof/>
              <w:sz w:val="22"/>
              <w:szCs w:val="22"/>
              <w:lang w:val="en-GB"/>
            </w:rPr>
          </w:pPr>
          <w:hyperlink w:anchor="_Toc140324394" w:history="1">
            <w:r w:rsidRPr="00CB2418">
              <w:rPr>
                <w:rStyle w:val="Hyperlink"/>
                <w:noProof/>
                <w:lang w:val="en-GB"/>
              </w:rPr>
              <w:t>Reference List</w:t>
            </w:r>
            <w:r w:rsidRPr="00CB2418">
              <w:rPr>
                <w:noProof/>
                <w:webHidden/>
                <w:lang w:val="en-GB"/>
              </w:rPr>
              <w:tab/>
            </w:r>
            <w:r w:rsidRPr="00CB2418">
              <w:rPr>
                <w:noProof/>
                <w:webHidden/>
                <w:lang w:val="en-GB"/>
              </w:rPr>
              <w:fldChar w:fldCharType="begin"/>
            </w:r>
            <w:r w:rsidRPr="00CB2418">
              <w:rPr>
                <w:noProof/>
                <w:webHidden/>
                <w:lang w:val="en-GB"/>
              </w:rPr>
              <w:instrText xml:space="preserve"> PAGEREF _Toc140324394 \h </w:instrText>
            </w:r>
            <w:r w:rsidRPr="00CB2418">
              <w:rPr>
                <w:noProof/>
                <w:webHidden/>
                <w:lang w:val="en-GB"/>
              </w:rPr>
            </w:r>
            <w:r w:rsidRPr="00CB2418">
              <w:rPr>
                <w:noProof/>
                <w:webHidden/>
                <w:lang w:val="en-GB"/>
              </w:rPr>
              <w:fldChar w:fldCharType="separate"/>
            </w:r>
            <w:r w:rsidRPr="00CB2418">
              <w:rPr>
                <w:noProof/>
                <w:webHidden/>
                <w:lang w:val="en-GB"/>
              </w:rPr>
              <w:t>7</w:t>
            </w:r>
            <w:r w:rsidRPr="00CB2418">
              <w:rPr>
                <w:noProof/>
                <w:webHidden/>
                <w:lang w:val="en-GB"/>
              </w:rPr>
              <w:fldChar w:fldCharType="end"/>
            </w:r>
          </w:hyperlink>
        </w:p>
        <w:p w:rsidR="00995E2B" w:rsidRPr="00CB2418" w:rsidRDefault="000133B9">
          <w:pPr>
            <w:rPr>
              <w:lang w:val="en-GB"/>
            </w:rPr>
          </w:pPr>
          <w:r w:rsidRPr="00CB2418">
            <w:rPr>
              <w:lang w:val="en-GB"/>
            </w:rPr>
            <w:fldChar w:fldCharType="end"/>
          </w:r>
        </w:p>
      </w:sdtContent>
    </w:sdt>
    <w:p w:rsidR="006C5B60" w:rsidRPr="00CB2418" w:rsidRDefault="002C7976" w:rsidP="00995E2B">
      <w:pPr>
        <w:pStyle w:val="normal0"/>
        <w:rPr>
          <w:lang w:val="en-GB"/>
        </w:rPr>
      </w:pPr>
      <w:r w:rsidRPr="00CB2418">
        <w:rPr>
          <w:lang w:val="en-GB"/>
        </w:rPr>
        <w:br w:type="page"/>
      </w:r>
    </w:p>
    <w:p w:rsidR="00A86730" w:rsidRPr="00CB2418" w:rsidRDefault="00A86730" w:rsidP="00A86730">
      <w:pPr>
        <w:pStyle w:val="Heading1"/>
        <w:rPr>
          <w:lang w:val="en-GB"/>
        </w:rPr>
      </w:pPr>
      <w:bookmarkStart w:id="0" w:name="_mnl6p0njnjq4" w:colFirst="0" w:colLast="0"/>
      <w:bookmarkStart w:id="1" w:name="_1eliaop5u2jd" w:colFirst="0" w:colLast="0"/>
      <w:bookmarkStart w:id="2" w:name="_Toc140324389"/>
      <w:bookmarkEnd w:id="0"/>
      <w:bookmarkEnd w:id="1"/>
      <w:r w:rsidRPr="00CB2418">
        <w:rPr>
          <w:lang w:val="en-GB"/>
        </w:rPr>
        <w:lastRenderedPageBreak/>
        <w:t>Introduction</w:t>
      </w:r>
      <w:bookmarkEnd w:id="2"/>
    </w:p>
    <w:p w:rsidR="00A86730" w:rsidRPr="00CB2418" w:rsidRDefault="00A86730" w:rsidP="00A86730">
      <w:pPr>
        <w:pStyle w:val="normal0"/>
        <w:rPr>
          <w:lang w:val="en-GB"/>
        </w:rPr>
      </w:pPr>
      <w:r w:rsidRPr="00CB2418">
        <w:rPr>
          <w:lang w:val="en-GB"/>
        </w:rPr>
        <w:t xml:space="preserve">International Financial Management has become a necessary aspect for the business as it connects the financial feasibility of the company towards catering for the business objectives. Thus the report considers the evaluation of Rolls Royce’s financial distribution policy in adherence to changing market uncertainties to manage its business. </w:t>
      </w:r>
    </w:p>
    <w:p w:rsidR="00A86730" w:rsidRPr="00CB2418" w:rsidRDefault="00A86730" w:rsidP="00A86730">
      <w:pPr>
        <w:pStyle w:val="Heading1"/>
        <w:rPr>
          <w:lang w:val="en-GB"/>
        </w:rPr>
      </w:pPr>
      <w:bookmarkStart w:id="3" w:name="_y3kvlg896nel" w:colFirst="0" w:colLast="0"/>
      <w:bookmarkStart w:id="4" w:name="_Toc140324390"/>
      <w:bookmarkEnd w:id="3"/>
      <w:r w:rsidRPr="00CB2418">
        <w:rPr>
          <w:lang w:val="en-GB"/>
        </w:rPr>
        <w:t>Evaluation of corporation’s dividend distribution policy</w:t>
      </w:r>
      <w:bookmarkEnd w:id="4"/>
      <w:r w:rsidRPr="00CB2418">
        <w:rPr>
          <w:lang w:val="en-GB"/>
        </w:rPr>
        <w:t xml:space="preserve"> </w:t>
      </w:r>
    </w:p>
    <w:p w:rsidR="00A86730" w:rsidRPr="00CB2418" w:rsidRDefault="00A86730" w:rsidP="00A86730">
      <w:pPr>
        <w:pStyle w:val="normal0"/>
        <w:rPr>
          <w:lang w:val="en-GB"/>
        </w:rPr>
      </w:pPr>
      <w:r w:rsidRPr="00CB2418">
        <w:rPr>
          <w:lang w:val="en-GB"/>
        </w:rPr>
        <w:t xml:space="preserve">The distribution of the dividend within the company has been a major contributor to the overall assessment of creating value with the shareholders. As stated by Chouaibi, Rossi and Zouari (2021), dividends are a perpetual obligation of the company that needs to be paid to the shareholders for their financial contribution to the company. In this context, it can be observed that Rolls-Royce has immensely supported the obligation of the value of the shareholders by giving dividends at the end of each financial year. For instance, it can be identified that the company paid  €0.1 billion to its shareholders after the completion of the balance sheet following the progressive dividend policy (Rolls Royce, 2022). It has been paid to value the investment made in the company’s equity. It is observed that the company has been vesting the dividends based on the period and market-based performance which incorporates the valuation interdependency between the share price and Total Shareholder Return (TSR) (Rolls Royce, 2022). It implies that the company has been immensely focused on creating a fair value of the share price to incorporate into a long-term incentive plan for its shareholders. </w:t>
      </w:r>
    </w:p>
    <w:p w:rsidR="00A86730" w:rsidRPr="00CB2418" w:rsidRDefault="00A86730" w:rsidP="00A86730">
      <w:pPr>
        <w:pStyle w:val="normal0"/>
        <w:rPr>
          <w:lang w:val="en-GB"/>
        </w:rPr>
      </w:pPr>
      <w:r w:rsidRPr="00CB2418">
        <w:rPr>
          <w:lang w:val="en-GB"/>
        </w:rPr>
        <w:t xml:space="preserve">The fair value of the shares is thus evaluated with the assistance of a pricing model that supports the non-entitlement on connecting the market performance undertaking major FTSE 100 companies based on the expectations and volatility (Rolls Royce, 2022). It ensures that the company has taken account of the previous market performance compared with the present situation to understand the market certainties in the prospect. The primary consideration of the companies is to improve their profitability and financial health. Rolls Royce's ability to generate consistent and sustainable profits has supported the dividend payment. Cash flow statements, balance sheets and income statements are valued before assessing profitability, liquidity and solvency upon which the dividends are calculated. As stated by Tekin and Polat (2020), </w:t>
      </w:r>
      <w:r w:rsidRPr="00CB2418">
        <w:rPr>
          <w:b/>
          <w:i/>
          <w:lang w:val="en-GB"/>
        </w:rPr>
        <w:t>agency theory</w:t>
      </w:r>
      <w:r w:rsidRPr="00CB2418">
        <w:rPr>
          <w:lang w:val="en-GB"/>
        </w:rPr>
        <w:t xml:space="preserve"> suggests the agreement to resolve the disputes between the principals and their agents. Thus the pre-adjourned dividend policy in Rolls Royce is based on the calculated estimated profit to eliminate any disputes arising in </w:t>
      </w:r>
      <w:r w:rsidRPr="00CB2418">
        <w:rPr>
          <w:lang w:val="en-GB"/>
        </w:rPr>
        <w:lastRenderedPageBreak/>
        <w:t xml:space="preserve">the company. The financial leverage has thus been useful for the company to maintain consistency with its shareholders. </w:t>
      </w:r>
    </w:p>
    <w:p w:rsidR="00A86730" w:rsidRPr="00CB2418" w:rsidRDefault="00A86730" w:rsidP="00A86730">
      <w:pPr>
        <w:pStyle w:val="normal0"/>
        <w:rPr>
          <w:lang w:val="en-GB"/>
        </w:rPr>
      </w:pPr>
      <w:r w:rsidRPr="00CB2418">
        <w:rPr>
          <w:lang w:val="en-GB"/>
        </w:rPr>
        <w:t xml:space="preserve">However, as argued by Wang </w:t>
      </w:r>
      <w:r w:rsidRPr="00CB2418">
        <w:rPr>
          <w:i/>
          <w:lang w:val="en-GB"/>
        </w:rPr>
        <w:t xml:space="preserve">et al. </w:t>
      </w:r>
      <w:r w:rsidRPr="00CB2418">
        <w:rPr>
          <w:lang w:val="en-GB"/>
        </w:rPr>
        <w:t xml:space="preserve">(2021), it is considered for the company to understand future prospects along with market position and competitive market landscape to evaluate the payment of the dividends. In this context, the company has restricted its dividends payment and C share redemptions due to the impact of the Covid-19 pandemic. The company has thus facilitated that its C share is redeemable twice a year in lieu of its cash dividends (Rolls Royce, 2023). It can be integrated that the company has been functioning to improve the financial feasibility that comprehends the holistic approach to the overall financial health of Rolls Royce. </w:t>
      </w:r>
    </w:p>
    <w:p w:rsidR="00A86730" w:rsidRPr="00CB2418" w:rsidRDefault="00A86730" w:rsidP="00A86730">
      <w:pPr>
        <w:pStyle w:val="Heading1"/>
        <w:rPr>
          <w:lang w:val="en-GB"/>
        </w:rPr>
      </w:pPr>
      <w:bookmarkStart w:id="5" w:name="_jz75e0dxff0o" w:colFirst="0" w:colLast="0"/>
      <w:bookmarkStart w:id="6" w:name="_Toc140324391"/>
      <w:bookmarkEnd w:id="5"/>
      <w:r w:rsidRPr="00CB2418">
        <w:rPr>
          <w:lang w:val="en-GB"/>
        </w:rPr>
        <w:t>Evaluating EMH (Efficient Market Hypothesis) of Rolls Royce</w:t>
      </w:r>
      <w:bookmarkEnd w:id="6"/>
    </w:p>
    <w:p w:rsidR="00A86730" w:rsidRPr="00CB2418" w:rsidRDefault="00A86730" w:rsidP="00A86730">
      <w:pPr>
        <w:pStyle w:val="normal0"/>
        <w:rPr>
          <w:lang w:val="en-GB"/>
        </w:rPr>
      </w:pPr>
      <w:r w:rsidRPr="00CB2418">
        <w:rPr>
          <w:lang w:val="en-GB"/>
        </w:rPr>
        <w:t xml:space="preserve">Market hypothesis theory also known as EMH suggests that financial markets are efficient and that asset price fully reflects all available information to maintain the consistency of the market (Colin-Jaeger and Delcey, 2020). In context to Roll Royce, the theory would imply that the company stock price already incorporates all relevant information about the company’s dividend distribution policy, financial performance and market outlook. According to EMH, it is not possible to consistently achieve above-average returns by analysing publicly available information due to market volatility. As argued by Baah </w:t>
      </w:r>
      <w:r w:rsidRPr="00CB2418">
        <w:rPr>
          <w:i/>
          <w:lang w:val="en-GB"/>
        </w:rPr>
        <w:t xml:space="preserve">et al. </w:t>
      </w:r>
      <w:r w:rsidRPr="00CB2418">
        <w:rPr>
          <w:lang w:val="en-GB"/>
        </w:rPr>
        <w:t xml:space="preserve">(2022), marketing visibility is dependent on market uncertainties based on price, market change and so on. Thus the theory suggests that it is difficult to exploit marketing inefficiencies that can allow the company to gain an advantage in investing. </w:t>
      </w:r>
    </w:p>
    <w:p w:rsidR="00A86730" w:rsidRPr="00CB2418" w:rsidRDefault="00A86730" w:rsidP="00A86730">
      <w:pPr>
        <w:pStyle w:val="normal0"/>
        <w:rPr>
          <w:lang w:val="en-GB"/>
        </w:rPr>
      </w:pPr>
      <w:r w:rsidRPr="00CB2418">
        <w:rPr>
          <w:lang w:val="en-GB"/>
        </w:rPr>
        <w:t xml:space="preserve">In relation to Rolls Royce's dividend distribution policy, EMH theory implies that stock price already reflects investors' expectations regarding the company’s dividend payment. However, it can be observed that the company aims to cultivate the integration of the suggested profound dividend return had significant change due to changes in the market condition. Hence, it reflects that the company is changing its dividend policy, and the stock price needs to adjust according to the changing market condition. The proponents of EMH posit that investors benefit from investing in a low-cost, passive portfolio (Brown, 2020). Thus the company has been cultivating the financial accumulation based on the publicly available information to cater to the financial feasibility adhered to the market expectations. Thus the value provided by the company reflects an indication of the strong form of efficiency such as financial statements on which the decisions are undertaken. Considering the similar approach </w:t>
      </w:r>
      <w:r w:rsidRPr="00CB2418">
        <w:rPr>
          <w:lang w:val="en-GB"/>
        </w:rPr>
        <w:lastRenderedPageBreak/>
        <w:t xml:space="preserve">undertaken by Rolls Royce helps them to make strong financial decisions that can be helpful for the company to undertake any financial decisions. </w:t>
      </w:r>
    </w:p>
    <w:p w:rsidR="00A86730" w:rsidRPr="00CB2418" w:rsidRDefault="00A86730" w:rsidP="00A86730">
      <w:pPr>
        <w:pStyle w:val="normal0"/>
        <w:rPr>
          <w:lang w:val="en-GB"/>
        </w:rPr>
      </w:pPr>
      <w:r w:rsidRPr="00CB2418">
        <w:rPr>
          <w:lang w:val="en-GB"/>
        </w:rPr>
        <w:t xml:space="preserve">The company also validates the event study that helps them to make strong financial decisions or announcements made on a company’s stock price. The underline approach thus allows the company to make precise decisions to centralise the entire financial feasibility which helps them to make precise decisions in order to provide fair value to all of its shareholders (Rolls Royce, 2022). Accessing the global debt market and taking consideration of commercial financial acceptance has been the major player for the company that supports the integration of event studies upon which the decisions are made within the company. It has been a supporting factor for the company to make decisions and react to the changing market quickly. </w:t>
      </w:r>
    </w:p>
    <w:p w:rsidR="006C5B60" w:rsidRPr="00CB2418" w:rsidRDefault="002C7976">
      <w:pPr>
        <w:pStyle w:val="Heading1"/>
        <w:rPr>
          <w:lang w:val="en-GB"/>
        </w:rPr>
      </w:pPr>
      <w:bookmarkStart w:id="7" w:name="_Toc140324392"/>
      <w:r w:rsidRPr="00CB2418">
        <w:rPr>
          <w:lang w:val="en-GB"/>
        </w:rPr>
        <w:t>Critical discussion of Rolls Royce's Capital Project appraisal</w:t>
      </w:r>
      <w:bookmarkEnd w:id="7"/>
    </w:p>
    <w:p w:rsidR="006C5B60" w:rsidRPr="00CB2418" w:rsidRDefault="002C7976">
      <w:pPr>
        <w:pStyle w:val="normal0"/>
        <w:rPr>
          <w:lang w:val="en-GB"/>
        </w:rPr>
      </w:pPr>
      <w:r w:rsidRPr="00CB2418">
        <w:rPr>
          <w:lang w:val="en-GB"/>
        </w:rPr>
        <w:t>Project appraisals are important for companies to review their overall effectiveness in improving their competitive edge in the market environment without compromising overall outcomes (</w:t>
      </w:r>
      <w:r w:rsidRPr="00CB2418">
        <w:rPr>
          <w:highlight w:val="white"/>
          <w:lang w:val="en-GB"/>
        </w:rPr>
        <w:t>Olowa and Ibrahiim, 2021</w:t>
      </w:r>
      <w:r w:rsidRPr="00CB2418">
        <w:rPr>
          <w:lang w:val="en-GB"/>
        </w:rPr>
        <w:t xml:space="preserve">). In this instance, Rolls Royce had invested in "safety capex and engineering projects" for extending the life of its current assets in the market environment. The project was also supported through central capital allocation to marketplaces as well as different programmes. Concerning this prospect, Rolls Royce engaged in a capital spend of 0.4 billion pounds in regard to safety projects resulting in reduced PPE capex and intangibles spending (Rolls Royce, 2023f). Effective usage of capital expenditure has allowed the company to improve the viability and free resource allocation to the project while maintaining consistent quality across the board. </w:t>
      </w:r>
    </w:p>
    <w:p w:rsidR="006C5B60" w:rsidRPr="00CB2418" w:rsidRDefault="002C7976">
      <w:pPr>
        <w:pStyle w:val="normal0"/>
        <w:rPr>
          <w:lang w:val="en-GB"/>
        </w:rPr>
      </w:pPr>
      <w:r w:rsidRPr="00CB2418">
        <w:rPr>
          <w:lang w:val="en-GB"/>
        </w:rPr>
        <w:t>In terms of return capital, project returns of Rolls Royce are measured to have a minimum ROI of (19.5)%- and 4.5% max between 2018-2022 (Rolls Royce, 2023f). This reflects that the company's operations are properly adjusted to support its project appraisal methods without disrupting the flow of operational effectiveness. In this aspect, the company's use of ROI measurement is identical to the Accounting Rate of Return (ARR) allowing the calculation of return generated from net income of the proposed capital investment (</w:t>
      </w:r>
      <w:r w:rsidRPr="00CB2418">
        <w:rPr>
          <w:highlight w:val="white"/>
          <w:lang w:val="en-GB"/>
        </w:rPr>
        <w:t>Baddeley, 2023</w:t>
      </w:r>
      <w:r w:rsidRPr="00CB2418">
        <w:rPr>
          <w:lang w:val="en-GB"/>
        </w:rPr>
        <w:t xml:space="preserve">). The use of this technique has enabled the company to calculate accurate ROI in terms of its capital appraisal projects, however limiting it to profits rather than cash flow. It also fails in terms of overall profit timings which has adversely affected the growth of the company in the long-term. </w:t>
      </w:r>
    </w:p>
    <w:p w:rsidR="006C5B60" w:rsidRPr="00CB2418" w:rsidRDefault="002C7976">
      <w:pPr>
        <w:pStyle w:val="normal0"/>
        <w:rPr>
          <w:lang w:val="en-GB"/>
        </w:rPr>
      </w:pPr>
      <w:r w:rsidRPr="00CB2418">
        <w:rPr>
          <w:lang w:val="en-GB"/>
        </w:rPr>
        <w:lastRenderedPageBreak/>
        <w:t>Concerning other possible methods of capital project appraisal such as Net Present Value (NPV), Internal Rate of Return (IRR), Adjusted Present Value (APV) and so on present better opportunities to improve the flexibility of calculating investment returns for Rolls Royce in the current scenario. Hence, in this instance, through the use of NPV, the company can capture the total value of a capital investment opportunity while projecting all future cash inflows and outflows associated with a particular investment (</w:t>
      </w:r>
      <w:r w:rsidRPr="00CB2418">
        <w:rPr>
          <w:highlight w:val="white"/>
          <w:lang w:val="en-GB"/>
        </w:rPr>
        <w:t>Magni and Marchioni, 2020</w:t>
      </w:r>
      <w:r w:rsidRPr="00CB2418">
        <w:rPr>
          <w:lang w:val="en-GB"/>
        </w:rPr>
        <w:t>). This can allow Rolls Royce to gain better values in terms of its safety capex and engineering investment.</w:t>
      </w:r>
    </w:p>
    <w:p w:rsidR="006C5B60" w:rsidRPr="00CB2418" w:rsidRDefault="002C7976">
      <w:pPr>
        <w:pStyle w:val="normal0"/>
        <w:rPr>
          <w:lang w:val="en-GB"/>
        </w:rPr>
      </w:pPr>
      <w:r w:rsidRPr="00CB2418">
        <w:rPr>
          <w:lang w:val="en-GB"/>
        </w:rPr>
        <w:t xml:space="preserve">On another note, IRR can assist the company in gaining insights into the annual growth rate of investment in terms of established investments. Therefore, it is based on the same concept as NPV, however, its value is only set to zero for the calculation. This indicates that a blend of NPV and IRR can assist Rolls Royce in gaining information regarding future investment implications as well as overall annual impacts as opposed to being restricted to profit-based calculations. However, in terms of the APV method, the company's current equity will be taken into consideration for deriving the value of the investments. Thus, in this manner, it is representative that the use of NPV or IRR is more effective in understanding ROI on a particular investment and can be used by Rolls Royce in terms of future investment projects as a whole. </w:t>
      </w:r>
    </w:p>
    <w:p w:rsidR="00A86730" w:rsidRPr="00CB2418" w:rsidRDefault="00A86730" w:rsidP="00A86730">
      <w:pPr>
        <w:pStyle w:val="Heading1"/>
        <w:rPr>
          <w:lang w:val="en-GB"/>
        </w:rPr>
      </w:pPr>
      <w:bookmarkStart w:id="8" w:name="_Toc140324393"/>
      <w:r w:rsidRPr="00CB2418">
        <w:rPr>
          <w:lang w:val="en-GB"/>
        </w:rPr>
        <w:t>Conclusion</w:t>
      </w:r>
      <w:bookmarkEnd w:id="8"/>
      <w:r w:rsidRPr="00CB2418">
        <w:rPr>
          <w:lang w:val="en-GB"/>
        </w:rPr>
        <w:t xml:space="preserve">  </w:t>
      </w:r>
    </w:p>
    <w:p w:rsidR="00A86730" w:rsidRPr="00CB2418" w:rsidRDefault="00A86730" w:rsidP="00A86730">
      <w:pPr>
        <w:pStyle w:val="normal0"/>
        <w:rPr>
          <w:lang w:val="en-GB"/>
        </w:rPr>
      </w:pPr>
      <w:r w:rsidRPr="00CB2418">
        <w:rPr>
          <w:lang w:val="en-GB"/>
        </w:rPr>
        <w:t xml:space="preserve">It can be concluded that Rolls Royce has been precisely aiming to structure its dividend policy that can be best suited for the shareholders. It has been a crucial segment for Rolls Royce to cover the integration of changing market uncertainties and value that are being provided to its shareholders. Rolls Royce is using a system identical to ARR in terms of calculating its return on investments for capital projects. </w:t>
      </w:r>
    </w:p>
    <w:p w:rsidR="00A86730" w:rsidRPr="00CB2418" w:rsidRDefault="00A86730">
      <w:pPr>
        <w:pStyle w:val="normal0"/>
        <w:rPr>
          <w:lang w:val="en-GB"/>
        </w:rPr>
      </w:pPr>
    </w:p>
    <w:p w:rsidR="006C5B60" w:rsidRPr="00CB2418" w:rsidRDefault="002C7976">
      <w:pPr>
        <w:pStyle w:val="normal0"/>
        <w:rPr>
          <w:lang w:val="en-GB"/>
        </w:rPr>
      </w:pPr>
      <w:r w:rsidRPr="00CB2418">
        <w:rPr>
          <w:lang w:val="en-GB"/>
        </w:rPr>
        <w:br w:type="page"/>
      </w:r>
    </w:p>
    <w:p w:rsidR="006C5B60" w:rsidRPr="00CB2418" w:rsidRDefault="002C7976">
      <w:pPr>
        <w:pStyle w:val="Heading1"/>
        <w:rPr>
          <w:lang w:val="en-GB"/>
        </w:rPr>
      </w:pPr>
      <w:bookmarkStart w:id="9" w:name="_s378e8wim8mv" w:colFirst="0" w:colLast="0"/>
      <w:bookmarkStart w:id="10" w:name="_Toc140324394"/>
      <w:bookmarkEnd w:id="9"/>
      <w:r w:rsidRPr="00CB2418">
        <w:rPr>
          <w:lang w:val="en-GB"/>
        </w:rPr>
        <w:lastRenderedPageBreak/>
        <w:t>Reference List</w:t>
      </w:r>
      <w:bookmarkEnd w:id="10"/>
      <w:r w:rsidRPr="00CB2418">
        <w:rPr>
          <w:lang w:val="en-GB"/>
        </w:rPr>
        <w:t xml:space="preserve"> </w:t>
      </w:r>
    </w:p>
    <w:p w:rsidR="00A86730" w:rsidRPr="00CB2418" w:rsidRDefault="00A86730" w:rsidP="00A86730">
      <w:pPr>
        <w:pStyle w:val="normal0"/>
        <w:rPr>
          <w:sz w:val="28"/>
          <w:szCs w:val="28"/>
          <w:lang w:val="en-GB"/>
        </w:rPr>
      </w:pPr>
      <w:r w:rsidRPr="00CB2418">
        <w:rPr>
          <w:color w:val="222222"/>
          <w:highlight w:val="white"/>
          <w:lang w:val="en-GB"/>
        </w:rPr>
        <w:t xml:space="preserve">Baah, C., Opoku Agyeman, D., Acquah, I.S.K., Agyabeng-Mensah, Y., Afum, E., Issau, K., Ofori, D. and Faibil, D. (2022) ‘Effect of information sharing in supply chains: understanding the roles of supply chain visibility, agility, collaboration on supply chain performance’. </w:t>
      </w:r>
      <w:r w:rsidRPr="00CB2418">
        <w:rPr>
          <w:i/>
          <w:color w:val="222222"/>
          <w:highlight w:val="white"/>
          <w:lang w:val="en-GB"/>
        </w:rPr>
        <w:t>Benchmarking: An International Journal</w:t>
      </w:r>
      <w:r w:rsidRPr="00CB2418">
        <w:rPr>
          <w:color w:val="222222"/>
          <w:highlight w:val="white"/>
          <w:lang w:val="en-GB"/>
        </w:rPr>
        <w:t xml:space="preserve">, </w:t>
      </w:r>
      <w:r w:rsidRPr="00CB2418">
        <w:rPr>
          <w:i/>
          <w:color w:val="222222"/>
          <w:highlight w:val="white"/>
          <w:lang w:val="en-GB"/>
        </w:rPr>
        <w:t>29</w:t>
      </w:r>
      <w:r w:rsidRPr="00CB2418">
        <w:rPr>
          <w:color w:val="222222"/>
          <w:highlight w:val="white"/>
          <w:lang w:val="en-GB"/>
        </w:rPr>
        <w:t>(2), pp.434-455.</w:t>
      </w:r>
    </w:p>
    <w:p w:rsidR="00A86730" w:rsidRPr="00CB2418" w:rsidRDefault="00A86730">
      <w:pPr>
        <w:pStyle w:val="normal0"/>
        <w:rPr>
          <w:highlight w:val="white"/>
          <w:lang w:val="en-GB"/>
        </w:rPr>
      </w:pPr>
      <w:r w:rsidRPr="00CB2418">
        <w:rPr>
          <w:highlight w:val="white"/>
          <w:lang w:val="en-GB"/>
        </w:rPr>
        <w:t xml:space="preserve">Baddeley, M. (2023) ‘Capital investment, business behaviour, and the macroeconomy.’ </w:t>
      </w:r>
      <w:r w:rsidRPr="00CB2418">
        <w:rPr>
          <w:i/>
          <w:highlight w:val="white"/>
          <w:lang w:val="en-GB"/>
        </w:rPr>
        <w:t>The Economic and Labour Relations Review</w:t>
      </w:r>
      <w:r w:rsidRPr="00CB2418">
        <w:rPr>
          <w:highlight w:val="white"/>
          <w:lang w:val="en-GB"/>
        </w:rPr>
        <w:t xml:space="preserve">, </w:t>
      </w:r>
      <w:r w:rsidRPr="00CB2418">
        <w:rPr>
          <w:i/>
          <w:highlight w:val="white"/>
          <w:lang w:val="en-GB"/>
        </w:rPr>
        <w:t>34</w:t>
      </w:r>
      <w:r w:rsidRPr="00CB2418">
        <w:rPr>
          <w:highlight w:val="white"/>
          <w:lang w:val="en-GB"/>
        </w:rPr>
        <w:t xml:space="preserve">(1), pp.35-50. </w:t>
      </w:r>
    </w:p>
    <w:p w:rsidR="00A86730" w:rsidRPr="00CB2418" w:rsidRDefault="00A86730" w:rsidP="00A86730">
      <w:pPr>
        <w:pStyle w:val="normal0"/>
        <w:rPr>
          <w:sz w:val="28"/>
          <w:szCs w:val="28"/>
          <w:lang w:val="en-GB"/>
        </w:rPr>
      </w:pPr>
      <w:r w:rsidRPr="00CB2418">
        <w:rPr>
          <w:color w:val="222222"/>
          <w:highlight w:val="white"/>
          <w:lang w:val="en-GB"/>
        </w:rPr>
        <w:t xml:space="preserve">Brown, S.J. (2020) ‘The efficient market hypothesis, the financial analysts journal, and the professional status of investment management’. </w:t>
      </w:r>
      <w:r w:rsidRPr="00CB2418">
        <w:rPr>
          <w:i/>
          <w:color w:val="222222"/>
          <w:highlight w:val="white"/>
          <w:lang w:val="en-GB"/>
        </w:rPr>
        <w:t>Financial Analysts Journal</w:t>
      </w:r>
      <w:r w:rsidRPr="00CB2418">
        <w:rPr>
          <w:color w:val="222222"/>
          <w:highlight w:val="white"/>
          <w:lang w:val="en-GB"/>
        </w:rPr>
        <w:t xml:space="preserve">, </w:t>
      </w:r>
      <w:r w:rsidRPr="00CB2418">
        <w:rPr>
          <w:i/>
          <w:color w:val="222222"/>
          <w:highlight w:val="white"/>
          <w:lang w:val="en-GB"/>
        </w:rPr>
        <w:t>76</w:t>
      </w:r>
      <w:r w:rsidRPr="00CB2418">
        <w:rPr>
          <w:color w:val="222222"/>
          <w:highlight w:val="white"/>
          <w:lang w:val="en-GB"/>
        </w:rPr>
        <w:t>(2), pp.5-14.</w:t>
      </w:r>
    </w:p>
    <w:p w:rsidR="00A86730" w:rsidRPr="00CB2418" w:rsidRDefault="00A86730" w:rsidP="00A86730">
      <w:pPr>
        <w:pStyle w:val="normal0"/>
        <w:rPr>
          <w:color w:val="222222"/>
          <w:highlight w:val="white"/>
          <w:lang w:val="en-GB"/>
        </w:rPr>
      </w:pPr>
      <w:r w:rsidRPr="00CB2418">
        <w:rPr>
          <w:color w:val="222222"/>
          <w:highlight w:val="white"/>
          <w:lang w:val="en-GB"/>
        </w:rPr>
        <w:t>Chouaibi, Y., Rossi, M. and Zouari, G. (2021) ‘The effect of corporate social responsibility and the executive compensation on implicit cost of equity: Evidence from French ESG data’. Sustainability, 13(20), p.11510.</w:t>
      </w:r>
    </w:p>
    <w:p w:rsidR="00A86730" w:rsidRPr="00CB2418" w:rsidRDefault="00A86730" w:rsidP="00A86730">
      <w:pPr>
        <w:pStyle w:val="normal0"/>
        <w:rPr>
          <w:sz w:val="28"/>
          <w:szCs w:val="28"/>
          <w:lang w:val="en-GB"/>
        </w:rPr>
      </w:pPr>
      <w:r w:rsidRPr="00CB2418">
        <w:rPr>
          <w:color w:val="222222"/>
          <w:highlight w:val="white"/>
          <w:lang w:val="en-GB"/>
        </w:rPr>
        <w:t xml:space="preserve">Colin-Jaeger, N. and Delcey, T. (2020) ‘When efficient market hypothesis meets Hayek on information: beyond a methodological reading’. </w:t>
      </w:r>
      <w:r w:rsidRPr="00CB2418">
        <w:rPr>
          <w:i/>
          <w:color w:val="222222"/>
          <w:highlight w:val="white"/>
          <w:lang w:val="en-GB"/>
        </w:rPr>
        <w:t>Journal of Economic Methodology</w:t>
      </w:r>
      <w:r w:rsidRPr="00CB2418">
        <w:rPr>
          <w:color w:val="222222"/>
          <w:highlight w:val="white"/>
          <w:lang w:val="en-GB"/>
        </w:rPr>
        <w:t xml:space="preserve">, </w:t>
      </w:r>
      <w:r w:rsidRPr="00CB2418">
        <w:rPr>
          <w:i/>
          <w:color w:val="222222"/>
          <w:highlight w:val="white"/>
          <w:lang w:val="en-GB"/>
        </w:rPr>
        <w:t>27</w:t>
      </w:r>
      <w:r w:rsidRPr="00CB2418">
        <w:rPr>
          <w:color w:val="222222"/>
          <w:highlight w:val="white"/>
          <w:lang w:val="en-GB"/>
        </w:rPr>
        <w:t>(2), pp.97-116.</w:t>
      </w:r>
    </w:p>
    <w:p w:rsidR="00A86730" w:rsidRPr="00CB2418" w:rsidRDefault="00A86730">
      <w:pPr>
        <w:pStyle w:val="normal0"/>
        <w:rPr>
          <w:highlight w:val="white"/>
          <w:lang w:val="en-GB"/>
        </w:rPr>
      </w:pPr>
      <w:r w:rsidRPr="00CB2418">
        <w:rPr>
          <w:highlight w:val="white"/>
          <w:lang w:val="en-GB"/>
        </w:rPr>
        <w:t xml:space="preserve">Magni, C.A. and Marchioni, A. (2020) ‘Average rates of return, working capital, and NPV-consistency in project appraisal: A sensitivity analysis approach.’ </w:t>
      </w:r>
      <w:r w:rsidRPr="00CB2418">
        <w:rPr>
          <w:i/>
          <w:highlight w:val="white"/>
          <w:lang w:val="en-GB"/>
        </w:rPr>
        <w:t>International Journal of Production Economics</w:t>
      </w:r>
      <w:r w:rsidRPr="00CB2418">
        <w:rPr>
          <w:highlight w:val="white"/>
          <w:lang w:val="en-GB"/>
        </w:rPr>
        <w:t xml:space="preserve">, </w:t>
      </w:r>
      <w:r w:rsidRPr="00CB2418">
        <w:rPr>
          <w:i/>
          <w:highlight w:val="white"/>
          <w:lang w:val="en-GB"/>
        </w:rPr>
        <w:t>229</w:t>
      </w:r>
      <w:r w:rsidRPr="00CB2418">
        <w:rPr>
          <w:highlight w:val="white"/>
          <w:lang w:val="en-GB"/>
        </w:rPr>
        <w:t>, p.107769.</w:t>
      </w:r>
    </w:p>
    <w:p w:rsidR="00A86730" w:rsidRPr="00CB2418" w:rsidRDefault="00A86730">
      <w:pPr>
        <w:pStyle w:val="normal0"/>
        <w:rPr>
          <w:highlight w:val="white"/>
          <w:lang w:val="en-GB"/>
        </w:rPr>
      </w:pPr>
      <w:r w:rsidRPr="00CB2418">
        <w:rPr>
          <w:highlight w:val="white"/>
          <w:lang w:val="en-GB"/>
        </w:rPr>
        <w:t xml:space="preserve">Olowa, T. and Ibrahiim, D. (2021) ‘Appraisal of planning, monitoring, and controlling tools and techniques on time schedule performance of construction projects in Nigeria.’ </w:t>
      </w:r>
    </w:p>
    <w:p w:rsidR="00A86730" w:rsidRPr="00CB2418" w:rsidRDefault="00A86730" w:rsidP="00A86730">
      <w:pPr>
        <w:pStyle w:val="normal0"/>
        <w:rPr>
          <w:lang w:val="en-GB"/>
        </w:rPr>
      </w:pPr>
      <w:r w:rsidRPr="00CB2418">
        <w:rPr>
          <w:lang w:val="en-GB"/>
        </w:rPr>
        <w:t xml:space="preserve">Rolls Royce (2022) </w:t>
      </w:r>
      <w:r w:rsidRPr="00CB2418">
        <w:rPr>
          <w:i/>
          <w:lang w:val="en-GB"/>
        </w:rPr>
        <w:t xml:space="preserve">ANNUAL REPORT AND AUDITED FINANCIAL STATEMENTS. </w:t>
      </w:r>
      <w:r w:rsidRPr="00CB2418">
        <w:rPr>
          <w:lang w:val="en-GB"/>
        </w:rPr>
        <w:t xml:space="preserve">Available at: </w:t>
      </w:r>
      <w:hyperlink r:id="rId7">
        <w:r w:rsidRPr="00CB2418">
          <w:rPr>
            <w:color w:val="1155CC"/>
            <w:u w:val="single"/>
            <w:lang w:val="en-GB"/>
          </w:rPr>
          <w:t>https://www.rolls-royce.com/~/media/Files/R/Rolls-Royce/documents/annual-report/2022/rr-plc-annual-report-2022.pdf</w:t>
        </w:r>
      </w:hyperlink>
      <w:r w:rsidRPr="00CB2418">
        <w:rPr>
          <w:lang w:val="en-GB"/>
        </w:rPr>
        <w:t xml:space="preserve"> [Accessed 14th July 2023].</w:t>
      </w:r>
    </w:p>
    <w:p w:rsidR="00A86730" w:rsidRPr="00CB2418" w:rsidRDefault="00A86730" w:rsidP="00A86730">
      <w:pPr>
        <w:pStyle w:val="normal0"/>
        <w:rPr>
          <w:lang w:val="en-GB"/>
        </w:rPr>
      </w:pPr>
      <w:r w:rsidRPr="00CB2418">
        <w:rPr>
          <w:lang w:val="en-GB"/>
        </w:rPr>
        <w:t xml:space="preserve">Rolls Royce (2023) </w:t>
      </w:r>
      <w:r w:rsidRPr="00CB2418">
        <w:rPr>
          <w:i/>
          <w:lang w:val="en-GB"/>
        </w:rPr>
        <w:t xml:space="preserve">Payments to shareholders. </w:t>
      </w:r>
      <w:r w:rsidRPr="00CB2418">
        <w:rPr>
          <w:lang w:val="en-GB"/>
        </w:rPr>
        <w:t xml:space="preserve">Available at:  </w:t>
      </w:r>
      <w:hyperlink r:id="rId8">
        <w:r w:rsidRPr="00CB2418">
          <w:rPr>
            <w:color w:val="1155CC"/>
            <w:u w:val="single"/>
            <w:lang w:val="en-GB"/>
          </w:rPr>
          <w:t>https://www.rolls-royce.com/investors/shareholder-information/payments-to-shareholders.aspx</w:t>
        </w:r>
      </w:hyperlink>
      <w:r w:rsidRPr="00CB2418">
        <w:rPr>
          <w:lang w:val="en-GB"/>
        </w:rPr>
        <w:t xml:space="preserve"> [Accessed 14th July 2023].</w:t>
      </w:r>
    </w:p>
    <w:p w:rsidR="00A86730" w:rsidRPr="00CB2418" w:rsidRDefault="00A86730">
      <w:pPr>
        <w:pStyle w:val="normal0"/>
        <w:rPr>
          <w:lang w:val="en-GB"/>
        </w:rPr>
      </w:pPr>
      <w:r w:rsidRPr="00CB2418">
        <w:rPr>
          <w:lang w:val="en-GB"/>
        </w:rPr>
        <w:t xml:space="preserve">Rolls Royce (2023f) </w:t>
      </w:r>
      <w:r w:rsidRPr="00CB2418">
        <w:rPr>
          <w:i/>
          <w:lang w:val="en-GB"/>
        </w:rPr>
        <w:t>Investor Presentation</w:t>
      </w:r>
      <w:r w:rsidRPr="00CB2418">
        <w:rPr>
          <w:lang w:val="en-GB"/>
        </w:rPr>
        <w:t xml:space="preserve"> Available at: </w:t>
      </w:r>
      <w:hyperlink r:id="rId9">
        <w:r w:rsidRPr="00CB2418">
          <w:rPr>
            <w:color w:val="1155CC"/>
            <w:u w:val="single"/>
            <w:lang w:val="en-GB"/>
          </w:rPr>
          <w:t>https://www.rolls-royce.com/~/media/Files/R/Rolls-Royce/documents/investors/rolls-royce-investor-presentation-2023.pdf</w:t>
        </w:r>
      </w:hyperlink>
      <w:r w:rsidRPr="00CB2418">
        <w:rPr>
          <w:lang w:val="en-GB"/>
        </w:rPr>
        <w:t xml:space="preserve"> [Accessed 14th July 2023]. </w:t>
      </w:r>
    </w:p>
    <w:p w:rsidR="00A86730" w:rsidRPr="00CB2418" w:rsidRDefault="00A86730" w:rsidP="00A86730">
      <w:pPr>
        <w:pStyle w:val="normal0"/>
        <w:rPr>
          <w:color w:val="222222"/>
          <w:highlight w:val="white"/>
          <w:lang w:val="en-GB"/>
        </w:rPr>
      </w:pPr>
      <w:r w:rsidRPr="00CB2418">
        <w:rPr>
          <w:color w:val="222222"/>
          <w:highlight w:val="white"/>
          <w:lang w:val="en-GB"/>
        </w:rPr>
        <w:t xml:space="preserve">Tekin, H. and Polat, A.Y. (2020) ‘Agency theory: A review in finance’. </w:t>
      </w:r>
      <w:r w:rsidRPr="00CB2418">
        <w:rPr>
          <w:i/>
          <w:color w:val="222222"/>
          <w:highlight w:val="white"/>
          <w:lang w:val="en-GB"/>
        </w:rPr>
        <w:t>Anemon Muş Alparslan Üniversitesi Sosyal Bilimler Dergisi</w:t>
      </w:r>
      <w:r w:rsidRPr="00CB2418">
        <w:rPr>
          <w:color w:val="222222"/>
          <w:highlight w:val="white"/>
          <w:lang w:val="en-GB"/>
        </w:rPr>
        <w:t xml:space="preserve">, </w:t>
      </w:r>
      <w:r w:rsidRPr="00CB2418">
        <w:rPr>
          <w:i/>
          <w:color w:val="222222"/>
          <w:highlight w:val="white"/>
          <w:lang w:val="en-GB"/>
        </w:rPr>
        <w:t>8</w:t>
      </w:r>
      <w:r w:rsidRPr="00CB2418">
        <w:rPr>
          <w:color w:val="222222"/>
          <w:highlight w:val="white"/>
          <w:lang w:val="en-GB"/>
        </w:rPr>
        <w:t>(4), pp.1323-1329.</w:t>
      </w:r>
    </w:p>
    <w:p w:rsidR="00A86730" w:rsidRPr="00CB2418" w:rsidRDefault="00A86730" w:rsidP="00A86730">
      <w:pPr>
        <w:pStyle w:val="normal0"/>
        <w:rPr>
          <w:color w:val="222222"/>
          <w:sz w:val="28"/>
          <w:szCs w:val="28"/>
          <w:highlight w:val="white"/>
          <w:lang w:val="en-GB"/>
        </w:rPr>
      </w:pPr>
      <w:r w:rsidRPr="00CB2418">
        <w:rPr>
          <w:color w:val="222222"/>
          <w:highlight w:val="white"/>
          <w:lang w:val="en-GB"/>
        </w:rPr>
        <w:lastRenderedPageBreak/>
        <w:t>Wang, J., Zhao, L. and Huchzermeier, A. (2021) ‘Operations</w:t>
      </w:r>
      <w:r w:rsidRPr="00CB2418">
        <w:rPr>
          <w:rFonts w:ascii="Cambria Math" w:hAnsi="Cambria Math" w:cs="Cambria Math"/>
          <w:color w:val="222222"/>
          <w:highlight w:val="white"/>
          <w:lang w:val="en-GB"/>
        </w:rPr>
        <w:t>‐</w:t>
      </w:r>
      <w:r w:rsidRPr="00CB2418">
        <w:rPr>
          <w:color w:val="222222"/>
          <w:highlight w:val="white"/>
          <w:lang w:val="en-GB"/>
        </w:rPr>
        <w:t xml:space="preserve">finance interface in risk management: Research evolution and opportunities’. </w:t>
      </w:r>
      <w:r w:rsidRPr="00CB2418">
        <w:rPr>
          <w:i/>
          <w:color w:val="222222"/>
          <w:highlight w:val="white"/>
          <w:lang w:val="en-GB"/>
        </w:rPr>
        <w:t>Production and Operations Management</w:t>
      </w:r>
      <w:r w:rsidRPr="00CB2418">
        <w:rPr>
          <w:color w:val="222222"/>
          <w:highlight w:val="white"/>
          <w:lang w:val="en-GB"/>
        </w:rPr>
        <w:t xml:space="preserve">, </w:t>
      </w:r>
      <w:r w:rsidRPr="00CB2418">
        <w:rPr>
          <w:i/>
          <w:color w:val="222222"/>
          <w:highlight w:val="white"/>
          <w:lang w:val="en-GB"/>
        </w:rPr>
        <w:t>30</w:t>
      </w:r>
      <w:r w:rsidRPr="00CB2418">
        <w:rPr>
          <w:color w:val="222222"/>
          <w:highlight w:val="white"/>
          <w:lang w:val="en-GB"/>
        </w:rPr>
        <w:t>(2), pp.355-389.</w:t>
      </w:r>
    </w:p>
    <w:p w:rsidR="00A86730" w:rsidRPr="00CB2418" w:rsidRDefault="00A86730">
      <w:pPr>
        <w:pStyle w:val="normal0"/>
        <w:rPr>
          <w:highlight w:val="white"/>
          <w:lang w:val="en-GB"/>
        </w:rPr>
      </w:pPr>
    </w:p>
    <w:sectPr w:rsidR="00A86730" w:rsidRPr="00CB2418" w:rsidSect="006C5B60">
      <w:footerReference w:type="default" r:id="rId10"/>
      <w:pgSz w:w="11909" w:h="16834"/>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167E8" w:rsidRDefault="006167E8" w:rsidP="00995E2B">
      <w:pPr>
        <w:spacing w:line="240" w:lineRule="auto"/>
      </w:pPr>
      <w:r>
        <w:separator/>
      </w:r>
    </w:p>
  </w:endnote>
  <w:endnote w:type="continuationSeparator" w:id="1">
    <w:p w:rsidR="006167E8" w:rsidRDefault="006167E8" w:rsidP="00995E2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19347501"/>
      <w:docPartObj>
        <w:docPartGallery w:val="Page Numbers (Bottom of Page)"/>
        <w:docPartUnique/>
      </w:docPartObj>
    </w:sdtPr>
    <w:sdtContent>
      <w:p w:rsidR="00995E2B" w:rsidRDefault="000133B9">
        <w:pPr>
          <w:pStyle w:val="Footer"/>
          <w:jc w:val="right"/>
        </w:pPr>
        <w:fldSimple w:instr=" PAGE   \* MERGEFORMAT ">
          <w:r w:rsidR="00CB2418">
            <w:rPr>
              <w:noProof/>
            </w:rPr>
            <w:t>8</w:t>
          </w:r>
        </w:fldSimple>
      </w:p>
    </w:sdtContent>
  </w:sdt>
  <w:p w:rsidR="00995E2B" w:rsidRDefault="00995E2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167E8" w:rsidRDefault="006167E8" w:rsidP="00995E2B">
      <w:pPr>
        <w:spacing w:line="240" w:lineRule="auto"/>
      </w:pPr>
      <w:r>
        <w:separator/>
      </w:r>
    </w:p>
  </w:footnote>
  <w:footnote w:type="continuationSeparator" w:id="1">
    <w:p w:rsidR="006167E8" w:rsidRDefault="006167E8" w:rsidP="00995E2B">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C5B60"/>
    <w:rsid w:val="000133B9"/>
    <w:rsid w:val="002C7976"/>
    <w:rsid w:val="005915D4"/>
    <w:rsid w:val="006167E8"/>
    <w:rsid w:val="006C5B60"/>
    <w:rsid w:val="00995E2B"/>
    <w:rsid w:val="00A86730"/>
    <w:rsid w:val="00CB241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rsid w:val="006C5B60"/>
    <w:pPr>
      <w:keepNext/>
      <w:keepLines/>
      <w:outlineLvl w:val="0"/>
    </w:pPr>
    <w:rPr>
      <w:b/>
      <w:sz w:val="28"/>
      <w:szCs w:val="28"/>
    </w:rPr>
  </w:style>
  <w:style w:type="paragraph" w:styleId="Heading2">
    <w:name w:val="heading 2"/>
    <w:basedOn w:val="normal0"/>
    <w:next w:val="normal0"/>
    <w:rsid w:val="006C5B60"/>
    <w:pPr>
      <w:keepNext/>
      <w:keepLines/>
      <w:outlineLvl w:val="1"/>
    </w:pPr>
    <w:rPr>
      <w:b/>
      <w:sz w:val="26"/>
      <w:szCs w:val="26"/>
    </w:rPr>
  </w:style>
  <w:style w:type="paragraph" w:styleId="Heading3">
    <w:name w:val="heading 3"/>
    <w:basedOn w:val="normal0"/>
    <w:next w:val="normal0"/>
    <w:rsid w:val="006C5B60"/>
    <w:pPr>
      <w:keepNext/>
      <w:keepLines/>
      <w:outlineLvl w:val="2"/>
    </w:pPr>
    <w:rPr>
      <w:b/>
      <w:i/>
    </w:rPr>
  </w:style>
  <w:style w:type="paragraph" w:styleId="Heading4">
    <w:name w:val="heading 4"/>
    <w:basedOn w:val="normal0"/>
    <w:next w:val="normal0"/>
    <w:rsid w:val="006C5B60"/>
    <w:pPr>
      <w:keepNext/>
      <w:keepLines/>
      <w:spacing w:before="280" w:after="80"/>
      <w:outlineLvl w:val="3"/>
    </w:pPr>
    <w:rPr>
      <w:color w:val="666666"/>
    </w:rPr>
  </w:style>
  <w:style w:type="paragraph" w:styleId="Heading5">
    <w:name w:val="heading 5"/>
    <w:basedOn w:val="normal0"/>
    <w:next w:val="normal0"/>
    <w:rsid w:val="006C5B60"/>
    <w:pPr>
      <w:keepNext/>
      <w:keepLines/>
      <w:spacing w:before="240" w:after="80"/>
      <w:outlineLvl w:val="4"/>
    </w:pPr>
    <w:rPr>
      <w:color w:val="666666"/>
      <w:sz w:val="22"/>
      <w:szCs w:val="22"/>
    </w:rPr>
  </w:style>
  <w:style w:type="paragraph" w:styleId="Heading6">
    <w:name w:val="heading 6"/>
    <w:basedOn w:val="normal0"/>
    <w:next w:val="normal0"/>
    <w:rsid w:val="006C5B6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6C5B60"/>
  </w:style>
  <w:style w:type="table" w:customStyle="1" w:styleId="TableNormal1">
    <w:name w:val="Table Normal1"/>
    <w:rsid w:val="006C5B60"/>
    <w:tblPr>
      <w:tblCellMar>
        <w:top w:w="0" w:type="dxa"/>
        <w:left w:w="0" w:type="dxa"/>
        <w:bottom w:w="0" w:type="dxa"/>
        <w:right w:w="0" w:type="dxa"/>
      </w:tblCellMar>
    </w:tblPr>
  </w:style>
  <w:style w:type="paragraph" w:styleId="Title">
    <w:name w:val="Title"/>
    <w:basedOn w:val="normal0"/>
    <w:next w:val="normal0"/>
    <w:rsid w:val="006C5B60"/>
    <w:pPr>
      <w:keepNext/>
      <w:keepLines/>
      <w:spacing w:after="60"/>
    </w:pPr>
    <w:rPr>
      <w:sz w:val="52"/>
      <w:szCs w:val="52"/>
    </w:rPr>
  </w:style>
  <w:style w:type="paragraph" w:styleId="Subtitle">
    <w:name w:val="Subtitle"/>
    <w:basedOn w:val="normal0"/>
    <w:next w:val="normal0"/>
    <w:rsid w:val="006C5B60"/>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995E2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95E2B"/>
  </w:style>
  <w:style w:type="paragraph" w:styleId="Footer">
    <w:name w:val="footer"/>
    <w:basedOn w:val="Normal"/>
    <w:link w:val="FooterChar"/>
    <w:uiPriority w:val="99"/>
    <w:unhideWhenUsed/>
    <w:rsid w:val="00995E2B"/>
    <w:pPr>
      <w:tabs>
        <w:tab w:val="center" w:pos="4680"/>
        <w:tab w:val="right" w:pos="9360"/>
      </w:tabs>
      <w:spacing w:line="240" w:lineRule="auto"/>
    </w:pPr>
  </w:style>
  <w:style w:type="character" w:customStyle="1" w:styleId="FooterChar">
    <w:name w:val="Footer Char"/>
    <w:basedOn w:val="DefaultParagraphFont"/>
    <w:link w:val="Footer"/>
    <w:uiPriority w:val="99"/>
    <w:rsid w:val="00995E2B"/>
  </w:style>
  <w:style w:type="paragraph" w:styleId="TOCHeading">
    <w:name w:val="TOC Heading"/>
    <w:basedOn w:val="Heading1"/>
    <w:next w:val="Normal"/>
    <w:uiPriority w:val="39"/>
    <w:semiHidden/>
    <w:unhideWhenUsed/>
    <w:qFormat/>
    <w:rsid w:val="00995E2B"/>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995E2B"/>
    <w:pPr>
      <w:spacing w:after="100"/>
    </w:pPr>
  </w:style>
  <w:style w:type="character" w:styleId="Hyperlink">
    <w:name w:val="Hyperlink"/>
    <w:basedOn w:val="DefaultParagraphFont"/>
    <w:uiPriority w:val="99"/>
    <w:unhideWhenUsed/>
    <w:rsid w:val="00995E2B"/>
    <w:rPr>
      <w:color w:val="0000FF" w:themeColor="hyperlink"/>
      <w:u w:val="single"/>
    </w:rPr>
  </w:style>
  <w:style w:type="paragraph" w:styleId="BalloonText">
    <w:name w:val="Balloon Text"/>
    <w:basedOn w:val="Normal"/>
    <w:link w:val="BalloonTextChar"/>
    <w:uiPriority w:val="99"/>
    <w:semiHidden/>
    <w:unhideWhenUsed/>
    <w:rsid w:val="00995E2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5E2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lls-royce.com/investors/shareholder-information/payments-to-shareholders.aspx" TargetMode="External"/><Relationship Id="rId3" Type="http://schemas.openxmlformats.org/officeDocument/2006/relationships/settings" Target="settings.xml"/><Relationship Id="rId7" Type="http://schemas.openxmlformats.org/officeDocument/2006/relationships/hyperlink" Target="https://www.rolls-royce.com/~/media/Files/R/Rolls-Royce/documents/annual-report/2022/rr-plc-annual-report-2022.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olls-royce.com/~/media/Files/R/Rolls-Royce/documents/investors/rolls-royce-investor-presentation-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A4F680-C77E-4C91-9096-E0010EF71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2015</Words>
  <Characters>11490</Characters>
  <Application>Microsoft Office Word</Application>
  <DocSecurity>0</DocSecurity>
  <Lines>95</Lines>
  <Paragraphs>26</Paragraphs>
  <ScaleCrop>false</ScaleCrop>
  <Company/>
  <LinksUpToDate>false</LinksUpToDate>
  <CharactersWithSpaces>13479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7</cp:revision>
  <dcterms:created xsi:type="dcterms:W3CDTF">2023-07-15T08:16:00Z</dcterms:created>
  <dcterms:modified xsi:type="dcterms:W3CDTF">2023-07-15T09:14:00Z</dcterms:modified>
</cp:coreProperties>
</file>