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C22249" w14:paraId="1A534B5E" wp14:textId="1D2E73AF">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6DC22249" w:rsidR="415A5A2F">
        <w:rPr>
          <w:rFonts w:ascii="Calibri" w:hAnsi="Calibri" w:eastAsia="Calibri" w:cs="Calibri"/>
          <w:b w:val="1"/>
          <w:bCs w:val="1"/>
          <w:i w:val="0"/>
          <w:iCs w:val="0"/>
          <w:caps w:val="0"/>
          <w:smallCaps w:val="0"/>
          <w:noProof w:val="0"/>
          <w:color w:val="000000" w:themeColor="text1" w:themeTint="FF" w:themeShade="FF"/>
          <w:sz w:val="32"/>
          <w:szCs w:val="32"/>
          <w:lang w:val="en-GB"/>
        </w:rPr>
        <w:t xml:space="preserve">Student Name: </w:t>
      </w:r>
      <w:r w:rsidRPr="6DC22249" w:rsidR="415A5A2F">
        <w:rPr>
          <w:rFonts w:ascii="Calibri" w:hAnsi="Calibri" w:eastAsia="Calibri" w:cs="Calibri"/>
          <w:b w:val="1"/>
          <w:bCs w:val="1"/>
          <w:i w:val="0"/>
          <w:iCs w:val="0"/>
          <w:caps w:val="0"/>
          <w:smallCaps w:val="0"/>
          <w:noProof w:val="0"/>
          <w:color w:val="000000" w:themeColor="text1" w:themeTint="FF" w:themeShade="FF"/>
          <w:sz w:val="32"/>
          <w:szCs w:val="32"/>
          <w:lang w:val="en-GB"/>
        </w:rPr>
        <w:t>Anoshia</w:t>
      </w:r>
      <w:r w:rsidRPr="6DC22249" w:rsidR="415A5A2F">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Zaheer</w:t>
      </w:r>
    </w:p>
    <w:p xmlns:wp14="http://schemas.microsoft.com/office/word/2010/wordml" w:rsidP="5012AA2D" w14:paraId="40BADFD5" wp14:textId="2510AB9D">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012AA2D" w:rsidR="415A5A2F">
        <w:rPr>
          <w:rFonts w:ascii="Calibri" w:hAnsi="Calibri" w:eastAsia="Calibri" w:cs="Calibri"/>
          <w:b w:val="1"/>
          <w:bCs w:val="1"/>
          <w:i w:val="0"/>
          <w:iCs w:val="0"/>
          <w:caps w:val="0"/>
          <w:smallCaps w:val="0"/>
          <w:noProof w:val="0"/>
          <w:color w:val="000000" w:themeColor="text1" w:themeTint="FF" w:themeShade="FF"/>
          <w:sz w:val="32"/>
          <w:szCs w:val="32"/>
          <w:lang w:val="en-GB"/>
        </w:rPr>
        <w:t>Student Number: 2128010</w:t>
      </w:r>
    </w:p>
    <w:p xmlns:wp14="http://schemas.microsoft.com/office/word/2010/wordml" w:rsidP="5012AA2D" w14:paraId="74AB2C91" wp14:textId="01089DB7">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012AA2D" w:rsidR="415A5A2F">
        <w:rPr>
          <w:rFonts w:ascii="Calibri" w:hAnsi="Calibri" w:eastAsia="Calibri" w:cs="Calibri"/>
          <w:b w:val="1"/>
          <w:bCs w:val="1"/>
          <w:i w:val="0"/>
          <w:iCs w:val="0"/>
          <w:caps w:val="0"/>
          <w:smallCaps w:val="0"/>
          <w:noProof w:val="0"/>
          <w:color w:val="000000" w:themeColor="text1" w:themeTint="FF" w:themeShade="FF"/>
          <w:sz w:val="32"/>
          <w:szCs w:val="32"/>
          <w:lang w:val="en-GB"/>
        </w:rPr>
        <w:t>Module Code: LCHS4006</w:t>
      </w:r>
    </w:p>
    <w:p xmlns:wp14="http://schemas.microsoft.com/office/word/2010/wordml" w:rsidP="5012AA2D" w14:paraId="07ED806C" wp14:textId="1EF15B61">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012AA2D" w:rsidR="415A5A2F">
        <w:rPr>
          <w:rFonts w:ascii="Calibri" w:hAnsi="Calibri" w:eastAsia="Calibri" w:cs="Calibri"/>
          <w:b w:val="1"/>
          <w:bCs w:val="1"/>
          <w:i w:val="0"/>
          <w:iCs w:val="0"/>
          <w:caps w:val="0"/>
          <w:smallCaps w:val="0"/>
          <w:noProof w:val="0"/>
          <w:color w:val="000000" w:themeColor="text1" w:themeTint="FF" w:themeShade="FF"/>
          <w:sz w:val="32"/>
          <w:szCs w:val="32"/>
          <w:lang w:val="en-GB"/>
        </w:rPr>
        <w:t>Module Name: Psychology in Health and Social Care</w:t>
      </w:r>
    </w:p>
    <w:p xmlns:wp14="http://schemas.microsoft.com/office/word/2010/wordml" w:rsidP="5012AA2D" w14:paraId="512487B5" wp14:textId="1DBD9132">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012AA2D" w:rsidR="415A5A2F">
        <w:rPr>
          <w:rFonts w:ascii="Calibri" w:hAnsi="Calibri" w:eastAsia="Calibri" w:cs="Calibri"/>
          <w:b w:val="1"/>
          <w:bCs w:val="1"/>
          <w:i w:val="0"/>
          <w:iCs w:val="0"/>
          <w:caps w:val="0"/>
          <w:smallCaps w:val="0"/>
          <w:noProof w:val="0"/>
          <w:color w:val="000000" w:themeColor="text1" w:themeTint="FF" w:themeShade="FF"/>
          <w:sz w:val="32"/>
          <w:szCs w:val="32"/>
          <w:lang w:val="en-GB"/>
        </w:rPr>
        <w:t>Lecturer Name: Dr Kenndy Obohwemu</w:t>
      </w:r>
    </w:p>
    <w:p xmlns:wp14="http://schemas.microsoft.com/office/word/2010/wordml" w:rsidP="5012AA2D" w14:paraId="300289CC" wp14:textId="2F4399A9">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012AA2D" w:rsidR="415A5A2F">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5012AA2D" w14:paraId="4F35233E" wp14:textId="34B50F8D">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5012AA2D" w14:paraId="46B8FC16" wp14:textId="1CAF162E">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21F60857" wp14:textId="081C8C0A">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0F80AEA5" wp14:textId="3E98A0A3">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6563BE1A" wp14:textId="680F0B68">
      <w:pPr>
        <w:spacing w:before="0" w:beforeAutospacing="off" w:after="15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532F9157" wp14:textId="228C2C0C">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0179B83B" wp14:textId="32D073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42FD9B51" wp14:textId="25E06C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382F074B" wp14:textId="647FB31E">
      <w:pPr>
        <w:keepNext w:val="1"/>
        <w:keepLines w:val="1"/>
        <w:spacing w:before="240" w:after="0" w:line="480" w:lineRule="auto"/>
        <w:ind w:left="720"/>
        <w:jc w:val="center"/>
        <w:rPr>
          <w:rFonts w:ascii="Times New Roman" w:hAnsi="Times New Roman" w:eastAsia="Times New Roman" w:cs="Times New Roman"/>
          <w:b w:val="0"/>
          <w:bCs w:val="0"/>
          <w:i w:val="0"/>
          <w:iCs w:val="0"/>
          <w:caps w:val="0"/>
          <w:smallCaps w:val="0"/>
          <w:noProof w:val="0"/>
          <w:color w:val="2F5496" w:themeColor="accent1" w:themeTint="FF" w:themeShade="BF"/>
          <w:sz w:val="32"/>
          <w:szCs w:val="32"/>
          <w:lang w:val="en-US"/>
        </w:rPr>
      </w:pPr>
      <w:r w:rsidRPr="5012AA2D" w:rsidR="415A5A2F">
        <w:rPr>
          <w:rFonts w:ascii="Calibri" w:hAnsi="Calibri" w:eastAsia="Calibri" w:cs="Calibri"/>
          <w:b w:val="1"/>
          <w:bCs w:val="1"/>
          <w:i w:val="0"/>
          <w:iCs w:val="0"/>
          <w:caps w:val="0"/>
          <w:smallCaps w:val="0"/>
          <w:noProof w:val="0"/>
          <w:color w:val="2F5496" w:themeColor="accent1" w:themeTint="FF" w:themeShade="BF"/>
          <w:sz w:val="28"/>
          <w:szCs w:val="28"/>
          <w:lang w:val="en-US"/>
        </w:rPr>
        <w:t xml:space="preserve">  </w:t>
      </w:r>
    </w:p>
    <w:p xmlns:wp14="http://schemas.microsoft.com/office/word/2010/wordml" w:rsidP="6DC22249" w14:paraId="5B089AA1" wp14:textId="461615C8">
      <w:pPr>
        <w:keepNext w:val="1"/>
        <w:keepLines w:val="1"/>
        <w:spacing w:before="240" w:after="0" w:line="480" w:lineRule="auto"/>
        <w:ind w:left="720"/>
        <w:jc w:val="center"/>
        <w:rPr>
          <w:rFonts w:ascii="Times New Roman" w:hAnsi="Times New Roman" w:eastAsia="Times New Roman" w:cs="Times New Roman"/>
          <w:b w:val="0"/>
          <w:bCs w:val="0"/>
          <w:i w:val="0"/>
          <w:iCs w:val="0"/>
          <w:caps w:val="0"/>
          <w:smallCaps w:val="0"/>
          <w:noProof w:val="0"/>
          <w:color w:val="2F5496" w:themeColor="accent1" w:themeTint="FF" w:themeShade="BF"/>
          <w:sz w:val="28"/>
          <w:szCs w:val="28"/>
          <w:lang w:val="en-US"/>
        </w:rPr>
      </w:pPr>
      <w:r w:rsidRPr="6DC22249" w:rsidR="415A5A2F">
        <w:rPr>
          <w:rFonts w:ascii="Times New Roman" w:hAnsi="Times New Roman" w:eastAsia="Times New Roman" w:cs="Times New Roman"/>
          <w:b w:val="1"/>
          <w:bCs w:val="1"/>
          <w:i w:val="0"/>
          <w:iCs w:val="0"/>
          <w:caps w:val="0"/>
          <w:smallCaps w:val="0"/>
          <w:noProof w:val="0"/>
          <w:color w:val="2F5496" w:themeColor="accent1" w:themeTint="FF" w:themeShade="BF"/>
          <w:sz w:val="32"/>
          <w:szCs w:val="32"/>
          <w:lang w:val="en-US"/>
        </w:rPr>
        <w:t xml:space="preserve"> </w:t>
      </w:r>
    </w:p>
    <w:p xmlns:wp14="http://schemas.microsoft.com/office/word/2010/wordml" w:rsidP="6DC22249" w14:paraId="2DD5C476" wp14:textId="7F56ADA2">
      <w:pPr>
        <w:keepNext w:val="1"/>
        <w:keepLines w:val="1"/>
        <w:spacing w:before="240" w:after="0" w:line="480" w:lineRule="auto"/>
        <w:ind w:left="720"/>
        <w:jc w:val="center"/>
        <w:rPr>
          <w:rFonts w:ascii="Times New Roman" w:hAnsi="Times New Roman" w:eastAsia="Times New Roman" w:cs="Times New Roman"/>
          <w:b w:val="1"/>
          <w:bCs w:val="1"/>
          <w:i w:val="0"/>
          <w:iCs w:val="0"/>
          <w:caps w:val="0"/>
          <w:smallCaps w:val="0"/>
          <w:noProof w:val="0"/>
          <w:color w:val="2F5496" w:themeColor="accent1" w:themeTint="FF" w:themeShade="BF"/>
          <w:sz w:val="32"/>
          <w:szCs w:val="32"/>
          <w:lang w:val="en-US"/>
        </w:rPr>
      </w:pPr>
    </w:p>
    <w:p xmlns:wp14="http://schemas.microsoft.com/office/word/2010/wordml" w:rsidP="6DC22249" w14:paraId="31DE8863" wp14:textId="7EE562B1">
      <w:pPr>
        <w:keepNext w:val="1"/>
        <w:keepLines w:val="1"/>
        <w:spacing w:before="240" w:after="0" w:line="480" w:lineRule="auto"/>
        <w:ind w:left="720"/>
        <w:jc w:val="center"/>
        <w:rPr>
          <w:rFonts w:ascii="Times New Roman" w:hAnsi="Times New Roman" w:eastAsia="Times New Roman" w:cs="Times New Roman"/>
          <w:b w:val="0"/>
          <w:bCs w:val="0"/>
          <w:i w:val="0"/>
          <w:iCs w:val="0"/>
          <w:caps w:val="0"/>
          <w:smallCaps w:val="0"/>
          <w:noProof w:val="0"/>
          <w:color w:val="2F5496" w:themeColor="accent1" w:themeTint="FF" w:themeShade="BF"/>
          <w:sz w:val="28"/>
          <w:szCs w:val="28"/>
          <w:lang w:val="en-US"/>
        </w:rPr>
      </w:pPr>
      <w:r w:rsidRPr="6DC22249" w:rsidR="415A5A2F">
        <w:rPr>
          <w:rFonts w:ascii="Times New Roman" w:hAnsi="Times New Roman" w:eastAsia="Times New Roman" w:cs="Times New Roman"/>
          <w:b w:val="1"/>
          <w:bCs w:val="1"/>
          <w:i w:val="0"/>
          <w:iCs w:val="0"/>
          <w:caps w:val="0"/>
          <w:smallCaps w:val="0"/>
          <w:noProof w:val="0"/>
          <w:color w:val="2F5496" w:themeColor="accent1" w:themeTint="FF" w:themeShade="BF"/>
          <w:sz w:val="32"/>
          <w:szCs w:val="32"/>
          <w:lang w:val="en-US"/>
        </w:rPr>
        <w:t>Contents</w:t>
      </w:r>
    </w:p>
    <w:p xmlns:wp14="http://schemas.microsoft.com/office/word/2010/wordml" w:rsidP="6DC22249" w14:paraId="50C1DA83" wp14:textId="205A7BF0">
      <w:pPr>
        <w:tabs>
          <w:tab w:val="left" w:leader="none" w:pos="440"/>
          <w:tab w:val="right" w:leader="dot" w:pos="9350"/>
        </w:tabs>
        <w:spacing w:after="100" w:line="480" w:lineRule="auto"/>
        <w:rPr>
          <w:rFonts w:ascii="Times New Roman" w:hAnsi="Times New Roman" w:eastAsia="Times New Roman" w:cs="Times New Roman"/>
          <w:b w:val="0"/>
          <w:bCs w:val="0"/>
          <w:i w:val="0"/>
          <w:iCs w:val="0"/>
          <w:caps w:val="0"/>
          <w:smallCaps w:val="0"/>
          <w:strike w:val="0"/>
          <w:dstrike w:val="0"/>
          <w:noProof w:val="0"/>
          <w:color w:val="0563C1" w:themeColor="text1" w:themeTint="FF" w:themeShade="FF"/>
          <w:sz w:val="24"/>
          <w:szCs w:val="24"/>
          <w:u w:val="none"/>
          <w:lang w:val="en-GB"/>
        </w:rPr>
      </w:pPr>
      <w:r w:rsidRPr="6DC22249" w:rsidR="73535E8C">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1.Introduction</w:t>
      </w:r>
      <w:r w:rsidRPr="6DC22249" w:rsidR="73535E8C">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w:t>
      </w:r>
      <w:r w:rsidRPr="6DC22249" w:rsidR="73535E8C">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w:t>
      </w:r>
      <w:r w:rsidRPr="6DC22249" w:rsidR="4B60C1A2">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w:t>
      </w:r>
      <w:r w:rsidRPr="6DC22249" w:rsidR="73535E8C">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.3</w:t>
      </w:r>
    </w:p>
    <w:p w:rsidR="73535E8C" w:rsidP="6DC22249" w:rsidRDefault="73535E8C" w14:paraId="5CB1CD9B" w14:textId="72CEE273">
      <w:pPr>
        <w:tabs>
          <w:tab w:val="left" w:leader="none" w:pos="440"/>
          <w:tab w:val="right" w:leader="dot" w:pos="9350"/>
        </w:tabs>
        <w:spacing w:after="100" w:line="480" w:lineRule="auto"/>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pPr>
      <w:r w:rsidRPr="6DC22249" w:rsidR="73535E8C">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2.The</w:t>
      </w:r>
      <w:r w:rsidRPr="6DC22249" w:rsidR="7A978644">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ory1: Erikson's Psy</w:t>
      </w:r>
      <w:r w:rsidRPr="6DC22249" w:rsidR="00FE1CA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chosocial theory..........................</w:t>
      </w:r>
      <w:r w:rsidRPr="6DC22249" w:rsidR="573E46C6">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w:t>
      </w:r>
      <w:r w:rsidRPr="6DC22249" w:rsidR="00FE1CA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...3</w:t>
      </w:r>
    </w:p>
    <w:p xmlns:wp14="http://schemas.microsoft.com/office/word/2010/wordml" w:rsidP="6DC22249" w14:paraId="4685274D" wp14:textId="02F1FECF">
      <w:pPr>
        <w:tabs>
          <w:tab w:val="left" w:leader="none" w:pos="880"/>
          <w:tab w:val="right" w:leader="dot" w:pos="9350"/>
        </w:tabs>
        <w:spacing w:after="100" w:line="480" w:lineRule="auto"/>
        <w:ind w:left="220"/>
        <w:rPr>
          <w:rFonts w:ascii="Times New Roman" w:hAnsi="Times New Roman" w:eastAsia="Times New Roman" w:cs="Times New Roman"/>
          <w:b w:val="0"/>
          <w:bCs w:val="0"/>
          <w:i w:val="0"/>
          <w:iCs w:val="0"/>
          <w:caps w:val="0"/>
          <w:smallCaps w:val="0"/>
          <w:strike w:val="0"/>
          <w:dstrike w:val="0"/>
          <w:noProof w:val="0"/>
          <w:color w:val="0563C1" w:themeColor="text1" w:themeTint="FF" w:themeShade="FF"/>
          <w:sz w:val="24"/>
          <w:szCs w:val="24"/>
          <w:u w:val="none"/>
          <w:lang w:val="en-GB"/>
        </w:rPr>
      </w:pPr>
      <w:r w:rsidRPr="6DC22249" w:rsidR="00FE1CA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2.1 Example.........................................................................</w:t>
      </w:r>
      <w:r w:rsidRPr="6DC22249" w:rsidR="5EBD5387">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w:t>
      </w:r>
      <w:r w:rsidRPr="6DC22249" w:rsidR="00FE1CA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..4</w:t>
      </w:r>
    </w:p>
    <w:p xmlns:wp14="http://schemas.microsoft.com/office/word/2010/wordml" w:rsidP="6DC22249" w14:paraId="701813E6" wp14:textId="7D1FF8FF">
      <w:pPr>
        <w:tabs>
          <w:tab w:val="left" w:leader="none" w:pos="440"/>
          <w:tab w:val="right" w:leader="dot" w:pos="9350"/>
        </w:tabs>
        <w:spacing w:after="100" w:line="480" w:lineRule="auto"/>
        <w:rPr>
          <w:rFonts w:ascii="Times New Roman" w:hAnsi="Times New Roman" w:eastAsia="Times New Roman" w:cs="Times New Roman"/>
          <w:b w:val="0"/>
          <w:bCs w:val="0"/>
          <w:i w:val="0"/>
          <w:iCs w:val="0"/>
          <w:caps w:val="0"/>
          <w:smallCaps w:val="0"/>
          <w:strike w:val="0"/>
          <w:dstrike w:val="0"/>
          <w:noProof w:val="0"/>
          <w:color w:val="0563C1" w:themeColor="text1" w:themeTint="FF" w:themeShade="FF"/>
          <w:sz w:val="24"/>
          <w:szCs w:val="24"/>
          <w:u w:val="none"/>
          <w:lang w:val="en-GB"/>
        </w:rPr>
      </w:pPr>
      <w:r w:rsidRPr="6DC22249" w:rsidR="00FE1CA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 xml:space="preserve">3. Theory2: Albert Bandura's Social learning </w:t>
      </w:r>
      <w:r w:rsidRPr="6DC22249" w:rsidR="5733C340">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theory........................................5</w:t>
      </w:r>
    </w:p>
    <w:p xmlns:wp14="http://schemas.microsoft.com/office/word/2010/wordml" w:rsidP="6DC22249" w14:paraId="550DCBFF" wp14:textId="536E2C9B">
      <w:pPr>
        <w:tabs>
          <w:tab w:val="left" w:leader="none" w:pos="880"/>
          <w:tab w:val="right" w:leader="dot" w:pos="9350"/>
        </w:tabs>
        <w:spacing w:after="100" w:line="480" w:lineRule="auto"/>
        <w:ind w:left="220"/>
        <w:rPr>
          <w:rFonts w:ascii="Times New Roman" w:hAnsi="Times New Roman" w:eastAsia="Times New Roman" w:cs="Times New Roman"/>
          <w:b w:val="0"/>
          <w:bCs w:val="0"/>
          <w:i w:val="0"/>
          <w:iCs w:val="0"/>
          <w:caps w:val="0"/>
          <w:smallCaps w:val="0"/>
          <w:strike w:val="0"/>
          <w:dstrike w:val="0"/>
          <w:noProof w:val="0"/>
          <w:color w:val="0563C1" w:themeColor="text1" w:themeTint="FF" w:themeShade="FF"/>
          <w:sz w:val="24"/>
          <w:szCs w:val="24"/>
          <w:u w:val="single"/>
          <w:lang w:val="en-GB"/>
        </w:rPr>
      </w:pPr>
      <w:r w:rsidRPr="6DC22249" w:rsidR="5733C340">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3.1 Example...................................................................................................</w:t>
      </w:r>
      <w:r w:rsidRPr="6DC22249" w:rsidR="368635D9">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5</w:t>
      </w:r>
    </w:p>
    <w:p xmlns:wp14="http://schemas.microsoft.com/office/word/2010/wordml" w:rsidP="6DC22249" w14:paraId="27CFEFED" wp14:textId="3ED8A09F">
      <w:pPr>
        <w:tabs>
          <w:tab w:val="left" w:leader="none" w:pos="880"/>
          <w:tab w:val="right" w:leader="dot" w:pos="9350"/>
        </w:tabs>
        <w:spacing w:after="100" w:line="480" w:lineRule="auto"/>
        <w:ind w:left="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22249" w:rsidR="415A5A2F">
        <w:rPr>
          <w:rFonts w:ascii="Times New Roman" w:hAnsi="Times New Roman" w:eastAsia="Times New Roman" w:cs="Times New Roman"/>
          <w:b w:val="0"/>
          <w:bCs w:val="0"/>
          <w:i w:val="0"/>
          <w:iCs w:val="0"/>
          <w:caps w:val="0"/>
          <w:smallCaps w:val="0"/>
          <w:strike w:val="0"/>
          <w:dstrike w:val="0"/>
          <w:noProof w:val="0"/>
          <w:color w:val="0563C1"/>
          <w:sz w:val="24"/>
          <w:szCs w:val="24"/>
          <w:u w:val="single"/>
          <w:lang w:val="en-GB"/>
        </w:rPr>
        <w:t xml:space="preserve"> </w:t>
      </w:r>
      <w:r w:rsidRPr="6DC22249" w:rsidR="3CECCC3D">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 xml:space="preserve">4. Theory 3: Freud's </w:t>
      </w:r>
      <w:r w:rsidRPr="6DC22249" w:rsidR="1C3F3ED6">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psychoanalytic</w:t>
      </w:r>
      <w:r w:rsidRPr="6DC22249" w:rsidR="1C3F3ED6">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 xml:space="preserve"> theory....................................................6</w:t>
      </w:r>
      <w:r w:rsidRPr="6DC22249" w:rsidR="3CECCC3D">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 xml:space="preserve"> </w:t>
      </w:r>
    </w:p>
    <w:p xmlns:wp14="http://schemas.microsoft.com/office/word/2010/wordml" w:rsidP="6DC22249" w14:paraId="4CC06D8C" wp14:textId="560A25DD">
      <w:pPr>
        <w:tabs>
          <w:tab w:val="left" w:leader="none" w:pos="440"/>
          <w:tab w:val="right" w:leader="dot" w:pos="9350"/>
        </w:tabs>
        <w:spacing w:after="1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22249" w:rsidR="415A5A2F">
        <w:rPr>
          <w:rFonts w:ascii="Times New Roman" w:hAnsi="Times New Roman" w:eastAsia="Times New Roman" w:cs="Times New Roman"/>
          <w:b w:val="0"/>
          <w:bCs w:val="0"/>
          <w:i w:val="0"/>
          <w:iCs w:val="0"/>
          <w:caps w:val="0"/>
          <w:smallCaps w:val="0"/>
          <w:strike w:val="0"/>
          <w:dstrike w:val="0"/>
          <w:noProof w:val="0"/>
          <w:color w:val="0563C1"/>
          <w:sz w:val="24"/>
          <w:szCs w:val="24"/>
          <w:u w:val="single"/>
          <w:lang w:val="en-GB"/>
        </w:rPr>
        <w:t xml:space="preserve"> </w:t>
      </w:r>
      <w:r w:rsidRPr="6DC22249" w:rsidR="2D6969D8">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4.1 Example.........................................................................................................6</w:t>
      </w:r>
    </w:p>
    <w:p xmlns:wp14="http://schemas.microsoft.com/office/word/2010/wordml" w:rsidP="6DC22249" w14:paraId="57CDC453" wp14:textId="121F0A79">
      <w:pPr>
        <w:tabs>
          <w:tab w:val="left" w:leader="none" w:pos="440"/>
          <w:tab w:val="right" w:leader="dot" w:pos="9350"/>
        </w:tabs>
        <w:spacing w:after="10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22249" w:rsidR="415A5A2F">
        <w:rPr>
          <w:rFonts w:ascii="Times New Roman" w:hAnsi="Times New Roman" w:eastAsia="Times New Roman" w:cs="Times New Roman"/>
          <w:b w:val="0"/>
          <w:bCs w:val="0"/>
          <w:i w:val="0"/>
          <w:iCs w:val="0"/>
          <w:caps w:val="0"/>
          <w:smallCaps w:val="0"/>
          <w:strike w:val="0"/>
          <w:dstrike w:val="0"/>
          <w:noProof w:val="0"/>
          <w:color w:val="0563C1"/>
          <w:sz w:val="24"/>
          <w:szCs w:val="24"/>
          <w:u w:val="single"/>
          <w:lang w:val="en-GB"/>
        </w:rPr>
        <w:t xml:space="preserve"> </w:t>
      </w:r>
      <w:r w:rsidRPr="6DC22249" w:rsidR="27870596">
        <w:rPr>
          <w:rFonts w:ascii="Times New Roman" w:hAnsi="Times New Roman" w:eastAsia="Times New Roman" w:cs="Times New Roman"/>
          <w:b w:val="0"/>
          <w:bCs w:val="0"/>
          <w:i w:val="0"/>
          <w:iCs w:val="0"/>
          <w:caps w:val="0"/>
          <w:smallCaps w:val="0"/>
          <w:strike w:val="0"/>
          <w:dstrike w:val="0"/>
          <w:noProof w:val="0"/>
          <w:color w:val="0563C1"/>
          <w:sz w:val="24"/>
          <w:szCs w:val="24"/>
          <w:u w:val="none"/>
          <w:lang w:val="en-GB"/>
        </w:rPr>
        <w:t>5. Conclusion.........................................................................................................7</w:t>
      </w:r>
    </w:p>
    <w:p xmlns:wp14="http://schemas.microsoft.com/office/word/2010/wordml" w:rsidP="6DC22249" w14:paraId="021D2F57" wp14:textId="64B521E1">
      <w:pPr>
        <w:spacing w:after="160" w:line="48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6DC22249" w:rsidR="415A5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C22249" w:rsidR="215AA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 References,,,,,,,,,,,,,,,,,,,,,,,,,,,,,,,,,,,,,,,,,,,,,,,,,,,,,,,,,,,,,,,,,,,,,,,,,,,,,,,,,,,,,,,,,,,,,,,,,,,,,,,,,,9</w:t>
      </w:r>
    </w:p>
    <w:p xmlns:wp14="http://schemas.microsoft.com/office/word/2010/wordml" w:rsidP="5012AA2D" w14:paraId="1211DF05" wp14:textId="08B0F6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56F020F1" wp14:textId="0D02DA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1934C37D" wp14:textId="5A0C43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119C523A" wp14:textId="23D895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3AC60F3D" wp14:textId="5E87A1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4C516076" wp14:textId="6FBE5C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270B7160" wp14:textId="6263A7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054FD7AE" wp14:textId="5A1F56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35E6D444" wp14:textId="27697E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4113BD1E" wp14:textId="393EE4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731D6807" wp14:textId="651F86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5F3C3708" wp14:textId="7E93A3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012AA2D" w14:paraId="3DAC0355" wp14:textId="3C6B57B6">
      <w:pPr>
        <w:pStyle w:val="Heading1"/>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xmlns:wp14="http://schemas.microsoft.com/office/word/2010/wordml" w:rsidP="5012AA2D" w14:paraId="7A7B6662" wp14:textId="5765337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Psychology is a scientific field that studies human behaviour, mental processes, and experiences. It is highly relevant to the health and social care practice because it helps professionals understand their patients’ or clients’ complex behaviours and emotions. Professionals in these fields must understand human behaviour and mental processes to provide effective care and support. By applying psychological theories, health and social care professionals can better understand how individuals respond to different situations and experiences (</w:t>
      </w:r>
      <w:r w:rsidRPr="5012AA2D" w:rsidR="415A5A2F">
        <w:rPr>
          <w:rFonts w:ascii="Arial" w:hAnsi="Arial" w:eastAsia="Arial" w:cs="Arial"/>
          <w:b w:val="0"/>
          <w:bCs w:val="0"/>
          <w:i w:val="0"/>
          <w:iCs w:val="0"/>
          <w:caps w:val="0"/>
          <w:smallCaps w:val="0"/>
          <w:noProof w:val="0"/>
          <w:color w:val="222222"/>
          <w:sz w:val="22"/>
          <w:szCs w:val="22"/>
          <w:lang w:val="en-US"/>
        </w:rPr>
        <w:t>De Kock et al., 2021)</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This knowledge can be used to design interventions and treatment plans that are tailored to the unique needs of each patient or client. This report will discuss three psychological theories: “Erikson’s psychosocial theory, Bandura’s social learning theory, and Freud’s psychoanalytic theory,” which have practical applications in health and social care practice.</w:t>
      </w:r>
    </w:p>
    <w:p xmlns:wp14="http://schemas.microsoft.com/office/word/2010/wordml" w:rsidP="5012AA2D" w14:paraId="19BA8E4F" wp14:textId="72AAAE05">
      <w:pPr>
        <w:pStyle w:val="Heading1"/>
        <w:spacing w:after="160"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5012AA2D" w:rsidR="415A5A2F">
        <w:rPr>
          <w:rFonts w:ascii="Arial" w:hAnsi="Arial" w:eastAsia="Arial" w:cs="Arial"/>
          <w:b w:val="1"/>
          <w:bCs w:val="1"/>
          <w:i w:val="0"/>
          <w:iCs w:val="0"/>
          <w:caps w:val="0"/>
          <w:smallCaps w:val="0"/>
          <w:noProof w:val="0"/>
          <w:color w:val="000000" w:themeColor="text1" w:themeTint="FF" w:themeShade="FF"/>
          <w:sz w:val="22"/>
          <w:szCs w:val="22"/>
          <w:lang w:val="en-GB"/>
        </w:rPr>
        <w:t xml:space="preserve">Theory 1: Erikson’s psychosocial theory </w:t>
      </w:r>
    </w:p>
    <w:p xmlns:wp14="http://schemas.microsoft.com/office/word/2010/wordml" w:rsidP="5012AA2D" w14:paraId="6C38F142" wp14:textId="00AFF59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Psychology is an essential field that plays a vital role in health and social care practice. Health and social care professionals need to understand human behaviour and mental processes to provide effective care to their patients or clients. The psychosocial theory of Erikson is important for health and social care. As individuals develop psychosocially throughout their lifetime, Erikson’s psychosocial theory posits eight stages (</w:t>
      </w:r>
      <w:r w:rsidRPr="5012AA2D" w:rsidR="415A5A2F">
        <w:rPr>
          <w:rFonts w:ascii="Arial" w:hAnsi="Arial" w:eastAsia="Arial" w:cs="Arial"/>
          <w:b w:val="0"/>
          <w:bCs w:val="0"/>
          <w:i w:val="0"/>
          <w:iCs w:val="0"/>
          <w:caps w:val="0"/>
          <w:smallCaps w:val="0"/>
          <w:noProof w:val="0"/>
          <w:color w:val="222222"/>
          <w:sz w:val="22"/>
          <w:szCs w:val="22"/>
          <w:lang w:val="en-US"/>
        </w:rPr>
        <w:t>Durrant and Ensom, 2020)</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xml:space="preserve">. A crisis or conflict marks each stage, requiring individuals to resolve it to move forward. These stages include “trust vs mistrust, autonomy vs shame and doubt, initiative vs guilt, industry vs inferiority, identity vs role confusion, intimacy vs isolation, generativity vs stagnation, and integrity vs despair.” </w:t>
      </w:r>
    </w:p>
    <w:p xmlns:wp14="http://schemas.microsoft.com/office/word/2010/wordml" w:rsidP="5012AA2D" w14:paraId="3049E5E9" wp14:textId="13FBC09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The relevance of Erikson’s psychosocial theory for health and social care professionals is crucial. By understanding the challenges that individuals may face during various stages of development, professionals can design interventions and treatment plans that are tailored to the unique needs of each patient or client (</w:t>
      </w:r>
      <w:r w:rsidRPr="5012AA2D" w:rsidR="415A5A2F">
        <w:rPr>
          <w:rFonts w:ascii="Arial" w:hAnsi="Arial" w:eastAsia="Arial" w:cs="Arial"/>
          <w:b w:val="0"/>
          <w:bCs w:val="0"/>
          <w:i w:val="0"/>
          <w:iCs w:val="0"/>
          <w:caps w:val="0"/>
          <w:smallCaps w:val="0"/>
          <w:noProof w:val="0"/>
          <w:color w:val="222222"/>
          <w:sz w:val="22"/>
          <w:szCs w:val="22"/>
          <w:lang w:val="en-US"/>
        </w:rPr>
        <w:t>Pancost et al., 2022)</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For instance, during the trust vs. mistrust stage, infants need consistent care and nurturing to develop trust in others. In contrast, adolescents struggle to develop a sense of self during identity vs. role confusion and may experiment with distinct roles and values to establish their identity.</w:t>
      </w:r>
    </w:p>
    <w:p xmlns:wp14="http://schemas.microsoft.com/office/word/2010/wordml" w:rsidP="5012AA2D" w14:paraId="3E798116" wp14:textId="17A25161">
      <w:pPr>
        <w:pStyle w:val="Heading2"/>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Example</w:t>
      </w:r>
    </w:p>
    <w:p xmlns:wp14="http://schemas.microsoft.com/office/word/2010/wordml" w:rsidP="5012AA2D" w14:paraId="2FD50B8B" wp14:textId="408E868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A practical example of Erikson’s psychosocial theory in the health and social care practice is working with individuals with intellectual disabilities. These individuals may experience social and emotional development challenges, particularly during the industry vs. inferiority stage (</w:t>
      </w:r>
      <w:r w:rsidRPr="5012AA2D" w:rsidR="415A5A2F">
        <w:rPr>
          <w:rFonts w:ascii="Arial" w:hAnsi="Arial" w:eastAsia="Arial" w:cs="Arial"/>
          <w:b w:val="0"/>
          <w:bCs w:val="0"/>
          <w:i w:val="0"/>
          <w:iCs w:val="0"/>
          <w:caps w:val="0"/>
          <w:smallCaps w:val="0"/>
          <w:noProof w:val="0"/>
          <w:color w:val="222222"/>
          <w:sz w:val="22"/>
          <w:szCs w:val="22"/>
          <w:lang w:val="en-US"/>
        </w:rPr>
        <w:t>Durrant and Ensom, 2020)</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Health and social care professionals can use Erikson’s theory to understand these individuals’ challenges and design interventions that facilitate their sense of accomplishment and competence. For instance, professionals can provide opportunities for skill development, encourage positive feedback, and promote socialization to enhance the individual’s self-esteem and sense of competence.</w:t>
      </w:r>
    </w:p>
    <w:p xmlns:wp14="http://schemas.microsoft.com/office/word/2010/wordml" w:rsidP="5012AA2D" w14:paraId="0DC9D416" wp14:textId="0616180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Another practical example of Erikson’s psychosocial theory is working with individuals with a history of substance abuse. These individuals may struggle with their sense of identity and self-worth, particularly during the intimacy vs. isolation stage. Health and social care professionals can use Erikson’s theory to understand these individuals’ challenges and design interventions promoting their self-identity and social connectedness (</w:t>
      </w:r>
      <w:r w:rsidRPr="5012AA2D" w:rsidR="415A5A2F">
        <w:rPr>
          <w:rFonts w:ascii="Arial" w:hAnsi="Arial" w:eastAsia="Arial" w:cs="Arial"/>
          <w:b w:val="0"/>
          <w:bCs w:val="0"/>
          <w:i w:val="0"/>
          <w:iCs w:val="0"/>
          <w:caps w:val="0"/>
          <w:smallCaps w:val="0"/>
          <w:noProof w:val="0"/>
          <w:color w:val="222222"/>
          <w:sz w:val="22"/>
          <w:szCs w:val="22"/>
          <w:lang w:val="en-US"/>
        </w:rPr>
        <w:t>Dezutter et al., 2019)</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For instance, professionals can facilitate group therapy sessions, encourage positive peer interactions, and provide opportunities for skill-building activities to enhance the individual’s sense of belonging and self-identity.</w:t>
      </w:r>
    </w:p>
    <w:p xmlns:wp14="http://schemas.microsoft.com/office/word/2010/wordml" w:rsidP="5012AA2D" w14:paraId="23ECC889" wp14:textId="24B29EF5">
      <w:pPr>
        <w:pStyle w:val="Heading1"/>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Theory 2: Albert Bandura’s social learning theory</w:t>
      </w:r>
    </w:p>
    <w:p xmlns:wp14="http://schemas.microsoft.com/office/word/2010/wordml" w:rsidP="5012AA2D" w14:paraId="0FEF9E0D" wp14:textId="7CD8311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According to Albert Bandura’s social learning theory, people learn by observing, modelling, and imitating others. The environment, behaviour, and cognitive processes interact continuously to facilitate learning. Bandura discussed self-efficacy, the belief that one can perform a task. For health and social care professionals, Bandura’s social learning theory is relevant in understanding how individuals learn and acquire new behaviours, attitudes, and beliefs (</w:t>
      </w:r>
      <w:r w:rsidRPr="5012AA2D" w:rsidR="415A5A2F">
        <w:rPr>
          <w:rFonts w:ascii="Arial" w:hAnsi="Arial" w:eastAsia="Arial" w:cs="Arial"/>
          <w:b w:val="0"/>
          <w:bCs w:val="0"/>
          <w:i w:val="0"/>
          <w:iCs w:val="0"/>
          <w:caps w:val="0"/>
          <w:smallCaps w:val="0"/>
          <w:noProof w:val="0"/>
          <w:color w:val="222222"/>
          <w:sz w:val="22"/>
          <w:szCs w:val="22"/>
          <w:lang w:val="en-US"/>
        </w:rPr>
        <w:t>Manjarres-Posada et al., 2020)</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It is essential in designing interventions and treatment plans that facilitate positive behaviour change. For instance, health and social care professionals working with individuals with substance abuse issues can use Bandura’s theory to develop interventions that promote the acquisition of positive coping skills, such as problem-solving and decision-making. The relevance of Bandura’s social learning theory for health and social care professionals is that it helps them understand how to facilitate positive behaviour change in their patients or clients (</w:t>
      </w:r>
      <w:r w:rsidRPr="5012AA2D" w:rsidR="415A5A2F">
        <w:rPr>
          <w:rFonts w:ascii="Arial" w:hAnsi="Arial" w:eastAsia="Arial" w:cs="Arial"/>
          <w:b w:val="0"/>
          <w:bCs w:val="0"/>
          <w:i w:val="0"/>
          <w:iCs w:val="0"/>
          <w:caps w:val="0"/>
          <w:smallCaps w:val="0"/>
          <w:noProof w:val="0"/>
          <w:color w:val="222222"/>
          <w:sz w:val="22"/>
          <w:szCs w:val="22"/>
          <w:lang w:val="en-US"/>
        </w:rPr>
        <w:t>Yildirim et al., 2020)</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Professionals can design interventions that promote positive behaviour change and increase self-efficacy by understanding how individuals learn and acquire new behaviours, attitudes, and beliefs. This can help individuals to develop the skills and confidence necessary to manage their conditions effectively and improve their overall well-being.</w:t>
      </w:r>
    </w:p>
    <w:p xmlns:wp14="http://schemas.microsoft.com/office/word/2010/wordml" w:rsidP="5012AA2D" w14:paraId="1155D0E2" wp14:textId="55458F3C">
      <w:pPr>
        <w:pStyle w:val="Heading2"/>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Example</w:t>
      </w:r>
    </w:p>
    <w:p xmlns:wp14="http://schemas.microsoft.com/office/word/2010/wordml" w:rsidP="5012AA2D" w14:paraId="607C6E23" wp14:textId="034B96D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A practical example of Bandura’s social learning theory in the health and social care practice is working with children with developmental disorders such as autism spectrum disorder (ASD). Children with ASD often have difficulty acquiring new behaviours and skills. Health and social care professionals can use Bandura’s theory to design interventions that involve modelling and imitation to promote skill acquisition (</w:t>
      </w:r>
      <w:r w:rsidRPr="5012AA2D" w:rsidR="415A5A2F">
        <w:rPr>
          <w:rFonts w:ascii="Arial" w:hAnsi="Arial" w:eastAsia="Arial" w:cs="Arial"/>
          <w:b w:val="0"/>
          <w:bCs w:val="0"/>
          <w:i w:val="0"/>
          <w:iCs w:val="0"/>
          <w:caps w:val="0"/>
          <w:smallCaps w:val="0"/>
          <w:noProof w:val="0"/>
          <w:color w:val="222222"/>
          <w:sz w:val="22"/>
          <w:szCs w:val="22"/>
          <w:lang w:val="en-US"/>
        </w:rPr>
        <w:t>Bandura, 2023)</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For instance, a professional can model social skills such as eye contact, turn-taking, and initiating social interactions and encourage the child to imitate these behaviours. This approach can help children with ASD develop social skills and increase their self-efficacy in social situations.</w:t>
      </w:r>
    </w:p>
    <w:p xmlns:wp14="http://schemas.microsoft.com/office/word/2010/wordml" w:rsidP="5012AA2D" w14:paraId="06915E49" wp14:textId="56A455E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Another practical example of Bandura’s social learning theory is working with individuals who have experienced trauma. Trauma can affect an individual’s ability to learn and acquire new behaviours, attitudes, and beliefs. Health and social care professionals can use Bandura’s theory to design interventions that facilitate positive behaviour change and increase self-efficacy (</w:t>
      </w:r>
      <w:r w:rsidRPr="5012AA2D" w:rsidR="415A5A2F">
        <w:rPr>
          <w:rFonts w:ascii="Arial" w:hAnsi="Arial" w:eastAsia="Arial" w:cs="Arial"/>
          <w:b w:val="0"/>
          <w:bCs w:val="0"/>
          <w:i w:val="0"/>
          <w:iCs w:val="0"/>
          <w:caps w:val="0"/>
          <w:smallCaps w:val="0"/>
          <w:noProof w:val="0"/>
          <w:color w:val="222222"/>
          <w:sz w:val="22"/>
          <w:szCs w:val="22"/>
          <w:lang w:val="en-US"/>
        </w:rPr>
        <w:t>Shodiqin and Junaidi, 2022)</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For instance, a professional can model healthy coping skills such as deep breathing, positive self-talk, and problem-solving and encourage the individual to imitate these behaviours. This approach can help individuals who have experienced trauma develop healthy coping skills and increase their self-efficacy in managing their symptoms.</w:t>
      </w:r>
    </w:p>
    <w:p xmlns:wp14="http://schemas.microsoft.com/office/word/2010/wordml" w:rsidP="5012AA2D" w14:paraId="5CDB2099" wp14:textId="5D229897">
      <w:pPr>
        <w:pStyle w:val="Heading1"/>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5012AA2D" w:rsidR="415A5A2F">
        <w:rPr>
          <w:rFonts w:ascii="Arial" w:hAnsi="Arial" w:eastAsia="Arial" w:cs="Arial"/>
          <w:b w:val="1"/>
          <w:bCs w:val="1"/>
          <w:i w:val="0"/>
          <w:iCs w:val="0"/>
          <w:caps w:val="0"/>
          <w:smallCaps w:val="0"/>
          <w:noProof w:val="0"/>
          <w:color w:val="000000" w:themeColor="text1" w:themeTint="FF" w:themeShade="FF"/>
          <w:sz w:val="22"/>
          <w:szCs w:val="22"/>
          <w:lang w:val="en-GB"/>
        </w:rPr>
        <w:t>Theory 3: Freud’s psychoanalytic theory</w:t>
      </w:r>
    </w:p>
    <w:p xmlns:wp14="http://schemas.microsoft.com/office/word/2010/wordml" w:rsidP="5012AA2D" w14:paraId="08C62565" wp14:textId="7C5CD6E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One of the cornerstones of the field of psychology is the psychoanalytic theory of Sigmund Freud. A key aspect of the theory is the emphasis placed on unconscious mental processes, experiences from childhood, and the role played by factors such as the “id, the ego, and the superego” in shaping behaviour. In Freud’s view, the processes of human development can be divided into five stages: “oral, anal, phallic, latent, and genital (</w:t>
      </w:r>
      <w:r w:rsidRPr="5012AA2D" w:rsidR="415A5A2F">
        <w:rPr>
          <w:rFonts w:ascii="Arial" w:hAnsi="Arial" w:eastAsia="Arial" w:cs="Arial"/>
          <w:b w:val="0"/>
          <w:bCs w:val="0"/>
          <w:i w:val="0"/>
          <w:iCs w:val="0"/>
          <w:caps w:val="0"/>
          <w:smallCaps w:val="0"/>
          <w:noProof w:val="0"/>
          <w:color w:val="222222"/>
          <w:sz w:val="22"/>
          <w:szCs w:val="22"/>
          <w:lang w:val="en-US"/>
        </w:rPr>
        <w:t>Scholom, 2023)</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To achieve healthy psychological development, individuals must resolve several conflicts to progress through each stage. Freud believed unresolved conflicts from early childhood significantly impact the development of maladaptive behaviours in adulthood as well as emotional issues. A number of various aspects of our psyche are represented by the id, ego, and superego, and all of these aspects interact to regulate and balance the desires, social expectations, and morals of all individuals.</w:t>
      </w:r>
    </w:p>
    <w:p xmlns:wp14="http://schemas.microsoft.com/office/word/2010/wordml" w:rsidP="5012AA2D" w14:paraId="4E956FBD" wp14:textId="2800245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67EB8B71" wp14:textId="4E357173">
      <w:pPr>
        <w:pStyle w:val="Heading2"/>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Example</w:t>
      </w:r>
    </w:p>
    <w:p xmlns:wp14="http://schemas.microsoft.com/office/word/2010/wordml" w:rsidP="5012AA2D" w14:paraId="061AE42D" wp14:textId="21EEB07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xml:space="preserve">For health and social care professionals, it is imperative to understand Freud’s psychoanalytic theory. Professionals can develop more effective and targeted interventions for clients facing emotional problems and behavioural challenges if they recognize the impact of early childhood experiences and unconscious processes. Mental health counsellors, for example, may seek to identify any unresolved conflicts or traumas there may have been during a client’s childhood if they are working with someone experiencing anxiety to identify the root cause of the problem. </w:t>
      </w:r>
    </w:p>
    <w:p xmlns:wp14="http://schemas.microsoft.com/office/word/2010/wordml" w:rsidP="5012AA2D" w14:paraId="37675DA0" wp14:textId="7D496A6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To help a client gain a deeper understanding of the root causes of their anxiety, a counsellor can assist him or her in gaining a deeper understanding of their early experiences, which can lead to the development of more effective coping strategies (</w:t>
      </w:r>
      <w:r w:rsidRPr="5012AA2D" w:rsidR="415A5A2F">
        <w:rPr>
          <w:rFonts w:ascii="Arial" w:hAnsi="Arial" w:eastAsia="Arial" w:cs="Arial"/>
          <w:b w:val="0"/>
          <w:bCs w:val="0"/>
          <w:i w:val="0"/>
          <w:iCs w:val="0"/>
          <w:caps w:val="0"/>
          <w:smallCaps w:val="0"/>
          <w:noProof w:val="0"/>
          <w:color w:val="222222"/>
          <w:sz w:val="22"/>
          <w:szCs w:val="22"/>
          <w:lang w:val="en-US"/>
        </w:rPr>
        <w:t>Hyman, 2020)</w:t>
      </w: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 The concept of the id, which is shared by the ego and the superego, that Freud used in his writings is a useful tool for healthcare professionals assisting patients with addictions in understanding the underlying psychological factors driving the behaviour of the patient. The ability to comprehend the underlying causes of the patient’s addiction can help to develop a tailored intervention plan that addresses both the physical as well as psychological aspects of the disease.</w:t>
      </w:r>
    </w:p>
    <w:p xmlns:wp14="http://schemas.microsoft.com/office/word/2010/wordml" w:rsidP="5012AA2D" w14:paraId="2B383C3F" wp14:textId="386A8BC5">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5C8F16A1" wp14:textId="37381D75">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705A5F55" wp14:textId="6AF4A452">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1932E93C" wp14:textId="365D900E">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162EDA40" wp14:textId="5C7955BC">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64CCF051" wp14:textId="2FADB7D8">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34151F18" wp14:textId="182C3753">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5012AA2D" w14:paraId="3989A9AC" wp14:textId="48570551">
      <w:pPr>
        <w:spacing w:after="160" w:line="480" w:lineRule="auto"/>
        <w:ind w:left="0" w:hanging="36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6DC22249" w:rsidP="6DC22249" w:rsidRDefault="6DC22249" w14:paraId="32D64D0D" w14:textId="1992FD5F">
      <w:pPr>
        <w:pStyle w:val="Heading1"/>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xmlns:wp14="http://schemas.microsoft.com/office/word/2010/wordml" w:rsidP="5012AA2D" w14:paraId="012573F2" wp14:textId="0B807D59">
      <w:pPr>
        <w:pStyle w:val="Heading1"/>
        <w:spacing w:after="16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012AA2D"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Conclusion</w:t>
      </w:r>
    </w:p>
    <w:p xmlns:wp14="http://schemas.microsoft.com/office/word/2010/wordml" w:rsidP="5012AA2D" w14:paraId="4F510461" wp14:textId="4C9E2AD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012AA2D" w:rsidR="415A5A2F">
        <w:rPr>
          <w:rFonts w:ascii="Arial" w:hAnsi="Arial" w:eastAsia="Arial" w:cs="Arial"/>
          <w:b w:val="0"/>
          <w:bCs w:val="0"/>
          <w:i w:val="0"/>
          <w:iCs w:val="0"/>
          <w:caps w:val="0"/>
          <w:smallCaps w:val="0"/>
          <w:noProof w:val="0"/>
          <w:color w:val="000000" w:themeColor="text1" w:themeTint="FF" w:themeShade="FF"/>
          <w:sz w:val="22"/>
          <w:szCs w:val="22"/>
          <w:lang w:val="en-GB"/>
        </w:rPr>
        <w:t>In conclusion, psychology is a crucial field in the health and social care practice as it allows professionals to understand their patients’ or clients’ complex behaviours and emotions. Three important psychological theories apply to the health and social care practice: Erikson’s psychosocial theory, Bandura’s social learning theory, and Freud’s psychoanalytic theory. Erikson’s psychosocial theory is relevant to health and social care professionals as it helps them understand the developmental stages of individuals and design interventions that promote positive outcomes. Bandura’s social learning theory is relevant as it helps professionals understand how individuals learn and acquire new behaviours, attitudes, and beliefs and design interventions that facilitate positive behaviour change. Freud’s psychoanalytic theory aids health and social care professionals in understanding clients’ unconscious processes and early experiences, enabling tailored interventions for emotional and behavioural challenges. Practical examples of applying these theories include designing interventions for individuals with developmental disorders, trauma survivors, and individuals with chronic pain, depression, or other mental health issues. By applying these theories, health and social care professionals can design interventions that are tailored to the unique needs of each patient or client and improve their overall well-being.</w:t>
      </w:r>
    </w:p>
    <w:p xmlns:wp14="http://schemas.microsoft.com/office/word/2010/wordml" w:rsidP="5012AA2D" w14:paraId="310459CB" wp14:textId="2F93332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673B516A" wp14:textId="262E73E8">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284CDBA5" wp14:textId="0B816159">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766DCB7D" wp14:textId="1348F395">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5F2BD2C9" wp14:textId="526C0039">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3180F99C" wp14:textId="6E2544F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2DD569AC" wp14:textId="5028E979">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2449FA7B" wp14:textId="1684C461">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012AA2D" w14:paraId="1841A72E" wp14:textId="07D945DC">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DC22249" w14:paraId="75BDDF18" wp14:textId="22194745">
      <w:pPr>
        <w:pStyle w:val="Heading1"/>
        <w:spacing w:after="160" w:line="480" w:lineRule="auto"/>
        <w:ind/>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6DC22249" w:rsidR="415A5A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6.References</w:t>
      </w:r>
    </w:p>
    <w:p xmlns:wp14="http://schemas.microsoft.com/office/word/2010/wordml" w:rsidP="5012AA2D" w14:paraId="74219703" wp14:textId="6BAAF4C2">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Bandura, A., 2023.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Social Cognitive Theory: An Agentic Perspective on Human Nature</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John Wiley &amp; Sons.</w:t>
      </w:r>
    </w:p>
    <w:p xmlns:wp14="http://schemas.microsoft.com/office/word/2010/wordml" w:rsidP="5012AA2D" w14:paraId="30B85305" wp14:textId="4555A5A9">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De Kock, J.H., Latham, H.A., Leslie, S.J., Grindle, M., Munoz, S.A., Ellis, L., Polson, R. and O’Malley, C.M., 2021. A rapid review of the impact of COVID-19 on the mental health of healthcare workers: implications for supporting psychological well-being.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BMC public health</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21</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(1), pp.1-18.</w:t>
      </w:r>
    </w:p>
    <w:p xmlns:wp14="http://schemas.microsoft.com/office/word/2010/wordml" w:rsidP="5012AA2D" w14:paraId="684B592C" wp14:textId="51AEB8CE">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Dezutter, J., Dewitte, L. and Schellekens, T., 2019. Forgiveness as a psychological resource in late life.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Tijdschrift voor gerontologie en geriatrie</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50</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(2).</w:t>
      </w:r>
    </w:p>
    <w:p xmlns:wp14="http://schemas.microsoft.com/office/word/2010/wordml" w:rsidP="5012AA2D" w14:paraId="304E6B3A" wp14:textId="2795EE9F">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Durrant, J.E. and Ensom, R., 2020. An Eriksonian perspective on physical punishment and Its Impacts on mental health.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The Psychoanalytic Study of the Child</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73</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(1), pp.30-45.</w:t>
      </w:r>
    </w:p>
    <w:p xmlns:wp14="http://schemas.microsoft.com/office/word/2010/wordml" w:rsidP="5012AA2D" w14:paraId="595AA113" wp14:textId="002617FB">
      <w:pPr>
        <w:spacing w:after="160"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Hyman, M., 2020. Why psychoanalysis is not a health care profession. In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Psychoanalytic therapy as health care</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(pp. 53-63). Routledge.</w:t>
      </w:r>
    </w:p>
    <w:p xmlns:wp14="http://schemas.microsoft.com/office/word/2010/wordml" w:rsidP="5012AA2D" w14:paraId="51AEF291" wp14:textId="2FE35A4F">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Manjarres-Posada, N., Onofre-Rodríguez, D.J. and Benavides-Torres, R.A., 2020. Social cognitive theory and health care: Analysis and evaluation.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Int'l J. Soc. Sci. Stud.</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8</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p.132.</w:t>
      </w:r>
    </w:p>
    <w:p xmlns:wp14="http://schemas.microsoft.com/office/word/2010/wordml" w:rsidP="5012AA2D" w14:paraId="41DD9575" wp14:textId="1662B4DA">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Pancost, S.L., Holowicki, A.N. and Belachew, B.S., 2022. Normal child and adolescent psychological development.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International Journal of Child and Adolescent Health</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15</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(4), pp.293-311.</w:t>
      </w:r>
    </w:p>
    <w:p xmlns:wp14="http://schemas.microsoft.com/office/word/2010/wordml" w:rsidP="5012AA2D" w14:paraId="5701C8D8" wp14:textId="6C151C76">
      <w:pPr>
        <w:spacing w:after="160"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Scholom, A., 2023. The psycho-politics of evidence-based practice and the assault on our mental health and mental health care.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Advancing Psychotherapy for the Next Generation: Humanizing Mental Health Policy and Practice</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w:t>
      </w:r>
    </w:p>
    <w:p xmlns:wp14="http://schemas.microsoft.com/office/word/2010/wordml" w:rsidP="5012AA2D" w14:paraId="72558C02" wp14:textId="0734FF17">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Shodiqin, F.A. and Junaidi, J., 2022. Implementation of Albert Bandura’s Social Learning Theory in Cultivating Clean and Healthy Life Behavior in Santri.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Review of Islamic Studies</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1</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(1), pp.7-14.</w:t>
      </w:r>
    </w:p>
    <w:p xmlns:wp14="http://schemas.microsoft.com/office/word/2010/wordml" w:rsidP="5012AA2D" w14:paraId="290E443F" wp14:textId="4E6AB9B1">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Xie, C., Li, L. and Li, Y., 2023 a. “Alive Day is the Day”: A Qualitative Study of Experiences of Learned Helplessness in Maintenance Haemodialysis Patients.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Risk Management and Healthcare Policy</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pp.231-245.</w:t>
      </w:r>
    </w:p>
    <w:p xmlns:wp14="http://schemas.microsoft.com/office/word/2010/wordml" w:rsidP="5012AA2D" w14:paraId="1755B28A" wp14:textId="442222EB">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Winterflood, H. and Climie, E.A., 2020. Learned helplessness.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The Wiley Encyclopedia of Personality and Individual Differences: Personality Processes and Individual Differences</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pp.269-274.</w:t>
      </w:r>
    </w:p>
    <w:p xmlns:wp14="http://schemas.microsoft.com/office/word/2010/wordml" w:rsidP="5012AA2D" w14:paraId="3089D144" wp14:textId="47D84D5A">
      <w:pPr>
        <w:spacing w:after="160" w:line="48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Yildirim, H., Isik, K., Gulcek, E. and Aylaz, R., 2020. Effect of the Education Which is Offered in Accordance with Bandura’s Social Learning Theory on Children’s Health Locus of Control, Perceptions and Behaviors.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International Journal of Caring Sciences</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 </w:t>
      </w:r>
      <w:r w:rsidRPr="5012AA2D" w:rsidR="415A5A2F">
        <w:rPr>
          <w:rFonts w:ascii="Times New Roman" w:hAnsi="Times New Roman" w:eastAsia="Times New Roman" w:cs="Times New Roman"/>
          <w:b w:val="0"/>
          <w:bCs w:val="0"/>
          <w:i w:val="1"/>
          <w:iCs w:val="1"/>
          <w:caps w:val="0"/>
          <w:smallCaps w:val="0"/>
          <w:noProof w:val="0"/>
          <w:color w:val="222222"/>
          <w:sz w:val="24"/>
          <w:szCs w:val="24"/>
          <w:lang w:val="en-US"/>
        </w:rPr>
        <w:t>13</w:t>
      </w:r>
      <w:r w:rsidRPr="5012AA2D" w:rsidR="415A5A2F">
        <w:rPr>
          <w:rFonts w:ascii="Times New Roman" w:hAnsi="Times New Roman" w:eastAsia="Times New Roman" w:cs="Times New Roman"/>
          <w:b w:val="0"/>
          <w:bCs w:val="0"/>
          <w:i w:val="0"/>
          <w:iCs w:val="0"/>
          <w:caps w:val="0"/>
          <w:smallCaps w:val="0"/>
          <w:noProof w:val="0"/>
          <w:color w:val="222222"/>
          <w:sz w:val="24"/>
          <w:szCs w:val="24"/>
          <w:lang w:val="en-US"/>
        </w:rPr>
        <w:t>(2).</w:t>
      </w:r>
    </w:p>
    <w:p xmlns:wp14="http://schemas.microsoft.com/office/word/2010/wordml" w:rsidP="5012AA2D" w14:paraId="2C078E63" wp14:textId="65500D1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bnVSOzKqgCoDp" int2:id="MxORy3nx">
      <int2:state int2:type="AugLoop_Text_Critique" int2:value="Rejected"/>
    </int2:textHash>
    <int2:textHash int2:hashCode="kXoifXtqF1ddyP" int2:id="Mbcj1AK0">
      <int2:state int2:type="AugLoop_Text_Critique" int2:value="Rejected"/>
    </int2:textHash>
    <int2:textHash int2:hashCode="noUQPQPTBP1SAo" int2:id="qCsxVxyf">
      <int2:state int2:type="AugLoop_Text_Critique" int2:value="Rejected"/>
    </int2:textHash>
    <int2:textHash int2:hashCode="qRwHJ5ETcoyKxP" int2:id="ynCB6rnm">
      <int2:state int2:type="AugLoop_Text_Critique" int2:value="Rejected"/>
    </int2:textHash>
    <int2:textHash int2:hashCode="n9XQG7Q4d2d0uO" int2:id="wiHEoMtJ">
      <int2:state int2:type="AugLoop_Text_Critique" int2:value="Rejected"/>
    </int2:textHash>
    <int2:textHash int2:hashCode="Qb+KNcJbg+AxPf" int2:id="gXE5nrmg">
      <int2:state int2:type="AugLoop_Text_Critique" int2:value="Rejected"/>
    </int2:textHash>
    <int2:textHash int2:hashCode="0XpM/Ov7WfK3Xu" int2:id="Z4SneoXy">
      <int2:state int2:type="AugLoop_Text_Critique" int2:value="Rejected"/>
    </int2:textHash>
    <int2:textHash int2:hashCode="ZMKdIZoJLlcAcG" int2:id="KWueQFaj">
      <int2:state int2:type="AugLoop_Text_Critique" int2:value="Rejected"/>
    </int2:textHash>
    <int2:textHash int2:hashCode="qp2AxZqlhF7YI8" int2:id="DoafQf29">
      <int2:state int2:type="AugLoop_Text_Critique" int2:value="Rejected"/>
    </int2:textHash>
    <int2:textHash int2:hashCode="ADfV3/HSa0kMQO" int2:id="F3hhwfgs">
      <int2:state int2:type="AugLoop_Text_Critique" int2:value="Rejected"/>
    </int2:textHash>
    <int2:textHash int2:hashCode="CUsP4OMChUrxMR" int2:id="QUO2awEw">
      <int2:state int2:type="AugLoop_Text_Critique" int2:value="Rejected"/>
    </int2:textHash>
    <int2:textHash int2:hashCode="xk23YrfURAikWg" int2:id="t0rZJg1p">
      <int2:state int2:type="AugLoop_Text_Critique" int2:value="Rejected"/>
    </int2:textHash>
    <int2:textHash int2:hashCode="k8zKnHRR98+NVt" int2:id="zHACwfwG">
      <int2:state int2:type="AugLoop_Text_Critique" int2:value="Rejected"/>
    </int2:textHash>
    <int2:textHash int2:hashCode="KUreMWod+QLLVi" int2:id="dV3q54Hx">
      <int2:state int2:type="AugLoop_Text_Critique" int2:value="Rejected"/>
    </int2:textHash>
    <int2:textHash int2:hashCode="otJqS6rBmARKA5" int2:id="YCdpVhQ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3da766e"/>
    <w:multiLevelType xmlns:w="http://schemas.openxmlformats.org/wordprocessingml/2006/main" w:val="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nsid w:val="2959ddb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73a7c60c"/>
    <w:multiLevelType xmlns:w="http://schemas.openxmlformats.org/wordprocessingml/2006/main" w:val="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6f9f794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3a26b6c2"/>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5ae80c8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31106ddd"/>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107b4df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94CC2"/>
    <w:rsid w:val="00FE1CA9"/>
    <w:rsid w:val="05D21D22"/>
    <w:rsid w:val="09EFFEAC"/>
    <w:rsid w:val="0EB7C99D"/>
    <w:rsid w:val="16C2DB82"/>
    <w:rsid w:val="185EABE3"/>
    <w:rsid w:val="1AFD81D0"/>
    <w:rsid w:val="1C3F3ED6"/>
    <w:rsid w:val="2069BDC8"/>
    <w:rsid w:val="215AADC3"/>
    <w:rsid w:val="27870596"/>
    <w:rsid w:val="2D6969D8"/>
    <w:rsid w:val="312F00A6"/>
    <w:rsid w:val="368635D9"/>
    <w:rsid w:val="3CECCC3D"/>
    <w:rsid w:val="415A5A2F"/>
    <w:rsid w:val="41788D78"/>
    <w:rsid w:val="4B1F6FBE"/>
    <w:rsid w:val="4B60C1A2"/>
    <w:rsid w:val="4E90F2BB"/>
    <w:rsid w:val="4FF2E0E1"/>
    <w:rsid w:val="5012AA2D"/>
    <w:rsid w:val="502CC31C"/>
    <w:rsid w:val="5733C340"/>
    <w:rsid w:val="573E46C6"/>
    <w:rsid w:val="5EBD5387"/>
    <w:rsid w:val="62664745"/>
    <w:rsid w:val="640217A6"/>
    <w:rsid w:val="6739B868"/>
    <w:rsid w:val="6C0D298B"/>
    <w:rsid w:val="6DA8F9EC"/>
    <w:rsid w:val="6DC22249"/>
    <w:rsid w:val="73535E8C"/>
    <w:rsid w:val="75B40BD1"/>
    <w:rsid w:val="76494CC2"/>
    <w:rsid w:val="774FDC32"/>
    <w:rsid w:val="7A9786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94CC2"/>
  <w15:chartTrackingRefBased/>
  <w15:docId w15:val="{F72B1C4C-DF06-454F-8F62-14A311594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6b21ad1fa8b4f1c" /><Relationship Type="http://schemas.microsoft.com/office/2020/10/relationships/intelligence" Target="intelligence2.xml" Id="R5e19278291e34b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2023-03-24T21:01:00.1663339Z</dcterms:created>
  <dcterms:modified xsi:type="dcterms:W3CDTF">2023-03-25T12:10:38.7975946Z</dcterms:modified>
  <dc:creator>Anoshia Zaheer (2128010)</dc:creator>
  <lastModifiedBy>Anoshia Zaheer (2128010)</lastModifiedBy>
</coreProperties>
</file>