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2ACE" w:rsidRDefault="00522ACE" w:rsidP="00522ACE">
      <w:pPr>
        <w:jc w:val="center"/>
        <w:rPr>
          <w:rFonts w:cs="Arial"/>
          <w:b/>
          <w:sz w:val="28"/>
          <w:lang w:val="en-GB"/>
        </w:rPr>
      </w:pPr>
      <w:r>
        <w:rPr>
          <w:noProof/>
          <w:lang w:val="en-GB"/>
        </w:rPr>
        <w:drawing>
          <wp:inline distT="0" distB="0" distL="0" distR="0" wp14:anchorId="2305622E" wp14:editId="20943E07">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522ACE" w:rsidRDefault="00522ACE" w:rsidP="00522ACE">
      <w:pPr>
        <w:jc w:val="center"/>
        <w:rPr>
          <w:rFonts w:cs="Arial"/>
          <w:b/>
          <w:sz w:val="28"/>
          <w:lang w:val="en-GB"/>
        </w:rPr>
      </w:pPr>
    </w:p>
    <w:p w:rsidR="00522ACE" w:rsidRPr="00FC1605" w:rsidRDefault="00522ACE" w:rsidP="00522ACE">
      <w:pPr>
        <w:jc w:val="center"/>
        <w:rPr>
          <w:rFonts w:cs="Arial"/>
          <w:b/>
          <w:sz w:val="28"/>
          <w:szCs w:val="28"/>
          <w:lang w:val="en-GB"/>
        </w:rPr>
      </w:pPr>
      <w:r w:rsidRPr="00FC1605">
        <w:rPr>
          <w:rFonts w:cs="Arial"/>
          <w:b/>
          <w:sz w:val="28"/>
          <w:szCs w:val="28"/>
          <w:lang w:val="en-GB"/>
        </w:rPr>
        <w:t>BA (Hons) Business Management</w:t>
      </w:r>
    </w:p>
    <w:p w:rsidR="00785C37" w:rsidRDefault="00522ACE" w:rsidP="00785C37">
      <w:pPr>
        <w:jc w:val="center"/>
        <w:rPr>
          <w:rFonts w:cs="Arial"/>
          <w:b/>
          <w:sz w:val="28"/>
          <w:szCs w:val="28"/>
          <w:lang w:val="en-GB"/>
        </w:rPr>
      </w:pPr>
      <w:r w:rsidRPr="00FC1605">
        <w:rPr>
          <w:rFonts w:cs="Arial"/>
          <w:b/>
          <w:sz w:val="28"/>
          <w:szCs w:val="28"/>
          <w:lang w:val="en-GB"/>
        </w:rPr>
        <w:t>Student Name:</w:t>
      </w:r>
      <w:r w:rsidR="00785C37" w:rsidRPr="00FC1605">
        <w:rPr>
          <w:rFonts w:cs="Arial"/>
          <w:b/>
          <w:sz w:val="28"/>
          <w:szCs w:val="28"/>
          <w:lang w:val="en-GB"/>
        </w:rPr>
        <w:t xml:space="preserve"> Elena Georgiana</w:t>
      </w:r>
      <w:r w:rsidR="00B81485">
        <w:rPr>
          <w:rFonts w:cs="Arial"/>
          <w:b/>
          <w:sz w:val="28"/>
          <w:szCs w:val="28"/>
          <w:lang w:val="en-GB"/>
        </w:rPr>
        <w:t xml:space="preserve"> </w:t>
      </w:r>
      <w:proofErr w:type="spellStart"/>
      <w:r w:rsidR="00B81485" w:rsidRPr="00FC1605">
        <w:rPr>
          <w:rFonts w:cs="Arial"/>
          <w:b/>
          <w:sz w:val="28"/>
          <w:szCs w:val="28"/>
          <w:lang w:val="en-GB"/>
        </w:rPr>
        <w:t>Stoican</w:t>
      </w:r>
      <w:proofErr w:type="spellEnd"/>
    </w:p>
    <w:p w:rsidR="00A10D32" w:rsidRPr="00FC1605" w:rsidRDefault="00A10D32" w:rsidP="00785C37">
      <w:pPr>
        <w:jc w:val="center"/>
        <w:rPr>
          <w:rFonts w:cs="Arial"/>
          <w:b/>
          <w:sz w:val="28"/>
          <w:szCs w:val="28"/>
          <w:lang w:val="en-GB"/>
        </w:rPr>
      </w:pPr>
      <w:proofErr w:type="spellStart"/>
      <w:r>
        <w:rPr>
          <w:rFonts w:cs="Arial"/>
          <w:b/>
          <w:sz w:val="28"/>
          <w:szCs w:val="28"/>
          <w:lang w:val="en-GB"/>
        </w:rPr>
        <w:t>SmartFuel</w:t>
      </w:r>
      <w:proofErr w:type="spellEnd"/>
      <w:r>
        <w:rPr>
          <w:rFonts w:cs="Arial"/>
          <w:b/>
          <w:sz w:val="28"/>
          <w:szCs w:val="28"/>
          <w:lang w:val="en-GB"/>
        </w:rPr>
        <w:t xml:space="preserve"> Vending</w:t>
      </w:r>
      <w:r w:rsidRPr="00A10D32">
        <w:rPr>
          <w:rFonts w:cs="Arial"/>
          <w:b/>
          <w:sz w:val="28"/>
          <w:szCs w:val="28"/>
          <w:lang w:val="en-GB"/>
        </w:rPr>
        <w:t xml:space="preserve"> –</w:t>
      </w:r>
      <w:r>
        <w:rPr>
          <w:rFonts w:cs="Arial"/>
          <w:b/>
          <w:sz w:val="28"/>
          <w:szCs w:val="28"/>
          <w:lang w:val="en-GB"/>
        </w:rPr>
        <w:t xml:space="preserve"> </w:t>
      </w:r>
      <w:r w:rsidRPr="00A10D32">
        <w:rPr>
          <w:rFonts w:cs="Arial"/>
          <w:b/>
          <w:sz w:val="28"/>
          <w:szCs w:val="28"/>
          <w:lang w:val="en-GB"/>
        </w:rPr>
        <w:t>Healthy Smart Food Stations</w:t>
      </w:r>
    </w:p>
    <w:p w:rsidR="00522ACE" w:rsidRPr="00FC1605" w:rsidRDefault="00522ACE" w:rsidP="00522ACE">
      <w:pPr>
        <w:jc w:val="center"/>
        <w:rPr>
          <w:rFonts w:cs="Arial"/>
          <w:b/>
          <w:sz w:val="28"/>
          <w:szCs w:val="28"/>
        </w:rPr>
      </w:pPr>
      <w:r w:rsidRPr="00FC1605">
        <w:rPr>
          <w:rFonts w:cs="Arial"/>
          <w:b/>
          <w:sz w:val="28"/>
          <w:szCs w:val="28"/>
          <w:lang w:val="en-GB"/>
        </w:rPr>
        <w:t xml:space="preserve">Student Number: </w:t>
      </w:r>
      <w:r w:rsidR="00785C37" w:rsidRPr="00FC1605">
        <w:rPr>
          <w:rFonts w:cs="Arial"/>
          <w:b/>
          <w:sz w:val="28"/>
          <w:szCs w:val="28"/>
          <w:lang w:val="en-GB"/>
        </w:rPr>
        <w:t>2235647</w:t>
      </w:r>
    </w:p>
    <w:p w:rsidR="00522ACE" w:rsidRPr="00FC1605" w:rsidRDefault="00522ACE" w:rsidP="00522ACE">
      <w:pPr>
        <w:jc w:val="center"/>
        <w:rPr>
          <w:rFonts w:cs="Arial"/>
          <w:b/>
          <w:sz w:val="28"/>
          <w:szCs w:val="28"/>
          <w:lang w:val="en-GB"/>
        </w:rPr>
      </w:pPr>
      <w:r w:rsidRPr="00FC1605">
        <w:rPr>
          <w:rFonts w:cs="Arial"/>
          <w:b/>
          <w:sz w:val="28"/>
          <w:szCs w:val="28"/>
          <w:lang w:val="en-GB"/>
        </w:rPr>
        <w:t xml:space="preserve">Course Name: </w:t>
      </w:r>
      <w:r w:rsidR="00FC1605" w:rsidRPr="00FC1605">
        <w:rPr>
          <w:rFonts w:cs="Arial"/>
          <w:b/>
          <w:sz w:val="28"/>
          <w:szCs w:val="28"/>
          <w:lang w:val="en-GB"/>
        </w:rPr>
        <w:t>Entrepreneurship LCBB5013</w:t>
      </w:r>
    </w:p>
    <w:p w:rsidR="00522ACE" w:rsidRPr="00FC1605" w:rsidRDefault="00522ACE" w:rsidP="00522ACE">
      <w:pPr>
        <w:jc w:val="center"/>
        <w:rPr>
          <w:rFonts w:cs="Arial"/>
          <w:b/>
          <w:sz w:val="28"/>
          <w:szCs w:val="28"/>
          <w:lang w:val="en-GB"/>
        </w:rPr>
      </w:pPr>
      <w:r w:rsidRPr="00FC1605">
        <w:rPr>
          <w:rFonts w:cs="Arial"/>
          <w:b/>
          <w:sz w:val="28"/>
          <w:szCs w:val="28"/>
          <w:lang w:val="en-GB"/>
        </w:rPr>
        <w:t xml:space="preserve">Lecturer Name: </w:t>
      </w:r>
      <w:bookmarkStart w:id="0" w:name="_GoBack"/>
      <w:proofErr w:type="spellStart"/>
      <w:r w:rsidR="008E768F">
        <w:rPr>
          <w:rFonts w:cs="Arial"/>
          <w:b/>
          <w:sz w:val="28"/>
          <w:szCs w:val="28"/>
          <w:lang w:val="en-GB"/>
        </w:rPr>
        <w:t>Balendran</w:t>
      </w:r>
      <w:proofErr w:type="spellEnd"/>
      <w:r w:rsidR="008E768F">
        <w:rPr>
          <w:rFonts w:cs="Arial"/>
          <w:b/>
          <w:sz w:val="28"/>
          <w:szCs w:val="28"/>
          <w:lang w:val="en-GB"/>
        </w:rPr>
        <w:t xml:space="preserve"> </w:t>
      </w:r>
      <w:proofErr w:type="spellStart"/>
      <w:r w:rsidR="008E768F">
        <w:rPr>
          <w:rFonts w:cs="Arial"/>
          <w:b/>
          <w:sz w:val="28"/>
          <w:szCs w:val="28"/>
          <w:lang w:val="en-GB"/>
        </w:rPr>
        <w:t>Kandasamy</w:t>
      </w:r>
      <w:bookmarkEnd w:id="0"/>
      <w:proofErr w:type="spellEnd"/>
    </w:p>
    <w:p w:rsidR="00522ACE" w:rsidRPr="00FC1605" w:rsidRDefault="00522ACE" w:rsidP="00522ACE">
      <w:pPr>
        <w:jc w:val="center"/>
        <w:rPr>
          <w:rFonts w:cs="Arial"/>
          <w:b/>
          <w:sz w:val="28"/>
          <w:szCs w:val="28"/>
          <w:lang w:val="en-GB"/>
        </w:rPr>
      </w:pPr>
      <w:r w:rsidRPr="00FC1605">
        <w:rPr>
          <w:rFonts w:cs="Arial"/>
          <w:b/>
          <w:sz w:val="28"/>
          <w:szCs w:val="28"/>
          <w:lang w:val="en-GB"/>
        </w:rPr>
        <w:t xml:space="preserve">Session: </w:t>
      </w:r>
      <w:r w:rsidR="008E768F">
        <w:rPr>
          <w:rFonts w:cs="Arial"/>
          <w:b/>
          <w:sz w:val="28"/>
          <w:szCs w:val="28"/>
          <w:lang w:val="en-GB"/>
        </w:rPr>
        <w:t>2026</w:t>
      </w: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sdt>
      <w:sdtPr>
        <w:rPr>
          <w:rFonts w:eastAsiaTheme="minorEastAsia" w:cstheme="minorBidi"/>
          <w:b w:val="0"/>
          <w:color w:val="auto"/>
          <w:sz w:val="24"/>
          <w:szCs w:val="22"/>
          <w:lang w:val="ro-RO" w:eastAsia="zh-CN"/>
        </w:rPr>
        <w:id w:val="1555505643"/>
        <w:docPartObj>
          <w:docPartGallery w:val="Table of Contents"/>
          <w:docPartUnique/>
        </w:docPartObj>
      </w:sdtPr>
      <w:sdtEndPr>
        <w:rPr>
          <w:bCs/>
          <w:noProof/>
        </w:rPr>
      </w:sdtEndPr>
      <w:sdtContent>
        <w:p w:rsidR="001C24A7" w:rsidRDefault="001C24A7">
          <w:pPr>
            <w:pStyle w:val="TOCHeading"/>
          </w:pPr>
          <w:r>
            <w:t>Contents</w:t>
          </w:r>
        </w:p>
        <w:p w:rsidR="009A08BD" w:rsidRDefault="001C24A7">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26629645" w:history="1">
            <w:r w:rsidR="009A08BD" w:rsidRPr="00AD3B67">
              <w:rPr>
                <w:rStyle w:val="Hyperlink"/>
                <w:noProof/>
              </w:rPr>
              <w:t>Task 1: Business Plan Development</w:t>
            </w:r>
            <w:r w:rsidR="009A08BD">
              <w:rPr>
                <w:noProof/>
                <w:webHidden/>
              </w:rPr>
              <w:tab/>
            </w:r>
            <w:r w:rsidR="009A08BD">
              <w:rPr>
                <w:noProof/>
                <w:webHidden/>
              </w:rPr>
              <w:fldChar w:fldCharType="begin"/>
            </w:r>
            <w:r w:rsidR="009A08BD">
              <w:rPr>
                <w:noProof/>
                <w:webHidden/>
              </w:rPr>
              <w:instrText xml:space="preserve"> PAGEREF _Toc226629645 \h </w:instrText>
            </w:r>
            <w:r w:rsidR="009A08BD">
              <w:rPr>
                <w:noProof/>
                <w:webHidden/>
              </w:rPr>
            </w:r>
            <w:r w:rsidR="009A08BD">
              <w:rPr>
                <w:noProof/>
                <w:webHidden/>
              </w:rPr>
              <w:fldChar w:fldCharType="separate"/>
            </w:r>
            <w:r w:rsidR="009A08BD">
              <w:rPr>
                <w:noProof/>
                <w:webHidden/>
              </w:rPr>
              <w:t>3</w:t>
            </w:r>
            <w:r w:rsidR="009A08BD">
              <w:rPr>
                <w:noProof/>
                <w:webHidden/>
              </w:rPr>
              <w:fldChar w:fldCharType="end"/>
            </w:r>
          </w:hyperlink>
        </w:p>
        <w:p w:rsidR="009A08BD" w:rsidRDefault="001F503B">
          <w:pPr>
            <w:pStyle w:val="TOC2"/>
            <w:tabs>
              <w:tab w:val="right" w:leader="dot" w:pos="9016"/>
            </w:tabs>
            <w:rPr>
              <w:rFonts w:asciiTheme="minorHAnsi" w:hAnsiTheme="minorHAnsi"/>
              <w:noProof/>
              <w:sz w:val="22"/>
              <w:lang w:val="en-GB"/>
            </w:rPr>
          </w:pPr>
          <w:hyperlink w:anchor="_Toc226629646" w:history="1">
            <w:r w:rsidR="009A08BD" w:rsidRPr="00AD3B67">
              <w:rPr>
                <w:rStyle w:val="Hyperlink"/>
                <w:noProof/>
              </w:rPr>
              <w:t>Element 1: Business Idea, Products/Services, Objectives &amp; USP</w:t>
            </w:r>
            <w:r w:rsidR="009A08BD">
              <w:rPr>
                <w:noProof/>
                <w:webHidden/>
              </w:rPr>
              <w:tab/>
            </w:r>
            <w:r w:rsidR="009A08BD">
              <w:rPr>
                <w:noProof/>
                <w:webHidden/>
              </w:rPr>
              <w:fldChar w:fldCharType="begin"/>
            </w:r>
            <w:r w:rsidR="009A08BD">
              <w:rPr>
                <w:noProof/>
                <w:webHidden/>
              </w:rPr>
              <w:instrText xml:space="preserve"> PAGEREF _Toc226629646 \h </w:instrText>
            </w:r>
            <w:r w:rsidR="009A08BD">
              <w:rPr>
                <w:noProof/>
                <w:webHidden/>
              </w:rPr>
            </w:r>
            <w:r w:rsidR="009A08BD">
              <w:rPr>
                <w:noProof/>
                <w:webHidden/>
              </w:rPr>
              <w:fldChar w:fldCharType="separate"/>
            </w:r>
            <w:r w:rsidR="009A08BD">
              <w:rPr>
                <w:noProof/>
                <w:webHidden/>
              </w:rPr>
              <w:t>3</w:t>
            </w:r>
            <w:r w:rsidR="009A08BD">
              <w:rPr>
                <w:noProof/>
                <w:webHidden/>
              </w:rPr>
              <w:fldChar w:fldCharType="end"/>
            </w:r>
          </w:hyperlink>
        </w:p>
        <w:p w:rsidR="009A08BD" w:rsidRDefault="001F503B">
          <w:pPr>
            <w:pStyle w:val="TOC2"/>
            <w:tabs>
              <w:tab w:val="right" w:leader="dot" w:pos="9016"/>
            </w:tabs>
            <w:rPr>
              <w:rFonts w:asciiTheme="minorHAnsi" w:hAnsiTheme="minorHAnsi"/>
              <w:noProof/>
              <w:sz w:val="22"/>
              <w:lang w:val="en-GB"/>
            </w:rPr>
          </w:pPr>
          <w:hyperlink w:anchor="_Toc226629647" w:history="1">
            <w:r w:rsidR="009A08BD" w:rsidRPr="00AD3B67">
              <w:rPr>
                <w:rStyle w:val="Hyperlink"/>
                <w:noProof/>
              </w:rPr>
              <w:t>Element 2: Business Environment &amp; Competitor Analysis</w:t>
            </w:r>
            <w:r w:rsidR="009A08BD">
              <w:rPr>
                <w:noProof/>
                <w:webHidden/>
              </w:rPr>
              <w:tab/>
            </w:r>
            <w:r w:rsidR="009A08BD">
              <w:rPr>
                <w:noProof/>
                <w:webHidden/>
              </w:rPr>
              <w:fldChar w:fldCharType="begin"/>
            </w:r>
            <w:r w:rsidR="009A08BD">
              <w:rPr>
                <w:noProof/>
                <w:webHidden/>
              </w:rPr>
              <w:instrText xml:space="preserve"> PAGEREF _Toc226629647 \h </w:instrText>
            </w:r>
            <w:r w:rsidR="009A08BD">
              <w:rPr>
                <w:noProof/>
                <w:webHidden/>
              </w:rPr>
            </w:r>
            <w:r w:rsidR="009A08BD">
              <w:rPr>
                <w:noProof/>
                <w:webHidden/>
              </w:rPr>
              <w:fldChar w:fldCharType="separate"/>
            </w:r>
            <w:r w:rsidR="009A08BD">
              <w:rPr>
                <w:noProof/>
                <w:webHidden/>
              </w:rPr>
              <w:t>5</w:t>
            </w:r>
            <w:r w:rsidR="009A08BD">
              <w:rPr>
                <w:noProof/>
                <w:webHidden/>
              </w:rPr>
              <w:fldChar w:fldCharType="end"/>
            </w:r>
          </w:hyperlink>
        </w:p>
        <w:p w:rsidR="009A08BD" w:rsidRDefault="001F503B">
          <w:pPr>
            <w:pStyle w:val="TOC2"/>
            <w:tabs>
              <w:tab w:val="right" w:leader="dot" w:pos="9016"/>
            </w:tabs>
            <w:rPr>
              <w:rFonts w:asciiTheme="minorHAnsi" w:hAnsiTheme="minorHAnsi"/>
              <w:noProof/>
              <w:sz w:val="22"/>
              <w:lang w:val="en-GB"/>
            </w:rPr>
          </w:pPr>
          <w:hyperlink w:anchor="_Toc226629648" w:history="1">
            <w:r w:rsidR="009A08BD" w:rsidRPr="00AD3B67">
              <w:rPr>
                <w:rStyle w:val="Hyperlink"/>
                <w:noProof/>
              </w:rPr>
              <w:t>Element 3: 4Ps, Market Segmentation &amp; Marketing Strategies</w:t>
            </w:r>
            <w:r w:rsidR="009A08BD">
              <w:rPr>
                <w:noProof/>
                <w:webHidden/>
              </w:rPr>
              <w:tab/>
            </w:r>
            <w:r w:rsidR="009A08BD">
              <w:rPr>
                <w:noProof/>
                <w:webHidden/>
              </w:rPr>
              <w:fldChar w:fldCharType="begin"/>
            </w:r>
            <w:r w:rsidR="009A08BD">
              <w:rPr>
                <w:noProof/>
                <w:webHidden/>
              </w:rPr>
              <w:instrText xml:space="preserve"> PAGEREF _Toc226629648 \h </w:instrText>
            </w:r>
            <w:r w:rsidR="009A08BD">
              <w:rPr>
                <w:noProof/>
                <w:webHidden/>
              </w:rPr>
            </w:r>
            <w:r w:rsidR="009A08BD">
              <w:rPr>
                <w:noProof/>
                <w:webHidden/>
              </w:rPr>
              <w:fldChar w:fldCharType="separate"/>
            </w:r>
            <w:r w:rsidR="009A08BD">
              <w:rPr>
                <w:noProof/>
                <w:webHidden/>
              </w:rPr>
              <w:t>9</w:t>
            </w:r>
            <w:r w:rsidR="009A08BD">
              <w:rPr>
                <w:noProof/>
                <w:webHidden/>
              </w:rPr>
              <w:fldChar w:fldCharType="end"/>
            </w:r>
          </w:hyperlink>
        </w:p>
        <w:p w:rsidR="009A08BD" w:rsidRDefault="001F503B">
          <w:pPr>
            <w:pStyle w:val="TOC2"/>
            <w:tabs>
              <w:tab w:val="right" w:leader="dot" w:pos="9016"/>
            </w:tabs>
            <w:rPr>
              <w:rFonts w:asciiTheme="minorHAnsi" w:hAnsiTheme="minorHAnsi"/>
              <w:noProof/>
              <w:sz w:val="22"/>
              <w:lang w:val="en-GB"/>
            </w:rPr>
          </w:pPr>
          <w:hyperlink w:anchor="_Toc226629649" w:history="1">
            <w:r w:rsidR="009A08BD" w:rsidRPr="00AD3B67">
              <w:rPr>
                <w:rStyle w:val="Hyperlink"/>
                <w:noProof/>
              </w:rPr>
              <w:t>Element 4: Legal, Management, and Financial Planning</w:t>
            </w:r>
            <w:r w:rsidR="009A08BD">
              <w:rPr>
                <w:noProof/>
                <w:webHidden/>
              </w:rPr>
              <w:tab/>
            </w:r>
            <w:r w:rsidR="009A08BD">
              <w:rPr>
                <w:noProof/>
                <w:webHidden/>
              </w:rPr>
              <w:fldChar w:fldCharType="begin"/>
            </w:r>
            <w:r w:rsidR="009A08BD">
              <w:rPr>
                <w:noProof/>
                <w:webHidden/>
              </w:rPr>
              <w:instrText xml:space="preserve"> PAGEREF _Toc226629649 \h </w:instrText>
            </w:r>
            <w:r w:rsidR="009A08BD">
              <w:rPr>
                <w:noProof/>
                <w:webHidden/>
              </w:rPr>
            </w:r>
            <w:r w:rsidR="009A08BD">
              <w:rPr>
                <w:noProof/>
                <w:webHidden/>
              </w:rPr>
              <w:fldChar w:fldCharType="separate"/>
            </w:r>
            <w:r w:rsidR="009A08BD">
              <w:rPr>
                <w:noProof/>
                <w:webHidden/>
              </w:rPr>
              <w:t>13</w:t>
            </w:r>
            <w:r w:rsidR="009A08BD">
              <w:rPr>
                <w:noProof/>
                <w:webHidden/>
              </w:rPr>
              <w:fldChar w:fldCharType="end"/>
            </w:r>
          </w:hyperlink>
        </w:p>
        <w:p w:rsidR="009A08BD" w:rsidRDefault="001F503B">
          <w:pPr>
            <w:pStyle w:val="TOC1"/>
            <w:tabs>
              <w:tab w:val="right" w:leader="dot" w:pos="9016"/>
            </w:tabs>
            <w:rPr>
              <w:rFonts w:asciiTheme="minorHAnsi" w:hAnsiTheme="minorHAnsi"/>
              <w:noProof/>
              <w:sz w:val="22"/>
              <w:lang w:val="en-GB"/>
            </w:rPr>
          </w:pPr>
          <w:hyperlink w:anchor="_Toc226629650" w:history="1">
            <w:r w:rsidR="009A08BD" w:rsidRPr="00AD3B67">
              <w:rPr>
                <w:rStyle w:val="Hyperlink"/>
                <w:noProof/>
              </w:rPr>
              <w:t>References</w:t>
            </w:r>
            <w:r w:rsidR="009A08BD">
              <w:rPr>
                <w:noProof/>
                <w:webHidden/>
              </w:rPr>
              <w:tab/>
            </w:r>
            <w:r w:rsidR="009A08BD">
              <w:rPr>
                <w:noProof/>
                <w:webHidden/>
              </w:rPr>
              <w:fldChar w:fldCharType="begin"/>
            </w:r>
            <w:r w:rsidR="009A08BD">
              <w:rPr>
                <w:noProof/>
                <w:webHidden/>
              </w:rPr>
              <w:instrText xml:space="preserve"> PAGEREF _Toc226629650 \h </w:instrText>
            </w:r>
            <w:r w:rsidR="009A08BD">
              <w:rPr>
                <w:noProof/>
                <w:webHidden/>
              </w:rPr>
            </w:r>
            <w:r w:rsidR="009A08BD">
              <w:rPr>
                <w:noProof/>
                <w:webHidden/>
              </w:rPr>
              <w:fldChar w:fldCharType="separate"/>
            </w:r>
            <w:r w:rsidR="009A08BD">
              <w:rPr>
                <w:noProof/>
                <w:webHidden/>
              </w:rPr>
              <w:t>16</w:t>
            </w:r>
            <w:r w:rsidR="009A08BD">
              <w:rPr>
                <w:noProof/>
                <w:webHidden/>
              </w:rPr>
              <w:fldChar w:fldCharType="end"/>
            </w:r>
          </w:hyperlink>
        </w:p>
        <w:p w:rsidR="001C24A7" w:rsidRDefault="001C24A7">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160DDA" w:rsidRDefault="00160DDA" w:rsidP="00951221">
      <w:pPr>
        <w:rPr>
          <w:rFonts w:cs="Arial"/>
        </w:rPr>
      </w:pPr>
    </w:p>
    <w:p w:rsidR="00160DDA" w:rsidRDefault="00160DDA" w:rsidP="00951221">
      <w:pPr>
        <w:rPr>
          <w:rFonts w:cs="Arial"/>
        </w:rPr>
      </w:pPr>
    </w:p>
    <w:p w:rsidR="00160DDA" w:rsidRDefault="00160DDA" w:rsidP="00951221">
      <w:pPr>
        <w:rPr>
          <w:rFonts w:cs="Arial"/>
        </w:rPr>
      </w:pPr>
    </w:p>
    <w:p w:rsidR="00160DDA" w:rsidRDefault="00160DDA" w:rsidP="00951221">
      <w:pPr>
        <w:rPr>
          <w:rFonts w:cs="Arial"/>
        </w:rPr>
      </w:pPr>
    </w:p>
    <w:p w:rsidR="00C04E83" w:rsidRDefault="00C04E83" w:rsidP="00951221">
      <w:pPr>
        <w:rPr>
          <w:rFonts w:cs="Arial"/>
        </w:rPr>
      </w:pPr>
    </w:p>
    <w:p w:rsidR="00160DDA" w:rsidRDefault="00160DDA" w:rsidP="00951221">
      <w:pPr>
        <w:rPr>
          <w:rFonts w:cs="Arial"/>
        </w:rPr>
      </w:pPr>
    </w:p>
    <w:p w:rsidR="00FC1605" w:rsidRDefault="00FC1605" w:rsidP="00FC1605">
      <w:pPr>
        <w:pStyle w:val="Heading1"/>
      </w:pPr>
      <w:bookmarkStart w:id="1" w:name="_Toc226629645"/>
      <w:r>
        <w:lastRenderedPageBreak/>
        <w:t>Task 1</w:t>
      </w:r>
      <w:r w:rsidRPr="00FC1605">
        <w:t>: Business Plan Development</w:t>
      </w:r>
      <w:bookmarkEnd w:id="1"/>
      <w:r w:rsidRPr="00FC1605">
        <w:t xml:space="preserve"> </w:t>
      </w:r>
    </w:p>
    <w:p w:rsidR="00FC1605" w:rsidRDefault="0024038F" w:rsidP="0024038F">
      <w:pPr>
        <w:pStyle w:val="Heading2"/>
      </w:pPr>
      <w:bookmarkStart w:id="2" w:name="_Toc226629646"/>
      <w:r w:rsidRPr="0024038F">
        <w:t>Element 1: Business Idea, Products/Services, Objectives &amp; USP</w:t>
      </w:r>
      <w:bookmarkEnd w:id="2"/>
    </w:p>
    <w:p w:rsidR="0024038F" w:rsidRPr="0024038F" w:rsidRDefault="0024038F" w:rsidP="0024038F">
      <w:pPr>
        <w:rPr>
          <w:u w:val="single"/>
        </w:rPr>
      </w:pPr>
      <w:r w:rsidRPr="0024038F">
        <w:rPr>
          <w:u w:val="single"/>
        </w:rPr>
        <w:t>Business Concept and Synopsis</w:t>
      </w:r>
    </w:p>
    <w:p w:rsidR="0024038F" w:rsidRDefault="0024038F" w:rsidP="0024038F">
      <w:r>
        <w:t>The proposed enterprise, SmartFuel Vending Ltd., is an innovative food service company that offers healthy, ready-to-eat meals and snacks via intelligent vending machines strategically positioned in high-traffic metropolitan locales, including offices, universities, gyms and transportation hubs. The enterprise amalgamates food retail with digital technology, providing consumers with convenient access to healthful alternatives while overcoming the constraints of conventional vending machines.</w:t>
      </w:r>
    </w:p>
    <w:p w:rsidR="0024038F" w:rsidRDefault="0024038F" w:rsidP="0024038F">
      <w:r>
        <w:t>The concept arises from two principal developments in modern consumer behaviour. Firstly, escalating hectic lives have resulted in an increased desire for convenient, portable meal options. Secondly, there is increased knowledge of the connection between nutrition and health, leading consumers to pursue healthier options over processed and high-calorie items (Bucher et al., 2016). Conventional vending machines frequently do not satisfy these demands, hence establishing a distinct market opportunity for healthier, technology-enhanced alternatives.</w:t>
      </w:r>
    </w:p>
    <w:p w:rsidR="0024038F" w:rsidRDefault="0024038F" w:rsidP="0024038F">
      <w:r>
        <w:t>SmartFuel Vending fills this void by providing a carefully selected assortment of fresh, nutritionally balanced items, encompassing meals, snacks, and beverages tailored to accommodate diverse dietary requirements. The firm emphasises high-quality products that prioritise freshness, portion control, and nutritional value, rather than offering a diverse and inconsistent selection of items. This method guarantees operating efficiency while preserving product uniformity and brand integrity.</w:t>
      </w:r>
    </w:p>
    <w:p w:rsidR="0024038F" w:rsidRDefault="0024038F" w:rsidP="0024038F">
      <w:r>
        <w:t>A fundamental aspect of the business model is the implementation of intelligent vending technology, which improves customer engagement and service efficacy. Machines use computerised touchscreens that present product information, encompassing ingredients and nutritional content, so enabling consumers to make informed decisions. Contactless payment systems facilitate rapid and convenient transactions, whereas real-time inventory tracking promotes effective replenishment and minimises waste.</w:t>
      </w:r>
    </w:p>
    <w:p w:rsidR="0024038F" w:rsidRDefault="0024038F" w:rsidP="0024038F">
      <w:r>
        <w:t xml:space="preserve">The business features a mobile application enabling clients to locate vending machines, pre-order things, and obtain customised recommendations based on their </w:t>
      </w:r>
      <w:r>
        <w:lastRenderedPageBreak/>
        <w:t>interests. The amalgamation of digital platforms exemplifies overarching tendencies in the digital transformation of retail, wherein technology is pivotal in influencing customer experiences and operational procedures (Verhoef et al., 2021).</w:t>
      </w:r>
    </w:p>
    <w:p w:rsidR="0024038F" w:rsidRDefault="0024038F" w:rsidP="0024038F">
      <w:r>
        <w:t>Sustainability constitutes a fundamental element of the company concept. SmartFuel Vending employs sustainable packaging and procures materials ethically, in accordance with the growing consumer preference for ecologically responsible products. This not only improves brand reputation but also fosters long-term sustainability.</w:t>
      </w:r>
    </w:p>
    <w:p w:rsidR="0024038F" w:rsidRPr="0024038F" w:rsidRDefault="0024038F" w:rsidP="0024038F">
      <w:pPr>
        <w:rPr>
          <w:u w:val="single"/>
        </w:rPr>
      </w:pPr>
      <w:r w:rsidRPr="0024038F">
        <w:rPr>
          <w:u w:val="single"/>
        </w:rPr>
        <w:t>Business Objectives</w:t>
      </w:r>
    </w:p>
    <w:p w:rsidR="0024038F" w:rsidRDefault="0024038F" w:rsidP="0024038F">
      <w:r>
        <w:t>Short-Term Objectives (1–2 years)</w:t>
      </w:r>
    </w:p>
    <w:p w:rsidR="0024038F" w:rsidRDefault="0024038F" w:rsidP="0024038F">
      <w:r>
        <w:t>The initial purpose of SmartFuel Vending is to develop a robust market presence by deploying vending machines in strategically chosen high-traffic locations. Establishing collaborations with enterprises, academic institutions, and fitness facilities is crucial for maintaining steady demand and visibility.</w:t>
      </w:r>
    </w:p>
    <w:p w:rsidR="0024038F" w:rsidRDefault="0024038F" w:rsidP="0024038F">
      <w:r>
        <w:t>A primary purpose is to establish effective supply chain and logistics systems, guaranteeing that machines are consistently replenished with fresh products. Ensuring product quality and reliability is essential for fostering customer trust and promoting recurrent usage.</w:t>
      </w:r>
    </w:p>
    <w:p w:rsidR="0024038F" w:rsidRDefault="0024038F" w:rsidP="0024038F">
      <w:r>
        <w:t>The enterprise seeks to attain brand recognition by focused digital marketing techniques, encompassing social media campaigns and collaborations with health and fitness celebrities. Establishing brand recognition as a healthful alternative to conventional vending alternatives is essential throughout the initial phases.</w:t>
      </w:r>
    </w:p>
    <w:p w:rsidR="0024038F" w:rsidRDefault="0024038F" w:rsidP="0024038F">
      <w:r>
        <w:t>Long-Term Goals (3–5 years)</w:t>
      </w:r>
    </w:p>
    <w:p w:rsidR="0024038F" w:rsidRDefault="0024038F" w:rsidP="0024038F">
      <w:r>
        <w:t>SmartFuel Vending aims to enhance its operations in the long run by augmenting the number of vending machines in key cities, thus attaining geographical scalability. This expansion will be underpinned by data-driven decision-making to identify high-performing areas and enhance product offerings.</w:t>
      </w:r>
    </w:p>
    <w:p w:rsidR="0024038F" w:rsidRDefault="0024038F" w:rsidP="0024038F">
      <w:r>
        <w:t xml:space="preserve">The enterprise seeks to broaden its product offerings by incorporating seasonal and bespoke choices aligned with consumer preferences. Utilising data analytics obtained </w:t>
      </w:r>
      <w:r>
        <w:lastRenderedPageBreak/>
        <w:t>from digital platforms will allow the business to provide tailored client experiences, hence improving happiness and loyalty.</w:t>
      </w:r>
    </w:p>
    <w:p w:rsidR="0024038F" w:rsidRDefault="0024038F" w:rsidP="0024038F">
      <w:r>
        <w:t>Additionally, SmartFuel Vending aims to forge alliances with corporate entities to deliver workplace wellness solutions, thereby establishing the enterprise as a facilitator of employee health and productivity.</w:t>
      </w:r>
    </w:p>
    <w:p w:rsidR="0024038F" w:rsidRPr="0024038F" w:rsidRDefault="0024038F" w:rsidP="0024038F">
      <w:pPr>
        <w:rPr>
          <w:u w:val="single"/>
        </w:rPr>
      </w:pPr>
      <w:r w:rsidRPr="0024038F">
        <w:rPr>
          <w:u w:val="single"/>
        </w:rPr>
        <w:t>Unique Selling Point (USP)</w:t>
      </w:r>
    </w:p>
    <w:p w:rsidR="0024038F" w:rsidRDefault="0024038F" w:rsidP="0024038F">
      <w:r>
        <w:t>The Unique Selling Proposition of SmartFuel Vending is in its amalgamation of health, convenience, and cutting-edge technology inside an automated food service framework. This combination distinguishes the enterprise from both regular vending machines and conventional food establishments.</w:t>
      </w:r>
    </w:p>
    <w:p w:rsidR="0024038F" w:rsidRDefault="0024038F" w:rsidP="0024038F">
      <w:r>
        <w:t>The emphasis on fresh, healthful, and nutritionally balanced food immediately responds to consumer desire for enhanced dietary choices. In contrast to traditional vending machines that dispense processed food, SmartFuel Vending offers meals that promote health and wellness.</w:t>
      </w:r>
    </w:p>
    <w:p w:rsidR="0024038F" w:rsidRDefault="0024038F" w:rsidP="0024038F">
      <w:r>
        <w:t>Secondly, the implementation of smart technology improves the consumer experience by providing transparency, convenience, and customisation. Attributes including nutritional data, digital transactions, and application-based engagement facilitate a streamlined and contemporary purchase experience.</w:t>
      </w:r>
    </w:p>
    <w:p w:rsidR="0024038F" w:rsidRDefault="0024038F" w:rsidP="0024038F">
      <w:r>
        <w:t>Thirdly, the focus on sustainability and responsible sourcing ties the firm with modern environmental principles, so enhancing its attractiveness to morally aware consumers.</w:t>
      </w:r>
    </w:p>
    <w:p w:rsidR="0024038F" w:rsidRDefault="0024038F" w:rsidP="0024038F">
      <w:r>
        <w:t>The unique selling proposition focuses on providing affordable, nutritious food using innovative and scalable technology, establishing a distinctive and forward-looking business strategy that addresses the changing demands of contemporary consumers.</w:t>
      </w:r>
    </w:p>
    <w:p w:rsidR="0024038F" w:rsidRDefault="0024038F" w:rsidP="0024038F">
      <w:pPr>
        <w:pStyle w:val="Heading2"/>
      </w:pPr>
      <w:bookmarkStart w:id="3" w:name="_Toc226629647"/>
      <w:r w:rsidRPr="0024038F">
        <w:t>Element 2: Business Environment &amp; Competitor Analysis</w:t>
      </w:r>
      <w:bookmarkEnd w:id="3"/>
    </w:p>
    <w:p w:rsidR="0024038F" w:rsidRDefault="0024038F" w:rsidP="0024038F">
      <w:r w:rsidRPr="0024038F">
        <w:t xml:space="preserve">Evaluating SmartFuel Vending Ltd.'s viability and long-term sustainability requires a thorough grasp of the business environment. This part use the PESTEL framework to analyse macro-environmental factors affecting the firm and utilises the SWOT analysis to examine internal strengths and weaknesses in conjunction with external opportunities and threats. Collectively, these frameworks offer a systematic and </w:t>
      </w:r>
      <w:r w:rsidRPr="0024038F">
        <w:lastRenderedPageBreak/>
        <w:t>analytical assessment of the industry and the competitive stance of the proposed enterprise.</w:t>
      </w:r>
    </w:p>
    <w:p w:rsidR="00024C08" w:rsidRPr="00024C08" w:rsidRDefault="00024C08" w:rsidP="00024C08">
      <w:pPr>
        <w:rPr>
          <w:u w:val="single"/>
        </w:rPr>
      </w:pPr>
      <w:r>
        <w:rPr>
          <w:u w:val="single"/>
        </w:rPr>
        <w:t>PESTEL Analysis</w:t>
      </w:r>
    </w:p>
    <w:p w:rsidR="00024C08" w:rsidRDefault="00024C08" w:rsidP="00024C08">
      <w:r>
        <w:t>Political Factors</w:t>
      </w:r>
    </w:p>
    <w:p w:rsidR="00024C08" w:rsidRDefault="00024C08" w:rsidP="00024C08">
      <w:r>
        <w:t>Political considerations encompass governmental policies and regulatory frameworks that affect food enterprises. In the UK, SmartFuel Vending is obligated to adhere to rules established by the Food Standards Agency, namely concerning food hygiene, safety, and labelling. These restrictions guarantee consumer protection while simultaneously elevating compliance expenses.</w:t>
      </w:r>
    </w:p>
    <w:p w:rsidR="00024C08" w:rsidRDefault="00024C08" w:rsidP="00024C08">
      <w:r>
        <w:t>Furthermore, government-sponsored public health initiatives designed to mitigate obesity and promote healthier dietary practices may indirectly bolster demand for SmartFuel's products. Policies that enhance workplace wellbeing may additionally foster chances for collaborations with corporate entities (Public Health England, 2020).</w:t>
      </w:r>
    </w:p>
    <w:p w:rsidR="00024C08" w:rsidRDefault="00024C08" w:rsidP="00024C08">
      <w:r>
        <w:t>Economic Factors</w:t>
      </w:r>
    </w:p>
    <w:p w:rsidR="00024C08" w:rsidRDefault="00024C08" w:rsidP="00024C08">
      <w:r>
        <w:t>Economic conditions profoundly impact consumer behaviour and corporate performance. Escalating inflation and surging costs of raw materials, especially fresh and organic foods, might impact corporate margins. Research indicates that customers are progressively inclined to pay a premium for convenient and nutritious food options, especially in urban locales (Euromonitor, 2022).</w:t>
      </w:r>
    </w:p>
    <w:p w:rsidR="00024C08" w:rsidRDefault="00024C08" w:rsidP="00024C08">
      <w:r>
        <w:t>Nonetheless, economic recessions may diminish discretionary expenditure, thus affecting the demand for high-priced products. Consequently, SmartFuel Vending must meticulously calibrate price strategies to sustain competitiveness while ensuring profitability.</w:t>
      </w:r>
    </w:p>
    <w:p w:rsidR="00024C08" w:rsidRDefault="00024C08" w:rsidP="00024C08">
      <w:r>
        <w:t>Social Factors</w:t>
      </w:r>
    </w:p>
    <w:p w:rsidR="00024C08" w:rsidRDefault="00024C08" w:rsidP="00024C08">
      <w:r>
        <w:t>Societal trends significantly favour the company model. There is an increasing focus on health and wellbeing, with consumers proactively pursuing healthful food alternatives. The proliferation of hectic lifestyles and urbanisation has heightened need on accessible food options, rendering automated vending a compelling alternative.</w:t>
      </w:r>
    </w:p>
    <w:p w:rsidR="00024C08" w:rsidRDefault="00024C08" w:rsidP="00024C08">
      <w:r>
        <w:t xml:space="preserve">Moreover, evolving perspectives on food consumption indicate a transition towards healthier snacking and meal replacement alternatives, especially among younger </w:t>
      </w:r>
      <w:r>
        <w:lastRenderedPageBreak/>
        <w:t>consumers and working professionals (Wansink, 2017). These trends bolster the need for SmartFuel's nutritious vending solutions.</w:t>
      </w:r>
    </w:p>
    <w:p w:rsidR="00024C08" w:rsidRDefault="00024C08" w:rsidP="00024C08">
      <w:r>
        <w:t>Technological Factors</w:t>
      </w:r>
    </w:p>
    <w:p w:rsidR="00024C08" w:rsidRDefault="00024C08" w:rsidP="00024C08">
      <w:r>
        <w:t>Technological innovation is fundamental to SmartFuel Vending's business model. Progress in automated retail systems, digital payment technology, and mobile applications facilitates effortless customer engagement and operational efficacy.</w:t>
      </w:r>
    </w:p>
    <w:p w:rsidR="00024C08" w:rsidRDefault="00024C08" w:rsidP="00024C08">
      <w:r>
        <w:t>Data analytics enables the organization to track purchasing habits, manage inventories, and customise client experiences. This improves decision-making and offers a competitive edge in a technology-oriented industry (Laudon &amp; Traver, 2021).</w:t>
      </w:r>
    </w:p>
    <w:p w:rsidR="00024C08" w:rsidRDefault="00024C08" w:rsidP="00024C08">
      <w:r>
        <w:t>The extensive implementation of contactless payments enhances the business's emphasis on efficiency and convenience.</w:t>
      </w:r>
    </w:p>
    <w:p w:rsidR="00024C08" w:rsidRDefault="00024C08" w:rsidP="00024C08">
      <w:r>
        <w:t>Environmental Factors</w:t>
      </w:r>
    </w:p>
    <w:p w:rsidR="00024C08" w:rsidRDefault="00024C08" w:rsidP="00024C08">
      <w:r>
        <w:t>Environmental sustainability is becoming progressively significant in consumer decision-making. Businesses are anticipated to implement sustainable strategies, such as minimising packaging waste and procuring ingredients ethically.</w:t>
      </w:r>
    </w:p>
    <w:p w:rsidR="00024C08" w:rsidRDefault="00024C08" w:rsidP="00024C08">
      <w:r>
        <w:t>SmartFuel Vending mitigates these issues by utilising biodegradable packaging and employing effective inventory systems to reduce food waste. Environmental sustainability not only promotes ethical company practices but also improves brand image and fosters customer loyalty (Peattie &amp; Crane, 2005).</w:t>
      </w:r>
    </w:p>
    <w:p w:rsidR="00024C08" w:rsidRDefault="00024C08" w:rsidP="00024C08">
      <w:r>
        <w:t>Legal Factors</w:t>
      </w:r>
    </w:p>
    <w:p w:rsidR="00024C08" w:rsidRDefault="00024C08" w:rsidP="00024C08">
      <w:r>
        <w:t>Adherence to legal regulations is essential in the food and vending sector. SmartFuel Vending must comply with legislation concerning food safety, storage, labelling, employment law, and health and safety standards.</w:t>
      </w:r>
    </w:p>
    <w:p w:rsidR="00024C08" w:rsidRDefault="00024C08" w:rsidP="00024C08">
      <w:r>
        <w:t>The utilisation of digital platforms necessitates adherence to data protection standards, including the UK GDPR. Safeguarding data security and consumer privacy is crucial for preserving confidence and preventing legal repercussions.</w:t>
      </w:r>
    </w:p>
    <w:p w:rsidR="00024C08" w:rsidRPr="00024C08" w:rsidRDefault="00024C08" w:rsidP="00024C08">
      <w:pPr>
        <w:rPr>
          <w:u w:val="single"/>
        </w:rPr>
      </w:pPr>
      <w:r w:rsidRPr="00024C08">
        <w:rPr>
          <w:u w:val="single"/>
        </w:rPr>
        <w:t>SWOT Analysis</w:t>
      </w:r>
    </w:p>
    <w:p w:rsidR="00024C08" w:rsidRDefault="00024C08" w:rsidP="00024C08">
      <w:r>
        <w:t>Strengths</w:t>
      </w:r>
    </w:p>
    <w:p w:rsidR="00024C08" w:rsidRDefault="00024C08" w:rsidP="00024C08">
      <w:r>
        <w:lastRenderedPageBreak/>
        <w:t>SmartFuel Vending's primary advantage is in its revolutionary amalgamation of nutritious food with advanced technology, setting it apart from conventional vending machines. The business fills a distinct market void by providing nutritious, fresh items.</w:t>
      </w:r>
    </w:p>
    <w:p w:rsidR="00024C08" w:rsidRDefault="00024C08" w:rsidP="00024C08">
      <w:r>
        <w:t>The enterprise enjoys significant convenience, as vending machines function continuously and are situated in places with substantial foot traffic. This accessibility expands customer outreach and possible revenue.</w:t>
      </w:r>
    </w:p>
    <w:p w:rsidR="00024C08" w:rsidRDefault="00024C08" w:rsidP="00024C08">
      <w:r>
        <w:t>Moreover, the utilisation of digital technologies and data analytics improves operational efficiency and facilitates personalised client experiences, hence reinforcing competitive advantage.</w:t>
      </w:r>
    </w:p>
    <w:p w:rsidR="00024C08" w:rsidRDefault="00024C08" w:rsidP="00024C08">
      <w:r>
        <w:t>Weaknesses</w:t>
      </w:r>
    </w:p>
    <w:p w:rsidR="00024C08" w:rsidRDefault="00024C08" w:rsidP="00024C08">
      <w:r>
        <w:t>The enterprise encounters multiple internal obstacles. The initial capital investment necessary for smart vending machines and infrastructure is considerably large, potentially imposing financial strain during the start-up phase.</w:t>
      </w:r>
    </w:p>
    <w:p w:rsidR="00024C08" w:rsidRDefault="00024C08" w:rsidP="00024C08">
      <w:r>
        <w:t>Ensuring product freshness and quality poses an additional hurdle, necessitating effective logistics and inventory management. Any shortcomings in these domains could adversely affect client satisfaction.</w:t>
      </w:r>
    </w:p>
    <w:p w:rsidR="00024C08" w:rsidRDefault="00024C08" w:rsidP="00024C08">
      <w:r>
        <w:t>Furthermore, as a new participant, the enterprise may have challenges due to insufficient brand recognition, necessitating considerable investment in marketing and promotion.</w:t>
      </w:r>
    </w:p>
    <w:p w:rsidR="00024C08" w:rsidRDefault="00024C08" w:rsidP="00024C08">
      <w:r>
        <w:t>Opportunities</w:t>
      </w:r>
    </w:p>
    <w:p w:rsidR="00024C08" w:rsidRDefault="00024C08" w:rsidP="00024C08">
      <w:r>
        <w:t>The enterprise functions within an expanding market for health-oriented and convenience-driven food solutions, offering substantial prospects for growth. The rising demand for functional foods and healthier alternatives fosters sustained growth.</w:t>
      </w:r>
    </w:p>
    <w:p w:rsidR="00024C08" w:rsidRDefault="00024C08" w:rsidP="00024C08">
      <w:r>
        <w:t>Opportunities exist to forge collaborations with corporate entities, fitness centers, and educational organisations, offering customised vending services. These collaborations can produce reliable cash streams.</w:t>
      </w:r>
    </w:p>
    <w:p w:rsidR="00024C08" w:rsidRDefault="00024C08" w:rsidP="00024C08">
      <w:r>
        <w:t>Technological improvements provide additional avenues for innovation, encompassing tailored advice and enhanced client involvement.</w:t>
      </w:r>
    </w:p>
    <w:p w:rsidR="00024C08" w:rsidRDefault="00024C08" w:rsidP="00024C08">
      <w:r>
        <w:t>Threats</w:t>
      </w:r>
    </w:p>
    <w:p w:rsidR="00024C08" w:rsidRDefault="00024C08" w:rsidP="00024C08">
      <w:r>
        <w:lastRenderedPageBreak/>
        <w:t>The principal danger is competition from established food merchants, cafés, and alternative vending operators. Established corporations may possess superior financial assets and brand visibility, hence establishing entrance hurdles.</w:t>
      </w:r>
    </w:p>
    <w:p w:rsidR="00024C08" w:rsidRDefault="00024C08" w:rsidP="00024C08">
      <w:r>
        <w:t>Economic variations, such as increasing expenses and declining consumer expenditure, may also affect demand. Moreover, disturbances in the supply chain may impact the accessibility of fresh products.</w:t>
      </w:r>
    </w:p>
    <w:p w:rsidR="00024C08" w:rsidRDefault="00024C08" w:rsidP="00024C08">
      <w:r>
        <w:t>Technological risks, including system failures or cybersecurity threats, must be acknowledged, as they can impede operations and tarnish the brand's reputation.</w:t>
      </w:r>
    </w:p>
    <w:p w:rsidR="00024C08" w:rsidRDefault="00024C08" w:rsidP="00024C08">
      <w:r>
        <w:t>The PESTEL and SWOT analyses reveal that SmartFuel Vending functions within a conducive environment influenced by robust societal and technological trends that promote healthy and convenient food consumption. Despite the presence of economic and operational obstacles, the business's unique concept and alignment with consumer preferences establish a robust platform for growth.</w:t>
      </w:r>
    </w:p>
    <w:p w:rsidR="0024038F" w:rsidRDefault="00024C08" w:rsidP="00024C08">
      <w:r>
        <w:t>To achieve success, the enterprise must capitalise on its technological advantages and comfort while confronting issues pertaining to cost and operational intricacy. By using possibilities and addressing external challenges, SmartFuel Vending can secure a durable competitive edge in the dynamic food service sector.</w:t>
      </w:r>
    </w:p>
    <w:p w:rsidR="0024038F" w:rsidRDefault="00024C08" w:rsidP="00024C08">
      <w:pPr>
        <w:pStyle w:val="Heading2"/>
      </w:pPr>
      <w:bookmarkStart w:id="4" w:name="_Toc226629648"/>
      <w:r>
        <w:t>Element 3: 4Ps, Market Segmentation &amp; Marketing Strategies</w:t>
      </w:r>
      <w:bookmarkEnd w:id="4"/>
    </w:p>
    <w:p w:rsidR="00024C08" w:rsidRPr="00024C08" w:rsidRDefault="00024C08" w:rsidP="00024C08">
      <w:pPr>
        <w:rPr>
          <w:u w:val="single"/>
        </w:rPr>
      </w:pPr>
      <w:r w:rsidRPr="00024C08">
        <w:rPr>
          <w:u w:val="single"/>
        </w:rPr>
        <w:t>Target Customers and Market Segmentation</w:t>
      </w:r>
    </w:p>
    <w:p w:rsidR="00024C08" w:rsidRDefault="00024C08" w:rsidP="00024C08">
      <w:r>
        <w:t>Efficient market segmentation is crucial for SmartFuel Vending Ltd. to discover and target clients whose requirements correspond with its value proposition. Utilising a multi-variable segmentation strategy, the enterprise may augment its marketing efficacy and bolster customer acquisition and retention (Kotler et al., 2019).</w:t>
      </w:r>
    </w:p>
    <w:p w:rsidR="00024C08" w:rsidRDefault="00024C08" w:rsidP="00024C08">
      <w:r>
        <w:t>The core target market, from a demographic standpoint, comprises those aged 18 to 45, specifically students, young professionals, and office employees. These demographics are predisposed to fast-paced lifestyles and necessitate easy eating alternatives. Furthermore, persons with moderate to high discretionary income are more predisposed to acquire premium, health-oriented products.</w:t>
      </w:r>
    </w:p>
    <w:p w:rsidR="00024C08" w:rsidRDefault="00024C08" w:rsidP="00024C08">
      <w:r>
        <w:t xml:space="preserve">The business geographically targets urban areas, encompassing city centers, business districts, universities, and transportation hubs. These sites are distinguished </w:t>
      </w:r>
      <w:r>
        <w:lastRenderedPageBreak/>
        <w:t>by elevated population density and substantial pedestrian activity, rendering them optimal for vending machine installation. Urban consumers are more inclined to embrace digital and contactless purchase techniques, hence reinforcing the business model.</w:t>
      </w:r>
    </w:p>
    <w:p w:rsidR="00024C08" w:rsidRDefault="00024C08" w:rsidP="00024C08">
      <w:r>
        <w:t>The target clients, from a psychographic perspective, are persons who value health, convenience, and efficiency. These consumers are frequently driven by physical objectives, demanding schedules, and a commitment to sustaining a balanced diet. Studies demonstrate that lifestyle and values significantly influence dietary selections, especially among health-conscious individuals (Solomon et al., 2019).</w:t>
      </w:r>
    </w:p>
    <w:p w:rsidR="00024C08" w:rsidRDefault="00024C08" w:rsidP="00024C08">
      <w:r>
        <w:t>From a behavioural standpoint, the enterprise aims at consumers who exhibit habitual purchase patterns and a predilection for rapid, convenient food options. These folks prioritise efficiency and dependability, especially during professional or academic hours. Repeat clients are crucial for profitability, rendering retention strategies a primary priority.</w:t>
      </w:r>
    </w:p>
    <w:p w:rsidR="0024038F" w:rsidRDefault="00024C08" w:rsidP="00024C08">
      <w:r>
        <w:t>SmartFuel Vending employs a targeted targeting strategy, concentrating on a niche market of health-conscious, convenience-oriented clients. This facilitates robust brand positioning, however it may constrain market penetration. This emphasis improves differentiation and allows the firm to provide a customised value proposition.</w:t>
      </w:r>
    </w:p>
    <w:p w:rsidR="00024C08" w:rsidRPr="00024C08" w:rsidRDefault="00024C08" w:rsidP="00024C08">
      <w:pPr>
        <w:rPr>
          <w:u w:val="single"/>
        </w:rPr>
      </w:pPr>
      <w:r w:rsidRPr="00024C08">
        <w:rPr>
          <w:u w:val="single"/>
        </w:rPr>
        <w:t>Marketing Mix (4Ps) </w:t>
      </w:r>
    </w:p>
    <w:p w:rsidR="00024C08" w:rsidRDefault="00024C08" w:rsidP="00024C08">
      <w:r>
        <w:t>Product</w:t>
      </w:r>
    </w:p>
    <w:p w:rsidR="00024C08" w:rsidRDefault="00024C08" w:rsidP="00024C08">
      <w:r>
        <w:t>The product line comprises nutritious, ready-to-consume meals and snacks dispensed via intelligent vending machines. The primary product fulfils the demand for quick nutrition, but the augmented product encompasses digital functionalities including nutritional data, contactless payment options, and mobile connectivity.</w:t>
      </w:r>
    </w:p>
    <w:p w:rsidR="00024C08" w:rsidRDefault="00024C08" w:rsidP="00024C08">
      <w:r>
        <w:t>From a strategic standpoint, SmartFuel Vending provides both practical and experience value. The functional aspect pertains to health and convenience, but the experiencing component is generated through user-friendly technology and effortless contact. This corresponds with the notion of total product value, wherein customer satisfaction is affected by both tangible and intangible factors (Kotler et al., 2019).</w:t>
      </w:r>
    </w:p>
    <w:p w:rsidR="00024C08" w:rsidRDefault="00024C08" w:rsidP="00024C08">
      <w:r>
        <w:lastRenderedPageBreak/>
        <w:t>Moreover, the emphasis on freshness and quality distinguishes the enterprise from conventional vending machines, which are generally linked to products of low nutritional value.</w:t>
      </w:r>
    </w:p>
    <w:p w:rsidR="00024C08" w:rsidRDefault="00024C08" w:rsidP="00024C08">
      <w:r>
        <w:t xml:space="preserve">Price </w:t>
      </w:r>
    </w:p>
    <w:p w:rsidR="00024C08" w:rsidRDefault="00024C08" w:rsidP="00024C08">
      <w:r>
        <w:t>SmartFuel Vending has a value-based pricing strategy that mirrors the quality, convenience, and health advantages of its offerings. Prices are marginally elevated relative to conventional vending alternatives but remain comparable with cafés and takeaway establishments.</w:t>
      </w:r>
    </w:p>
    <w:p w:rsidR="00024C08" w:rsidRDefault="00024C08" w:rsidP="00024C08">
      <w:r>
        <w:t>This price model conveys premium value while ensuring accessibility. Price sensitivity requires meticulous management, especially during economic recessions. Providing bundled packages or loyalty rewards may assist in alleviating this risk.</w:t>
      </w:r>
    </w:p>
    <w:p w:rsidR="00024C08" w:rsidRDefault="00024C08" w:rsidP="00024C08">
      <w:r>
        <w:t>Pricing must fundamentally correspond with customer value judgements. If consumers regard the products as considerably healthier and more convenient, they are more inclined to accept elevated pricing.</w:t>
      </w:r>
    </w:p>
    <w:p w:rsidR="00024C08" w:rsidRDefault="00024C08" w:rsidP="00024C08">
      <w:r>
        <w:t xml:space="preserve">Place </w:t>
      </w:r>
    </w:p>
    <w:p w:rsidR="00024C08" w:rsidRDefault="00024C08" w:rsidP="00024C08">
      <w:r>
        <w:t>The distribution strategy focuses on the strategic placement of vending machines in high-traffic areas. This guarantees optimal exposure and accessibility, essential for impulse purchases.</w:t>
      </w:r>
    </w:p>
    <w:p w:rsidR="00024C08" w:rsidRDefault="00024C08" w:rsidP="00024C08">
      <w:r>
        <w:t>The business utilises digital platforms alongside physical locations, featuring a mobile application that enables clients to locate machines, pre-order products, and receive tailored recommendations.</w:t>
      </w:r>
    </w:p>
    <w:p w:rsidR="00024C08" w:rsidRDefault="00024C08" w:rsidP="00024C08">
      <w:r>
        <w:t>This hybrid strategy improves ease and corresponds with overarching trends in digital retail, where consumers anticipate seamless integration between physical and digital channels (Laudon &amp; Traver, 2021).</w:t>
      </w:r>
    </w:p>
    <w:p w:rsidR="00024C08" w:rsidRDefault="00024C08" w:rsidP="00024C08">
      <w:r>
        <w:t>Promotion</w:t>
      </w:r>
    </w:p>
    <w:p w:rsidR="00024C08" w:rsidRDefault="00024C08" w:rsidP="00024C08">
      <w:r>
        <w:t>Promotion heavily emphasises digital marketing methods, mirroring the online behaviour of the target market. Social media platforms like Instagram, TikTok, and Facebook are utilised to display items, convey business values, and interact with customers.</w:t>
      </w:r>
    </w:p>
    <w:p w:rsidR="00024C08" w:rsidRDefault="00024C08" w:rsidP="00024C08">
      <w:r>
        <w:lastRenderedPageBreak/>
        <w:t>Influencer marketing is especially potent in the health and fitness domain, where endorsements from fitness professionals and lifestyle influencers may augment credibility and expand reach. Promotional communications underscore convenience, health advantages, and innovation.</w:t>
      </w:r>
    </w:p>
    <w:p w:rsidR="00024C08" w:rsidRDefault="00024C08" w:rsidP="00024C08">
      <w:r>
        <w:t>Moreover, location-specific incentives, such as discounts for proximate consumers, can enhance foot traffic and stimulate trial.</w:t>
      </w:r>
    </w:p>
    <w:p w:rsidR="00024C08" w:rsidRPr="00A10D32" w:rsidRDefault="00024C08" w:rsidP="00024C08">
      <w:pPr>
        <w:rPr>
          <w:u w:val="single"/>
        </w:rPr>
      </w:pPr>
      <w:r w:rsidRPr="00A10D32">
        <w:rPr>
          <w:u w:val="single"/>
        </w:rPr>
        <w:t>Digital Marketing Approaches</w:t>
      </w:r>
    </w:p>
    <w:p w:rsidR="00024C08" w:rsidRDefault="00024C08" w:rsidP="00024C08">
      <w:r>
        <w:t>Search Engine Optimisation (SEO) and Pay-Per-Click (PPC)</w:t>
      </w:r>
    </w:p>
    <w:p w:rsidR="00024C08" w:rsidRDefault="00024C08" w:rsidP="00024C08">
      <w:r>
        <w:t>SEO enhances the exposure of SmartFuel's digital platforms by focusing on keywords associated with healthy vending and convenient meal alternatives. This facilitates sustained organic growth.</w:t>
      </w:r>
    </w:p>
    <w:p w:rsidR="00024C08" w:rsidRDefault="00024C08" w:rsidP="00024C08">
      <w:r>
        <w:t>PPC advertising enhances SEO by delivering instant prominence in search results. This dual approach guarantees client acquisition in both the short and long term (Chaffey &amp; Ellis-Chadwick, 2019).</w:t>
      </w:r>
    </w:p>
    <w:p w:rsidR="00024C08" w:rsidRDefault="00024C08" w:rsidP="00024C08">
      <w:r>
        <w:t>Marketing on Social Media</w:t>
      </w:r>
    </w:p>
    <w:p w:rsidR="00024C08" w:rsidRDefault="00024C08" w:rsidP="00024C08">
      <w:r>
        <w:t>Social media is crucial for cultivating brand recognition and interacting with consumers. Visual material that displays products, customer experiences, and health advantages might impact purchasing decisions.</w:t>
      </w:r>
    </w:p>
    <w:p w:rsidR="00024C08" w:rsidRDefault="00024C08" w:rsidP="00024C08">
      <w:r>
        <w:t>User-generated information, including reviews and testimonials, bolsters confidence and credibility. Studies demonstrate that social media significantly influences customer behaviour and brand impression (Tuten &amp; Solomon, 2017).</w:t>
      </w:r>
    </w:p>
    <w:p w:rsidR="00024C08" w:rsidRDefault="00024C08" w:rsidP="00024C08">
      <w:r>
        <w:t>Content Marketing</w:t>
      </w:r>
    </w:p>
    <w:p w:rsidR="00024C08" w:rsidRDefault="00024C08" w:rsidP="00024C08">
      <w:r>
        <w:t>Content marketing entails the production of meaningful and helpful material pertaining to health, nutrition, and lifestyle. This establishes the business as an authority in its field and cultivates consumer trust.</w:t>
      </w:r>
    </w:p>
    <w:p w:rsidR="00024C08" w:rsidRDefault="00024C08" w:rsidP="00024C08">
      <w:r>
        <w:t>Examples encompass blog articles, movies, and instructional material regarding nutritious eating and convenience. This method facilitates client acquisition and retention.</w:t>
      </w:r>
    </w:p>
    <w:p w:rsidR="00024C08" w:rsidRDefault="00024C08" w:rsidP="00024C08">
      <w:r>
        <w:t>Email Marketing and Client Retention</w:t>
      </w:r>
    </w:p>
    <w:p w:rsidR="00024C08" w:rsidRDefault="00024C08" w:rsidP="00024C08">
      <w:r>
        <w:lastRenderedPageBreak/>
        <w:t>Email marketing facilitates ongoing communication with clients by providing tailored promotions, updates, and recommendations. Loyalty programs and discounts promote repeat purchases and sustained engagement.</w:t>
      </w:r>
    </w:p>
    <w:p w:rsidR="00024C08" w:rsidRDefault="00024C08" w:rsidP="00024C08">
      <w:r>
        <w:t>Retention techniques are crucial, as recruiting new consumers is frequently more expensive than retaining current ones.</w:t>
      </w:r>
    </w:p>
    <w:p w:rsidR="00024C08" w:rsidRDefault="00024C08" w:rsidP="00024C08">
      <w:r>
        <w:t>Data Analysis and Performance Enhancement</w:t>
      </w:r>
    </w:p>
    <w:p w:rsidR="00024C08" w:rsidRDefault="00024C08" w:rsidP="00024C08">
      <w:r>
        <w:t>Data analytics empowers SmartFuel Vending to monitor customer behaviour, enhance product offerings, and assess marketing effectiveness. By examining metrics such as sales trends and consumer preferences, the enterprise can perpetually enhance its plans.</w:t>
      </w:r>
    </w:p>
    <w:p w:rsidR="00024C08" w:rsidRDefault="00024C08" w:rsidP="00024C08">
      <w:r>
        <w:t>Data-driven decision-making significantly improves efficiency and fosters sustainable growth.</w:t>
      </w:r>
    </w:p>
    <w:p w:rsidR="00024C08" w:rsidRDefault="00024C08" w:rsidP="00024C08">
      <w:r>
        <w:t>The utilisation of market segmentation, the 4Ps framework, and digital marketing methods indicates that SmartFuel Vending is strategically positioned to target a distinct client demographic and provide a unique value offer. By utilising digital technologies and matching its plans with consumer trends, the enterprise can get competitive advantage and sustained success.</w:t>
      </w:r>
    </w:p>
    <w:p w:rsidR="00024C08" w:rsidRDefault="00A10D32" w:rsidP="00A10D32">
      <w:pPr>
        <w:pStyle w:val="Heading2"/>
      </w:pPr>
      <w:bookmarkStart w:id="5" w:name="_Toc226629649"/>
      <w:r w:rsidRPr="00A10D32">
        <w:t>Element 4: Legal, Management, and Financial Planning</w:t>
      </w:r>
      <w:bookmarkEnd w:id="5"/>
    </w:p>
    <w:p w:rsidR="00A10D32" w:rsidRPr="00A10D32" w:rsidRDefault="00A10D32" w:rsidP="00A10D32">
      <w:pPr>
        <w:rPr>
          <w:u w:val="single"/>
        </w:rPr>
      </w:pPr>
      <w:r w:rsidRPr="00A10D32">
        <w:rPr>
          <w:u w:val="single"/>
        </w:rPr>
        <w:t xml:space="preserve">Definitions </w:t>
      </w:r>
    </w:p>
    <w:p w:rsidR="00A10D32" w:rsidRDefault="00A10D32" w:rsidP="00A10D32">
      <w:r>
        <w:t>Businesses in the UK may function under a variety of legal frameworks, each having unique traits and ramifications. A sole trader is an individual who independently owns and operates a firm, maintaining complete authority over decision-making and earnings, while simultaneously assuming unlimited culpability for any debts accrued (Burns, 2020). A partnership consists of two or more individuals who jointly possess ownership, obligations, and profits, with responsibility generally distributed among the partners.</w:t>
      </w:r>
    </w:p>
    <w:p w:rsidR="00A10D32" w:rsidRDefault="00A10D32" w:rsidP="00A10D32">
      <w:r>
        <w:t xml:space="preserve">Shareholders of a limited company (Ltd.) have limited liability and are only liable for debts up to their investment because the company is a distinct legal entity from its owners. This framework offers fiscal security and bolsters corporate credibility. A franchise is a business concept in which an individual operates under a recognised </w:t>
      </w:r>
      <w:r>
        <w:lastRenderedPageBreak/>
        <w:t>brand, compensating the brand owner with fees or royalties for utilising its systems and reputation.</w:t>
      </w:r>
    </w:p>
    <w:p w:rsidR="00024C08" w:rsidRDefault="00A10D32" w:rsidP="00A10D32">
      <w:r>
        <w:t>An online business operates mostly on digital platforms, which allows for a larger market reach and cheaper physical infrastructure. A social firm pursues both commercial and social goals, reinvesting profits to provide social or environmental benefits instead of prioritising shareholder returns (Ridley-Duff &amp; Bull, 2019).</w:t>
      </w:r>
    </w:p>
    <w:p w:rsidR="00A10D32" w:rsidRPr="00A10D32" w:rsidRDefault="00A10D32" w:rsidP="00A10D32">
      <w:pPr>
        <w:rPr>
          <w:u w:val="single"/>
        </w:rPr>
      </w:pPr>
      <w:r w:rsidRPr="00A10D32">
        <w:rPr>
          <w:u w:val="single"/>
        </w:rPr>
        <w:t>Justification of Legal Structure</w:t>
      </w:r>
    </w:p>
    <w:p w:rsidR="00A10D32" w:rsidRDefault="00A10D32" w:rsidP="00A10D32">
      <w:r>
        <w:t>Due to the substantial benefits this structure provides for a technology-driven and scalable business model, SmartFuel Vending Ltd. will operate as a private limited company (Ltd.). Primarily, limited liability safeguards the personal assets of the founders, which is crucial due to the financial risks linked to investments in vending machines, technological systems, and inventories.</w:t>
      </w:r>
    </w:p>
    <w:p w:rsidR="00A10D32" w:rsidRDefault="00A10D32" w:rsidP="00A10D32">
      <w:r>
        <w:t>Second, establishing collaborations with corporate clients, academic institutions, and real estate owners requires credibility and trust, both of which are improved by the Ltd. structure. A structured legal framework emphasises professionalism and dependability, hence facilitating corporate contracts.</w:t>
      </w:r>
    </w:p>
    <w:p w:rsidR="00A10D32" w:rsidRDefault="00A10D32" w:rsidP="00A10D32">
      <w:r>
        <w:t>Additionally, using a limited corporation makes it simpler to obtain outside finance, such as bank loans and equity investments. SmartFuel Vending's expansion through the installation of numerous vending devices at diverse places necessitates essential access to funds for growth. Despite the increased administrative duties, including financial reporting and regulatory compliance, the advantages in scalability and risk management surpass these problems (Burns, 2020).</w:t>
      </w:r>
    </w:p>
    <w:p w:rsidR="00A10D32" w:rsidRPr="00A10D32" w:rsidRDefault="00A10D32" w:rsidP="00A10D32">
      <w:pPr>
        <w:rPr>
          <w:u w:val="single"/>
        </w:rPr>
      </w:pPr>
      <w:r w:rsidRPr="00A10D32">
        <w:rPr>
          <w:u w:val="single"/>
        </w:rPr>
        <w:t>The Organisational Structure</w:t>
      </w:r>
    </w:p>
    <w:p w:rsidR="00A10D32" w:rsidRDefault="00A10D32" w:rsidP="00A10D32">
      <w:r>
        <w:t>A functional organisational structure will be adopted by SmartFuel Vending, guaranteeing distinct functions and effective administration.</w:t>
      </w:r>
    </w:p>
    <w:p w:rsidR="00A10D32" w:rsidRDefault="00A10D32" w:rsidP="00A10D32">
      <w:r>
        <w:t>The Chief Executive Officer (CEO), who is in charge of company development, strategic direction, and decision-making, sits at the top of the hierarchy. The Operations Manager, who reports to the CEO, supervises supply chain management, machinery maintenance, and logistics.</w:t>
      </w:r>
    </w:p>
    <w:p w:rsidR="00A10D32" w:rsidRDefault="00A10D32" w:rsidP="00A10D32">
      <w:r>
        <w:lastRenderedPageBreak/>
        <w:t>The Marketing Manager oversees digital marketing, brand development, and consumer engagement, whereas the Finance Manager manages budgeting, financial planning, and performance analysis. A Technology Manager is crucial due to the dependence on smart vending systems and mobile applications, overseeing system functionality and data security.</w:t>
      </w:r>
    </w:p>
    <w:p w:rsidR="00A10D32" w:rsidRDefault="00A10D32" w:rsidP="00A10D32">
      <w:r>
        <w:t>Operational positions encompass technicians, delivery persons, and support staff, tasked with replenishing machinery and ensuring operational efficiency. This framework facilitates scalability while maintaining accountability across various business processes.</w:t>
      </w:r>
    </w:p>
    <w:p w:rsidR="00A10D32" w:rsidRPr="00A10D32" w:rsidRDefault="00A10D32" w:rsidP="00A10D32">
      <w:pPr>
        <w:rPr>
          <w:u w:val="single"/>
        </w:rPr>
      </w:pPr>
      <w:r w:rsidRPr="00A10D32">
        <w:rPr>
          <w:u w:val="single"/>
        </w:rPr>
        <w:t>Fiscal Strategy and Capital Sources</w:t>
      </w:r>
    </w:p>
    <w:p w:rsidR="00A10D32" w:rsidRDefault="00A10D32" w:rsidP="00A10D32">
      <w:r>
        <w:t>The projected initial investment for SmartFuel Vending ranges from £180,000 to £250,000, indicative of the capital-intensive characteristics of the enterprise. Significant expenditures encompass the acquisition and installation of smart vending machines, technological development (mobile application and payment systems), initial inventory, logistics, marketing, and operational capital.</w:t>
      </w:r>
    </w:p>
    <w:p w:rsidR="00A10D32" w:rsidRDefault="00A10D32" w:rsidP="00A10D32">
      <w:r>
        <w:t>A combination of funding sources will be employed to finance these requirements. Personal investment supplies initial funding and signifies dedication to prospective investors. Bank loans provide organised finance but have repayment responsibilities and interest expenses.</w:t>
      </w:r>
    </w:p>
    <w:p w:rsidR="00A10D32" w:rsidRDefault="00A10D32" w:rsidP="00A10D32">
      <w:r>
        <w:t>The enterprise may pursue financing from angel investors or venture capitalists, especially due to the creative and scalable characteristics of its business strategy. These investors can offer both monetary assistance and strategic counsel.</w:t>
      </w:r>
    </w:p>
    <w:p w:rsidR="00A10D32" w:rsidRDefault="00A10D32" w:rsidP="00A10D32">
      <w:r>
        <w:t>Government subsidies and small company assistance programs may be accessible, especially for enterprises that advocate health and sustainability. Crowdfunding platforms can effectively generate finance while concurrently enhancing brand exposure and proving market demand.</w:t>
      </w:r>
    </w:p>
    <w:p w:rsidR="00024C08" w:rsidRDefault="00A10D32" w:rsidP="0024038F">
      <w:r>
        <w:t>A diverse funding strategy mitigates financial risk and improves the organization's capacity for sustainable growth and expansion (Hisrich &amp; Peters, 2002).</w:t>
      </w:r>
    </w:p>
    <w:p w:rsidR="00A10D32" w:rsidRPr="0024038F" w:rsidRDefault="00A10D32" w:rsidP="0024038F"/>
    <w:p w:rsidR="00B81485" w:rsidRPr="00565D25" w:rsidRDefault="00B81485" w:rsidP="00565D25"/>
    <w:p w:rsidR="00D81ACA" w:rsidRDefault="00B03F1D" w:rsidP="005D33DD">
      <w:pPr>
        <w:pStyle w:val="Heading1"/>
      </w:pPr>
      <w:bookmarkStart w:id="6" w:name="_Toc226629650"/>
      <w:r>
        <w:lastRenderedPageBreak/>
        <w:t>References</w:t>
      </w:r>
      <w:bookmarkEnd w:id="6"/>
    </w:p>
    <w:p w:rsidR="00D81ACA" w:rsidRDefault="00D81ACA" w:rsidP="00024C08">
      <w:r w:rsidRPr="00D81ACA">
        <w:rPr>
          <w:noProof/>
          <w:lang w:val="en-GB"/>
        </w:rPr>
        <w:drawing>
          <wp:inline distT="0" distB="0" distL="0" distR="0" wp14:anchorId="05E8E37F" wp14:editId="7C495068">
            <wp:extent cx="5731510" cy="60121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012180"/>
                    </a:xfrm>
                    <a:prstGeom prst="rect">
                      <a:avLst/>
                    </a:prstGeom>
                  </pic:spPr>
                </pic:pic>
              </a:graphicData>
            </a:graphic>
          </wp:inline>
        </w:drawing>
      </w:r>
      <w:r w:rsidRPr="00D81ACA">
        <w:t xml:space="preserve"> </w:t>
      </w:r>
    </w:p>
    <w:p w:rsidR="00D81ACA" w:rsidRDefault="00D81ACA" w:rsidP="00024C08"/>
    <w:p w:rsidR="00D81ACA" w:rsidRDefault="00D81ACA" w:rsidP="00024C08"/>
    <w:p w:rsidR="00D81ACA" w:rsidRDefault="00D81ACA" w:rsidP="00024C08"/>
    <w:p w:rsidR="00D81ACA" w:rsidRDefault="00D81ACA" w:rsidP="00024C08"/>
    <w:p w:rsidR="00D81ACA" w:rsidRDefault="00D81ACA" w:rsidP="00024C08"/>
    <w:p w:rsidR="00D81ACA" w:rsidRDefault="00D81ACA" w:rsidP="00024C08">
      <w:r w:rsidRPr="00D81ACA">
        <w:rPr>
          <w:noProof/>
          <w:lang w:val="en-GB"/>
        </w:rPr>
        <w:lastRenderedPageBreak/>
        <w:drawing>
          <wp:inline distT="0" distB="0" distL="0" distR="0" wp14:anchorId="19A26D7B" wp14:editId="11F7A1B1">
            <wp:extent cx="5731510" cy="36087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08705"/>
                    </a:xfrm>
                    <a:prstGeom prst="rect">
                      <a:avLst/>
                    </a:prstGeom>
                  </pic:spPr>
                </pic:pic>
              </a:graphicData>
            </a:graphic>
          </wp:inline>
        </w:drawing>
      </w:r>
    </w:p>
    <w:p w:rsidR="00D81ACA" w:rsidRDefault="00D81ACA" w:rsidP="00024C08"/>
    <w:p w:rsidR="00D81ACA" w:rsidRDefault="00D81ACA" w:rsidP="00024C08"/>
    <w:p w:rsidR="00D81ACA" w:rsidRDefault="00D81ACA" w:rsidP="00024C08"/>
    <w:p w:rsidR="001C4EFC" w:rsidRPr="00D40831" w:rsidRDefault="001C4EFC" w:rsidP="00D40831">
      <w:pPr>
        <w:rPr>
          <w:rFonts w:cs="Arial"/>
        </w:rPr>
      </w:pPr>
    </w:p>
    <w:p w:rsidR="002464E5" w:rsidRPr="002464E5" w:rsidRDefault="002464E5" w:rsidP="002464E5">
      <w:pPr>
        <w:jc w:val="center"/>
        <w:rPr>
          <w:rFonts w:cs="Arial"/>
          <w:sz w:val="28"/>
          <w:lang w:val="en-GB"/>
        </w:rPr>
      </w:pPr>
    </w:p>
    <w:sectPr w:rsidR="002464E5" w:rsidRPr="002464E5" w:rsidSect="00522ACE">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503B" w:rsidRDefault="001F503B" w:rsidP="00951221">
      <w:pPr>
        <w:spacing w:after="0" w:line="240" w:lineRule="auto"/>
      </w:pPr>
      <w:r>
        <w:separator/>
      </w:r>
    </w:p>
  </w:endnote>
  <w:endnote w:type="continuationSeparator" w:id="0">
    <w:p w:rsidR="001F503B" w:rsidRDefault="001F503B"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368462"/>
      <w:docPartObj>
        <w:docPartGallery w:val="Page Numbers (Bottom of Page)"/>
        <w:docPartUnique/>
      </w:docPartObj>
    </w:sdtPr>
    <w:sdtEndPr>
      <w:rPr>
        <w:noProof/>
      </w:rPr>
    </w:sdtEndPr>
    <w:sdtContent>
      <w:p w:rsidR="00421660" w:rsidRDefault="00421660">
        <w:pPr>
          <w:pStyle w:val="Footer"/>
          <w:jc w:val="center"/>
        </w:pPr>
        <w:r>
          <w:fldChar w:fldCharType="begin"/>
        </w:r>
        <w:r>
          <w:instrText xml:space="preserve"> PAGE   \* MERGEFORMAT </w:instrText>
        </w:r>
        <w:r>
          <w:fldChar w:fldCharType="separate"/>
        </w:r>
        <w:r w:rsidR="008E768F">
          <w:rPr>
            <w:noProof/>
          </w:rPr>
          <w:t>17</w:t>
        </w:r>
        <w:r>
          <w:rPr>
            <w:noProof/>
          </w:rPr>
          <w:fldChar w:fldCharType="end"/>
        </w:r>
      </w:p>
    </w:sdtContent>
  </w:sdt>
  <w:p w:rsidR="00951221" w:rsidRDefault="00421660" w:rsidP="00421660">
    <w:pPr>
      <w:pStyle w:val="Footer"/>
      <w:tabs>
        <w:tab w:val="clear" w:pos="4513"/>
        <w:tab w:val="clear" w:pos="9026"/>
        <w:tab w:val="left" w:pos="5004"/>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664944"/>
      <w:docPartObj>
        <w:docPartGallery w:val="Page Numbers (Bottom of Page)"/>
        <w:docPartUnique/>
      </w:docPartObj>
    </w:sdtPr>
    <w:sdtEndPr>
      <w:rPr>
        <w:noProof/>
      </w:rPr>
    </w:sdtEndPr>
    <w:sdtContent>
      <w:p w:rsidR="00522ACE" w:rsidRDefault="00522ACE">
        <w:pPr>
          <w:pStyle w:val="Footer"/>
          <w:jc w:val="center"/>
        </w:pPr>
        <w:r>
          <w:fldChar w:fldCharType="begin"/>
        </w:r>
        <w:r>
          <w:instrText xml:space="preserve"> PAGE   \* MERGEFORMAT </w:instrText>
        </w:r>
        <w:r>
          <w:fldChar w:fldCharType="separate"/>
        </w:r>
        <w:r w:rsidR="008E768F">
          <w:rPr>
            <w:noProof/>
          </w:rPr>
          <w:t>1</w:t>
        </w:r>
        <w:r>
          <w:rPr>
            <w:noProof/>
          </w:rPr>
          <w:fldChar w:fldCharType="end"/>
        </w:r>
      </w:p>
    </w:sdtContent>
  </w:sdt>
  <w:p w:rsidR="00522ACE" w:rsidRDefault="00522A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503B" w:rsidRDefault="001F503B" w:rsidP="00951221">
      <w:pPr>
        <w:spacing w:after="0" w:line="240" w:lineRule="auto"/>
      </w:pPr>
      <w:r>
        <w:separator/>
      </w:r>
    </w:p>
  </w:footnote>
  <w:footnote w:type="continuationSeparator" w:id="0">
    <w:p w:rsidR="001F503B" w:rsidRDefault="001F503B" w:rsidP="009512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1757060"/>
      <w:docPartObj>
        <w:docPartGallery w:val="Page Numbers (Top of Page)"/>
        <w:docPartUnique/>
      </w:docPartObj>
    </w:sdtPr>
    <w:sdtEndPr>
      <w:rPr>
        <w:noProof/>
      </w:rPr>
    </w:sdtEndPr>
    <w:sdtContent>
      <w:p w:rsidR="00421660" w:rsidRDefault="00421660">
        <w:pPr>
          <w:pStyle w:val="Header"/>
          <w:jc w:val="center"/>
        </w:pPr>
        <w:r>
          <w:fldChar w:fldCharType="begin"/>
        </w:r>
        <w:r>
          <w:instrText xml:space="preserve"> PAGE   \* MERGEFORMAT </w:instrText>
        </w:r>
        <w:r>
          <w:fldChar w:fldCharType="separate"/>
        </w:r>
        <w:r w:rsidR="008E768F">
          <w:rPr>
            <w:noProof/>
          </w:rPr>
          <w:t>1</w:t>
        </w:r>
        <w:r>
          <w:rPr>
            <w:noProof/>
          </w:rPr>
          <w:fldChar w:fldCharType="end"/>
        </w:r>
      </w:p>
    </w:sdtContent>
  </w:sdt>
  <w:p w:rsidR="00421660" w:rsidRDefault="0042166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2240A"/>
    <w:rsid w:val="00024C08"/>
    <w:rsid w:val="000477CB"/>
    <w:rsid w:val="00062CD0"/>
    <w:rsid w:val="000E7C13"/>
    <w:rsid w:val="00145270"/>
    <w:rsid w:val="00160DDA"/>
    <w:rsid w:val="001B2CD5"/>
    <w:rsid w:val="001C24A7"/>
    <w:rsid w:val="001C4EFC"/>
    <w:rsid w:val="001F503B"/>
    <w:rsid w:val="0024038F"/>
    <w:rsid w:val="00244F5A"/>
    <w:rsid w:val="002464E5"/>
    <w:rsid w:val="002A67BE"/>
    <w:rsid w:val="002D60C8"/>
    <w:rsid w:val="003145E4"/>
    <w:rsid w:val="00326B1C"/>
    <w:rsid w:val="003430C1"/>
    <w:rsid w:val="00381BE6"/>
    <w:rsid w:val="00404E8D"/>
    <w:rsid w:val="00421660"/>
    <w:rsid w:val="00423FE7"/>
    <w:rsid w:val="004636C3"/>
    <w:rsid w:val="004700BA"/>
    <w:rsid w:val="00480B6B"/>
    <w:rsid w:val="00487460"/>
    <w:rsid w:val="0049466D"/>
    <w:rsid w:val="004C2CA6"/>
    <w:rsid w:val="004C42A2"/>
    <w:rsid w:val="00522ACE"/>
    <w:rsid w:val="00550DB0"/>
    <w:rsid w:val="00555062"/>
    <w:rsid w:val="00565D25"/>
    <w:rsid w:val="00574016"/>
    <w:rsid w:val="005D33DD"/>
    <w:rsid w:val="0063027B"/>
    <w:rsid w:val="00650862"/>
    <w:rsid w:val="00705EA9"/>
    <w:rsid w:val="00717C4C"/>
    <w:rsid w:val="0076028A"/>
    <w:rsid w:val="00760641"/>
    <w:rsid w:val="00785647"/>
    <w:rsid w:val="00785C37"/>
    <w:rsid w:val="007B2711"/>
    <w:rsid w:val="007C20B9"/>
    <w:rsid w:val="007E14E7"/>
    <w:rsid w:val="007F0A12"/>
    <w:rsid w:val="008306E5"/>
    <w:rsid w:val="00840196"/>
    <w:rsid w:val="008830D2"/>
    <w:rsid w:val="008E768F"/>
    <w:rsid w:val="008F6D95"/>
    <w:rsid w:val="00934E4A"/>
    <w:rsid w:val="009360D1"/>
    <w:rsid w:val="00951221"/>
    <w:rsid w:val="00964AD2"/>
    <w:rsid w:val="00970547"/>
    <w:rsid w:val="00975775"/>
    <w:rsid w:val="00981D21"/>
    <w:rsid w:val="00987119"/>
    <w:rsid w:val="00992936"/>
    <w:rsid w:val="009960BE"/>
    <w:rsid w:val="009A08BD"/>
    <w:rsid w:val="009A33CF"/>
    <w:rsid w:val="009C122D"/>
    <w:rsid w:val="009C7602"/>
    <w:rsid w:val="00A030CE"/>
    <w:rsid w:val="00A10D32"/>
    <w:rsid w:val="00A90454"/>
    <w:rsid w:val="00AB7ED8"/>
    <w:rsid w:val="00AD77F6"/>
    <w:rsid w:val="00B03F1D"/>
    <w:rsid w:val="00B10B87"/>
    <w:rsid w:val="00B76E01"/>
    <w:rsid w:val="00B80913"/>
    <w:rsid w:val="00B81485"/>
    <w:rsid w:val="00BB368E"/>
    <w:rsid w:val="00BE00C3"/>
    <w:rsid w:val="00BE0821"/>
    <w:rsid w:val="00C04E83"/>
    <w:rsid w:val="00C17A50"/>
    <w:rsid w:val="00C62F9F"/>
    <w:rsid w:val="00C73249"/>
    <w:rsid w:val="00CB7299"/>
    <w:rsid w:val="00CC7DAB"/>
    <w:rsid w:val="00CD3945"/>
    <w:rsid w:val="00CE1888"/>
    <w:rsid w:val="00CF2F99"/>
    <w:rsid w:val="00D40831"/>
    <w:rsid w:val="00D434A8"/>
    <w:rsid w:val="00D605FA"/>
    <w:rsid w:val="00D70DCD"/>
    <w:rsid w:val="00D81ACA"/>
    <w:rsid w:val="00DD26F6"/>
    <w:rsid w:val="00DF7C02"/>
    <w:rsid w:val="00E4000B"/>
    <w:rsid w:val="00E432A7"/>
    <w:rsid w:val="00E67CF3"/>
    <w:rsid w:val="00E9238B"/>
    <w:rsid w:val="00E951C7"/>
    <w:rsid w:val="00EF63C8"/>
    <w:rsid w:val="00F010AB"/>
    <w:rsid w:val="00F13B5A"/>
    <w:rsid w:val="00F1622D"/>
    <w:rsid w:val="00F33870"/>
    <w:rsid w:val="00F33CBF"/>
    <w:rsid w:val="00F549A3"/>
    <w:rsid w:val="00FC1605"/>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24A7"/>
    <w:pPr>
      <w:spacing w:line="360" w:lineRule="auto"/>
      <w:jc w:val="both"/>
    </w:pPr>
    <w:rPr>
      <w:rFonts w:ascii="Arial" w:hAnsi="Arial"/>
      <w:sz w:val="24"/>
    </w:rPr>
  </w:style>
  <w:style w:type="paragraph" w:styleId="Heading1">
    <w:name w:val="heading 1"/>
    <w:basedOn w:val="Normal"/>
    <w:next w:val="Normal"/>
    <w:link w:val="Heading1Char"/>
    <w:uiPriority w:val="9"/>
    <w:qFormat/>
    <w:rsid w:val="00C04E83"/>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C04E83"/>
    <w:pPr>
      <w:keepNext/>
      <w:keepLines/>
      <w:spacing w:before="40" w:after="0"/>
      <w:outlineLvl w:val="1"/>
    </w:pPr>
    <w:rPr>
      <w:rFonts w:eastAsiaTheme="majorEastAsia" w:cstheme="majorBidi"/>
      <w:b/>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83"/>
    <w:rPr>
      <w:rFonts w:ascii="Arial" w:eastAsiaTheme="majorEastAsia" w:hAnsi="Arial" w:cstheme="majorBidi"/>
      <w:b/>
      <w:color w:val="1F4E79" w:themeColor="accent1" w:themeShade="80"/>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C04E83"/>
    <w:rPr>
      <w:rFonts w:ascii="Arial" w:eastAsiaTheme="majorEastAsia" w:hAnsi="Arial" w:cstheme="majorBidi"/>
      <w:b/>
      <w:color w:val="1F4E79" w:themeColor="accent1" w:themeShade="80"/>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17915171">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22495357">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89868363">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72328-EC7D-4A4F-9403-9709ACD79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17</Pages>
  <Words>4041</Words>
  <Characters>23039</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97</cp:revision>
  <dcterms:created xsi:type="dcterms:W3CDTF">2024-04-27T08:57:00Z</dcterms:created>
  <dcterms:modified xsi:type="dcterms:W3CDTF">2026-04-09T11:23:00Z</dcterms:modified>
</cp:coreProperties>
</file>