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FD352D" w14:textId="77777777" w:rsidR="00365184" w:rsidRDefault="00365184" w:rsidP="00365184">
      <w:pPr>
        <w:spacing w:line="360" w:lineRule="auto"/>
        <w:jc w:val="center"/>
        <w:rPr>
          <w:sz w:val="28"/>
          <w:szCs w:val="28"/>
        </w:rPr>
      </w:pPr>
      <w:r w:rsidRPr="00F3578E">
        <w:rPr>
          <w:sz w:val="28"/>
          <w:szCs w:val="28"/>
        </w:rPr>
        <w:t>Digital Technology in Health and Social Care</w:t>
      </w:r>
    </w:p>
    <w:p w14:paraId="58EDCF85" w14:textId="77777777" w:rsidR="00365184" w:rsidRDefault="00365184" w:rsidP="00365184">
      <w:pPr>
        <w:spacing w:line="360" w:lineRule="auto"/>
        <w:jc w:val="center"/>
        <w:rPr>
          <w:sz w:val="28"/>
          <w:szCs w:val="28"/>
        </w:rPr>
      </w:pPr>
      <w:r>
        <w:rPr>
          <w:sz w:val="28"/>
          <w:szCs w:val="28"/>
        </w:rPr>
        <w:t>BMDS7006</w:t>
      </w:r>
    </w:p>
    <w:p w14:paraId="363F08CB" w14:textId="0FB96B7F" w:rsidR="00365184" w:rsidRDefault="00365184" w:rsidP="00365184">
      <w:pPr>
        <w:spacing w:line="360" w:lineRule="auto"/>
        <w:jc w:val="center"/>
        <w:rPr>
          <w:sz w:val="28"/>
          <w:szCs w:val="28"/>
        </w:rPr>
      </w:pPr>
      <w:r w:rsidRPr="00F3578E">
        <w:rPr>
          <w:sz w:val="28"/>
          <w:szCs w:val="28"/>
        </w:rPr>
        <w:t>Programme</w:t>
      </w:r>
      <w:r w:rsidR="00F3578E" w:rsidRPr="00F3578E">
        <w:rPr>
          <w:sz w:val="28"/>
          <w:szCs w:val="28"/>
        </w:rPr>
        <w:t xml:space="preserve"> Improvement Project</w:t>
      </w:r>
    </w:p>
    <w:p w14:paraId="2B4127AB" w14:textId="77777777" w:rsidR="00365184" w:rsidRDefault="00365184" w:rsidP="00365184">
      <w:pPr>
        <w:spacing w:line="360" w:lineRule="auto"/>
        <w:jc w:val="center"/>
        <w:rPr>
          <w:sz w:val="28"/>
          <w:szCs w:val="28"/>
        </w:rPr>
      </w:pPr>
    </w:p>
    <w:p w14:paraId="7D9B8F61" w14:textId="77777777" w:rsidR="00365184" w:rsidRDefault="00365184" w:rsidP="00365184">
      <w:pPr>
        <w:spacing w:line="360" w:lineRule="auto"/>
        <w:jc w:val="center"/>
        <w:rPr>
          <w:sz w:val="28"/>
          <w:szCs w:val="28"/>
        </w:rPr>
      </w:pPr>
      <w:r>
        <w:rPr>
          <w:sz w:val="28"/>
          <w:szCs w:val="28"/>
        </w:rPr>
        <w:t>Anonymous</w:t>
      </w:r>
    </w:p>
    <w:p w14:paraId="53D86849" w14:textId="77777777" w:rsidR="00365184" w:rsidRDefault="00365184" w:rsidP="00365184">
      <w:pPr>
        <w:spacing w:line="360" w:lineRule="auto"/>
        <w:jc w:val="center"/>
        <w:rPr>
          <w:sz w:val="28"/>
          <w:szCs w:val="28"/>
        </w:rPr>
      </w:pPr>
      <w:r>
        <w:rPr>
          <w:sz w:val="28"/>
          <w:szCs w:val="28"/>
        </w:rPr>
        <w:t>2215316</w:t>
      </w:r>
    </w:p>
    <w:p w14:paraId="30258FAA" w14:textId="77777777" w:rsidR="00365184" w:rsidRDefault="00365184" w:rsidP="00365184">
      <w:pPr>
        <w:spacing w:line="360" w:lineRule="auto"/>
        <w:jc w:val="center"/>
        <w:rPr>
          <w:sz w:val="28"/>
          <w:szCs w:val="28"/>
        </w:rPr>
      </w:pPr>
    </w:p>
    <w:p w14:paraId="2C0529C0" w14:textId="544DA547" w:rsidR="00365184" w:rsidRDefault="00365184" w:rsidP="00365184">
      <w:pPr>
        <w:spacing w:line="360" w:lineRule="auto"/>
        <w:jc w:val="center"/>
        <w:rPr>
          <w:sz w:val="28"/>
          <w:szCs w:val="28"/>
        </w:rPr>
      </w:pPr>
      <w:r>
        <w:rPr>
          <w:sz w:val="28"/>
          <w:szCs w:val="28"/>
        </w:rPr>
        <w:t>28</w:t>
      </w:r>
      <w:r w:rsidRPr="00365184">
        <w:rPr>
          <w:sz w:val="28"/>
          <w:szCs w:val="28"/>
          <w:vertAlign w:val="superscript"/>
        </w:rPr>
        <w:t>th</w:t>
      </w:r>
      <w:r>
        <w:rPr>
          <w:sz w:val="28"/>
          <w:szCs w:val="28"/>
        </w:rPr>
        <w:t xml:space="preserve"> February 2023</w:t>
      </w:r>
    </w:p>
    <w:p w14:paraId="5D1F7F0B" w14:textId="77777777" w:rsidR="00365184" w:rsidRDefault="00365184" w:rsidP="00365184">
      <w:pPr>
        <w:spacing w:line="360" w:lineRule="auto"/>
        <w:rPr>
          <w:b/>
          <w:u w:val="single"/>
        </w:rPr>
      </w:pPr>
    </w:p>
    <w:p w14:paraId="1C59B01A" w14:textId="5E973852" w:rsidR="00365184" w:rsidRDefault="00365184" w:rsidP="00365184">
      <w:pPr>
        <w:spacing w:line="360" w:lineRule="auto"/>
        <w:jc w:val="center"/>
        <w:rPr>
          <w:sz w:val="28"/>
          <w:szCs w:val="28"/>
        </w:rPr>
      </w:pPr>
      <w:r>
        <w:rPr>
          <w:sz w:val="28"/>
          <w:szCs w:val="28"/>
        </w:rPr>
        <w:t>500</w:t>
      </w:r>
      <w:r w:rsidR="00CF0687">
        <w:rPr>
          <w:sz w:val="28"/>
          <w:szCs w:val="28"/>
        </w:rPr>
        <w:t>5</w:t>
      </w:r>
      <w:r>
        <w:rPr>
          <w:sz w:val="28"/>
          <w:szCs w:val="28"/>
        </w:rPr>
        <w:t xml:space="preserve"> words</w:t>
      </w:r>
    </w:p>
    <w:p w14:paraId="33DD694D" w14:textId="77777777" w:rsidR="00365184" w:rsidRDefault="00365184" w:rsidP="00365184">
      <w:pPr>
        <w:spacing w:line="360" w:lineRule="auto"/>
        <w:rPr>
          <w:rFonts w:cstheme="minorHAnsi"/>
          <w:b/>
          <w:u w:val="single"/>
        </w:rPr>
      </w:pPr>
      <w:r w:rsidRPr="00195801">
        <w:rPr>
          <w:rFonts w:cstheme="minorHAnsi"/>
          <w:b/>
          <w:u w:val="single"/>
        </w:rPr>
        <w:t xml:space="preserve"> </w:t>
      </w:r>
    </w:p>
    <w:p w14:paraId="14BAEBE8" w14:textId="77777777" w:rsidR="00365184" w:rsidRDefault="00365184">
      <w:pPr>
        <w:rPr>
          <w:rFonts w:cstheme="minorHAnsi"/>
          <w:b/>
          <w:u w:val="single"/>
        </w:rPr>
      </w:pPr>
      <w:r>
        <w:rPr>
          <w:rFonts w:cstheme="minorHAnsi"/>
          <w:b/>
          <w:u w:val="single"/>
        </w:rPr>
        <w:br w:type="page"/>
      </w:r>
    </w:p>
    <w:p w14:paraId="754DB475" w14:textId="501D7268" w:rsidR="00780260" w:rsidRPr="00C9025B" w:rsidRDefault="00780260" w:rsidP="00365184">
      <w:pPr>
        <w:spacing w:line="360" w:lineRule="auto"/>
        <w:rPr>
          <w:rFonts w:cstheme="minorHAnsi"/>
          <w:b/>
        </w:rPr>
      </w:pPr>
      <w:r w:rsidRPr="00C9025B">
        <w:rPr>
          <w:rFonts w:cstheme="minorHAnsi"/>
          <w:b/>
        </w:rPr>
        <w:lastRenderedPageBreak/>
        <w:t>Introduction</w:t>
      </w:r>
    </w:p>
    <w:p w14:paraId="4110EA15" w14:textId="77777777" w:rsidR="00780260" w:rsidRPr="00C304EC" w:rsidRDefault="00780260" w:rsidP="00780260">
      <w:pPr>
        <w:spacing w:line="360" w:lineRule="auto"/>
        <w:rPr>
          <w:rFonts w:cstheme="minorHAnsi"/>
        </w:rPr>
      </w:pPr>
      <w:r w:rsidRPr="006063AD">
        <w:rPr>
          <w:rFonts w:cstheme="minorHAnsi"/>
        </w:rPr>
        <w:t xml:space="preserve">Betsi Cadwaladr University Health Board is the health board serving North Wales. </w:t>
      </w:r>
      <w:r w:rsidRPr="006063AD">
        <w:rPr>
          <w:rFonts w:cstheme="minorHAnsi"/>
          <w:sz w:val="21"/>
          <w:szCs w:val="21"/>
          <w:shd w:val="clear" w:color="auto" w:fill="FFFFFF"/>
        </w:rPr>
        <w:t>It is the largest health organisation in Wales</w:t>
      </w:r>
      <w:r w:rsidRPr="006063AD">
        <w:rPr>
          <w:rFonts w:cstheme="minorHAnsi"/>
        </w:rPr>
        <w:t xml:space="preserve"> – covering approximately 6,500 square kilometres and serving a population in the order of 700,000. This essay will consider one medical specialty – palliative care – within the l</w:t>
      </w:r>
      <w:r w:rsidRPr="00C304EC">
        <w:rPr>
          <w:rFonts w:cstheme="minorHAnsi"/>
        </w:rPr>
        <w:t>arger organisation. Within the Specialist Palliative Care department there are three teams, aligned with the 3 principle District General Hospitals, to support these potential individuals. These teams support individuals in hospital, in hospices and in the community.</w:t>
      </w:r>
    </w:p>
    <w:p w14:paraId="40F111F4" w14:textId="3874D770" w:rsidR="00780260" w:rsidRDefault="00780260" w:rsidP="00780260">
      <w:pPr>
        <w:spacing w:line="360" w:lineRule="auto"/>
        <w:rPr>
          <w:rFonts w:cstheme="minorHAnsi"/>
        </w:rPr>
      </w:pPr>
      <w:r w:rsidRPr="00C304EC">
        <w:rPr>
          <w:rFonts w:cstheme="minorHAnsi"/>
        </w:rPr>
        <w:t>The software project I will consider has been adopted by the Specialist Palliative Care Team (SPCT) based in Bodelwyddan (Rhyl, see star on map) in the “central area”. It aims to improve the support available, and the timeliness with which that support can be offered, from team members regarding those already known to us. The community we serve covers the counties of Denbighshire and Conwy, from the coast to the foothills of Snowdonia - an area of about 2,000 square kilometres with its population of over 200,000.</w:t>
      </w:r>
    </w:p>
    <w:p w14:paraId="7579C40B" w14:textId="77777777" w:rsidR="00CF0687" w:rsidRPr="00C304EC" w:rsidRDefault="00CF0687" w:rsidP="00780260">
      <w:pPr>
        <w:spacing w:line="360" w:lineRule="auto"/>
        <w:rPr>
          <w:rFonts w:cstheme="minorHAnsi"/>
        </w:rPr>
      </w:pPr>
    </w:p>
    <w:p w14:paraId="7B4A8DD0" w14:textId="77777777" w:rsidR="00780260" w:rsidRPr="00C304EC" w:rsidRDefault="00780260" w:rsidP="00780260">
      <w:pPr>
        <w:spacing w:after="0" w:line="360" w:lineRule="auto"/>
        <w:jc w:val="center"/>
        <w:rPr>
          <w:rFonts w:cstheme="minorHAnsi"/>
        </w:rPr>
      </w:pPr>
      <w:r w:rsidRPr="00C304EC">
        <w:rPr>
          <w:rFonts w:cstheme="minorHAnsi"/>
          <w:noProof/>
          <w:lang w:eastAsia="en-GB"/>
        </w:rPr>
        <w:lastRenderedPageBreak/>
        <mc:AlternateContent>
          <mc:Choice Requires="wps">
            <w:drawing>
              <wp:anchor distT="0" distB="0" distL="114300" distR="114300" simplePos="0" relativeHeight="251659264" behindDoc="0" locked="0" layoutInCell="1" allowOverlap="1" wp14:anchorId="7186EC8B" wp14:editId="602D7785">
                <wp:simplePos x="0" y="0"/>
                <wp:positionH relativeFrom="column">
                  <wp:posOffset>3067050</wp:posOffset>
                </wp:positionH>
                <wp:positionV relativeFrom="paragraph">
                  <wp:posOffset>477520</wp:posOffset>
                </wp:positionV>
                <wp:extent cx="171450" cy="139700"/>
                <wp:effectExtent l="38100" t="19050" r="38100" b="31750"/>
                <wp:wrapNone/>
                <wp:docPr id="2" name="5-Point Star 2"/>
                <wp:cNvGraphicFramePr/>
                <a:graphic xmlns:a="http://schemas.openxmlformats.org/drawingml/2006/main">
                  <a:graphicData uri="http://schemas.microsoft.com/office/word/2010/wordprocessingShape">
                    <wps:wsp>
                      <wps:cNvSpPr/>
                      <wps:spPr>
                        <a:xfrm>
                          <a:off x="0" y="0"/>
                          <a:ext cx="171450" cy="139700"/>
                        </a:xfrm>
                        <a:prstGeom prst="star5">
                          <a:avLst/>
                        </a:prstGeom>
                        <a:solidFill>
                          <a:srgbClr val="FFFF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522AD2" id="5-Point Star 2" o:spid="_x0000_s1026" style="position:absolute;margin-left:241.5pt;margin-top:37.6pt;width:13.5pt;height:11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171450,13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" path="m,53361r65488,l85725,r20237,53361l171450,53361,118468,86339r20238,53361l85725,106721,32744,139700,52982,86339,,53361xe" fillcolor="yellow" strokecolor="red" strokeweight="1pt">
                <v:stroke joinstyle="miter"/>
                <v:path arrowok="t" o:connecttype="custom" o:connectlocs="0,53361;65488,53361;85725,0;105962,53361;171450,53361;118468,86339;138706,139700;85725,106721;32744,139700;52982,86339;0,53361" o:connectangles="0,0,0,0,0,0,0,0,0,0,0"/>
              </v:shape>
            </w:pict>
          </mc:Fallback>
        </mc:AlternateContent>
      </w:r>
      <w:r w:rsidRPr="00C304EC">
        <w:rPr>
          <w:rFonts w:cstheme="minorHAnsi"/>
          <w:noProof/>
          <w:lang w:eastAsia="en-GB"/>
        </w:rPr>
        <w:drawing>
          <wp:inline distT="0" distB="0" distL="0" distR="0" wp14:anchorId="4B4F203A" wp14:editId="35943507">
            <wp:extent cx="2197100" cy="2197100"/>
            <wp:effectExtent l="0" t="0" r="0" b="0"/>
            <wp:docPr id="1" name="Picture 1" descr="A map of Wales showing the area covered by Betsi Cadwaladr health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ap of Wales showing the area covered by Betsi Cadwaladr health boar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97100" cy="2197100"/>
                    </a:xfrm>
                    <a:prstGeom prst="rect">
                      <a:avLst/>
                    </a:prstGeom>
                    <a:noFill/>
                    <a:ln>
                      <a:noFill/>
                    </a:ln>
                  </pic:spPr>
                </pic:pic>
              </a:graphicData>
            </a:graphic>
          </wp:inline>
        </w:drawing>
      </w:r>
    </w:p>
    <w:p w14:paraId="762F4C09" w14:textId="77777777" w:rsidR="00780260" w:rsidRPr="00C304EC" w:rsidRDefault="00780260" w:rsidP="00780260">
      <w:pPr>
        <w:spacing w:line="360" w:lineRule="auto"/>
        <w:rPr>
          <w:rFonts w:cstheme="minorHAnsi"/>
          <w:sz w:val="18"/>
          <w:szCs w:val="18"/>
        </w:rPr>
      </w:pPr>
      <w:r w:rsidRPr="00C304EC">
        <w:rPr>
          <w:rFonts w:cstheme="minorHAnsi"/>
          <w:sz w:val="18"/>
          <w:szCs w:val="18"/>
        </w:rPr>
        <w:t>Figure 1: Betsi Cadwaladr University Health Board</w:t>
      </w:r>
    </w:p>
    <w:p w14:paraId="0F84EFA1" w14:textId="77777777" w:rsidR="00780260" w:rsidRPr="00C304EC" w:rsidRDefault="00780260" w:rsidP="00780260">
      <w:pPr>
        <w:spacing w:line="360" w:lineRule="auto"/>
        <w:rPr>
          <w:rFonts w:cstheme="minorHAnsi"/>
        </w:rPr>
      </w:pPr>
    </w:p>
    <w:p w14:paraId="79E9BECA" w14:textId="77777777" w:rsidR="00780260" w:rsidRPr="00C304EC" w:rsidRDefault="00780260" w:rsidP="00780260">
      <w:pPr>
        <w:spacing w:line="360" w:lineRule="auto"/>
        <w:rPr>
          <w:rFonts w:cstheme="minorHAnsi"/>
        </w:rPr>
      </w:pPr>
      <w:r w:rsidRPr="00C304EC">
        <w:rPr>
          <w:rFonts w:cstheme="minorHAnsi"/>
        </w:rPr>
        <w:t>The backbone of the local community specialist palliative care team is the clinical nurse specialists. There are 8 individuals who fulfil this role within this community area. This aspect of the team (as opposed to the hospital based colleagues who in-reach into the (local) district general hospital, and into the regional North Wales Cancer Treatment Centre) will be the primary “users” within the scope of this project.</w:t>
      </w:r>
    </w:p>
    <w:p w14:paraId="17493A48" w14:textId="77777777" w:rsidR="00780260" w:rsidRPr="00C304EC" w:rsidRDefault="00780260" w:rsidP="00780260">
      <w:pPr>
        <w:spacing w:line="360" w:lineRule="auto"/>
        <w:rPr>
          <w:rFonts w:cstheme="minorHAnsi"/>
        </w:rPr>
      </w:pPr>
      <w:r w:rsidRPr="00C304EC">
        <w:rPr>
          <w:rFonts w:cstheme="minorHAnsi"/>
        </w:rPr>
        <w:t>Each of these community nurses take the lead for some patients regarding the input from specialist palliative care. For the community setting the responsibility and care co-ordina</w:t>
      </w:r>
      <w:r w:rsidRPr="00C304EC">
        <w:rPr>
          <w:rFonts w:cstheme="minorHAnsi"/>
        </w:rPr>
        <w:lastRenderedPageBreak/>
        <w:t>tion remains with the general practitioner and primary care team. The SPCT seek to complement the existing service, adding expertise and guidance where it is needed. The frequency of review is not defined and varies throughout the course of SPCT involvement.</w:t>
      </w:r>
    </w:p>
    <w:p w14:paraId="6F4D8909" w14:textId="77777777" w:rsidR="00780260" w:rsidRPr="00C304EC" w:rsidRDefault="00780260" w:rsidP="00780260">
      <w:pPr>
        <w:spacing w:line="360" w:lineRule="auto"/>
        <w:rPr>
          <w:rFonts w:cstheme="minorHAnsi"/>
        </w:rPr>
      </w:pPr>
      <w:r w:rsidRPr="00C304EC">
        <w:rPr>
          <w:rFonts w:cstheme="minorHAnsi"/>
        </w:rPr>
        <w:t>Caseload management by the nursing team is akin to the virtual wards that the government were expounding earlier this year (NHS England, 2023). This is not so much a radical reformation of service (not across NHS England where the proposal was made, nor for NHS Wales where models also already exist) but a recognition of the existing direction of travel. The challenge being that remote assessments lose the human connection, and holistic components, which are core to the practice of palliative care.</w:t>
      </w:r>
    </w:p>
    <w:p w14:paraId="0C8F16E8" w14:textId="77777777" w:rsidR="00780260" w:rsidRPr="00C304EC" w:rsidRDefault="00780260" w:rsidP="00780260">
      <w:pPr>
        <w:spacing w:line="360" w:lineRule="auto"/>
        <w:rPr>
          <w:rFonts w:cstheme="minorHAnsi"/>
        </w:rPr>
      </w:pPr>
    </w:p>
    <w:p w14:paraId="686E86D7" w14:textId="77777777" w:rsidR="00780260" w:rsidRPr="00C304EC" w:rsidRDefault="00780260" w:rsidP="00780260">
      <w:pPr>
        <w:spacing w:line="360" w:lineRule="auto"/>
        <w:rPr>
          <w:rFonts w:cstheme="minorHAnsi"/>
        </w:rPr>
      </w:pPr>
      <w:r w:rsidRPr="00C304EC">
        <w:rPr>
          <w:rFonts w:cstheme="minorHAnsi"/>
        </w:rPr>
        <w:t xml:space="preserve">Local data demonstrates that there are 170-180 patients being supported by the community team at any one time within the area served. This is a dynamic caseload in that by the nature of our specialty a number of patients who are being supporting do die. There is also a cohort of individuals where it is possible to introduce the team’s role, or signpost to other services (for example hospice day-care services, welfare services or (non-specialist) therapists) and step back from an active role. And there is a further cohort where care can be transferred back to the primary care team after a period of support, assessment and treatment – discharging them from the active caseload (with the understanding that re-referral </w:t>
      </w:r>
      <w:r w:rsidRPr="00C304EC">
        <w:rPr>
          <w:rFonts w:cstheme="minorHAnsi"/>
        </w:rPr>
        <w:lastRenderedPageBreak/>
        <w:t>may be required). The local data also demonstrates that there is a consistent flow of patients through the service. This is approximately 50 individuals each month; that is 50 new individuals being supported, and 50 existing patients leaving the caseload.</w:t>
      </w:r>
    </w:p>
    <w:p w14:paraId="7337C7A9" w14:textId="77777777" w:rsidR="00780260" w:rsidRPr="00C304EC" w:rsidRDefault="00780260" w:rsidP="00780260">
      <w:pPr>
        <w:spacing w:line="360" w:lineRule="auto"/>
        <w:rPr>
          <w:rFonts w:cstheme="minorHAnsi"/>
        </w:rPr>
      </w:pPr>
    </w:p>
    <w:p w14:paraId="3DF38B44" w14:textId="77777777" w:rsidR="00780260" w:rsidRPr="00C304EC" w:rsidRDefault="00780260" w:rsidP="00780260">
      <w:pPr>
        <w:spacing w:line="360" w:lineRule="auto"/>
        <w:rPr>
          <w:rFonts w:cstheme="minorHAnsi"/>
        </w:rPr>
      </w:pPr>
      <w:r w:rsidRPr="00C304EC">
        <w:rPr>
          <w:rFonts w:cstheme="minorHAnsi"/>
        </w:rPr>
        <w:t>This project which was undertaken with the informatics department was to be alerted when these patients known to the team attended hospital. Prompt support of these individuals would provide a better patient experience and a greater efficiency of clinical resource usage. The potential for expediting discharges and transfers, liberating space within the hospital, was also recognised; but was not a primary intent.</w:t>
      </w:r>
    </w:p>
    <w:p w14:paraId="04663016" w14:textId="0DF6AB5A" w:rsidR="00780260" w:rsidRPr="00C304EC" w:rsidRDefault="00780260" w:rsidP="00780260">
      <w:pPr>
        <w:spacing w:line="360" w:lineRule="auto"/>
        <w:rPr>
          <w:rFonts w:cstheme="minorHAnsi"/>
        </w:rPr>
      </w:pPr>
      <w:r w:rsidRPr="00C304EC">
        <w:rPr>
          <w:rFonts w:cstheme="minorHAnsi"/>
        </w:rPr>
        <w:t xml:space="preserve">So to tracking the 180 patients </w:t>
      </w:r>
      <w:r w:rsidR="00CF0687">
        <w:rPr>
          <w:rFonts w:cstheme="minorHAnsi"/>
        </w:rPr>
        <w:t>that</w:t>
      </w:r>
      <w:r w:rsidRPr="00C304EC">
        <w:rPr>
          <w:rFonts w:cstheme="minorHAnsi"/>
        </w:rPr>
        <w:t xml:space="preserve"> are </w:t>
      </w:r>
      <w:r w:rsidR="00CF0687">
        <w:rPr>
          <w:rFonts w:cstheme="minorHAnsi"/>
        </w:rPr>
        <w:t xml:space="preserve">being </w:t>
      </w:r>
      <w:r w:rsidRPr="00C304EC">
        <w:rPr>
          <w:rFonts w:cstheme="minorHAnsi"/>
        </w:rPr>
        <w:t>support</w:t>
      </w:r>
      <w:r w:rsidR="00CF0687">
        <w:rPr>
          <w:rFonts w:cstheme="minorHAnsi"/>
        </w:rPr>
        <w:t>ed</w:t>
      </w:r>
      <w:r w:rsidRPr="00C304EC">
        <w:rPr>
          <w:rFonts w:cstheme="minorHAnsi"/>
        </w:rPr>
        <w:t>.</w:t>
      </w:r>
    </w:p>
    <w:p w14:paraId="5F4F722A" w14:textId="37FA81AB" w:rsidR="00780260" w:rsidRDefault="00780260" w:rsidP="00780260">
      <w:pPr>
        <w:spacing w:line="360" w:lineRule="auto"/>
        <w:rPr>
          <w:rFonts w:cstheme="minorHAnsi"/>
        </w:rPr>
      </w:pPr>
    </w:p>
    <w:p w14:paraId="204D4D72" w14:textId="77777777" w:rsidR="00CF0687" w:rsidRPr="00C304EC" w:rsidRDefault="00CF0687" w:rsidP="00780260">
      <w:pPr>
        <w:spacing w:line="360" w:lineRule="auto"/>
        <w:rPr>
          <w:rFonts w:cstheme="minorHAnsi"/>
        </w:rPr>
      </w:pPr>
    </w:p>
    <w:p w14:paraId="05DB9B9D" w14:textId="77777777" w:rsidR="00780260" w:rsidRPr="00C304EC" w:rsidRDefault="00780260" w:rsidP="00780260">
      <w:pPr>
        <w:spacing w:line="360" w:lineRule="auto"/>
        <w:rPr>
          <w:rFonts w:cstheme="minorHAnsi"/>
        </w:rPr>
      </w:pPr>
    </w:p>
    <w:p w14:paraId="3873703F" w14:textId="77777777" w:rsidR="00780260" w:rsidRPr="00C9025B" w:rsidRDefault="00780260" w:rsidP="00780260">
      <w:pPr>
        <w:spacing w:line="360" w:lineRule="auto"/>
        <w:rPr>
          <w:rFonts w:cstheme="minorHAnsi"/>
          <w:b/>
        </w:rPr>
      </w:pPr>
      <w:r w:rsidRPr="00C9025B">
        <w:rPr>
          <w:rFonts w:cstheme="minorHAnsi"/>
          <w:b/>
        </w:rPr>
        <w:t>The ‘alert’ system</w:t>
      </w:r>
    </w:p>
    <w:p w14:paraId="59B3AFBB" w14:textId="77777777" w:rsidR="00780260" w:rsidRPr="00C304EC" w:rsidRDefault="00780260" w:rsidP="00780260">
      <w:pPr>
        <w:spacing w:line="360" w:lineRule="auto"/>
        <w:rPr>
          <w:rFonts w:cstheme="minorHAnsi"/>
        </w:rPr>
      </w:pPr>
      <w:r w:rsidRPr="00C304EC">
        <w:rPr>
          <w:rFonts w:cstheme="minorHAnsi"/>
        </w:rPr>
        <w:t xml:space="preserve">The advantage in being able to identify those patients we know quickly is that we can be in a position to be their advocate when presenting to hospital. In a number of situations there will have been time, prior to the current admission, to have developed a relationship with </w:t>
      </w:r>
      <w:r w:rsidRPr="00C304EC">
        <w:rPr>
          <w:rFonts w:cstheme="minorHAnsi"/>
        </w:rPr>
        <w:lastRenderedPageBreak/>
        <w:t>the individual. That is not only getting to know them but be aware of their outlooks and opinions. Often (within the community setting) there will have been opportunity to look forward, to have had conversation about what the future might look like and what the individual feels that they would want. This is commonly referred to as ‘advance care planning’ – the English template of a ‘treatment escalation plan’ (NHS England, 2022) has not been adopted into usage in Wales (the ‘treatment escalation plan’ terminology in Wales is a much more specific, time limited, tool (NHS Wales, 2021)).</w:t>
      </w:r>
    </w:p>
    <w:p w14:paraId="5D697086" w14:textId="77777777" w:rsidR="00780260" w:rsidRPr="00C304EC" w:rsidRDefault="00780260" w:rsidP="00780260">
      <w:pPr>
        <w:spacing w:line="360" w:lineRule="auto"/>
        <w:rPr>
          <w:rFonts w:cstheme="minorHAnsi"/>
        </w:rPr>
      </w:pPr>
      <w:r w:rsidRPr="00C304EC">
        <w:rPr>
          <w:rFonts w:cstheme="minorHAnsi"/>
        </w:rPr>
        <w:t xml:space="preserve">The power of bringing this (fore-) knowledge – from our clinical notes or awareness from the oncology notes (including their existing electronic health record, albeit with its limited access at the hospital front door) – is that clinical care can be focused. More importantly it can be much more proportionate; an understanding of patient’s expectations and desires, alongside a fuller clinical history, will prevent unnecessary investigations and interventions. There is also the tangible potential that care can be expedited - specialist palliative care teams often seek to fulfil ‘preferred place of care’ (and ‘preferred place of death’) – and hospital resources freed up. It is important to emphasize that the intent when considering patient’s preferences is in supporting their individual care plan rather than restricting the potential interventions. Specialist palliative care would continue to advocate for the consideration of reversible causes of deterioration; which can become a somewhat circular discussion. For example, hypothetically, a urinary tract infection could be considered reversible, </w:t>
      </w:r>
      <w:r w:rsidRPr="00C304EC">
        <w:rPr>
          <w:rFonts w:cstheme="minorHAnsi"/>
        </w:rPr>
        <w:lastRenderedPageBreak/>
        <w:t>so antibiotics might be a proportionate intervention (patient willing); but whether an oral trial is adequate or whether parenteral antibiotics are appropriate is subjective, even without contextual considerations.</w:t>
      </w:r>
    </w:p>
    <w:p w14:paraId="310EAB7C" w14:textId="77777777" w:rsidR="00780260" w:rsidRPr="00C304EC" w:rsidRDefault="00780260" w:rsidP="00780260">
      <w:pPr>
        <w:spacing w:line="360" w:lineRule="auto"/>
        <w:rPr>
          <w:rFonts w:cstheme="minorHAnsi"/>
        </w:rPr>
      </w:pPr>
    </w:p>
    <w:p w14:paraId="1AD56F9E" w14:textId="77777777" w:rsidR="00780260" w:rsidRPr="00C304EC" w:rsidRDefault="00780260" w:rsidP="00780260">
      <w:pPr>
        <w:spacing w:line="360" w:lineRule="auto"/>
        <w:rPr>
          <w:rFonts w:cstheme="minorHAnsi"/>
        </w:rPr>
      </w:pPr>
      <w:r w:rsidRPr="00C304EC">
        <w:rPr>
          <w:rFonts w:cstheme="minorHAnsi"/>
        </w:rPr>
        <w:t>This provides an insight into the value of maintaining an awareness of when one of our cohort of patients presents across the variety of healthcare settings (within North Wales).</w:t>
      </w:r>
    </w:p>
    <w:p w14:paraId="557F6F47" w14:textId="77777777" w:rsidR="00780260" w:rsidRPr="00C304EC" w:rsidRDefault="00780260" w:rsidP="00780260">
      <w:pPr>
        <w:spacing w:line="360" w:lineRule="auto"/>
        <w:rPr>
          <w:rFonts w:cstheme="minorHAnsi"/>
        </w:rPr>
      </w:pPr>
      <w:r w:rsidRPr="00C304EC">
        <w:rPr>
          <w:rFonts w:cstheme="minorHAnsi"/>
        </w:rPr>
        <w:t>In its simplest interpretation this project matches our registered patients (a term taken as a liberty, given the responsible clinician remains the general practitioner as mentioned earlier) with those attending healthcare settings across North Wales. This automated alert is then forwarded to a generic departmental e-mail. This occurs in real time – we have had several occasions where we have been alerted and attended the Emergency Department even before the clinical team are aware those patients are in the department. An extension to the anecdote is that, at least once, we have been in a position to provide clinical review (and indeed this was, given the current well documented pressures, in the back of an ambulance), then co-ordinate and re-direct the ambulance so the patient could be transferred to the hospice without delay.</w:t>
      </w:r>
    </w:p>
    <w:p w14:paraId="74CF98F2" w14:textId="77777777" w:rsidR="00780260" w:rsidRPr="00C304EC" w:rsidRDefault="00780260" w:rsidP="00780260">
      <w:pPr>
        <w:spacing w:line="360" w:lineRule="auto"/>
        <w:rPr>
          <w:rFonts w:cstheme="minorHAnsi"/>
        </w:rPr>
      </w:pPr>
      <w:r w:rsidRPr="00C304EC">
        <w:rPr>
          <w:rFonts w:cstheme="minorHAnsi"/>
        </w:rPr>
        <w:t>The remainder of this essay will go on to evaluate how well the project is meeting its own expectations.</w:t>
      </w:r>
    </w:p>
    <w:p w14:paraId="5B2B6DF4" w14:textId="77777777" w:rsidR="00780260" w:rsidRPr="00C304EC" w:rsidRDefault="00780260" w:rsidP="00780260">
      <w:pPr>
        <w:spacing w:line="360" w:lineRule="auto"/>
        <w:rPr>
          <w:rFonts w:cstheme="minorHAnsi"/>
        </w:rPr>
      </w:pPr>
    </w:p>
    <w:p w14:paraId="47EA2E33" w14:textId="3A4CB163" w:rsidR="00780260" w:rsidRPr="00C304EC" w:rsidRDefault="00780260" w:rsidP="00780260">
      <w:pPr>
        <w:spacing w:line="360" w:lineRule="auto"/>
        <w:rPr>
          <w:rFonts w:cstheme="minorHAnsi"/>
        </w:rPr>
      </w:pPr>
    </w:p>
    <w:p w14:paraId="7DFB2FCB" w14:textId="77777777" w:rsidR="00780260" w:rsidRPr="00C9025B" w:rsidRDefault="00780260" w:rsidP="00780260">
      <w:pPr>
        <w:spacing w:line="360" w:lineRule="auto"/>
        <w:rPr>
          <w:rFonts w:cstheme="minorHAnsi"/>
          <w:b/>
        </w:rPr>
      </w:pPr>
      <w:r w:rsidRPr="00C9025B">
        <w:rPr>
          <w:rFonts w:cstheme="minorHAnsi"/>
          <w:b/>
        </w:rPr>
        <w:t>Technology Adoption Models</w:t>
      </w:r>
    </w:p>
    <w:p w14:paraId="286573B6" w14:textId="77777777" w:rsidR="00780260" w:rsidRPr="00C304EC" w:rsidRDefault="00780260" w:rsidP="00780260">
      <w:pPr>
        <w:spacing w:line="360" w:lineRule="auto"/>
        <w:rPr>
          <w:rFonts w:cstheme="minorHAnsi"/>
        </w:rPr>
      </w:pPr>
      <w:r w:rsidRPr="00C304EC">
        <w:rPr>
          <w:rFonts w:cstheme="minorHAnsi"/>
        </w:rPr>
        <w:t>There are a number of models available that seek to predict the compatibility of a task’s requirements with the technology characteristics available affecting the utilisation of the proposed technology and also the impact on individual performance.</w:t>
      </w:r>
    </w:p>
    <w:p w14:paraId="5714D56C" w14:textId="77777777" w:rsidR="00780260" w:rsidRPr="00C304EC" w:rsidRDefault="00780260" w:rsidP="00780260">
      <w:pPr>
        <w:spacing w:line="360" w:lineRule="auto"/>
        <w:rPr>
          <w:rFonts w:cstheme="minorHAnsi"/>
        </w:rPr>
      </w:pPr>
    </w:p>
    <w:p w14:paraId="554C74F0" w14:textId="77777777" w:rsidR="00780260" w:rsidRPr="00C9025B" w:rsidRDefault="00780260" w:rsidP="00780260">
      <w:pPr>
        <w:spacing w:line="360" w:lineRule="auto"/>
        <w:rPr>
          <w:rFonts w:cstheme="minorHAnsi"/>
          <w:u w:val="single"/>
        </w:rPr>
      </w:pPr>
      <w:r w:rsidRPr="00C9025B">
        <w:rPr>
          <w:rFonts w:cstheme="minorHAnsi"/>
          <w:u w:val="single"/>
        </w:rPr>
        <w:t xml:space="preserve">Task-Technology Fit </w:t>
      </w:r>
    </w:p>
    <w:p w14:paraId="712EF9D2" w14:textId="77777777" w:rsidR="00780260" w:rsidRPr="00C304EC" w:rsidRDefault="00780260" w:rsidP="00780260">
      <w:pPr>
        <w:spacing w:line="360" w:lineRule="auto"/>
        <w:rPr>
          <w:rFonts w:cstheme="minorHAnsi"/>
        </w:rPr>
      </w:pPr>
      <w:r w:rsidRPr="00C304EC">
        <w:rPr>
          <w:rFonts w:cstheme="minorHAnsi"/>
        </w:rPr>
        <w:t>As far back as 1995 models were being developed which sought to understand the linkage between information systems and individual performance. The Task-Technology Fit (TTF) model (Goodhue and Thompson, 1995) was the first theory looking into post-adoption usage behaviour. Up until then the research had focused on the early adoption of information systems and the associated (early) usage behaviour (Chin and Marcolin, 2001) as well as the unfulfilled potential of more complex systems. Largely these studies were in non-clinical settings such as supply chain management systems and customer relationship management systems (Jasperson et al., 2005). Or as Ohiomah (</w:t>
      </w:r>
      <w:r w:rsidRPr="00C304EC">
        <w:rPr>
          <w:rFonts w:cstheme="minorHAnsi"/>
          <w:shd w:val="clear" w:color="auto" w:fill="FFFFFF"/>
        </w:rPr>
        <w:t>Ohiomah, Benyoucef and Andreev</w:t>
      </w:r>
      <w:r w:rsidRPr="00C304EC">
        <w:rPr>
          <w:rFonts w:cstheme="minorHAnsi"/>
        </w:rPr>
        <w:t xml:space="preserve">, 2015) succinctly puts it: “individuals’ use of IT affects their performance and that the performance benefits will be greater if the IT fits the task”. Even acknowledging that this was written with </w:t>
      </w:r>
      <w:r w:rsidRPr="00C304EC">
        <w:rPr>
          <w:rFonts w:cstheme="minorHAnsi"/>
        </w:rPr>
        <w:lastRenderedPageBreak/>
        <w:t>the perspective of sales performance, it illustrates the evolution of the analysis frameworks available.</w:t>
      </w:r>
    </w:p>
    <w:p w14:paraId="3232D6F0" w14:textId="77777777" w:rsidR="00780260" w:rsidRPr="00C304EC" w:rsidRDefault="00780260" w:rsidP="00780260">
      <w:pPr>
        <w:spacing w:line="360" w:lineRule="auto"/>
        <w:rPr>
          <w:rFonts w:cstheme="minorHAnsi"/>
        </w:rPr>
      </w:pPr>
      <w:r w:rsidRPr="00C304EC">
        <w:rPr>
          <w:rFonts w:cstheme="minorHAnsi"/>
        </w:rPr>
        <w:t>The Task-Technology Fit model drew upon two earlier streams of research – user attitudes as a predictor of utilisation and task-technology fit as a predictor of performance. It was Goodhue and Thompson (Goodhue and Thompson, 1995) who crystallised the concept that “for an information technology to have a positive impact on individual performance, the technology must be utilised, and the technology must be a good fit with the tasks it supports.”  This has also been presented as a more conceptual version (the Technology-To-Performance Chain model):</w:t>
      </w:r>
    </w:p>
    <w:p w14:paraId="57644974" w14:textId="3DB48D18" w:rsidR="00780260" w:rsidRPr="00C304EC" w:rsidRDefault="00780260" w:rsidP="00780260">
      <w:pPr>
        <w:spacing w:line="360" w:lineRule="auto"/>
        <w:rPr>
          <w:rFonts w:cstheme="minorHAnsi"/>
        </w:rPr>
      </w:pPr>
      <w:r w:rsidRPr="00C304EC">
        <w:rPr>
          <w:noProof/>
          <w:lang w:eastAsia="en-GB"/>
        </w:rPr>
        <w:lastRenderedPageBreak/>
        <w:drawing>
          <wp:inline distT="0" distB="0" distL="0" distR="0" wp14:anchorId="11C30CDC" wp14:editId="02D11A0F">
            <wp:extent cx="5731510" cy="32962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96285"/>
                    </a:xfrm>
                    <a:prstGeom prst="rect">
                      <a:avLst/>
                    </a:prstGeom>
                  </pic:spPr>
                </pic:pic>
              </a:graphicData>
            </a:graphic>
          </wp:inline>
        </w:drawing>
      </w:r>
    </w:p>
    <w:p w14:paraId="3D62D5CF" w14:textId="77777777" w:rsidR="00780260" w:rsidRPr="00C304EC" w:rsidRDefault="00780260" w:rsidP="00780260">
      <w:pPr>
        <w:spacing w:line="360" w:lineRule="auto"/>
        <w:rPr>
          <w:rFonts w:cstheme="minorHAnsi"/>
          <w:sz w:val="18"/>
          <w:szCs w:val="18"/>
          <w:shd w:val="clear" w:color="auto" w:fill="FFFFFF"/>
        </w:rPr>
      </w:pPr>
      <w:r w:rsidRPr="00C304EC">
        <w:rPr>
          <w:rFonts w:cstheme="minorHAnsi"/>
          <w:sz w:val="18"/>
          <w:szCs w:val="18"/>
          <w:shd w:val="clear" w:color="auto" w:fill="FFFFFF"/>
        </w:rPr>
        <w:t>Figure 2: Technology-To-Performance Chain model (Marikyan and Papagiannidis, 2022)</w:t>
      </w:r>
    </w:p>
    <w:p w14:paraId="13B14AE8" w14:textId="77777777" w:rsidR="00780260" w:rsidRPr="00C304EC" w:rsidRDefault="00780260" w:rsidP="00780260">
      <w:pPr>
        <w:spacing w:line="360" w:lineRule="auto"/>
        <w:rPr>
          <w:rFonts w:cstheme="minorHAnsi"/>
        </w:rPr>
      </w:pPr>
    </w:p>
    <w:p w14:paraId="13935E8E" w14:textId="77777777" w:rsidR="00780260" w:rsidRPr="00C304EC" w:rsidRDefault="00780260" w:rsidP="00780260">
      <w:pPr>
        <w:spacing w:after="0" w:line="360" w:lineRule="auto"/>
        <w:rPr>
          <w:rFonts w:cstheme="minorHAnsi"/>
        </w:rPr>
      </w:pPr>
      <w:r w:rsidRPr="00C304EC">
        <w:rPr>
          <w:rFonts w:cstheme="minorHAnsi"/>
        </w:rPr>
        <w:t>Looking at the four core blocks on the right of the figure:</w:t>
      </w:r>
    </w:p>
    <w:p w14:paraId="179F30E0" w14:textId="77777777" w:rsidR="00780260" w:rsidRPr="00C304EC" w:rsidRDefault="00780260" w:rsidP="00780260">
      <w:pPr>
        <w:pStyle w:val="ListParagraph"/>
        <w:numPr>
          <w:ilvl w:val="0"/>
          <w:numId w:val="3"/>
        </w:numPr>
        <w:spacing w:after="0" w:line="360" w:lineRule="auto"/>
        <w:rPr>
          <w:rFonts w:cstheme="minorHAnsi"/>
        </w:rPr>
      </w:pPr>
      <w:r w:rsidRPr="00C304EC">
        <w:rPr>
          <w:rFonts w:cstheme="minorHAnsi"/>
          <w:b/>
        </w:rPr>
        <w:t>Task-technology fit</w:t>
      </w:r>
      <w:r w:rsidRPr="00C304EC">
        <w:rPr>
          <w:rFonts w:cstheme="minorHAnsi"/>
        </w:rPr>
        <w:t xml:space="preserve"> is dependent upon the factors on the left and the interaction between them. Davit Marikyan (author of this figure) does define these aspects for absolute clarity. </w:t>
      </w:r>
    </w:p>
    <w:p w14:paraId="5122B932" w14:textId="77777777" w:rsidR="00780260" w:rsidRPr="00C304EC" w:rsidRDefault="00780260" w:rsidP="00780260">
      <w:pPr>
        <w:pStyle w:val="ListParagraph"/>
        <w:numPr>
          <w:ilvl w:val="0"/>
          <w:numId w:val="1"/>
        </w:numPr>
        <w:spacing w:after="0" w:line="360" w:lineRule="auto"/>
        <w:rPr>
          <w:rFonts w:cstheme="minorHAnsi"/>
        </w:rPr>
      </w:pPr>
      <w:r w:rsidRPr="00C304EC">
        <w:rPr>
          <w:rFonts w:cstheme="minorHAnsi"/>
        </w:rPr>
        <w:t>The technology user would provide the ‘individual characteristics’.</w:t>
      </w:r>
    </w:p>
    <w:p w14:paraId="3C27995E" w14:textId="77777777" w:rsidR="00780260" w:rsidRPr="00C304EC" w:rsidRDefault="00780260" w:rsidP="00780260">
      <w:pPr>
        <w:pStyle w:val="ListParagraph"/>
        <w:numPr>
          <w:ilvl w:val="0"/>
          <w:numId w:val="1"/>
        </w:numPr>
        <w:spacing w:after="0" w:line="360" w:lineRule="auto"/>
        <w:rPr>
          <w:rFonts w:cstheme="minorHAnsi"/>
        </w:rPr>
      </w:pPr>
      <w:r w:rsidRPr="00C304EC">
        <w:rPr>
          <w:rFonts w:cstheme="minorHAnsi"/>
        </w:rPr>
        <w:lastRenderedPageBreak/>
        <w:t>‘Technology characteristics’ compromise the services that are provided as well as the hardware components, software tools and data.</w:t>
      </w:r>
    </w:p>
    <w:p w14:paraId="56337BB2" w14:textId="77777777" w:rsidR="00780260" w:rsidRPr="00C304EC" w:rsidRDefault="00780260" w:rsidP="00780260">
      <w:pPr>
        <w:pStyle w:val="ListParagraph"/>
        <w:numPr>
          <w:ilvl w:val="0"/>
          <w:numId w:val="1"/>
        </w:numPr>
        <w:spacing w:after="0" w:line="360" w:lineRule="auto"/>
        <w:rPr>
          <w:rFonts w:cstheme="minorHAnsi"/>
        </w:rPr>
      </w:pPr>
      <w:r w:rsidRPr="00C304EC">
        <w:rPr>
          <w:rFonts w:cstheme="minorHAnsi"/>
        </w:rPr>
        <w:t>And ‘task characteristics’ is the activity which the individual performs to generate the required output.</w:t>
      </w:r>
    </w:p>
    <w:p w14:paraId="101D3F9F" w14:textId="77777777" w:rsidR="00780260" w:rsidRPr="00C304EC" w:rsidRDefault="00780260" w:rsidP="00780260">
      <w:pPr>
        <w:pStyle w:val="ListParagraph"/>
        <w:numPr>
          <w:ilvl w:val="0"/>
          <w:numId w:val="2"/>
        </w:numPr>
        <w:spacing w:after="0" w:line="360" w:lineRule="auto"/>
        <w:rPr>
          <w:rFonts w:cstheme="minorHAnsi"/>
          <w:b/>
        </w:rPr>
      </w:pPr>
      <w:r w:rsidRPr="00C304EC">
        <w:rPr>
          <w:rFonts w:cstheme="minorHAnsi"/>
          <w:b/>
        </w:rPr>
        <w:t>Precursors of Utilisation</w:t>
      </w:r>
      <w:r w:rsidRPr="00C304EC">
        <w:rPr>
          <w:rFonts w:cstheme="minorHAnsi"/>
        </w:rPr>
        <w:t xml:space="preserve"> are dependent upon the belief and attitude of the users (and model participants). In themselves, they are affected by societal aspects and local beliefs (or credibility in the system) as much as the perceived benefits or expected consequences.</w:t>
      </w:r>
      <w:r w:rsidRPr="00C304EC">
        <w:rPr>
          <w:rFonts w:cstheme="minorHAnsi"/>
          <w:b/>
        </w:rPr>
        <w:t xml:space="preserve"> </w:t>
      </w:r>
    </w:p>
    <w:p w14:paraId="4D1E7613" w14:textId="77777777" w:rsidR="00780260" w:rsidRPr="00C304EC" w:rsidRDefault="00780260" w:rsidP="00780260">
      <w:pPr>
        <w:pStyle w:val="ListParagraph"/>
        <w:numPr>
          <w:ilvl w:val="0"/>
          <w:numId w:val="2"/>
        </w:numPr>
        <w:spacing w:after="0" w:line="360" w:lineRule="auto"/>
        <w:rPr>
          <w:rFonts w:cstheme="minorHAnsi"/>
        </w:rPr>
      </w:pPr>
      <w:r w:rsidRPr="00C304EC">
        <w:rPr>
          <w:rFonts w:cstheme="minorHAnsi"/>
          <w:b/>
        </w:rPr>
        <w:t>Utilisation</w:t>
      </w:r>
      <w:r w:rsidRPr="00C304EC">
        <w:rPr>
          <w:rFonts w:cstheme="minorHAnsi"/>
        </w:rPr>
        <w:t xml:space="preserve"> is the reflection(s) on the actual usage of the system, whether that is the frequency of use or the diversity of use. </w:t>
      </w:r>
    </w:p>
    <w:p w14:paraId="24A4A367" w14:textId="77777777" w:rsidR="00780260" w:rsidRPr="00C304EC" w:rsidRDefault="00780260" w:rsidP="00780260">
      <w:pPr>
        <w:pStyle w:val="ListParagraph"/>
        <w:numPr>
          <w:ilvl w:val="0"/>
          <w:numId w:val="2"/>
        </w:numPr>
        <w:spacing w:line="360" w:lineRule="auto"/>
        <w:rPr>
          <w:rFonts w:cstheme="minorHAnsi"/>
        </w:rPr>
      </w:pPr>
      <w:r w:rsidRPr="00C304EC">
        <w:rPr>
          <w:rFonts w:cstheme="minorHAnsi"/>
        </w:rPr>
        <w:t xml:space="preserve">And simply, the </w:t>
      </w:r>
      <w:r w:rsidRPr="00C304EC">
        <w:rPr>
          <w:rFonts w:cstheme="minorHAnsi"/>
          <w:b/>
        </w:rPr>
        <w:t>Performance Impact</w:t>
      </w:r>
      <w:r w:rsidRPr="00C304EC">
        <w:rPr>
          <w:rFonts w:cstheme="minorHAnsi"/>
        </w:rPr>
        <w:t xml:space="preserve"> is the (potential) impact achievable from completing the proposed tasks.</w:t>
      </w:r>
    </w:p>
    <w:p w14:paraId="5B1D5A7E" w14:textId="77777777" w:rsidR="00780260" w:rsidRPr="00C304EC" w:rsidRDefault="00780260" w:rsidP="00780260">
      <w:pPr>
        <w:spacing w:line="360" w:lineRule="auto"/>
        <w:ind w:firstLine="720"/>
        <w:rPr>
          <w:rFonts w:cstheme="minorHAnsi"/>
        </w:rPr>
      </w:pPr>
    </w:p>
    <w:p w14:paraId="102576D5" w14:textId="77777777" w:rsidR="00780260" w:rsidRPr="00C304EC" w:rsidRDefault="00780260" w:rsidP="00780260">
      <w:pPr>
        <w:spacing w:line="360" w:lineRule="auto"/>
        <w:ind w:firstLine="720"/>
        <w:rPr>
          <w:rFonts w:cstheme="minorHAnsi"/>
        </w:rPr>
      </w:pPr>
    </w:p>
    <w:p w14:paraId="084C81CE" w14:textId="77777777" w:rsidR="00780260" w:rsidRPr="00C9025B" w:rsidRDefault="00780260" w:rsidP="00780260">
      <w:pPr>
        <w:spacing w:line="360" w:lineRule="auto"/>
        <w:rPr>
          <w:rFonts w:cstheme="minorHAnsi"/>
          <w:u w:val="single"/>
        </w:rPr>
      </w:pPr>
      <w:r w:rsidRPr="00C9025B">
        <w:rPr>
          <w:rFonts w:cstheme="minorHAnsi"/>
          <w:u w:val="single"/>
        </w:rPr>
        <w:t xml:space="preserve">Technology Acceptance Model </w:t>
      </w:r>
    </w:p>
    <w:p w14:paraId="7A1C66B1" w14:textId="77777777" w:rsidR="00780260" w:rsidRPr="00C304EC" w:rsidRDefault="00780260" w:rsidP="00780260">
      <w:pPr>
        <w:spacing w:line="360" w:lineRule="auto"/>
        <w:rPr>
          <w:rFonts w:cstheme="minorHAnsi"/>
          <w:sz w:val="23"/>
          <w:szCs w:val="23"/>
          <w:shd w:val="clear" w:color="auto" w:fill="FFFFFF"/>
        </w:rPr>
      </w:pPr>
      <w:r w:rsidRPr="00C304EC">
        <w:rPr>
          <w:rFonts w:cstheme="minorHAnsi"/>
        </w:rPr>
        <w:t xml:space="preserve">The Technology Acceptance Model (TAM) seeks to understand the processes behind the acceptance (or not) of new technologies. Practically early consideration of this aspect will provide insight into barriers to engagement with technology. Fred Davis (Davis, 1989; Davis, </w:t>
      </w:r>
      <w:r w:rsidRPr="00C304EC">
        <w:rPr>
          <w:rFonts w:cstheme="minorHAnsi"/>
        </w:rPr>
        <w:lastRenderedPageBreak/>
        <w:t xml:space="preserve">1993) looked at the relationship between the characteristics of the information system (“external factors”) and the actual usage of the system. He added </w:t>
      </w:r>
      <w:r w:rsidRPr="00C304EC">
        <w:rPr>
          <w:rFonts w:cstheme="minorHAnsi"/>
          <w:sz w:val="23"/>
          <w:szCs w:val="23"/>
          <w:shd w:val="clear" w:color="auto" w:fill="FFFFFF"/>
        </w:rPr>
        <w:t>a psychological perspective on human behaviour within this model; which was novel at that time.</w:t>
      </w:r>
    </w:p>
    <w:p w14:paraId="2E9C909C" w14:textId="77777777" w:rsidR="00780260" w:rsidRPr="00C304EC" w:rsidRDefault="00780260" w:rsidP="00780260">
      <w:pPr>
        <w:spacing w:line="360" w:lineRule="auto"/>
        <w:rPr>
          <w:rFonts w:cstheme="minorHAnsi"/>
        </w:rPr>
      </w:pPr>
      <w:r w:rsidRPr="00C304EC">
        <w:rPr>
          <w:rFonts w:cstheme="minorHAnsi"/>
          <w:sz w:val="23"/>
          <w:szCs w:val="23"/>
          <w:shd w:val="clear" w:color="auto" w:fill="FFFFFF"/>
        </w:rPr>
        <w:t xml:space="preserve">Dishaw and Strong integrated the Task-Technology Fit model with the </w:t>
      </w:r>
      <w:r w:rsidRPr="00C304EC">
        <w:rPr>
          <w:rFonts w:cstheme="minorHAnsi"/>
        </w:rPr>
        <w:t xml:space="preserve">Technology Acceptance Model </w:t>
      </w:r>
      <w:r w:rsidRPr="00C304EC">
        <w:rPr>
          <w:rFonts w:cstheme="minorHAnsi"/>
          <w:sz w:val="23"/>
          <w:szCs w:val="23"/>
          <w:shd w:val="clear" w:color="auto" w:fill="FFFFFF"/>
        </w:rPr>
        <w:t>(Dishaw and Strong, 1999) as these provide complementary perspectives. TAM considers the intention to use technology whereas TTF focuses on the outcome from adopting technology. A considered scenario was where the resistance to adopting new technology is overcome by recognition of the benefits that it brings. The reported benefit of this evolution was that there was an increased confidence in the predictability of the model; invaluable when exploring introduction of new systems.</w:t>
      </w:r>
    </w:p>
    <w:p w14:paraId="735CC0B6" w14:textId="77777777" w:rsidR="00780260" w:rsidRPr="00C304EC" w:rsidRDefault="00780260" w:rsidP="00780260">
      <w:pPr>
        <w:spacing w:line="360" w:lineRule="auto"/>
        <w:rPr>
          <w:rFonts w:cstheme="minorHAnsi"/>
        </w:rPr>
      </w:pPr>
      <w:r w:rsidRPr="00C304EC">
        <w:rPr>
          <w:rFonts w:cstheme="minorHAnsi"/>
        </w:rPr>
        <w:t xml:space="preserve"> </w:t>
      </w:r>
    </w:p>
    <w:p w14:paraId="485A0977" w14:textId="77777777" w:rsidR="00780260" w:rsidRPr="00C9025B" w:rsidRDefault="00780260" w:rsidP="00780260">
      <w:pPr>
        <w:spacing w:line="360" w:lineRule="auto"/>
        <w:rPr>
          <w:rFonts w:cstheme="minorHAnsi"/>
          <w:u w:val="single"/>
        </w:rPr>
      </w:pPr>
      <w:r w:rsidRPr="00C9025B">
        <w:rPr>
          <w:rFonts w:cstheme="minorHAnsi"/>
          <w:u w:val="single"/>
        </w:rPr>
        <w:t xml:space="preserve">Unified Theory of Acceptance and Usage of Technology </w:t>
      </w:r>
    </w:p>
    <w:p w14:paraId="412A041B" w14:textId="77777777" w:rsidR="00780260" w:rsidRPr="00460B77" w:rsidRDefault="00780260" w:rsidP="00780260">
      <w:pPr>
        <w:spacing w:after="0" w:line="360" w:lineRule="auto"/>
        <w:rPr>
          <w:rFonts w:cstheme="minorHAnsi"/>
        </w:rPr>
      </w:pPr>
      <w:r w:rsidRPr="00460B77">
        <w:rPr>
          <w:rFonts w:cstheme="minorHAnsi"/>
        </w:rPr>
        <w:t>The next extension was linking the TTF model with the Unified Theory of Acceptance and Usage of Technology (UTAUT) model. Venkatesh (Venkatesh et al., 2003) delineated four key areas which seek to provide a comprehensive assessment regarding technology adoption. These are:</w:t>
      </w:r>
    </w:p>
    <w:p w14:paraId="03EC4C8A" w14:textId="77777777" w:rsidR="00780260" w:rsidRPr="00460B77" w:rsidRDefault="00780260" w:rsidP="00780260">
      <w:pPr>
        <w:pStyle w:val="ListParagraph"/>
        <w:numPr>
          <w:ilvl w:val="0"/>
          <w:numId w:val="2"/>
        </w:numPr>
        <w:spacing w:after="0" w:line="360" w:lineRule="auto"/>
        <w:rPr>
          <w:rFonts w:cstheme="minorHAnsi"/>
          <w:b/>
        </w:rPr>
      </w:pPr>
      <w:r w:rsidRPr="00460B77">
        <w:rPr>
          <w:rFonts w:cstheme="minorHAnsi"/>
          <w:b/>
        </w:rPr>
        <w:t>Performance expectancy</w:t>
      </w:r>
    </w:p>
    <w:p w14:paraId="1B40FD9C" w14:textId="77777777" w:rsidR="00780260" w:rsidRPr="00460B77" w:rsidRDefault="00780260" w:rsidP="00780260">
      <w:pPr>
        <w:pStyle w:val="ListParagraph"/>
        <w:numPr>
          <w:ilvl w:val="0"/>
          <w:numId w:val="2"/>
        </w:numPr>
        <w:spacing w:after="0" w:line="360" w:lineRule="auto"/>
        <w:rPr>
          <w:rFonts w:cstheme="minorHAnsi"/>
        </w:rPr>
      </w:pPr>
      <w:r w:rsidRPr="00460B77">
        <w:rPr>
          <w:rFonts w:cstheme="minorHAnsi"/>
          <w:b/>
        </w:rPr>
        <w:lastRenderedPageBreak/>
        <w:t>Effort expectancy</w:t>
      </w:r>
      <w:r w:rsidRPr="00460B77">
        <w:rPr>
          <w:rFonts w:cstheme="minorHAnsi"/>
        </w:rPr>
        <w:t>; these first two align with the perceived usefulness and perceived ease of use considered in the TAM model.</w:t>
      </w:r>
    </w:p>
    <w:p w14:paraId="274E1B58" w14:textId="77777777" w:rsidR="00780260" w:rsidRPr="00460B77" w:rsidRDefault="00780260" w:rsidP="00780260">
      <w:pPr>
        <w:pStyle w:val="ListParagraph"/>
        <w:numPr>
          <w:ilvl w:val="0"/>
          <w:numId w:val="2"/>
        </w:numPr>
        <w:spacing w:after="0" w:line="360" w:lineRule="auto"/>
        <w:rPr>
          <w:rFonts w:cstheme="minorHAnsi"/>
        </w:rPr>
      </w:pPr>
      <w:r w:rsidRPr="00460B77">
        <w:rPr>
          <w:rFonts w:cstheme="minorHAnsi"/>
          <w:b/>
        </w:rPr>
        <w:t>Social influence</w:t>
      </w:r>
      <w:r w:rsidRPr="00460B77">
        <w:rPr>
          <w:rFonts w:cstheme="minorHAnsi"/>
        </w:rPr>
        <w:t xml:space="preserve"> – as in that users think the technology needs to be adopted</w:t>
      </w:r>
    </w:p>
    <w:p w14:paraId="7A7BD85B" w14:textId="77777777" w:rsidR="00780260" w:rsidRPr="00460B77" w:rsidRDefault="00780260" w:rsidP="00780260">
      <w:pPr>
        <w:pStyle w:val="ListParagraph"/>
        <w:numPr>
          <w:ilvl w:val="0"/>
          <w:numId w:val="2"/>
        </w:numPr>
        <w:spacing w:line="360" w:lineRule="auto"/>
        <w:rPr>
          <w:rFonts w:cstheme="minorHAnsi"/>
        </w:rPr>
      </w:pPr>
      <w:r w:rsidRPr="00460B77">
        <w:rPr>
          <w:rFonts w:cstheme="minorHAnsi"/>
          <w:b/>
        </w:rPr>
        <w:t>Facilitating conditions</w:t>
      </w:r>
      <w:r w:rsidRPr="00460B77">
        <w:rPr>
          <w:rFonts w:cstheme="minorHAnsi"/>
        </w:rPr>
        <w:t xml:space="preserve"> – the confidence in the infrastructure and support underpinning the project.</w:t>
      </w:r>
    </w:p>
    <w:p w14:paraId="7C280FA5" w14:textId="77777777" w:rsidR="00780260" w:rsidRPr="00460B77" w:rsidRDefault="00780260" w:rsidP="00780260">
      <w:pPr>
        <w:spacing w:line="360" w:lineRule="auto"/>
        <w:rPr>
          <w:rFonts w:cstheme="minorHAnsi"/>
        </w:rPr>
      </w:pPr>
      <w:r w:rsidRPr="00460B77">
        <w:rPr>
          <w:rFonts w:cstheme="minorHAnsi"/>
        </w:rPr>
        <w:t>This evolution sought to fill the gap with TTF-TAM in that it did not consider the aspects of the social influence or facilitating conditions. It was specifically developed as a way to understand the adoption of mobile banking (Goodhue and Thompson, 1995) – and the ubiquitousness of mobile banking now illustrates the power possible with appropriately designed technology.</w:t>
      </w:r>
    </w:p>
    <w:p w14:paraId="717381B6" w14:textId="77777777" w:rsidR="00026585" w:rsidRDefault="00026585" w:rsidP="00780260">
      <w:pPr>
        <w:spacing w:line="360" w:lineRule="auto"/>
        <w:rPr>
          <w:rFonts w:cstheme="minorHAnsi"/>
        </w:rPr>
      </w:pPr>
    </w:p>
    <w:p w14:paraId="27ED1F0F" w14:textId="29B07489" w:rsidR="00780260" w:rsidRPr="00460B77" w:rsidRDefault="00780260" w:rsidP="00780260">
      <w:pPr>
        <w:spacing w:line="360" w:lineRule="auto"/>
        <w:rPr>
          <w:rFonts w:cstheme="minorHAnsi"/>
        </w:rPr>
      </w:pPr>
      <w:r w:rsidRPr="00460B77">
        <w:rPr>
          <w:rFonts w:cstheme="minorHAnsi"/>
        </w:rPr>
        <w:t xml:space="preserve">In clinical medicine head to head trials provide the highest standard of credibility. This TTF-UTAUT model provided a higher predictive strength than the earlier TTF-TAM. (Zhou, Lu and Wang, 2010). This has been validated since (Abbas et al., 2018); but when considering a technology for clinical application, it remains somewhat cumbersome. </w:t>
      </w:r>
    </w:p>
    <w:p w14:paraId="35496C5A" w14:textId="77777777" w:rsidR="00780260" w:rsidRPr="00460B77" w:rsidRDefault="00780260" w:rsidP="00780260">
      <w:pPr>
        <w:spacing w:line="360" w:lineRule="auto"/>
        <w:rPr>
          <w:rFonts w:cstheme="minorHAnsi"/>
        </w:rPr>
      </w:pPr>
    </w:p>
    <w:p w14:paraId="5CCE8918" w14:textId="77777777" w:rsidR="00780260" w:rsidRPr="00460B77" w:rsidRDefault="00780260" w:rsidP="00780260">
      <w:pPr>
        <w:spacing w:line="360" w:lineRule="auto"/>
        <w:rPr>
          <w:rFonts w:cstheme="minorHAnsi"/>
        </w:rPr>
      </w:pPr>
      <w:r w:rsidRPr="00460B77">
        <w:rPr>
          <w:rFonts w:cstheme="minorHAnsi"/>
        </w:rPr>
        <w:t xml:space="preserve">However as Ammenwerth identifies; the frameworks prior to their work did not consider the interaction between task and user (Ammenwerth, Iller and Mahler, 2006). This seeks to </w:t>
      </w:r>
      <w:r w:rsidRPr="00460B77">
        <w:rPr>
          <w:rFonts w:cstheme="minorHAnsi"/>
        </w:rPr>
        <w:lastRenderedPageBreak/>
        <w:t>understand the IT adoption by the team rather than the clinical application per se. Clearly a crucial component of the larger (proverbial) jigsaw, particularly in light of the recent reflections (Zhang, Budhdeo and Ashrafian, 2022) on “a long history of NHS IT failures across primary and secondary care”. It was developed specifically for the healthcare context which empowers the nuanced approach necessary.</w:t>
      </w:r>
    </w:p>
    <w:p w14:paraId="7A6E33BC" w14:textId="77777777" w:rsidR="00780260" w:rsidRPr="00460B77" w:rsidRDefault="00780260" w:rsidP="00780260">
      <w:pPr>
        <w:spacing w:line="360" w:lineRule="auto"/>
        <w:rPr>
          <w:rFonts w:cstheme="minorHAnsi"/>
        </w:rPr>
      </w:pPr>
    </w:p>
    <w:p w14:paraId="70C3A137" w14:textId="77777777" w:rsidR="00780260" w:rsidRPr="00460B77" w:rsidRDefault="00780260" w:rsidP="00CC08FD">
      <w:pPr>
        <w:spacing w:after="0" w:line="360" w:lineRule="auto"/>
        <w:rPr>
          <w:rFonts w:cstheme="minorHAnsi"/>
        </w:rPr>
      </w:pPr>
      <w:r w:rsidRPr="00460B77">
        <w:rPr>
          <w:rFonts w:cstheme="minorHAnsi"/>
          <w:noProof/>
          <w:lang w:eastAsia="en-GB"/>
        </w:rPr>
        <w:drawing>
          <wp:inline distT="0" distB="0" distL="0" distR="0" wp14:anchorId="2AE16587" wp14:editId="2400A8BD">
            <wp:extent cx="5731510" cy="1461535"/>
            <wp:effectExtent l="0" t="0" r="2540" b="5715"/>
            <wp:docPr id="3" name="Picture 3" descr="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461535"/>
                    </a:xfrm>
                    <a:prstGeom prst="rect">
                      <a:avLst/>
                    </a:prstGeom>
                    <a:noFill/>
                    <a:ln>
                      <a:noFill/>
                    </a:ln>
                  </pic:spPr>
                </pic:pic>
              </a:graphicData>
            </a:graphic>
          </wp:inline>
        </w:drawing>
      </w:r>
    </w:p>
    <w:p w14:paraId="1C0CA6CE" w14:textId="77777777" w:rsidR="00780260" w:rsidRPr="00460B77" w:rsidRDefault="00780260" w:rsidP="00CC08FD">
      <w:pPr>
        <w:pStyle w:val="NormalWeb"/>
        <w:shd w:val="clear" w:color="auto" w:fill="FFFFFF"/>
        <w:spacing w:line="360" w:lineRule="auto"/>
        <w:rPr>
          <w:rFonts w:asciiTheme="minorHAnsi" w:eastAsiaTheme="minorHAnsi" w:hAnsiTheme="minorHAnsi" w:cstheme="minorHAnsi"/>
          <w:sz w:val="18"/>
          <w:szCs w:val="18"/>
          <w:lang w:eastAsia="en-US"/>
        </w:rPr>
      </w:pPr>
      <w:r w:rsidRPr="00460B77">
        <w:rPr>
          <w:rFonts w:asciiTheme="minorHAnsi" w:eastAsiaTheme="minorHAnsi" w:hAnsiTheme="minorHAnsi" w:cstheme="minorHAnsi"/>
          <w:sz w:val="18"/>
          <w:szCs w:val="18"/>
          <w:lang w:eastAsia="en-US"/>
        </w:rPr>
        <w:t xml:space="preserve">Figure 3: </w:t>
      </w:r>
      <w:hyperlink r:id="rId13" w:history="1">
        <w:r w:rsidRPr="00460B77">
          <w:rPr>
            <w:rFonts w:asciiTheme="minorHAnsi" w:eastAsiaTheme="minorHAnsi" w:hAnsiTheme="minorHAnsi" w:cstheme="minorHAnsi"/>
            <w:sz w:val="18"/>
            <w:szCs w:val="18"/>
            <w:lang w:eastAsia="en-US"/>
          </w:rPr>
          <w:t>IT-adoption and the interaction of task, technology and individuals</w:t>
        </w:r>
      </w:hyperlink>
    </w:p>
    <w:p w14:paraId="2C67EF00" w14:textId="77777777" w:rsidR="00780260" w:rsidRPr="00460B77" w:rsidRDefault="00780260" w:rsidP="00780260">
      <w:pPr>
        <w:spacing w:line="360" w:lineRule="auto"/>
        <w:rPr>
          <w:rFonts w:cstheme="minorHAnsi"/>
          <w:color w:val="FF0000"/>
        </w:rPr>
      </w:pPr>
    </w:p>
    <w:p w14:paraId="2A489563" w14:textId="77777777" w:rsidR="00780260" w:rsidRPr="00C9025B" w:rsidRDefault="00780260" w:rsidP="00780260">
      <w:pPr>
        <w:spacing w:line="360" w:lineRule="auto"/>
        <w:rPr>
          <w:rFonts w:cstheme="minorHAnsi"/>
          <w:u w:val="single"/>
        </w:rPr>
      </w:pPr>
      <w:r w:rsidRPr="00C9025B">
        <w:rPr>
          <w:rFonts w:cstheme="minorHAnsi"/>
          <w:u w:val="single"/>
        </w:rPr>
        <w:t>Fit between individuals, tasks and technology framework</w:t>
      </w:r>
    </w:p>
    <w:p w14:paraId="3D97CE42" w14:textId="77777777" w:rsidR="00780260" w:rsidRPr="00460B77" w:rsidRDefault="00780260" w:rsidP="00780260">
      <w:pPr>
        <w:spacing w:line="360" w:lineRule="auto"/>
        <w:rPr>
          <w:rFonts w:cstheme="minorHAnsi"/>
        </w:rPr>
      </w:pPr>
      <w:r w:rsidRPr="00460B77">
        <w:rPr>
          <w:rFonts w:cstheme="minorHAnsi"/>
        </w:rPr>
        <w:t xml:space="preserve">Prgomet (Prgomet et al., 2019) summarises the original ‘fit between individuals, tasks and technology’ framework hypothesis succinctly: “FITT posits that the use of technology is dependent on the fit between the attributes of the individuals (users), attributes of the tasks, </w:t>
      </w:r>
      <w:r w:rsidRPr="00460B77">
        <w:rPr>
          <w:rFonts w:cstheme="minorHAnsi"/>
        </w:rPr>
        <w:lastRenderedPageBreak/>
        <w:t>and attributes of the technology.” Although applied to evaluate a prototype health information system, the versatility of the FITT framework can be seen in the evaluation of ‘headache patients’ (Honekamp and Ostermann, 2011). It illustrated the strength of the FITT framework in explaining the variety of ways, with varying effects, across different settings, in which a single IT system is adopted.</w:t>
      </w:r>
    </w:p>
    <w:p w14:paraId="06A173AE" w14:textId="77777777" w:rsidR="00026585" w:rsidRDefault="00026585" w:rsidP="00780260">
      <w:pPr>
        <w:spacing w:after="0" w:line="360" w:lineRule="auto"/>
        <w:rPr>
          <w:rFonts w:cstheme="minorHAnsi"/>
        </w:rPr>
      </w:pPr>
    </w:p>
    <w:p w14:paraId="76570742" w14:textId="77777777" w:rsidR="00026585" w:rsidRDefault="00026585" w:rsidP="00780260">
      <w:pPr>
        <w:spacing w:after="0" w:line="360" w:lineRule="auto"/>
        <w:rPr>
          <w:rFonts w:cstheme="minorHAnsi"/>
        </w:rPr>
      </w:pPr>
    </w:p>
    <w:p w14:paraId="03D084E9" w14:textId="2B88917E" w:rsidR="00780260" w:rsidRPr="00460B77" w:rsidRDefault="00780260" w:rsidP="00780260">
      <w:pPr>
        <w:spacing w:after="0" w:line="360" w:lineRule="auto"/>
        <w:rPr>
          <w:rFonts w:cstheme="minorHAnsi"/>
        </w:rPr>
      </w:pPr>
      <w:r w:rsidRPr="00460B77">
        <w:rPr>
          <w:rFonts w:cstheme="minorHAnsi"/>
        </w:rPr>
        <w:t>So, to clarify the key components of the framework:</w:t>
      </w:r>
    </w:p>
    <w:p w14:paraId="71878455" w14:textId="77777777" w:rsidR="00780260" w:rsidRPr="00460B77" w:rsidRDefault="00780260" w:rsidP="00780260">
      <w:pPr>
        <w:pStyle w:val="ListParagraph"/>
        <w:numPr>
          <w:ilvl w:val="0"/>
          <w:numId w:val="4"/>
        </w:numPr>
        <w:spacing w:after="0" w:line="360" w:lineRule="auto"/>
        <w:rPr>
          <w:rFonts w:cstheme="minorHAnsi"/>
        </w:rPr>
      </w:pPr>
      <w:r w:rsidRPr="00460B77">
        <w:rPr>
          <w:rFonts w:cstheme="minorHAnsi"/>
        </w:rPr>
        <w:t>Individuals – either single users, or cohort groups. Their attributes start with, for example, their willingness to engage with new ways of working, through their knowledge of the technology and includes aspects such as their motivation and team (or organisational) dynamics.</w:t>
      </w:r>
    </w:p>
    <w:p w14:paraId="76EC98BA" w14:textId="77777777" w:rsidR="00780260" w:rsidRPr="00460B77" w:rsidRDefault="00780260" w:rsidP="00780260">
      <w:pPr>
        <w:pStyle w:val="ListParagraph"/>
        <w:numPr>
          <w:ilvl w:val="0"/>
          <w:numId w:val="4"/>
        </w:numPr>
        <w:spacing w:after="0" w:line="360" w:lineRule="auto"/>
        <w:rPr>
          <w:rFonts w:cstheme="minorHAnsi"/>
        </w:rPr>
      </w:pPr>
      <w:r w:rsidRPr="00460B77">
        <w:rPr>
          <w:rFonts w:cstheme="minorHAnsi"/>
        </w:rPr>
        <w:t>Tasks – or components of tasks. Attributes of tasks would be seen in their complexity and establishing the sequence of steps required for task fulfilment. The interdependence of task components would be a further example of task attributes.</w:t>
      </w:r>
    </w:p>
    <w:p w14:paraId="6DAC0E7B" w14:textId="77777777" w:rsidR="00780260" w:rsidRPr="00460B77" w:rsidRDefault="00780260" w:rsidP="00780260">
      <w:pPr>
        <w:pStyle w:val="ListParagraph"/>
        <w:numPr>
          <w:ilvl w:val="0"/>
          <w:numId w:val="4"/>
        </w:numPr>
        <w:spacing w:line="360" w:lineRule="auto"/>
        <w:rPr>
          <w:rFonts w:cstheme="minorHAnsi"/>
        </w:rPr>
      </w:pPr>
      <w:r w:rsidRPr="00460B77">
        <w:rPr>
          <w:rFonts w:cstheme="minorHAnsi"/>
        </w:rPr>
        <w:t>Technology – or the ‘tool’ necessary to perform a task (it has been emphasized that this is true whether it is a computer based or paper based execution). Tool availability and accessibility are examples of attributes to be considered. They would be closely followed by the usability and functionality relevant to the task in hand.</w:t>
      </w:r>
    </w:p>
    <w:p w14:paraId="7CB468B6" w14:textId="77777777" w:rsidR="00780260" w:rsidRPr="00460B77" w:rsidRDefault="00780260" w:rsidP="00780260">
      <w:pPr>
        <w:spacing w:line="360" w:lineRule="auto"/>
        <w:rPr>
          <w:rFonts w:cstheme="minorHAnsi"/>
        </w:rPr>
      </w:pPr>
    </w:p>
    <w:p w14:paraId="22A0D32A" w14:textId="59F8C45C" w:rsidR="00780260" w:rsidRPr="00460B77" w:rsidRDefault="00780260" w:rsidP="00780260">
      <w:pPr>
        <w:spacing w:line="360" w:lineRule="auto"/>
        <w:rPr>
          <w:rFonts w:cstheme="minorHAnsi"/>
        </w:rPr>
      </w:pPr>
      <w:r w:rsidRPr="00460B77">
        <w:rPr>
          <w:rFonts w:cstheme="minorHAnsi"/>
        </w:rPr>
        <w:t>Interestingly, it has been proposed that patients also be considered as a stakeholder within the ‘individual’ component (Kujala et al., 2020). This has been considered on occasion (Zulman et al., 2015) but has not become common practice. Clearly when looking at the evolution of personalised healthcare and eHealth, individuals will be taking a more active role and, by definition, will be becoming ‘users’. This is certainly an area where active research is warranted, and no doubt already underway. The identification of the patient as a ‘user’ has begun to appear in the literature. The rapid rise in e-Health tools for self-management has provided opportunity to move from a theoretical discussion to real world considerations. This aspect is a challenge for the specialty of palliative care which prides itself upon the personal and holistic approach, emphasizing communication. However there are areas where ‘high tech’ can be substituted for ‘high touch’ (Davis et al., 2019). The inclusion of the FITT framework has taken a few more years to be part of the evaluation. It has certainly aided the development of real world tools. For example, Nilsson (Nilsson et al., 2020) used the FITT framework to generate a thematic analysis (with ten subcategories) regarding the usability of a web based application for self-care activities after prostate cancer surgery.</w:t>
      </w:r>
    </w:p>
    <w:p w14:paraId="0ED1A98F" w14:textId="77777777" w:rsidR="00780260" w:rsidRPr="00460B77" w:rsidRDefault="00780260" w:rsidP="00780260">
      <w:pPr>
        <w:spacing w:line="360" w:lineRule="auto"/>
        <w:rPr>
          <w:rFonts w:cstheme="minorHAnsi"/>
        </w:rPr>
      </w:pPr>
    </w:p>
    <w:p w14:paraId="1C628860" w14:textId="77777777" w:rsidR="00780260" w:rsidRPr="00460B77" w:rsidRDefault="00780260" w:rsidP="00780260">
      <w:pPr>
        <w:spacing w:line="360" w:lineRule="auto"/>
        <w:rPr>
          <w:rFonts w:cstheme="minorHAnsi"/>
        </w:rPr>
      </w:pPr>
    </w:p>
    <w:p w14:paraId="362571BF" w14:textId="77777777" w:rsidR="00026585" w:rsidRDefault="00026585" w:rsidP="00780260">
      <w:pPr>
        <w:spacing w:after="0" w:line="360" w:lineRule="auto"/>
        <w:rPr>
          <w:rFonts w:cstheme="minorHAnsi"/>
        </w:rPr>
      </w:pPr>
    </w:p>
    <w:p w14:paraId="0B1691E9" w14:textId="49D2C6E7" w:rsidR="00780260" w:rsidRPr="00460B77" w:rsidRDefault="00780260" w:rsidP="00780260">
      <w:pPr>
        <w:spacing w:after="0" w:line="360" w:lineRule="auto"/>
        <w:rPr>
          <w:rFonts w:cstheme="minorHAnsi"/>
        </w:rPr>
      </w:pPr>
      <w:r w:rsidRPr="00460B77">
        <w:rPr>
          <w:rFonts w:cstheme="minorHAnsi"/>
        </w:rPr>
        <w:t>The initial premis has been developed since but these core components have not undergone refining. Whereas Ammenwerth et al. (Ammenwerth, Iller and Mahler, 2006) approached this theoretically with a retrospective consideration of a clinical scenario; Prgomet took the framework and used it prospectively across several wards in an Australian hospital (Prgomet et al., 2019). The consideration that they were able to add was that the FITT framework would benefit from an extension to include environmental factors. Specifically they were able to identify real world influences on the adoption, or acceptance, of technology. Observations included:</w:t>
      </w:r>
    </w:p>
    <w:p w14:paraId="7BE8529C" w14:textId="77777777" w:rsidR="00780260" w:rsidRPr="00460B77" w:rsidRDefault="00780260" w:rsidP="00780260">
      <w:pPr>
        <w:pStyle w:val="ListParagraph"/>
        <w:numPr>
          <w:ilvl w:val="0"/>
          <w:numId w:val="5"/>
        </w:numPr>
        <w:spacing w:after="0" w:line="360" w:lineRule="auto"/>
        <w:rPr>
          <w:rFonts w:cstheme="minorHAnsi"/>
        </w:rPr>
      </w:pPr>
      <w:r w:rsidRPr="00460B77">
        <w:rPr>
          <w:rFonts w:cstheme="minorHAnsi"/>
        </w:rPr>
        <w:t>limitations when caring for patients requiring isolation for infection control purposes, such that staff could not take computers into the room or to the bedside so had to access or record information outside of the room.</w:t>
      </w:r>
    </w:p>
    <w:p w14:paraId="1AB62901" w14:textId="77777777" w:rsidR="00780260" w:rsidRPr="00460B77" w:rsidRDefault="00780260" w:rsidP="00780260">
      <w:pPr>
        <w:pStyle w:val="ListParagraph"/>
        <w:numPr>
          <w:ilvl w:val="0"/>
          <w:numId w:val="5"/>
        </w:numPr>
        <w:spacing w:after="0" w:line="360" w:lineRule="auto"/>
        <w:rPr>
          <w:rFonts w:cstheme="minorHAnsi"/>
        </w:rPr>
      </w:pPr>
      <w:r w:rsidRPr="00460B77">
        <w:rPr>
          <w:rFonts w:cstheme="minorHAnsi"/>
        </w:rPr>
        <w:t>battery life, of the COWs (computers on wheels) was also observed as a limiting factor in their portability and usability.</w:t>
      </w:r>
    </w:p>
    <w:p w14:paraId="594FC86E" w14:textId="77777777" w:rsidR="00780260" w:rsidRPr="00460B77" w:rsidRDefault="00780260" w:rsidP="00780260">
      <w:pPr>
        <w:pStyle w:val="ListParagraph"/>
        <w:numPr>
          <w:ilvl w:val="0"/>
          <w:numId w:val="5"/>
        </w:numPr>
        <w:spacing w:line="360" w:lineRule="auto"/>
        <w:rPr>
          <w:rFonts w:cstheme="minorHAnsi"/>
        </w:rPr>
      </w:pPr>
      <w:r w:rsidRPr="00460B77">
        <w:rPr>
          <w:rFonts w:cstheme="minorHAnsi"/>
        </w:rPr>
        <w:t>‘temporal rhythms’ were seen to influence device usage. In the clinical environment there were times when high demand for devices impacted the clinical activity such as morning ward rounds at the same times as the ward rounds. (arguably more devices could be made available but then there would be surplus devices for extended periods – more an ethical discussion that could be had regarding the principle of justice with respect to resources).</w:t>
      </w:r>
    </w:p>
    <w:p w14:paraId="64C8FF39" w14:textId="77777777" w:rsidR="00780260" w:rsidRPr="00460B77" w:rsidRDefault="00780260" w:rsidP="00780260">
      <w:pPr>
        <w:spacing w:line="360" w:lineRule="auto"/>
        <w:rPr>
          <w:rFonts w:cstheme="minorHAnsi"/>
        </w:rPr>
      </w:pPr>
    </w:p>
    <w:p w14:paraId="0DF410B1" w14:textId="77777777" w:rsidR="00780260" w:rsidRPr="00460B77" w:rsidRDefault="00780260" w:rsidP="00780260">
      <w:pPr>
        <w:spacing w:line="360" w:lineRule="auto"/>
        <w:rPr>
          <w:rFonts w:cstheme="minorHAnsi"/>
        </w:rPr>
      </w:pPr>
    </w:p>
    <w:p w14:paraId="5EF091DF" w14:textId="77777777" w:rsidR="00026585" w:rsidRDefault="00026585">
      <w:pPr>
        <w:rPr>
          <w:rFonts w:cstheme="minorHAnsi"/>
          <w:b/>
        </w:rPr>
      </w:pPr>
      <w:r>
        <w:rPr>
          <w:rFonts w:cstheme="minorHAnsi"/>
          <w:b/>
        </w:rPr>
        <w:br w:type="page"/>
      </w:r>
    </w:p>
    <w:p w14:paraId="673107C0" w14:textId="7ACE7F24" w:rsidR="00780260" w:rsidRPr="00C9025B" w:rsidRDefault="00780260" w:rsidP="00780260">
      <w:pPr>
        <w:spacing w:line="360" w:lineRule="auto"/>
        <w:rPr>
          <w:rFonts w:cstheme="minorHAnsi"/>
          <w:b/>
        </w:rPr>
      </w:pPr>
      <w:r w:rsidRPr="00C9025B">
        <w:rPr>
          <w:rFonts w:cstheme="minorHAnsi"/>
          <w:b/>
        </w:rPr>
        <w:lastRenderedPageBreak/>
        <w:t>Evaluation</w:t>
      </w:r>
    </w:p>
    <w:p w14:paraId="5F034C74" w14:textId="77777777" w:rsidR="00780260" w:rsidRPr="00460B77" w:rsidRDefault="00780260" w:rsidP="00780260">
      <w:pPr>
        <w:spacing w:line="360" w:lineRule="auto"/>
        <w:rPr>
          <w:rFonts w:cstheme="minorHAnsi"/>
        </w:rPr>
      </w:pPr>
      <w:r w:rsidRPr="00460B77">
        <w:rPr>
          <w:rFonts w:cstheme="minorHAnsi"/>
        </w:rPr>
        <w:t>Given the timeframe this is a retrospective consideration of the ‘alert’ project (rather than a prospective analysis of a new system).</w:t>
      </w:r>
    </w:p>
    <w:p w14:paraId="1C98FA13" w14:textId="77777777" w:rsidR="00780260" w:rsidRPr="00460B77" w:rsidRDefault="00780260" w:rsidP="00780260">
      <w:pPr>
        <w:spacing w:line="360" w:lineRule="auto"/>
        <w:rPr>
          <w:rFonts w:cstheme="minorHAnsi"/>
        </w:rPr>
      </w:pPr>
      <w:r w:rsidRPr="00460B77">
        <w:rPr>
          <w:rFonts w:cstheme="minorHAnsi"/>
        </w:rPr>
        <w:t xml:space="preserve">The luxury of a qualitative study such as Zhai’s would be the aspirational dream (Zhai et al., 2022). This was an observational study of the participants with a number of semi-structured interviews. The setting was a very large (2000 bed) specialist hospital in China. The principal project was to roll out a ‘nursing clinical decision support system’ across the hospital; Zhai’s work uses the FITT framework to shape their evaluation of the IT adoption process. The results claimed to have identified twelve categories (as only eleven are detailed), which were able to be themed as barriers or facilitators to system implementation.  </w:t>
      </w:r>
    </w:p>
    <w:p w14:paraId="33BE6F03" w14:textId="77777777" w:rsidR="00780260" w:rsidRPr="00460B77" w:rsidRDefault="00780260" w:rsidP="00780260">
      <w:pPr>
        <w:spacing w:line="360" w:lineRule="auto"/>
        <w:rPr>
          <w:rFonts w:cstheme="minorHAnsi"/>
        </w:rPr>
      </w:pPr>
    </w:p>
    <w:tbl>
      <w:tblPr>
        <w:tblStyle w:val="TableGrid"/>
        <w:tblW w:w="0" w:type="auto"/>
        <w:tblInd w:w="704" w:type="dxa"/>
        <w:tblLook w:val="04A0" w:firstRow="1" w:lastRow="0" w:firstColumn="1" w:lastColumn="0" w:noHBand="0" w:noVBand="1"/>
      </w:tblPr>
      <w:tblGrid>
        <w:gridCol w:w="1199"/>
        <w:gridCol w:w="3193"/>
        <w:gridCol w:w="3628"/>
      </w:tblGrid>
      <w:tr w:rsidR="00780260" w:rsidRPr="00460B77" w14:paraId="4AD326F5" w14:textId="77777777" w:rsidTr="00724133">
        <w:tc>
          <w:tcPr>
            <w:tcW w:w="1199" w:type="dxa"/>
            <w:shd w:val="clear" w:color="auto" w:fill="D9D9D9" w:themeFill="background1" w:themeFillShade="D9"/>
          </w:tcPr>
          <w:p w14:paraId="2BB5A434" w14:textId="77777777" w:rsidR="00780260" w:rsidRPr="00460B77" w:rsidRDefault="00780260" w:rsidP="00724133">
            <w:pPr>
              <w:spacing w:line="276" w:lineRule="auto"/>
              <w:rPr>
                <w:rFonts w:cstheme="minorHAnsi"/>
              </w:rPr>
            </w:pPr>
            <w:r w:rsidRPr="00460B77">
              <w:rPr>
                <w:rFonts w:cstheme="minorHAnsi"/>
              </w:rPr>
              <w:t>Theme</w:t>
            </w:r>
          </w:p>
        </w:tc>
        <w:tc>
          <w:tcPr>
            <w:tcW w:w="3193" w:type="dxa"/>
            <w:shd w:val="clear" w:color="auto" w:fill="D9D9D9" w:themeFill="background1" w:themeFillShade="D9"/>
          </w:tcPr>
          <w:p w14:paraId="726917C2" w14:textId="77777777" w:rsidR="00780260" w:rsidRPr="00460B77" w:rsidRDefault="00780260" w:rsidP="00724133">
            <w:pPr>
              <w:spacing w:line="276" w:lineRule="auto"/>
              <w:rPr>
                <w:rFonts w:cstheme="minorHAnsi"/>
              </w:rPr>
            </w:pPr>
            <w:r w:rsidRPr="00460B77">
              <w:rPr>
                <w:rFonts w:cstheme="minorHAnsi"/>
              </w:rPr>
              <w:t>Category</w:t>
            </w:r>
          </w:p>
        </w:tc>
        <w:tc>
          <w:tcPr>
            <w:tcW w:w="3628" w:type="dxa"/>
            <w:shd w:val="clear" w:color="auto" w:fill="D9D9D9" w:themeFill="background1" w:themeFillShade="D9"/>
          </w:tcPr>
          <w:p w14:paraId="44C16882" w14:textId="77777777" w:rsidR="00780260" w:rsidRPr="00460B77" w:rsidRDefault="00780260" w:rsidP="00724133">
            <w:pPr>
              <w:spacing w:line="276" w:lineRule="auto"/>
              <w:rPr>
                <w:rFonts w:cstheme="minorHAnsi"/>
              </w:rPr>
            </w:pPr>
            <w:r w:rsidRPr="00460B77">
              <w:rPr>
                <w:rFonts w:cstheme="minorHAnsi"/>
              </w:rPr>
              <w:t>Fit between attributes within the FITT framework</w:t>
            </w:r>
          </w:p>
        </w:tc>
      </w:tr>
      <w:tr w:rsidR="00780260" w:rsidRPr="00460B77" w14:paraId="54EFED48" w14:textId="77777777" w:rsidTr="00724133">
        <w:tc>
          <w:tcPr>
            <w:tcW w:w="1199" w:type="dxa"/>
            <w:vMerge w:val="restart"/>
          </w:tcPr>
          <w:p w14:paraId="218A55C7" w14:textId="77777777" w:rsidR="00780260" w:rsidRPr="00460B77" w:rsidRDefault="00780260" w:rsidP="00724133">
            <w:pPr>
              <w:spacing w:line="276" w:lineRule="auto"/>
              <w:rPr>
                <w:rFonts w:cstheme="minorHAnsi"/>
              </w:rPr>
            </w:pPr>
            <w:r w:rsidRPr="00460B77">
              <w:rPr>
                <w:rFonts w:cstheme="minorHAnsi"/>
              </w:rPr>
              <w:t>Barriers</w:t>
            </w:r>
          </w:p>
        </w:tc>
        <w:tc>
          <w:tcPr>
            <w:tcW w:w="3193" w:type="dxa"/>
          </w:tcPr>
          <w:p w14:paraId="530985CA" w14:textId="77777777" w:rsidR="00780260" w:rsidRPr="00460B77" w:rsidRDefault="00780260" w:rsidP="00724133">
            <w:pPr>
              <w:spacing w:line="276" w:lineRule="auto"/>
              <w:rPr>
                <w:rFonts w:cstheme="minorHAnsi"/>
              </w:rPr>
            </w:pPr>
            <w:r w:rsidRPr="00460B77">
              <w:rPr>
                <w:rFonts w:cstheme="minorHAnsi"/>
              </w:rPr>
              <w:t>Issue with Interface design</w:t>
            </w:r>
          </w:p>
        </w:tc>
        <w:tc>
          <w:tcPr>
            <w:tcW w:w="3628" w:type="dxa"/>
          </w:tcPr>
          <w:p w14:paraId="2F5E6FB3" w14:textId="77777777" w:rsidR="00780260" w:rsidRPr="00460B77" w:rsidRDefault="00780260" w:rsidP="00724133">
            <w:pPr>
              <w:spacing w:line="276" w:lineRule="auto"/>
              <w:rPr>
                <w:rFonts w:cstheme="minorHAnsi"/>
              </w:rPr>
            </w:pPr>
            <w:r w:rsidRPr="00460B77">
              <w:rPr>
                <w:rFonts w:cstheme="minorHAnsi"/>
              </w:rPr>
              <w:t>Task &amp; Technology</w:t>
            </w:r>
          </w:p>
        </w:tc>
      </w:tr>
      <w:tr w:rsidR="00780260" w:rsidRPr="00460B77" w14:paraId="5725E16E" w14:textId="77777777" w:rsidTr="00724133">
        <w:tc>
          <w:tcPr>
            <w:tcW w:w="1199" w:type="dxa"/>
            <w:vMerge/>
          </w:tcPr>
          <w:p w14:paraId="136ED965" w14:textId="77777777" w:rsidR="00780260" w:rsidRPr="00460B77" w:rsidRDefault="00780260" w:rsidP="00724133">
            <w:pPr>
              <w:spacing w:line="276" w:lineRule="auto"/>
              <w:rPr>
                <w:rFonts w:cstheme="minorHAnsi"/>
              </w:rPr>
            </w:pPr>
          </w:p>
        </w:tc>
        <w:tc>
          <w:tcPr>
            <w:tcW w:w="3193" w:type="dxa"/>
          </w:tcPr>
          <w:p w14:paraId="1E96C34C" w14:textId="77777777" w:rsidR="00780260" w:rsidRPr="00460B77" w:rsidRDefault="00780260" w:rsidP="00724133">
            <w:pPr>
              <w:spacing w:line="276" w:lineRule="auto"/>
              <w:rPr>
                <w:rFonts w:cstheme="minorHAnsi"/>
              </w:rPr>
            </w:pPr>
            <w:r w:rsidRPr="00460B77">
              <w:rPr>
                <w:rFonts w:cstheme="minorHAnsi"/>
              </w:rPr>
              <w:t>Issues with Information linkage</w:t>
            </w:r>
          </w:p>
        </w:tc>
        <w:tc>
          <w:tcPr>
            <w:tcW w:w="3628" w:type="dxa"/>
          </w:tcPr>
          <w:p w14:paraId="18CEF8A7" w14:textId="77777777" w:rsidR="00780260" w:rsidRPr="00460B77" w:rsidRDefault="00780260" w:rsidP="00724133">
            <w:pPr>
              <w:spacing w:line="276" w:lineRule="auto"/>
              <w:rPr>
                <w:rFonts w:cstheme="minorHAnsi"/>
              </w:rPr>
            </w:pPr>
            <w:r w:rsidRPr="00460B77">
              <w:rPr>
                <w:rFonts w:cstheme="minorHAnsi"/>
              </w:rPr>
              <w:t>Task &amp; Technology</w:t>
            </w:r>
          </w:p>
        </w:tc>
      </w:tr>
      <w:tr w:rsidR="00780260" w:rsidRPr="00460B77" w14:paraId="150D612F" w14:textId="77777777" w:rsidTr="00724133">
        <w:tc>
          <w:tcPr>
            <w:tcW w:w="1199" w:type="dxa"/>
            <w:vMerge/>
          </w:tcPr>
          <w:p w14:paraId="63460CBB" w14:textId="77777777" w:rsidR="00780260" w:rsidRPr="00460B77" w:rsidRDefault="00780260" w:rsidP="00724133">
            <w:pPr>
              <w:spacing w:line="276" w:lineRule="auto"/>
              <w:rPr>
                <w:rFonts w:cstheme="minorHAnsi"/>
              </w:rPr>
            </w:pPr>
          </w:p>
        </w:tc>
        <w:tc>
          <w:tcPr>
            <w:tcW w:w="3193" w:type="dxa"/>
          </w:tcPr>
          <w:p w14:paraId="11633EA0" w14:textId="77777777" w:rsidR="00780260" w:rsidRPr="00460B77" w:rsidRDefault="00780260" w:rsidP="00724133">
            <w:pPr>
              <w:tabs>
                <w:tab w:val="left" w:pos="2295"/>
              </w:tabs>
              <w:spacing w:line="276" w:lineRule="auto"/>
              <w:rPr>
                <w:rFonts w:cstheme="minorHAnsi"/>
              </w:rPr>
            </w:pPr>
            <w:r w:rsidRPr="00460B77">
              <w:rPr>
                <w:rFonts w:cstheme="minorHAnsi"/>
              </w:rPr>
              <w:t>Struggling to accept the system</w:t>
            </w:r>
          </w:p>
        </w:tc>
        <w:tc>
          <w:tcPr>
            <w:tcW w:w="3628" w:type="dxa"/>
          </w:tcPr>
          <w:p w14:paraId="276627B0" w14:textId="77777777" w:rsidR="00780260" w:rsidRPr="00460B77" w:rsidRDefault="00780260" w:rsidP="00724133">
            <w:pPr>
              <w:spacing w:line="276" w:lineRule="auto"/>
              <w:rPr>
                <w:rFonts w:cstheme="minorHAnsi"/>
              </w:rPr>
            </w:pPr>
            <w:r w:rsidRPr="00460B77">
              <w:rPr>
                <w:rFonts w:cstheme="minorHAnsi"/>
              </w:rPr>
              <w:t>Individual &amp; Technology</w:t>
            </w:r>
          </w:p>
        </w:tc>
      </w:tr>
      <w:tr w:rsidR="00780260" w:rsidRPr="00460B77" w14:paraId="1A074474" w14:textId="77777777" w:rsidTr="00724133">
        <w:tc>
          <w:tcPr>
            <w:tcW w:w="1199" w:type="dxa"/>
            <w:vMerge/>
          </w:tcPr>
          <w:p w14:paraId="3D55FE2C" w14:textId="77777777" w:rsidR="00780260" w:rsidRPr="00460B77" w:rsidRDefault="00780260" w:rsidP="00724133">
            <w:pPr>
              <w:spacing w:line="276" w:lineRule="auto"/>
              <w:rPr>
                <w:rFonts w:cstheme="minorHAnsi"/>
              </w:rPr>
            </w:pPr>
          </w:p>
        </w:tc>
        <w:tc>
          <w:tcPr>
            <w:tcW w:w="3193" w:type="dxa"/>
          </w:tcPr>
          <w:p w14:paraId="2704BD5F" w14:textId="77777777" w:rsidR="00780260" w:rsidRPr="00460B77" w:rsidRDefault="00780260" w:rsidP="00724133">
            <w:pPr>
              <w:spacing w:line="276" w:lineRule="auto"/>
              <w:rPr>
                <w:rFonts w:cstheme="minorHAnsi"/>
              </w:rPr>
            </w:pPr>
            <w:r w:rsidRPr="00460B77">
              <w:rPr>
                <w:rFonts w:cstheme="minorHAnsi"/>
              </w:rPr>
              <w:t>Inter-professional barriers</w:t>
            </w:r>
          </w:p>
        </w:tc>
        <w:tc>
          <w:tcPr>
            <w:tcW w:w="3628" w:type="dxa"/>
          </w:tcPr>
          <w:p w14:paraId="7BE1A1C0" w14:textId="77777777" w:rsidR="00780260" w:rsidRPr="00460B77" w:rsidRDefault="00780260" w:rsidP="00724133">
            <w:pPr>
              <w:spacing w:line="276" w:lineRule="auto"/>
              <w:rPr>
                <w:rFonts w:cstheme="minorHAnsi"/>
              </w:rPr>
            </w:pPr>
            <w:r w:rsidRPr="00460B77">
              <w:rPr>
                <w:rFonts w:cstheme="minorHAnsi"/>
              </w:rPr>
              <w:t>Not matched</w:t>
            </w:r>
          </w:p>
        </w:tc>
      </w:tr>
      <w:tr w:rsidR="00780260" w:rsidRPr="00460B77" w14:paraId="0C8F4790" w14:textId="77777777" w:rsidTr="00724133">
        <w:tc>
          <w:tcPr>
            <w:tcW w:w="1199" w:type="dxa"/>
            <w:vMerge/>
          </w:tcPr>
          <w:p w14:paraId="23D9D9CE" w14:textId="77777777" w:rsidR="00780260" w:rsidRPr="00460B77" w:rsidRDefault="00780260" w:rsidP="00724133">
            <w:pPr>
              <w:spacing w:line="276" w:lineRule="auto"/>
              <w:rPr>
                <w:rFonts w:cstheme="minorHAnsi"/>
              </w:rPr>
            </w:pPr>
          </w:p>
        </w:tc>
        <w:tc>
          <w:tcPr>
            <w:tcW w:w="3193" w:type="dxa"/>
          </w:tcPr>
          <w:p w14:paraId="77856822" w14:textId="77777777" w:rsidR="00780260" w:rsidRPr="00460B77" w:rsidRDefault="00780260" w:rsidP="00724133">
            <w:pPr>
              <w:spacing w:line="276" w:lineRule="auto"/>
              <w:rPr>
                <w:rFonts w:cstheme="minorHAnsi"/>
              </w:rPr>
            </w:pPr>
            <w:r w:rsidRPr="00460B77">
              <w:rPr>
                <w:rFonts w:cstheme="minorHAnsi"/>
              </w:rPr>
              <w:t>Lack of a standard practice</w:t>
            </w:r>
          </w:p>
        </w:tc>
        <w:tc>
          <w:tcPr>
            <w:tcW w:w="3628" w:type="dxa"/>
          </w:tcPr>
          <w:p w14:paraId="53F8D850" w14:textId="77777777" w:rsidR="00780260" w:rsidRPr="00460B77" w:rsidRDefault="00780260" w:rsidP="00724133">
            <w:pPr>
              <w:spacing w:line="276" w:lineRule="auto"/>
              <w:rPr>
                <w:rFonts w:cstheme="minorHAnsi"/>
              </w:rPr>
            </w:pPr>
            <w:r w:rsidRPr="00460B77">
              <w:rPr>
                <w:rFonts w:cstheme="minorHAnsi"/>
              </w:rPr>
              <w:t>Individual &amp; Task</w:t>
            </w:r>
          </w:p>
        </w:tc>
      </w:tr>
      <w:tr w:rsidR="00780260" w:rsidRPr="00460B77" w14:paraId="78E317FE" w14:textId="77777777" w:rsidTr="00724133">
        <w:tc>
          <w:tcPr>
            <w:tcW w:w="1199" w:type="dxa"/>
            <w:vMerge/>
          </w:tcPr>
          <w:p w14:paraId="6FB91243" w14:textId="77777777" w:rsidR="00780260" w:rsidRPr="00460B77" w:rsidRDefault="00780260" w:rsidP="00724133">
            <w:pPr>
              <w:spacing w:line="276" w:lineRule="auto"/>
              <w:rPr>
                <w:rFonts w:cstheme="minorHAnsi"/>
              </w:rPr>
            </w:pPr>
          </w:p>
        </w:tc>
        <w:tc>
          <w:tcPr>
            <w:tcW w:w="3193" w:type="dxa"/>
          </w:tcPr>
          <w:p w14:paraId="29FE81F6" w14:textId="77777777" w:rsidR="00780260" w:rsidRPr="00460B77" w:rsidRDefault="00780260" w:rsidP="00724133">
            <w:pPr>
              <w:spacing w:line="276" w:lineRule="auto"/>
              <w:rPr>
                <w:rFonts w:cstheme="minorHAnsi"/>
              </w:rPr>
            </w:pPr>
            <w:r w:rsidRPr="00460B77">
              <w:rPr>
                <w:rFonts w:cstheme="minorHAnsi"/>
              </w:rPr>
              <w:t>Increased workload</w:t>
            </w:r>
          </w:p>
        </w:tc>
        <w:tc>
          <w:tcPr>
            <w:tcW w:w="3628" w:type="dxa"/>
          </w:tcPr>
          <w:p w14:paraId="23CC8A51" w14:textId="77777777" w:rsidR="00780260" w:rsidRPr="00460B77" w:rsidRDefault="00780260" w:rsidP="00724133">
            <w:pPr>
              <w:spacing w:line="276" w:lineRule="auto"/>
              <w:rPr>
                <w:rFonts w:cstheme="minorHAnsi"/>
              </w:rPr>
            </w:pPr>
            <w:r w:rsidRPr="00460B77">
              <w:rPr>
                <w:rFonts w:cstheme="minorHAnsi"/>
              </w:rPr>
              <w:t>Individual &amp; Task</w:t>
            </w:r>
          </w:p>
        </w:tc>
      </w:tr>
      <w:tr w:rsidR="00780260" w:rsidRPr="00460B77" w14:paraId="092A0051" w14:textId="77777777" w:rsidTr="00724133">
        <w:tc>
          <w:tcPr>
            <w:tcW w:w="1199" w:type="dxa"/>
          </w:tcPr>
          <w:p w14:paraId="3B1C71EC" w14:textId="77777777" w:rsidR="00780260" w:rsidRPr="00460B77" w:rsidRDefault="00780260" w:rsidP="00724133">
            <w:pPr>
              <w:spacing w:line="276" w:lineRule="auto"/>
              <w:rPr>
                <w:rFonts w:cstheme="minorHAnsi"/>
              </w:rPr>
            </w:pPr>
            <w:r w:rsidRPr="00460B77">
              <w:rPr>
                <w:rFonts w:cstheme="minorHAnsi"/>
              </w:rPr>
              <w:t>Facilitators</w:t>
            </w:r>
          </w:p>
        </w:tc>
        <w:tc>
          <w:tcPr>
            <w:tcW w:w="3193" w:type="dxa"/>
          </w:tcPr>
          <w:p w14:paraId="4D4B2DF2" w14:textId="77777777" w:rsidR="00780260" w:rsidRPr="00460B77" w:rsidRDefault="00780260" w:rsidP="00724133">
            <w:pPr>
              <w:spacing w:line="276" w:lineRule="auto"/>
              <w:rPr>
                <w:rFonts w:cstheme="minorHAnsi"/>
              </w:rPr>
            </w:pPr>
            <w:r w:rsidRPr="00460B77">
              <w:rPr>
                <w:rFonts w:cstheme="minorHAnsi"/>
              </w:rPr>
              <w:t>Value of clinical decision support</w:t>
            </w:r>
          </w:p>
        </w:tc>
        <w:tc>
          <w:tcPr>
            <w:tcW w:w="3628" w:type="dxa"/>
          </w:tcPr>
          <w:p w14:paraId="582E7421" w14:textId="77777777" w:rsidR="00780260" w:rsidRPr="00460B77" w:rsidRDefault="00780260" w:rsidP="00724133">
            <w:pPr>
              <w:spacing w:line="276" w:lineRule="auto"/>
              <w:rPr>
                <w:rFonts w:cstheme="minorHAnsi"/>
              </w:rPr>
            </w:pPr>
            <w:r w:rsidRPr="00460B77">
              <w:rPr>
                <w:rFonts w:cstheme="minorHAnsi"/>
              </w:rPr>
              <w:t>Task &amp; Technology</w:t>
            </w:r>
          </w:p>
        </w:tc>
      </w:tr>
      <w:tr w:rsidR="00780260" w:rsidRPr="00460B77" w14:paraId="71C87BF4" w14:textId="77777777" w:rsidTr="00724133">
        <w:tc>
          <w:tcPr>
            <w:tcW w:w="1199" w:type="dxa"/>
          </w:tcPr>
          <w:p w14:paraId="2B5ACD3D" w14:textId="77777777" w:rsidR="00780260" w:rsidRPr="00460B77" w:rsidRDefault="00780260" w:rsidP="00724133">
            <w:pPr>
              <w:spacing w:line="276" w:lineRule="auto"/>
              <w:rPr>
                <w:rFonts w:cstheme="minorHAnsi"/>
              </w:rPr>
            </w:pPr>
          </w:p>
        </w:tc>
        <w:tc>
          <w:tcPr>
            <w:tcW w:w="3193" w:type="dxa"/>
          </w:tcPr>
          <w:p w14:paraId="55805E46" w14:textId="77777777" w:rsidR="00780260" w:rsidRPr="00460B77" w:rsidRDefault="00780260" w:rsidP="00724133">
            <w:pPr>
              <w:spacing w:line="276" w:lineRule="auto"/>
              <w:rPr>
                <w:rFonts w:cstheme="minorHAnsi"/>
              </w:rPr>
            </w:pPr>
            <w:r w:rsidRPr="00460B77">
              <w:rPr>
                <w:rFonts w:cstheme="minorHAnsi"/>
              </w:rPr>
              <w:t>Value of structured documentation templates</w:t>
            </w:r>
          </w:p>
        </w:tc>
        <w:tc>
          <w:tcPr>
            <w:tcW w:w="3628" w:type="dxa"/>
          </w:tcPr>
          <w:p w14:paraId="38AD775A" w14:textId="77777777" w:rsidR="00780260" w:rsidRPr="00460B77" w:rsidRDefault="00780260" w:rsidP="00724133">
            <w:pPr>
              <w:spacing w:line="276" w:lineRule="auto"/>
              <w:rPr>
                <w:rFonts w:cstheme="minorHAnsi"/>
              </w:rPr>
            </w:pPr>
            <w:r w:rsidRPr="00460B77">
              <w:rPr>
                <w:rFonts w:cstheme="minorHAnsi"/>
              </w:rPr>
              <w:t>Task &amp; Technology</w:t>
            </w:r>
          </w:p>
        </w:tc>
      </w:tr>
      <w:tr w:rsidR="00780260" w:rsidRPr="00460B77" w14:paraId="6CDBC834" w14:textId="77777777" w:rsidTr="00724133">
        <w:tc>
          <w:tcPr>
            <w:tcW w:w="1199" w:type="dxa"/>
          </w:tcPr>
          <w:p w14:paraId="33482BB0" w14:textId="77777777" w:rsidR="00780260" w:rsidRPr="00460B77" w:rsidRDefault="00780260" w:rsidP="00724133">
            <w:pPr>
              <w:spacing w:line="276" w:lineRule="auto"/>
              <w:rPr>
                <w:rFonts w:cstheme="minorHAnsi"/>
              </w:rPr>
            </w:pPr>
          </w:p>
        </w:tc>
        <w:tc>
          <w:tcPr>
            <w:tcW w:w="3193" w:type="dxa"/>
          </w:tcPr>
          <w:p w14:paraId="72C0D614" w14:textId="77777777" w:rsidR="00780260" w:rsidRPr="00460B77" w:rsidRDefault="00780260" w:rsidP="00724133">
            <w:pPr>
              <w:spacing w:line="276" w:lineRule="auto"/>
              <w:rPr>
                <w:rFonts w:cstheme="minorHAnsi"/>
              </w:rPr>
            </w:pPr>
            <w:r w:rsidRPr="00460B77">
              <w:rPr>
                <w:rFonts w:cstheme="minorHAnsi"/>
              </w:rPr>
              <w:t>Support from the technical staff</w:t>
            </w:r>
          </w:p>
        </w:tc>
        <w:tc>
          <w:tcPr>
            <w:tcW w:w="3628" w:type="dxa"/>
          </w:tcPr>
          <w:p w14:paraId="6AE1A09E" w14:textId="77777777" w:rsidR="00780260" w:rsidRPr="00460B77" w:rsidRDefault="00780260" w:rsidP="00724133">
            <w:pPr>
              <w:spacing w:line="276" w:lineRule="auto"/>
              <w:rPr>
                <w:rFonts w:cstheme="minorHAnsi"/>
              </w:rPr>
            </w:pPr>
            <w:r w:rsidRPr="00460B77">
              <w:rPr>
                <w:rFonts w:cstheme="minorHAnsi"/>
              </w:rPr>
              <w:t>Individual &amp; Technology</w:t>
            </w:r>
          </w:p>
        </w:tc>
      </w:tr>
      <w:tr w:rsidR="00780260" w:rsidRPr="00460B77" w14:paraId="74164719" w14:textId="77777777" w:rsidTr="00724133">
        <w:tc>
          <w:tcPr>
            <w:tcW w:w="1199" w:type="dxa"/>
          </w:tcPr>
          <w:p w14:paraId="469C6801" w14:textId="77777777" w:rsidR="00780260" w:rsidRPr="00460B77" w:rsidRDefault="00780260" w:rsidP="00724133">
            <w:pPr>
              <w:spacing w:line="276" w:lineRule="auto"/>
              <w:rPr>
                <w:rFonts w:cstheme="minorHAnsi"/>
              </w:rPr>
            </w:pPr>
          </w:p>
        </w:tc>
        <w:tc>
          <w:tcPr>
            <w:tcW w:w="3193" w:type="dxa"/>
          </w:tcPr>
          <w:p w14:paraId="794EC49A" w14:textId="77777777" w:rsidR="00780260" w:rsidRPr="00460B77" w:rsidRDefault="00780260" w:rsidP="00724133">
            <w:pPr>
              <w:spacing w:line="276" w:lineRule="auto"/>
              <w:rPr>
                <w:rFonts w:cstheme="minorHAnsi"/>
              </w:rPr>
            </w:pPr>
            <w:r w:rsidRPr="00460B77">
              <w:rPr>
                <w:rFonts w:cstheme="minorHAnsi"/>
              </w:rPr>
              <w:t>Management support</w:t>
            </w:r>
          </w:p>
        </w:tc>
        <w:tc>
          <w:tcPr>
            <w:tcW w:w="3628" w:type="dxa"/>
          </w:tcPr>
          <w:p w14:paraId="5DD94AC5" w14:textId="77777777" w:rsidR="00780260" w:rsidRPr="00460B77" w:rsidRDefault="00780260" w:rsidP="00724133">
            <w:pPr>
              <w:spacing w:line="276" w:lineRule="auto"/>
              <w:rPr>
                <w:rFonts w:cstheme="minorHAnsi"/>
              </w:rPr>
            </w:pPr>
            <w:r w:rsidRPr="00460B77">
              <w:rPr>
                <w:rFonts w:cstheme="minorHAnsi"/>
              </w:rPr>
              <w:t>Individual &amp; Technology</w:t>
            </w:r>
          </w:p>
        </w:tc>
      </w:tr>
      <w:tr w:rsidR="00780260" w:rsidRPr="00460B77" w14:paraId="501D5094" w14:textId="77777777" w:rsidTr="00724133">
        <w:tc>
          <w:tcPr>
            <w:tcW w:w="1199" w:type="dxa"/>
          </w:tcPr>
          <w:p w14:paraId="15B27AA1" w14:textId="77777777" w:rsidR="00780260" w:rsidRPr="00460B77" w:rsidRDefault="00780260" w:rsidP="00724133">
            <w:pPr>
              <w:spacing w:line="276" w:lineRule="auto"/>
              <w:rPr>
                <w:rFonts w:cstheme="minorHAnsi"/>
              </w:rPr>
            </w:pPr>
          </w:p>
        </w:tc>
        <w:tc>
          <w:tcPr>
            <w:tcW w:w="3193" w:type="dxa"/>
          </w:tcPr>
          <w:p w14:paraId="7B171F5E" w14:textId="77777777" w:rsidR="00780260" w:rsidRPr="00460B77" w:rsidRDefault="00780260" w:rsidP="00724133">
            <w:pPr>
              <w:spacing w:line="276" w:lineRule="auto"/>
              <w:rPr>
                <w:rFonts w:cstheme="minorHAnsi"/>
              </w:rPr>
            </w:pPr>
            <w:r w:rsidRPr="00460B77">
              <w:rPr>
                <w:rFonts w:cstheme="minorHAnsi"/>
              </w:rPr>
              <w:t>Adapting to the system</w:t>
            </w:r>
          </w:p>
        </w:tc>
        <w:tc>
          <w:tcPr>
            <w:tcW w:w="3628" w:type="dxa"/>
          </w:tcPr>
          <w:p w14:paraId="411B51C9" w14:textId="77777777" w:rsidR="00780260" w:rsidRPr="00460B77" w:rsidRDefault="00780260" w:rsidP="00724133">
            <w:pPr>
              <w:spacing w:line="276" w:lineRule="auto"/>
              <w:rPr>
                <w:rFonts w:cstheme="minorHAnsi"/>
              </w:rPr>
            </w:pPr>
            <w:r w:rsidRPr="00460B77">
              <w:rPr>
                <w:rFonts w:cstheme="minorHAnsi"/>
              </w:rPr>
              <w:t>Individual &amp; Technology</w:t>
            </w:r>
          </w:p>
        </w:tc>
      </w:tr>
    </w:tbl>
    <w:p w14:paraId="48B351C2" w14:textId="77777777" w:rsidR="002A7758" w:rsidRDefault="002A7758" w:rsidP="002A7758">
      <w:pPr>
        <w:spacing w:after="0" w:line="360" w:lineRule="auto"/>
        <w:rPr>
          <w:rFonts w:cstheme="minorHAnsi"/>
          <w:sz w:val="18"/>
          <w:szCs w:val="18"/>
        </w:rPr>
      </w:pPr>
    </w:p>
    <w:p w14:paraId="0FA91F53" w14:textId="0FD064AF" w:rsidR="00780260" w:rsidRPr="00460B77" w:rsidRDefault="00780260" w:rsidP="00780260">
      <w:pPr>
        <w:spacing w:line="360" w:lineRule="auto"/>
        <w:rPr>
          <w:rFonts w:cstheme="minorHAnsi"/>
          <w:sz w:val="18"/>
          <w:szCs w:val="18"/>
        </w:rPr>
      </w:pPr>
      <w:r w:rsidRPr="00460B77">
        <w:rPr>
          <w:rFonts w:cstheme="minorHAnsi"/>
          <w:sz w:val="18"/>
          <w:szCs w:val="18"/>
        </w:rPr>
        <w:t>Figure 4: Mapping Zhai’s categories into the FITT framework (Zhai et al., 2022)</w:t>
      </w:r>
    </w:p>
    <w:p w14:paraId="4D7AB843" w14:textId="77777777" w:rsidR="003075C4" w:rsidRDefault="003075C4" w:rsidP="00C9025B">
      <w:pPr>
        <w:spacing w:line="360" w:lineRule="auto"/>
        <w:rPr>
          <w:rFonts w:cstheme="minorHAnsi"/>
        </w:rPr>
      </w:pPr>
    </w:p>
    <w:p w14:paraId="4B610E83" w14:textId="1B455280" w:rsidR="00780260" w:rsidRPr="00460B77" w:rsidRDefault="00780260" w:rsidP="00C9025B">
      <w:pPr>
        <w:spacing w:line="360" w:lineRule="auto"/>
        <w:rPr>
          <w:rFonts w:cstheme="minorHAnsi"/>
        </w:rPr>
      </w:pPr>
      <w:r w:rsidRPr="00460B77">
        <w:rPr>
          <w:rFonts w:cstheme="minorHAnsi"/>
        </w:rPr>
        <w:t xml:space="preserve">The discussion provides an invaluable starting point for conversation, or consultation, with any prospective IT projects. As the table above illustrates, there are some aspects which can be readily mitigated for when moving from the theoretical context to the clinical realities. </w:t>
      </w:r>
    </w:p>
    <w:p w14:paraId="65769852" w14:textId="77777777" w:rsidR="00305A75" w:rsidRDefault="00780260" w:rsidP="00C9025B">
      <w:pPr>
        <w:spacing w:line="360" w:lineRule="auto"/>
        <w:rPr>
          <w:rFonts w:cstheme="minorHAnsi"/>
        </w:rPr>
      </w:pPr>
      <w:r w:rsidRPr="00460B77">
        <w:rPr>
          <w:rFonts w:cstheme="minorHAnsi"/>
        </w:rPr>
        <w:t>Returning to the simpler (and smaller) project being considered here – an ‘alert’ system as to when one of the cohort of community patients known to the team presented to one of the regional hospitals. An opportunity was made for reflection and group discussion within the team that have been making use of this system. Not a structured de-brief, nor a recorded focus group, but a frank consideration of the system; and its applicability and utility in its day-to-day role. Some observational notes, and anecdotal experiences, have also been possible but again are merely indicative due to the timeframe of this piece.</w:t>
      </w:r>
      <w:r>
        <w:rPr>
          <w:rFonts w:cstheme="minorHAnsi"/>
        </w:rPr>
        <w:t xml:space="preserve"> Although some quantitative data is available the lack of comparative information, or a standard to measure it against, minimises its usefulness here. It does not contribute to this discussion regarding adoption of the IT system.</w:t>
      </w:r>
    </w:p>
    <w:p w14:paraId="51AB002E" w14:textId="77777777" w:rsidR="00780260" w:rsidRPr="00CF244A" w:rsidRDefault="00780260" w:rsidP="00780260">
      <w:pPr>
        <w:spacing w:line="360" w:lineRule="auto"/>
        <w:rPr>
          <w:rFonts w:cstheme="minorHAnsi"/>
        </w:rPr>
      </w:pPr>
      <w:r>
        <w:rPr>
          <w:rFonts w:cstheme="minorHAnsi"/>
        </w:rPr>
        <w:t xml:space="preserve">Evaluation </w:t>
      </w:r>
      <w:r w:rsidRPr="00CF244A">
        <w:rPr>
          <w:rFonts w:cstheme="minorHAnsi"/>
        </w:rPr>
        <w:t>with the FITT framework is going to be the most insightful way forward for this real world clinical application. The first step in analysing the adoption of this system is to define what the component parts represent:</w:t>
      </w:r>
    </w:p>
    <w:p w14:paraId="2832D568" w14:textId="77777777" w:rsidR="00780260" w:rsidRPr="00CF244A" w:rsidRDefault="00780260" w:rsidP="00780260">
      <w:pPr>
        <w:pStyle w:val="ListParagraph"/>
        <w:numPr>
          <w:ilvl w:val="0"/>
          <w:numId w:val="6"/>
        </w:numPr>
        <w:spacing w:line="360" w:lineRule="auto"/>
        <w:rPr>
          <w:rFonts w:cstheme="minorHAnsi"/>
        </w:rPr>
      </w:pPr>
      <w:r w:rsidRPr="00CF244A">
        <w:rPr>
          <w:rFonts w:cstheme="minorHAnsi"/>
        </w:rPr>
        <w:lastRenderedPageBreak/>
        <w:t xml:space="preserve">The </w:t>
      </w:r>
      <w:r w:rsidRPr="00CF244A">
        <w:rPr>
          <w:rFonts w:cstheme="minorHAnsi"/>
          <w:b/>
        </w:rPr>
        <w:t>individual</w:t>
      </w:r>
      <w:r w:rsidRPr="00CF244A">
        <w:rPr>
          <w:rFonts w:cstheme="minorHAnsi"/>
        </w:rPr>
        <w:t xml:space="preserve"> will be each of the staff members. Seeing the individual as the user it is important that the administrative team are included in addition to the nursing team that have already been highlighted. For this project there is currently no component where the patient themselves can be considered a user (of this system). </w:t>
      </w:r>
    </w:p>
    <w:p w14:paraId="4131B173" w14:textId="77777777" w:rsidR="00780260" w:rsidRPr="00CF244A" w:rsidRDefault="00780260" w:rsidP="00780260">
      <w:pPr>
        <w:pStyle w:val="ListParagraph"/>
        <w:numPr>
          <w:ilvl w:val="0"/>
          <w:numId w:val="6"/>
        </w:numPr>
        <w:spacing w:line="360" w:lineRule="auto"/>
        <w:rPr>
          <w:rFonts w:cstheme="minorHAnsi"/>
        </w:rPr>
      </w:pPr>
      <w:r w:rsidRPr="00CF244A">
        <w:rPr>
          <w:rFonts w:cstheme="minorHAnsi"/>
        </w:rPr>
        <w:t xml:space="preserve">The </w:t>
      </w:r>
      <w:r w:rsidRPr="00CF244A">
        <w:rPr>
          <w:rFonts w:cstheme="minorHAnsi"/>
          <w:b/>
        </w:rPr>
        <w:t>technology</w:t>
      </w:r>
      <w:r w:rsidRPr="00CF244A">
        <w:rPr>
          <w:rFonts w:cstheme="minorHAnsi"/>
        </w:rPr>
        <w:t xml:space="preserve"> is the programme that has been developed in collaboration with the informatics department. It can appear synonymous with the task, but distinguishing between the two has been attempted. Specifically the technology may be the process of identifying individuals whom trigger the ‘alert’. </w:t>
      </w:r>
    </w:p>
    <w:p w14:paraId="2A716B3C" w14:textId="77777777" w:rsidR="00780260" w:rsidRPr="00CF244A" w:rsidRDefault="00780260" w:rsidP="00780260">
      <w:pPr>
        <w:pStyle w:val="ListParagraph"/>
        <w:numPr>
          <w:ilvl w:val="0"/>
          <w:numId w:val="6"/>
        </w:numPr>
        <w:spacing w:line="360" w:lineRule="auto"/>
        <w:rPr>
          <w:rFonts w:cstheme="minorHAnsi"/>
        </w:rPr>
      </w:pPr>
      <w:r w:rsidRPr="00CF244A">
        <w:rPr>
          <w:rFonts w:cstheme="minorHAnsi"/>
        </w:rPr>
        <w:t xml:space="preserve">The </w:t>
      </w:r>
      <w:r w:rsidRPr="00CF244A">
        <w:rPr>
          <w:rFonts w:cstheme="minorHAnsi"/>
          <w:b/>
        </w:rPr>
        <w:t>task</w:t>
      </w:r>
      <w:r w:rsidRPr="00CF244A">
        <w:rPr>
          <w:rFonts w:cstheme="minorHAnsi"/>
        </w:rPr>
        <w:t xml:space="preserve"> is then taking the ‘alert’ and communicating it in order that it is accessible. </w:t>
      </w:r>
    </w:p>
    <w:p w14:paraId="122D325C" w14:textId="3A9EB3A6" w:rsidR="00780260" w:rsidRPr="00CF244A" w:rsidRDefault="00780260" w:rsidP="00780260">
      <w:pPr>
        <w:spacing w:line="360" w:lineRule="auto"/>
        <w:rPr>
          <w:rFonts w:cstheme="minorHAnsi"/>
        </w:rPr>
      </w:pPr>
    </w:p>
    <w:p w14:paraId="6AF1A000" w14:textId="77777777" w:rsidR="00780260" w:rsidRPr="00C9025B" w:rsidRDefault="00780260" w:rsidP="00780260">
      <w:pPr>
        <w:spacing w:line="360" w:lineRule="auto"/>
        <w:rPr>
          <w:rFonts w:cstheme="minorHAnsi"/>
          <w:u w:val="single"/>
        </w:rPr>
      </w:pPr>
      <w:r w:rsidRPr="00C9025B">
        <w:rPr>
          <w:rFonts w:cstheme="minorHAnsi"/>
          <w:u w:val="single"/>
        </w:rPr>
        <w:t>Fit between the individual and the technology</w:t>
      </w:r>
    </w:p>
    <w:p w14:paraId="52942320" w14:textId="77777777" w:rsidR="00780260" w:rsidRPr="00CF244A" w:rsidRDefault="00780260" w:rsidP="00780260">
      <w:pPr>
        <w:spacing w:line="360" w:lineRule="auto"/>
        <w:rPr>
          <w:rFonts w:cstheme="minorHAnsi"/>
        </w:rPr>
      </w:pPr>
      <w:r w:rsidRPr="00CF244A">
        <w:rPr>
          <w:rFonts w:cstheme="minorHAnsi"/>
        </w:rPr>
        <w:t xml:space="preserve">There were two differing experiences described for the interactions between the individual and the technology. It was quickly evident that they reflected different parts of the process with the application of the technology. As with any constructive feedback – positives first. The individual user (or in our case, the specialist clinical nurse) found the technology alert easy to use. Linking the processing component to a generic e-mail ensured that there was a continued ability to monitor the ‘alert’ processes. The value that it was not dependent upon </w:t>
      </w:r>
      <w:r w:rsidRPr="00CF244A">
        <w:rPr>
          <w:rFonts w:cstheme="minorHAnsi"/>
        </w:rPr>
        <w:lastRenderedPageBreak/>
        <w:t>specific users but had a corporate ownership was appreciated. When questioned, it was acknowledged that there was a shared responsibility through this aspect of the project and that that shared ownership was a positive factor in the adoption of the system. Corporate responsibility is less intimidating as there is less blame evident at the surface level of analysis; however there is the benefit, when analysing at a deeper level, of the peer pressure effect. The desire to play one’s role within the team is a powerful influencer for compliance. A strength with the adoption of this system is that e-mail communication has become embedded throughout our society so was simply accepted. Some initial teething issues with accessing the generic account were raised. It was also acknowledged that these were readily managed and individual accounts synchronised as they needed to be. The ability of the system to work in real time (alerts being triggered within minutes of patient presentation) was described as “a platinum service”. This level of responsiveness was felt to be far more than would be required, but was simultaneously appreciated. The reliability of the technology also endeared it to the nursing team – they voiced appreciation that the system was able to function across the full week, rather than limitations to the ‘working week’ experienced elsewhere.</w:t>
      </w:r>
    </w:p>
    <w:p w14:paraId="181457AC" w14:textId="77777777" w:rsidR="00780260" w:rsidRPr="00CF244A" w:rsidRDefault="00780260" w:rsidP="00780260">
      <w:pPr>
        <w:spacing w:line="360" w:lineRule="auto"/>
        <w:rPr>
          <w:rFonts w:cstheme="minorHAnsi"/>
        </w:rPr>
      </w:pPr>
    </w:p>
    <w:p w14:paraId="5F741B2D" w14:textId="77777777" w:rsidR="00780260" w:rsidRPr="00CF244A" w:rsidRDefault="00780260" w:rsidP="00780260">
      <w:pPr>
        <w:spacing w:line="360" w:lineRule="auto"/>
        <w:rPr>
          <w:rFonts w:cstheme="minorHAnsi"/>
        </w:rPr>
      </w:pPr>
      <w:r w:rsidRPr="00CF244A">
        <w:rPr>
          <w:rFonts w:cstheme="minorHAnsi"/>
        </w:rPr>
        <w:lastRenderedPageBreak/>
        <w:t xml:space="preserve">However although the output technology has been set upon a pedestal, the input technology was not as robust. Silo’ed systems require a process of duplication as things stand currently. This is a result of the already recognised challenge that ‘NHS Wales has a significant amount of aging systems, some unsupported’. (NHS Wales. Digital Health and Care Wales, 2021) </w:t>
      </w:r>
    </w:p>
    <w:p w14:paraId="0443884F" w14:textId="77777777" w:rsidR="00780260" w:rsidRPr="005C2B5D" w:rsidRDefault="00780260" w:rsidP="00780260">
      <w:pPr>
        <w:spacing w:line="360" w:lineRule="auto"/>
        <w:rPr>
          <w:rFonts w:cstheme="minorHAnsi"/>
        </w:rPr>
      </w:pPr>
      <w:r w:rsidRPr="00CF244A">
        <w:rPr>
          <w:rFonts w:cstheme="minorHAnsi"/>
        </w:rPr>
        <w:t xml:space="preserve">Hence, the technology is dependent upon regular data entry to maintain its integrity, which was left to the administrative individual in the office. (I, personally, provided a back-up service as an interested and motivated individual, as no system should be dependent upon single links! The economic value of required resources (medical secretary or medical consultant) is a different deliberation.) As was identified at the beginning of this essay there is a turnover of, on average, fifty patients each month. The time commitment necessary can be calculated but the nature of referrals </w:t>
      </w:r>
      <w:r w:rsidRPr="005C2B5D">
        <w:rPr>
          <w:rFonts w:cstheme="minorHAnsi"/>
        </w:rPr>
        <w:t>and discharges will always be unpredictable.</w:t>
      </w:r>
    </w:p>
    <w:p w14:paraId="4451D53C" w14:textId="77777777" w:rsidR="00780260" w:rsidRPr="005C2B5D" w:rsidRDefault="00780260" w:rsidP="00780260">
      <w:pPr>
        <w:spacing w:line="360" w:lineRule="auto"/>
        <w:rPr>
          <w:rFonts w:cstheme="minorHAnsi"/>
        </w:rPr>
      </w:pPr>
    </w:p>
    <w:p w14:paraId="126E392A" w14:textId="77777777" w:rsidR="00780260" w:rsidRPr="00C9025B" w:rsidRDefault="00780260" w:rsidP="00780260">
      <w:pPr>
        <w:spacing w:line="360" w:lineRule="auto"/>
        <w:rPr>
          <w:rFonts w:cstheme="minorHAnsi"/>
          <w:u w:val="single"/>
        </w:rPr>
      </w:pPr>
      <w:r w:rsidRPr="00C9025B">
        <w:rPr>
          <w:rFonts w:cstheme="minorHAnsi"/>
          <w:u w:val="single"/>
        </w:rPr>
        <w:t>Fit between the technology and the task</w:t>
      </w:r>
    </w:p>
    <w:p w14:paraId="2993B5FC" w14:textId="77777777" w:rsidR="00780260" w:rsidRPr="005C2B5D" w:rsidRDefault="00780260" w:rsidP="00780260">
      <w:pPr>
        <w:spacing w:line="360" w:lineRule="auto"/>
        <w:rPr>
          <w:rFonts w:cstheme="minorHAnsi"/>
        </w:rPr>
      </w:pPr>
      <w:r w:rsidRPr="005C2B5D">
        <w:rPr>
          <w:rFonts w:cstheme="minorHAnsi"/>
        </w:rPr>
        <w:t>A good fit is dependent upon the tasks and processes being customised and delivered so that the needs and expectations of the user are met (Frykholm et al., 2016).</w:t>
      </w:r>
    </w:p>
    <w:p w14:paraId="22B94117" w14:textId="77777777" w:rsidR="00780260" w:rsidRPr="005C2B5D" w:rsidRDefault="00780260" w:rsidP="00780260">
      <w:pPr>
        <w:spacing w:line="360" w:lineRule="auto"/>
        <w:rPr>
          <w:rFonts w:cstheme="minorHAnsi"/>
        </w:rPr>
      </w:pPr>
      <w:r w:rsidRPr="005C2B5D">
        <w:rPr>
          <w:rFonts w:cstheme="minorHAnsi"/>
        </w:rPr>
        <w:t xml:space="preserve">This project was relatively simple compared to other ongoing projects. The task of identifying the patients known to our service was certainly achieved in an efficient manner. It has </w:t>
      </w:r>
      <w:r w:rsidRPr="005C2B5D">
        <w:rPr>
          <w:rFonts w:cstheme="minorHAnsi"/>
        </w:rPr>
        <w:lastRenderedPageBreak/>
        <w:t>already been commented upon that it was a dependable service throughout the whole week. At its basic level the alert is triggered by comparing two lists and finding any commonality (or patient details). The technology is reliant upon the information that is recorded on those independent lists. This is one of the system’s weak links - the recognisable euphemism, alleged originating from the early days of computer science, is “rubbish in, rubbish out”, as can be illustrated. Several times a patient triggers the alert more than once for the same presentation episode. This is instantly recognisable given all the details about date, time and place of presentation are identical. The technology and task are performing well but the record of active patients from the specialist palliative care team will contain a duplicate entry. Conversely, we have had an episode where the alert informed us that an individual had been admitted to the Special Care Baby Unit. Again clearly an error given our service is for adults only but not a fault of the technology itself – however it does illustrate that data entry errors also occur at the front door of the hospital.</w:t>
      </w:r>
    </w:p>
    <w:p w14:paraId="3802E034" w14:textId="77777777" w:rsidR="00780260" w:rsidRPr="005C2B5D" w:rsidRDefault="00780260" w:rsidP="00780260">
      <w:pPr>
        <w:spacing w:line="360" w:lineRule="auto"/>
        <w:rPr>
          <w:rFonts w:cstheme="minorHAnsi"/>
        </w:rPr>
      </w:pPr>
      <w:r w:rsidRPr="005C2B5D">
        <w:rPr>
          <w:rFonts w:cstheme="minorHAnsi"/>
        </w:rPr>
        <w:t xml:space="preserve">A possible extension to the project would be if we added an update feature so that virtual tracking of patients through the hospital was seen. Arguably the value of this is likely to be negligible as we have already identified who has been admitted, and are actively remaining informed as to their clinical course, and where we might be able to support each individual. There is no alert upon discharge but, as before, we ensure we are aware of the continuing plans. </w:t>
      </w:r>
    </w:p>
    <w:p w14:paraId="6160045A" w14:textId="77777777" w:rsidR="00780260" w:rsidRPr="005C2B5D" w:rsidRDefault="00780260" w:rsidP="00780260">
      <w:pPr>
        <w:spacing w:after="0" w:line="360" w:lineRule="auto"/>
        <w:rPr>
          <w:rFonts w:cstheme="minorHAnsi"/>
        </w:rPr>
      </w:pPr>
      <w:r w:rsidRPr="005C2B5D">
        <w:rPr>
          <w:rFonts w:cstheme="minorHAnsi"/>
        </w:rPr>
        <w:lastRenderedPageBreak/>
        <w:t xml:space="preserve">Frykholm et al. (Frykholm et al., 2016) looked at an eHealth project supporting transitional care (that is between paediatric and adult services; from a single (paediatric) clinician coordinating services to a single (general practitioner) clinician drawing upon various disparate specialties). They identified the cornerstones of the technology-task fit as: </w:t>
      </w:r>
    </w:p>
    <w:p w14:paraId="3B93EC41" w14:textId="77777777" w:rsidR="00780260" w:rsidRPr="005C2B5D" w:rsidRDefault="00780260" w:rsidP="00780260">
      <w:pPr>
        <w:pStyle w:val="ListParagraph"/>
        <w:numPr>
          <w:ilvl w:val="0"/>
          <w:numId w:val="7"/>
        </w:numPr>
        <w:spacing w:line="360" w:lineRule="auto"/>
        <w:rPr>
          <w:rFonts w:cstheme="minorHAnsi"/>
        </w:rPr>
      </w:pPr>
      <w:r w:rsidRPr="005C2B5D">
        <w:rPr>
          <w:rFonts w:cstheme="minorHAnsi"/>
        </w:rPr>
        <w:t xml:space="preserve">information, </w:t>
      </w:r>
    </w:p>
    <w:p w14:paraId="34DB413F" w14:textId="77777777" w:rsidR="00780260" w:rsidRPr="005C2B5D" w:rsidRDefault="00780260" w:rsidP="00780260">
      <w:pPr>
        <w:pStyle w:val="ListParagraph"/>
        <w:numPr>
          <w:ilvl w:val="0"/>
          <w:numId w:val="7"/>
        </w:numPr>
        <w:spacing w:line="360" w:lineRule="auto"/>
        <w:rPr>
          <w:rFonts w:cstheme="minorHAnsi"/>
        </w:rPr>
      </w:pPr>
      <w:r w:rsidRPr="005C2B5D">
        <w:rPr>
          <w:rFonts w:cstheme="minorHAnsi"/>
        </w:rPr>
        <w:t xml:space="preserve">interaction, </w:t>
      </w:r>
    </w:p>
    <w:p w14:paraId="5A62DA3D" w14:textId="77777777" w:rsidR="00780260" w:rsidRPr="005C2B5D" w:rsidRDefault="00780260" w:rsidP="00780260">
      <w:pPr>
        <w:pStyle w:val="ListParagraph"/>
        <w:numPr>
          <w:ilvl w:val="0"/>
          <w:numId w:val="7"/>
        </w:numPr>
        <w:spacing w:line="360" w:lineRule="auto"/>
        <w:rPr>
          <w:rFonts w:cstheme="minorHAnsi"/>
        </w:rPr>
      </w:pPr>
      <w:r w:rsidRPr="005C2B5D">
        <w:rPr>
          <w:rFonts w:cstheme="minorHAnsi"/>
        </w:rPr>
        <w:t>visualisation, and,</w:t>
      </w:r>
    </w:p>
    <w:p w14:paraId="1D5B3386" w14:textId="77777777" w:rsidR="00780260" w:rsidRPr="005C2B5D" w:rsidRDefault="00780260" w:rsidP="00780260">
      <w:pPr>
        <w:pStyle w:val="ListParagraph"/>
        <w:numPr>
          <w:ilvl w:val="0"/>
          <w:numId w:val="7"/>
        </w:numPr>
        <w:spacing w:line="360" w:lineRule="auto"/>
        <w:rPr>
          <w:rFonts w:cstheme="minorHAnsi"/>
        </w:rPr>
      </w:pPr>
      <w:r w:rsidRPr="005C2B5D">
        <w:rPr>
          <w:rFonts w:cstheme="minorHAnsi"/>
        </w:rPr>
        <w:t xml:space="preserve">communication. </w:t>
      </w:r>
    </w:p>
    <w:p w14:paraId="4ED45B98" w14:textId="77777777" w:rsidR="00780260" w:rsidRPr="00CF244A" w:rsidRDefault="00780260" w:rsidP="00780260">
      <w:pPr>
        <w:spacing w:line="360" w:lineRule="auto"/>
        <w:rPr>
          <w:rFonts w:cstheme="minorHAnsi"/>
        </w:rPr>
      </w:pPr>
      <w:r w:rsidRPr="005C2B5D">
        <w:rPr>
          <w:rFonts w:cstheme="minorHAnsi"/>
        </w:rPr>
        <w:t xml:space="preserve">These features are part of the mantra for specialist palliative care; so should certainly be echoed. They are certainly evident in this project and have definitely positively influenced the adoption of this IT system. </w:t>
      </w:r>
    </w:p>
    <w:p w14:paraId="5177E521" w14:textId="77777777" w:rsidR="00780260" w:rsidRDefault="00780260" w:rsidP="00780260">
      <w:pPr>
        <w:spacing w:line="360" w:lineRule="auto"/>
        <w:rPr>
          <w:rFonts w:cstheme="minorHAnsi"/>
        </w:rPr>
      </w:pPr>
    </w:p>
    <w:p w14:paraId="7F9E0909" w14:textId="77777777" w:rsidR="00780260" w:rsidRPr="00C9025B" w:rsidRDefault="00780260" w:rsidP="00780260">
      <w:pPr>
        <w:spacing w:line="360" w:lineRule="auto"/>
        <w:rPr>
          <w:u w:val="single"/>
        </w:rPr>
      </w:pPr>
      <w:r w:rsidRPr="00C9025B">
        <w:rPr>
          <w:u w:val="single"/>
        </w:rPr>
        <w:t>Fit between the individual and the task</w:t>
      </w:r>
    </w:p>
    <w:p w14:paraId="6CCDAD9B" w14:textId="77777777" w:rsidR="00780260" w:rsidRDefault="00780260" w:rsidP="00780260">
      <w:pPr>
        <w:spacing w:line="360" w:lineRule="auto"/>
      </w:pPr>
      <w:r>
        <w:t xml:space="preserve">The reflection on this project with the specialist palliative care nurses who were being alerted as to when and where their patients were presenting was extremely positive. They could verbalise, and provide definitive examples of, the positive clinical impact possible as a consequence of their being alerted as to patient admissions. Within the team there were </w:t>
      </w:r>
      <w:r>
        <w:lastRenderedPageBreak/>
        <w:t>early converts who were keen to explore the potential of this system. Very quickly the experience within the office increased the enthusiasm for more widespread engagement – illustrating the increased motivation for adoption of this IT system.</w:t>
      </w:r>
    </w:p>
    <w:p w14:paraId="2989FF95" w14:textId="77777777" w:rsidR="00780260" w:rsidRDefault="00780260" w:rsidP="00780260">
      <w:pPr>
        <w:spacing w:line="360" w:lineRule="auto"/>
      </w:pPr>
      <w:r>
        <w:t>They were keen to offer ideas about possible refinements which could develop the system further. One which it was possible to implement was for admissions to certain community hospitals to be highlighted to specific team members. There are five community hospitals within the area that is supported and each is primarily supported by an individual nurse. At the same time it was recognised no individual nurse will be working on each and every day. The approach to support this evolution was for rules within the generic e-mail account to be set up such that specific alert messages would be duplicated and forwarded to nominated individuals. Staff appreciated this as it helped triage the incoming messages. The district general hospitals have their own nurse specialists (“in-reaching” to the various wards, but only having involvement during the admission itself) with access to this system so they can provide the necessary support for that setting.</w:t>
      </w:r>
    </w:p>
    <w:p w14:paraId="2E1EBCBD" w14:textId="77777777" w:rsidR="00780260" w:rsidRDefault="00780260" w:rsidP="00780260">
      <w:pPr>
        <w:spacing w:line="360" w:lineRule="auto"/>
      </w:pPr>
      <w:r>
        <w:t>An additional consideration, which was not possible to navigate, was for admissions to the local hospices to trigger a similar alert mechanism. Hospices by their very nature are independent institutions and there was simply too little reward to be gained from the investment that would have been needed (not just hardware and software, but also the political dynamics).</w:t>
      </w:r>
    </w:p>
    <w:p w14:paraId="6C3B6EAE" w14:textId="77777777" w:rsidR="00780260" w:rsidRPr="004D23E3" w:rsidRDefault="00780260" w:rsidP="00780260">
      <w:pPr>
        <w:spacing w:line="360" w:lineRule="auto"/>
        <w:rPr>
          <w:rFonts w:cstheme="minorHAnsi"/>
        </w:rPr>
      </w:pPr>
      <w:r>
        <w:lastRenderedPageBreak/>
        <w:t xml:space="preserve">One other point of hesitation for the team early in the adoption process was regarding house-keeping rules of the generic account. It was learnt the hard way that the shared account will also mean that there are shared consequences. One enthusiastic individual was deleting e-mails that were not of relevance to them (as if it was their own e-mail account) without pausing to consider whether colleagues needed alerting. Once bitten twice shy – the team were quickly much more mindful of their actions. Some ground rules were set in place and the secretary (as the most </w:t>
      </w:r>
      <w:r w:rsidRPr="004D23E3">
        <w:t>constant presence in the office) largely has ownership of the generic account inbox.</w:t>
      </w:r>
      <w:r w:rsidRPr="004D23E3">
        <w:rPr>
          <w:rFonts w:cstheme="minorHAnsi"/>
        </w:rPr>
        <w:br w:type="page"/>
      </w:r>
    </w:p>
    <w:p w14:paraId="31F479C6" w14:textId="77777777" w:rsidR="00780260" w:rsidRPr="00C9025B" w:rsidRDefault="00780260" w:rsidP="00780260">
      <w:pPr>
        <w:spacing w:line="360" w:lineRule="auto"/>
        <w:rPr>
          <w:u w:val="single"/>
        </w:rPr>
      </w:pPr>
      <w:r w:rsidRPr="00C9025B">
        <w:rPr>
          <w:u w:val="single"/>
        </w:rPr>
        <w:lastRenderedPageBreak/>
        <w:t>‘Environmental factors’ as a FITT framework extension</w:t>
      </w:r>
    </w:p>
    <w:p w14:paraId="0AF06B69" w14:textId="77777777" w:rsidR="00780260" w:rsidRPr="004D23E3" w:rsidRDefault="00780260" w:rsidP="00780260">
      <w:pPr>
        <w:spacing w:line="360" w:lineRule="auto"/>
      </w:pPr>
      <w:r w:rsidRPr="004D23E3">
        <w:t>As a final consideration regarding this project it is prudent to consider ‘environmental factors’. This has clearly been established as an appropriate extension to the original FITT template, as highlighted earlier in this essay. The palliative care team were willing to explore their interface with this IT system. However, the practicalities in continuing to support the system were resulting in clinical compromise at times early in the adoption process. Specifically this was due to clinical staff needing to compensate for the vacant administrative position (this administrative role was not exclusive to this system; so the requirement to fulfil clerical aspects was a wider burden than simply supporting this IT system adoption). The regular maintenance of the team database (fifty individuals joining the caseload monthly, with a similar number being discharged from the active component of care) was felt to be onerous as an additional duty. It was contested that the resource implications compared to the benefit were debatable. The acknowledgement was that this was very much still a project in its pilot phase, so willingness was able to be sustained until a new (administrative) team member was appointed.</w:t>
      </w:r>
    </w:p>
    <w:p w14:paraId="445563C0" w14:textId="77777777" w:rsidR="00780260" w:rsidRPr="004D23E3" w:rsidRDefault="00780260" w:rsidP="00780260">
      <w:pPr>
        <w:spacing w:line="360" w:lineRule="auto"/>
      </w:pPr>
      <w:r w:rsidRPr="004D23E3">
        <w:t xml:space="preserve">Although the palliative care team have been pioneers in the development of this system, it has been effectively taken on by other specialties. In considering the environmental factors </w:t>
      </w:r>
      <w:r w:rsidRPr="004D23E3">
        <w:lastRenderedPageBreak/>
        <w:t xml:space="preserve">influencing its dynamism in practice it has been interesting to observe the other specialties harnessing the system. </w:t>
      </w:r>
    </w:p>
    <w:p w14:paraId="1AE096F7" w14:textId="77777777" w:rsidR="00780260" w:rsidRPr="004D23E3" w:rsidRDefault="00780260" w:rsidP="00780260">
      <w:pPr>
        <w:pStyle w:val="ListParagraph"/>
        <w:numPr>
          <w:ilvl w:val="0"/>
          <w:numId w:val="8"/>
        </w:numPr>
        <w:spacing w:line="360" w:lineRule="auto"/>
      </w:pPr>
      <w:r w:rsidRPr="004D23E3">
        <w:t xml:space="preserve">The care coordinators for those patients who have Motor Neurone Disease can track where and when those individuals present to the various regional hospitals. Given that there is limited experience of MND as it is a relatively rare condition; being able to support and guide the teams directly involved optimises the care possible. For example, alerting the professionals already involved (typically therapists and other professions allied to medicine) to minimise duplication and reinforce the relationships already built. The assurance available to colleagues and the additional confidence for patients, and families, in this expediency of support continues to empower individuals. </w:t>
      </w:r>
    </w:p>
    <w:p w14:paraId="350C4FE2" w14:textId="77777777" w:rsidR="00780260" w:rsidRPr="004D23E3" w:rsidRDefault="00780260" w:rsidP="00780260">
      <w:pPr>
        <w:pStyle w:val="ListParagraph"/>
        <w:numPr>
          <w:ilvl w:val="0"/>
          <w:numId w:val="8"/>
        </w:numPr>
        <w:spacing w:line="360" w:lineRule="auto"/>
      </w:pPr>
      <w:r w:rsidRPr="004D23E3">
        <w:t xml:space="preserve">A second illustration of where this system has been adopted is with those who have had kidney transplants. The additional extension the renal team have taken on is that alerts trigger personal alerts as well as generic. Kidney function is likely to be more critical and immediate intervention or support is literally going to save lives. The further reflection would be that this has not been adopted for every patient receiving dialysis; so clearly there is a component of triage which is still valuable at the clinical level. </w:t>
      </w:r>
    </w:p>
    <w:p w14:paraId="691C418E" w14:textId="77777777" w:rsidR="003075C4" w:rsidRDefault="003075C4" w:rsidP="00780260">
      <w:pPr>
        <w:spacing w:line="360" w:lineRule="auto"/>
      </w:pPr>
    </w:p>
    <w:p w14:paraId="1528B591" w14:textId="3D9DC85C" w:rsidR="00780260" w:rsidRPr="004D23E3" w:rsidRDefault="00780260" w:rsidP="00780260">
      <w:pPr>
        <w:spacing w:line="360" w:lineRule="auto"/>
      </w:pPr>
      <w:r w:rsidRPr="004D23E3">
        <w:t xml:space="preserve">With both these adoptions it is interesting to observe that the turnover of ‘tracked individuals’ is much less. There are less than 30 patients with Motor Neurone Disease (with all stages of this condition) across Conwy and Denbighshire; and there are approximately 10 </w:t>
      </w:r>
      <w:r w:rsidRPr="004D23E3">
        <w:lastRenderedPageBreak/>
        <w:t xml:space="preserve">patients with kidney transplants within the same area. The ‘new’ patients needing adding (or taking off the caseloads) will be of the order of one or two monthly. </w:t>
      </w:r>
    </w:p>
    <w:p w14:paraId="55CA35D2" w14:textId="77777777" w:rsidR="00780260" w:rsidRPr="004D23E3" w:rsidRDefault="00780260" w:rsidP="00780260">
      <w:pPr>
        <w:spacing w:line="360" w:lineRule="auto"/>
      </w:pPr>
    </w:p>
    <w:p w14:paraId="497F9154" w14:textId="77777777" w:rsidR="00780260" w:rsidRPr="004D23E3" w:rsidRDefault="00780260" w:rsidP="00780260">
      <w:pPr>
        <w:spacing w:line="360" w:lineRule="auto"/>
        <w:rPr>
          <w:rFonts w:cstheme="minorHAnsi"/>
        </w:rPr>
      </w:pPr>
      <w:r w:rsidRPr="004D23E3">
        <w:t xml:space="preserve">Overall it is evident that there is a clinical utility to this system. </w:t>
      </w:r>
      <w:r w:rsidRPr="004D23E3">
        <w:rPr>
          <w:rFonts w:cstheme="minorHAnsi"/>
        </w:rPr>
        <w:t>This project supports the aspiration of ‘a robust local mechanism to ensure effective delivery with the right interaction between patients, professionals and organisations’ (NHS Wales. Digital Health and Care Wales, 2021)</w:t>
      </w:r>
      <w:r>
        <w:rPr>
          <w:rFonts w:cstheme="minorHAnsi"/>
        </w:rPr>
        <w:t xml:space="preserve">. This retrospective reflection on the fit between individual, tasks and technology for the introduction of this ‘alert’ system demonstrates some of the experiences that have occurred within the adoption of the IT system. It illustrates the value of use of the FITT framework prospectively in order to appreciate where the challenges may lie. More valuably, it enables solutions to be found (or issues circumnavigated) so that the system can be more efficient and the adoption smoother. </w:t>
      </w:r>
    </w:p>
    <w:p w14:paraId="3DF72DC4" w14:textId="3208A168" w:rsidR="00CC08FD" w:rsidRDefault="00780260" w:rsidP="00780260">
      <w:pPr>
        <w:spacing w:line="360" w:lineRule="auto"/>
      </w:pPr>
      <w:r w:rsidRPr="004D23E3">
        <w:t>The ongoing challenge is making the most of its potential for the clinical setting. The Specialist Palliative Care Team continue to seek this balance, but as other specialties have demonstrated there is value in enduring.</w:t>
      </w:r>
    </w:p>
    <w:p w14:paraId="1024EF19" w14:textId="77777777" w:rsidR="00CC08FD" w:rsidRDefault="00CC08FD">
      <w:r>
        <w:br w:type="page"/>
      </w:r>
    </w:p>
    <w:p w14:paraId="4D1E8E8D" w14:textId="77777777" w:rsidR="00CC08FD" w:rsidRPr="00E22DFC" w:rsidRDefault="00CC08FD" w:rsidP="00CC08FD">
      <w:pPr>
        <w:pStyle w:val="NormalWeb"/>
        <w:shd w:val="clear" w:color="auto" w:fill="FFFFFF"/>
        <w:spacing w:before="0" w:beforeAutospacing="0" w:after="160" w:afterAutospacing="0" w:line="360" w:lineRule="auto"/>
        <w:rPr>
          <w:rFonts w:asciiTheme="minorHAnsi" w:hAnsiTheme="minorHAnsi" w:cstheme="minorHAnsi"/>
          <w:b/>
          <w:sz w:val="22"/>
          <w:szCs w:val="22"/>
          <w:shd w:val="clear" w:color="auto" w:fill="FFFFFF"/>
        </w:rPr>
      </w:pPr>
      <w:r w:rsidRPr="00E22DFC">
        <w:rPr>
          <w:rFonts w:asciiTheme="minorHAnsi" w:hAnsiTheme="minorHAnsi" w:cstheme="minorHAnsi"/>
          <w:b/>
          <w:sz w:val="22"/>
          <w:szCs w:val="22"/>
          <w:shd w:val="clear" w:color="auto" w:fill="FFFFFF"/>
        </w:rPr>
        <w:lastRenderedPageBreak/>
        <w:t>References</w:t>
      </w:r>
    </w:p>
    <w:p w14:paraId="284F9CC1" w14:textId="77777777" w:rsidR="00CC08FD" w:rsidRPr="00E22DFC" w:rsidRDefault="00CC08FD" w:rsidP="00CC08FD">
      <w:pPr>
        <w:pStyle w:val="NormalWeb"/>
        <w:shd w:val="clear" w:color="auto" w:fill="FFFFFF"/>
        <w:spacing w:before="0" w:beforeAutospacing="0" w:after="160" w:afterAutospacing="0" w:line="360" w:lineRule="auto"/>
        <w:rPr>
          <w:rFonts w:asciiTheme="minorHAnsi" w:hAnsiTheme="minorHAnsi" w:cstheme="minorHAnsi"/>
          <w:sz w:val="22"/>
          <w:szCs w:val="22"/>
          <w:shd w:val="clear" w:color="auto" w:fill="FFFFFF"/>
        </w:rPr>
      </w:pPr>
      <w:r w:rsidRPr="00E22DFC">
        <w:rPr>
          <w:rFonts w:asciiTheme="minorHAnsi" w:hAnsiTheme="minorHAnsi" w:cstheme="minorHAnsi"/>
          <w:color w:val="222222"/>
          <w:sz w:val="22"/>
          <w:szCs w:val="22"/>
          <w:shd w:val="clear" w:color="auto" w:fill="FFFFFF"/>
        </w:rPr>
        <w:t xml:space="preserve">Abbas, S.K., Hassan, H.A., Iftikhar, S. and Waris, A., </w:t>
      </w:r>
      <w:r>
        <w:rPr>
          <w:rFonts w:asciiTheme="minorHAnsi" w:hAnsiTheme="minorHAnsi" w:cstheme="minorHAnsi"/>
          <w:color w:val="222222"/>
          <w:sz w:val="22"/>
          <w:szCs w:val="22"/>
          <w:shd w:val="clear" w:color="auto" w:fill="FFFFFF"/>
        </w:rPr>
        <w:t>(</w:t>
      </w:r>
      <w:r w:rsidRPr="00E22DFC">
        <w:rPr>
          <w:rFonts w:asciiTheme="minorHAnsi" w:hAnsiTheme="minorHAnsi" w:cstheme="minorHAnsi"/>
          <w:color w:val="222222"/>
          <w:sz w:val="22"/>
          <w:szCs w:val="22"/>
          <w:shd w:val="clear" w:color="auto" w:fill="FFFFFF"/>
        </w:rPr>
        <w:t>2018</w:t>
      </w:r>
      <w:r>
        <w:rPr>
          <w:rFonts w:asciiTheme="minorHAnsi" w:hAnsiTheme="minorHAnsi" w:cstheme="minorHAnsi"/>
          <w:color w:val="222222"/>
          <w:sz w:val="22"/>
          <w:szCs w:val="22"/>
          <w:shd w:val="clear" w:color="auto" w:fill="FFFFFF"/>
        </w:rPr>
        <w:t>)</w:t>
      </w:r>
      <w:r w:rsidRPr="00E22DFC">
        <w:rPr>
          <w:rFonts w:asciiTheme="minorHAnsi" w:hAnsiTheme="minorHAnsi" w:cstheme="minorHAnsi"/>
          <w:color w:val="222222"/>
          <w:sz w:val="22"/>
          <w:szCs w:val="22"/>
          <w:shd w:val="clear" w:color="auto" w:fill="FFFFFF"/>
        </w:rPr>
        <w:t xml:space="preserve">. </w:t>
      </w:r>
      <w:r>
        <w:rPr>
          <w:rFonts w:asciiTheme="minorHAnsi" w:hAnsiTheme="minorHAnsi" w:cstheme="minorHAnsi"/>
          <w:color w:val="222222"/>
          <w:sz w:val="22"/>
          <w:szCs w:val="22"/>
          <w:shd w:val="clear" w:color="auto" w:fill="FFFFFF"/>
        </w:rPr>
        <w:t>‘</w:t>
      </w:r>
      <w:r w:rsidRPr="00E22DFC">
        <w:rPr>
          <w:rFonts w:asciiTheme="minorHAnsi" w:hAnsiTheme="minorHAnsi" w:cstheme="minorHAnsi"/>
          <w:color w:val="222222"/>
          <w:sz w:val="22"/>
          <w:szCs w:val="22"/>
          <w:shd w:val="clear" w:color="auto" w:fill="FFFFFF"/>
        </w:rPr>
        <w:t>Assimilation of TTF and UTAUT for mobile banking usage</w:t>
      </w:r>
      <w:r>
        <w:rPr>
          <w:rFonts w:asciiTheme="minorHAnsi" w:hAnsiTheme="minorHAnsi" w:cstheme="minorHAnsi"/>
          <w:color w:val="222222"/>
          <w:sz w:val="22"/>
          <w:szCs w:val="22"/>
          <w:shd w:val="clear" w:color="auto" w:fill="FFFFFF"/>
        </w:rPr>
        <w:t>’</w:t>
      </w:r>
      <w:r w:rsidRPr="00E22DFC">
        <w:rPr>
          <w:rFonts w:asciiTheme="minorHAnsi" w:hAnsiTheme="minorHAnsi" w:cstheme="minorHAnsi"/>
          <w:color w:val="222222"/>
          <w:sz w:val="22"/>
          <w:szCs w:val="22"/>
          <w:shd w:val="clear" w:color="auto" w:fill="FFFFFF"/>
        </w:rPr>
        <w:t>. </w:t>
      </w:r>
      <w:r w:rsidRPr="00E22DFC">
        <w:rPr>
          <w:rFonts w:asciiTheme="minorHAnsi" w:hAnsiTheme="minorHAnsi" w:cstheme="minorHAnsi"/>
          <w:i/>
          <w:iCs/>
          <w:color w:val="222222"/>
          <w:sz w:val="22"/>
          <w:szCs w:val="22"/>
          <w:shd w:val="clear" w:color="auto" w:fill="FFFFFF"/>
        </w:rPr>
        <w:t>International Journal of Advanced Engin</w:t>
      </w:r>
      <w:r>
        <w:rPr>
          <w:rFonts w:asciiTheme="minorHAnsi" w:hAnsiTheme="minorHAnsi" w:cstheme="minorHAnsi"/>
          <w:i/>
          <w:iCs/>
          <w:color w:val="222222"/>
          <w:sz w:val="22"/>
          <w:szCs w:val="22"/>
          <w:shd w:val="clear" w:color="auto" w:fill="FFFFFF"/>
        </w:rPr>
        <w:t>eering, Management and Science,</w:t>
      </w:r>
      <w:r w:rsidRPr="00E22DFC">
        <w:rPr>
          <w:rFonts w:asciiTheme="minorHAnsi" w:hAnsiTheme="minorHAnsi" w:cstheme="minorHAnsi"/>
          <w:i/>
          <w:iCs/>
          <w:color w:val="222222"/>
          <w:sz w:val="22"/>
          <w:szCs w:val="22"/>
          <w:shd w:val="clear" w:color="auto" w:fill="FFFFFF"/>
        </w:rPr>
        <w:t xml:space="preserve"> Vol</w:t>
      </w:r>
      <w:r>
        <w:rPr>
          <w:rFonts w:asciiTheme="minorHAnsi" w:hAnsiTheme="minorHAnsi" w:cstheme="minorHAnsi"/>
          <w:i/>
          <w:iCs/>
          <w:color w:val="222222"/>
          <w:sz w:val="22"/>
          <w:szCs w:val="22"/>
          <w:shd w:val="clear" w:color="auto" w:fill="FFFFFF"/>
        </w:rPr>
        <w:t>.</w:t>
      </w:r>
      <w:r w:rsidRPr="00E22DFC">
        <w:rPr>
          <w:rFonts w:asciiTheme="minorHAnsi" w:hAnsiTheme="minorHAnsi" w:cstheme="minorHAnsi"/>
          <w:color w:val="222222"/>
          <w:sz w:val="22"/>
          <w:szCs w:val="22"/>
          <w:shd w:val="clear" w:color="auto" w:fill="FFFFFF"/>
        </w:rPr>
        <w:t> </w:t>
      </w:r>
      <w:r w:rsidRPr="00E22DFC">
        <w:rPr>
          <w:rFonts w:asciiTheme="minorHAnsi" w:hAnsiTheme="minorHAnsi" w:cstheme="minorHAnsi"/>
          <w:i/>
          <w:iCs/>
          <w:color w:val="222222"/>
          <w:sz w:val="22"/>
          <w:szCs w:val="22"/>
          <w:shd w:val="clear" w:color="auto" w:fill="FFFFFF"/>
        </w:rPr>
        <w:t>4</w:t>
      </w:r>
      <w:r>
        <w:rPr>
          <w:rFonts w:asciiTheme="minorHAnsi" w:hAnsiTheme="minorHAnsi" w:cstheme="minorHAnsi"/>
          <w:i/>
          <w:iCs/>
          <w:color w:val="222222"/>
          <w:sz w:val="22"/>
          <w:szCs w:val="22"/>
          <w:shd w:val="clear" w:color="auto" w:fill="FFFFFF"/>
        </w:rPr>
        <w:t>, No. 4, pp 305-8</w:t>
      </w:r>
    </w:p>
    <w:p w14:paraId="113D5050" w14:textId="6D428C3A" w:rsidR="00CC08FD" w:rsidRPr="00A14B5C" w:rsidRDefault="00CC08FD" w:rsidP="00CC08FD">
      <w:pPr>
        <w:pStyle w:val="NormalWeb"/>
        <w:shd w:val="clear" w:color="auto" w:fill="FFFFFF"/>
        <w:spacing w:before="0" w:beforeAutospacing="0" w:after="160" w:afterAutospacing="0" w:line="360" w:lineRule="auto"/>
        <w:rPr>
          <w:rFonts w:asciiTheme="minorHAnsi" w:hAnsiTheme="minorHAnsi" w:cstheme="minorHAnsi"/>
          <w:sz w:val="22"/>
          <w:szCs w:val="22"/>
          <w:shd w:val="clear" w:color="auto" w:fill="FFFFFF"/>
        </w:rPr>
      </w:pPr>
      <w:r w:rsidRPr="00E22DFC">
        <w:rPr>
          <w:rFonts w:asciiTheme="minorHAnsi" w:hAnsiTheme="minorHAnsi" w:cstheme="minorHAnsi"/>
          <w:sz w:val="22"/>
          <w:szCs w:val="22"/>
          <w:shd w:val="clear" w:color="auto" w:fill="FFFFFF"/>
        </w:rPr>
        <w:t xml:space="preserve">Ammenwerth, E., Iller, C. and Mahler, C. (2006) ‘IT-adoption and the interaction of task, technology and individuals: a fit framework and a case study’. </w:t>
      </w:r>
      <w:r w:rsidRPr="00E22DFC">
        <w:rPr>
          <w:rFonts w:asciiTheme="minorHAnsi" w:hAnsiTheme="minorHAnsi" w:cstheme="minorHAnsi"/>
          <w:i/>
          <w:sz w:val="22"/>
          <w:szCs w:val="22"/>
          <w:shd w:val="clear" w:color="auto" w:fill="FFFFFF"/>
        </w:rPr>
        <w:t>BMC Medical Informatics and Decision Making</w:t>
      </w:r>
      <w:r w:rsidRPr="00E22DFC">
        <w:rPr>
          <w:rFonts w:asciiTheme="minorHAnsi" w:hAnsiTheme="minorHAnsi" w:cstheme="minorHAnsi"/>
          <w:sz w:val="22"/>
          <w:szCs w:val="22"/>
          <w:shd w:val="clear" w:color="auto" w:fill="FFFFFF"/>
        </w:rPr>
        <w:t>,</w:t>
      </w:r>
      <w:r w:rsidRPr="00A14B5C">
        <w:rPr>
          <w:rFonts w:asciiTheme="minorHAnsi" w:hAnsiTheme="minorHAnsi" w:cstheme="minorHAnsi"/>
          <w:sz w:val="22"/>
          <w:szCs w:val="22"/>
          <w:shd w:val="clear" w:color="auto" w:fill="FFFFFF"/>
        </w:rPr>
        <w:t xml:space="preserve"> 6(3). Available at: </w:t>
      </w:r>
      <w:r w:rsidRPr="00CC08FD">
        <w:rPr>
          <w:rFonts w:asciiTheme="minorHAnsi" w:hAnsiTheme="minorHAnsi" w:cstheme="minorHAnsi"/>
          <w:sz w:val="22"/>
          <w:szCs w:val="22"/>
          <w:u w:val="single"/>
          <w:shd w:val="clear" w:color="auto" w:fill="FFFFFF"/>
        </w:rPr>
        <w:t>https://doi.org/10.1186/1472-6947-6-3</w:t>
      </w:r>
      <w:r w:rsidRPr="00A14B5C">
        <w:rPr>
          <w:rFonts w:asciiTheme="minorHAnsi" w:hAnsiTheme="minorHAnsi" w:cstheme="minorHAnsi"/>
          <w:sz w:val="22"/>
          <w:szCs w:val="22"/>
          <w:shd w:val="clear" w:color="auto" w:fill="FFFFFF"/>
        </w:rPr>
        <w:t xml:space="preserve"> (Accessed: 10 February 2023)</w:t>
      </w:r>
    </w:p>
    <w:p w14:paraId="783EC960" w14:textId="77777777" w:rsidR="00CC08FD" w:rsidRPr="00A14B5C" w:rsidRDefault="00CC08FD" w:rsidP="00CC08FD">
      <w:pPr>
        <w:spacing w:line="360" w:lineRule="auto"/>
        <w:rPr>
          <w:rFonts w:cstheme="minorHAnsi"/>
        </w:rPr>
      </w:pPr>
      <w:r w:rsidRPr="00A14B5C">
        <w:rPr>
          <w:rFonts w:cstheme="minorHAnsi"/>
        </w:rPr>
        <w:t xml:space="preserve">Chin, W.W., and Marcolin, B.L. (2001) ‘The Future of Diffusion Research’, </w:t>
      </w:r>
      <w:r w:rsidRPr="00A14B5C">
        <w:rPr>
          <w:rFonts w:cstheme="minorHAnsi"/>
          <w:i/>
        </w:rPr>
        <w:t>The DATA BASE for Advances in Information Systems,</w:t>
      </w:r>
      <w:r w:rsidRPr="00A14B5C">
        <w:rPr>
          <w:rFonts w:cstheme="minorHAnsi"/>
        </w:rPr>
        <w:t xml:space="preserve"> Vol. 32, No. 3, pp 8-12</w:t>
      </w:r>
    </w:p>
    <w:p w14:paraId="1BC0708C" w14:textId="77777777" w:rsidR="00CC08FD" w:rsidRPr="00A14B5C" w:rsidRDefault="00CC08FD" w:rsidP="00CC08FD">
      <w:pPr>
        <w:spacing w:line="360" w:lineRule="auto"/>
        <w:rPr>
          <w:rFonts w:cstheme="minorHAnsi"/>
        </w:rPr>
      </w:pPr>
      <w:r w:rsidRPr="00A14B5C">
        <w:rPr>
          <w:rFonts w:cstheme="minorHAnsi"/>
        </w:rPr>
        <w:t>Davis, F.D. (1989) ‘Perceived Usefulness, Perceived Ease of Use, and User Acceptance of Information Technology’. </w:t>
      </w:r>
      <w:r w:rsidRPr="00A14B5C">
        <w:rPr>
          <w:rFonts w:cstheme="minorHAnsi"/>
          <w:i/>
        </w:rPr>
        <w:t>Management Information Systems Quarterly</w:t>
      </w:r>
      <w:r w:rsidRPr="00A14B5C">
        <w:rPr>
          <w:rFonts w:cstheme="minorHAnsi"/>
        </w:rPr>
        <w:t>, Vol. 13, No. 3, pp 319-40</w:t>
      </w:r>
    </w:p>
    <w:p w14:paraId="40AA6A53" w14:textId="77777777" w:rsidR="00CC08FD" w:rsidRPr="00A14B5C" w:rsidRDefault="00CC08FD" w:rsidP="00CC08FD">
      <w:pPr>
        <w:spacing w:line="360" w:lineRule="auto"/>
        <w:rPr>
          <w:rFonts w:cstheme="minorHAnsi"/>
        </w:rPr>
      </w:pPr>
      <w:r w:rsidRPr="00A14B5C">
        <w:rPr>
          <w:rFonts w:cstheme="minorHAnsi"/>
        </w:rPr>
        <w:t>Davis, F.D. (1993) ‘User acceptance of information technology: system characteristics, user perceptions and behavioral impacts’. </w:t>
      </w:r>
      <w:r w:rsidRPr="00A14B5C">
        <w:rPr>
          <w:rFonts w:cstheme="minorHAnsi"/>
          <w:i/>
        </w:rPr>
        <w:t>International Journal of Man-Machine Studies</w:t>
      </w:r>
      <w:r w:rsidRPr="00A14B5C">
        <w:rPr>
          <w:rFonts w:cstheme="minorHAnsi"/>
        </w:rPr>
        <w:t>, Vol. 38, No. 3, pp 475-487</w:t>
      </w:r>
    </w:p>
    <w:p w14:paraId="64BDC638" w14:textId="77777777" w:rsidR="00CC08FD" w:rsidRDefault="00CC08FD" w:rsidP="00CC08FD">
      <w:pPr>
        <w:spacing w:line="360" w:lineRule="auto"/>
        <w:rPr>
          <w:rFonts w:cstheme="minorHAnsi"/>
          <w:color w:val="212121"/>
          <w:shd w:val="clear" w:color="auto" w:fill="FFFFFF"/>
        </w:rPr>
      </w:pPr>
      <w:r w:rsidRPr="00D57FC2">
        <w:rPr>
          <w:rFonts w:cstheme="minorHAnsi"/>
          <w:color w:val="212121"/>
          <w:shd w:val="clear" w:color="auto" w:fill="FFFFFF"/>
        </w:rPr>
        <w:lastRenderedPageBreak/>
        <w:t>Davis</w:t>
      </w:r>
      <w:r>
        <w:rPr>
          <w:rFonts w:cstheme="minorHAnsi"/>
          <w:color w:val="212121"/>
          <w:shd w:val="clear" w:color="auto" w:fill="FFFFFF"/>
        </w:rPr>
        <w:t>,</w:t>
      </w:r>
      <w:r w:rsidRPr="00D57FC2">
        <w:rPr>
          <w:rFonts w:cstheme="minorHAnsi"/>
          <w:color w:val="212121"/>
          <w:shd w:val="clear" w:color="auto" w:fill="FFFFFF"/>
        </w:rPr>
        <w:t xml:space="preserve"> S</w:t>
      </w:r>
      <w:r>
        <w:rPr>
          <w:rFonts w:cstheme="minorHAnsi"/>
          <w:color w:val="212121"/>
          <w:shd w:val="clear" w:color="auto" w:fill="FFFFFF"/>
        </w:rPr>
        <w:t>.</w:t>
      </w:r>
      <w:r w:rsidRPr="00D57FC2">
        <w:rPr>
          <w:rFonts w:cstheme="minorHAnsi"/>
          <w:color w:val="212121"/>
          <w:shd w:val="clear" w:color="auto" w:fill="FFFFFF"/>
        </w:rPr>
        <w:t>N</w:t>
      </w:r>
      <w:r>
        <w:rPr>
          <w:rFonts w:cstheme="minorHAnsi"/>
          <w:color w:val="212121"/>
          <w:shd w:val="clear" w:color="auto" w:fill="FFFFFF"/>
        </w:rPr>
        <w:t>.</w:t>
      </w:r>
      <w:r w:rsidRPr="00D57FC2">
        <w:rPr>
          <w:rFonts w:cstheme="minorHAnsi"/>
          <w:color w:val="212121"/>
          <w:shd w:val="clear" w:color="auto" w:fill="FFFFFF"/>
        </w:rPr>
        <w:t>, O'Malley</w:t>
      </w:r>
      <w:r>
        <w:rPr>
          <w:rFonts w:cstheme="minorHAnsi"/>
          <w:color w:val="212121"/>
          <w:shd w:val="clear" w:color="auto" w:fill="FFFFFF"/>
        </w:rPr>
        <w:t>,</w:t>
      </w:r>
      <w:r w:rsidRPr="00D57FC2">
        <w:rPr>
          <w:rFonts w:cstheme="minorHAnsi"/>
          <w:color w:val="212121"/>
          <w:shd w:val="clear" w:color="auto" w:fill="FFFFFF"/>
        </w:rPr>
        <w:t xml:space="preserve"> D</w:t>
      </w:r>
      <w:r>
        <w:rPr>
          <w:rFonts w:cstheme="minorHAnsi"/>
          <w:color w:val="212121"/>
          <w:shd w:val="clear" w:color="auto" w:fill="FFFFFF"/>
        </w:rPr>
        <w:t>.</w:t>
      </w:r>
      <w:r w:rsidRPr="00D57FC2">
        <w:rPr>
          <w:rFonts w:cstheme="minorHAnsi"/>
          <w:color w:val="212121"/>
          <w:shd w:val="clear" w:color="auto" w:fill="FFFFFF"/>
        </w:rPr>
        <w:t>M</w:t>
      </w:r>
      <w:r>
        <w:rPr>
          <w:rFonts w:cstheme="minorHAnsi"/>
          <w:color w:val="212121"/>
          <w:shd w:val="clear" w:color="auto" w:fill="FFFFFF"/>
        </w:rPr>
        <w:t>.</w:t>
      </w:r>
      <w:r w:rsidRPr="00D57FC2">
        <w:rPr>
          <w:rFonts w:cstheme="minorHAnsi"/>
          <w:color w:val="212121"/>
          <w:shd w:val="clear" w:color="auto" w:fill="FFFFFF"/>
        </w:rPr>
        <w:t>, Bato</w:t>
      </w:r>
      <w:r>
        <w:rPr>
          <w:rFonts w:cstheme="minorHAnsi"/>
          <w:color w:val="212121"/>
          <w:shd w:val="clear" w:color="auto" w:fill="FFFFFF"/>
        </w:rPr>
        <w:t>,</w:t>
      </w:r>
      <w:r w:rsidRPr="00D57FC2">
        <w:rPr>
          <w:rFonts w:cstheme="minorHAnsi"/>
          <w:color w:val="212121"/>
          <w:shd w:val="clear" w:color="auto" w:fill="FFFFFF"/>
        </w:rPr>
        <w:t>r A</w:t>
      </w:r>
      <w:r>
        <w:rPr>
          <w:rFonts w:cstheme="minorHAnsi"/>
          <w:color w:val="212121"/>
          <w:shd w:val="clear" w:color="auto" w:fill="FFFFFF"/>
        </w:rPr>
        <w:t>.</w:t>
      </w:r>
      <w:r w:rsidRPr="00D57FC2">
        <w:rPr>
          <w:rFonts w:cstheme="minorHAnsi"/>
          <w:color w:val="212121"/>
          <w:shd w:val="clear" w:color="auto" w:fill="FFFFFF"/>
        </w:rPr>
        <w:t>, Ohman-Strickland</w:t>
      </w:r>
      <w:r>
        <w:rPr>
          <w:rFonts w:cstheme="minorHAnsi"/>
          <w:color w:val="212121"/>
          <w:shd w:val="clear" w:color="auto" w:fill="FFFFFF"/>
        </w:rPr>
        <w:t>,</w:t>
      </w:r>
      <w:r w:rsidRPr="00D57FC2">
        <w:rPr>
          <w:rFonts w:cstheme="minorHAnsi"/>
          <w:color w:val="212121"/>
          <w:shd w:val="clear" w:color="auto" w:fill="FFFFFF"/>
        </w:rPr>
        <w:t xml:space="preserve"> P</w:t>
      </w:r>
      <w:r>
        <w:rPr>
          <w:rFonts w:cstheme="minorHAnsi"/>
          <w:color w:val="212121"/>
          <w:shd w:val="clear" w:color="auto" w:fill="FFFFFF"/>
        </w:rPr>
        <w:t>.</w:t>
      </w:r>
      <w:r w:rsidRPr="00D57FC2">
        <w:rPr>
          <w:rFonts w:cstheme="minorHAnsi"/>
          <w:color w:val="212121"/>
          <w:shd w:val="clear" w:color="auto" w:fill="FFFFFF"/>
        </w:rPr>
        <w:t>, Clemow</w:t>
      </w:r>
      <w:r>
        <w:rPr>
          <w:rFonts w:cstheme="minorHAnsi"/>
          <w:color w:val="212121"/>
          <w:shd w:val="clear" w:color="auto" w:fill="FFFFFF"/>
        </w:rPr>
        <w:t>,</w:t>
      </w:r>
      <w:r w:rsidRPr="00D57FC2">
        <w:rPr>
          <w:rFonts w:cstheme="minorHAnsi"/>
          <w:color w:val="212121"/>
          <w:shd w:val="clear" w:color="auto" w:fill="FFFFFF"/>
        </w:rPr>
        <w:t xml:space="preserve"> L</w:t>
      </w:r>
      <w:r>
        <w:rPr>
          <w:rFonts w:cstheme="minorHAnsi"/>
          <w:color w:val="212121"/>
          <w:shd w:val="clear" w:color="auto" w:fill="FFFFFF"/>
        </w:rPr>
        <w:t>.</w:t>
      </w:r>
      <w:r w:rsidRPr="00D57FC2">
        <w:rPr>
          <w:rFonts w:cstheme="minorHAnsi"/>
          <w:color w:val="212121"/>
          <w:shd w:val="clear" w:color="auto" w:fill="FFFFFF"/>
        </w:rPr>
        <w:t>, Ferrante</w:t>
      </w:r>
      <w:r>
        <w:rPr>
          <w:rFonts w:cstheme="minorHAnsi"/>
          <w:color w:val="212121"/>
          <w:shd w:val="clear" w:color="auto" w:fill="FFFFFF"/>
        </w:rPr>
        <w:t>,</w:t>
      </w:r>
      <w:r w:rsidRPr="00D57FC2">
        <w:rPr>
          <w:rFonts w:cstheme="minorHAnsi"/>
          <w:color w:val="212121"/>
          <w:shd w:val="clear" w:color="auto" w:fill="FFFFFF"/>
        </w:rPr>
        <w:t xml:space="preserve"> J</w:t>
      </w:r>
      <w:r>
        <w:rPr>
          <w:rFonts w:cstheme="minorHAnsi"/>
          <w:color w:val="212121"/>
          <w:shd w:val="clear" w:color="auto" w:fill="FFFFFF"/>
        </w:rPr>
        <w:t>.</w:t>
      </w:r>
      <w:r w:rsidRPr="00D57FC2">
        <w:rPr>
          <w:rFonts w:cstheme="minorHAnsi"/>
          <w:color w:val="212121"/>
          <w:shd w:val="clear" w:color="auto" w:fill="FFFFFF"/>
        </w:rPr>
        <w:t>M</w:t>
      </w:r>
      <w:r>
        <w:rPr>
          <w:rFonts w:cstheme="minorHAnsi"/>
          <w:color w:val="212121"/>
          <w:shd w:val="clear" w:color="auto" w:fill="FFFFFF"/>
        </w:rPr>
        <w:t>.</w:t>
      </w:r>
      <w:r w:rsidRPr="00D57FC2">
        <w:rPr>
          <w:rFonts w:cstheme="minorHAnsi"/>
          <w:color w:val="212121"/>
          <w:shd w:val="clear" w:color="auto" w:fill="FFFFFF"/>
        </w:rPr>
        <w:t>, Crabtree</w:t>
      </w:r>
      <w:r>
        <w:rPr>
          <w:rFonts w:cstheme="minorHAnsi"/>
          <w:color w:val="212121"/>
          <w:shd w:val="clear" w:color="auto" w:fill="FFFFFF"/>
        </w:rPr>
        <w:t>,</w:t>
      </w:r>
      <w:r w:rsidRPr="00D57FC2">
        <w:rPr>
          <w:rFonts w:cstheme="minorHAnsi"/>
          <w:color w:val="212121"/>
          <w:shd w:val="clear" w:color="auto" w:fill="FFFFFF"/>
        </w:rPr>
        <w:t xml:space="preserve"> B</w:t>
      </w:r>
      <w:r>
        <w:rPr>
          <w:rFonts w:cstheme="minorHAnsi"/>
          <w:color w:val="212121"/>
          <w:shd w:val="clear" w:color="auto" w:fill="FFFFFF"/>
        </w:rPr>
        <w:t>.</w:t>
      </w:r>
      <w:r w:rsidRPr="00D57FC2">
        <w:rPr>
          <w:rFonts w:cstheme="minorHAnsi"/>
          <w:color w:val="212121"/>
          <w:shd w:val="clear" w:color="auto" w:fill="FFFFFF"/>
        </w:rPr>
        <w:t>F</w:t>
      </w:r>
      <w:r>
        <w:rPr>
          <w:rFonts w:cstheme="minorHAnsi"/>
          <w:color w:val="212121"/>
          <w:shd w:val="clear" w:color="auto" w:fill="FFFFFF"/>
        </w:rPr>
        <w:t>.</w:t>
      </w:r>
      <w:r w:rsidRPr="00D57FC2">
        <w:rPr>
          <w:rFonts w:cstheme="minorHAnsi"/>
          <w:color w:val="212121"/>
          <w:shd w:val="clear" w:color="auto" w:fill="FFFFFF"/>
        </w:rPr>
        <w:t>, Miller</w:t>
      </w:r>
      <w:r>
        <w:rPr>
          <w:rFonts w:cstheme="minorHAnsi"/>
          <w:color w:val="212121"/>
          <w:shd w:val="clear" w:color="auto" w:fill="FFFFFF"/>
        </w:rPr>
        <w:t>,</w:t>
      </w:r>
      <w:r w:rsidRPr="00D57FC2">
        <w:rPr>
          <w:rFonts w:cstheme="minorHAnsi"/>
          <w:color w:val="212121"/>
          <w:shd w:val="clear" w:color="auto" w:fill="FFFFFF"/>
        </w:rPr>
        <w:t xml:space="preserve"> S</w:t>
      </w:r>
      <w:r>
        <w:rPr>
          <w:rFonts w:cstheme="minorHAnsi"/>
          <w:color w:val="212121"/>
          <w:shd w:val="clear" w:color="auto" w:fill="FFFFFF"/>
        </w:rPr>
        <w:t>.</w:t>
      </w:r>
      <w:r w:rsidRPr="00D57FC2">
        <w:rPr>
          <w:rFonts w:cstheme="minorHAnsi"/>
          <w:color w:val="212121"/>
          <w:shd w:val="clear" w:color="auto" w:fill="FFFFFF"/>
        </w:rPr>
        <w:t>M</w:t>
      </w:r>
      <w:r>
        <w:rPr>
          <w:rFonts w:cstheme="minorHAnsi"/>
          <w:color w:val="212121"/>
          <w:shd w:val="clear" w:color="auto" w:fill="FFFFFF"/>
        </w:rPr>
        <w:t>.</w:t>
      </w:r>
      <w:r w:rsidRPr="00D57FC2">
        <w:rPr>
          <w:rFonts w:cstheme="minorHAnsi"/>
          <w:color w:val="212121"/>
          <w:shd w:val="clear" w:color="auto" w:fill="FFFFFF"/>
        </w:rPr>
        <w:t>, Findley</w:t>
      </w:r>
      <w:r>
        <w:rPr>
          <w:rFonts w:cstheme="minorHAnsi"/>
          <w:color w:val="212121"/>
          <w:shd w:val="clear" w:color="auto" w:fill="FFFFFF"/>
        </w:rPr>
        <w:t>,</w:t>
      </w:r>
      <w:r w:rsidRPr="00D57FC2">
        <w:rPr>
          <w:rFonts w:cstheme="minorHAnsi"/>
          <w:color w:val="212121"/>
          <w:shd w:val="clear" w:color="auto" w:fill="FFFFFF"/>
        </w:rPr>
        <w:t xml:space="preserve"> P</w:t>
      </w:r>
      <w:r>
        <w:rPr>
          <w:rFonts w:cstheme="minorHAnsi"/>
          <w:color w:val="212121"/>
          <w:shd w:val="clear" w:color="auto" w:fill="FFFFFF"/>
        </w:rPr>
        <w:t>.</w:t>
      </w:r>
      <w:r w:rsidRPr="00D57FC2">
        <w:rPr>
          <w:rFonts w:cstheme="minorHAnsi"/>
          <w:color w:val="212121"/>
          <w:shd w:val="clear" w:color="auto" w:fill="FFFFFF"/>
        </w:rPr>
        <w:t>,</w:t>
      </w:r>
      <w:r>
        <w:rPr>
          <w:rFonts w:cstheme="minorHAnsi"/>
          <w:color w:val="212121"/>
          <w:shd w:val="clear" w:color="auto" w:fill="FFFFFF"/>
        </w:rPr>
        <w:t xml:space="preserve"> and</w:t>
      </w:r>
      <w:r w:rsidRPr="00D57FC2">
        <w:rPr>
          <w:rFonts w:cstheme="minorHAnsi"/>
          <w:color w:val="212121"/>
          <w:shd w:val="clear" w:color="auto" w:fill="FFFFFF"/>
        </w:rPr>
        <w:t xml:space="preserve"> Hudson</w:t>
      </w:r>
      <w:r>
        <w:rPr>
          <w:rFonts w:cstheme="minorHAnsi"/>
          <w:color w:val="212121"/>
          <w:shd w:val="clear" w:color="auto" w:fill="FFFFFF"/>
        </w:rPr>
        <w:t>,</w:t>
      </w:r>
      <w:r w:rsidRPr="00D57FC2">
        <w:rPr>
          <w:rFonts w:cstheme="minorHAnsi"/>
          <w:color w:val="212121"/>
          <w:shd w:val="clear" w:color="auto" w:fill="FFFFFF"/>
        </w:rPr>
        <w:t xml:space="preserve"> S</w:t>
      </w:r>
      <w:r>
        <w:rPr>
          <w:rFonts w:cstheme="minorHAnsi"/>
          <w:color w:val="212121"/>
          <w:shd w:val="clear" w:color="auto" w:fill="FFFFFF"/>
        </w:rPr>
        <w:t>.</w:t>
      </w:r>
      <w:r w:rsidRPr="00D57FC2">
        <w:rPr>
          <w:rFonts w:cstheme="minorHAnsi"/>
          <w:color w:val="212121"/>
          <w:shd w:val="clear" w:color="auto" w:fill="FFFFFF"/>
        </w:rPr>
        <w:t>V</w:t>
      </w:r>
      <w:r>
        <w:rPr>
          <w:rFonts w:cstheme="minorHAnsi"/>
          <w:color w:val="212121"/>
          <w:shd w:val="clear" w:color="auto" w:fill="FFFFFF"/>
        </w:rPr>
        <w:t>. (2019)</w:t>
      </w:r>
      <w:r w:rsidRPr="00D57FC2">
        <w:rPr>
          <w:rFonts w:cstheme="minorHAnsi"/>
          <w:color w:val="212121"/>
          <w:shd w:val="clear" w:color="auto" w:fill="FFFFFF"/>
        </w:rPr>
        <w:t xml:space="preserve"> </w:t>
      </w:r>
      <w:r>
        <w:rPr>
          <w:rFonts w:cstheme="minorHAnsi"/>
          <w:color w:val="212121"/>
          <w:shd w:val="clear" w:color="auto" w:fill="FFFFFF"/>
        </w:rPr>
        <w:t>‘</w:t>
      </w:r>
      <w:r w:rsidRPr="00D57FC2">
        <w:rPr>
          <w:rFonts w:cstheme="minorHAnsi"/>
          <w:color w:val="212121"/>
          <w:shd w:val="clear" w:color="auto" w:fill="FFFFFF"/>
        </w:rPr>
        <w:t>Rationale and design of extended cancer education for longer term survivors (EXCELS): a randomized control trial of 'high touch' vs. 'high tech' cancer survivorship self-management tools in primary care</w:t>
      </w:r>
      <w:r>
        <w:rPr>
          <w:rFonts w:cstheme="minorHAnsi"/>
          <w:color w:val="212121"/>
          <w:shd w:val="clear" w:color="auto" w:fill="FFFFFF"/>
        </w:rPr>
        <w:t>’</w:t>
      </w:r>
      <w:r w:rsidRPr="00D57FC2">
        <w:rPr>
          <w:rFonts w:cstheme="minorHAnsi"/>
          <w:color w:val="212121"/>
          <w:shd w:val="clear" w:color="auto" w:fill="FFFFFF"/>
        </w:rPr>
        <w:t xml:space="preserve">. </w:t>
      </w:r>
      <w:r w:rsidRPr="00D57FC2">
        <w:rPr>
          <w:rFonts w:cstheme="minorHAnsi"/>
          <w:i/>
          <w:color w:val="212121"/>
          <w:shd w:val="clear" w:color="auto" w:fill="FFFFFF"/>
        </w:rPr>
        <w:t>BMC Cancer</w:t>
      </w:r>
      <w:r>
        <w:rPr>
          <w:rFonts w:cstheme="minorHAnsi"/>
          <w:color w:val="212121"/>
          <w:shd w:val="clear" w:color="auto" w:fill="FFFFFF"/>
        </w:rPr>
        <w:t xml:space="preserve">, Vol. 19, No. 1, p 340. Available at: </w:t>
      </w:r>
      <w:r w:rsidRPr="00D57FC2">
        <w:rPr>
          <w:rFonts w:cstheme="minorHAnsi"/>
          <w:color w:val="212121"/>
          <w:u w:val="single"/>
          <w:shd w:val="clear" w:color="auto" w:fill="FFFFFF"/>
        </w:rPr>
        <w:t>https://bmccancer.biomedcentral.com/articles/10.1186/s12885-019-5531-6</w:t>
      </w:r>
      <w:r>
        <w:rPr>
          <w:rFonts w:cstheme="minorHAnsi"/>
          <w:color w:val="212121"/>
          <w:shd w:val="clear" w:color="auto" w:fill="FFFFFF"/>
        </w:rPr>
        <w:t xml:space="preserve"> (Accessed 15</w:t>
      </w:r>
      <w:r w:rsidRPr="00D57FC2">
        <w:rPr>
          <w:rFonts w:cstheme="minorHAnsi"/>
          <w:color w:val="212121"/>
          <w:shd w:val="clear" w:color="auto" w:fill="FFFFFF"/>
          <w:vertAlign w:val="superscript"/>
        </w:rPr>
        <w:t>th</w:t>
      </w:r>
      <w:r>
        <w:rPr>
          <w:rFonts w:cstheme="minorHAnsi"/>
          <w:color w:val="212121"/>
          <w:shd w:val="clear" w:color="auto" w:fill="FFFFFF"/>
        </w:rPr>
        <w:t xml:space="preserve"> February 2023)</w:t>
      </w:r>
    </w:p>
    <w:p w14:paraId="5F6A4AE7" w14:textId="77777777" w:rsidR="00CC08FD" w:rsidRPr="00A14B5C" w:rsidRDefault="00CC08FD" w:rsidP="00CC08FD">
      <w:pPr>
        <w:spacing w:line="360" w:lineRule="auto"/>
        <w:rPr>
          <w:rFonts w:cstheme="minorHAnsi"/>
        </w:rPr>
      </w:pPr>
      <w:r w:rsidRPr="00A14B5C">
        <w:rPr>
          <w:rFonts w:cstheme="minorHAnsi"/>
        </w:rPr>
        <w:t xml:space="preserve"> Dishaw, M.T., and Strong, D.M. (1999) ‘Extending the technology acceptance model with task–technology fit constructs’, Information &amp; Management, Vol. 36, No. 1, pp 9-21</w:t>
      </w:r>
    </w:p>
    <w:p w14:paraId="0BC863BA" w14:textId="77777777" w:rsidR="00CC08FD" w:rsidRDefault="00CC08FD" w:rsidP="00CC08FD">
      <w:pPr>
        <w:spacing w:line="360" w:lineRule="auto"/>
        <w:rPr>
          <w:rFonts w:cstheme="minorHAnsi"/>
          <w:color w:val="222222"/>
          <w:shd w:val="clear" w:color="auto" w:fill="FFFFFF"/>
        </w:rPr>
      </w:pPr>
      <w:r w:rsidRPr="00DA764A">
        <w:rPr>
          <w:rFonts w:cstheme="minorHAnsi"/>
          <w:color w:val="222222"/>
          <w:shd w:val="clear" w:color="auto" w:fill="FFFFFF"/>
        </w:rPr>
        <w:t>Frykholm, O., Flink, M</w:t>
      </w:r>
      <w:r>
        <w:rPr>
          <w:rFonts w:cstheme="minorHAnsi"/>
          <w:color w:val="222222"/>
          <w:shd w:val="clear" w:color="auto" w:fill="FFFFFF"/>
        </w:rPr>
        <w:t>., Lindblad, M. and Ekstedt, M.</w:t>
      </w:r>
      <w:r w:rsidRPr="00DA764A">
        <w:rPr>
          <w:rFonts w:cstheme="minorHAnsi"/>
          <w:color w:val="222222"/>
          <w:shd w:val="clear" w:color="auto" w:fill="FFFFFF"/>
        </w:rPr>
        <w:t xml:space="preserve"> </w:t>
      </w:r>
      <w:r>
        <w:rPr>
          <w:rFonts w:cstheme="minorHAnsi"/>
          <w:color w:val="222222"/>
          <w:shd w:val="clear" w:color="auto" w:fill="FFFFFF"/>
        </w:rPr>
        <w:t>(</w:t>
      </w:r>
      <w:r w:rsidRPr="00DA764A">
        <w:rPr>
          <w:rFonts w:cstheme="minorHAnsi"/>
          <w:color w:val="222222"/>
          <w:shd w:val="clear" w:color="auto" w:fill="FFFFFF"/>
        </w:rPr>
        <w:t>2016</w:t>
      </w:r>
      <w:r>
        <w:rPr>
          <w:rFonts w:cstheme="minorHAnsi"/>
          <w:color w:val="222222"/>
          <w:shd w:val="clear" w:color="auto" w:fill="FFFFFF"/>
        </w:rPr>
        <w:t>)</w:t>
      </w:r>
      <w:r w:rsidRPr="00DA764A">
        <w:rPr>
          <w:rFonts w:cstheme="minorHAnsi"/>
          <w:color w:val="222222"/>
          <w:shd w:val="clear" w:color="auto" w:fill="FFFFFF"/>
        </w:rPr>
        <w:t xml:space="preserve"> </w:t>
      </w:r>
      <w:r>
        <w:rPr>
          <w:rFonts w:cstheme="minorHAnsi"/>
          <w:color w:val="222222"/>
          <w:shd w:val="clear" w:color="auto" w:fill="FFFFFF"/>
        </w:rPr>
        <w:t>‘</w:t>
      </w:r>
      <w:r w:rsidRPr="00DA764A">
        <w:rPr>
          <w:rFonts w:cstheme="minorHAnsi"/>
          <w:color w:val="222222"/>
          <w:shd w:val="clear" w:color="auto" w:fill="FFFFFF"/>
        </w:rPr>
        <w:t>User-centered design of integrated eHealth to improve patients' activation in transitional care</w:t>
      </w:r>
      <w:r>
        <w:rPr>
          <w:rFonts w:cstheme="minorHAnsi"/>
          <w:color w:val="222222"/>
          <w:shd w:val="clear" w:color="auto" w:fill="FFFFFF"/>
        </w:rPr>
        <w:t>’,</w:t>
      </w:r>
      <w:r w:rsidRPr="00DA764A">
        <w:rPr>
          <w:rFonts w:cstheme="minorHAnsi"/>
          <w:color w:val="222222"/>
          <w:shd w:val="clear" w:color="auto" w:fill="FFFFFF"/>
        </w:rPr>
        <w:t> </w:t>
      </w:r>
      <w:r w:rsidRPr="00DA764A">
        <w:rPr>
          <w:rFonts w:cstheme="minorHAnsi"/>
          <w:i/>
          <w:iCs/>
          <w:color w:val="222222"/>
          <w:shd w:val="clear" w:color="auto" w:fill="FFFFFF"/>
        </w:rPr>
        <w:t>International Journal of Integrated Care</w:t>
      </w:r>
      <w:r w:rsidRPr="00DA764A">
        <w:rPr>
          <w:rFonts w:cstheme="minorHAnsi"/>
          <w:color w:val="222222"/>
          <w:shd w:val="clear" w:color="auto" w:fill="FFFFFF"/>
        </w:rPr>
        <w:t xml:space="preserve">, Vol. </w:t>
      </w:r>
      <w:r w:rsidRPr="00DA764A">
        <w:rPr>
          <w:rFonts w:cstheme="minorHAnsi"/>
          <w:iCs/>
          <w:color w:val="222222"/>
          <w:shd w:val="clear" w:color="auto" w:fill="FFFFFF"/>
        </w:rPr>
        <w:t>16</w:t>
      </w:r>
      <w:r>
        <w:rPr>
          <w:rFonts w:cstheme="minorHAnsi"/>
          <w:iCs/>
          <w:color w:val="222222"/>
          <w:shd w:val="clear" w:color="auto" w:fill="FFFFFF"/>
        </w:rPr>
        <w:t>, No. 6,</w:t>
      </w:r>
      <w:r w:rsidRPr="00DA764A">
        <w:rPr>
          <w:rFonts w:cstheme="minorHAnsi"/>
          <w:color w:val="222222"/>
          <w:shd w:val="clear" w:color="auto" w:fill="FFFFFF"/>
        </w:rPr>
        <w:t xml:space="preserve"> pp</w:t>
      </w:r>
      <w:r>
        <w:rPr>
          <w:rFonts w:cstheme="minorHAnsi"/>
          <w:color w:val="222222"/>
          <w:shd w:val="clear" w:color="auto" w:fill="FFFFFF"/>
        </w:rPr>
        <w:t xml:space="preserve"> </w:t>
      </w:r>
      <w:r w:rsidRPr="00DA764A">
        <w:rPr>
          <w:rFonts w:cstheme="minorHAnsi"/>
          <w:color w:val="222222"/>
          <w:shd w:val="clear" w:color="auto" w:fill="FFFFFF"/>
        </w:rPr>
        <w:t>1-8</w:t>
      </w:r>
    </w:p>
    <w:p w14:paraId="21A687F3" w14:textId="77777777" w:rsidR="00CC08FD" w:rsidRPr="00A14B5C" w:rsidRDefault="00CC08FD" w:rsidP="00CC08FD">
      <w:pPr>
        <w:spacing w:line="360" w:lineRule="auto"/>
        <w:rPr>
          <w:rFonts w:cstheme="minorHAnsi"/>
        </w:rPr>
      </w:pPr>
      <w:r w:rsidRPr="00A14B5C">
        <w:rPr>
          <w:rFonts w:cstheme="minorHAnsi"/>
        </w:rPr>
        <w:t xml:space="preserve">Goodhue, D.L., and Thompson, R.L. (1995) ‘Task-Technology Fit and Individual Performance’, </w:t>
      </w:r>
      <w:r w:rsidRPr="00A14B5C">
        <w:rPr>
          <w:rFonts w:cstheme="minorHAnsi"/>
          <w:i/>
        </w:rPr>
        <w:t>Management Information Systems Quarterly,</w:t>
      </w:r>
      <w:r w:rsidRPr="00A14B5C">
        <w:rPr>
          <w:rFonts w:cstheme="minorHAnsi"/>
        </w:rPr>
        <w:t xml:space="preserve"> </w:t>
      </w:r>
      <w:hyperlink r:id="rId14" w:history="1">
        <w:r w:rsidRPr="00A14B5C">
          <w:rPr>
            <w:rFonts w:cstheme="minorHAnsi"/>
          </w:rPr>
          <w:t>Vol. 19, No. 2</w:t>
        </w:r>
      </w:hyperlink>
      <w:r w:rsidRPr="00A14B5C">
        <w:rPr>
          <w:rFonts w:cstheme="minorHAnsi"/>
        </w:rPr>
        <w:t>, pp. 213-236</w:t>
      </w:r>
    </w:p>
    <w:p w14:paraId="0CBA43A8" w14:textId="77777777" w:rsidR="00CC08FD" w:rsidRDefault="00CC08FD" w:rsidP="00CC08FD">
      <w:pPr>
        <w:spacing w:line="360" w:lineRule="auto"/>
        <w:rPr>
          <w:rFonts w:cstheme="minorHAnsi"/>
          <w:shd w:val="clear" w:color="auto" w:fill="FFFFFF"/>
        </w:rPr>
      </w:pPr>
      <w:r w:rsidRPr="00A14B5C">
        <w:rPr>
          <w:rFonts w:cstheme="minorHAnsi"/>
          <w:shd w:val="clear" w:color="auto" w:fill="FFFFFF"/>
        </w:rPr>
        <w:t xml:space="preserve">Honekamp, W., and Ostermann, H. (2011) ‘Evaluation of a prototype health information system using the FITT framework’, </w:t>
      </w:r>
      <w:r w:rsidRPr="00A14B5C">
        <w:rPr>
          <w:rFonts w:cstheme="minorHAnsi"/>
          <w:i/>
          <w:shd w:val="clear" w:color="auto" w:fill="FFFFFF"/>
        </w:rPr>
        <w:t>Informatics in Primary Care</w:t>
      </w:r>
      <w:r w:rsidRPr="00A14B5C">
        <w:rPr>
          <w:rFonts w:cstheme="minorHAnsi"/>
          <w:shd w:val="clear" w:color="auto" w:fill="FFFFFF"/>
        </w:rPr>
        <w:t>, Vol. 19, No. 1, pp 47-9</w:t>
      </w:r>
    </w:p>
    <w:p w14:paraId="60C2375B" w14:textId="77777777" w:rsidR="00CC08FD" w:rsidRPr="00A14B5C" w:rsidRDefault="00CC08FD" w:rsidP="00CC08FD">
      <w:pPr>
        <w:spacing w:line="360" w:lineRule="auto"/>
        <w:rPr>
          <w:rFonts w:cstheme="minorHAnsi"/>
        </w:rPr>
      </w:pPr>
      <w:r w:rsidRPr="00A14B5C">
        <w:rPr>
          <w:rFonts w:cstheme="minorHAnsi"/>
        </w:rPr>
        <w:t>Jasperson, J.S., Carter, P.E., and Zmud, R.W. (2005) ‘A Comprehensive Conceptualization of Post-Adoptiv</w:t>
      </w:r>
      <w:bookmarkStart w:id="0" w:name="_GoBack"/>
      <w:bookmarkEnd w:id="0"/>
      <w:r w:rsidRPr="00A14B5C">
        <w:rPr>
          <w:rFonts w:cstheme="minorHAnsi"/>
        </w:rPr>
        <w:t xml:space="preserve">e Behaviors Associated with Information Technology Enabled Work Systems’, </w:t>
      </w:r>
      <w:r w:rsidRPr="00A14B5C">
        <w:rPr>
          <w:rFonts w:cstheme="minorHAnsi"/>
          <w:i/>
        </w:rPr>
        <w:t>Management Information Systems Quarterly,</w:t>
      </w:r>
      <w:r w:rsidRPr="00A14B5C">
        <w:rPr>
          <w:rFonts w:cstheme="minorHAnsi"/>
        </w:rPr>
        <w:t xml:space="preserve"> Vol. 29, No. 3, pp 525-557</w:t>
      </w:r>
    </w:p>
    <w:p w14:paraId="15D28829" w14:textId="77777777" w:rsidR="00CC08FD" w:rsidRPr="00A14B5C" w:rsidRDefault="00CC08FD" w:rsidP="00CC08FD">
      <w:pPr>
        <w:pStyle w:val="NormalWeb"/>
        <w:shd w:val="clear" w:color="auto" w:fill="FFFFFF"/>
        <w:spacing w:before="0" w:beforeAutospacing="0" w:after="160" w:afterAutospacing="0" w:line="360" w:lineRule="auto"/>
        <w:rPr>
          <w:rFonts w:asciiTheme="minorHAnsi" w:hAnsiTheme="minorHAnsi" w:cstheme="minorHAnsi"/>
          <w:sz w:val="22"/>
          <w:szCs w:val="22"/>
          <w:shd w:val="clear" w:color="auto" w:fill="FFFFFF"/>
        </w:rPr>
      </w:pPr>
      <w:r w:rsidRPr="00A14B5C">
        <w:rPr>
          <w:rFonts w:asciiTheme="minorHAnsi" w:hAnsiTheme="minorHAnsi" w:cstheme="minorHAnsi"/>
          <w:sz w:val="22"/>
          <w:szCs w:val="22"/>
          <w:shd w:val="clear" w:color="auto" w:fill="FFFFFF"/>
        </w:rPr>
        <w:lastRenderedPageBreak/>
        <w:t>Kujala, S., Ammenwerth, E., Kolanen, H. and Ervast, M. (2020) ‘Applying and extending the FITT framework to identify the challenges and opportunities of successful eHealth services for patient self-management: qualitative interview study’. </w:t>
      </w:r>
      <w:r w:rsidRPr="00A14B5C">
        <w:rPr>
          <w:rFonts w:asciiTheme="minorHAnsi" w:hAnsiTheme="minorHAnsi" w:cstheme="minorHAnsi"/>
          <w:i/>
          <w:iCs/>
          <w:sz w:val="22"/>
          <w:szCs w:val="22"/>
          <w:shd w:val="clear" w:color="auto" w:fill="FFFFFF"/>
        </w:rPr>
        <w:t>Journal of Medical Internet Research</w:t>
      </w:r>
      <w:r w:rsidRPr="00A14B5C">
        <w:rPr>
          <w:rFonts w:asciiTheme="minorHAnsi" w:hAnsiTheme="minorHAnsi" w:cstheme="minorHAnsi"/>
          <w:sz w:val="22"/>
          <w:szCs w:val="22"/>
          <w:shd w:val="clear" w:color="auto" w:fill="FFFFFF"/>
        </w:rPr>
        <w:t xml:space="preserve">, Vol. </w:t>
      </w:r>
      <w:r w:rsidRPr="00A14B5C">
        <w:rPr>
          <w:rFonts w:asciiTheme="minorHAnsi" w:hAnsiTheme="minorHAnsi" w:cstheme="minorHAnsi"/>
          <w:i/>
          <w:iCs/>
          <w:sz w:val="22"/>
          <w:szCs w:val="22"/>
          <w:shd w:val="clear" w:color="auto" w:fill="FFFFFF"/>
        </w:rPr>
        <w:t xml:space="preserve">22, No. </w:t>
      </w:r>
      <w:r w:rsidRPr="00A14B5C">
        <w:rPr>
          <w:rFonts w:asciiTheme="minorHAnsi" w:hAnsiTheme="minorHAnsi" w:cstheme="minorHAnsi"/>
          <w:sz w:val="22"/>
          <w:szCs w:val="22"/>
          <w:shd w:val="clear" w:color="auto" w:fill="FFFFFF"/>
        </w:rPr>
        <w:t xml:space="preserve">8, p.e17696. Available at: </w:t>
      </w:r>
      <w:r w:rsidRPr="00A14B5C">
        <w:rPr>
          <w:rFonts w:asciiTheme="minorHAnsi" w:hAnsiTheme="minorHAnsi" w:cstheme="minorHAnsi"/>
          <w:sz w:val="22"/>
          <w:szCs w:val="22"/>
          <w:u w:val="single"/>
          <w:shd w:val="clear" w:color="auto" w:fill="FFFFFF"/>
        </w:rPr>
        <w:t>https://www.jmir.org/2020/8/e17696/</w:t>
      </w:r>
      <w:r w:rsidRPr="00A14B5C">
        <w:rPr>
          <w:rFonts w:asciiTheme="minorHAnsi" w:hAnsiTheme="minorHAnsi" w:cstheme="minorHAnsi"/>
          <w:sz w:val="22"/>
          <w:szCs w:val="22"/>
          <w:shd w:val="clear" w:color="auto" w:fill="FFFFFF"/>
        </w:rPr>
        <w:t xml:space="preserve"> (Accessed: 14 February 2023)</w:t>
      </w:r>
    </w:p>
    <w:p w14:paraId="48BE482A" w14:textId="7EF2B1E2" w:rsidR="00CC08FD" w:rsidRPr="00A14B5C" w:rsidRDefault="00CC08FD" w:rsidP="00CC08FD">
      <w:pPr>
        <w:pStyle w:val="NormalWeb"/>
        <w:shd w:val="clear" w:color="auto" w:fill="FFFFFF"/>
        <w:spacing w:before="0" w:beforeAutospacing="0" w:after="160" w:afterAutospacing="0" w:line="360" w:lineRule="auto"/>
        <w:rPr>
          <w:rFonts w:asciiTheme="minorHAnsi" w:hAnsiTheme="minorHAnsi" w:cstheme="minorHAnsi"/>
          <w:sz w:val="22"/>
          <w:szCs w:val="22"/>
          <w:shd w:val="clear" w:color="auto" w:fill="FFFFFF"/>
        </w:rPr>
      </w:pPr>
      <w:r w:rsidRPr="00A14B5C">
        <w:rPr>
          <w:rFonts w:asciiTheme="minorHAnsi" w:hAnsiTheme="minorHAnsi" w:cstheme="minorHAnsi"/>
          <w:sz w:val="22"/>
          <w:szCs w:val="22"/>
          <w:shd w:val="clear" w:color="auto" w:fill="FFFFFF"/>
        </w:rPr>
        <w:t>Marikyan, D., and Papagiannidis, S. (2022) ‘</w:t>
      </w:r>
      <w:r w:rsidRPr="00A14B5C">
        <w:rPr>
          <w:rFonts w:asciiTheme="minorHAnsi" w:hAnsiTheme="minorHAnsi" w:cstheme="minorHAnsi"/>
          <w:i/>
          <w:iCs/>
          <w:sz w:val="22"/>
          <w:szCs w:val="22"/>
          <w:shd w:val="clear" w:color="auto" w:fill="FFFFFF"/>
        </w:rPr>
        <w:t>Task-Technology Fit: A review’</w:t>
      </w:r>
      <w:r w:rsidRPr="00A14B5C">
        <w:rPr>
          <w:rFonts w:asciiTheme="minorHAnsi" w:hAnsiTheme="minorHAnsi" w:cstheme="minorHAnsi"/>
          <w:sz w:val="22"/>
          <w:szCs w:val="22"/>
          <w:shd w:val="clear" w:color="auto" w:fill="FFFFFF"/>
        </w:rPr>
        <w:t>. In S. Papagiannidis (Ed), </w:t>
      </w:r>
      <w:r w:rsidRPr="00CC08FD">
        <w:rPr>
          <w:rFonts w:asciiTheme="minorHAnsi" w:hAnsiTheme="minorHAnsi" w:cstheme="minorHAnsi"/>
          <w:sz w:val="22"/>
          <w:szCs w:val="22"/>
          <w:shd w:val="clear" w:color="auto" w:fill="FFFFFF"/>
        </w:rPr>
        <w:t>TheoryHub Book</w:t>
      </w:r>
      <w:r w:rsidRPr="00A14B5C">
        <w:rPr>
          <w:rFonts w:asciiTheme="minorHAnsi" w:hAnsiTheme="minorHAnsi" w:cstheme="minorHAnsi"/>
          <w:sz w:val="22"/>
          <w:szCs w:val="22"/>
          <w:shd w:val="clear" w:color="auto" w:fill="FFFFFF"/>
        </w:rPr>
        <w:t xml:space="preserve">. Available at: </w:t>
      </w:r>
      <w:r w:rsidRPr="00A14B5C">
        <w:rPr>
          <w:rFonts w:asciiTheme="minorHAnsi" w:hAnsiTheme="minorHAnsi" w:cstheme="minorHAnsi"/>
          <w:sz w:val="22"/>
          <w:szCs w:val="22"/>
          <w:u w:val="single"/>
          <w:shd w:val="clear" w:color="auto" w:fill="FFFFFF"/>
        </w:rPr>
        <w:t>http://open.ncl.ac.uk</w:t>
      </w:r>
      <w:r w:rsidRPr="00A14B5C">
        <w:rPr>
          <w:rFonts w:asciiTheme="minorHAnsi" w:hAnsiTheme="minorHAnsi" w:cstheme="minorHAnsi"/>
          <w:sz w:val="22"/>
          <w:szCs w:val="22"/>
          <w:shd w:val="clear" w:color="auto" w:fill="FFFFFF"/>
        </w:rPr>
        <w:t xml:space="preserve"> (Accessed: 10 February 2023)</w:t>
      </w:r>
    </w:p>
    <w:p w14:paraId="46E340BC" w14:textId="77777777" w:rsidR="00CC08FD" w:rsidRPr="00792094" w:rsidRDefault="00CC08FD" w:rsidP="00CC08FD">
      <w:pPr>
        <w:spacing w:line="360" w:lineRule="auto"/>
        <w:rPr>
          <w:rFonts w:cstheme="minorHAnsi"/>
          <w:shd w:val="clear" w:color="auto" w:fill="FFFFFF"/>
        </w:rPr>
      </w:pPr>
      <w:r w:rsidRPr="00792094">
        <w:rPr>
          <w:rFonts w:cstheme="minorHAnsi"/>
          <w:shd w:val="clear" w:color="auto" w:fill="FFFFFF"/>
        </w:rPr>
        <w:t>NHS England</w:t>
      </w:r>
      <w:r>
        <w:rPr>
          <w:rFonts w:cstheme="minorHAnsi"/>
          <w:shd w:val="clear" w:color="auto" w:fill="FFFFFF"/>
        </w:rPr>
        <w:t xml:space="preserve"> (2022) ‘</w:t>
      </w:r>
      <w:r>
        <w:t xml:space="preserve">Universal Principles for Advance Care Planning (ACP)’. Available at: </w:t>
      </w:r>
      <w:r w:rsidRPr="00792094">
        <w:rPr>
          <w:u w:val="single"/>
        </w:rPr>
        <w:t>https://www.england.nhs.uk/wp-content/uploads/2022/03/universal-principles-for-advance-care-planning.pdf</w:t>
      </w:r>
      <w:r>
        <w:t xml:space="preserve"> (Accessed 16th February 2023)</w:t>
      </w:r>
    </w:p>
    <w:p w14:paraId="17373F18" w14:textId="77777777" w:rsidR="00CC08FD" w:rsidRDefault="00CC08FD" w:rsidP="00CC08FD">
      <w:pPr>
        <w:spacing w:line="360" w:lineRule="auto"/>
      </w:pPr>
      <w:r w:rsidRPr="00792094">
        <w:rPr>
          <w:rFonts w:cstheme="minorHAnsi"/>
          <w:shd w:val="clear" w:color="auto" w:fill="FFFFFF"/>
        </w:rPr>
        <w:t xml:space="preserve">NHS England, Department of Health and Social Care (2023). </w:t>
      </w:r>
      <w:r>
        <w:rPr>
          <w:rFonts w:cstheme="minorHAnsi"/>
          <w:shd w:val="clear" w:color="auto" w:fill="FFFFFF"/>
        </w:rPr>
        <w:t>‘</w:t>
      </w:r>
      <w:r w:rsidRPr="00792094">
        <w:rPr>
          <w:rFonts w:cstheme="minorHAnsi"/>
          <w:shd w:val="clear" w:color="auto" w:fill="FFFFFF"/>
        </w:rPr>
        <w:t>Delivery plan for recovering urgent and emergency care services</w:t>
      </w:r>
      <w:r>
        <w:rPr>
          <w:rFonts w:cstheme="minorHAnsi"/>
          <w:shd w:val="clear" w:color="auto" w:fill="FFFFFF"/>
        </w:rPr>
        <w:t>’</w:t>
      </w:r>
      <w:r w:rsidRPr="00792094">
        <w:rPr>
          <w:rFonts w:cstheme="minorHAnsi"/>
          <w:shd w:val="clear" w:color="auto" w:fill="FFFFFF"/>
        </w:rPr>
        <w:t>.</w:t>
      </w:r>
      <w:r>
        <w:rPr>
          <w:rFonts w:cstheme="minorHAnsi"/>
          <w:shd w:val="clear" w:color="auto" w:fill="FFFFFF"/>
        </w:rPr>
        <w:t xml:space="preserve"> Available at:</w:t>
      </w:r>
      <w:r w:rsidRPr="00792094">
        <w:rPr>
          <w:rFonts w:cstheme="minorHAnsi"/>
          <w:shd w:val="clear" w:color="auto" w:fill="FFFFFF"/>
        </w:rPr>
        <w:t> </w:t>
      </w:r>
      <w:r w:rsidRPr="00792094">
        <w:rPr>
          <w:rFonts w:cstheme="minorHAnsi"/>
          <w:u w:val="single"/>
          <w:bdr w:val="none" w:sz="0" w:space="0" w:color="auto" w:frame="1"/>
          <w:shd w:val="clear" w:color="auto" w:fill="FFFFFF"/>
        </w:rPr>
        <w:t>https://www.england.nhs.uk/wp-content/uploads/2023/01/B2034-delivery-plan-for-recovering-urgent-and-emergency-care-services.pdf</w:t>
      </w:r>
      <w:r w:rsidRPr="00792094">
        <w:rPr>
          <w:rFonts w:cstheme="minorHAnsi"/>
          <w:bdr w:val="none" w:sz="0" w:space="0" w:color="auto" w:frame="1"/>
          <w:shd w:val="clear" w:color="auto" w:fill="FFFFFF"/>
        </w:rPr>
        <w:t xml:space="preserve"> </w:t>
      </w:r>
      <w:r>
        <w:t>(Accessed 16th February 2023)</w:t>
      </w:r>
    </w:p>
    <w:p w14:paraId="3D7C4A8B" w14:textId="77777777" w:rsidR="00CC08FD" w:rsidRDefault="00CC08FD" w:rsidP="00CC08FD">
      <w:pPr>
        <w:spacing w:line="360" w:lineRule="auto"/>
      </w:pPr>
      <w:r>
        <w:t xml:space="preserve">NHS Wales (2021). ‘All Wales Treatment Escalation Plan Policy’. Available at: </w:t>
      </w:r>
      <w:r w:rsidRPr="00792094">
        <w:rPr>
          <w:u w:val="single"/>
        </w:rPr>
        <w:t>https://nhswales365.sharepoint.com/sites/ABB_Pulse_Policies/Clinical%20Poli</w:t>
      </w:r>
      <w:r w:rsidRPr="00792094">
        <w:rPr>
          <w:u w:val="single"/>
        </w:rPr>
        <w:lastRenderedPageBreak/>
        <w:t>cies/Forms/All%20Staff%20Documents.aspx?id=%2Fsites%2FABB_Pulse_Policies%2FClinical%20Policies%2FAll%20Wales%20Treatment%20Escalation%20Policy%20TEP%2Epdf&amp;parent=%2Fsites%2FABB_Pulse_Policies%2FClinical%20Policies</w:t>
      </w:r>
      <w:r>
        <w:t xml:space="preserve"> (Accessed 16</w:t>
      </w:r>
      <w:r w:rsidRPr="00792094">
        <w:rPr>
          <w:vertAlign w:val="superscript"/>
        </w:rPr>
        <w:t>th</w:t>
      </w:r>
      <w:r>
        <w:t xml:space="preserve"> February 2023)</w:t>
      </w:r>
    </w:p>
    <w:p w14:paraId="644493A1" w14:textId="77777777" w:rsidR="00CC08FD" w:rsidRPr="00DA764A" w:rsidRDefault="00CC08FD" w:rsidP="00CC08FD">
      <w:pPr>
        <w:spacing w:line="360" w:lineRule="auto"/>
        <w:rPr>
          <w:rFonts w:cstheme="minorHAnsi"/>
          <w:shd w:val="clear" w:color="auto" w:fill="FFFFFF"/>
        </w:rPr>
      </w:pPr>
      <w:r>
        <w:rPr>
          <w:rFonts w:cstheme="minorHAnsi"/>
          <w:shd w:val="clear" w:color="auto" w:fill="FFFFFF"/>
        </w:rPr>
        <w:t xml:space="preserve">NHS Wales. Digital Health and Care Wales (2021) ‘Digital Health and Care Wales Plan 2021-22’. Available at: </w:t>
      </w:r>
      <w:r w:rsidRPr="009C6D5E">
        <w:rPr>
          <w:rFonts w:cstheme="minorHAnsi"/>
          <w:u w:val="single"/>
          <w:shd w:val="clear" w:color="auto" w:fill="FFFFFF"/>
        </w:rPr>
        <w:t>https://dhcw.nhs.wales/files/key-documents/dhcw-annual-plan-21-22-nbsp-final-pdf/</w:t>
      </w:r>
      <w:r>
        <w:rPr>
          <w:rFonts w:cstheme="minorHAnsi"/>
          <w:shd w:val="clear" w:color="auto" w:fill="FFFFFF"/>
        </w:rPr>
        <w:t xml:space="preserve"> (Accessed 17</w:t>
      </w:r>
      <w:r w:rsidRPr="009C6D5E">
        <w:rPr>
          <w:rFonts w:cstheme="minorHAnsi"/>
          <w:shd w:val="clear" w:color="auto" w:fill="FFFFFF"/>
          <w:vertAlign w:val="superscript"/>
        </w:rPr>
        <w:t>th</w:t>
      </w:r>
      <w:r>
        <w:rPr>
          <w:rFonts w:cstheme="minorHAnsi"/>
          <w:shd w:val="clear" w:color="auto" w:fill="FFFFFF"/>
        </w:rPr>
        <w:t xml:space="preserve"> February 2023)</w:t>
      </w:r>
    </w:p>
    <w:p w14:paraId="35E07F3A" w14:textId="77777777" w:rsidR="00CC08FD" w:rsidRPr="00300955" w:rsidRDefault="00CC08FD" w:rsidP="00CC08FD">
      <w:pPr>
        <w:spacing w:line="360" w:lineRule="auto"/>
        <w:rPr>
          <w:rFonts w:cstheme="minorHAnsi"/>
          <w:color w:val="212121"/>
          <w:shd w:val="clear" w:color="auto" w:fill="FFFFFF"/>
        </w:rPr>
      </w:pPr>
      <w:r>
        <w:rPr>
          <w:rFonts w:ascii="Segoe UI" w:hAnsi="Segoe UI" w:cs="Segoe UI"/>
          <w:color w:val="212121"/>
          <w:shd w:val="clear" w:color="auto" w:fill="FFFFFF"/>
        </w:rPr>
        <w:t xml:space="preserve">Nilsson, L., Hellström, A., Wennerberg, C., Ekstedt, M., and Schildmeijer, K. (2020) ‘Patients' experiences of using an e-Health tool for self-management support after prostate cancer surgery: a deductive interview study explained through the FITT framework’. </w:t>
      </w:r>
      <w:r w:rsidRPr="00D569A2">
        <w:rPr>
          <w:rFonts w:ascii="Segoe UI" w:hAnsi="Segoe UI" w:cs="Segoe UI"/>
          <w:i/>
          <w:color w:val="212121"/>
          <w:shd w:val="clear" w:color="auto" w:fill="FFFFFF"/>
        </w:rPr>
        <w:t>BMJ Open</w:t>
      </w:r>
      <w:r>
        <w:rPr>
          <w:rFonts w:ascii="Segoe UI" w:hAnsi="Segoe UI" w:cs="Segoe UI"/>
          <w:color w:val="212121"/>
          <w:shd w:val="clear" w:color="auto" w:fill="FFFFFF"/>
        </w:rPr>
        <w:t xml:space="preserve">. Vol. 10, No. 6, e035024. Available at: </w:t>
      </w:r>
      <w:r w:rsidRPr="00D569A2">
        <w:rPr>
          <w:rFonts w:ascii="Segoe UI" w:hAnsi="Segoe UI" w:cs="Segoe UI"/>
          <w:color w:val="212121"/>
          <w:u w:val="single"/>
          <w:shd w:val="clear" w:color="auto" w:fill="FFFFFF"/>
        </w:rPr>
        <w:t>https://bmjopen.bmj.com/content/10/6/e035024</w:t>
      </w:r>
      <w:r>
        <w:rPr>
          <w:rFonts w:ascii="Segoe UI" w:hAnsi="Segoe UI" w:cs="Segoe UI"/>
          <w:color w:val="212121"/>
          <w:shd w:val="clear" w:color="auto" w:fill="FFFFFF"/>
        </w:rPr>
        <w:t xml:space="preserve"> (Accessed </w:t>
      </w:r>
      <w:r w:rsidRPr="00300955">
        <w:rPr>
          <w:rFonts w:cstheme="minorHAnsi"/>
          <w:color w:val="212121"/>
          <w:shd w:val="clear" w:color="auto" w:fill="FFFFFF"/>
        </w:rPr>
        <w:t>15</w:t>
      </w:r>
      <w:r w:rsidRPr="00300955">
        <w:rPr>
          <w:rFonts w:cstheme="minorHAnsi"/>
          <w:color w:val="212121"/>
          <w:shd w:val="clear" w:color="auto" w:fill="FFFFFF"/>
          <w:vertAlign w:val="superscript"/>
        </w:rPr>
        <w:t>th</w:t>
      </w:r>
      <w:r w:rsidRPr="00300955">
        <w:rPr>
          <w:rFonts w:cstheme="minorHAnsi"/>
          <w:color w:val="212121"/>
          <w:shd w:val="clear" w:color="auto" w:fill="FFFFFF"/>
        </w:rPr>
        <w:t xml:space="preserve"> February 2023)</w:t>
      </w:r>
    </w:p>
    <w:p w14:paraId="007D9197" w14:textId="77777777" w:rsidR="00CC08FD" w:rsidRPr="00A14B5C" w:rsidRDefault="00CC08FD" w:rsidP="00CC08FD">
      <w:pPr>
        <w:spacing w:line="360" w:lineRule="auto"/>
        <w:rPr>
          <w:rFonts w:cstheme="minorHAnsi"/>
        </w:rPr>
      </w:pPr>
      <w:r w:rsidRPr="00A14B5C">
        <w:rPr>
          <w:rFonts w:cstheme="minorHAnsi"/>
          <w:shd w:val="clear" w:color="auto" w:fill="FFFFFF"/>
        </w:rPr>
        <w:t>Ohiomah, A., Benyoucef, M. and Andreev, P. (2015) ‘The Technology-to-Performance Chain: Conceptualizing How Lead Management Systems Drive Inside Sales Performance’. In </w:t>
      </w:r>
      <w:r w:rsidRPr="00A14B5C">
        <w:rPr>
          <w:rFonts w:cstheme="minorHAnsi"/>
          <w:i/>
          <w:iCs/>
          <w:shd w:val="clear" w:color="auto" w:fill="FFFFFF"/>
        </w:rPr>
        <w:t>Proceedings of the Conference on Information Systems Applied Research ISSN</w:t>
      </w:r>
      <w:r w:rsidRPr="00A14B5C">
        <w:rPr>
          <w:rFonts w:cstheme="minorHAnsi"/>
          <w:shd w:val="clear" w:color="auto" w:fill="FFFFFF"/>
        </w:rPr>
        <w:t xml:space="preserve"> (Vol. 2167, p. 1508). Available at: </w:t>
      </w:r>
      <w:r w:rsidRPr="00A14B5C">
        <w:rPr>
          <w:rFonts w:cstheme="minorHAnsi"/>
          <w:u w:val="single"/>
        </w:rPr>
        <w:t xml:space="preserve">https://proc.conisar.org/2015/pdf/3653.pdf </w:t>
      </w:r>
      <w:r w:rsidRPr="00A14B5C">
        <w:rPr>
          <w:rFonts w:cstheme="minorHAnsi"/>
        </w:rPr>
        <w:t>(Accessed 14 February 2023)</w:t>
      </w:r>
    </w:p>
    <w:p w14:paraId="6C470633" w14:textId="77777777" w:rsidR="00CC08FD" w:rsidRPr="00A14B5C" w:rsidRDefault="00CC08FD" w:rsidP="00CC08FD">
      <w:pPr>
        <w:pStyle w:val="NormalWeb"/>
        <w:shd w:val="clear" w:color="auto" w:fill="FFFFFF"/>
        <w:spacing w:before="0" w:beforeAutospacing="0" w:after="160" w:afterAutospacing="0" w:line="360" w:lineRule="auto"/>
        <w:rPr>
          <w:rFonts w:asciiTheme="minorHAnsi" w:hAnsiTheme="minorHAnsi" w:cstheme="minorHAnsi"/>
          <w:sz w:val="22"/>
          <w:szCs w:val="22"/>
        </w:rPr>
      </w:pPr>
      <w:r w:rsidRPr="00A14B5C">
        <w:rPr>
          <w:rFonts w:asciiTheme="minorHAnsi" w:hAnsiTheme="minorHAnsi" w:cstheme="minorHAnsi"/>
          <w:sz w:val="22"/>
          <w:szCs w:val="22"/>
          <w:shd w:val="clear" w:color="auto" w:fill="FFFFFF"/>
        </w:rPr>
        <w:t xml:space="preserve">Prgomet, M., Georgiou, A., Callen, J., and Westbrook, J. (2019) ‘Fit Between Individuals, Tasks, Technology, and Environment (FITTE) Framework: A Proposed Extension of FITT to </w:t>
      </w:r>
      <w:r w:rsidRPr="00A14B5C">
        <w:rPr>
          <w:rFonts w:asciiTheme="minorHAnsi" w:hAnsiTheme="minorHAnsi" w:cstheme="minorHAnsi"/>
          <w:sz w:val="22"/>
          <w:szCs w:val="22"/>
          <w:shd w:val="clear" w:color="auto" w:fill="FFFFFF"/>
        </w:rPr>
        <w:lastRenderedPageBreak/>
        <w:t xml:space="preserve">Evaluate and Optimise Health Information Technology Use’. </w:t>
      </w:r>
      <w:r w:rsidRPr="00A14B5C">
        <w:rPr>
          <w:rFonts w:asciiTheme="minorHAnsi" w:hAnsiTheme="minorHAnsi" w:cstheme="minorHAnsi"/>
          <w:i/>
          <w:sz w:val="22"/>
          <w:szCs w:val="22"/>
          <w:shd w:val="clear" w:color="auto" w:fill="FFFFFF"/>
        </w:rPr>
        <w:t>Studies in Health Technology and Informatics</w:t>
      </w:r>
      <w:r w:rsidRPr="00A14B5C">
        <w:rPr>
          <w:rFonts w:asciiTheme="minorHAnsi" w:hAnsiTheme="minorHAnsi" w:cstheme="minorHAnsi"/>
          <w:sz w:val="22"/>
          <w:szCs w:val="22"/>
        </w:rPr>
        <w:t xml:space="preserve">, Vol. </w:t>
      </w:r>
      <w:r w:rsidRPr="00A14B5C">
        <w:rPr>
          <w:rFonts w:asciiTheme="minorHAnsi" w:hAnsiTheme="minorHAnsi" w:cstheme="minorHAnsi"/>
          <w:sz w:val="22"/>
          <w:szCs w:val="22"/>
          <w:shd w:val="clear" w:color="auto" w:fill="FFFFFF"/>
        </w:rPr>
        <w:t xml:space="preserve">264, pp744-748. Available at: </w:t>
      </w:r>
      <w:r w:rsidRPr="00A14B5C">
        <w:rPr>
          <w:rFonts w:asciiTheme="minorHAnsi" w:hAnsiTheme="minorHAnsi" w:cstheme="minorHAnsi"/>
          <w:sz w:val="22"/>
          <w:szCs w:val="22"/>
          <w:u w:val="single"/>
          <w:shd w:val="clear" w:color="auto" w:fill="FFFFFF"/>
        </w:rPr>
        <w:t>https://ebooks.iospress.nl/publication/52087</w:t>
      </w:r>
      <w:r w:rsidRPr="00A14B5C">
        <w:rPr>
          <w:rFonts w:asciiTheme="minorHAnsi" w:hAnsiTheme="minorHAnsi" w:cstheme="minorHAnsi"/>
          <w:sz w:val="22"/>
          <w:szCs w:val="22"/>
          <w:shd w:val="clear" w:color="auto" w:fill="FFFFFF"/>
        </w:rPr>
        <w:t xml:space="preserve"> (Accessed 10</w:t>
      </w:r>
      <w:r w:rsidRPr="00A14B5C">
        <w:rPr>
          <w:rFonts w:asciiTheme="minorHAnsi" w:hAnsiTheme="minorHAnsi" w:cstheme="minorHAnsi"/>
          <w:sz w:val="22"/>
          <w:szCs w:val="22"/>
          <w:shd w:val="clear" w:color="auto" w:fill="FFFFFF"/>
          <w:vertAlign w:val="superscript"/>
        </w:rPr>
        <w:t>th</w:t>
      </w:r>
      <w:r w:rsidRPr="00A14B5C">
        <w:rPr>
          <w:rFonts w:asciiTheme="minorHAnsi" w:hAnsiTheme="minorHAnsi" w:cstheme="minorHAnsi"/>
          <w:sz w:val="22"/>
          <w:szCs w:val="22"/>
          <w:shd w:val="clear" w:color="auto" w:fill="FFFFFF"/>
        </w:rPr>
        <w:t xml:space="preserve"> February 2023)</w:t>
      </w:r>
    </w:p>
    <w:p w14:paraId="7BC5C324" w14:textId="77777777" w:rsidR="00CC08FD" w:rsidRPr="00A14B5C" w:rsidRDefault="00CC08FD" w:rsidP="00CC08FD">
      <w:pPr>
        <w:pStyle w:val="NormalWeb"/>
        <w:shd w:val="clear" w:color="auto" w:fill="FFFFFF"/>
        <w:spacing w:line="360" w:lineRule="auto"/>
        <w:rPr>
          <w:rFonts w:asciiTheme="minorHAnsi" w:hAnsiTheme="minorHAnsi" w:cstheme="minorHAnsi"/>
          <w:iCs/>
          <w:sz w:val="22"/>
          <w:szCs w:val="22"/>
        </w:rPr>
      </w:pPr>
      <w:r w:rsidRPr="00A14B5C">
        <w:rPr>
          <w:rFonts w:asciiTheme="minorHAnsi" w:hAnsiTheme="minorHAnsi" w:cstheme="minorHAnsi"/>
          <w:iCs/>
          <w:sz w:val="22"/>
          <w:szCs w:val="22"/>
        </w:rPr>
        <w:t>V</w:t>
      </w:r>
      <w:r w:rsidRPr="00A14B5C">
        <w:rPr>
          <w:rFonts w:asciiTheme="minorHAnsi" w:hAnsiTheme="minorHAnsi" w:cstheme="minorHAnsi"/>
          <w:sz w:val="22"/>
          <w:szCs w:val="22"/>
        </w:rPr>
        <w:t xml:space="preserve">enkatesh., V., Morris, M.G., Davis, G.B., and Davis, F.D. (2003) ‘User Acceptance of Information Technology: Toward a Unified View’, </w:t>
      </w:r>
      <w:r w:rsidRPr="00A14B5C">
        <w:rPr>
          <w:rFonts w:asciiTheme="minorHAnsi" w:hAnsiTheme="minorHAnsi" w:cstheme="minorHAnsi"/>
          <w:i/>
          <w:sz w:val="22"/>
          <w:szCs w:val="22"/>
        </w:rPr>
        <w:t>Management Information Systems Quarterly</w:t>
      </w:r>
      <w:r w:rsidRPr="00A14B5C">
        <w:rPr>
          <w:rFonts w:asciiTheme="minorHAnsi" w:hAnsiTheme="minorHAnsi" w:cstheme="minorHAnsi"/>
          <w:sz w:val="22"/>
          <w:szCs w:val="22"/>
        </w:rPr>
        <w:t>, Vol. 27, No. 3, pp 425-478</w:t>
      </w:r>
    </w:p>
    <w:p w14:paraId="6CDC481E" w14:textId="77777777" w:rsidR="00CC08FD" w:rsidRPr="00A14B5C" w:rsidRDefault="00CC08FD" w:rsidP="00CC08FD">
      <w:pPr>
        <w:pStyle w:val="NormalWeb"/>
        <w:shd w:val="clear" w:color="auto" w:fill="FFFFFF"/>
        <w:spacing w:line="360" w:lineRule="auto"/>
        <w:rPr>
          <w:rFonts w:asciiTheme="minorHAnsi" w:hAnsiTheme="minorHAnsi" w:cstheme="minorHAnsi"/>
          <w:iCs/>
          <w:sz w:val="22"/>
          <w:szCs w:val="22"/>
        </w:rPr>
      </w:pPr>
      <w:r w:rsidRPr="00A14B5C">
        <w:rPr>
          <w:rFonts w:asciiTheme="minorHAnsi" w:hAnsiTheme="minorHAnsi" w:cstheme="minorHAnsi"/>
          <w:iCs/>
          <w:sz w:val="22"/>
          <w:szCs w:val="22"/>
        </w:rPr>
        <w:t xml:space="preserve">Zhai, Y., Yu, Z., Zhang, Q., and Zhang, Y. (2022) ‘Barriers and facilitators to implementing a nursing clinical decision support system in a tertiary hospital setting: A qualitative study using the FITT framework’. </w:t>
      </w:r>
      <w:r w:rsidRPr="00A14B5C">
        <w:rPr>
          <w:rFonts w:asciiTheme="minorHAnsi" w:hAnsiTheme="minorHAnsi" w:cstheme="minorHAnsi"/>
          <w:i/>
          <w:iCs/>
          <w:sz w:val="22"/>
          <w:szCs w:val="22"/>
        </w:rPr>
        <w:t>International Journal of Medical Informatics</w:t>
      </w:r>
      <w:r w:rsidRPr="00A14B5C">
        <w:rPr>
          <w:rFonts w:asciiTheme="minorHAnsi" w:hAnsiTheme="minorHAnsi" w:cstheme="minorHAnsi"/>
          <w:iCs/>
          <w:sz w:val="22"/>
          <w:szCs w:val="22"/>
        </w:rPr>
        <w:t xml:space="preserve">, Vol 166. Available at: </w:t>
      </w:r>
      <w:r w:rsidRPr="00A14B5C">
        <w:rPr>
          <w:rFonts w:asciiTheme="minorHAnsi" w:hAnsiTheme="minorHAnsi" w:cstheme="minorHAnsi"/>
          <w:sz w:val="22"/>
          <w:szCs w:val="22"/>
          <w:u w:val="single"/>
        </w:rPr>
        <w:t>https://doi.org/10.1016/j.ijmedinf.2022.104841</w:t>
      </w:r>
      <w:r w:rsidRPr="00A14B5C">
        <w:rPr>
          <w:rFonts w:asciiTheme="minorHAnsi" w:hAnsiTheme="minorHAnsi" w:cstheme="minorHAnsi"/>
          <w:iCs/>
          <w:sz w:val="22"/>
          <w:szCs w:val="22"/>
        </w:rPr>
        <w:t xml:space="preserve"> (Accessed 14</w:t>
      </w:r>
      <w:r w:rsidRPr="00A14B5C">
        <w:rPr>
          <w:rFonts w:asciiTheme="minorHAnsi" w:hAnsiTheme="minorHAnsi" w:cstheme="minorHAnsi"/>
          <w:iCs/>
          <w:sz w:val="22"/>
          <w:szCs w:val="22"/>
          <w:vertAlign w:val="superscript"/>
        </w:rPr>
        <w:t>th</w:t>
      </w:r>
      <w:r w:rsidRPr="00A14B5C">
        <w:rPr>
          <w:rFonts w:asciiTheme="minorHAnsi" w:hAnsiTheme="minorHAnsi" w:cstheme="minorHAnsi"/>
          <w:iCs/>
          <w:sz w:val="22"/>
          <w:szCs w:val="22"/>
        </w:rPr>
        <w:t xml:space="preserve"> February 2023)</w:t>
      </w:r>
    </w:p>
    <w:p w14:paraId="59C79378" w14:textId="77777777" w:rsidR="00CC08FD" w:rsidRPr="00A14B5C" w:rsidRDefault="00CC08FD" w:rsidP="00CC08FD">
      <w:pPr>
        <w:pStyle w:val="NormalWeb"/>
        <w:shd w:val="clear" w:color="auto" w:fill="FFFFFF"/>
        <w:spacing w:before="0" w:beforeAutospacing="0" w:after="160" w:afterAutospacing="0" w:line="360" w:lineRule="auto"/>
        <w:rPr>
          <w:rFonts w:asciiTheme="minorHAnsi" w:hAnsiTheme="minorHAnsi" w:cstheme="minorHAnsi"/>
          <w:sz w:val="22"/>
          <w:szCs w:val="22"/>
        </w:rPr>
      </w:pPr>
      <w:r w:rsidRPr="00A14B5C">
        <w:rPr>
          <w:rFonts w:asciiTheme="minorHAnsi" w:hAnsiTheme="minorHAnsi" w:cstheme="minorHAnsi"/>
          <w:sz w:val="22"/>
          <w:szCs w:val="22"/>
        </w:rPr>
        <w:t>Zhang, J., Budhdeo, S. and Ashrafian, H. (2022) ‘Failing IT infrastructure is undermining safe healthcare in the NHS’, </w:t>
      </w:r>
      <w:r w:rsidRPr="00A14B5C">
        <w:rPr>
          <w:rFonts w:asciiTheme="minorHAnsi" w:hAnsiTheme="minorHAnsi" w:cstheme="minorHAnsi"/>
          <w:i/>
          <w:iCs/>
          <w:sz w:val="22"/>
          <w:szCs w:val="22"/>
        </w:rPr>
        <w:t>BMJ (Clinical research ed.), </w:t>
      </w:r>
      <w:r w:rsidRPr="00A14B5C">
        <w:rPr>
          <w:rFonts w:asciiTheme="minorHAnsi" w:hAnsiTheme="minorHAnsi" w:cstheme="minorHAnsi"/>
          <w:bCs/>
          <w:sz w:val="22"/>
          <w:szCs w:val="22"/>
        </w:rPr>
        <w:t>379</w:t>
      </w:r>
      <w:r w:rsidRPr="00A14B5C">
        <w:rPr>
          <w:rFonts w:asciiTheme="minorHAnsi" w:hAnsiTheme="minorHAnsi" w:cstheme="minorHAnsi"/>
          <w:sz w:val="22"/>
          <w:szCs w:val="22"/>
        </w:rPr>
        <w:t>, pp. e073166-073166</w:t>
      </w:r>
    </w:p>
    <w:p w14:paraId="58714413" w14:textId="77777777" w:rsidR="00CC08FD" w:rsidRPr="00A14B5C" w:rsidRDefault="00CC08FD" w:rsidP="00CC08FD">
      <w:pPr>
        <w:pStyle w:val="NormalWeb"/>
        <w:shd w:val="clear" w:color="auto" w:fill="FFFFFF"/>
        <w:spacing w:before="0" w:beforeAutospacing="0" w:after="160" w:afterAutospacing="0" w:line="360" w:lineRule="auto"/>
        <w:rPr>
          <w:rFonts w:asciiTheme="minorHAnsi" w:hAnsiTheme="minorHAnsi" w:cstheme="minorHAnsi"/>
          <w:sz w:val="22"/>
          <w:szCs w:val="22"/>
        </w:rPr>
      </w:pPr>
      <w:r w:rsidRPr="00A14B5C">
        <w:rPr>
          <w:rFonts w:asciiTheme="minorHAnsi" w:hAnsiTheme="minorHAnsi" w:cstheme="minorHAnsi"/>
          <w:sz w:val="22"/>
          <w:szCs w:val="22"/>
        </w:rPr>
        <w:t>Zhou, T., Lu, Y., and Wang, B. (2010) ‘Integrating TTF and UTAUT to explain mobile banking user adoption’ </w:t>
      </w:r>
      <w:r w:rsidRPr="00A14B5C">
        <w:rPr>
          <w:rFonts w:asciiTheme="minorHAnsi" w:hAnsiTheme="minorHAnsi" w:cstheme="minorHAnsi"/>
          <w:i/>
          <w:iCs/>
          <w:sz w:val="22"/>
          <w:szCs w:val="22"/>
        </w:rPr>
        <w:t xml:space="preserve">Computers in Human Behavior, </w:t>
      </w:r>
      <w:r w:rsidRPr="00A14B5C">
        <w:rPr>
          <w:rFonts w:asciiTheme="minorHAnsi" w:hAnsiTheme="minorHAnsi" w:cstheme="minorHAnsi"/>
          <w:iCs/>
          <w:sz w:val="22"/>
          <w:szCs w:val="22"/>
        </w:rPr>
        <w:t>Vol. 26, No. 4</w:t>
      </w:r>
      <w:r w:rsidRPr="00A14B5C">
        <w:rPr>
          <w:rFonts w:asciiTheme="minorHAnsi" w:hAnsiTheme="minorHAnsi" w:cstheme="minorHAnsi"/>
          <w:sz w:val="22"/>
          <w:szCs w:val="22"/>
        </w:rPr>
        <w:t>, pp.760–767</w:t>
      </w:r>
    </w:p>
    <w:p w14:paraId="0C4D72CF" w14:textId="77777777" w:rsidR="00CC08FD" w:rsidRPr="00A14B5C" w:rsidRDefault="00CC08FD" w:rsidP="00CC08FD">
      <w:pPr>
        <w:spacing w:line="360" w:lineRule="auto"/>
        <w:rPr>
          <w:rFonts w:cstheme="minorHAnsi"/>
          <w:shd w:val="clear" w:color="auto" w:fill="FFFFFF"/>
        </w:rPr>
      </w:pPr>
      <w:r w:rsidRPr="00A14B5C">
        <w:rPr>
          <w:rFonts w:cstheme="minorHAnsi"/>
          <w:shd w:val="clear" w:color="auto" w:fill="FFFFFF"/>
        </w:rPr>
        <w:t xml:space="preserve">Zulman, D.M., Jenchura, E.C., Cohen, D.M., Lewis, E.T., Houston, T.K., and Asch, S.M. (2015) ‘How can eHealth technology address challenges related to multimorbidity? Perspectives </w:t>
      </w:r>
      <w:r w:rsidRPr="00A14B5C">
        <w:rPr>
          <w:rFonts w:cstheme="minorHAnsi"/>
          <w:shd w:val="clear" w:color="auto" w:fill="FFFFFF"/>
        </w:rPr>
        <w:lastRenderedPageBreak/>
        <w:t xml:space="preserve">from patients with multiple chronic conditions’. </w:t>
      </w:r>
      <w:r w:rsidRPr="00A14B5C">
        <w:rPr>
          <w:rFonts w:cstheme="minorHAnsi"/>
          <w:i/>
          <w:shd w:val="clear" w:color="auto" w:fill="FFFFFF"/>
        </w:rPr>
        <w:t>Journal of General Internal Medicine,</w:t>
      </w:r>
      <w:r w:rsidRPr="00A14B5C">
        <w:rPr>
          <w:rFonts w:cstheme="minorHAnsi"/>
          <w:shd w:val="clear" w:color="auto" w:fill="FFFFFF"/>
        </w:rPr>
        <w:t xml:space="preserve"> Vol. 30, No. 8, pp 1063-1070</w:t>
      </w:r>
    </w:p>
    <w:p w14:paraId="0CAFF058" w14:textId="020D77EC" w:rsidR="00780260" w:rsidRDefault="00780260" w:rsidP="00CC08FD">
      <w:pPr>
        <w:spacing w:line="360" w:lineRule="auto"/>
      </w:pPr>
    </w:p>
    <w:sectPr w:rsidR="00780260">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7FBAE9" w14:textId="77777777" w:rsidR="00780260" w:rsidRDefault="00780260" w:rsidP="00780260">
      <w:pPr>
        <w:spacing w:after="0" w:line="240" w:lineRule="auto"/>
      </w:pPr>
      <w:r>
        <w:separator/>
      </w:r>
    </w:p>
  </w:endnote>
  <w:endnote w:type="continuationSeparator" w:id="0">
    <w:p w14:paraId="3921D347" w14:textId="77777777" w:rsidR="00780260" w:rsidRDefault="00780260" w:rsidP="00780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5082310"/>
      <w:docPartObj>
        <w:docPartGallery w:val="Page Numbers (Bottom of Page)"/>
        <w:docPartUnique/>
      </w:docPartObj>
    </w:sdtPr>
    <w:sdtEndPr/>
    <w:sdtContent>
      <w:sdt>
        <w:sdtPr>
          <w:id w:val="1516656658"/>
          <w:docPartObj>
            <w:docPartGallery w:val="Page Numbers (Top of Page)"/>
            <w:docPartUnique/>
          </w:docPartObj>
        </w:sdtPr>
        <w:sdtEndPr/>
        <w:sdtContent>
          <w:p w14:paraId="2498A38B" w14:textId="10FCCC6E" w:rsidR="00780260" w:rsidRPr="006406D0" w:rsidRDefault="00780260" w:rsidP="00780260">
            <w:r>
              <w:tab/>
            </w:r>
            <w:r w:rsidRPr="006406D0">
              <w:tab/>
            </w:r>
            <w:r w:rsidRPr="006406D0">
              <w:tab/>
            </w:r>
            <w:r w:rsidRPr="006406D0">
              <w:tab/>
            </w:r>
            <w:r w:rsidRPr="006406D0">
              <w:tab/>
            </w:r>
            <w:r w:rsidRPr="006406D0">
              <w:tab/>
            </w:r>
            <w:r w:rsidRPr="006406D0">
              <w:tab/>
            </w:r>
            <w:r>
              <w:tab/>
            </w:r>
            <w:r>
              <w:tab/>
            </w:r>
            <w:r>
              <w:tab/>
            </w:r>
            <w:r w:rsidRPr="006406D0">
              <w:t xml:space="preserve">Page </w:t>
            </w:r>
            <w:r w:rsidRPr="006406D0">
              <w:rPr>
                <w:b/>
                <w:bCs/>
              </w:rPr>
              <w:fldChar w:fldCharType="begin"/>
            </w:r>
            <w:r w:rsidRPr="006406D0">
              <w:rPr>
                <w:b/>
                <w:bCs/>
              </w:rPr>
              <w:instrText xml:space="preserve"> PAGE </w:instrText>
            </w:r>
            <w:r w:rsidRPr="006406D0">
              <w:rPr>
                <w:b/>
                <w:bCs/>
              </w:rPr>
              <w:fldChar w:fldCharType="separate"/>
            </w:r>
            <w:r w:rsidR="003075C4">
              <w:rPr>
                <w:b/>
                <w:bCs/>
                <w:noProof/>
              </w:rPr>
              <w:t>16</w:t>
            </w:r>
            <w:r w:rsidRPr="006406D0">
              <w:rPr>
                <w:b/>
                <w:bCs/>
              </w:rPr>
              <w:fldChar w:fldCharType="end"/>
            </w:r>
            <w:r w:rsidRPr="006406D0">
              <w:t xml:space="preserve"> of </w:t>
            </w:r>
            <w:r w:rsidRPr="006406D0">
              <w:rPr>
                <w:b/>
                <w:bCs/>
              </w:rPr>
              <w:fldChar w:fldCharType="begin"/>
            </w:r>
            <w:r w:rsidRPr="006406D0">
              <w:rPr>
                <w:b/>
                <w:bCs/>
              </w:rPr>
              <w:instrText xml:space="preserve"> NUMPAGES  </w:instrText>
            </w:r>
            <w:r w:rsidRPr="006406D0">
              <w:rPr>
                <w:b/>
                <w:bCs/>
              </w:rPr>
              <w:fldChar w:fldCharType="separate"/>
            </w:r>
            <w:r w:rsidR="003075C4">
              <w:rPr>
                <w:b/>
                <w:bCs/>
                <w:noProof/>
              </w:rPr>
              <w:t>20</w:t>
            </w:r>
            <w:r w:rsidRPr="006406D0">
              <w:rPr>
                <w:b/>
                <w:bCs/>
              </w:rPr>
              <w:fldChar w:fldCharType="end"/>
            </w:r>
          </w:p>
        </w:sdtContent>
      </w:sdt>
    </w:sdtContent>
  </w:sdt>
  <w:p w14:paraId="0EC6DD8C" w14:textId="77777777" w:rsidR="00780260" w:rsidRPr="00780260" w:rsidRDefault="00780260" w:rsidP="00780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562A15" w14:textId="77777777" w:rsidR="00780260" w:rsidRDefault="00780260" w:rsidP="00780260">
      <w:pPr>
        <w:spacing w:after="0" w:line="240" w:lineRule="auto"/>
      </w:pPr>
      <w:r>
        <w:separator/>
      </w:r>
    </w:p>
  </w:footnote>
  <w:footnote w:type="continuationSeparator" w:id="0">
    <w:p w14:paraId="118AC693" w14:textId="77777777" w:rsidR="00780260" w:rsidRDefault="00780260" w:rsidP="007802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9D1A08" w14:textId="77777777" w:rsidR="00780260" w:rsidRDefault="00780260" w:rsidP="00780260">
    <w:pPr>
      <w:pStyle w:val="Header"/>
    </w:pPr>
    <w:r w:rsidRPr="006406D0">
      <w:t>An</w:t>
    </w:r>
    <w:r>
      <w:t>on</w:t>
    </w:r>
    <w:r>
      <w:tab/>
    </w:r>
    <w:r>
      <w:tab/>
    </w:r>
    <w:r w:rsidRPr="006406D0">
      <w:t>BMDS7006</w:t>
    </w:r>
  </w:p>
  <w:p w14:paraId="5BFC6964" w14:textId="77777777" w:rsidR="00780260" w:rsidRDefault="00780260" w:rsidP="00780260">
    <w:pPr>
      <w:pStyle w:val="Header"/>
    </w:pPr>
    <w:r>
      <w:t>2</w:t>
    </w:r>
    <w:r w:rsidRPr="006406D0">
      <w:t>215316</w:t>
    </w:r>
  </w:p>
  <w:p w14:paraId="7D63FBEA" w14:textId="77777777" w:rsidR="00780260" w:rsidRDefault="007802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1501D"/>
    <w:multiLevelType w:val="hybridMultilevel"/>
    <w:tmpl w:val="46D83C3A"/>
    <w:lvl w:ilvl="0" w:tplc="5098400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B967CB"/>
    <w:multiLevelType w:val="hybridMultilevel"/>
    <w:tmpl w:val="F9F27660"/>
    <w:lvl w:ilvl="0" w:tplc="CDDC18F0">
      <w:numFmt w:val="bullet"/>
      <w:lvlText w:val=""/>
      <w:lvlJc w:val="left"/>
      <w:pPr>
        <w:ind w:left="360" w:hanging="360"/>
      </w:pPr>
      <w:rPr>
        <w:rFonts w:ascii="Symbol" w:eastAsiaTheme="minorHAnsi" w:hAnsi="Symbol" w:cstheme="minorHAnsi" w:hint="default"/>
        <w:b/>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8316DB6"/>
    <w:multiLevelType w:val="hybridMultilevel"/>
    <w:tmpl w:val="49189508"/>
    <w:lvl w:ilvl="0" w:tplc="50984004">
      <w:start w:val="1"/>
      <w:numFmt w:val="bullet"/>
      <w:lvlText w:val=""/>
      <w:lvlJc w:val="left"/>
      <w:pPr>
        <w:ind w:left="1080" w:hanging="360"/>
      </w:pPr>
      <w:rPr>
        <w:rFonts w:ascii="Symbol" w:hAnsi="Symbol" w:hint="default"/>
        <w:b/>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4237BFA"/>
    <w:multiLevelType w:val="hybridMultilevel"/>
    <w:tmpl w:val="4BB25CF8"/>
    <w:lvl w:ilvl="0" w:tplc="CDDC18F0">
      <w:numFmt w:val="bullet"/>
      <w:lvlText w:val=""/>
      <w:lvlJc w:val="left"/>
      <w:pPr>
        <w:ind w:left="720" w:hanging="360"/>
      </w:pPr>
      <w:rPr>
        <w:rFonts w:ascii="Symbol" w:eastAsiaTheme="minorHAnsi" w:hAnsi="Symbol" w:cstheme="minorHAnsi"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8A1614F"/>
    <w:multiLevelType w:val="hybridMultilevel"/>
    <w:tmpl w:val="0FAA5F0C"/>
    <w:lvl w:ilvl="0" w:tplc="50984004">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8F73674"/>
    <w:multiLevelType w:val="hybridMultilevel"/>
    <w:tmpl w:val="203CFE04"/>
    <w:lvl w:ilvl="0" w:tplc="CDDC18F0">
      <w:numFmt w:val="bullet"/>
      <w:lvlText w:val=""/>
      <w:lvlJc w:val="left"/>
      <w:pPr>
        <w:ind w:left="360" w:hanging="360"/>
      </w:pPr>
      <w:rPr>
        <w:rFonts w:ascii="Symbol" w:eastAsiaTheme="minorHAnsi" w:hAnsi="Symbol" w:cstheme="minorHAnsi" w:hint="default"/>
        <w:b/>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91C37C5"/>
    <w:multiLevelType w:val="hybridMultilevel"/>
    <w:tmpl w:val="68E240BA"/>
    <w:lvl w:ilvl="0" w:tplc="CDDC18F0">
      <w:numFmt w:val="bullet"/>
      <w:lvlText w:val=""/>
      <w:lvlJc w:val="left"/>
      <w:pPr>
        <w:ind w:left="1080" w:hanging="360"/>
      </w:pPr>
      <w:rPr>
        <w:rFonts w:ascii="Symbol" w:eastAsiaTheme="minorHAnsi" w:hAnsi="Symbol" w:cstheme="minorHAnsi"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25A4198"/>
    <w:multiLevelType w:val="hybridMultilevel"/>
    <w:tmpl w:val="2480CBA6"/>
    <w:lvl w:ilvl="0" w:tplc="6DAA776E">
      <w:numFmt w:val="bullet"/>
      <w:lvlText w:val=""/>
      <w:lvlJc w:val="left"/>
      <w:pPr>
        <w:ind w:left="360" w:hanging="360"/>
      </w:pPr>
      <w:rPr>
        <w:rFonts w:ascii="Symbol" w:eastAsiaTheme="minorHAnsi" w:hAnsi="Symbol" w:cstheme="minorBidi" w:hint="default"/>
        <w:b/>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5"/>
  </w:num>
  <w:num w:numId="3">
    <w:abstractNumId w:val="7"/>
  </w:num>
  <w:num w:numId="4">
    <w:abstractNumId w:val="3"/>
  </w:num>
  <w:num w:numId="5">
    <w:abstractNumId w:val="2"/>
  </w:num>
  <w:num w:numId="6">
    <w:abstractNumId w:val="6"/>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0260"/>
    <w:rsid w:val="00026585"/>
    <w:rsid w:val="002A7758"/>
    <w:rsid w:val="00305A75"/>
    <w:rsid w:val="003075C4"/>
    <w:rsid w:val="00365184"/>
    <w:rsid w:val="00780260"/>
    <w:rsid w:val="009B2FC4"/>
    <w:rsid w:val="009E21A4"/>
    <w:rsid w:val="00BC63DD"/>
    <w:rsid w:val="00C9025B"/>
    <w:rsid w:val="00C941C6"/>
    <w:rsid w:val="00CC08FD"/>
    <w:rsid w:val="00CF0687"/>
    <w:rsid w:val="00E52351"/>
    <w:rsid w:val="00F35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68567"/>
  <w15:chartTrackingRefBased/>
  <w15:docId w15:val="{8A302701-26DE-427B-9DF7-14021EE2A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0260"/>
    <w:pPr>
      <w:ind w:left="720"/>
      <w:contextualSpacing/>
    </w:pPr>
  </w:style>
  <w:style w:type="paragraph" w:styleId="NormalWeb">
    <w:name w:val="Normal (Web)"/>
    <w:basedOn w:val="Normal"/>
    <w:uiPriority w:val="99"/>
    <w:semiHidden/>
    <w:unhideWhenUsed/>
    <w:rsid w:val="0078026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7802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80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260"/>
  </w:style>
  <w:style w:type="paragraph" w:styleId="Footer">
    <w:name w:val="footer"/>
    <w:basedOn w:val="Normal"/>
    <w:link w:val="FooterChar"/>
    <w:uiPriority w:val="99"/>
    <w:unhideWhenUsed/>
    <w:rsid w:val="00780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260"/>
  </w:style>
  <w:style w:type="character" w:styleId="Hyperlink">
    <w:name w:val="Hyperlink"/>
    <w:basedOn w:val="DefaultParagraphFont"/>
    <w:uiPriority w:val="99"/>
    <w:unhideWhenUsed/>
    <w:rsid w:val="00CC08FD"/>
    <w:rPr>
      <w:color w:val="0000FF"/>
      <w:u w:val="single"/>
    </w:rPr>
  </w:style>
  <w:style w:type="paragraph" w:styleId="BalloonText">
    <w:name w:val="Balloon Text"/>
    <w:basedOn w:val="Normal"/>
    <w:link w:val="BalloonTextChar"/>
    <w:uiPriority w:val="99"/>
    <w:semiHidden/>
    <w:unhideWhenUsed/>
    <w:rsid w:val="009E21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21A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3818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bmcmedinformdecismak.biomedcentral.com/articles/10.1186/1472-6947-6-3"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jstor.org/stable/i2114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A070843F692B64CA80A21C598BEB05C" ma:contentTypeVersion="13" ma:contentTypeDescription="Create a new document." ma:contentTypeScope="" ma:versionID="c033e5a5976d7c1acf328dc21859ed13">
  <xsd:schema xmlns:xsd="http://www.w3.org/2001/XMLSchema" xmlns:xs="http://www.w3.org/2001/XMLSchema" xmlns:p="http://schemas.microsoft.com/office/2006/metadata/properties" xmlns:ns3="99a10c2b-5096-4686-a9cb-89a26d85d346" xmlns:ns4="b6a30da3-7cdf-472f-8372-ab13324157ae" targetNamespace="http://schemas.microsoft.com/office/2006/metadata/properties" ma:root="true" ma:fieldsID="f4eb552242c602fd9412f940127520f4" ns3:_="" ns4:_="">
    <xsd:import namespace="99a10c2b-5096-4686-a9cb-89a26d85d346"/>
    <xsd:import namespace="b6a30da3-7cdf-472f-8372-ab13324157a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Tags" minOccurs="0"/>
                <xsd:element ref="ns4:MediaServiceAutoKeyPoints" minOccurs="0"/>
                <xsd:element ref="ns4:MediaServiceKeyPoint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a10c2b-5096-4686-a9cb-89a26d85d34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6a30da3-7cdf-472f-8372-ab13324157a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Length (seconds)"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81E4C7-5882-4D07-9BF8-8DAB2D0A7EA8}">
  <ds:schemaRefs>
    <ds:schemaRef ds:uri="http://schemas.microsoft.com/sharepoint/v3/contenttype/forms"/>
  </ds:schemaRefs>
</ds:datastoreItem>
</file>

<file path=customXml/itemProps2.xml><?xml version="1.0" encoding="utf-8"?>
<ds:datastoreItem xmlns:ds="http://schemas.openxmlformats.org/officeDocument/2006/customXml" ds:itemID="{984609BF-6381-4C0E-9394-C8B7C1A02F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a10c2b-5096-4686-a9cb-89a26d85d346"/>
    <ds:schemaRef ds:uri="b6a30da3-7cdf-472f-8372-ab13324157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34A77C-EA76-4713-911A-B62C1F4A8228}">
  <ds:schemaRefs>
    <ds:schemaRef ds:uri="http://purl.org/dc/terms/"/>
    <ds:schemaRef ds:uri="b6a30da3-7cdf-472f-8372-ab13324157ae"/>
    <ds:schemaRef ds:uri="http://schemas.microsoft.com/office/2006/documentManagement/types"/>
    <ds:schemaRef ds:uri="99a10c2b-5096-4686-a9cb-89a26d85d346"/>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20</Pages>
  <Words>6098</Words>
  <Characters>34764</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40781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Shuler (BCUHB - Palliative Care)</dc:creator>
  <cp:keywords/>
  <dc:description/>
  <cp:lastModifiedBy>Andrew Shuler (BCUHB - Palliative Care)</cp:lastModifiedBy>
  <cp:revision>3</cp:revision>
  <cp:lastPrinted>2023-02-28T13:49:00Z</cp:lastPrinted>
  <dcterms:created xsi:type="dcterms:W3CDTF">2023-02-28T14:55:00Z</dcterms:created>
  <dcterms:modified xsi:type="dcterms:W3CDTF">2023-02-28T16:43:00Z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0x0101007A070843F692B64CA80A21C598BEB05C</vt:lpwstr>
  </property>
</Properties>
</file>