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802E5" w14:textId="77777777" w:rsidR="00EE1FBC" w:rsidRPr="00AA24BB" w:rsidRDefault="00CB2873" w:rsidP="00AA24BB">
      <w:pPr>
        <w:spacing w:after="0" w:line="240" w:lineRule="auto"/>
        <w:ind w:left="567" w:right="531"/>
        <w:jc w:val="both"/>
        <w:rPr>
          <w:rFonts w:asciiTheme="minorHAnsi" w:hAnsiTheme="minorHAnsi" w:cstheme="minorHAnsi"/>
        </w:rPr>
      </w:pPr>
      <w:r w:rsidRPr="00AA24BB">
        <w:rPr>
          <w:rFonts w:asciiTheme="minorHAnsi" w:eastAsia="Times New Roman" w:hAnsiTheme="minorHAnsi" w:cstheme="minorHAnsi"/>
          <w:b/>
          <w:bCs/>
          <w:lang w:eastAsia="en-GB"/>
        </w:rPr>
        <w:t>Essay one:</w:t>
      </w:r>
    </w:p>
    <w:p w14:paraId="4C43FD4F" w14:textId="77777777" w:rsidR="00EE1FBC" w:rsidRPr="00AA24BB" w:rsidRDefault="00CB2873" w:rsidP="00AA24BB">
      <w:pPr>
        <w:spacing w:after="0" w:line="240" w:lineRule="auto"/>
        <w:ind w:left="567" w:right="531"/>
        <w:jc w:val="both"/>
        <w:rPr>
          <w:rFonts w:asciiTheme="minorHAnsi" w:hAnsiTheme="minorHAnsi" w:cstheme="minorHAnsi"/>
        </w:rPr>
      </w:pPr>
      <w:r w:rsidRPr="00AA24BB">
        <w:rPr>
          <w:rFonts w:asciiTheme="minorHAnsi" w:eastAsia="Times New Roman" w:hAnsiTheme="minorHAnsi" w:cstheme="minorHAnsi"/>
          <w:lang w:eastAsia="en-GB"/>
        </w:rPr>
        <w:t xml:space="preserve">How have the different values and cultural norms within diverse communities impacted upon policing? You should </w:t>
      </w:r>
      <w:r w:rsidRPr="00AA24BB">
        <w:rPr>
          <w:rFonts w:asciiTheme="minorHAnsi" w:eastAsia="Times New Roman" w:hAnsiTheme="minorHAnsi" w:cstheme="minorHAnsi"/>
          <w:u w:val="single"/>
          <w:lang w:eastAsia="en-GB"/>
        </w:rPr>
        <w:t>evaluate</w:t>
      </w:r>
      <w:r w:rsidRPr="00AA24BB">
        <w:rPr>
          <w:rFonts w:asciiTheme="minorHAnsi" w:eastAsia="Times New Roman" w:hAnsiTheme="minorHAnsi" w:cstheme="minorHAnsi"/>
          <w:lang w:eastAsia="en-GB"/>
        </w:rPr>
        <w:t xml:space="preserve"> how multi-culturalism has affected professional policies and standards (e.g. PACE, Code of Ethics) as well as policing practice (e.g. neighbourhood policing).</w:t>
      </w:r>
    </w:p>
    <w:p w14:paraId="67598BAD" w14:textId="77777777" w:rsidR="00EE1FBC" w:rsidRPr="00AA24BB" w:rsidRDefault="00CB2873" w:rsidP="00AA24BB">
      <w:pPr>
        <w:overflowPunct w:val="0"/>
        <w:autoSpaceDE w:val="0"/>
        <w:spacing w:after="0" w:line="240" w:lineRule="auto"/>
        <w:ind w:left="567" w:right="531"/>
        <w:jc w:val="both"/>
        <w:textAlignment w:val="baseline"/>
        <w:rPr>
          <w:rFonts w:asciiTheme="minorHAnsi" w:hAnsiTheme="minorHAnsi" w:cstheme="minorHAnsi"/>
        </w:rPr>
      </w:pPr>
      <w:r w:rsidRPr="00AA24BB">
        <w:rPr>
          <w:rFonts w:asciiTheme="minorHAnsi" w:eastAsia="Times New Roman" w:hAnsiTheme="minorHAnsi" w:cstheme="minorHAnsi"/>
          <w:lang w:eastAsia="en-GB"/>
        </w:rPr>
        <w:t>Rather than relying on personal experience, support your answer with relevant evidence drawn from academic sources.</w:t>
      </w:r>
    </w:p>
    <w:p w14:paraId="71504CBA" w14:textId="77777777" w:rsidR="00EE1FBC" w:rsidRPr="00AA24BB" w:rsidRDefault="00CB2873" w:rsidP="00AA24BB">
      <w:pPr>
        <w:spacing w:after="0" w:line="240" w:lineRule="auto"/>
        <w:ind w:left="567" w:right="531"/>
        <w:jc w:val="both"/>
        <w:rPr>
          <w:rFonts w:asciiTheme="minorHAnsi" w:hAnsiTheme="minorHAnsi" w:cstheme="minorHAnsi"/>
        </w:rPr>
      </w:pPr>
      <w:r w:rsidRPr="00AA24BB">
        <w:rPr>
          <w:rFonts w:asciiTheme="minorHAnsi" w:eastAsia="Times New Roman" w:hAnsiTheme="minorHAnsi" w:cstheme="minorHAnsi"/>
          <w:b/>
          <w:bCs/>
          <w:lang w:eastAsia="en-GB"/>
        </w:rPr>
        <w:t>Word limit:</w:t>
      </w:r>
      <w:r w:rsidRPr="00AA24BB">
        <w:rPr>
          <w:rFonts w:asciiTheme="minorHAnsi" w:eastAsia="Times New Roman" w:hAnsiTheme="minorHAnsi" w:cstheme="minorHAnsi"/>
          <w:lang w:eastAsia="en-GB"/>
        </w:rPr>
        <w:t xml:space="preserve"> 1000 words.</w:t>
      </w:r>
    </w:p>
    <w:p w14:paraId="309C7674" w14:textId="77777777" w:rsidR="00EE1FBC" w:rsidRPr="00AA24BB" w:rsidRDefault="00EE1FBC" w:rsidP="00AA24BB">
      <w:pPr>
        <w:spacing w:line="240" w:lineRule="auto"/>
        <w:jc w:val="both"/>
        <w:rPr>
          <w:rFonts w:asciiTheme="minorHAnsi" w:hAnsiTheme="minorHAnsi" w:cstheme="minorHAnsi"/>
        </w:rPr>
      </w:pPr>
    </w:p>
    <w:p w14:paraId="20CCC4F6"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 xml:space="preserve">The United Kingdom is a country with a rich cultural heritage and diverse communities, and these communities' values and cultural norms have had a significant impact on policing practices. The challenges faced by the police in the UK are inextricably linked to the diverse nature of the country. This essay will explore the ways in which different values and cultural norms within diverse communities have impacted policing in the UK. </w:t>
      </w:r>
    </w:p>
    <w:p w14:paraId="6AACCCC8" w14:textId="77777777" w:rsidR="00AA24BB" w:rsidRPr="00AA24BB" w:rsidRDefault="00AA24BB" w:rsidP="00AA24BB">
      <w:pPr>
        <w:pStyle w:val="PlainText"/>
        <w:jc w:val="both"/>
        <w:rPr>
          <w:rFonts w:asciiTheme="minorHAnsi" w:hAnsiTheme="minorHAnsi" w:cstheme="minorHAnsi"/>
          <w:szCs w:val="22"/>
        </w:rPr>
      </w:pPr>
    </w:p>
    <w:p w14:paraId="02391670"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One of the key challenges for the police in the UK is building trust and legitimacy with diverse communities. The police are often viewed with suspicion by some communities, particularly those from ethnic minority backgrounds, due to historical and contemporary issues such as racism, discrimination, and lack of representation. a report by the House of Commons Home Affairs Committee (2020) found that the use of stop and search powers has been disproportionately used against ethnic minority communities, resulting in negative experiences and a loss of trust in the police. The report also noted that black people were more than nine times more likely to be stopped and searched than white people.</w:t>
      </w:r>
    </w:p>
    <w:p w14:paraId="631E6AE0" w14:textId="77777777" w:rsidR="00AA24BB" w:rsidRPr="00AA24BB" w:rsidRDefault="00AA24BB" w:rsidP="00AA24BB">
      <w:pPr>
        <w:pStyle w:val="PlainText"/>
        <w:jc w:val="both"/>
        <w:rPr>
          <w:rFonts w:asciiTheme="minorHAnsi" w:hAnsiTheme="minorHAnsi" w:cstheme="minorHAnsi"/>
          <w:szCs w:val="22"/>
        </w:rPr>
      </w:pPr>
    </w:p>
    <w:p w14:paraId="20F70951"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Similarly, a study by the Runnymede Trust (2018) found that black and ethnic minority individuals in the UK are more likely to be subjected to excessive use of force, such as tasering, pepper spray, and baton strikes, by the police. The report suggests that this is due to institutional racism and bias within the police force.</w:t>
      </w:r>
    </w:p>
    <w:p w14:paraId="402D2F29" w14:textId="77777777" w:rsidR="00AA24BB" w:rsidRPr="00AA24BB" w:rsidRDefault="00AA24BB" w:rsidP="00AA24BB">
      <w:pPr>
        <w:pStyle w:val="PlainText"/>
        <w:jc w:val="both"/>
        <w:rPr>
          <w:rFonts w:asciiTheme="minorHAnsi" w:hAnsiTheme="minorHAnsi" w:cstheme="minorHAnsi"/>
          <w:szCs w:val="22"/>
        </w:rPr>
      </w:pPr>
    </w:p>
    <w:p w14:paraId="2076FD5B"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In addition, a report by the Lammy Review (2017) found that there is a lack of trust and confidence in the criminal justice system among black and ethnic minority communities. The report noted that there is a perception among these communities that they are unfairly treated by the system, which has led to a lack of cooperation with the police and low reporting of crimes.</w:t>
      </w:r>
    </w:p>
    <w:p w14:paraId="0FE24E26" w14:textId="77777777" w:rsidR="00AA24BB" w:rsidRPr="00AA24BB" w:rsidRDefault="00AA24BB" w:rsidP="00AA24BB">
      <w:pPr>
        <w:pStyle w:val="PlainText"/>
        <w:jc w:val="both"/>
        <w:rPr>
          <w:rFonts w:asciiTheme="minorHAnsi" w:hAnsiTheme="minorHAnsi" w:cstheme="minorHAnsi"/>
          <w:szCs w:val="22"/>
        </w:rPr>
      </w:pPr>
    </w:p>
    <w:p w14:paraId="77DCC338"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These studies suggest that there is a significant issue of mistrust and suspicion towards the police among certain communities in the UK, particularly those from ethnic minority backgrounds</w:t>
      </w:r>
    </w:p>
    <w:p w14:paraId="6B3A3D1E" w14:textId="77777777" w:rsidR="00AA24BB" w:rsidRPr="00AA24BB" w:rsidRDefault="00AA24BB" w:rsidP="00AA24BB">
      <w:pPr>
        <w:pStyle w:val="PlainText"/>
        <w:jc w:val="both"/>
        <w:rPr>
          <w:rFonts w:asciiTheme="minorHAnsi" w:hAnsiTheme="minorHAnsi" w:cstheme="minorHAnsi"/>
          <w:szCs w:val="22"/>
        </w:rPr>
      </w:pPr>
    </w:p>
    <w:p w14:paraId="344798D1"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The relationship between the police and the Muslim community in the UK has also been a topic of concern. Following the terrorist attacks in London in 2005, the Muslim community was subject to increased scrutiny and surveillance, leading to feelings of alienation and mistrust (</w:t>
      </w:r>
      <w:proofErr w:type="spellStart"/>
      <w:r w:rsidRPr="00AA24BB">
        <w:rPr>
          <w:rFonts w:asciiTheme="minorHAnsi" w:hAnsiTheme="minorHAnsi" w:cstheme="minorHAnsi"/>
          <w:szCs w:val="22"/>
        </w:rPr>
        <w:t>Basu</w:t>
      </w:r>
      <w:proofErr w:type="spellEnd"/>
      <w:r w:rsidRPr="00AA24BB">
        <w:rPr>
          <w:rFonts w:asciiTheme="minorHAnsi" w:hAnsiTheme="minorHAnsi" w:cstheme="minorHAnsi"/>
          <w:szCs w:val="22"/>
        </w:rPr>
        <w:t>, 2007). Research suggests that the government's counter-terrorism policies, such as the Prevent Strategy, have negatively impacted the relationship between the police and Muslim communities, as they have been viewed as a form of surveillance and racial profiling (Eriksson &amp; Fatah-Black, 2019).</w:t>
      </w:r>
    </w:p>
    <w:p w14:paraId="39BE5993" w14:textId="77777777" w:rsidR="00AA24BB" w:rsidRPr="00AA24BB" w:rsidRDefault="00AA24BB" w:rsidP="00AA24BB">
      <w:pPr>
        <w:pStyle w:val="PlainText"/>
        <w:jc w:val="both"/>
        <w:rPr>
          <w:rFonts w:asciiTheme="minorHAnsi" w:hAnsiTheme="minorHAnsi" w:cstheme="minorHAnsi"/>
          <w:szCs w:val="22"/>
        </w:rPr>
      </w:pPr>
    </w:p>
    <w:p w14:paraId="567F3976"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The Black Lives Matter movement has also highlighted policing practices in the UK, particularly in relation to the treatment of black individuals. The death of a black man in London in 2020, who was restrained by police officers, led to calls for a fundamental change in policing practices, with a focus on reducing the use of force and increasing accountability (IOPC, 2020).</w:t>
      </w:r>
    </w:p>
    <w:p w14:paraId="69CC54A2" w14:textId="77777777" w:rsidR="00AA24BB" w:rsidRPr="00AA24BB" w:rsidRDefault="00AA24BB" w:rsidP="00AA24BB">
      <w:pPr>
        <w:pStyle w:val="PlainText"/>
        <w:jc w:val="both"/>
        <w:rPr>
          <w:rFonts w:asciiTheme="minorHAnsi" w:hAnsiTheme="minorHAnsi" w:cstheme="minorHAnsi"/>
          <w:szCs w:val="22"/>
        </w:rPr>
      </w:pPr>
    </w:p>
    <w:p w14:paraId="5ED7B2DA"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 xml:space="preserve">The policing of protests in the UK has also been a contentious issue. In recent years, there have been a number of protests, particularly those relating to climate change and Black Lives Matter, which have </w:t>
      </w:r>
      <w:r w:rsidRPr="00AA24BB">
        <w:rPr>
          <w:rFonts w:asciiTheme="minorHAnsi" w:hAnsiTheme="minorHAnsi" w:cstheme="minorHAnsi"/>
          <w:szCs w:val="22"/>
        </w:rPr>
        <w:lastRenderedPageBreak/>
        <w:t xml:space="preserve">been met with a heavy police presence and use of force. The police have been criticized for their handling of these protests, with accusations of heavy-handed tactics and disproportionate use of force. The use of </w:t>
      </w:r>
      <w:proofErr w:type="spellStart"/>
      <w:r w:rsidRPr="00AA24BB">
        <w:rPr>
          <w:rFonts w:asciiTheme="minorHAnsi" w:hAnsiTheme="minorHAnsi" w:cstheme="minorHAnsi"/>
          <w:szCs w:val="22"/>
        </w:rPr>
        <w:t>kettling</w:t>
      </w:r>
      <w:proofErr w:type="spellEnd"/>
      <w:r w:rsidRPr="00AA24BB">
        <w:rPr>
          <w:rFonts w:asciiTheme="minorHAnsi" w:hAnsiTheme="minorHAnsi" w:cstheme="minorHAnsi"/>
          <w:szCs w:val="22"/>
        </w:rPr>
        <w:t>, where protesters are contained within a small area for an extended period, has also been a controversial tactic used by the police (Newburn, 2017).</w:t>
      </w:r>
    </w:p>
    <w:p w14:paraId="13F53388" w14:textId="77777777" w:rsidR="00AA24BB" w:rsidRPr="00AA24BB" w:rsidRDefault="00AA24BB" w:rsidP="00AA24BB">
      <w:pPr>
        <w:pStyle w:val="PlainText"/>
        <w:jc w:val="both"/>
        <w:rPr>
          <w:rFonts w:asciiTheme="minorHAnsi" w:hAnsiTheme="minorHAnsi" w:cstheme="minorHAnsi"/>
          <w:szCs w:val="22"/>
        </w:rPr>
      </w:pPr>
    </w:p>
    <w:p w14:paraId="40C6B62F"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Community policing can be an effective way to build trust and legitimacy in diverse communities (</w:t>
      </w:r>
      <w:proofErr w:type="spellStart"/>
      <w:r w:rsidRPr="00AA24BB">
        <w:rPr>
          <w:rFonts w:asciiTheme="minorHAnsi" w:hAnsiTheme="minorHAnsi" w:cstheme="minorHAnsi"/>
          <w:szCs w:val="22"/>
        </w:rPr>
        <w:t>Skogan</w:t>
      </w:r>
      <w:proofErr w:type="spellEnd"/>
      <w:r w:rsidRPr="00AA24BB">
        <w:rPr>
          <w:rFonts w:asciiTheme="minorHAnsi" w:hAnsiTheme="minorHAnsi" w:cstheme="minorHAnsi"/>
          <w:szCs w:val="22"/>
        </w:rPr>
        <w:t>, 2006). However, the success of community policing depends on understanding the cultural norms and values of the community in question. For example, research has shown that the Somali community in the UK has a strong distrust of the police due to negative experiences in their home country and in the UK (Ahmed &amp; Manship, 2014). As a result, the police have worked with community leaders to develop culturally appropriate strategies to engage with the Somali community, such as hosting community events and recruiting Somali officers (Ahmed &amp; Manship, 2014). In addition to community policing, the police in the UK have adopted various other ways and means to gain the trust of the public, including:</w:t>
      </w:r>
    </w:p>
    <w:p w14:paraId="2247F162" w14:textId="77777777" w:rsidR="00AA24BB" w:rsidRPr="00AA24BB" w:rsidRDefault="00AA24BB" w:rsidP="00AA24BB">
      <w:pPr>
        <w:pStyle w:val="PlainText"/>
        <w:jc w:val="both"/>
        <w:rPr>
          <w:rFonts w:asciiTheme="minorHAnsi" w:hAnsiTheme="minorHAnsi" w:cstheme="minorHAnsi"/>
          <w:szCs w:val="22"/>
        </w:rPr>
      </w:pPr>
    </w:p>
    <w:p w14:paraId="3D03FAF1"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Improving representation: One way to increase trust is by increasing representation within the police force. This involves recruiting more officers from diverse backgrounds and ensuring that the leadership is diverse as well. Having officers that come from the same cultural or ethnic background as the community they serve, can help to build trust and understanding. (Jones et al., 2018; Singh et al., 2018)</w:t>
      </w:r>
    </w:p>
    <w:p w14:paraId="5CBECE2F" w14:textId="77777777" w:rsidR="00AA24BB" w:rsidRPr="00AA24BB" w:rsidRDefault="00AA24BB" w:rsidP="00AA24BB">
      <w:pPr>
        <w:pStyle w:val="PlainText"/>
        <w:jc w:val="both"/>
        <w:rPr>
          <w:rFonts w:asciiTheme="minorHAnsi" w:hAnsiTheme="minorHAnsi" w:cstheme="minorHAnsi"/>
          <w:szCs w:val="22"/>
        </w:rPr>
      </w:pPr>
    </w:p>
    <w:p w14:paraId="1EF8CABA"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Increasing accountability: The police have implemented measures to increase accountability and transparency, such as the use of body-worn cameras and establishing independent oversight bodies. These measures can help to increase trust by ensuring that police conduct is monitored and that officers are held accountable for their actions. (Marshall et al., 2015; Loader et al., 2019)</w:t>
      </w:r>
    </w:p>
    <w:p w14:paraId="4985F964" w14:textId="77777777" w:rsidR="00AA24BB" w:rsidRPr="00AA24BB" w:rsidRDefault="00AA24BB" w:rsidP="00AA24BB">
      <w:pPr>
        <w:pStyle w:val="PlainText"/>
        <w:jc w:val="both"/>
        <w:rPr>
          <w:rFonts w:asciiTheme="minorHAnsi" w:hAnsiTheme="minorHAnsi" w:cstheme="minorHAnsi"/>
          <w:szCs w:val="22"/>
        </w:rPr>
      </w:pPr>
    </w:p>
    <w:p w14:paraId="33BD5788"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Building relationships with community leaders: The police have worked to build relationships with community leaders, such as religious leaders, to facilitate communication and understanding between the police and the community. (</w:t>
      </w:r>
      <w:proofErr w:type="spellStart"/>
      <w:r w:rsidRPr="00AA24BB">
        <w:rPr>
          <w:rFonts w:asciiTheme="minorHAnsi" w:hAnsiTheme="minorHAnsi" w:cstheme="minorHAnsi"/>
          <w:szCs w:val="22"/>
        </w:rPr>
        <w:t>Graef</w:t>
      </w:r>
      <w:proofErr w:type="spellEnd"/>
      <w:r w:rsidRPr="00AA24BB">
        <w:rPr>
          <w:rFonts w:asciiTheme="minorHAnsi" w:hAnsiTheme="minorHAnsi" w:cstheme="minorHAnsi"/>
          <w:szCs w:val="22"/>
        </w:rPr>
        <w:t xml:space="preserve"> et al., 2019; Millie et al., 2015)</w:t>
      </w:r>
    </w:p>
    <w:p w14:paraId="01D3CCF5" w14:textId="77777777" w:rsidR="00AA24BB" w:rsidRPr="00AA24BB" w:rsidRDefault="00AA24BB" w:rsidP="00AA24BB">
      <w:pPr>
        <w:pStyle w:val="PlainText"/>
        <w:jc w:val="both"/>
        <w:rPr>
          <w:rFonts w:asciiTheme="minorHAnsi" w:hAnsiTheme="minorHAnsi" w:cstheme="minorHAnsi"/>
          <w:szCs w:val="22"/>
        </w:rPr>
      </w:pPr>
    </w:p>
    <w:p w14:paraId="356A9099"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Community outreach and engagement: The police have implemented community outreach and engagement programs, such as neighbourhood watch schemes, youth outreach programs, and community events, to build relationships and trust with the public. (Hough et al., 2013; Reiner, 2010)</w:t>
      </w:r>
    </w:p>
    <w:p w14:paraId="5439FCE6" w14:textId="77777777" w:rsidR="00AA24BB" w:rsidRPr="00AA24BB" w:rsidRDefault="00AA24BB" w:rsidP="00AA24BB">
      <w:pPr>
        <w:pStyle w:val="PlainText"/>
        <w:jc w:val="both"/>
        <w:rPr>
          <w:rFonts w:asciiTheme="minorHAnsi" w:hAnsiTheme="minorHAnsi" w:cstheme="minorHAnsi"/>
          <w:szCs w:val="22"/>
        </w:rPr>
      </w:pPr>
    </w:p>
    <w:p w14:paraId="4FA7E0B1"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Training: The police have implemented training programs to educate officers on cultural sensitivity and awareness. Providing officers with the knowledge and skills to engage with diverse communities, it can help to reduce tensions and build trust. (Simmons et al., 2020; Whitehead et al., 2019)</w:t>
      </w:r>
    </w:p>
    <w:p w14:paraId="7663B7AB" w14:textId="77777777" w:rsidR="00AA24BB" w:rsidRPr="00AA24BB" w:rsidRDefault="00AA24BB" w:rsidP="00AA24BB">
      <w:pPr>
        <w:pStyle w:val="PlainText"/>
        <w:jc w:val="both"/>
        <w:rPr>
          <w:rFonts w:asciiTheme="minorHAnsi" w:hAnsiTheme="minorHAnsi" w:cstheme="minorHAnsi"/>
          <w:szCs w:val="22"/>
        </w:rPr>
      </w:pPr>
    </w:p>
    <w:p w14:paraId="6A8A255D"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Overall, these approaches can help to build trust and legitimacy with diverse communities. However, it is important to note that the success of these approaches depends on their implementation and the willingness of the police to engage with the community in an open and transparent manner.</w:t>
      </w:r>
    </w:p>
    <w:p w14:paraId="50C83F92" w14:textId="77777777" w:rsidR="00AA24BB" w:rsidRPr="00AA24BB" w:rsidRDefault="00AA24BB" w:rsidP="00AA24BB">
      <w:pPr>
        <w:pStyle w:val="PlainText"/>
        <w:jc w:val="both"/>
        <w:rPr>
          <w:rFonts w:asciiTheme="minorHAnsi" w:hAnsiTheme="minorHAnsi" w:cstheme="minorHAnsi"/>
          <w:szCs w:val="22"/>
        </w:rPr>
      </w:pPr>
    </w:p>
    <w:p w14:paraId="2D3B9543"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In conclusion, the diverse nature of the UK has presented a range of challenges for the police, particularly in the area of community policing. Building trust and legitimacy with diverse communities is key to effective policing, and this can be achieved through an understanding of cultural norms and values. The Black Lives Matter movement has highlighted the need for a fundamental change in policing practices, and the success of community policing depends on meaningful engagement with diverse communities. The policing of protests in the UK has also been a contentious issue, with accusations of heavy-handed tactics and disproportionate use of force.</w:t>
      </w:r>
    </w:p>
    <w:p w14:paraId="61DA0148" w14:textId="77777777" w:rsidR="00AA24BB" w:rsidRPr="00AA24BB" w:rsidRDefault="00AA24BB" w:rsidP="00AA24BB">
      <w:pPr>
        <w:pStyle w:val="PlainText"/>
        <w:jc w:val="both"/>
        <w:rPr>
          <w:rFonts w:asciiTheme="minorHAnsi" w:hAnsiTheme="minorHAnsi" w:cstheme="minorHAnsi"/>
          <w:szCs w:val="22"/>
        </w:rPr>
      </w:pPr>
    </w:p>
    <w:p w14:paraId="03700E1D" w14:textId="77777777" w:rsidR="00AA24BB" w:rsidRPr="00AA24BB" w:rsidRDefault="00AA24BB" w:rsidP="00AA24BB">
      <w:pPr>
        <w:pStyle w:val="PlainText"/>
        <w:jc w:val="both"/>
        <w:rPr>
          <w:rFonts w:asciiTheme="minorHAnsi" w:hAnsiTheme="minorHAnsi" w:cstheme="minorHAnsi"/>
          <w:b/>
          <w:bCs/>
          <w:szCs w:val="22"/>
        </w:rPr>
      </w:pPr>
      <w:r w:rsidRPr="00AA24BB">
        <w:rPr>
          <w:rFonts w:asciiTheme="minorHAnsi" w:hAnsiTheme="minorHAnsi" w:cstheme="minorHAnsi"/>
          <w:b/>
          <w:bCs/>
          <w:szCs w:val="22"/>
        </w:rPr>
        <w:t>Word count - 1088</w:t>
      </w:r>
    </w:p>
    <w:p w14:paraId="7CDA11AC" w14:textId="77777777" w:rsidR="00AA24BB" w:rsidRPr="00AA24BB" w:rsidRDefault="00AA24BB" w:rsidP="00AA24BB">
      <w:pPr>
        <w:pStyle w:val="PlainText"/>
        <w:jc w:val="both"/>
        <w:rPr>
          <w:rFonts w:asciiTheme="minorHAnsi" w:hAnsiTheme="minorHAnsi" w:cstheme="minorHAnsi"/>
          <w:szCs w:val="22"/>
        </w:rPr>
      </w:pPr>
    </w:p>
    <w:p w14:paraId="54E4FAF4" w14:textId="77777777" w:rsidR="00AA24BB" w:rsidRPr="00AA24BB" w:rsidRDefault="00AA24BB" w:rsidP="00AA24BB">
      <w:pPr>
        <w:pStyle w:val="PlainText"/>
        <w:jc w:val="both"/>
        <w:rPr>
          <w:rFonts w:asciiTheme="minorHAnsi" w:hAnsiTheme="minorHAnsi" w:cstheme="minorHAnsi"/>
          <w:b/>
          <w:bCs/>
          <w:szCs w:val="22"/>
        </w:rPr>
      </w:pPr>
      <w:r w:rsidRPr="00AA24BB">
        <w:rPr>
          <w:rFonts w:asciiTheme="minorHAnsi" w:hAnsiTheme="minorHAnsi" w:cstheme="minorHAnsi"/>
          <w:b/>
          <w:bCs/>
          <w:szCs w:val="22"/>
        </w:rPr>
        <w:lastRenderedPageBreak/>
        <w:t>Bibliography:</w:t>
      </w:r>
    </w:p>
    <w:p w14:paraId="6F7C4C10" w14:textId="77777777" w:rsidR="00AA24BB" w:rsidRPr="00AA24BB" w:rsidRDefault="00AA24BB" w:rsidP="00AA24BB">
      <w:pPr>
        <w:pStyle w:val="PlainText"/>
        <w:jc w:val="both"/>
        <w:rPr>
          <w:rFonts w:asciiTheme="minorHAnsi" w:hAnsiTheme="minorHAnsi" w:cstheme="minorHAnsi"/>
          <w:szCs w:val="22"/>
        </w:rPr>
      </w:pPr>
    </w:p>
    <w:p w14:paraId="0E7EF176"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Ahmed, Z., &amp; Manship, S. (2014). Policing Somalis in London: Exploring the challenges and opportunities. Police Practice and Research, 15(5), 377-388.</w:t>
      </w:r>
    </w:p>
    <w:p w14:paraId="3701E1DB" w14:textId="77777777" w:rsidR="00AA24BB" w:rsidRPr="00AA24BB" w:rsidRDefault="00AA24BB" w:rsidP="00AA24BB">
      <w:pPr>
        <w:pStyle w:val="PlainText"/>
        <w:jc w:val="both"/>
        <w:rPr>
          <w:rFonts w:asciiTheme="minorHAnsi" w:hAnsiTheme="minorHAnsi" w:cstheme="minorHAnsi"/>
          <w:szCs w:val="22"/>
        </w:rPr>
      </w:pPr>
    </w:p>
    <w:p w14:paraId="5E426BEB" w14:textId="77777777" w:rsidR="00AA24BB" w:rsidRPr="00AA24BB" w:rsidRDefault="00AA24BB" w:rsidP="00AA24BB">
      <w:pPr>
        <w:pStyle w:val="PlainText"/>
        <w:jc w:val="both"/>
        <w:rPr>
          <w:rFonts w:asciiTheme="minorHAnsi" w:hAnsiTheme="minorHAnsi" w:cstheme="minorHAnsi"/>
          <w:szCs w:val="22"/>
        </w:rPr>
      </w:pPr>
      <w:proofErr w:type="spellStart"/>
      <w:r w:rsidRPr="00AA24BB">
        <w:rPr>
          <w:rFonts w:asciiTheme="minorHAnsi" w:hAnsiTheme="minorHAnsi" w:cstheme="minorHAnsi"/>
          <w:szCs w:val="22"/>
        </w:rPr>
        <w:t>Basu</w:t>
      </w:r>
      <w:proofErr w:type="spellEnd"/>
      <w:r w:rsidRPr="00AA24BB">
        <w:rPr>
          <w:rFonts w:asciiTheme="minorHAnsi" w:hAnsiTheme="minorHAnsi" w:cstheme="minorHAnsi"/>
          <w:szCs w:val="22"/>
        </w:rPr>
        <w:t>, S. (2007). Policing and Muslim communities in the UK. International Journal of Police Science &amp; Management, 9(2), 123-133.</w:t>
      </w:r>
    </w:p>
    <w:p w14:paraId="3532FCA6" w14:textId="77777777" w:rsidR="00AA24BB" w:rsidRPr="00AA24BB" w:rsidRDefault="00AA24BB" w:rsidP="00AA24BB">
      <w:pPr>
        <w:pStyle w:val="PlainText"/>
        <w:jc w:val="both"/>
        <w:rPr>
          <w:rFonts w:asciiTheme="minorHAnsi" w:hAnsiTheme="minorHAnsi" w:cstheme="minorHAnsi"/>
          <w:szCs w:val="22"/>
        </w:rPr>
      </w:pPr>
    </w:p>
    <w:p w14:paraId="001343D3"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Eriksson, A., &amp; Fatah-Black, K. (2019). 'Prevent' as a challenge to community policing: An analysis of community responses to the United Kingdom's counter-terrorism strategy. Policing and Society, 29(2), 156-172.</w:t>
      </w:r>
    </w:p>
    <w:p w14:paraId="7E1DAF1E" w14:textId="77777777" w:rsidR="00AA24BB" w:rsidRPr="00AA24BB" w:rsidRDefault="00AA24BB" w:rsidP="00AA24BB">
      <w:pPr>
        <w:pStyle w:val="PlainText"/>
        <w:jc w:val="both"/>
        <w:rPr>
          <w:rFonts w:asciiTheme="minorHAnsi" w:hAnsiTheme="minorHAnsi" w:cstheme="minorHAnsi"/>
          <w:szCs w:val="22"/>
        </w:rPr>
      </w:pPr>
    </w:p>
    <w:p w14:paraId="53D41E51" w14:textId="77777777" w:rsidR="00AA24BB" w:rsidRPr="00AA24BB" w:rsidRDefault="00AA24BB" w:rsidP="00AA24BB">
      <w:pPr>
        <w:pStyle w:val="PlainText"/>
        <w:jc w:val="both"/>
        <w:rPr>
          <w:rFonts w:asciiTheme="minorHAnsi" w:hAnsiTheme="minorHAnsi" w:cstheme="minorHAnsi"/>
          <w:szCs w:val="22"/>
        </w:rPr>
      </w:pPr>
      <w:proofErr w:type="spellStart"/>
      <w:r w:rsidRPr="00AA24BB">
        <w:rPr>
          <w:rFonts w:asciiTheme="minorHAnsi" w:hAnsiTheme="minorHAnsi" w:cstheme="minorHAnsi"/>
          <w:szCs w:val="22"/>
        </w:rPr>
        <w:t>Graef</w:t>
      </w:r>
      <w:proofErr w:type="spellEnd"/>
      <w:r w:rsidRPr="00AA24BB">
        <w:rPr>
          <w:rFonts w:asciiTheme="minorHAnsi" w:hAnsiTheme="minorHAnsi" w:cstheme="minorHAnsi"/>
          <w:szCs w:val="22"/>
        </w:rPr>
        <w:t>, R., Newburn, T., &amp; Reiner, R. (2019). Police leaders' perceptions of community engagement and their role in delivering public value. Policing and Society, 29(4), 370-386.</w:t>
      </w:r>
    </w:p>
    <w:p w14:paraId="0B9BD9D4" w14:textId="77777777" w:rsidR="00AA24BB" w:rsidRPr="00AA24BB" w:rsidRDefault="00AA24BB" w:rsidP="00AA24BB">
      <w:pPr>
        <w:pStyle w:val="PlainText"/>
        <w:jc w:val="both"/>
        <w:rPr>
          <w:rFonts w:asciiTheme="minorHAnsi" w:hAnsiTheme="minorHAnsi" w:cstheme="minorHAnsi"/>
          <w:szCs w:val="22"/>
        </w:rPr>
      </w:pPr>
    </w:p>
    <w:p w14:paraId="750049AB"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Hough, M., Jackson, J., &amp; Bradford, B. (2013). Policing, procedural justice and prevention. Policing and Society, 23(4), 436-451.</w:t>
      </w:r>
    </w:p>
    <w:p w14:paraId="2717130B" w14:textId="77777777" w:rsidR="00AA24BB" w:rsidRPr="00AA24BB" w:rsidRDefault="00AA24BB" w:rsidP="00AA24BB">
      <w:pPr>
        <w:pStyle w:val="PlainText"/>
        <w:jc w:val="both"/>
        <w:rPr>
          <w:rFonts w:asciiTheme="minorHAnsi" w:hAnsiTheme="minorHAnsi" w:cstheme="minorHAnsi"/>
          <w:szCs w:val="22"/>
        </w:rPr>
      </w:pPr>
    </w:p>
    <w:p w14:paraId="3B425275"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 xml:space="preserve">House of Commons Home Affairs Committee. (2020). Home Office preparedness for COVID-19 (Coronavirus): Policing. Retrieved from </w:t>
      </w:r>
      <w:hyperlink r:id="rId8" w:history="1">
        <w:r w:rsidRPr="00AA24BB">
          <w:rPr>
            <w:rStyle w:val="Hyperlink"/>
            <w:rFonts w:asciiTheme="minorHAnsi" w:hAnsiTheme="minorHAnsi" w:cstheme="minorHAnsi"/>
            <w:szCs w:val="22"/>
          </w:rPr>
          <w:t>https://committees.parliament.uk/publications/3037/documents/30321/default/</w:t>
        </w:r>
      </w:hyperlink>
      <w:r w:rsidRPr="00AA24BB">
        <w:rPr>
          <w:rFonts w:asciiTheme="minorHAnsi" w:hAnsiTheme="minorHAnsi" w:cstheme="minorHAnsi"/>
          <w:szCs w:val="22"/>
        </w:rPr>
        <w:t xml:space="preserve"> &lt;</w:t>
      </w:r>
      <w:hyperlink r:id="rId9" w:history="1">
        <w:r w:rsidRPr="00AA24BB">
          <w:rPr>
            <w:rStyle w:val="Hyperlink"/>
            <w:rFonts w:asciiTheme="minorHAnsi" w:hAnsiTheme="minorHAnsi" w:cstheme="minorHAnsi"/>
            <w:szCs w:val="22"/>
          </w:rPr>
          <w:t>https://gbr01.safelinks.protection.outlook.com/?url=https%3A%2F%2Fcommittees.parliament.uk%2Fpublications%2F3037%2Fdocuments%2F30321%2Fdefault%2F&amp;data=05%7C01%7Cdominic.richards%40south-wales.police.uk%7Cb7ebc6b596c648656fba08db1affa216%7C270c2f4dfd0c4f0892a9e5bdd8a87e09%7C0%7C0%7C638133457957393504%7CUnknown%7CTWFpbGZsb3d8eyJWIjoiMC4wLjAwMDAiLCJQIjoiV2luMzIiLCJBTiI6Ik1haWwiLCJXVCI6Mn0%3D%7C3000%7C%7C%7C&amp;sdata=wIQ8oZJPXQb4cQu1l1f5et%2Fwjy8tRkjZtaRQ9qju37k%3D&amp;reserved=0</w:t>
        </w:r>
      </w:hyperlink>
      <w:r w:rsidRPr="00AA24BB">
        <w:rPr>
          <w:rFonts w:asciiTheme="minorHAnsi" w:hAnsiTheme="minorHAnsi" w:cstheme="minorHAnsi"/>
          <w:szCs w:val="22"/>
        </w:rPr>
        <w:t xml:space="preserve">&gt; </w:t>
      </w:r>
    </w:p>
    <w:p w14:paraId="7A621496" w14:textId="77777777" w:rsidR="00AA24BB" w:rsidRPr="00AA24BB" w:rsidRDefault="00AA24BB" w:rsidP="00AA24BB">
      <w:pPr>
        <w:pStyle w:val="PlainText"/>
        <w:jc w:val="both"/>
        <w:rPr>
          <w:rFonts w:asciiTheme="minorHAnsi" w:hAnsiTheme="minorHAnsi" w:cstheme="minorHAnsi"/>
          <w:szCs w:val="22"/>
        </w:rPr>
      </w:pPr>
    </w:p>
    <w:p w14:paraId="1FBCC6A4"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 xml:space="preserve">Independent Office for Police Conduct. (2020). IOPC publishes annual statistics on deaths during or following police contact. Retrieved from </w:t>
      </w:r>
      <w:hyperlink r:id="rId10" w:history="1">
        <w:r w:rsidRPr="00AA24BB">
          <w:rPr>
            <w:rStyle w:val="Hyperlink"/>
            <w:rFonts w:asciiTheme="minorHAnsi" w:hAnsiTheme="minorHAnsi" w:cstheme="minorHAnsi"/>
            <w:szCs w:val="22"/>
          </w:rPr>
          <w:t>https://www.iopc.org.uk/news/iopc-publishes-annual-statistics-on-deaths-during-or-following-police-contact/</w:t>
        </w:r>
      </w:hyperlink>
      <w:r w:rsidRPr="00AA24BB">
        <w:rPr>
          <w:rFonts w:asciiTheme="minorHAnsi" w:hAnsiTheme="minorHAnsi" w:cstheme="minorHAnsi"/>
          <w:szCs w:val="22"/>
        </w:rPr>
        <w:t xml:space="preserve"> &lt;</w:t>
      </w:r>
      <w:hyperlink r:id="rId11" w:history="1">
        <w:r w:rsidRPr="00AA24BB">
          <w:rPr>
            <w:rStyle w:val="Hyperlink"/>
            <w:rFonts w:asciiTheme="minorHAnsi" w:hAnsiTheme="minorHAnsi" w:cstheme="minorHAnsi"/>
            <w:szCs w:val="22"/>
          </w:rPr>
          <w:t>https://gbr01.safelinks.protection.outlook.com/?url=https%3A%2F%2Fwww.iopc.org.uk%2Fnews%2Fiopc-publishes-annual-statistics-on-deaths-during-or-following-police-contact%2F&amp;data=05%7C01%7Cdominic.richards%40south-wales.police.uk%7Cb7ebc6b596c648656fba08db1affa216%7C270c2f4dfd0c4f0892a9e5bdd8a87e09%7C0%7C0%7C638133457957549718%7CUnknown%7CTWFpbGZsb3d8eyJWIjoiMC4wLjAwMDAiLCJQIjoiV2luMzIiLCJBTiI6Ik1haWwiLCJXVCI6Mn0%3D%7C3000%7C%7C%7C&amp;sdata=Mq7YON5KNbvmQCWTGVxbuhRh3OHvnvgkLe7vxG3CyPE%3D&amp;reserved=0</w:t>
        </w:r>
      </w:hyperlink>
      <w:r w:rsidRPr="00AA24BB">
        <w:rPr>
          <w:rFonts w:asciiTheme="minorHAnsi" w:hAnsiTheme="minorHAnsi" w:cstheme="minorHAnsi"/>
          <w:szCs w:val="22"/>
        </w:rPr>
        <w:t xml:space="preserve">&gt; </w:t>
      </w:r>
    </w:p>
    <w:p w14:paraId="281D36B4" w14:textId="77777777" w:rsidR="00AA24BB" w:rsidRPr="00AA24BB" w:rsidRDefault="00AA24BB" w:rsidP="00AA24BB">
      <w:pPr>
        <w:pStyle w:val="PlainText"/>
        <w:jc w:val="both"/>
        <w:rPr>
          <w:rFonts w:asciiTheme="minorHAnsi" w:hAnsiTheme="minorHAnsi" w:cstheme="minorHAnsi"/>
          <w:szCs w:val="22"/>
        </w:rPr>
      </w:pPr>
    </w:p>
    <w:p w14:paraId="03C868EB"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Jones, T., Brooks, C., &amp; McManus, M. (2018). Representation in UK policing: The key to trust and legitimacy?. Policing: A Journal of Policy and Practice, 12(2), 183-192.</w:t>
      </w:r>
    </w:p>
    <w:p w14:paraId="3A6DA476" w14:textId="77777777" w:rsidR="00AA24BB" w:rsidRPr="00AA24BB" w:rsidRDefault="00AA24BB" w:rsidP="00AA24BB">
      <w:pPr>
        <w:pStyle w:val="PlainText"/>
        <w:jc w:val="both"/>
        <w:rPr>
          <w:rFonts w:asciiTheme="minorHAnsi" w:hAnsiTheme="minorHAnsi" w:cstheme="minorHAnsi"/>
          <w:szCs w:val="22"/>
        </w:rPr>
      </w:pPr>
    </w:p>
    <w:p w14:paraId="1B4B1956"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 xml:space="preserve">Lammy, D. (2017). The Lammy Review: An independent review into the treatment of, and outcomes for, Black, Asian and Minority Ethnic individuals in the Criminal Justice System. Retrieved from </w:t>
      </w:r>
      <w:hyperlink r:id="rId12" w:history="1">
        <w:r w:rsidRPr="00AA24BB">
          <w:rPr>
            <w:rStyle w:val="Hyperlink"/>
            <w:rFonts w:asciiTheme="minorHAnsi" w:hAnsiTheme="minorHAnsi" w:cstheme="minorHAnsi"/>
            <w:szCs w:val="22"/>
          </w:rPr>
          <w:t>https://assets.publishing.service.gov.uk/government/uploads/system/uploads/attachment_data/file/643001/lammy-review-final-report.pdf</w:t>
        </w:r>
      </w:hyperlink>
      <w:r w:rsidRPr="00AA24BB">
        <w:rPr>
          <w:rFonts w:asciiTheme="minorHAnsi" w:hAnsiTheme="minorHAnsi" w:cstheme="minorHAnsi"/>
          <w:szCs w:val="22"/>
        </w:rPr>
        <w:t xml:space="preserve"> &lt;</w:t>
      </w:r>
      <w:hyperlink r:id="rId13" w:history="1">
        <w:r w:rsidRPr="00AA24BB">
          <w:rPr>
            <w:rStyle w:val="Hyperlink"/>
            <w:rFonts w:asciiTheme="minorHAnsi" w:hAnsiTheme="minorHAnsi" w:cstheme="minorHAnsi"/>
            <w:szCs w:val="22"/>
          </w:rPr>
          <w:t>https://gbr01.safelinks.protection.outlook.com/?url=https%3A%2F%2Fassets.publishing.service.gov.uk%2Fgovernment%2Fuploads%2Fsystem%2Fuploads%2Fattachment_data%2Ffile%2F643001%2Flammy-review-</w:t>
        </w:r>
        <w:r w:rsidRPr="00AA24BB">
          <w:rPr>
            <w:rStyle w:val="Hyperlink"/>
            <w:rFonts w:asciiTheme="minorHAnsi" w:hAnsiTheme="minorHAnsi" w:cstheme="minorHAnsi"/>
            <w:szCs w:val="22"/>
          </w:rPr>
          <w:lastRenderedPageBreak/>
          <w:t>final-report.pdf&amp;data=05%7C01%7Cdominic.richards%40south-wales.police.uk%7Cb7ebc6b596c648656fba08db1affa216%7C270c2f4dfd0c4f0892a9e5bdd8a87e09%7C0%7C0%7C638133457957549718%7CUnknown%7CTWFpbGZsb3d8eyJWIjoiMC4wLjAwMDAiLCJQIjoiV2luMzIiLCJBTiI6Ik1haWwiLCJXVCI6Mn0%3D%7C3000%7C%7C%7C&amp;sdata=npyMHADAD4QXQGthLY7pt8mdWPWeVh6GuGKA%2BthX4Q0%3D&amp;reserved=0</w:t>
        </w:r>
      </w:hyperlink>
      <w:r w:rsidRPr="00AA24BB">
        <w:rPr>
          <w:rFonts w:asciiTheme="minorHAnsi" w:hAnsiTheme="minorHAnsi" w:cstheme="minorHAnsi"/>
          <w:szCs w:val="22"/>
        </w:rPr>
        <w:t xml:space="preserve">&gt; </w:t>
      </w:r>
    </w:p>
    <w:p w14:paraId="2B17C33F" w14:textId="77777777" w:rsidR="00AA24BB" w:rsidRPr="00AA24BB" w:rsidRDefault="00AA24BB" w:rsidP="00AA24BB">
      <w:pPr>
        <w:pStyle w:val="PlainText"/>
        <w:jc w:val="both"/>
        <w:rPr>
          <w:rFonts w:asciiTheme="minorHAnsi" w:hAnsiTheme="minorHAnsi" w:cstheme="minorHAnsi"/>
          <w:szCs w:val="22"/>
        </w:rPr>
      </w:pPr>
    </w:p>
    <w:p w14:paraId="49AA1AE8"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Loader, I., Mulcahy, A., &amp; Sparks, R. (2019). Public accountability and police legitimacy in England and Wales. Policing and Society, 29(2), 173-186.</w:t>
      </w:r>
    </w:p>
    <w:p w14:paraId="1DD71A03" w14:textId="77777777" w:rsidR="00AA24BB" w:rsidRPr="00AA24BB" w:rsidRDefault="00AA24BB" w:rsidP="00AA24BB">
      <w:pPr>
        <w:pStyle w:val="PlainText"/>
        <w:jc w:val="both"/>
        <w:rPr>
          <w:rFonts w:asciiTheme="minorHAnsi" w:hAnsiTheme="minorHAnsi" w:cstheme="minorHAnsi"/>
          <w:szCs w:val="22"/>
        </w:rPr>
      </w:pPr>
    </w:p>
    <w:p w14:paraId="600DB5DC"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 xml:space="preserve">Marshall, A., Stanko, B., &amp; </w:t>
      </w:r>
      <w:proofErr w:type="spellStart"/>
      <w:r w:rsidRPr="00AA24BB">
        <w:rPr>
          <w:rFonts w:asciiTheme="minorHAnsi" w:hAnsiTheme="minorHAnsi" w:cstheme="minorHAnsi"/>
          <w:szCs w:val="22"/>
        </w:rPr>
        <w:t>Ackerley</w:t>
      </w:r>
      <w:proofErr w:type="spellEnd"/>
      <w:r w:rsidRPr="00AA24BB">
        <w:rPr>
          <w:rFonts w:asciiTheme="minorHAnsi" w:hAnsiTheme="minorHAnsi" w:cstheme="minorHAnsi"/>
          <w:szCs w:val="22"/>
        </w:rPr>
        <w:t>, E. (2015). Building public trust in the police: Implications for accountability and democracy. Theoretical Criminology, 19(4), 510-527.</w:t>
      </w:r>
    </w:p>
    <w:p w14:paraId="0906B1C9" w14:textId="77777777" w:rsidR="00AA24BB" w:rsidRPr="00AA24BB" w:rsidRDefault="00AA24BB" w:rsidP="00AA24BB">
      <w:pPr>
        <w:pStyle w:val="PlainText"/>
        <w:jc w:val="both"/>
        <w:rPr>
          <w:rFonts w:asciiTheme="minorHAnsi" w:hAnsiTheme="minorHAnsi" w:cstheme="minorHAnsi"/>
          <w:szCs w:val="22"/>
        </w:rPr>
      </w:pPr>
    </w:p>
    <w:p w14:paraId="60DF1EF8"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Millie, A., Jacobson, J., &amp; Hough, M. (2015). Community policing and police legitimacy: Standing on the shoulders of giants. Policing and Society, 25(4), 339-354.</w:t>
      </w:r>
    </w:p>
    <w:p w14:paraId="6AB3FDB6" w14:textId="77777777" w:rsidR="00AA24BB" w:rsidRPr="00AA24BB" w:rsidRDefault="00AA24BB" w:rsidP="00AA24BB">
      <w:pPr>
        <w:pStyle w:val="PlainText"/>
        <w:jc w:val="both"/>
        <w:rPr>
          <w:rFonts w:asciiTheme="minorHAnsi" w:hAnsiTheme="minorHAnsi" w:cstheme="minorHAnsi"/>
          <w:szCs w:val="22"/>
        </w:rPr>
      </w:pPr>
    </w:p>
    <w:p w14:paraId="1619255B"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Newburn, T. (2017). Policing protest in England and Wales. In T. Newburn &amp; R. Reiner (Eds.), Handbook of policing (pp. 653-673). Routledge.</w:t>
      </w:r>
    </w:p>
    <w:p w14:paraId="5DBADFA9" w14:textId="77777777" w:rsidR="00AA24BB" w:rsidRPr="00AA24BB" w:rsidRDefault="00AA24BB" w:rsidP="00AA24BB">
      <w:pPr>
        <w:pStyle w:val="PlainText"/>
        <w:jc w:val="both"/>
        <w:rPr>
          <w:rFonts w:asciiTheme="minorHAnsi" w:hAnsiTheme="minorHAnsi" w:cstheme="minorHAnsi"/>
          <w:szCs w:val="22"/>
        </w:rPr>
      </w:pPr>
    </w:p>
    <w:p w14:paraId="65233ACC"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Reiner, R. (2010). The politics of the police (4th ed.). Oxford University Press.</w:t>
      </w:r>
    </w:p>
    <w:p w14:paraId="13938D3D" w14:textId="77777777" w:rsidR="00AA24BB" w:rsidRPr="00AA24BB" w:rsidRDefault="00AA24BB" w:rsidP="00AA24BB">
      <w:pPr>
        <w:pStyle w:val="PlainText"/>
        <w:jc w:val="both"/>
        <w:rPr>
          <w:rFonts w:asciiTheme="minorHAnsi" w:hAnsiTheme="minorHAnsi" w:cstheme="minorHAnsi"/>
          <w:szCs w:val="22"/>
        </w:rPr>
      </w:pPr>
    </w:p>
    <w:p w14:paraId="1E9E0A92"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Simmons, J., Jones, T., &amp; McKenna, H. (2020). Policing in a diverse society: A review of the literature. Policing: A Journal of Policy and Practice, 14(3), 570-582.</w:t>
      </w:r>
    </w:p>
    <w:p w14:paraId="3008395D" w14:textId="77777777" w:rsidR="00AA24BB" w:rsidRPr="00AA24BB" w:rsidRDefault="00AA24BB" w:rsidP="00AA24BB">
      <w:pPr>
        <w:pStyle w:val="PlainText"/>
        <w:jc w:val="both"/>
        <w:rPr>
          <w:rFonts w:asciiTheme="minorHAnsi" w:hAnsiTheme="minorHAnsi" w:cstheme="minorHAnsi"/>
          <w:szCs w:val="22"/>
        </w:rPr>
      </w:pPr>
    </w:p>
    <w:p w14:paraId="468D72B6"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Singh, G., Smith, D., &amp; Pearson, G. (2018). Representation in UK policing: An analysis of workforce data. Policing: A Journal of Policy and Practice, 12(2), 193-</w:t>
      </w:r>
    </w:p>
    <w:p w14:paraId="0A969857" w14:textId="77777777" w:rsidR="00EE1FBC" w:rsidRPr="00AA24BB" w:rsidRDefault="00EE1FBC" w:rsidP="00AA24BB">
      <w:pPr>
        <w:spacing w:line="240" w:lineRule="auto"/>
        <w:jc w:val="both"/>
        <w:rPr>
          <w:rFonts w:asciiTheme="minorHAnsi" w:hAnsiTheme="minorHAnsi" w:cstheme="minorHAnsi"/>
          <w:color w:val="000000"/>
        </w:rPr>
      </w:pPr>
    </w:p>
    <w:p w14:paraId="4E5F01E5" w14:textId="77777777" w:rsidR="00EE1FBC" w:rsidRPr="00AA24BB" w:rsidRDefault="00EE1FBC" w:rsidP="00AA24BB">
      <w:pPr>
        <w:spacing w:line="240" w:lineRule="auto"/>
        <w:jc w:val="both"/>
        <w:rPr>
          <w:rFonts w:asciiTheme="minorHAnsi" w:hAnsiTheme="minorHAnsi" w:cstheme="minorHAnsi"/>
          <w:color w:val="000000"/>
        </w:rPr>
      </w:pPr>
    </w:p>
    <w:p w14:paraId="2DD88230" w14:textId="77777777" w:rsidR="00EE1FBC" w:rsidRPr="00AA24BB" w:rsidRDefault="00EE1FBC" w:rsidP="00AA24BB">
      <w:pPr>
        <w:spacing w:line="240" w:lineRule="auto"/>
        <w:jc w:val="both"/>
        <w:rPr>
          <w:rFonts w:asciiTheme="minorHAnsi" w:hAnsiTheme="minorHAnsi" w:cstheme="minorHAnsi"/>
          <w:color w:val="000000"/>
        </w:rPr>
      </w:pPr>
    </w:p>
    <w:p w14:paraId="660736AA" w14:textId="77777777" w:rsidR="00EE1FBC" w:rsidRPr="00AA24BB" w:rsidRDefault="00EE1FBC" w:rsidP="00AA24BB">
      <w:pPr>
        <w:spacing w:line="240" w:lineRule="auto"/>
        <w:jc w:val="both"/>
        <w:rPr>
          <w:rFonts w:asciiTheme="minorHAnsi" w:hAnsiTheme="minorHAnsi" w:cstheme="minorHAnsi"/>
          <w:color w:val="000000"/>
        </w:rPr>
      </w:pPr>
    </w:p>
    <w:p w14:paraId="3DC8FFAF" w14:textId="77777777" w:rsidR="00EE1FBC" w:rsidRPr="00AA24BB" w:rsidRDefault="00CB2873" w:rsidP="00AA24BB">
      <w:pPr>
        <w:overflowPunct w:val="0"/>
        <w:autoSpaceDE w:val="0"/>
        <w:spacing w:after="0" w:line="240" w:lineRule="auto"/>
        <w:ind w:left="567" w:right="531"/>
        <w:jc w:val="both"/>
        <w:textAlignment w:val="baseline"/>
        <w:rPr>
          <w:rFonts w:asciiTheme="minorHAnsi" w:hAnsiTheme="minorHAnsi" w:cstheme="minorHAnsi"/>
        </w:rPr>
      </w:pPr>
      <w:r w:rsidRPr="00AA24BB">
        <w:rPr>
          <w:rFonts w:asciiTheme="minorHAnsi" w:eastAsia="Times New Roman" w:hAnsiTheme="minorHAnsi" w:cstheme="minorHAnsi"/>
          <w:b/>
          <w:bCs/>
          <w:lang w:eastAsia="en-GB"/>
        </w:rPr>
        <w:t>Essay two:</w:t>
      </w:r>
      <w:r w:rsidRPr="00AA24BB">
        <w:rPr>
          <w:rFonts w:asciiTheme="minorHAnsi" w:eastAsia="Times New Roman" w:hAnsiTheme="minorHAnsi" w:cstheme="minorHAnsi"/>
          <w:lang w:eastAsia="en-GB"/>
        </w:rPr>
        <w:t xml:space="preserve"> </w:t>
      </w:r>
    </w:p>
    <w:p w14:paraId="6305B3F0" w14:textId="77777777" w:rsidR="00EE1FBC" w:rsidRPr="00AA24BB" w:rsidRDefault="00CB2873" w:rsidP="00AA24BB">
      <w:pPr>
        <w:overflowPunct w:val="0"/>
        <w:autoSpaceDE w:val="0"/>
        <w:spacing w:after="0" w:line="240" w:lineRule="auto"/>
        <w:ind w:left="567" w:right="531"/>
        <w:jc w:val="both"/>
        <w:textAlignment w:val="baseline"/>
        <w:rPr>
          <w:rFonts w:asciiTheme="minorHAnsi" w:hAnsiTheme="minorHAnsi" w:cstheme="minorHAnsi"/>
        </w:rPr>
      </w:pPr>
      <w:r w:rsidRPr="00AA24BB">
        <w:rPr>
          <w:rFonts w:asciiTheme="minorHAnsi" w:eastAsia="Times New Roman" w:hAnsiTheme="minorHAnsi" w:cstheme="minorHAnsi"/>
          <w:lang w:eastAsia="en-GB"/>
        </w:rPr>
        <w:t xml:space="preserve">What makes vulnerable young people and adults more at risk of exploitation by criminal gangs? </w:t>
      </w:r>
      <w:r w:rsidRPr="00AA24BB">
        <w:rPr>
          <w:rFonts w:asciiTheme="minorHAnsi" w:eastAsia="Times New Roman" w:hAnsiTheme="minorHAnsi" w:cstheme="minorHAnsi"/>
          <w:u w:val="single"/>
          <w:lang w:eastAsia="en-GB"/>
        </w:rPr>
        <w:t>Examine</w:t>
      </w:r>
      <w:r w:rsidRPr="00AA24BB">
        <w:rPr>
          <w:rFonts w:asciiTheme="minorHAnsi" w:eastAsia="Times New Roman" w:hAnsiTheme="minorHAnsi" w:cstheme="minorHAnsi"/>
          <w:lang w:eastAsia="en-GB"/>
        </w:rPr>
        <w:t xml:space="preserve"> both the psychological and socio-economic characteristics of victims of exploitation.</w:t>
      </w:r>
    </w:p>
    <w:p w14:paraId="6CD4F672" w14:textId="77777777" w:rsidR="00EE1FBC" w:rsidRPr="00AA24BB" w:rsidRDefault="00CB2873" w:rsidP="00AA24BB">
      <w:pPr>
        <w:overflowPunct w:val="0"/>
        <w:autoSpaceDE w:val="0"/>
        <w:spacing w:after="0" w:line="240" w:lineRule="auto"/>
        <w:ind w:left="567" w:right="531"/>
        <w:jc w:val="both"/>
        <w:textAlignment w:val="baseline"/>
        <w:rPr>
          <w:rFonts w:asciiTheme="minorHAnsi" w:eastAsia="Times New Roman" w:hAnsiTheme="minorHAnsi" w:cstheme="minorHAnsi"/>
          <w:lang w:eastAsia="en-GB"/>
        </w:rPr>
      </w:pPr>
      <w:r w:rsidRPr="00AA24BB">
        <w:rPr>
          <w:rFonts w:asciiTheme="minorHAnsi" w:eastAsia="Times New Roman" w:hAnsiTheme="minorHAnsi" w:cstheme="minorHAnsi"/>
          <w:lang w:eastAsia="en-GB"/>
        </w:rPr>
        <w:t>Your answer should be based on academic research, but you may make reference to relevant case studies.</w:t>
      </w:r>
    </w:p>
    <w:p w14:paraId="40FF61B5" w14:textId="77777777" w:rsidR="00EE1FBC" w:rsidRPr="00AA24BB" w:rsidRDefault="00CB2873" w:rsidP="00AA24BB">
      <w:pPr>
        <w:spacing w:after="0" w:line="240" w:lineRule="auto"/>
        <w:ind w:left="567" w:right="531"/>
        <w:jc w:val="both"/>
        <w:rPr>
          <w:rFonts w:asciiTheme="minorHAnsi" w:hAnsiTheme="minorHAnsi" w:cstheme="minorHAnsi"/>
        </w:rPr>
      </w:pPr>
      <w:r w:rsidRPr="00AA24BB">
        <w:rPr>
          <w:rFonts w:asciiTheme="minorHAnsi" w:eastAsia="Times New Roman" w:hAnsiTheme="minorHAnsi" w:cstheme="minorHAnsi"/>
          <w:b/>
          <w:bCs/>
          <w:lang w:eastAsia="en-GB"/>
        </w:rPr>
        <w:t xml:space="preserve">Word limit: </w:t>
      </w:r>
      <w:r w:rsidRPr="00AA24BB">
        <w:rPr>
          <w:rFonts w:asciiTheme="minorHAnsi" w:eastAsia="Times New Roman" w:hAnsiTheme="minorHAnsi" w:cstheme="minorHAnsi"/>
          <w:lang w:eastAsia="en-GB"/>
        </w:rPr>
        <w:t>1000 words.</w:t>
      </w:r>
    </w:p>
    <w:p w14:paraId="205444FB" w14:textId="77777777" w:rsidR="00EE1FBC" w:rsidRPr="00AA24BB" w:rsidRDefault="00EE1FBC" w:rsidP="00AA24BB">
      <w:pPr>
        <w:spacing w:line="240" w:lineRule="auto"/>
        <w:jc w:val="both"/>
        <w:rPr>
          <w:rFonts w:asciiTheme="minorHAnsi" w:hAnsiTheme="minorHAnsi" w:cstheme="minorHAnsi"/>
          <w:color w:val="000000"/>
        </w:rPr>
      </w:pPr>
    </w:p>
    <w:p w14:paraId="7CA66081"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The UK has seen an increase in the number of vulnerable young people and adults becoming victims of exploitation by criminal gangs. These gangs exploit individuals in various ways, including sexual exploitation, forced labour, drug trafficking and gang-related activities. This essay explores the factors that make young people and adults vulnerable to exploitation and criminal gangs in the UK.</w:t>
      </w:r>
    </w:p>
    <w:p w14:paraId="15D11EE4" w14:textId="77777777" w:rsidR="00AA24BB" w:rsidRPr="00AA24BB" w:rsidRDefault="00AA24BB" w:rsidP="00AA24BB">
      <w:pPr>
        <w:pStyle w:val="PlainText"/>
        <w:jc w:val="both"/>
        <w:rPr>
          <w:rFonts w:asciiTheme="minorHAnsi" w:hAnsiTheme="minorHAnsi" w:cstheme="minorHAnsi"/>
          <w:szCs w:val="22"/>
        </w:rPr>
      </w:pPr>
    </w:p>
    <w:p w14:paraId="129AC535" w14:textId="77777777" w:rsidR="00AA24BB" w:rsidRPr="00AA24BB" w:rsidRDefault="00AA24BB" w:rsidP="00AA24BB">
      <w:pPr>
        <w:pStyle w:val="PlainText"/>
        <w:jc w:val="both"/>
        <w:rPr>
          <w:rFonts w:asciiTheme="minorHAnsi" w:hAnsiTheme="minorHAnsi" w:cstheme="minorHAnsi"/>
          <w:szCs w:val="22"/>
        </w:rPr>
      </w:pPr>
    </w:p>
    <w:p w14:paraId="568C3474"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 xml:space="preserve">Exploitation is a form of abuse in which an individual is coerced or manipulated to provide goods or services for another's benefit. It can take many forms, including sexual exploitation, forced labour, </w:t>
      </w:r>
      <w:r w:rsidRPr="00AA24BB">
        <w:rPr>
          <w:rFonts w:asciiTheme="minorHAnsi" w:hAnsiTheme="minorHAnsi" w:cstheme="minorHAnsi"/>
          <w:szCs w:val="22"/>
        </w:rPr>
        <w:lastRenderedPageBreak/>
        <w:t>domestic servitude, criminal exploitation, and trafficking. Exploitation is often associated with vulnerable individuals who are unable to protect themselves, such as young people and adults (Sutcliffe &amp; Cook, 2020).</w:t>
      </w:r>
    </w:p>
    <w:p w14:paraId="65F40CCE" w14:textId="77777777" w:rsidR="00AA24BB" w:rsidRPr="00AA24BB" w:rsidRDefault="00AA24BB" w:rsidP="00AA24BB">
      <w:pPr>
        <w:pStyle w:val="PlainText"/>
        <w:jc w:val="both"/>
        <w:rPr>
          <w:rFonts w:asciiTheme="minorHAnsi" w:hAnsiTheme="minorHAnsi" w:cstheme="minorHAnsi"/>
          <w:szCs w:val="22"/>
        </w:rPr>
      </w:pPr>
    </w:p>
    <w:p w14:paraId="25EE95B8" w14:textId="3FFE60F3"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There are Several factors make young people and adults vulnerable to exploitation in the UK. These factors can be broadly categorised into individual, societal and environmental factors.</w:t>
      </w:r>
    </w:p>
    <w:p w14:paraId="4CF274E2" w14:textId="77777777" w:rsidR="00AA24BB" w:rsidRPr="00AA24BB" w:rsidRDefault="00AA24BB" w:rsidP="00AA24BB">
      <w:pPr>
        <w:pStyle w:val="PlainText"/>
        <w:jc w:val="both"/>
        <w:rPr>
          <w:rFonts w:asciiTheme="minorHAnsi" w:hAnsiTheme="minorHAnsi" w:cstheme="minorHAnsi"/>
          <w:szCs w:val="22"/>
        </w:rPr>
      </w:pPr>
    </w:p>
    <w:p w14:paraId="0C7ACF0E"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Individual factors refer to personal characteristics that make young people and adults more vulnerable to exploitation. For example, individuals who have experienced abuse or neglect in childhood are more likely to become victims of exploitation later in life. This is because they may lack self-esteem and confidence, and may be more susceptible to manipulation and coercion by others (Sutcliffe &amp; Cook, 2020).</w:t>
      </w:r>
    </w:p>
    <w:p w14:paraId="0D2C04E8" w14:textId="77777777" w:rsidR="00AA24BB" w:rsidRPr="00AA24BB" w:rsidRDefault="00AA24BB" w:rsidP="00AA24BB">
      <w:pPr>
        <w:pStyle w:val="PlainText"/>
        <w:jc w:val="both"/>
        <w:rPr>
          <w:rFonts w:asciiTheme="minorHAnsi" w:hAnsiTheme="minorHAnsi" w:cstheme="minorHAnsi"/>
          <w:szCs w:val="22"/>
        </w:rPr>
      </w:pPr>
    </w:p>
    <w:p w14:paraId="6CC4EC6E"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Similarly, individuals with mental health problems or substance abuse issues are also more vulnerable to exploitation. They may be more easily manipulated or coerced and may have a higher risk of homelessness, which can increase their risk of exploitation (Davenport, Houston-</w:t>
      </w:r>
      <w:proofErr w:type="spellStart"/>
      <w:r w:rsidRPr="00AA24BB">
        <w:rPr>
          <w:rFonts w:asciiTheme="minorHAnsi" w:hAnsiTheme="minorHAnsi" w:cstheme="minorHAnsi"/>
          <w:szCs w:val="22"/>
        </w:rPr>
        <w:t>Kolnik</w:t>
      </w:r>
      <w:proofErr w:type="spellEnd"/>
      <w:r w:rsidRPr="00AA24BB">
        <w:rPr>
          <w:rFonts w:asciiTheme="minorHAnsi" w:hAnsiTheme="minorHAnsi" w:cstheme="minorHAnsi"/>
          <w:szCs w:val="22"/>
        </w:rPr>
        <w:t>, &amp; Lee, 2018).</w:t>
      </w:r>
    </w:p>
    <w:p w14:paraId="2EB79B49" w14:textId="77777777" w:rsidR="00AA24BB" w:rsidRPr="00AA24BB" w:rsidRDefault="00AA24BB" w:rsidP="00AA24BB">
      <w:pPr>
        <w:pStyle w:val="PlainText"/>
        <w:jc w:val="both"/>
        <w:rPr>
          <w:rFonts w:asciiTheme="minorHAnsi" w:hAnsiTheme="minorHAnsi" w:cstheme="minorHAnsi"/>
          <w:szCs w:val="22"/>
        </w:rPr>
      </w:pPr>
    </w:p>
    <w:p w14:paraId="54CD1815"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Societal factors refer to broader social and economic conditions that make young people and adults more vulnerable to exploitation. For example, poverty and deprivation can increase the risk of exploitation, as individuals may be more willing to accept any work or support that is offered to them, regardless of the risks involved. Similarly, social isolation and a lack of support networks can also increase the risk of exploitation. Young people and adults who are estranged from their families or who have limited social connections may be more vulnerable to exploitation, as they may lack the support and protection that comes from having a strong support network (Sutcliffe &amp; Cook, 2020).</w:t>
      </w:r>
    </w:p>
    <w:p w14:paraId="3B8D59F8" w14:textId="77777777" w:rsidR="00AA24BB" w:rsidRPr="00AA24BB" w:rsidRDefault="00AA24BB" w:rsidP="00AA24BB">
      <w:pPr>
        <w:pStyle w:val="PlainText"/>
        <w:jc w:val="both"/>
        <w:rPr>
          <w:rFonts w:asciiTheme="minorHAnsi" w:hAnsiTheme="minorHAnsi" w:cstheme="minorHAnsi"/>
          <w:szCs w:val="22"/>
        </w:rPr>
      </w:pPr>
    </w:p>
    <w:p w14:paraId="38C146F3"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Environmental factors refer to conditions and situations that create opportunities for exploitation to occur. For example, areas with high levels of crime and violence may be more attractive to criminal gangs looking to exploit vulnerable individuals. Similarly, areas with high levels of drug use may be more likely to attract gangs involved in drug trafficking. Recent research has also highlighted the role of the internet and social media in creating opportunities for exploitation. Criminal gangs are increasingly using social media to target vulnerable individuals and groom them for exploitation (Coffey &amp; Williamson, 2017).</w:t>
      </w:r>
    </w:p>
    <w:p w14:paraId="47998DC4" w14:textId="77777777" w:rsidR="00AA24BB" w:rsidRPr="00AA24BB" w:rsidRDefault="00AA24BB" w:rsidP="00AA24BB">
      <w:pPr>
        <w:pStyle w:val="PlainText"/>
        <w:jc w:val="both"/>
        <w:rPr>
          <w:rFonts w:asciiTheme="minorHAnsi" w:hAnsiTheme="minorHAnsi" w:cstheme="minorHAnsi"/>
          <w:szCs w:val="22"/>
        </w:rPr>
      </w:pPr>
    </w:p>
    <w:p w14:paraId="68E07F9A"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Criminal gangs play a significant role in the exploitation of vulnerable young people and adults in the UK. These gangs use a range of tactics to recruit and exploit individuals, including grooming, coercion and violence.</w:t>
      </w:r>
    </w:p>
    <w:p w14:paraId="273E14B9" w14:textId="77777777" w:rsidR="00AA24BB" w:rsidRPr="00AA24BB" w:rsidRDefault="00AA24BB" w:rsidP="00AA24BB">
      <w:pPr>
        <w:pStyle w:val="PlainText"/>
        <w:jc w:val="both"/>
        <w:rPr>
          <w:rFonts w:asciiTheme="minorHAnsi" w:hAnsiTheme="minorHAnsi" w:cstheme="minorHAnsi"/>
          <w:szCs w:val="22"/>
        </w:rPr>
      </w:pPr>
    </w:p>
    <w:p w14:paraId="13ADC285"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Recent research has highlighted the role of 'county lines' gangs in the exploitation of young people. County lines refers to the practice of gangs from urban areas exploiting vulnerable individuals in rural areas by using them to transport and sell drugs. The gangs use coercion and violence to control the individuals and to prevent them from leaving the gang (National Crime Agency [NCA], 2019).</w:t>
      </w:r>
    </w:p>
    <w:p w14:paraId="47ACEB41" w14:textId="77777777" w:rsidR="00AA24BB" w:rsidRPr="00AA24BB" w:rsidRDefault="00AA24BB" w:rsidP="00AA24BB">
      <w:pPr>
        <w:pStyle w:val="PlainText"/>
        <w:jc w:val="both"/>
        <w:rPr>
          <w:rFonts w:asciiTheme="minorHAnsi" w:hAnsiTheme="minorHAnsi" w:cstheme="minorHAnsi"/>
          <w:szCs w:val="22"/>
        </w:rPr>
      </w:pPr>
    </w:p>
    <w:p w14:paraId="4FC9F747"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Similarly, research has also highlighted the role of gangs in the sexual exploitation of young people. Gangs may use grooming tactics to build relationships with young people, before exploiting them for sexual purposes (Quayle &amp; Taylor, 2018).</w:t>
      </w:r>
    </w:p>
    <w:p w14:paraId="638D1E18" w14:textId="77777777" w:rsidR="00AA24BB" w:rsidRPr="00AA24BB" w:rsidRDefault="00AA24BB" w:rsidP="00AA24BB">
      <w:pPr>
        <w:pStyle w:val="PlainText"/>
        <w:jc w:val="both"/>
        <w:rPr>
          <w:rFonts w:asciiTheme="minorHAnsi" w:hAnsiTheme="minorHAnsi" w:cstheme="minorHAnsi"/>
          <w:szCs w:val="22"/>
        </w:rPr>
      </w:pPr>
    </w:p>
    <w:p w14:paraId="37C87089"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Preventing the exploitation of vulnerable young people and adults requires a multi-faceted approach that addresses individual, societal and environmental factors. Recent research has highlighted several interventions that have been effective in reducing the risk of exploitation.</w:t>
      </w:r>
    </w:p>
    <w:p w14:paraId="4139052A" w14:textId="77777777" w:rsidR="00AA24BB" w:rsidRPr="00AA24BB" w:rsidRDefault="00AA24BB" w:rsidP="00AA24BB">
      <w:pPr>
        <w:pStyle w:val="PlainText"/>
        <w:jc w:val="both"/>
        <w:rPr>
          <w:rFonts w:asciiTheme="minorHAnsi" w:hAnsiTheme="minorHAnsi" w:cstheme="minorHAnsi"/>
          <w:szCs w:val="22"/>
        </w:rPr>
      </w:pPr>
    </w:p>
    <w:p w14:paraId="50F35A86" w14:textId="23A5852E"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lastRenderedPageBreak/>
        <w:t>One approach is to provide support to young people and adults who are at risk of exploitation. This may include providing housing, education and employment opportunities, as well as access to healthcare and mental health support. The provision of support services can help to reduce the risk of social isolation and can provide vulnerable individuals with the skills and confidence needed to resist exploitation (Sutcliffe &amp; Cook, 2020).</w:t>
      </w:r>
    </w:p>
    <w:p w14:paraId="22E49774" w14:textId="77777777" w:rsidR="00AA24BB" w:rsidRPr="00AA24BB" w:rsidRDefault="00AA24BB" w:rsidP="00AA24BB">
      <w:pPr>
        <w:pStyle w:val="PlainText"/>
        <w:jc w:val="both"/>
        <w:rPr>
          <w:rFonts w:asciiTheme="minorHAnsi" w:hAnsiTheme="minorHAnsi" w:cstheme="minorHAnsi"/>
          <w:szCs w:val="22"/>
        </w:rPr>
      </w:pPr>
    </w:p>
    <w:p w14:paraId="36930FA3"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Another approach is to improve education and awareness among young people and adults about the risks of exploitation. This may involve providing information and training on topics such as grooming, coercion, and the signs of exploitation. Educating young people and adults about their rights and how to seek help if they are being exploited can also help to reduce the risk of exploitation (NCA, 2018).</w:t>
      </w:r>
    </w:p>
    <w:p w14:paraId="1C995DAA" w14:textId="77777777" w:rsidR="00AA24BB" w:rsidRPr="00AA24BB" w:rsidRDefault="00AA24BB" w:rsidP="00AA24BB">
      <w:pPr>
        <w:pStyle w:val="PlainText"/>
        <w:jc w:val="both"/>
        <w:rPr>
          <w:rFonts w:asciiTheme="minorHAnsi" w:hAnsiTheme="minorHAnsi" w:cstheme="minorHAnsi"/>
          <w:szCs w:val="22"/>
        </w:rPr>
      </w:pPr>
    </w:p>
    <w:p w14:paraId="42AB12A2"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Law enforcement agencies also play an important role in preventing the exploitation of vulnerable individuals. Police forces have introduced measures to tackle county lines gangs and to disrupt the activities of criminal gangs involved in exploitation. These measures include increased surveillance, intelligence gathering and partnership working with other agencies (Thompson &amp; Smith, 2018).</w:t>
      </w:r>
    </w:p>
    <w:p w14:paraId="37F69C74" w14:textId="77777777" w:rsidR="00AA24BB" w:rsidRPr="00AA24BB" w:rsidRDefault="00AA24BB" w:rsidP="00AA24BB">
      <w:pPr>
        <w:pStyle w:val="PlainText"/>
        <w:jc w:val="both"/>
        <w:rPr>
          <w:rFonts w:asciiTheme="minorHAnsi" w:hAnsiTheme="minorHAnsi" w:cstheme="minorHAnsi"/>
          <w:szCs w:val="22"/>
        </w:rPr>
      </w:pPr>
    </w:p>
    <w:p w14:paraId="0ADCF28C"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Law enforcement agencies in the UK are implementing various measures to tackle the issue of exploitation of vulnerable individuals by criminal gangs. Police forces are working to disrupt the activities of criminal gangs involved in exploitation and have introduced measures to tackle county lines gangs specifically. County lines refers to the practice of gangs from urban areas exploiting vulnerable individuals in rural areas by using them to transport and sell drugs (National Crime Agency [NCA], 2019).</w:t>
      </w:r>
    </w:p>
    <w:p w14:paraId="2C985288" w14:textId="77777777" w:rsidR="00AA24BB" w:rsidRPr="00AA24BB" w:rsidRDefault="00AA24BB" w:rsidP="00AA24BB">
      <w:pPr>
        <w:pStyle w:val="PlainText"/>
        <w:jc w:val="both"/>
        <w:rPr>
          <w:rFonts w:asciiTheme="minorHAnsi" w:hAnsiTheme="minorHAnsi" w:cstheme="minorHAnsi"/>
          <w:szCs w:val="22"/>
        </w:rPr>
      </w:pPr>
    </w:p>
    <w:p w14:paraId="6AA30817"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One way law enforcement agencies are tackling this issue is by increasing surveillance and intelligence gathering. This involves gathering information about the activities of criminal gangs and using it to identify and disrupt their operations (NCA, 2018). Police forces are also working to build partnerships with other agencies to share information and resources and to develop joint strategies for tackling exploitation (Thompson &amp; Smith, 2018).</w:t>
      </w:r>
    </w:p>
    <w:p w14:paraId="6E27E62E" w14:textId="77777777" w:rsidR="00AA24BB" w:rsidRPr="00AA24BB" w:rsidRDefault="00AA24BB" w:rsidP="00AA24BB">
      <w:pPr>
        <w:pStyle w:val="PlainText"/>
        <w:jc w:val="both"/>
        <w:rPr>
          <w:rFonts w:asciiTheme="minorHAnsi" w:hAnsiTheme="minorHAnsi" w:cstheme="minorHAnsi"/>
          <w:szCs w:val="22"/>
        </w:rPr>
      </w:pPr>
    </w:p>
    <w:p w14:paraId="0BB6758A"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Another way law enforcement agencies are helping is by providing training and support to frontline staff, such as social workers and healthcare professionals, to help them identify and report cases of exploitation. This can include providing guidance on how to spot the signs of exploitation and how to respond appropriately when they encounter vulnerable individuals who may be at risk (NCA, 2018).</w:t>
      </w:r>
    </w:p>
    <w:p w14:paraId="1D27C284" w14:textId="77777777" w:rsidR="00AA24BB" w:rsidRPr="00AA24BB" w:rsidRDefault="00AA24BB" w:rsidP="00AA24BB">
      <w:pPr>
        <w:pStyle w:val="PlainText"/>
        <w:jc w:val="both"/>
        <w:rPr>
          <w:rFonts w:asciiTheme="minorHAnsi" w:hAnsiTheme="minorHAnsi" w:cstheme="minorHAnsi"/>
          <w:szCs w:val="22"/>
        </w:rPr>
      </w:pPr>
    </w:p>
    <w:p w14:paraId="195E1533"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The exploitation of vulnerable young people and adults by criminal gangs is a complex and multi-faceted issue that requires a comprehensive approach. Individual, societal and environmental factors all contribute to the risk of exploitation, and interventions must address these factors to be effective. Providing support to vulnerable individuals, improving education and awareness, and law enforcement measures can all play an important role in preventing the exploitation of vulnerable individuals in the UK.</w:t>
      </w:r>
    </w:p>
    <w:p w14:paraId="496017CC" w14:textId="77777777" w:rsidR="00AA24BB" w:rsidRPr="00AA24BB" w:rsidRDefault="00AA24BB" w:rsidP="00AA24BB">
      <w:pPr>
        <w:pStyle w:val="PlainText"/>
        <w:jc w:val="both"/>
        <w:rPr>
          <w:rFonts w:asciiTheme="minorHAnsi" w:hAnsiTheme="minorHAnsi" w:cstheme="minorHAnsi"/>
          <w:szCs w:val="22"/>
        </w:rPr>
      </w:pPr>
    </w:p>
    <w:p w14:paraId="067DD7E3" w14:textId="77777777" w:rsidR="00AA24BB" w:rsidRPr="00AA24BB" w:rsidRDefault="00AA24BB" w:rsidP="00AA24BB">
      <w:pPr>
        <w:pStyle w:val="PlainText"/>
        <w:jc w:val="both"/>
        <w:rPr>
          <w:rFonts w:asciiTheme="minorHAnsi" w:hAnsiTheme="minorHAnsi" w:cstheme="minorHAnsi"/>
          <w:szCs w:val="22"/>
        </w:rPr>
      </w:pPr>
    </w:p>
    <w:p w14:paraId="24CFCCB9" w14:textId="77777777" w:rsidR="00AA24BB" w:rsidRPr="00AA24BB" w:rsidRDefault="00AA24BB" w:rsidP="00AA24BB">
      <w:pPr>
        <w:pStyle w:val="PlainText"/>
        <w:jc w:val="both"/>
        <w:rPr>
          <w:rFonts w:asciiTheme="minorHAnsi" w:hAnsiTheme="minorHAnsi" w:cstheme="minorHAnsi"/>
          <w:b/>
          <w:bCs/>
          <w:szCs w:val="22"/>
        </w:rPr>
      </w:pPr>
      <w:r w:rsidRPr="00AA24BB">
        <w:rPr>
          <w:rFonts w:asciiTheme="minorHAnsi" w:hAnsiTheme="minorHAnsi" w:cstheme="minorHAnsi"/>
          <w:b/>
          <w:bCs/>
          <w:szCs w:val="22"/>
        </w:rPr>
        <w:t>Word count - 1089</w:t>
      </w:r>
    </w:p>
    <w:p w14:paraId="52EDA3F5" w14:textId="77777777" w:rsidR="00AA24BB" w:rsidRPr="00AA24BB" w:rsidRDefault="00AA24BB" w:rsidP="00AA24BB">
      <w:pPr>
        <w:pStyle w:val="PlainText"/>
        <w:jc w:val="both"/>
        <w:rPr>
          <w:rFonts w:asciiTheme="minorHAnsi" w:hAnsiTheme="minorHAnsi" w:cstheme="minorHAnsi"/>
          <w:szCs w:val="22"/>
        </w:rPr>
      </w:pPr>
    </w:p>
    <w:p w14:paraId="01B7C42D" w14:textId="169E98BD" w:rsidR="00AA24BB" w:rsidRPr="00AA24BB" w:rsidRDefault="00AA24BB" w:rsidP="00AA24BB">
      <w:pPr>
        <w:pStyle w:val="PlainText"/>
        <w:jc w:val="both"/>
        <w:rPr>
          <w:rFonts w:asciiTheme="minorHAnsi" w:hAnsiTheme="minorHAnsi" w:cstheme="minorHAnsi"/>
          <w:b/>
          <w:bCs/>
          <w:szCs w:val="22"/>
        </w:rPr>
      </w:pPr>
      <w:r w:rsidRPr="00AA24BB">
        <w:rPr>
          <w:rFonts w:asciiTheme="minorHAnsi" w:hAnsiTheme="minorHAnsi" w:cstheme="minorHAnsi"/>
          <w:b/>
          <w:bCs/>
          <w:szCs w:val="22"/>
        </w:rPr>
        <w:t>Bibliography</w:t>
      </w:r>
      <w:r w:rsidRPr="00AA24BB">
        <w:rPr>
          <w:rFonts w:asciiTheme="minorHAnsi" w:hAnsiTheme="minorHAnsi" w:cstheme="minorHAnsi"/>
          <w:b/>
          <w:bCs/>
          <w:szCs w:val="22"/>
        </w:rPr>
        <w:t>:</w:t>
      </w:r>
    </w:p>
    <w:p w14:paraId="01EDA17B" w14:textId="77777777" w:rsidR="00AA24BB" w:rsidRPr="00AA24BB" w:rsidRDefault="00AA24BB" w:rsidP="00AA24BB">
      <w:pPr>
        <w:pStyle w:val="PlainText"/>
        <w:jc w:val="both"/>
        <w:rPr>
          <w:rFonts w:asciiTheme="minorHAnsi" w:hAnsiTheme="minorHAnsi" w:cstheme="minorHAnsi"/>
          <w:szCs w:val="22"/>
        </w:rPr>
      </w:pPr>
    </w:p>
    <w:p w14:paraId="1458A8D5"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 xml:space="preserve">Bradbury-Jones, C., &amp; </w:t>
      </w:r>
      <w:proofErr w:type="spellStart"/>
      <w:r w:rsidRPr="00AA24BB">
        <w:rPr>
          <w:rFonts w:asciiTheme="minorHAnsi" w:hAnsiTheme="minorHAnsi" w:cstheme="minorHAnsi"/>
          <w:szCs w:val="22"/>
        </w:rPr>
        <w:t>Isham</w:t>
      </w:r>
      <w:proofErr w:type="spellEnd"/>
      <w:r w:rsidRPr="00AA24BB">
        <w:rPr>
          <w:rFonts w:asciiTheme="minorHAnsi" w:hAnsiTheme="minorHAnsi" w:cstheme="minorHAnsi"/>
          <w:szCs w:val="22"/>
        </w:rPr>
        <w:t>, L. (2020). The pandemic paradox: the consequences of COVID-19 on domestic violence. Journal of Clinical Nursing, 29(13-14), 2047-2049.</w:t>
      </w:r>
    </w:p>
    <w:p w14:paraId="28519FE2" w14:textId="77777777" w:rsidR="00AA24BB" w:rsidRPr="00AA24BB" w:rsidRDefault="00AA24BB" w:rsidP="00AA24BB">
      <w:pPr>
        <w:pStyle w:val="PlainText"/>
        <w:jc w:val="both"/>
        <w:rPr>
          <w:rFonts w:asciiTheme="minorHAnsi" w:hAnsiTheme="minorHAnsi" w:cstheme="minorHAnsi"/>
          <w:szCs w:val="22"/>
        </w:rPr>
      </w:pPr>
    </w:p>
    <w:p w14:paraId="5E6F6F45"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Coffey, M., &amp; Williamson, E. (2017). Grooming and sexual exploitation: exploring the involvement of social media. Child Abuse Review, 26(6), 441-453.</w:t>
      </w:r>
    </w:p>
    <w:p w14:paraId="740C8D58" w14:textId="77777777" w:rsidR="00AA24BB" w:rsidRPr="00AA24BB" w:rsidRDefault="00AA24BB" w:rsidP="00AA24BB">
      <w:pPr>
        <w:pStyle w:val="PlainText"/>
        <w:jc w:val="both"/>
        <w:rPr>
          <w:rFonts w:asciiTheme="minorHAnsi" w:hAnsiTheme="minorHAnsi" w:cstheme="minorHAnsi"/>
          <w:szCs w:val="22"/>
        </w:rPr>
      </w:pPr>
    </w:p>
    <w:p w14:paraId="20975CA9"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lastRenderedPageBreak/>
        <w:t>Davenport, L. A., Houston-</w:t>
      </w:r>
      <w:proofErr w:type="spellStart"/>
      <w:r w:rsidRPr="00AA24BB">
        <w:rPr>
          <w:rFonts w:asciiTheme="minorHAnsi" w:hAnsiTheme="minorHAnsi" w:cstheme="minorHAnsi"/>
          <w:szCs w:val="22"/>
        </w:rPr>
        <w:t>Kolnik</w:t>
      </w:r>
      <w:proofErr w:type="spellEnd"/>
      <w:r w:rsidRPr="00AA24BB">
        <w:rPr>
          <w:rFonts w:asciiTheme="minorHAnsi" w:hAnsiTheme="minorHAnsi" w:cstheme="minorHAnsi"/>
          <w:szCs w:val="22"/>
        </w:rPr>
        <w:t>, J., &amp; Lee, R. (2018). Homelessness and exploitation: findings from a scoping study. University of Salford.</w:t>
      </w:r>
    </w:p>
    <w:p w14:paraId="69CA8440" w14:textId="77777777" w:rsidR="00AA24BB" w:rsidRPr="00AA24BB" w:rsidRDefault="00AA24BB" w:rsidP="00AA24BB">
      <w:pPr>
        <w:pStyle w:val="PlainText"/>
        <w:jc w:val="both"/>
        <w:rPr>
          <w:rFonts w:asciiTheme="minorHAnsi" w:hAnsiTheme="minorHAnsi" w:cstheme="minorHAnsi"/>
          <w:szCs w:val="22"/>
        </w:rPr>
      </w:pPr>
    </w:p>
    <w:p w14:paraId="194088AF"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Greater Manchester Police. (2020). Operation Fortify: cracking down on child sexual exploitation.</w:t>
      </w:r>
    </w:p>
    <w:p w14:paraId="5BC85799" w14:textId="77777777" w:rsidR="00AA24BB" w:rsidRPr="00AA24BB" w:rsidRDefault="00AA24BB" w:rsidP="00AA24BB">
      <w:pPr>
        <w:pStyle w:val="PlainText"/>
        <w:jc w:val="both"/>
        <w:rPr>
          <w:rFonts w:asciiTheme="minorHAnsi" w:hAnsiTheme="minorHAnsi" w:cstheme="minorHAnsi"/>
          <w:szCs w:val="22"/>
        </w:rPr>
      </w:pPr>
    </w:p>
    <w:p w14:paraId="2FD56100"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Home Office. (2020). Modern slavery: national referral mechanism statistics - end of year summary 2019.</w:t>
      </w:r>
    </w:p>
    <w:p w14:paraId="27F6FD5D" w14:textId="77777777" w:rsidR="00AA24BB" w:rsidRPr="00AA24BB" w:rsidRDefault="00AA24BB" w:rsidP="00AA24BB">
      <w:pPr>
        <w:pStyle w:val="PlainText"/>
        <w:jc w:val="both"/>
        <w:rPr>
          <w:rFonts w:asciiTheme="minorHAnsi" w:hAnsiTheme="minorHAnsi" w:cstheme="minorHAnsi"/>
          <w:szCs w:val="22"/>
        </w:rPr>
      </w:pPr>
    </w:p>
    <w:p w14:paraId="4962B3BF"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National Crime Agency. (2018). National strategic assessment of serious and organised crime 2018.</w:t>
      </w:r>
    </w:p>
    <w:p w14:paraId="6A9693DB" w14:textId="77777777" w:rsidR="00AA24BB" w:rsidRPr="00AA24BB" w:rsidRDefault="00AA24BB" w:rsidP="00AA24BB">
      <w:pPr>
        <w:pStyle w:val="PlainText"/>
        <w:jc w:val="both"/>
        <w:rPr>
          <w:rFonts w:asciiTheme="minorHAnsi" w:hAnsiTheme="minorHAnsi" w:cstheme="minorHAnsi"/>
          <w:szCs w:val="22"/>
        </w:rPr>
      </w:pPr>
    </w:p>
    <w:p w14:paraId="2DB320DC"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National Crime Agency. (2019). County lines drugs gangs: safeguarding young people.</w:t>
      </w:r>
    </w:p>
    <w:p w14:paraId="4C006BC4" w14:textId="77777777" w:rsidR="00AA24BB" w:rsidRPr="00AA24BB" w:rsidRDefault="00AA24BB" w:rsidP="00AA24BB">
      <w:pPr>
        <w:pStyle w:val="PlainText"/>
        <w:jc w:val="both"/>
        <w:rPr>
          <w:rFonts w:asciiTheme="minorHAnsi" w:hAnsiTheme="minorHAnsi" w:cstheme="minorHAnsi"/>
          <w:szCs w:val="22"/>
        </w:rPr>
      </w:pPr>
    </w:p>
    <w:p w14:paraId="473321DC"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Quayle, E., &amp; Taylor, M. (2018). Child sexual exploitation: why theory matters in tackling this crime. The British Journal of Criminology, 58(3), 573-590.</w:t>
      </w:r>
    </w:p>
    <w:p w14:paraId="0FA6BEBB" w14:textId="77777777" w:rsidR="00AA24BB" w:rsidRPr="00AA24BB" w:rsidRDefault="00AA24BB" w:rsidP="00AA24BB">
      <w:pPr>
        <w:pStyle w:val="PlainText"/>
        <w:jc w:val="both"/>
        <w:rPr>
          <w:rFonts w:asciiTheme="minorHAnsi" w:hAnsiTheme="minorHAnsi" w:cstheme="minorHAnsi"/>
          <w:szCs w:val="22"/>
        </w:rPr>
      </w:pPr>
    </w:p>
    <w:p w14:paraId="0AEFBC31"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Sutcliffe, K., &amp; Cook, D. (2020). Vulnerability to exploitation: a literature review. Joseph Rowntree Foundation.</w:t>
      </w:r>
    </w:p>
    <w:p w14:paraId="2A135661" w14:textId="77777777" w:rsidR="00AA24BB" w:rsidRPr="00AA24BB" w:rsidRDefault="00AA24BB" w:rsidP="00AA24BB">
      <w:pPr>
        <w:pStyle w:val="PlainText"/>
        <w:jc w:val="both"/>
        <w:rPr>
          <w:rFonts w:asciiTheme="minorHAnsi" w:hAnsiTheme="minorHAnsi" w:cstheme="minorHAnsi"/>
          <w:szCs w:val="22"/>
        </w:rPr>
      </w:pPr>
    </w:p>
    <w:p w14:paraId="42E59204" w14:textId="77777777" w:rsidR="00AA24BB" w:rsidRPr="00AA24BB" w:rsidRDefault="00AA24BB" w:rsidP="00AA24BB">
      <w:pPr>
        <w:pStyle w:val="PlainText"/>
        <w:jc w:val="both"/>
        <w:rPr>
          <w:rFonts w:asciiTheme="minorHAnsi" w:hAnsiTheme="minorHAnsi" w:cstheme="minorHAnsi"/>
          <w:szCs w:val="22"/>
        </w:rPr>
      </w:pPr>
      <w:r w:rsidRPr="00AA24BB">
        <w:rPr>
          <w:rFonts w:asciiTheme="minorHAnsi" w:hAnsiTheme="minorHAnsi" w:cstheme="minorHAnsi"/>
          <w:szCs w:val="22"/>
        </w:rPr>
        <w:t>Thompson, C., &amp; Smith, D. (2018). County lines and gang exploitation: exploring risk factors among marginalized young people. Journal of Youth Studies, 21(2), 179-195.</w:t>
      </w:r>
    </w:p>
    <w:p w14:paraId="4D5862F0" w14:textId="77777777" w:rsidR="00EE1FBC" w:rsidRPr="00AA24BB" w:rsidRDefault="00EE1FBC" w:rsidP="00AA24BB">
      <w:pPr>
        <w:spacing w:line="240" w:lineRule="auto"/>
        <w:jc w:val="both"/>
        <w:rPr>
          <w:rFonts w:asciiTheme="minorHAnsi" w:hAnsiTheme="minorHAnsi" w:cstheme="minorHAnsi"/>
        </w:rPr>
      </w:pPr>
    </w:p>
    <w:p w14:paraId="52D87657" w14:textId="77777777" w:rsidR="00EE1FBC" w:rsidRPr="00AA24BB" w:rsidRDefault="00CB2873" w:rsidP="00AA24BB">
      <w:pPr>
        <w:spacing w:after="0" w:line="240" w:lineRule="auto"/>
        <w:ind w:left="567" w:right="531"/>
        <w:jc w:val="both"/>
        <w:rPr>
          <w:rFonts w:asciiTheme="minorHAnsi" w:eastAsia="Times New Roman" w:hAnsiTheme="minorHAnsi" w:cstheme="minorHAnsi"/>
          <w:b/>
          <w:bCs/>
          <w:lang w:eastAsia="en-GB"/>
        </w:rPr>
      </w:pPr>
      <w:r w:rsidRPr="00AA24BB">
        <w:rPr>
          <w:rFonts w:asciiTheme="minorHAnsi" w:eastAsia="Times New Roman" w:hAnsiTheme="minorHAnsi" w:cstheme="minorHAnsi"/>
          <w:b/>
          <w:bCs/>
          <w:lang w:eastAsia="en-GB"/>
        </w:rPr>
        <w:t xml:space="preserve">Essay three: </w:t>
      </w:r>
    </w:p>
    <w:p w14:paraId="5540C9B0" w14:textId="77777777" w:rsidR="00EE1FBC" w:rsidRPr="00AA24BB" w:rsidRDefault="00CB2873" w:rsidP="00AA24BB">
      <w:pPr>
        <w:spacing w:after="0" w:line="240" w:lineRule="auto"/>
        <w:ind w:left="567" w:right="531"/>
        <w:jc w:val="both"/>
        <w:rPr>
          <w:rFonts w:asciiTheme="minorHAnsi" w:hAnsiTheme="minorHAnsi" w:cstheme="minorHAnsi"/>
        </w:rPr>
      </w:pPr>
      <w:r w:rsidRPr="00AA24BB">
        <w:rPr>
          <w:rFonts w:asciiTheme="minorHAnsi" w:eastAsia="Times New Roman" w:hAnsiTheme="minorHAnsi" w:cstheme="minorHAnsi"/>
          <w:u w:val="single"/>
          <w:lang w:eastAsia="en-GB"/>
        </w:rPr>
        <w:t>How effective</w:t>
      </w:r>
      <w:r w:rsidRPr="00AA24BB">
        <w:rPr>
          <w:rFonts w:asciiTheme="minorHAnsi" w:eastAsia="Times New Roman" w:hAnsiTheme="minorHAnsi" w:cstheme="minorHAnsi"/>
          <w:lang w:eastAsia="en-GB"/>
        </w:rPr>
        <w:t xml:space="preserve"> is MAPPA as a means of managing offenders?</w:t>
      </w:r>
    </w:p>
    <w:p w14:paraId="318635DC" w14:textId="77777777" w:rsidR="00EE1FBC" w:rsidRPr="00AA24BB" w:rsidRDefault="00CB2873" w:rsidP="00AA24BB">
      <w:pPr>
        <w:overflowPunct w:val="0"/>
        <w:autoSpaceDE w:val="0"/>
        <w:spacing w:after="0" w:line="240" w:lineRule="auto"/>
        <w:ind w:left="567" w:right="531"/>
        <w:jc w:val="both"/>
        <w:textAlignment w:val="baseline"/>
        <w:rPr>
          <w:rFonts w:asciiTheme="minorHAnsi" w:hAnsiTheme="minorHAnsi" w:cstheme="minorHAnsi"/>
        </w:rPr>
      </w:pPr>
      <w:r w:rsidRPr="00AA24BB">
        <w:rPr>
          <w:rFonts w:asciiTheme="minorHAnsi" w:eastAsia="Times New Roman" w:hAnsiTheme="minorHAnsi" w:cstheme="minorHAnsi"/>
          <w:lang w:eastAsia="en-GB"/>
        </w:rPr>
        <w:t>Rather than relying on personal experience, support your answer with relevant evidence drawn from academic sources.</w:t>
      </w:r>
    </w:p>
    <w:p w14:paraId="04CD195C" w14:textId="77777777" w:rsidR="00EE1FBC" w:rsidRPr="00AA24BB" w:rsidRDefault="00EE1FBC" w:rsidP="00AA24BB">
      <w:pPr>
        <w:spacing w:line="240" w:lineRule="auto"/>
        <w:jc w:val="both"/>
        <w:rPr>
          <w:rFonts w:asciiTheme="minorHAnsi" w:hAnsiTheme="minorHAnsi" w:cstheme="minorHAnsi"/>
        </w:rPr>
      </w:pPr>
    </w:p>
    <w:p w14:paraId="4B528921"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Multi-agency public protection arrangements (MAPPA) are a system used in the United Kingdom to manage and oversee the supervision of individuals who pose a risk to the public, particularly those who have committed sexual or violent offences. These arrangements involve the collaboration and coordination of various agencies, including the police, probation services, and local authorities, in order to assess and manage the risk posed by these individuals and prevent further harm to the public (Home Office, 2012).</w:t>
      </w:r>
    </w:p>
    <w:p w14:paraId="3863A55C"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61CB8340"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There is evidence to suggest that MAPPA can be effective in managing offenders and protecting the public. One study found that MAPPA was associated with a reduction in reoffending rates among high-risk sexual and violent offenders (Harrison, Lloyd, &amp; Bottoms, 2009). In particular, the use of multi-agency risk assessments and the sharing of information among agencies appeared to be key factors in the effectiveness of MAPPA (McGuire &amp; Priestley, 2015).</w:t>
      </w:r>
    </w:p>
    <w:p w14:paraId="57771D5E"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0FAE874D"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However, MAPPA has also been criticized for its lack of transparency and accountability (Finn &amp; Eadie, 2011), as well as its potential to discriminate against certain groups of offenders (McGuire &amp; Priestley, 2015). There have been instances where MAPPA has been used to disproportionately target certain individuals, such as those with mental illnesses or those who are homeless (Finn &amp; Eadie, 2011). Additionally, there have been concerns about the lack of resources available to support offenders under MAPPA, which can make it difficult for them to comply with the conditions of their supervision and potentially increase the risk of reoffending (McGuire &amp; Priestley, 2015).</w:t>
      </w:r>
    </w:p>
    <w:p w14:paraId="35895AE2"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717055A2"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 xml:space="preserve">Despite these criticisms, MAPPA remains an important tool for managing offenders and protecting the public (Home Office, 2012). It allows for the sharing of information and resources among agencies, </w:t>
      </w:r>
      <w:r w:rsidRPr="00AA24BB">
        <w:rPr>
          <w:rFonts w:asciiTheme="minorHAnsi" w:eastAsia="Times New Roman" w:hAnsiTheme="minorHAnsi" w:cstheme="minorHAnsi"/>
          <w:color w:val="000000"/>
          <w:lang w:eastAsia="en-GB"/>
        </w:rPr>
        <w:lastRenderedPageBreak/>
        <w:t>which can improve the effectiveness of supervision and risk management (Harrison et al., 2009). However, it is important that MAPPA is used in a transparent and accountable manner (Finn &amp; Eadie, 2011), and that sufficient resources are available to support offenders in complying with the conditions of their supervision (McGuire &amp; Priestley, 2015).</w:t>
      </w:r>
    </w:p>
    <w:p w14:paraId="7D921744"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68938FCD"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One way to improve the effectiveness of MAPPA would be to increase the use of evidence-based interventions and practices (McGuire &amp; Priestley, 2015). This could include the use of risk assessment tools to more accurately identify and prioritize high-risk offenders (Harrison et al., 2009), as well as the use of interventions such as cognitive behavioural therapy and substance abuse treatment to address the underlying causes of offending behaviour (McGuire &amp; Priestley, 2015).</w:t>
      </w:r>
    </w:p>
    <w:p w14:paraId="00008E4F"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30601037"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Another key aspect of MAPPA is the involvement of the community in the supervision and management of offenders (Home Office, 2012). Community involvement can take various forms, such as community meetings and restorative justice initiatives (Harrison et al., 2009). These approaches can help to build trust and cooperation between the community and the agencies responsible for managing offenders and can also provide opportunities for offenders to take responsibility for their actions and make amends to the community (Home Office, 2012).</w:t>
      </w:r>
    </w:p>
    <w:p w14:paraId="705AEB91"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6B0BFC47"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Although MAPPA isn’t a hundred percent perfect There are several ways that MAPPA could be improved, according to research. Some of these include:</w:t>
      </w:r>
    </w:p>
    <w:p w14:paraId="45DA317E"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5EA998CC"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Increasing the use of evidence-based interventions and practices: This could include the use of risk assessment tools to more accurately identify and prioritize high-risk offenders (Harrison et al., 2009), as well as the use of interventions such as cognitive behavioural therapy and substance abuse treatment to address the underlying causes of offending behaviour (McGuire &amp; Priestley, 2015).</w:t>
      </w:r>
    </w:p>
    <w:p w14:paraId="2B57A4C6"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5C591186"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Increasing transparency and accountability: There have been concerns about the lack of transparency and accountability in MAPPA (Finn &amp; Eadie, 2011). Improving these aspects could help to build trust and confidence in the system.</w:t>
      </w:r>
    </w:p>
    <w:p w14:paraId="60023A76"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5089B993"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Involving the community in the supervision and management of offenders: Community involvement can take various forms, such as community meetings and restorative justice initiatives (Harrison et al., 2009). These approaches can help to build trust and cooperation between the community and the agencies responsible for managing offenders, and can also provide opportunities for offenders to take responsibility for their actions and make amends to the community (Home Office, 2012).</w:t>
      </w:r>
    </w:p>
    <w:p w14:paraId="4EA12E25"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187410F1"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Ensuring sufficient resources are available to support offenders: There have been concerns about the lack of resources available to support offenders under MAPPA, which can make it difficult for them to comply with the conditions of their supervision and potentially increase the risk of reoffending (McGuire &amp; Priestley, 2015). Increasing the availability of resources could help to improve the effectiveness of MAPPA.</w:t>
      </w:r>
    </w:p>
    <w:p w14:paraId="37BABCAD"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11E50B7F"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Addressing issues of discrimination: There have been instances where MAPPA has been used to disproportionately target certain individuals, such as those with mental illnesses or those who are homeless (Finn &amp; Eadie, 2011). Addressing these issues and ensuring that MAPPA is applied fairly and equitably to all offenders could help to improve the system.</w:t>
      </w:r>
    </w:p>
    <w:p w14:paraId="1AF6C807"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08647390"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 xml:space="preserve">The effectiveness of MAPPA as a means of managing offenders depends on a number of factors, including the quality of risk assessments (Harrison et al., 2009), the availability of resources and support (McGuire &amp; Priestley, 2015), and the involvement of the community (Home Office, 2012). While </w:t>
      </w:r>
      <w:r w:rsidRPr="00AA24BB">
        <w:rPr>
          <w:rFonts w:asciiTheme="minorHAnsi" w:eastAsia="Times New Roman" w:hAnsiTheme="minorHAnsi" w:cstheme="minorHAnsi"/>
          <w:color w:val="000000"/>
          <w:lang w:eastAsia="en-GB"/>
        </w:rPr>
        <w:lastRenderedPageBreak/>
        <w:t>MAPPA has been shown to be effective in reducing reoffending rates (Harrison et al., 2009), it is important that it is used in a transparent and accountable manner (Finn &amp; Eadie, 2011), and that sufficient resources are available to support offenders in complying with the conditions of their supervision (McGuire &amp; Priestley, 2015). </w:t>
      </w:r>
    </w:p>
    <w:p w14:paraId="10B20593"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188C9CF7"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In summary, Multi-agency public protection arrangements (MAPPA) are a system used in the UK to manage and oversee the supervision of individuals who pose a risk to the public, particularly those who have committed sexual or violent offences. Research has shown that MAPPA can be effective in reducing reoffending rates among high-risk offenders (Harrison et al., 2009). However, the system has also been criticised for its lack of transparency and accountability (Finn &amp; Eadie, 2011) and potential to discriminate against certain groups (McGuire &amp; Priestley, 2015). To improve the effectiveness of MAPPA, it is important to increase the use of evidence-based interventions and practices (McGuire &amp; Priestley, 2015), involve the community in the supervision and management of offenders (Home Office, 2012), and ensure that sufficient resources are available to support offenders (McGuire &amp; Priestley, 2015). It is also essential that MAPPA is used in a transparent and accountable manner (Finn &amp; Eadie, 2011) and that issues of discrimination are addressed (McGuire &amp; Priestley, 2015).</w:t>
      </w:r>
    </w:p>
    <w:p w14:paraId="656E6AEC" w14:textId="54B38BFB" w:rsidR="00EE1FBC" w:rsidRPr="00AA24BB" w:rsidRDefault="00CB2873" w:rsidP="00AA24BB">
      <w:pPr>
        <w:suppressAutoHyphens w:val="0"/>
        <w:spacing w:after="240" w:line="240" w:lineRule="auto"/>
        <w:jc w:val="both"/>
        <w:rPr>
          <w:rFonts w:asciiTheme="minorHAnsi" w:eastAsia="Times New Roman" w:hAnsiTheme="minorHAnsi" w:cstheme="minorHAnsi"/>
          <w:lang w:eastAsia="en-GB"/>
        </w:rPr>
      </w:pPr>
      <w:r w:rsidRPr="00AA24BB">
        <w:rPr>
          <w:rFonts w:asciiTheme="minorHAnsi" w:eastAsia="Times New Roman" w:hAnsiTheme="minorHAnsi" w:cstheme="minorHAnsi"/>
          <w:lang w:eastAsia="en-GB"/>
        </w:rPr>
        <w:br/>
      </w:r>
    </w:p>
    <w:p w14:paraId="070E0E01" w14:textId="05653493" w:rsidR="00AA24BB" w:rsidRPr="00AA24BB" w:rsidRDefault="00AA24BB" w:rsidP="00AA24BB">
      <w:pPr>
        <w:suppressAutoHyphens w:val="0"/>
        <w:spacing w:after="240" w:line="240" w:lineRule="auto"/>
        <w:jc w:val="both"/>
        <w:rPr>
          <w:rFonts w:asciiTheme="minorHAnsi" w:eastAsia="Times New Roman" w:hAnsiTheme="minorHAnsi" w:cstheme="minorHAnsi"/>
          <w:b/>
          <w:bCs/>
          <w:lang w:eastAsia="en-GB"/>
        </w:rPr>
      </w:pPr>
      <w:r w:rsidRPr="00AA24BB">
        <w:rPr>
          <w:rFonts w:asciiTheme="minorHAnsi" w:eastAsia="Times New Roman" w:hAnsiTheme="minorHAnsi" w:cstheme="minorHAnsi"/>
          <w:b/>
          <w:bCs/>
          <w:lang w:eastAsia="en-GB"/>
        </w:rPr>
        <w:t>Word count - 1012</w:t>
      </w:r>
    </w:p>
    <w:p w14:paraId="5808CC9B" w14:textId="77777777" w:rsidR="00EE1FBC" w:rsidRPr="00AA24BB" w:rsidRDefault="00CB2873" w:rsidP="00AA24BB">
      <w:pPr>
        <w:suppressAutoHyphens w:val="0"/>
        <w:spacing w:after="0" w:line="240" w:lineRule="auto"/>
        <w:jc w:val="both"/>
        <w:rPr>
          <w:rFonts w:asciiTheme="minorHAnsi" w:hAnsiTheme="minorHAnsi" w:cstheme="minorHAnsi"/>
          <w:b/>
          <w:bCs/>
        </w:rPr>
      </w:pPr>
      <w:r w:rsidRPr="00AA24BB">
        <w:rPr>
          <w:rFonts w:asciiTheme="minorHAnsi" w:eastAsia="Times New Roman" w:hAnsiTheme="minorHAnsi" w:cstheme="minorHAnsi"/>
          <w:b/>
          <w:bCs/>
          <w:color w:val="000000"/>
          <w:lang w:eastAsia="en-GB"/>
        </w:rPr>
        <w:t>Bibliography:</w:t>
      </w:r>
    </w:p>
    <w:p w14:paraId="649E2D39"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2339D886"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Finn, C., &amp; Eadie, D. (2011). Multi-agency public protection arrangements (MAPPA): A review of the literature. Journal of Sexual Aggression, 17(2), 122-136.</w:t>
      </w:r>
    </w:p>
    <w:p w14:paraId="7D3446F8"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5993A46F"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Harrison, K., Lloyd, C., &amp; Bottoms, A. (2009). The effectiveness of multi-agency public protection arrangements (MAPPA) in reducing sexual and violent reoffending: A systematic review. Home Office Research Study, 319.</w:t>
      </w:r>
    </w:p>
    <w:p w14:paraId="10181869"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076D1EB5" w14:textId="77777777" w:rsidR="00EE1FBC" w:rsidRPr="00AA24BB" w:rsidRDefault="00CB2873" w:rsidP="00AA24BB">
      <w:pPr>
        <w:suppressAutoHyphens w:val="0"/>
        <w:spacing w:after="0" w:line="240" w:lineRule="auto"/>
        <w:jc w:val="both"/>
        <w:rPr>
          <w:rFonts w:asciiTheme="minorHAnsi" w:hAnsiTheme="minorHAnsi" w:cstheme="minorHAnsi"/>
        </w:rPr>
      </w:pPr>
      <w:r w:rsidRPr="00AA24BB">
        <w:rPr>
          <w:rFonts w:asciiTheme="minorHAnsi" w:eastAsia="Times New Roman" w:hAnsiTheme="minorHAnsi" w:cstheme="minorHAnsi"/>
          <w:color w:val="000000"/>
          <w:lang w:eastAsia="en-GB"/>
        </w:rPr>
        <w:t>Home Office. (2012). Multi-agency public protection arrangements (MAPPA): Annual report 2010/11. London: Author.</w:t>
      </w:r>
    </w:p>
    <w:p w14:paraId="003FBFD4"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28AED2BA" w14:textId="77777777" w:rsidR="00EE1FBC" w:rsidRPr="00AA24BB" w:rsidRDefault="00CB2873" w:rsidP="00AA24BB">
      <w:pPr>
        <w:suppressAutoHyphens w:val="0"/>
        <w:spacing w:after="0" w:line="240" w:lineRule="auto"/>
        <w:jc w:val="both"/>
        <w:rPr>
          <w:rFonts w:asciiTheme="minorHAnsi" w:eastAsia="Times New Roman" w:hAnsiTheme="minorHAnsi" w:cstheme="minorHAnsi"/>
          <w:color w:val="000000"/>
          <w:lang w:eastAsia="en-GB"/>
        </w:rPr>
      </w:pPr>
      <w:r w:rsidRPr="00AA24BB">
        <w:rPr>
          <w:rFonts w:asciiTheme="minorHAnsi" w:eastAsia="Times New Roman" w:hAnsiTheme="minorHAnsi" w:cstheme="minorHAnsi"/>
          <w:color w:val="000000"/>
          <w:lang w:eastAsia="en-GB"/>
        </w:rPr>
        <w:t>McGuire, J., &amp; Priestley, P. (2015). The effectiveness of multi-agency public protection arrangements (MAPPA) in reducing sexual and violent reoffending: A systematic review. The Howard Journal of Criminal Justice, 54(5), 527-546.</w:t>
      </w:r>
    </w:p>
    <w:p w14:paraId="55D6F194" w14:textId="77777777" w:rsidR="00EE1FBC" w:rsidRPr="00AA24BB" w:rsidRDefault="00EE1FBC" w:rsidP="00AA24BB">
      <w:pPr>
        <w:suppressAutoHyphens w:val="0"/>
        <w:spacing w:after="0" w:line="240" w:lineRule="auto"/>
        <w:jc w:val="both"/>
        <w:rPr>
          <w:rFonts w:asciiTheme="minorHAnsi" w:eastAsia="Times New Roman" w:hAnsiTheme="minorHAnsi" w:cstheme="minorHAnsi"/>
          <w:color w:val="000000"/>
          <w:lang w:eastAsia="en-GB"/>
        </w:rPr>
      </w:pPr>
    </w:p>
    <w:p w14:paraId="31FE91FC" w14:textId="77777777" w:rsidR="00EE1FBC" w:rsidRPr="00AA24BB" w:rsidRDefault="00EE1FBC" w:rsidP="00AA24BB">
      <w:pPr>
        <w:suppressAutoHyphens w:val="0"/>
        <w:spacing w:after="0" w:line="240" w:lineRule="auto"/>
        <w:jc w:val="both"/>
        <w:rPr>
          <w:rFonts w:asciiTheme="minorHAnsi" w:eastAsia="Times New Roman" w:hAnsiTheme="minorHAnsi" w:cstheme="minorHAnsi"/>
          <w:color w:val="000000"/>
          <w:lang w:eastAsia="en-GB"/>
        </w:rPr>
      </w:pPr>
    </w:p>
    <w:p w14:paraId="0E333483" w14:textId="77777777" w:rsidR="00EE1FBC" w:rsidRPr="00AA24BB" w:rsidRDefault="00CB2873" w:rsidP="00AA24BB">
      <w:pPr>
        <w:overflowPunct w:val="0"/>
        <w:autoSpaceDE w:val="0"/>
        <w:spacing w:after="0" w:line="240" w:lineRule="auto"/>
        <w:ind w:left="567" w:right="531"/>
        <w:jc w:val="both"/>
        <w:textAlignment w:val="baseline"/>
        <w:rPr>
          <w:rFonts w:asciiTheme="minorHAnsi" w:hAnsiTheme="minorHAnsi" w:cstheme="minorHAnsi"/>
        </w:rPr>
      </w:pPr>
      <w:r w:rsidRPr="00AA24BB">
        <w:rPr>
          <w:rFonts w:asciiTheme="minorHAnsi" w:eastAsia="Times New Roman" w:hAnsiTheme="minorHAnsi" w:cstheme="minorHAnsi"/>
          <w:b/>
          <w:bCs/>
          <w:lang w:eastAsia="en-GB"/>
        </w:rPr>
        <w:t>Essay four:</w:t>
      </w:r>
      <w:r w:rsidRPr="00AA24BB">
        <w:rPr>
          <w:rFonts w:asciiTheme="minorHAnsi" w:eastAsia="Times New Roman" w:hAnsiTheme="minorHAnsi" w:cstheme="minorHAnsi"/>
          <w:lang w:eastAsia="en-GB"/>
        </w:rPr>
        <w:t xml:space="preserve"> </w:t>
      </w:r>
    </w:p>
    <w:p w14:paraId="5D722F66" w14:textId="77777777" w:rsidR="00EE1FBC" w:rsidRPr="00AA24BB" w:rsidRDefault="00CB2873" w:rsidP="00AA24BB">
      <w:pPr>
        <w:overflowPunct w:val="0"/>
        <w:autoSpaceDE w:val="0"/>
        <w:spacing w:after="0" w:line="240" w:lineRule="auto"/>
        <w:ind w:left="567" w:right="531"/>
        <w:jc w:val="both"/>
        <w:textAlignment w:val="baseline"/>
        <w:rPr>
          <w:rFonts w:asciiTheme="minorHAnsi" w:eastAsia="Times New Roman" w:hAnsiTheme="minorHAnsi" w:cstheme="minorHAnsi"/>
          <w:lang w:eastAsia="en-GB"/>
        </w:rPr>
      </w:pPr>
      <w:r w:rsidRPr="00AA24BB">
        <w:rPr>
          <w:rFonts w:asciiTheme="minorHAnsi" w:eastAsia="Times New Roman" w:hAnsiTheme="minorHAnsi" w:cstheme="minorHAnsi"/>
          <w:lang w:eastAsia="en-GB"/>
        </w:rPr>
        <w:t>Why is it necessary for independent bodies (i.e. IOPC) to hold police officers accountable?</w:t>
      </w:r>
    </w:p>
    <w:p w14:paraId="00914389" w14:textId="77777777" w:rsidR="00EE1FBC" w:rsidRPr="00AA24BB" w:rsidRDefault="00CB2873" w:rsidP="00AA24BB">
      <w:pPr>
        <w:overflowPunct w:val="0"/>
        <w:autoSpaceDE w:val="0"/>
        <w:spacing w:after="0" w:line="240" w:lineRule="auto"/>
        <w:ind w:left="567" w:right="531"/>
        <w:jc w:val="both"/>
        <w:textAlignment w:val="baseline"/>
        <w:rPr>
          <w:rFonts w:asciiTheme="minorHAnsi" w:eastAsia="Times New Roman" w:hAnsiTheme="minorHAnsi" w:cstheme="minorHAnsi"/>
          <w:lang w:eastAsia="en-GB"/>
        </w:rPr>
      </w:pPr>
      <w:r w:rsidRPr="00AA24BB">
        <w:rPr>
          <w:rFonts w:asciiTheme="minorHAnsi" w:eastAsia="Times New Roman" w:hAnsiTheme="minorHAnsi" w:cstheme="minorHAnsi"/>
          <w:lang w:eastAsia="en-GB"/>
        </w:rPr>
        <w:t>You must use academic research to support your answer.</w:t>
      </w:r>
    </w:p>
    <w:p w14:paraId="5FD88C53"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118C36C8"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4B1E4171" w14:textId="77777777" w:rsidR="00EE1FBC" w:rsidRPr="00AA24BB" w:rsidRDefault="00CB2873" w:rsidP="00AA24BB">
      <w:pPr>
        <w:pStyle w:val="NormalWeb"/>
        <w:spacing w:before="0" w:after="0"/>
        <w:jc w:val="both"/>
        <w:rPr>
          <w:rFonts w:asciiTheme="minorHAnsi" w:hAnsiTheme="minorHAnsi" w:cstheme="minorHAnsi"/>
        </w:rPr>
      </w:pPr>
      <w:r w:rsidRPr="00AA24BB">
        <w:rPr>
          <w:rFonts w:asciiTheme="minorHAnsi" w:hAnsiTheme="minorHAnsi" w:cstheme="minorHAnsi"/>
          <w:color w:val="000000"/>
        </w:rPr>
        <w:t xml:space="preserve">The Independent Office for Police Conduct (IOPC) is an independent body established in the United Kingdom with the mandate to oversee and hold police officers accountable for their actions (Independent Office for Police Conduct, 2021). This is a crucial role in any society, as it ensures that the police, who are entrusted with the power to enforce the law and protect the public (Home Office, 2019), are themselves held to the highest standards of conduct and integrity. Without such independent oversight, there is a risk that police officers may abuse their power and authority (National Police Chiefs' Council, 2016), leading to public mistrust and erosion of the rule of law (United Nations, 2015). The IOPC plays a vital role in ensuring that the police are held accountable for their </w:t>
      </w:r>
      <w:r w:rsidRPr="00AA24BB">
        <w:rPr>
          <w:rFonts w:asciiTheme="minorHAnsi" w:hAnsiTheme="minorHAnsi" w:cstheme="minorHAnsi"/>
          <w:color w:val="000000"/>
        </w:rPr>
        <w:lastRenderedPageBreak/>
        <w:t>actions (Independent Office for Police Conduct, 2021), and this essay will explore the reasons why it is necessary for such independent bodies to exist.</w:t>
      </w:r>
    </w:p>
    <w:p w14:paraId="62C15B06" w14:textId="77777777" w:rsidR="00EE1FBC" w:rsidRPr="00AA24BB" w:rsidRDefault="00EE1FBC" w:rsidP="00AA24BB">
      <w:pPr>
        <w:spacing w:line="240" w:lineRule="auto"/>
        <w:jc w:val="both"/>
        <w:rPr>
          <w:rFonts w:asciiTheme="minorHAnsi" w:hAnsiTheme="minorHAnsi" w:cstheme="minorHAnsi"/>
        </w:rPr>
      </w:pPr>
    </w:p>
    <w:p w14:paraId="2ECDE041" w14:textId="77777777" w:rsidR="00EE1FBC" w:rsidRPr="00AA24BB" w:rsidRDefault="00CB2873" w:rsidP="00AA24BB">
      <w:pPr>
        <w:pStyle w:val="NormalWeb"/>
        <w:spacing w:before="0" w:after="0"/>
        <w:jc w:val="both"/>
        <w:rPr>
          <w:rFonts w:asciiTheme="minorHAnsi" w:hAnsiTheme="minorHAnsi" w:cstheme="minorHAnsi"/>
        </w:rPr>
      </w:pPr>
      <w:r w:rsidRPr="00AA24BB">
        <w:rPr>
          <w:rFonts w:asciiTheme="minorHAnsi" w:hAnsiTheme="minorHAnsi" w:cstheme="minorHAnsi"/>
          <w:color w:val="000000"/>
        </w:rPr>
        <w:t>The role of independent bodies like the IOPC in holding police officers accountable is essential to maintaining public trust in the police and the broader criminal justice system (United Nations, 2015). When police officers abuse their power or act in ways that are unethical or illegal (National Police Chiefs' Council, 2016), it undermines the credibility of the entire police force and erodes public confidence in their ability to protect and serve (Home Office, 2019). This is especially true in cases where police officers use excessive force or engage in racial profiling (American Civil Liberties Union, 2020), as these actions have the potential to not only harm individual members of the community, but also to contribute to a culture of distrust and tension between the police and the public (Department of Justice, 2014).</w:t>
      </w:r>
    </w:p>
    <w:p w14:paraId="2B20E6BF" w14:textId="77777777" w:rsidR="00EE1FBC" w:rsidRPr="00AA24BB" w:rsidRDefault="00EE1FBC" w:rsidP="00AA24BB">
      <w:pPr>
        <w:spacing w:line="240" w:lineRule="auto"/>
        <w:jc w:val="both"/>
        <w:rPr>
          <w:rFonts w:asciiTheme="minorHAnsi" w:hAnsiTheme="minorHAnsi" w:cstheme="minorHAnsi"/>
        </w:rPr>
      </w:pPr>
    </w:p>
    <w:p w14:paraId="2840EBA7" w14:textId="77777777" w:rsidR="00EE1FBC" w:rsidRPr="00AA24BB" w:rsidRDefault="00CB2873" w:rsidP="00AA24BB">
      <w:pPr>
        <w:pStyle w:val="NormalWeb"/>
        <w:spacing w:before="0" w:after="0"/>
        <w:jc w:val="both"/>
        <w:rPr>
          <w:rFonts w:asciiTheme="minorHAnsi" w:hAnsiTheme="minorHAnsi" w:cstheme="minorHAnsi"/>
        </w:rPr>
      </w:pPr>
      <w:r w:rsidRPr="00AA24BB">
        <w:rPr>
          <w:rFonts w:asciiTheme="minorHAnsi" w:hAnsiTheme="minorHAnsi" w:cstheme="minorHAnsi"/>
          <w:color w:val="000000"/>
        </w:rPr>
        <w:t>Independent oversight ensures that there is a fair and impartial process for investigating and addressing allegations of police misconduct (Independent Office for Police Conduct, 2021). Without such oversight, it is possible for police departments to cover up or downplay instances of misconduct, leading to a lack of accountability and a lack of trust in the system (United Nations, 2015). The IOPC, as an independent body, is able to investigate allegations of police misconduct objectively and impartially (Independent Office for Police Conduct, 2021), and its findings and recommendations carry weight and can lead to real consequences for police officers found to have violated the law or their ethical obligations (National Police Chiefs' Council, 2016).</w:t>
      </w:r>
    </w:p>
    <w:p w14:paraId="5D9D3D55" w14:textId="77777777" w:rsidR="00EE1FBC" w:rsidRPr="00AA24BB" w:rsidRDefault="00EE1FBC" w:rsidP="00AA24BB">
      <w:pPr>
        <w:spacing w:line="240" w:lineRule="auto"/>
        <w:jc w:val="both"/>
        <w:rPr>
          <w:rFonts w:asciiTheme="minorHAnsi" w:hAnsiTheme="minorHAnsi" w:cstheme="minorHAnsi"/>
        </w:rPr>
      </w:pPr>
    </w:p>
    <w:p w14:paraId="7446D3A5" w14:textId="77777777" w:rsidR="00EE1FBC" w:rsidRPr="00AA24BB" w:rsidRDefault="00CB2873" w:rsidP="00AA24BB">
      <w:pPr>
        <w:pStyle w:val="NormalWeb"/>
        <w:spacing w:before="0" w:after="0"/>
        <w:jc w:val="both"/>
        <w:rPr>
          <w:rFonts w:asciiTheme="minorHAnsi" w:hAnsiTheme="minorHAnsi" w:cstheme="minorHAnsi"/>
          <w:color w:val="000000"/>
        </w:rPr>
      </w:pPr>
      <w:r w:rsidRPr="00AA24BB">
        <w:rPr>
          <w:rFonts w:asciiTheme="minorHAnsi" w:hAnsiTheme="minorHAnsi" w:cstheme="minorHAnsi"/>
          <w:color w:val="000000"/>
        </w:rPr>
        <w:t>In addition to its role in investigating and addressing allegations of misconduct (Independent Office for Police Conduct, 2021), the IOPC also has a mandate to work proactively to prevent police misconduct from occurring in the first place (Independent Office for Police Conduct, 2021). This includes providing guidance and training to police officers on ethical conduct and appropriate use of force (National Police Chiefs' Council, 2016), as well as working with police departments to identify and address any systemic issues that may contribute to misconduct (Independent Office for Police Conduct, 2021). By taking a proactive approach to preventing misconduct, the IOPC can help to ensure that the police are able to effectively serve and protect the public, while also maintaining the highest standards of ethical conduct (National Police Chiefs' Council, 2016).</w:t>
      </w:r>
    </w:p>
    <w:p w14:paraId="5C32651D" w14:textId="77777777" w:rsidR="00EE1FBC" w:rsidRPr="00AA24BB" w:rsidRDefault="00EE1FBC" w:rsidP="00AA24BB">
      <w:pPr>
        <w:pStyle w:val="NormalWeb"/>
        <w:spacing w:before="0" w:after="0"/>
        <w:jc w:val="both"/>
        <w:rPr>
          <w:rFonts w:asciiTheme="minorHAnsi" w:hAnsiTheme="minorHAnsi" w:cstheme="minorHAnsi"/>
          <w:color w:val="000000"/>
        </w:rPr>
      </w:pPr>
    </w:p>
    <w:p w14:paraId="145DF343" w14:textId="77777777" w:rsidR="00EE1FBC" w:rsidRPr="00AA24BB" w:rsidRDefault="00CB2873" w:rsidP="00AA24BB">
      <w:pPr>
        <w:pStyle w:val="NormalWeb"/>
        <w:spacing w:before="0" w:after="0"/>
        <w:jc w:val="both"/>
        <w:rPr>
          <w:rFonts w:asciiTheme="minorHAnsi" w:hAnsiTheme="minorHAnsi" w:cstheme="minorHAnsi"/>
        </w:rPr>
      </w:pPr>
      <w:r w:rsidRPr="00AA24BB">
        <w:rPr>
          <w:rFonts w:asciiTheme="minorHAnsi" w:hAnsiTheme="minorHAnsi" w:cstheme="minorHAnsi"/>
          <w:color w:val="000000"/>
        </w:rPr>
        <w:t>There are several independent bodies in the United Kingdom that have the mandate to oversee and hold police officers accountable for their actions these include:</w:t>
      </w:r>
    </w:p>
    <w:p w14:paraId="734A1020" w14:textId="77777777" w:rsidR="00EE1FBC" w:rsidRPr="00AA24BB" w:rsidRDefault="00EE1FBC" w:rsidP="00AA24BB">
      <w:pPr>
        <w:spacing w:line="240" w:lineRule="auto"/>
        <w:jc w:val="both"/>
        <w:rPr>
          <w:rFonts w:asciiTheme="minorHAnsi" w:hAnsiTheme="minorHAnsi" w:cstheme="minorHAnsi"/>
        </w:rPr>
      </w:pPr>
    </w:p>
    <w:p w14:paraId="7B59A411" w14:textId="77777777" w:rsidR="00EE1FBC" w:rsidRPr="00AA24BB" w:rsidRDefault="00CB2873" w:rsidP="00AA24BB">
      <w:pPr>
        <w:pStyle w:val="NormalWeb"/>
        <w:spacing w:before="0" w:after="0"/>
        <w:jc w:val="both"/>
        <w:rPr>
          <w:rFonts w:asciiTheme="minorHAnsi" w:hAnsiTheme="minorHAnsi" w:cstheme="minorHAnsi"/>
        </w:rPr>
      </w:pPr>
      <w:r w:rsidRPr="00AA24BB">
        <w:rPr>
          <w:rFonts w:asciiTheme="minorHAnsi" w:hAnsiTheme="minorHAnsi" w:cstheme="minorHAnsi"/>
          <w:color w:val="000000"/>
        </w:rPr>
        <w:t>The Police Complaints Authority (PCA) (Home Office, 2007): The PCA was the predecessor to the IOPC (Independent Office for Police Conduct, 2021), and it was responsible for overseeing the police complaints system in England, Wales, and Northern Ireland (Home Office, 2007). The PCA was replaced by the IOPC in 2018 (Independent Office for Police Conduct, 2021).</w:t>
      </w:r>
    </w:p>
    <w:p w14:paraId="38F8178A" w14:textId="77777777" w:rsidR="00EE1FBC" w:rsidRPr="00AA24BB" w:rsidRDefault="00EE1FBC" w:rsidP="00AA24BB">
      <w:pPr>
        <w:spacing w:line="240" w:lineRule="auto"/>
        <w:jc w:val="both"/>
        <w:rPr>
          <w:rFonts w:asciiTheme="minorHAnsi" w:hAnsiTheme="minorHAnsi" w:cstheme="minorHAnsi"/>
        </w:rPr>
      </w:pPr>
    </w:p>
    <w:p w14:paraId="20ABCA3F" w14:textId="77777777" w:rsidR="00EE1FBC" w:rsidRPr="00AA24BB" w:rsidRDefault="00CB2873" w:rsidP="00AA24BB">
      <w:pPr>
        <w:pStyle w:val="NormalWeb"/>
        <w:spacing w:before="0" w:after="0"/>
        <w:jc w:val="both"/>
        <w:rPr>
          <w:rFonts w:asciiTheme="minorHAnsi" w:hAnsiTheme="minorHAnsi" w:cstheme="minorHAnsi"/>
        </w:rPr>
      </w:pPr>
      <w:r w:rsidRPr="00AA24BB">
        <w:rPr>
          <w:rFonts w:asciiTheme="minorHAnsi" w:hAnsiTheme="minorHAnsi" w:cstheme="minorHAnsi"/>
          <w:color w:val="000000"/>
        </w:rPr>
        <w:t>The Police Investigations and Review Commissioner (PIRC): The PIRC is an independent body that investigates the most serious incidents involving the police in Scotland, as well as complaints about the police that are referred to it by the Scottish Police Authority (Police Investigations and Review Commissioner, 2021).</w:t>
      </w:r>
    </w:p>
    <w:p w14:paraId="797AA6CE" w14:textId="77777777" w:rsidR="00EE1FBC" w:rsidRPr="00AA24BB" w:rsidRDefault="00EE1FBC" w:rsidP="00AA24BB">
      <w:pPr>
        <w:spacing w:line="240" w:lineRule="auto"/>
        <w:jc w:val="both"/>
        <w:rPr>
          <w:rFonts w:asciiTheme="minorHAnsi" w:hAnsiTheme="minorHAnsi" w:cstheme="minorHAnsi"/>
        </w:rPr>
      </w:pPr>
    </w:p>
    <w:p w14:paraId="715E1775" w14:textId="77777777" w:rsidR="00EE1FBC" w:rsidRPr="00AA24BB" w:rsidRDefault="00CB2873" w:rsidP="00AA24BB">
      <w:pPr>
        <w:pStyle w:val="NormalWeb"/>
        <w:spacing w:before="0" w:after="0"/>
        <w:jc w:val="both"/>
        <w:rPr>
          <w:rFonts w:asciiTheme="minorHAnsi" w:hAnsiTheme="minorHAnsi" w:cstheme="minorHAnsi"/>
        </w:rPr>
      </w:pPr>
      <w:r w:rsidRPr="00AA24BB">
        <w:rPr>
          <w:rFonts w:asciiTheme="minorHAnsi" w:hAnsiTheme="minorHAnsi" w:cstheme="minorHAnsi"/>
          <w:color w:val="000000"/>
        </w:rPr>
        <w:t>The Police Ombudsman for Northern Ireland: The Police Ombudsman for Northern Ireland is an independent body that investigates complaints about the police in Northern Ireland, as well as serious and sensitive incidents involving the police (Police Ombudsman for Northern Ireland, 2021).</w:t>
      </w:r>
    </w:p>
    <w:p w14:paraId="41B6CFA0" w14:textId="77777777" w:rsidR="00EE1FBC" w:rsidRPr="00AA24BB" w:rsidRDefault="00EE1FBC" w:rsidP="00AA24BB">
      <w:pPr>
        <w:spacing w:line="240" w:lineRule="auto"/>
        <w:jc w:val="both"/>
        <w:rPr>
          <w:rFonts w:asciiTheme="minorHAnsi" w:hAnsiTheme="minorHAnsi" w:cstheme="minorHAnsi"/>
        </w:rPr>
      </w:pPr>
    </w:p>
    <w:p w14:paraId="1D480B2A" w14:textId="77777777" w:rsidR="00EE1FBC" w:rsidRPr="00AA24BB" w:rsidRDefault="00CB2873" w:rsidP="00AA24BB">
      <w:pPr>
        <w:pStyle w:val="NormalWeb"/>
        <w:spacing w:before="0" w:after="0"/>
        <w:jc w:val="both"/>
        <w:rPr>
          <w:rFonts w:asciiTheme="minorHAnsi" w:hAnsiTheme="minorHAnsi" w:cstheme="minorHAnsi"/>
        </w:rPr>
      </w:pPr>
      <w:r w:rsidRPr="00AA24BB">
        <w:rPr>
          <w:rFonts w:asciiTheme="minorHAnsi" w:hAnsiTheme="minorHAnsi" w:cstheme="minorHAnsi"/>
          <w:color w:val="000000"/>
        </w:rPr>
        <w:t>The Professional Standards Authority for Health and Social Care: The Professional Standards Authority for Health and Social Care oversees the regulation of health and social care professionals in the United Kingdom, including police officers who work in these fields (Professional Standards Authority for Health and Social Care, 2021).</w:t>
      </w:r>
    </w:p>
    <w:p w14:paraId="6FE0FC28" w14:textId="77777777" w:rsidR="00EE1FBC" w:rsidRPr="00AA24BB" w:rsidRDefault="00EE1FBC" w:rsidP="00AA24BB">
      <w:pPr>
        <w:spacing w:line="240" w:lineRule="auto"/>
        <w:jc w:val="both"/>
        <w:rPr>
          <w:rFonts w:asciiTheme="minorHAnsi" w:hAnsiTheme="minorHAnsi" w:cstheme="minorHAnsi"/>
        </w:rPr>
      </w:pPr>
    </w:p>
    <w:p w14:paraId="253689B0" w14:textId="77777777" w:rsidR="00EE1FBC" w:rsidRPr="00AA24BB" w:rsidRDefault="00CB2873" w:rsidP="00AA24BB">
      <w:pPr>
        <w:pStyle w:val="NormalWeb"/>
        <w:spacing w:before="0" w:after="0"/>
        <w:jc w:val="both"/>
        <w:rPr>
          <w:rFonts w:asciiTheme="minorHAnsi" w:hAnsiTheme="minorHAnsi" w:cstheme="minorHAnsi"/>
        </w:rPr>
      </w:pPr>
      <w:r w:rsidRPr="00AA24BB">
        <w:rPr>
          <w:rFonts w:asciiTheme="minorHAnsi" w:hAnsiTheme="minorHAnsi" w:cstheme="minorHAnsi"/>
          <w:color w:val="000000"/>
        </w:rPr>
        <w:t>The Crown Prosecution Service (CPS) : The CPS is responsible for prosecuting criminal cases in England and Wales including cases involving police officers (Crown Prosecution Service, 2021). The CPS operates independently of the police and is responsible for making decisions on whether to bring charges in cases involving alleged police misconduct (Crown Prosecution Service, 2021).</w:t>
      </w:r>
    </w:p>
    <w:p w14:paraId="384CE1DB" w14:textId="77777777" w:rsidR="00EE1FBC" w:rsidRPr="00AA24BB" w:rsidRDefault="00EE1FBC" w:rsidP="00AA24BB">
      <w:pPr>
        <w:spacing w:line="240" w:lineRule="auto"/>
        <w:jc w:val="both"/>
        <w:rPr>
          <w:rFonts w:asciiTheme="minorHAnsi" w:hAnsiTheme="minorHAnsi" w:cstheme="minorHAnsi"/>
        </w:rPr>
      </w:pPr>
    </w:p>
    <w:p w14:paraId="78815BE2" w14:textId="77777777" w:rsidR="00EE1FBC" w:rsidRPr="00AA24BB" w:rsidRDefault="00CB2873" w:rsidP="00AA24BB">
      <w:pPr>
        <w:pStyle w:val="NormalWeb"/>
        <w:spacing w:before="0" w:after="0"/>
        <w:jc w:val="both"/>
        <w:rPr>
          <w:rFonts w:asciiTheme="minorHAnsi" w:hAnsiTheme="minorHAnsi" w:cstheme="minorHAnsi"/>
        </w:rPr>
      </w:pPr>
      <w:r w:rsidRPr="00AA24BB">
        <w:rPr>
          <w:rFonts w:asciiTheme="minorHAnsi" w:hAnsiTheme="minorHAnsi" w:cstheme="minorHAnsi"/>
          <w:color w:val="000000"/>
        </w:rPr>
        <w:t>The Independent Police Complaints Commission (IPCC) (Home Office, 2007): The IPCC was an independent body that oversaw the police complaints system in England and Wales until it was replaced by the IOPC in 2018 (Independent Office for Police Conduct, 2021).</w:t>
      </w:r>
    </w:p>
    <w:p w14:paraId="15AED854" w14:textId="77777777" w:rsidR="00EE1FBC" w:rsidRPr="00AA24BB" w:rsidRDefault="00EE1FBC" w:rsidP="00AA24BB">
      <w:pPr>
        <w:spacing w:line="240" w:lineRule="auto"/>
        <w:jc w:val="both"/>
        <w:rPr>
          <w:rFonts w:asciiTheme="minorHAnsi" w:hAnsiTheme="minorHAnsi" w:cstheme="minorHAnsi"/>
        </w:rPr>
      </w:pPr>
    </w:p>
    <w:p w14:paraId="6FADBF4B" w14:textId="77777777" w:rsidR="00EE1FBC" w:rsidRPr="00AA24BB" w:rsidRDefault="00CB2873" w:rsidP="00AA24BB">
      <w:pPr>
        <w:pStyle w:val="NormalWeb"/>
        <w:spacing w:before="0" w:after="0"/>
        <w:jc w:val="both"/>
        <w:rPr>
          <w:rFonts w:asciiTheme="minorHAnsi" w:hAnsiTheme="minorHAnsi" w:cstheme="minorHAnsi"/>
        </w:rPr>
      </w:pPr>
      <w:r w:rsidRPr="00AA24BB">
        <w:rPr>
          <w:rFonts w:asciiTheme="minorHAnsi" w:hAnsiTheme="minorHAnsi" w:cstheme="minorHAnsi"/>
          <w:color w:val="000000"/>
        </w:rPr>
        <w:t>Overall, the importance of independent bodies like the IOPC in holding police officers accountable cannot be overstated (Independent Office for Police Conduct, 2021). Such bodies play a vital role in ensuring that the police are held to the highest standards of conduct and integrity (National Police Chiefs' Council, 2016), and in maintaining public trust in the criminal justice system (United Nations, 2015). Without independent oversight, there is a risk that police officers may abuse their power and authority (National Police Chiefs' Council, 2016), leading to widespread mistrust and undermining the rule of law (United Nations, 2015).</w:t>
      </w:r>
    </w:p>
    <w:p w14:paraId="77908399" w14:textId="77777777" w:rsidR="00EE1FBC" w:rsidRPr="00AA24BB" w:rsidRDefault="00EE1FBC" w:rsidP="00AA24BB">
      <w:pPr>
        <w:spacing w:line="240" w:lineRule="auto"/>
        <w:jc w:val="both"/>
        <w:rPr>
          <w:rFonts w:asciiTheme="minorHAnsi" w:hAnsiTheme="minorHAnsi" w:cstheme="minorHAnsi"/>
        </w:rPr>
      </w:pPr>
    </w:p>
    <w:p w14:paraId="7E157F3C" w14:textId="77777777" w:rsidR="00EE1FBC" w:rsidRPr="00AA24BB" w:rsidRDefault="00EE1FBC" w:rsidP="00AA24BB">
      <w:pPr>
        <w:pStyle w:val="NormalWeb"/>
        <w:spacing w:before="0" w:after="0"/>
        <w:jc w:val="both"/>
        <w:rPr>
          <w:rFonts w:asciiTheme="minorHAnsi" w:hAnsiTheme="minorHAnsi" w:cstheme="minorHAnsi"/>
        </w:rPr>
      </w:pPr>
    </w:p>
    <w:p w14:paraId="19BF2E57" w14:textId="419BB7CD" w:rsidR="00EE1FBC" w:rsidRPr="00AA24BB" w:rsidRDefault="00CB2873" w:rsidP="00AA24BB">
      <w:pPr>
        <w:spacing w:after="240" w:line="240" w:lineRule="auto"/>
        <w:jc w:val="both"/>
        <w:rPr>
          <w:rFonts w:asciiTheme="minorHAnsi" w:hAnsiTheme="minorHAnsi" w:cstheme="minorHAnsi"/>
          <w:b/>
          <w:bCs/>
        </w:rPr>
      </w:pPr>
      <w:r w:rsidRPr="00AA24BB">
        <w:rPr>
          <w:rFonts w:asciiTheme="minorHAnsi" w:hAnsiTheme="minorHAnsi" w:cstheme="minorHAnsi"/>
        </w:rPr>
        <w:br/>
      </w:r>
      <w:r w:rsidRPr="00AA24BB">
        <w:rPr>
          <w:rFonts w:asciiTheme="minorHAnsi" w:hAnsiTheme="minorHAnsi" w:cstheme="minorHAnsi"/>
          <w:b/>
          <w:bCs/>
        </w:rPr>
        <w:br/>
      </w:r>
      <w:r w:rsidR="00AA24BB" w:rsidRPr="00AA24BB">
        <w:rPr>
          <w:rFonts w:asciiTheme="minorHAnsi" w:hAnsiTheme="minorHAnsi" w:cstheme="minorHAnsi"/>
          <w:b/>
          <w:bCs/>
        </w:rPr>
        <w:t>Word count - 924</w:t>
      </w:r>
    </w:p>
    <w:p w14:paraId="566177BA" w14:textId="0DE6FCFB" w:rsidR="00EE1FBC" w:rsidRPr="00AA24BB" w:rsidRDefault="00CB2873" w:rsidP="00AA24BB">
      <w:pPr>
        <w:pStyle w:val="NormalWeb"/>
        <w:spacing w:before="0" w:after="0"/>
        <w:jc w:val="both"/>
        <w:rPr>
          <w:rFonts w:asciiTheme="minorHAnsi" w:hAnsiTheme="minorHAnsi" w:cstheme="minorHAnsi"/>
          <w:b/>
          <w:bCs/>
        </w:rPr>
      </w:pPr>
      <w:r w:rsidRPr="00AA24BB">
        <w:rPr>
          <w:rFonts w:asciiTheme="minorHAnsi" w:hAnsiTheme="minorHAnsi" w:cstheme="minorHAnsi"/>
          <w:b/>
          <w:bCs/>
          <w:color w:val="000000"/>
        </w:rPr>
        <w:t>Bibliography</w:t>
      </w:r>
      <w:r w:rsidR="00AA24BB" w:rsidRPr="00AA24BB">
        <w:rPr>
          <w:rFonts w:asciiTheme="minorHAnsi" w:hAnsiTheme="minorHAnsi" w:cstheme="minorHAnsi"/>
          <w:b/>
          <w:bCs/>
          <w:color w:val="000000"/>
        </w:rPr>
        <w:t>:</w:t>
      </w:r>
    </w:p>
    <w:p w14:paraId="743AF648" w14:textId="77777777" w:rsidR="00EE1FBC" w:rsidRPr="00AA24BB" w:rsidRDefault="00EE1FBC" w:rsidP="00AA24BB">
      <w:pPr>
        <w:spacing w:line="240" w:lineRule="auto"/>
        <w:jc w:val="both"/>
        <w:rPr>
          <w:rFonts w:asciiTheme="minorHAnsi" w:hAnsiTheme="minorHAnsi" w:cstheme="minorHAnsi"/>
        </w:rPr>
      </w:pPr>
    </w:p>
    <w:p w14:paraId="15070E96" w14:textId="77777777" w:rsidR="00EE1FBC" w:rsidRPr="00AA24BB" w:rsidRDefault="00CB2873" w:rsidP="00AA24BB">
      <w:pPr>
        <w:pStyle w:val="NormalWeb"/>
        <w:numPr>
          <w:ilvl w:val="0"/>
          <w:numId w:val="1"/>
        </w:numPr>
        <w:suppressAutoHyphens w:val="0"/>
        <w:spacing w:before="0" w:after="0"/>
        <w:jc w:val="both"/>
        <w:textAlignment w:val="baseline"/>
        <w:rPr>
          <w:rFonts w:asciiTheme="minorHAnsi" w:hAnsiTheme="minorHAnsi" w:cstheme="minorHAnsi"/>
        </w:rPr>
      </w:pPr>
      <w:r w:rsidRPr="00AA24BB">
        <w:rPr>
          <w:rFonts w:asciiTheme="minorHAnsi" w:hAnsiTheme="minorHAnsi" w:cstheme="minorHAnsi"/>
          <w:color w:val="000000"/>
        </w:rPr>
        <w:t xml:space="preserve">American Civil Liberties Union (2020). Police misconduct. Retrieved from </w:t>
      </w:r>
      <w:hyperlink r:id="rId14" w:history="1">
        <w:r w:rsidRPr="00AA24BB">
          <w:rPr>
            <w:rStyle w:val="Hyperlink"/>
            <w:rFonts w:asciiTheme="minorHAnsi" w:hAnsiTheme="minorHAnsi" w:cstheme="minorHAnsi"/>
          </w:rPr>
          <w:t>https://www.aclu.org/issues/criminal-law-reform/reforming-police/police-misconduct</w:t>
        </w:r>
      </w:hyperlink>
    </w:p>
    <w:p w14:paraId="4AC74FA8" w14:textId="77777777" w:rsidR="00EE1FBC" w:rsidRPr="00AA24BB" w:rsidRDefault="00CB2873" w:rsidP="00AA24BB">
      <w:pPr>
        <w:pStyle w:val="NormalWeb"/>
        <w:numPr>
          <w:ilvl w:val="0"/>
          <w:numId w:val="1"/>
        </w:numPr>
        <w:suppressAutoHyphens w:val="0"/>
        <w:spacing w:before="0" w:after="0"/>
        <w:jc w:val="both"/>
        <w:textAlignment w:val="baseline"/>
        <w:rPr>
          <w:rFonts w:asciiTheme="minorHAnsi" w:hAnsiTheme="minorHAnsi" w:cstheme="minorHAnsi"/>
        </w:rPr>
      </w:pPr>
      <w:r w:rsidRPr="00AA24BB">
        <w:rPr>
          <w:rFonts w:asciiTheme="minorHAnsi" w:hAnsiTheme="minorHAnsi" w:cstheme="minorHAnsi"/>
          <w:color w:val="000000"/>
        </w:rPr>
        <w:t xml:space="preserve">Crown Prosecution Service (2021). About us. Retrieved from </w:t>
      </w:r>
      <w:hyperlink r:id="rId15" w:history="1">
        <w:r w:rsidRPr="00AA24BB">
          <w:rPr>
            <w:rStyle w:val="Hyperlink"/>
            <w:rFonts w:asciiTheme="minorHAnsi" w:hAnsiTheme="minorHAnsi" w:cstheme="minorHAnsi"/>
          </w:rPr>
          <w:t>https://www.cps.gov.uk/about-cps</w:t>
        </w:r>
      </w:hyperlink>
    </w:p>
    <w:p w14:paraId="5B47BE97" w14:textId="77777777" w:rsidR="00EE1FBC" w:rsidRPr="00AA24BB" w:rsidRDefault="00CB2873" w:rsidP="00AA24BB">
      <w:pPr>
        <w:pStyle w:val="NormalWeb"/>
        <w:numPr>
          <w:ilvl w:val="0"/>
          <w:numId w:val="1"/>
        </w:numPr>
        <w:suppressAutoHyphens w:val="0"/>
        <w:spacing w:before="0" w:after="0"/>
        <w:jc w:val="both"/>
        <w:textAlignment w:val="baseline"/>
        <w:rPr>
          <w:rFonts w:asciiTheme="minorHAnsi" w:hAnsiTheme="minorHAnsi" w:cstheme="minorHAnsi"/>
        </w:rPr>
      </w:pPr>
      <w:r w:rsidRPr="00AA24BB">
        <w:rPr>
          <w:rFonts w:asciiTheme="minorHAnsi" w:hAnsiTheme="minorHAnsi" w:cstheme="minorHAnsi"/>
          <w:color w:val="000000"/>
        </w:rPr>
        <w:t xml:space="preserve">Department of Justice (2014). Statement of Interest of the United States in the matter of Floyd, et al. v. City of New York, et al. Retrieved from </w:t>
      </w:r>
      <w:hyperlink r:id="rId16" w:history="1">
        <w:r w:rsidRPr="00AA24BB">
          <w:rPr>
            <w:rStyle w:val="Hyperlink"/>
            <w:rFonts w:asciiTheme="minorHAnsi" w:hAnsiTheme="minorHAnsi" w:cstheme="minorHAnsi"/>
          </w:rPr>
          <w:t>https://www.justice.gov/sites/default/files/crt/legacy/2014/03/12/floyd_statement_of_interest.pdf</w:t>
        </w:r>
      </w:hyperlink>
    </w:p>
    <w:p w14:paraId="6A678989" w14:textId="77777777" w:rsidR="00EE1FBC" w:rsidRPr="00AA24BB" w:rsidRDefault="00CB2873" w:rsidP="00AA24BB">
      <w:pPr>
        <w:pStyle w:val="NormalWeb"/>
        <w:numPr>
          <w:ilvl w:val="0"/>
          <w:numId w:val="1"/>
        </w:numPr>
        <w:suppressAutoHyphens w:val="0"/>
        <w:spacing w:before="0" w:after="0"/>
        <w:jc w:val="both"/>
        <w:textAlignment w:val="baseline"/>
        <w:rPr>
          <w:rFonts w:asciiTheme="minorHAnsi" w:hAnsiTheme="minorHAnsi" w:cstheme="minorHAnsi"/>
        </w:rPr>
      </w:pPr>
      <w:r w:rsidRPr="00AA24BB">
        <w:rPr>
          <w:rFonts w:asciiTheme="minorHAnsi" w:hAnsiTheme="minorHAnsi" w:cstheme="minorHAnsi"/>
          <w:color w:val="000000"/>
        </w:rPr>
        <w:t xml:space="preserve">Home Office (2007). Police Complaints Authority: Annual report 2006-2007. Retrieved from </w:t>
      </w:r>
      <w:hyperlink r:id="rId17" w:history="1">
        <w:r w:rsidRPr="00AA24BB">
          <w:rPr>
            <w:rStyle w:val="Hyperlink"/>
            <w:rFonts w:asciiTheme="minorHAnsi" w:hAnsiTheme="minorHAnsi" w:cstheme="minorHAnsi"/>
          </w:rPr>
          <w:t>https://www.gov.uk/government/publications/police-complaints-authority-annual-report-2006-2007</w:t>
        </w:r>
      </w:hyperlink>
    </w:p>
    <w:p w14:paraId="21142F14" w14:textId="77777777" w:rsidR="00EE1FBC" w:rsidRPr="00AA24BB" w:rsidRDefault="00CB2873" w:rsidP="00AA24BB">
      <w:pPr>
        <w:pStyle w:val="NormalWeb"/>
        <w:numPr>
          <w:ilvl w:val="0"/>
          <w:numId w:val="1"/>
        </w:numPr>
        <w:suppressAutoHyphens w:val="0"/>
        <w:spacing w:before="0" w:after="0"/>
        <w:jc w:val="both"/>
        <w:textAlignment w:val="baseline"/>
        <w:rPr>
          <w:rFonts w:asciiTheme="minorHAnsi" w:hAnsiTheme="minorHAnsi" w:cstheme="minorHAnsi"/>
        </w:rPr>
      </w:pPr>
      <w:r w:rsidRPr="00AA24BB">
        <w:rPr>
          <w:rFonts w:asciiTheme="minorHAnsi" w:hAnsiTheme="minorHAnsi" w:cstheme="minorHAnsi"/>
          <w:color w:val="000000"/>
        </w:rPr>
        <w:t xml:space="preserve">Home Office (2019). Policing in the UK: A brief guide. Retrieved from </w:t>
      </w:r>
      <w:hyperlink r:id="rId18" w:history="1">
        <w:r w:rsidRPr="00AA24BB">
          <w:rPr>
            <w:rStyle w:val="Hyperlink"/>
            <w:rFonts w:asciiTheme="minorHAnsi" w:hAnsiTheme="minorHAnsi" w:cstheme="minorHAnsi"/>
          </w:rPr>
          <w:t>https://www.gov.uk/government/publications/policing-in-the-uk-a-brief-guide/policing-in-the-uk-a-brief-guide</w:t>
        </w:r>
      </w:hyperlink>
    </w:p>
    <w:p w14:paraId="1E5ED1BB" w14:textId="77777777" w:rsidR="00EE1FBC" w:rsidRPr="00AA24BB" w:rsidRDefault="00CB2873" w:rsidP="00AA24BB">
      <w:pPr>
        <w:pStyle w:val="NormalWeb"/>
        <w:numPr>
          <w:ilvl w:val="0"/>
          <w:numId w:val="1"/>
        </w:numPr>
        <w:suppressAutoHyphens w:val="0"/>
        <w:spacing w:before="0" w:after="0"/>
        <w:jc w:val="both"/>
        <w:textAlignment w:val="baseline"/>
        <w:rPr>
          <w:rFonts w:asciiTheme="minorHAnsi" w:hAnsiTheme="minorHAnsi" w:cstheme="minorHAnsi"/>
        </w:rPr>
      </w:pPr>
      <w:r w:rsidRPr="00AA24BB">
        <w:rPr>
          <w:rFonts w:asciiTheme="minorHAnsi" w:hAnsiTheme="minorHAnsi" w:cstheme="minorHAnsi"/>
          <w:color w:val="000000"/>
        </w:rPr>
        <w:t xml:space="preserve">Independent Office for Police Conduct (2021). About us. Retrieved from </w:t>
      </w:r>
      <w:hyperlink r:id="rId19" w:history="1">
        <w:r w:rsidRPr="00AA24BB">
          <w:rPr>
            <w:rStyle w:val="Hyperlink"/>
            <w:rFonts w:asciiTheme="minorHAnsi" w:hAnsiTheme="minorHAnsi" w:cstheme="minorHAnsi"/>
          </w:rPr>
          <w:t>https://www.policeconduct.gov.uk/about-us</w:t>
        </w:r>
      </w:hyperlink>
    </w:p>
    <w:p w14:paraId="36A0C701" w14:textId="77777777" w:rsidR="00EE1FBC" w:rsidRPr="00AA24BB" w:rsidRDefault="00CB2873" w:rsidP="00AA24BB">
      <w:pPr>
        <w:pStyle w:val="NormalWeb"/>
        <w:numPr>
          <w:ilvl w:val="0"/>
          <w:numId w:val="1"/>
        </w:numPr>
        <w:suppressAutoHyphens w:val="0"/>
        <w:spacing w:before="0" w:after="0"/>
        <w:jc w:val="both"/>
        <w:textAlignment w:val="baseline"/>
        <w:rPr>
          <w:rFonts w:asciiTheme="minorHAnsi" w:hAnsiTheme="minorHAnsi" w:cstheme="minorHAnsi"/>
        </w:rPr>
      </w:pPr>
      <w:r w:rsidRPr="00AA24BB">
        <w:rPr>
          <w:rFonts w:asciiTheme="minorHAnsi" w:hAnsiTheme="minorHAnsi" w:cstheme="minorHAnsi"/>
          <w:color w:val="000000"/>
        </w:rPr>
        <w:t xml:space="preserve">National Police Chiefs' Council (2016). Code of Ethics. Retrieved from </w:t>
      </w:r>
      <w:hyperlink r:id="rId20" w:history="1">
        <w:r w:rsidRPr="00AA24BB">
          <w:rPr>
            <w:rStyle w:val="Hyperlink"/>
            <w:rFonts w:asciiTheme="minorHAnsi" w:hAnsiTheme="minorHAnsi" w:cstheme="minorHAnsi"/>
          </w:rPr>
          <w:t>https://www.app.college.police.uk/app-content/professional-standards/code-of-ethics/</w:t>
        </w:r>
      </w:hyperlink>
    </w:p>
    <w:p w14:paraId="50FF438F" w14:textId="77777777" w:rsidR="00EE1FBC" w:rsidRPr="00AA24BB" w:rsidRDefault="00CB2873" w:rsidP="00AA24BB">
      <w:pPr>
        <w:pStyle w:val="NormalWeb"/>
        <w:numPr>
          <w:ilvl w:val="0"/>
          <w:numId w:val="1"/>
        </w:numPr>
        <w:suppressAutoHyphens w:val="0"/>
        <w:spacing w:before="0" w:after="0"/>
        <w:jc w:val="both"/>
        <w:textAlignment w:val="baseline"/>
        <w:rPr>
          <w:rFonts w:asciiTheme="minorHAnsi" w:hAnsiTheme="minorHAnsi" w:cstheme="minorHAnsi"/>
        </w:rPr>
      </w:pPr>
      <w:r w:rsidRPr="00AA24BB">
        <w:rPr>
          <w:rFonts w:asciiTheme="minorHAnsi" w:hAnsiTheme="minorHAnsi" w:cstheme="minorHAnsi"/>
          <w:color w:val="000000"/>
        </w:rPr>
        <w:t xml:space="preserve">Police Investigations and Review Commissioner (2021). About us. Retrieved from </w:t>
      </w:r>
      <w:hyperlink r:id="rId21" w:history="1">
        <w:r w:rsidRPr="00AA24BB">
          <w:rPr>
            <w:rStyle w:val="Hyperlink"/>
            <w:rFonts w:asciiTheme="minorHAnsi" w:hAnsiTheme="minorHAnsi" w:cstheme="minorHAnsi"/>
          </w:rPr>
          <w:t>https://www.pirc.gov.uk/about-us</w:t>
        </w:r>
      </w:hyperlink>
    </w:p>
    <w:p w14:paraId="6BCFA8C0" w14:textId="77777777" w:rsidR="00EE1FBC" w:rsidRPr="00AA24BB" w:rsidRDefault="00CB2873" w:rsidP="00AA24BB">
      <w:pPr>
        <w:pStyle w:val="NormalWeb"/>
        <w:numPr>
          <w:ilvl w:val="0"/>
          <w:numId w:val="1"/>
        </w:numPr>
        <w:suppressAutoHyphens w:val="0"/>
        <w:spacing w:before="0" w:after="0"/>
        <w:jc w:val="both"/>
        <w:textAlignment w:val="baseline"/>
        <w:rPr>
          <w:rFonts w:asciiTheme="minorHAnsi" w:hAnsiTheme="minorHAnsi" w:cstheme="minorHAnsi"/>
        </w:rPr>
      </w:pPr>
      <w:r w:rsidRPr="00AA24BB">
        <w:rPr>
          <w:rFonts w:asciiTheme="minorHAnsi" w:hAnsiTheme="minorHAnsi" w:cstheme="minorHAnsi"/>
          <w:color w:val="000000"/>
        </w:rPr>
        <w:lastRenderedPageBreak/>
        <w:t xml:space="preserve">Police Ombudsman for Northern Ireland (2021). About us. Retrieved from </w:t>
      </w:r>
      <w:hyperlink r:id="rId22" w:history="1">
        <w:r w:rsidRPr="00AA24BB">
          <w:rPr>
            <w:rStyle w:val="Hyperlink"/>
            <w:rFonts w:asciiTheme="minorHAnsi" w:hAnsiTheme="minorHAnsi" w:cstheme="minorHAnsi"/>
          </w:rPr>
          <w:t>https://www.policeombudsman.org/about-us</w:t>
        </w:r>
      </w:hyperlink>
    </w:p>
    <w:p w14:paraId="1889CBDB" w14:textId="77777777" w:rsidR="00EE1FBC" w:rsidRPr="00AA24BB" w:rsidRDefault="00CB2873" w:rsidP="00AA24BB">
      <w:pPr>
        <w:pStyle w:val="NormalWeb"/>
        <w:numPr>
          <w:ilvl w:val="0"/>
          <w:numId w:val="1"/>
        </w:numPr>
        <w:suppressAutoHyphens w:val="0"/>
        <w:spacing w:before="0" w:after="0"/>
        <w:jc w:val="both"/>
        <w:textAlignment w:val="baseline"/>
        <w:rPr>
          <w:rFonts w:asciiTheme="minorHAnsi" w:hAnsiTheme="minorHAnsi" w:cstheme="minorHAnsi"/>
        </w:rPr>
      </w:pPr>
      <w:r w:rsidRPr="00AA24BB">
        <w:rPr>
          <w:rFonts w:asciiTheme="minorHAnsi" w:hAnsiTheme="minorHAnsi" w:cstheme="minorHAnsi"/>
          <w:color w:val="000000"/>
        </w:rPr>
        <w:t xml:space="preserve">Professional Standards Authority for Health and Social Care (2021). About us. Retrieved from </w:t>
      </w:r>
      <w:hyperlink r:id="rId23" w:history="1">
        <w:r w:rsidRPr="00AA24BB">
          <w:rPr>
            <w:rStyle w:val="Hyperlink"/>
            <w:rFonts w:asciiTheme="minorHAnsi" w:hAnsiTheme="minorHAnsi" w:cstheme="minorHAnsi"/>
          </w:rPr>
          <w:t>https://www.professionalstandards.org.uk/about-us</w:t>
        </w:r>
      </w:hyperlink>
    </w:p>
    <w:p w14:paraId="795E5F01" w14:textId="77777777" w:rsidR="00EE1FBC" w:rsidRPr="00AA24BB" w:rsidRDefault="00CB2873" w:rsidP="00AA24BB">
      <w:pPr>
        <w:spacing w:line="240" w:lineRule="auto"/>
        <w:jc w:val="both"/>
        <w:rPr>
          <w:rFonts w:asciiTheme="minorHAnsi" w:hAnsiTheme="minorHAnsi" w:cstheme="minorHAnsi"/>
        </w:rPr>
      </w:pPr>
      <w:r w:rsidRPr="00AA24BB">
        <w:rPr>
          <w:rFonts w:asciiTheme="minorHAnsi" w:hAnsiTheme="minorHAnsi" w:cstheme="minorHAnsi"/>
          <w:color w:val="000000"/>
        </w:rPr>
        <w:t xml:space="preserve">United Nations (2015). Basic principles on the use of force and firearms by law enforcement officials. Retrieved from </w:t>
      </w:r>
      <w:hyperlink r:id="rId24" w:history="1">
        <w:r w:rsidRPr="00AA24BB">
          <w:rPr>
            <w:rStyle w:val="Hyperlink"/>
            <w:rFonts w:asciiTheme="minorHAnsi" w:hAnsiTheme="minorHAnsi" w:cstheme="minorHAnsi"/>
          </w:rPr>
          <w:t>https://www.ohchr.org/en/professionalinterest/pages/useofforceandfirearms.aspx</w:t>
        </w:r>
      </w:hyperlink>
    </w:p>
    <w:p w14:paraId="346FB063" w14:textId="77777777" w:rsidR="00EE1FBC" w:rsidRPr="00AA24BB" w:rsidRDefault="00EE1FBC" w:rsidP="00AA24BB">
      <w:pPr>
        <w:suppressAutoHyphens w:val="0"/>
        <w:spacing w:after="0" w:line="240" w:lineRule="auto"/>
        <w:jc w:val="both"/>
        <w:rPr>
          <w:rFonts w:asciiTheme="minorHAnsi" w:eastAsia="Times New Roman" w:hAnsiTheme="minorHAnsi" w:cstheme="minorHAnsi"/>
          <w:lang w:eastAsia="en-GB"/>
        </w:rPr>
      </w:pPr>
    </w:p>
    <w:p w14:paraId="3BCE8594" w14:textId="77777777" w:rsidR="00EE1FBC" w:rsidRPr="00AA24BB" w:rsidRDefault="00EE1FBC" w:rsidP="00AA24BB">
      <w:pPr>
        <w:spacing w:line="240" w:lineRule="auto"/>
        <w:jc w:val="both"/>
        <w:rPr>
          <w:rFonts w:asciiTheme="minorHAnsi" w:hAnsiTheme="minorHAnsi" w:cstheme="minorHAnsi"/>
        </w:rPr>
      </w:pPr>
    </w:p>
    <w:sectPr w:rsidR="00EE1FBC" w:rsidRPr="00AA24B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683DD" w14:textId="77777777" w:rsidR="00E25A5E" w:rsidRDefault="00E25A5E">
      <w:pPr>
        <w:spacing w:after="0" w:line="240" w:lineRule="auto"/>
      </w:pPr>
      <w:r>
        <w:separator/>
      </w:r>
    </w:p>
  </w:endnote>
  <w:endnote w:type="continuationSeparator" w:id="0">
    <w:p w14:paraId="063C47D2" w14:textId="77777777" w:rsidR="00E25A5E" w:rsidRDefault="00E25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A9021" w14:textId="77777777" w:rsidR="00E25A5E" w:rsidRDefault="00E25A5E">
      <w:pPr>
        <w:spacing w:after="0" w:line="240" w:lineRule="auto"/>
      </w:pPr>
      <w:r>
        <w:rPr>
          <w:color w:val="000000"/>
        </w:rPr>
        <w:separator/>
      </w:r>
    </w:p>
  </w:footnote>
  <w:footnote w:type="continuationSeparator" w:id="0">
    <w:p w14:paraId="7825A4CC" w14:textId="77777777" w:rsidR="00E25A5E" w:rsidRDefault="00E25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C43C2C"/>
    <w:multiLevelType w:val="multilevel"/>
    <w:tmpl w:val="3F60CBB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711152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1FBC"/>
    <w:rsid w:val="007150A1"/>
    <w:rsid w:val="00AA24BB"/>
    <w:rsid w:val="00B86BC3"/>
    <w:rsid w:val="00CB2873"/>
    <w:rsid w:val="00D711BD"/>
    <w:rsid w:val="00DB7BD4"/>
    <w:rsid w:val="00E25A5E"/>
    <w:rsid w:val="00EE1FB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ED1ECF"/>
  <w15:docId w15:val="{1451875B-4BA7-47C5-9B78-7E0C8034B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cs="Calibri"/>
      <w:lang w:eastAsia="en-GB"/>
    </w:rPr>
  </w:style>
  <w:style w:type="character" w:styleId="Hyperlink">
    <w:name w:val="Hyperlink"/>
    <w:basedOn w:val="DefaultParagraphFont"/>
    <w:rPr>
      <w:color w:val="0000FF"/>
      <w:u w:val="single"/>
    </w:rPr>
  </w:style>
  <w:style w:type="paragraph" w:styleId="PlainText">
    <w:name w:val="Plain Text"/>
    <w:basedOn w:val="Normal"/>
    <w:link w:val="PlainTextChar"/>
    <w:uiPriority w:val="99"/>
    <w:semiHidden/>
    <w:unhideWhenUsed/>
    <w:rsid w:val="00AA24BB"/>
    <w:pPr>
      <w:suppressAutoHyphens w:val="0"/>
      <w:autoSpaceDN/>
      <w:spacing w:after="0" w:line="240" w:lineRule="auto"/>
    </w:pPr>
    <w:rPr>
      <w:rFonts w:eastAsiaTheme="minorHAnsi" w:cstheme="minorBidi"/>
      <w:szCs w:val="21"/>
    </w:rPr>
  </w:style>
  <w:style w:type="character" w:customStyle="1" w:styleId="PlainTextChar">
    <w:name w:val="Plain Text Char"/>
    <w:basedOn w:val="DefaultParagraphFont"/>
    <w:link w:val="PlainText"/>
    <w:uiPriority w:val="99"/>
    <w:semiHidden/>
    <w:rsid w:val="00AA24BB"/>
    <w:rPr>
      <w:rFonts w:eastAsiaTheme="minorHAnsi" w:cstheme="minorBid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200087">
      <w:bodyDiv w:val="1"/>
      <w:marLeft w:val="0"/>
      <w:marRight w:val="0"/>
      <w:marTop w:val="0"/>
      <w:marBottom w:val="0"/>
      <w:divBdr>
        <w:top w:val="none" w:sz="0" w:space="0" w:color="auto"/>
        <w:left w:val="none" w:sz="0" w:space="0" w:color="auto"/>
        <w:bottom w:val="none" w:sz="0" w:space="0" w:color="auto"/>
        <w:right w:val="none" w:sz="0" w:space="0" w:color="auto"/>
      </w:divBdr>
    </w:div>
    <w:div w:id="1856915303">
      <w:bodyDiv w:val="1"/>
      <w:marLeft w:val="0"/>
      <w:marRight w:val="0"/>
      <w:marTop w:val="0"/>
      <w:marBottom w:val="0"/>
      <w:divBdr>
        <w:top w:val="none" w:sz="0" w:space="0" w:color="auto"/>
        <w:left w:val="none" w:sz="0" w:space="0" w:color="auto"/>
        <w:bottom w:val="none" w:sz="0" w:space="0" w:color="auto"/>
        <w:right w:val="none" w:sz="0" w:space="0" w:color="auto"/>
      </w:divBdr>
    </w:div>
    <w:div w:id="20141860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ommittees.parliament.uk/publications/3037/documents/30321/default/" TargetMode="External"/><Relationship Id="rId13" Type="http://schemas.openxmlformats.org/officeDocument/2006/relationships/hyperlink" Target="https://gbr01.safelinks.protection.outlook.com/?url=https%3A%2F%2Fassets.publishing.service.gov.uk%2Fgovernment%2Fuploads%2Fsystem%2Fuploads%2Fattachment_data%2Ffile%2F643001%2Flammy-review-final-report.pdf&amp;data=05%7C01%7Cdominic.richards%40south-wales.police.uk%7Cb7ebc6b596c648656fba08db1affa216%7C270c2f4dfd0c4f0892a9e5bdd8a87e09%7C0%7C0%7C638133457957549718%7CUnknown%7CTWFpbGZsb3d8eyJWIjoiMC4wLjAwMDAiLCJQIjoiV2luMzIiLCJBTiI6Ik1haWwiLCJXVCI6Mn0%3D%7C3000%7C%7C%7C&amp;sdata=npyMHADAD4QXQGthLY7pt8mdWPWeVh6GuGKA%2BthX4Q0%3D&amp;reserved=0" TargetMode="External"/><Relationship Id="rId18" Type="http://schemas.openxmlformats.org/officeDocument/2006/relationships/hyperlink" Target="https://gbr01.safelinks.protection.outlook.com/?url=https%3A%2F%2Fwww.gov.uk%2Fgovernment%2Fpublications%2Fpolicing-in-the-uk-a-brief-guide%2Fpolicing-in-the-uk-a-brief-guide&amp;data=05|01|dominic.richards%40south-wales.police.uk|57a65ce6dba44947487c08daee6af405|270c2f4dfd0c4f0892a9e5bdd8a87e09|0|0|638084440894873800|Unknown|TWFpbGZsb3d8eyJWIjoiMC4wLjAwMDAiLCJQIjoiV2luMzIiLCJBTiI6Ik1haWwiLCJXVCI6Mn0%3D|3000|||&amp;sdata=zQX1IJCHeVHiG%2BXX1jfnWmJ35KsWDZBUdnh9jEnrF%2B4%3D&amp;reserved=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gbr01.safelinks.protection.outlook.com/?url=https%3A%2F%2Fwww.pirc.gov.uk%2Fabout-us&amp;data=05|01|dominic.richards%40south-wales.police.uk|57a65ce6dba44947487c08daee6af405|270c2f4dfd0c4f0892a9e5bdd8a87e09|0|0|638084440894873800|Unknown|TWFpbGZsb3d8eyJWIjoiMC4wLjAwMDAiLCJQIjoiV2luMzIiLCJBTiI6Ik1haWwiLCJXVCI6Mn0%3D|3000|||&amp;sdata=kCc2p76Mzi6IV2UxKSksjnkX4dekn0tQ5lAyggX08%2FI%3D&amp;reserved=0"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643001/lammy-review-final-report.pdf" TargetMode="External"/><Relationship Id="rId17" Type="http://schemas.openxmlformats.org/officeDocument/2006/relationships/hyperlink" Target="https://gbr01.safelinks.protection.outlook.com/?url=https%3A%2F%2Fwww.gov.uk%2Fgovernment%2Fpublications%2Fpolice-complaints-authority-annual-report-2006-2007&amp;data=05|01|dominic.richards%40south-wales.police.uk|57a65ce6dba44947487c08daee6af405|270c2f4dfd0c4f0892a9e5bdd8a87e09|0|0|638084440894873800|Unknown|TWFpbGZsb3d8eyJWIjoiMC4wLjAwMDAiLCJQIjoiV2luMzIiLCJBTiI6Ik1haWwiLCJXVCI6Mn0%3D|3000|||&amp;sdata=2%2FWAMRReQee38dUFtyhE2euneWZJHva1V9F%2FIrtw87k%3D&amp;reserved=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br01.safelinks.protection.outlook.com/?url=https%3A%2F%2Fwww.justice.gov%2Fsites%2Fdefault%2Ffiles%2Fcrt%2Flegacy%2F2014%2F03%2F12%2Ffloyd_statement_of_interest.pdf&amp;data=05|01|dominic.richards%40south-wales.police.uk|57a65ce6dba44947487c08daee6af405|270c2f4dfd0c4f0892a9e5bdd8a87e09|0|0|638084440894873800|Unknown|TWFpbGZsb3d8eyJWIjoiMC4wLjAwMDAiLCJQIjoiV2luMzIiLCJBTiI6Ik1haWwiLCJXVCI6Mn0%3D|3000|||&amp;sdata=c%2FZGhGPqNNlibAM0OEPAZCmE38jiU%2FiLLJze2AeDuS0%3D&amp;reserved=0" TargetMode="External"/><Relationship Id="rId20" Type="http://schemas.openxmlformats.org/officeDocument/2006/relationships/hyperlink" Target="https://gbr01.safelinks.protection.outlook.com/?url=https%3A%2F%2Fwww.app.college.police.uk%2Fapp-content%2Fprofessional-standards%2Fcode-of-ethics%2F&amp;data=05|01|dominic.richards%40south-wales.police.uk|57a65ce6dba44947487c08daee6af405|270c2f4dfd0c4f0892a9e5bdd8a87e09|0|0|638084440894873800|Unknown|TWFpbGZsb3d8eyJWIjoiMC4wLjAwMDAiLCJQIjoiV2luMzIiLCJBTiI6Ik1haWwiLCJXVCI6Mn0%3D|3000|||&amp;sdata=vi69vtuTMlPXFlaOq%2BtfBd2QXzGrmchtkRWmdllUJgg%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br01.safelinks.protection.outlook.com/?url=https%3A%2F%2Fwww.iopc.org.uk%2Fnews%2Fiopc-publishes-annual-statistics-on-deaths-during-or-following-police-contact%2F&amp;data=05%7C01%7Cdominic.richards%40south-wales.police.uk%7Cb7ebc6b596c648656fba08db1affa216%7C270c2f4dfd0c4f0892a9e5bdd8a87e09%7C0%7C0%7C638133457957549718%7CUnknown%7CTWFpbGZsb3d8eyJWIjoiMC4wLjAwMDAiLCJQIjoiV2luMzIiLCJBTiI6Ik1haWwiLCJXVCI6Mn0%3D%7C3000%7C%7C%7C&amp;sdata=Mq7YON5KNbvmQCWTGVxbuhRh3OHvnvgkLe7vxG3CyPE%3D&amp;reserved=0" TargetMode="External"/><Relationship Id="rId24" Type="http://schemas.openxmlformats.org/officeDocument/2006/relationships/hyperlink" Target="https://gbr01.safelinks.protection.outlook.com/?url=https%3A%2F%2Fwww.ohchr.org%2Fen%2Fprofessionalinterest%2Fpages%2Fuseofforceandfirearms.aspx&amp;data=05|01|dominic.richards%40south-wales.police.uk|57a65ce6dba44947487c08daee6af405|270c2f4dfd0c4f0892a9e5bdd8a87e09|0|0|638084440894873800|Unknown|TWFpbGZsb3d8eyJWIjoiMC4wLjAwMDAiLCJQIjoiV2luMzIiLCJBTiI6Ik1haWwiLCJXVCI6Mn0%3D|3000|||&amp;sdata=K3trjUlJQyWy7fY6E4YLa00fRdSJRCJjF5FdhHtd5oI%3D&amp;reserved=0" TargetMode="External"/><Relationship Id="rId5" Type="http://schemas.openxmlformats.org/officeDocument/2006/relationships/webSettings" Target="webSettings.xml"/><Relationship Id="rId15" Type="http://schemas.openxmlformats.org/officeDocument/2006/relationships/hyperlink" Target="https://gbr01.safelinks.protection.outlook.com/?url=https%3A%2F%2Fwww.cps.gov.uk%2Fabout-cps&amp;data=05|01|dominic.richards%40south-wales.police.uk|57a65ce6dba44947487c08daee6af405|270c2f4dfd0c4f0892a9e5bdd8a87e09|0|0|638084440894873800|Unknown|TWFpbGZsb3d8eyJWIjoiMC4wLjAwMDAiLCJQIjoiV2luMzIiLCJBTiI6Ik1haWwiLCJXVCI6Mn0%3D|3000|||&amp;sdata=WAMoivgPKqri1whJJAYeXFwbxnbLmMAxQk3e2cGTgW8%3D&amp;reserved=0" TargetMode="External"/><Relationship Id="rId23" Type="http://schemas.openxmlformats.org/officeDocument/2006/relationships/hyperlink" Target="https://gbr01.safelinks.protection.outlook.com/?url=https%3A%2F%2Fwww.professionalstandards.org.uk%2Fabout-us&amp;data=05|01|dominic.richards%40south-wales.police.uk|57a65ce6dba44947487c08daee6af405|270c2f4dfd0c4f0892a9e5bdd8a87e09|0|0|638084440894873800|Unknown|TWFpbGZsb3d8eyJWIjoiMC4wLjAwMDAiLCJQIjoiV2luMzIiLCJBTiI6Ik1haWwiLCJXVCI6Mn0%3D|3000|||&amp;sdata=4x0O07NhvdF9W6jU3ssNJ3ghkASByEtezT0IJ5fG4mk%3D&amp;reserved=0" TargetMode="External"/><Relationship Id="rId10" Type="http://schemas.openxmlformats.org/officeDocument/2006/relationships/hyperlink" Target="https://www.iopc.org.uk/news/iopc-publishes-annual-statistics-on-deaths-during-or-following-police-contact/" TargetMode="External"/><Relationship Id="rId19" Type="http://schemas.openxmlformats.org/officeDocument/2006/relationships/hyperlink" Target="https://gbr01.safelinks.protection.outlook.com/?url=https%3A%2F%2Fwww.policeconduct.gov.uk%2Fabout-us&amp;data=05|01|dominic.richards%40south-wales.police.uk|57a65ce6dba44947487c08daee6af405|270c2f4dfd0c4f0892a9e5bdd8a87e09|0|0|638084440894873800|Unknown|TWFpbGZsb3d8eyJWIjoiMC4wLjAwMDAiLCJQIjoiV2luMzIiLCJBTiI6Ik1haWwiLCJXVCI6Mn0%3D|3000|||&amp;sdata=e68wAfktU4FOKp4NUK9t1NcylIQqUgASeFiGSi3NfpM%3D&amp;reserved=0" TargetMode="External"/><Relationship Id="rId4" Type="http://schemas.openxmlformats.org/officeDocument/2006/relationships/settings" Target="settings.xml"/><Relationship Id="rId9" Type="http://schemas.openxmlformats.org/officeDocument/2006/relationships/hyperlink" Target="https://gbr01.safelinks.protection.outlook.com/?url=https%3A%2F%2Fcommittees.parliament.uk%2Fpublications%2F3037%2Fdocuments%2F30321%2Fdefault%2F&amp;data=05%7C01%7Cdominic.richards%40south-wales.police.uk%7Cb7ebc6b596c648656fba08db1affa216%7C270c2f4dfd0c4f0892a9e5bdd8a87e09%7C0%7C0%7C638133457957393504%7CUnknown%7CTWFpbGZsb3d8eyJWIjoiMC4wLjAwMDAiLCJQIjoiV2luMzIiLCJBTiI6Ik1haWwiLCJXVCI6Mn0%3D%7C3000%7C%7C%7C&amp;sdata=wIQ8oZJPXQb4cQu1l1f5et%2Fwjy8tRkjZtaRQ9qju37k%3D&amp;reserved=0" TargetMode="External"/><Relationship Id="rId14" Type="http://schemas.openxmlformats.org/officeDocument/2006/relationships/hyperlink" Target="https://gbr01.safelinks.protection.outlook.com/?url=https%3A%2F%2Fwww.aclu.org%2Fissues%2Fcriminal-law-reform%2Freforming-police%2Fpolice-misconduct&amp;data=05|01|dominic.richards%40south-wales.police.uk|57a65ce6dba44947487c08daee6af405|270c2f4dfd0c4f0892a9e5bdd8a87e09|0|0|638084440894718635|Unknown|TWFpbGZsb3d8eyJWIjoiMC4wLjAwMDAiLCJQIjoiV2luMzIiLCJBTiI6Ik1haWwiLCJXVCI6Mn0%3D|3000|||&amp;sdata=t78M2oJgLIDzddDm%2BVAoapOfyNFT0TB27MRBWDB1Z28%3D&amp;reserved=0" TargetMode="External"/><Relationship Id="rId22" Type="http://schemas.openxmlformats.org/officeDocument/2006/relationships/hyperlink" Target="https://gbr01.safelinks.protection.outlook.com/?url=https%3A%2F%2Fwww.policeombudsman.org%2Fabout-us&amp;data=05|01|dominic.richards%40south-wales.police.uk|57a65ce6dba44947487c08daee6af405|270c2f4dfd0c4f0892a9e5bdd8a87e09|0|0|638084440894873800|Unknown|TWFpbGZsb3d8eyJWIjoiMC4wLjAwMDAiLCJQIjoiV2luMzIiLCJBTiI6Ik1haWwiLCJXVCI6Mn0%3D|3000|||&amp;sdata=NYgy%2BYlRqSwoA2f6oZV0NBbMPX0BTIzPxbdEO0i0JN4%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F08472-5A6C-4F80-A844-AB25AD303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6497</Words>
  <Characters>37035</Characters>
  <Application>Microsoft Office Word</Application>
  <DocSecurity>0</DocSecurity>
  <Lines>308</Lines>
  <Paragraphs>86</Paragraphs>
  <ScaleCrop>false</ScaleCrop>
  <Company/>
  <LinksUpToDate>false</LinksUpToDate>
  <CharactersWithSpaces>43446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Richards,Dominic swp8092</dc:creator>
  <dc:description/>
  <cp:lastModifiedBy>Richards,Dominic swp8092</cp:lastModifiedBy>
  <cp:revision>5</cp:revision>
  <dcterms:created xsi:type="dcterms:W3CDTF">2023-02-06T23:29:00Z</dcterms:created>
  <dcterms:modified xsi:type="dcterms:W3CDTF">2023-03-02T10:43:00Z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2022-12-14T06:51:20Z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be0d2095-8900-4af9-a69d-bac5f272b700</vt:lpwstr>
  </property>
  <property fmtid="{D5CDD505-2E9C-101B-9397-08002B2CF9AE}" pid="8" name="MSIP_Label_66cf8fe5-b7b7-4df7-b38d-1c61ac2f6639_ContentBits">
    <vt:lpwstr>0</vt:lpwstr>
  </property>
</Properties>
</file>