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BEA3B" w14:textId="4DC51722" w:rsidR="00C57806" w:rsidRPr="0066775C" w:rsidRDefault="0066775C" w:rsidP="0066775C">
      <w:pPr>
        <w:jc w:val="center"/>
        <w:rPr>
          <w:b/>
          <w:bCs/>
          <w:sz w:val="32"/>
          <w:szCs w:val="28"/>
        </w:rPr>
      </w:pPr>
      <w:r w:rsidRPr="0066775C">
        <w:rPr>
          <w:b/>
          <w:bCs/>
          <w:sz w:val="32"/>
          <w:szCs w:val="28"/>
        </w:rPr>
        <w:t>Assignment - LCDB7010 - Converting Research into Practice</w:t>
      </w:r>
    </w:p>
    <w:p w14:paraId="1D156445" w14:textId="58B47AA4" w:rsidR="0066775C" w:rsidRDefault="0066775C" w:rsidP="0066775C">
      <w:pPr>
        <w:jc w:val="center"/>
        <w:rPr>
          <w:b/>
          <w:bCs/>
          <w:sz w:val="32"/>
          <w:szCs w:val="28"/>
        </w:rPr>
      </w:pPr>
    </w:p>
    <w:p w14:paraId="1ED1BBAC" w14:textId="6F198402" w:rsidR="0066775C" w:rsidRPr="0066775C" w:rsidRDefault="0066775C" w:rsidP="0066775C">
      <w:pPr>
        <w:jc w:val="center"/>
        <w:rPr>
          <w:b/>
          <w:bCs/>
          <w:sz w:val="40"/>
          <w:szCs w:val="36"/>
        </w:rPr>
      </w:pPr>
    </w:p>
    <w:p w14:paraId="1BF171CD" w14:textId="087D075C" w:rsidR="0066775C" w:rsidRDefault="00194AD8" w:rsidP="0066775C">
      <w:pPr>
        <w:jc w:val="center"/>
        <w:rPr>
          <w:b/>
          <w:bCs/>
          <w:sz w:val="32"/>
          <w:szCs w:val="28"/>
        </w:rPr>
      </w:pPr>
      <w:r w:rsidRPr="00194AD8">
        <w:rPr>
          <w:b/>
          <w:bCs/>
          <w:sz w:val="32"/>
          <w:szCs w:val="28"/>
        </w:rPr>
        <w:t xml:space="preserve">Investigating the </w:t>
      </w:r>
      <w:r w:rsidR="00457E44" w:rsidRPr="00194AD8">
        <w:rPr>
          <w:b/>
          <w:bCs/>
          <w:sz w:val="32"/>
          <w:szCs w:val="28"/>
        </w:rPr>
        <w:t>institutional readiness</w:t>
      </w:r>
      <w:r w:rsidRPr="00194AD8">
        <w:rPr>
          <w:b/>
          <w:bCs/>
          <w:sz w:val="32"/>
          <w:szCs w:val="28"/>
        </w:rPr>
        <w:t xml:space="preserve"> to technological convergence &amp; SDG Goals: the case of EV </w:t>
      </w:r>
      <w:r w:rsidR="00721524">
        <w:rPr>
          <w:b/>
          <w:bCs/>
          <w:sz w:val="32"/>
          <w:szCs w:val="28"/>
        </w:rPr>
        <w:t>adoption</w:t>
      </w:r>
      <w:r w:rsidRPr="00194AD8">
        <w:rPr>
          <w:b/>
          <w:bCs/>
          <w:sz w:val="32"/>
          <w:szCs w:val="28"/>
        </w:rPr>
        <w:t xml:space="preserve"> in</w:t>
      </w:r>
      <w:r>
        <w:rPr>
          <w:b/>
          <w:bCs/>
          <w:sz w:val="32"/>
          <w:szCs w:val="28"/>
        </w:rPr>
        <w:t xml:space="preserve"> the UK</w:t>
      </w:r>
    </w:p>
    <w:p w14:paraId="6BCC5477" w14:textId="2A934E50" w:rsidR="0066775C" w:rsidRDefault="0066775C" w:rsidP="0066775C">
      <w:pPr>
        <w:jc w:val="center"/>
        <w:rPr>
          <w:b/>
          <w:bCs/>
          <w:sz w:val="32"/>
          <w:szCs w:val="28"/>
        </w:rPr>
      </w:pPr>
    </w:p>
    <w:p w14:paraId="70302029" w14:textId="77777777" w:rsidR="00E96EE6" w:rsidRPr="0066775C" w:rsidRDefault="00E96EE6" w:rsidP="0066775C">
      <w:pPr>
        <w:jc w:val="center"/>
        <w:rPr>
          <w:b/>
          <w:bCs/>
          <w:sz w:val="32"/>
          <w:szCs w:val="28"/>
        </w:rPr>
      </w:pPr>
    </w:p>
    <w:p w14:paraId="07303870" w14:textId="509BB87F" w:rsidR="00194AD8" w:rsidRDefault="0066775C" w:rsidP="0066775C">
      <w:pPr>
        <w:jc w:val="center"/>
        <w:rPr>
          <w:b/>
          <w:bCs/>
          <w:sz w:val="28"/>
          <w:szCs w:val="28"/>
        </w:rPr>
      </w:pPr>
      <w:r w:rsidRPr="0066775C">
        <w:rPr>
          <w:b/>
          <w:bCs/>
          <w:sz w:val="28"/>
          <w:szCs w:val="28"/>
        </w:rPr>
        <w:t xml:space="preserve">Student Name: </w:t>
      </w:r>
      <w:r w:rsidR="00BF70B8">
        <w:rPr>
          <w:b/>
          <w:bCs/>
          <w:sz w:val="28"/>
          <w:szCs w:val="28"/>
        </w:rPr>
        <w:t>MASUD RANA</w:t>
      </w:r>
    </w:p>
    <w:p w14:paraId="7C92B966" w14:textId="0B0CDABD" w:rsidR="0066775C" w:rsidRPr="0066775C" w:rsidRDefault="0066775C" w:rsidP="0066775C">
      <w:pPr>
        <w:jc w:val="center"/>
        <w:rPr>
          <w:b/>
          <w:bCs/>
          <w:sz w:val="28"/>
          <w:szCs w:val="28"/>
        </w:rPr>
      </w:pPr>
      <w:r w:rsidRPr="0066775C">
        <w:rPr>
          <w:b/>
          <w:bCs/>
          <w:sz w:val="28"/>
          <w:szCs w:val="28"/>
        </w:rPr>
        <w:t xml:space="preserve">Institution: </w:t>
      </w:r>
      <w:r>
        <w:rPr>
          <w:b/>
          <w:bCs/>
          <w:sz w:val="28"/>
          <w:szCs w:val="28"/>
        </w:rPr>
        <w:t>University of Wales Trinity Saint David</w:t>
      </w:r>
    </w:p>
    <w:p w14:paraId="2C44B536" w14:textId="5A401200" w:rsidR="0066775C" w:rsidRPr="0066775C" w:rsidRDefault="0066775C" w:rsidP="0066775C">
      <w:pPr>
        <w:jc w:val="center"/>
        <w:rPr>
          <w:b/>
          <w:bCs/>
          <w:sz w:val="32"/>
          <w:szCs w:val="32"/>
        </w:rPr>
      </w:pPr>
      <w:r w:rsidRPr="0066775C">
        <w:rPr>
          <w:b/>
          <w:bCs/>
          <w:sz w:val="28"/>
          <w:szCs w:val="28"/>
        </w:rPr>
        <w:t>Course:</w:t>
      </w:r>
      <w:r>
        <w:rPr>
          <w:b/>
          <w:bCs/>
          <w:sz w:val="28"/>
          <w:szCs w:val="28"/>
        </w:rPr>
        <w:t xml:space="preserve"> </w:t>
      </w:r>
      <w:r w:rsidRPr="0066775C">
        <w:rPr>
          <w:b/>
          <w:bCs/>
          <w:sz w:val="28"/>
          <w:szCs w:val="24"/>
        </w:rPr>
        <w:t>Doctor of Business Administration</w:t>
      </w:r>
    </w:p>
    <w:p w14:paraId="14CC1733" w14:textId="74A2B2ED" w:rsidR="0066775C" w:rsidRPr="0066775C" w:rsidRDefault="0066775C" w:rsidP="0066775C">
      <w:pPr>
        <w:jc w:val="center"/>
        <w:rPr>
          <w:sz w:val="28"/>
          <w:szCs w:val="28"/>
        </w:rPr>
      </w:pPr>
    </w:p>
    <w:p w14:paraId="20B71F2B" w14:textId="2C336BD8" w:rsidR="0066775C" w:rsidRPr="0066775C" w:rsidRDefault="0066775C" w:rsidP="0066775C">
      <w:pPr>
        <w:jc w:val="center"/>
        <w:rPr>
          <w:sz w:val="28"/>
          <w:szCs w:val="28"/>
        </w:rPr>
      </w:pPr>
    </w:p>
    <w:p w14:paraId="4BBD124A" w14:textId="32DF2BB1" w:rsidR="00471473" w:rsidRDefault="0066775C" w:rsidP="0066775C">
      <w:pPr>
        <w:jc w:val="center"/>
        <w:rPr>
          <w:b/>
          <w:bCs/>
          <w:sz w:val="28"/>
          <w:szCs w:val="28"/>
        </w:rPr>
      </w:pPr>
      <w:r w:rsidRPr="0066775C">
        <w:rPr>
          <w:b/>
          <w:bCs/>
          <w:sz w:val="28"/>
          <w:szCs w:val="28"/>
        </w:rPr>
        <w:t xml:space="preserve">Lecturer: </w:t>
      </w:r>
      <w:r w:rsidR="00BF70B8">
        <w:rPr>
          <w:b/>
          <w:bCs/>
          <w:sz w:val="28"/>
          <w:szCs w:val="28"/>
        </w:rPr>
        <w:t>AMARE DESTA</w:t>
      </w:r>
    </w:p>
    <w:p w14:paraId="02C67634" w14:textId="77777777" w:rsidR="00471473" w:rsidRDefault="00471473">
      <w:pPr>
        <w:spacing w:after="160" w:line="259" w:lineRule="auto"/>
        <w:jc w:val="left"/>
        <w:rPr>
          <w:b/>
          <w:bCs/>
          <w:sz w:val="28"/>
          <w:szCs w:val="28"/>
        </w:rPr>
      </w:pPr>
      <w:r>
        <w:rPr>
          <w:b/>
          <w:bCs/>
          <w:sz w:val="28"/>
          <w:szCs w:val="28"/>
        </w:rPr>
        <w:br w:type="page"/>
      </w:r>
    </w:p>
    <w:sdt>
      <w:sdtPr>
        <w:rPr>
          <w:rFonts w:ascii="Times New Roman" w:eastAsiaTheme="minorHAnsi" w:hAnsi="Times New Roman" w:cstheme="minorBidi"/>
          <w:color w:val="auto"/>
          <w:sz w:val="24"/>
          <w:szCs w:val="22"/>
        </w:rPr>
        <w:id w:val="-1574805481"/>
        <w:docPartObj>
          <w:docPartGallery w:val="Table of Contents"/>
          <w:docPartUnique/>
        </w:docPartObj>
      </w:sdtPr>
      <w:sdtEndPr>
        <w:rPr>
          <w:b/>
          <w:bCs/>
          <w:noProof/>
        </w:rPr>
      </w:sdtEndPr>
      <w:sdtContent>
        <w:p w14:paraId="58B39B98" w14:textId="3CE24F87" w:rsidR="00471473" w:rsidRDefault="00471473">
          <w:pPr>
            <w:pStyle w:val="TOCHeading"/>
          </w:pPr>
          <w:r>
            <w:t>Contents</w:t>
          </w:r>
        </w:p>
        <w:p w14:paraId="4A4CEC91" w14:textId="18EBF6A0" w:rsidR="007928A1" w:rsidRDefault="0047147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531993" w:history="1">
            <w:r w:rsidR="007928A1" w:rsidRPr="00112AF4">
              <w:rPr>
                <w:rStyle w:val="Hyperlink"/>
                <w:noProof/>
              </w:rPr>
              <w:t>Part 1: The Pilot Article</w:t>
            </w:r>
            <w:r w:rsidR="007928A1">
              <w:rPr>
                <w:noProof/>
                <w:webHidden/>
              </w:rPr>
              <w:tab/>
            </w:r>
            <w:r w:rsidR="007928A1">
              <w:rPr>
                <w:noProof/>
                <w:webHidden/>
              </w:rPr>
              <w:fldChar w:fldCharType="begin"/>
            </w:r>
            <w:r w:rsidR="007928A1">
              <w:rPr>
                <w:noProof/>
                <w:webHidden/>
              </w:rPr>
              <w:instrText xml:space="preserve"> PAGEREF _Toc227531993 \h </w:instrText>
            </w:r>
            <w:r w:rsidR="007928A1">
              <w:rPr>
                <w:noProof/>
                <w:webHidden/>
              </w:rPr>
            </w:r>
            <w:r w:rsidR="007928A1">
              <w:rPr>
                <w:noProof/>
                <w:webHidden/>
              </w:rPr>
              <w:fldChar w:fldCharType="separate"/>
            </w:r>
            <w:r w:rsidR="007928A1">
              <w:rPr>
                <w:noProof/>
                <w:webHidden/>
              </w:rPr>
              <w:t>5</w:t>
            </w:r>
            <w:r w:rsidR="007928A1">
              <w:rPr>
                <w:noProof/>
                <w:webHidden/>
              </w:rPr>
              <w:fldChar w:fldCharType="end"/>
            </w:r>
          </w:hyperlink>
        </w:p>
        <w:p w14:paraId="041C5BFC" w14:textId="40620F2E" w:rsidR="007928A1" w:rsidRDefault="007928A1">
          <w:pPr>
            <w:pStyle w:val="TOC1"/>
            <w:tabs>
              <w:tab w:val="right" w:leader="dot" w:pos="9350"/>
            </w:tabs>
            <w:rPr>
              <w:rFonts w:asciiTheme="minorHAnsi" w:eastAsiaTheme="minorEastAsia" w:hAnsiTheme="minorHAnsi"/>
              <w:noProof/>
              <w:sz w:val="22"/>
            </w:rPr>
          </w:pPr>
          <w:hyperlink w:anchor="_Toc227531994" w:history="1">
            <w:r w:rsidRPr="00112AF4">
              <w:rPr>
                <w:rStyle w:val="Hyperlink"/>
                <w:noProof/>
              </w:rPr>
              <w:t>ABSTRACT</w:t>
            </w:r>
            <w:r>
              <w:rPr>
                <w:noProof/>
                <w:webHidden/>
              </w:rPr>
              <w:tab/>
            </w:r>
            <w:r>
              <w:rPr>
                <w:noProof/>
                <w:webHidden/>
              </w:rPr>
              <w:fldChar w:fldCharType="begin"/>
            </w:r>
            <w:r>
              <w:rPr>
                <w:noProof/>
                <w:webHidden/>
              </w:rPr>
              <w:instrText xml:space="preserve"> PAGEREF _Toc227531994 \h </w:instrText>
            </w:r>
            <w:r>
              <w:rPr>
                <w:noProof/>
                <w:webHidden/>
              </w:rPr>
            </w:r>
            <w:r>
              <w:rPr>
                <w:noProof/>
                <w:webHidden/>
              </w:rPr>
              <w:fldChar w:fldCharType="separate"/>
            </w:r>
            <w:r>
              <w:rPr>
                <w:noProof/>
                <w:webHidden/>
              </w:rPr>
              <w:t>5</w:t>
            </w:r>
            <w:r>
              <w:rPr>
                <w:noProof/>
                <w:webHidden/>
              </w:rPr>
              <w:fldChar w:fldCharType="end"/>
            </w:r>
          </w:hyperlink>
        </w:p>
        <w:p w14:paraId="4F0175D6" w14:textId="519A6845" w:rsidR="007928A1" w:rsidRDefault="007928A1">
          <w:pPr>
            <w:pStyle w:val="TOC1"/>
            <w:tabs>
              <w:tab w:val="right" w:leader="dot" w:pos="9350"/>
            </w:tabs>
            <w:rPr>
              <w:rFonts w:asciiTheme="minorHAnsi" w:eastAsiaTheme="minorEastAsia" w:hAnsiTheme="minorHAnsi"/>
              <w:noProof/>
              <w:sz w:val="22"/>
            </w:rPr>
          </w:pPr>
          <w:hyperlink w:anchor="_Toc227531995" w:history="1">
            <w:r w:rsidRPr="00112AF4">
              <w:rPr>
                <w:rStyle w:val="Hyperlink"/>
                <w:noProof/>
              </w:rPr>
              <w:t>1. Introduction</w:t>
            </w:r>
            <w:r>
              <w:rPr>
                <w:noProof/>
                <w:webHidden/>
              </w:rPr>
              <w:tab/>
            </w:r>
            <w:r>
              <w:rPr>
                <w:noProof/>
                <w:webHidden/>
              </w:rPr>
              <w:fldChar w:fldCharType="begin"/>
            </w:r>
            <w:r>
              <w:rPr>
                <w:noProof/>
                <w:webHidden/>
              </w:rPr>
              <w:instrText xml:space="preserve"> PAGEREF _Toc227531995 \h </w:instrText>
            </w:r>
            <w:r>
              <w:rPr>
                <w:noProof/>
                <w:webHidden/>
              </w:rPr>
            </w:r>
            <w:r>
              <w:rPr>
                <w:noProof/>
                <w:webHidden/>
              </w:rPr>
              <w:fldChar w:fldCharType="separate"/>
            </w:r>
            <w:r>
              <w:rPr>
                <w:noProof/>
                <w:webHidden/>
              </w:rPr>
              <w:t>6</w:t>
            </w:r>
            <w:r>
              <w:rPr>
                <w:noProof/>
                <w:webHidden/>
              </w:rPr>
              <w:fldChar w:fldCharType="end"/>
            </w:r>
          </w:hyperlink>
        </w:p>
        <w:p w14:paraId="061281CA" w14:textId="6B5EB737" w:rsidR="007928A1" w:rsidRDefault="007928A1">
          <w:pPr>
            <w:pStyle w:val="TOC2"/>
            <w:tabs>
              <w:tab w:val="left" w:pos="880"/>
              <w:tab w:val="right" w:leader="dot" w:pos="9350"/>
            </w:tabs>
            <w:rPr>
              <w:rFonts w:asciiTheme="minorHAnsi" w:eastAsiaTheme="minorEastAsia" w:hAnsiTheme="minorHAnsi"/>
              <w:noProof/>
              <w:sz w:val="22"/>
            </w:rPr>
          </w:pPr>
          <w:hyperlink w:anchor="_Toc227531996" w:history="1">
            <w:r w:rsidRPr="00112AF4">
              <w:rPr>
                <w:rStyle w:val="Hyperlink"/>
                <w:noProof/>
              </w:rPr>
              <w:t>1.1</w:t>
            </w:r>
            <w:r>
              <w:rPr>
                <w:rFonts w:asciiTheme="minorHAnsi" w:eastAsiaTheme="minorEastAsia" w:hAnsiTheme="minorHAnsi"/>
                <w:noProof/>
                <w:sz w:val="22"/>
              </w:rPr>
              <w:tab/>
            </w:r>
            <w:r w:rsidRPr="00112AF4">
              <w:rPr>
                <w:rStyle w:val="Hyperlink"/>
                <w:noProof/>
              </w:rPr>
              <w:t>Background</w:t>
            </w:r>
            <w:r>
              <w:rPr>
                <w:noProof/>
                <w:webHidden/>
              </w:rPr>
              <w:tab/>
            </w:r>
            <w:r>
              <w:rPr>
                <w:noProof/>
                <w:webHidden/>
              </w:rPr>
              <w:fldChar w:fldCharType="begin"/>
            </w:r>
            <w:r>
              <w:rPr>
                <w:noProof/>
                <w:webHidden/>
              </w:rPr>
              <w:instrText xml:space="preserve"> PAGEREF _Toc227531996 \h </w:instrText>
            </w:r>
            <w:r>
              <w:rPr>
                <w:noProof/>
                <w:webHidden/>
              </w:rPr>
            </w:r>
            <w:r>
              <w:rPr>
                <w:noProof/>
                <w:webHidden/>
              </w:rPr>
              <w:fldChar w:fldCharType="separate"/>
            </w:r>
            <w:r>
              <w:rPr>
                <w:noProof/>
                <w:webHidden/>
              </w:rPr>
              <w:t>6</w:t>
            </w:r>
            <w:r>
              <w:rPr>
                <w:noProof/>
                <w:webHidden/>
              </w:rPr>
              <w:fldChar w:fldCharType="end"/>
            </w:r>
          </w:hyperlink>
        </w:p>
        <w:p w14:paraId="0F09DD34" w14:textId="11403BA8" w:rsidR="007928A1" w:rsidRDefault="007928A1">
          <w:pPr>
            <w:pStyle w:val="TOC2"/>
            <w:tabs>
              <w:tab w:val="left" w:pos="880"/>
              <w:tab w:val="right" w:leader="dot" w:pos="9350"/>
            </w:tabs>
            <w:rPr>
              <w:rFonts w:asciiTheme="minorHAnsi" w:eastAsiaTheme="minorEastAsia" w:hAnsiTheme="minorHAnsi"/>
              <w:noProof/>
              <w:sz w:val="22"/>
            </w:rPr>
          </w:pPr>
          <w:hyperlink w:anchor="_Toc227531997" w:history="1">
            <w:r w:rsidRPr="00112AF4">
              <w:rPr>
                <w:rStyle w:val="Hyperlink"/>
                <w:noProof/>
              </w:rPr>
              <w:t>1.2</w:t>
            </w:r>
            <w:r>
              <w:rPr>
                <w:rFonts w:asciiTheme="minorHAnsi" w:eastAsiaTheme="minorEastAsia" w:hAnsiTheme="minorHAnsi"/>
                <w:noProof/>
                <w:sz w:val="22"/>
              </w:rPr>
              <w:tab/>
            </w:r>
            <w:r w:rsidRPr="00112AF4">
              <w:rPr>
                <w:rStyle w:val="Hyperlink"/>
                <w:noProof/>
              </w:rPr>
              <w:t>Research Problem</w:t>
            </w:r>
            <w:r>
              <w:rPr>
                <w:noProof/>
                <w:webHidden/>
              </w:rPr>
              <w:tab/>
            </w:r>
            <w:r>
              <w:rPr>
                <w:noProof/>
                <w:webHidden/>
              </w:rPr>
              <w:fldChar w:fldCharType="begin"/>
            </w:r>
            <w:r>
              <w:rPr>
                <w:noProof/>
                <w:webHidden/>
              </w:rPr>
              <w:instrText xml:space="preserve"> PAGEREF _Toc227531997 \h </w:instrText>
            </w:r>
            <w:r>
              <w:rPr>
                <w:noProof/>
                <w:webHidden/>
              </w:rPr>
            </w:r>
            <w:r>
              <w:rPr>
                <w:noProof/>
                <w:webHidden/>
              </w:rPr>
              <w:fldChar w:fldCharType="separate"/>
            </w:r>
            <w:r>
              <w:rPr>
                <w:noProof/>
                <w:webHidden/>
              </w:rPr>
              <w:t>6</w:t>
            </w:r>
            <w:r>
              <w:rPr>
                <w:noProof/>
                <w:webHidden/>
              </w:rPr>
              <w:fldChar w:fldCharType="end"/>
            </w:r>
          </w:hyperlink>
        </w:p>
        <w:p w14:paraId="0877DDEC" w14:textId="2289B632" w:rsidR="007928A1" w:rsidRDefault="007928A1">
          <w:pPr>
            <w:pStyle w:val="TOC2"/>
            <w:tabs>
              <w:tab w:val="left" w:pos="880"/>
              <w:tab w:val="right" w:leader="dot" w:pos="9350"/>
            </w:tabs>
            <w:rPr>
              <w:rFonts w:asciiTheme="minorHAnsi" w:eastAsiaTheme="minorEastAsia" w:hAnsiTheme="minorHAnsi"/>
              <w:noProof/>
              <w:sz w:val="22"/>
            </w:rPr>
          </w:pPr>
          <w:hyperlink w:anchor="_Toc227531998" w:history="1">
            <w:r w:rsidRPr="00112AF4">
              <w:rPr>
                <w:rStyle w:val="Hyperlink"/>
                <w:noProof/>
              </w:rPr>
              <w:t>1.3</w:t>
            </w:r>
            <w:r>
              <w:rPr>
                <w:rFonts w:asciiTheme="minorHAnsi" w:eastAsiaTheme="minorEastAsia" w:hAnsiTheme="minorHAnsi"/>
                <w:noProof/>
                <w:sz w:val="22"/>
              </w:rPr>
              <w:tab/>
            </w:r>
            <w:r w:rsidRPr="00112AF4">
              <w:rPr>
                <w:rStyle w:val="Hyperlink"/>
                <w:noProof/>
              </w:rPr>
              <w:t>Research Objective</w:t>
            </w:r>
            <w:r>
              <w:rPr>
                <w:noProof/>
                <w:webHidden/>
              </w:rPr>
              <w:tab/>
            </w:r>
            <w:r>
              <w:rPr>
                <w:noProof/>
                <w:webHidden/>
              </w:rPr>
              <w:fldChar w:fldCharType="begin"/>
            </w:r>
            <w:r>
              <w:rPr>
                <w:noProof/>
                <w:webHidden/>
              </w:rPr>
              <w:instrText xml:space="preserve"> PAGEREF _Toc227531998 \h </w:instrText>
            </w:r>
            <w:r>
              <w:rPr>
                <w:noProof/>
                <w:webHidden/>
              </w:rPr>
            </w:r>
            <w:r>
              <w:rPr>
                <w:noProof/>
                <w:webHidden/>
              </w:rPr>
              <w:fldChar w:fldCharType="separate"/>
            </w:r>
            <w:r>
              <w:rPr>
                <w:noProof/>
                <w:webHidden/>
              </w:rPr>
              <w:t>7</w:t>
            </w:r>
            <w:r>
              <w:rPr>
                <w:noProof/>
                <w:webHidden/>
              </w:rPr>
              <w:fldChar w:fldCharType="end"/>
            </w:r>
          </w:hyperlink>
        </w:p>
        <w:p w14:paraId="79896BE4" w14:textId="2FC5DEBD" w:rsidR="007928A1" w:rsidRDefault="007928A1">
          <w:pPr>
            <w:pStyle w:val="TOC2"/>
            <w:tabs>
              <w:tab w:val="left" w:pos="880"/>
              <w:tab w:val="right" w:leader="dot" w:pos="9350"/>
            </w:tabs>
            <w:rPr>
              <w:rFonts w:asciiTheme="minorHAnsi" w:eastAsiaTheme="minorEastAsia" w:hAnsiTheme="minorHAnsi"/>
              <w:noProof/>
              <w:sz w:val="22"/>
            </w:rPr>
          </w:pPr>
          <w:hyperlink w:anchor="_Toc227531999" w:history="1">
            <w:r w:rsidRPr="00112AF4">
              <w:rPr>
                <w:rStyle w:val="Hyperlink"/>
                <w:noProof/>
              </w:rPr>
              <w:t>1.4</w:t>
            </w:r>
            <w:r>
              <w:rPr>
                <w:rFonts w:asciiTheme="minorHAnsi" w:eastAsiaTheme="minorEastAsia" w:hAnsiTheme="minorHAnsi"/>
                <w:noProof/>
                <w:sz w:val="22"/>
              </w:rPr>
              <w:tab/>
            </w:r>
            <w:r w:rsidRPr="00112AF4">
              <w:rPr>
                <w:rStyle w:val="Hyperlink"/>
                <w:noProof/>
              </w:rPr>
              <w:t>Purpose and Research Questions</w:t>
            </w:r>
            <w:r>
              <w:rPr>
                <w:noProof/>
                <w:webHidden/>
              </w:rPr>
              <w:tab/>
            </w:r>
            <w:r>
              <w:rPr>
                <w:noProof/>
                <w:webHidden/>
              </w:rPr>
              <w:fldChar w:fldCharType="begin"/>
            </w:r>
            <w:r>
              <w:rPr>
                <w:noProof/>
                <w:webHidden/>
              </w:rPr>
              <w:instrText xml:space="preserve"> PAGEREF _Toc227531999 \h </w:instrText>
            </w:r>
            <w:r>
              <w:rPr>
                <w:noProof/>
                <w:webHidden/>
              </w:rPr>
            </w:r>
            <w:r>
              <w:rPr>
                <w:noProof/>
                <w:webHidden/>
              </w:rPr>
              <w:fldChar w:fldCharType="separate"/>
            </w:r>
            <w:r>
              <w:rPr>
                <w:noProof/>
                <w:webHidden/>
              </w:rPr>
              <w:t>7</w:t>
            </w:r>
            <w:r>
              <w:rPr>
                <w:noProof/>
                <w:webHidden/>
              </w:rPr>
              <w:fldChar w:fldCharType="end"/>
            </w:r>
          </w:hyperlink>
        </w:p>
        <w:p w14:paraId="27FCFCC5" w14:textId="65742DD3" w:rsidR="007928A1" w:rsidRDefault="007928A1">
          <w:pPr>
            <w:pStyle w:val="TOC2"/>
            <w:tabs>
              <w:tab w:val="left" w:pos="880"/>
              <w:tab w:val="right" w:leader="dot" w:pos="9350"/>
            </w:tabs>
            <w:rPr>
              <w:rFonts w:asciiTheme="minorHAnsi" w:eastAsiaTheme="minorEastAsia" w:hAnsiTheme="minorHAnsi"/>
              <w:noProof/>
              <w:sz w:val="22"/>
            </w:rPr>
          </w:pPr>
          <w:hyperlink w:anchor="_Toc227532000" w:history="1">
            <w:r w:rsidRPr="00112AF4">
              <w:rPr>
                <w:rStyle w:val="Hyperlink"/>
                <w:noProof/>
              </w:rPr>
              <w:t>1.5</w:t>
            </w:r>
            <w:r>
              <w:rPr>
                <w:rFonts w:asciiTheme="minorHAnsi" w:eastAsiaTheme="minorEastAsia" w:hAnsiTheme="minorHAnsi"/>
                <w:noProof/>
                <w:sz w:val="22"/>
              </w:rPr>
              <w:tab/>
            </w:r>
            <w:r w:rsidRPr="00112AF4">
              <w:rPr>
                <w:rStyle w:val="Hyperlink"/>
                <w:noProof/>
              </w:rPr>
              <w:t>Scope and Limitations</w:t>
            </w:r>
            <w:r>
              <w:rPr>
                <w:noProof/>
                <w:webHidden/>
              </w:rPr>
              <w:tab/>
            </w:r>
            <w:r>
              <w:rPr>
                <w:noProof/>
                <w:webHidden/>
              </w:rPr>
              <w:fldChar w:fldCharType="begin"/>
            </w:r>
            <w:r>
              <w:rPr>
                <w:noProof/>
                <w:webHidden/>
              </w:rPr>
              <w:instrText xml:space="preserve"> PAGEREF _Toc227532000 \h </w:instrText>
            </w:r>
            <w:r>
              <w:rPr>
                <w:noProof/>
                <w:webHidden/>
              </w:rPr>
            </w:r>
            <w:r>
              <w:rPr>
                <w:noProof/>
                <w:webHidden/>
              </w:rPr>
              <w:fldChar w:fldCharType="separate"/>
            </w:r>
            <w:r>
              <w:rPr>
                <w:noProof/>
                <w:webHidden/>
              </w:rPr>
              <w:t>8</w:t>
            </w:r>
            <w:r>
              <w:rPr>
                <w:noProof/>
                <w:webHidden/>
              </w:rPr>
              <w:fldChar w:fldCharType="end"/>
            </w:r>
          </w:hyperlink>
        </w:p>
        <w:p w14:paraId="2F79DD9F" w14:textId="600E96E5" w:rsidR="007928A1" w:rsidRDefault="007928A1">
          <w:pPr>
            <w:pStyle w:val="TOC1"/>
            <w:tabs>
              <w:tab w:val="right" w:leader="dot" w:pos="9350"/>
            </w:tabs>
            <w:rPr>
              <w:rFonts w:asciiTheme="minorHAnsi" w:eastAsiaTheme="minorEastAsia" w:hAnsiTheme="minorHAnsi"/>
              <w:noProof/>
              <w:sz w:val="22"/>
            </w:rPr>
          </w:pPr>
          <w:hyperlink w:anchor="_Toc227532001" w:history="1">
            <w:r w:rsidRPr="00112AF4">
              <w:rPr>
                <w:rStyle w:val="Hyperlink"/>
                <w:noProof/>
              </w:rPr>
              <w:t>2. Theoretical Considerations</w:t>
            </w:r>
            <w:r>
              <w:rPr>
                <w:noProof/>
                <w:webHidden/>
              </w:rPr>
              <w:tab/>
            </w:r>
            <w:r>
              <w:rPr>
                <w:noProof/>
                <w:webHidden/>
              </w:rPr>
              <w:fldChar w:fldCharType="begin"/>
            </w:r>
            <w:r>
              <w:rPr>
                <w:noProof/>
                <w:webHidden/>
              </w:rPr>
              <w:instrText xml:space="preserve"> PAGEREF _Toc227532001 \h </w:instrText>
            </w:r>
            <w:r>
              <w:rPr>
                <w:noProof/>
                <w:webHidden/>
              </w:rPr>
            </w:r>
            <w:r>
              <w:rPr>
                <w:noProof/>
                <w:webHidden/>
              </w:rPr>
              <w:fldChar w:fldCharType="separate"/>
            </w:r>
            <w:r>
              <w:rPr>
                <w:noProof/>
                <w:webHidden/>
              </w:rPr>
              <w:t>8</w:t>
            </w:r>
            <w:r>
              <w:rPr>
                <w:noProof/>
                <w:webHidden/>
              </w:rPr>
              <w:fldChar w:fldCharType="end"/>
            </w:r>
          </w:hyperlink>
        </w:p>
        <w:p w14:paraId="7137DE3F" w14:textId="7BB1CC82" w:rsidR="007928A1" w:rsidRDefault="007928A1">
          <w:pPr>
            <w:pStyle w:val="TOC1"/>
            <w:tabs>
              <w:tab w:val="right" w:leader="dot" w:pos="9350"/>
            </w:tabs>
            <w:rPr>
              <w:rFonts w:asciiTheme="minorHAnsi" w:eastAsiaTheme="minorEastAsia" w:hAnsiTheme="minorHAnsi"/>
              <w:noProof/>
              <w:sz w:val="22"/>
            </w:rPr>
          </w:pPr>
          <w:hyperlink w:anchor="_Toc227532002" w:history="1">
            <w:r w:rsidRPr="00112AF4">
              <w:rPr>
                <w:rStyle w:val="Hyperlink"/>
                <w:noProof/>
              </w:rPr>
              <w:t>3. Literature Review</w:t>
            </w:r>
            <w:r>
              <w:rPr>
                <w:noProof/>
                <w:webHidden/>
              </w:rPr>
              <w:tab/>
            </w:r>
            <w:r>
              <w:rPr>
                <w:noProof/>
                <w:webHidden/>
              </w:rPr>
              <w:fldChar w:fldCharType="begin"/>
            </w:r>
            <w:r>
              <w:rPr>
                <w:noProof/>
                <w:webHidden/>
              </w:rPr>
              <w:instrText xml:space="preserve"> PAGEREF _Toc227532002 \h </w:instrText>
            </w:r>
            <w:r>
              <w:rPr>
                <w:noProof/>
                <w:webHidden/>
              </w:rPr>
            </w:r>
            <w:r>
              <w:rPr>
                <w:noProof/>
                <w:webHidden/>
              </w:rPr>
              <w:fldChar w:fldCharType="separate"/>
            </w:r>
            <w:r>
              <w:rPr>
                <w:noProof/>
                <w:webHidden/>
              </w:rPr>
              <w:t>10</w:t>
            </w:r>
            <w:r>
              <w:rPr>
                <w:noProof/>
                <w:webHidden/>
              </w:rPr>
              <w:fldChar w:fldCharType="end"/>
            </w:r>
          </w:hyperlink>
        </w:p>
        <w:p w14:paraId="07560DA7" w14:textId="1D918DA1" w:rsidR="007928A1" w:rsidRDefault="007928A1">
          <w:pPr>
            <w:pStyle w:val="TOC2"/>
            <w:tabs>
              <w:tab w:val="right" w:leader="dot" w:pos="9350"/>
            </w:tabs>
            <w:rPr>
              <w:rFonts w:asciiTheme="minorHAnsi" w:eastAsiaTheme="minorEastAsia" w:hAnsiTheme="minorHAnsi"/>
              <w:noProof/>
              <w:sz w:val="22"/>
            </w:rPr>
          </w:pPr>
          <w:hyperlink w:anchor="_Toc227532003" w:history="1">
            <w:r w:rsidRPr="00112AF4">
              <w:rPr>
                <w:rStyle w:val="Hyperlink"/>
                <w:noProof/>
              </w:rPr>
              <w:t>3.1 Overview of Electric Vehicle Adoption</w:t>
            </w:r>
            <w:r>
              <w:rPr>
                <w:noProof/>
                <w:webHidden/>
              </w:rPr>
              <w:tab/>
            </w:r>
            <w:r>
              <w:rPr>
                <w:noProof/>
                <w:webHidden/>
              </w:rPr>
              <w:fldChar w:fldCharType="begin"/>
            </w:r>
            <w:r>
              <w:rPr>
                <w:noProof/>
                <w:webHidden/>
              </w:rPr>
              <w:instrText xml:space="preserve"> PAGEREF _Toc227532003 \h </w:instrText>
            </w:r>
            <w:r>
              <w:rPr>
                <w:noProof/>
                <w:webHidden/>
              </w:rPr>
            </w:r>
            <w:r>
              <w:rPr>
                <w:noProof/>
                <w:webHidden/>
              </w:rPr>
              <w:fldChar w:fldCharType="separate"/>
            </w:r>
            <w:r>
              <w:rPr>
                <w:noProof/>
                <w:webHidden/>
              </w:rPr>
              <w:t>10</w:t>
            </w:r>
            <w:r>
              <w:rPr>
                <w:noProof/>
                <w:webHidden/>
              </w:rPr>
              <w:fldChar w:fldCharType="end"/>
            </w:r>
          </w:hyperlink>
        </w:p>
        <w:p w14:paraId="0B566F67" w14:textId="5123BC32" w:rsidR="007928A1" w:rsidRDefault="007928A1">
          <w:pPr>
            <w:pStyle w:val="TOC2"/>
            <w:tabs>
              <w:tab w:val="right" w:leader="dot" w:pos="9350"/>
            </w:tabs>
            <w:rPr>
              <w:rFonts w:asciiTheme="minorHAnsi" w:eastAsiaTheme="minorEastAsia" w:hAnsiTheme="minorHAnsi"/>
              <w:noProof/>
              <w:sz w:val="22"/>
            </w:rPr>
          </w:pPr>
          <w:hyperlink w:anchor="_Toc227532004" w:history="1">
            <w:r w:rsidRPr="00112AF4">
              <w:rPr>
                <w:rStyle w:val="Hyperlink"/>
                <w:noProof/>
              </w:rPr>
              <w:t>3.2 Policy and Institutional Factors</w:t>
            </w:r>
            <w:r>
              <w:rPr>
                <w:noProof/>
                <w:webHidden/>
              </w:rPr>
              <w:tab/>
            </w:r>
            <w:r>
              <w:rPr>
                <w:noProof/>
                <w:webHidden/>
              </w:rPr>
              <w:fldChar w:fldCharType="begin"/>
            </w:r>
            <w:r>
              <w:rPr>
                <w:noProof/>
                <w:webHidden/>
              </w:rPr>
              <w:instrText xml:space="preserve"> PAGEREF _Toc227532004 \h </w:instrText>
            </w:r>
            <w:r>
              <w:rPr>
                <w:noProof/>
                <w:webHidden/>
              </w:rPr>
            </w:r>
            <w:r>
              <w:rPr>
                <w:noProof/>
                <w:webHidden/>
              </w:rPr>
              <w:fldChar w:fldCharType="separate"/>
            </w:r>
            <w:r>
              <w:rPr>
                <w:noProof/>
                <w:webHidden/>
              </w:rPr>
              <w:t>10</w:t>
            </w:r>
            <w:r>
              <w:rPr>
                <w:noProof/>
                <w:webHidden/>
              </w:rPr>
              <w:fldChar w:fldCharType="end"/>
            </w:r>
          </w:hyperlink>
        </w:p>
        <w:p w14:paraId="0DFC6A95" w14:textId="7DD7BEE8" w:rsidR="007928A1" w:rsidRDefault="007928A1">
          <w:pPr>
            <w:pStyle w:val="TOC2"/>
            <w:tabs>
              <w:tab w:val="right" w:leader="dot" w:pos="9350"/>
            </w:tabs>
            <w:rPr>
              <w:rFonts w:asciiTheme="minorHAnsi" w:eastAsiaTheme="minorEastAsia" w:hAnsiTheme="minorHAnsi"/>
              <w:noProof/>
              <w:sz w:val="22"/>
            </w:rPr>
          </w:pPr>
          <w:hyperlink w:anchor="_Toc227532005" w:history="1">
            <w:r w:rsidRPr="00112AF4">
              <w:rPr>
                <w:rStyle w:val="Hyperlink"/>
                <w:noProof/>
              </w:rPr>
              <w:t>3.3 Infrastructure and Technological Convergence</w:t>
            </w:r>
            <w:r>
              <w:rPr>
                <w:noProof/>
                <w:webHidden/>
              </w:rPr>
              <w:tab/>
            </w:r>
            <w:r>
              <w:rPr>
                <w:noProof/>
                <w:webHidden/>
              </w:rPr>
              <w:fldChar w:fldCharType="begin"/>
            </w:r>
            <w:r>
              <w:rPr>
                <w:noProof/>
                <w:webHidden/>
              </w:rPr>
              <w:instrText xml:space="preserve"> PAGEREF _Toc227532005 \h </w:instrText>
            </w:r>
            <w:r>
              <w:rPr>
                <w:noProof/>
                <w:webHidden/>
              </w:rPr>
            </w:r>
            <w:r>
              <w:rPr>
                <w:noProof/>
                <w:webHidden/>
              </w:rPr>
              <w:fldChar w:fldCharType="separate"/>
            </w:r>
            <w:r>
              <w:rPr>
                <w:noProof/>
                <w:webHidden/>
              </w:rPr>
              <w:t>11</w:t>
            </w:r>
            <w:r>
              <w:rPr>
                <w:noProof/>
                <w:webHidden/>
              </w:rPr>
              <w:fldChar w:fldCharType="end"/>
            </w:r>
          </w:hyperlink>
        </w:p>
        <w:p w14:paraId="27919765" w14:textId="05DE5FFA" w:rsidR="007928A1" w:rsidRDefault="007928A1">
          <w:pPr>
            <w:pStyle w:val="TOC2"/>
            <w:tabs>
              <w:tab w:val="right" w:leader="dot" w:pos="9350"/>
            </w:tabs>
            <w:rPr>
              <w:rFonts w:asciiTheme="minorHAnsi" w:eastAsiaTheme="minorEastAsia" w:hAnsiTheme="minorHAnsi"/>
              <w:noProof/>
              <w:sz w:val="22"/>
            </w:rPr>
          </w:pPr>
          <w:hyperlink w:anchor="_Toc227532006" w:history="1">
            <w:r w:rsidRPr="00112AF4">
              <w:rPr>
                <w:rStyle w:val="Hyperlink"/>
                <w:noProof/>
              </w:rPr>
              <w:t>3.4 Consumer Behaviour and Adoption Barriers</w:t>
            </w:r>
            <w:r>
              <w:rPr>
                <w:noProof/>
                <w:webHidden/>
              </w:rPr>
              <w:tab/>
            </w:r>
            <w:r>
              <w:rPr>
                <w:noProof/>
                <w:webHidden/>
              </w:rPr>
              <w:fldChar w:fldCharType="begin"/>
            </w:r>
            <w:r>
              <w:rPr>
                <w:noProof/>
                <w:webHidden/>
              </w:rPr>
              <w:instrText xml:space="preserve"> PAGEREF _Toc227532006 \h </w:instrText>
            </w:r>
            <w:r>
              <w:rPr>
                <w:noProof/>
                <w:webHidden/>
              </w:rPr>
            </w:r>
            <w:r>
              <w:rPr>
                <w:noProof/>
                <w:webHidden/>
              </w:rPr>
              <w:fldChar w:fldCharType="separate"/>
            </w:r>
            <w:r>
              <w:rPr>
                <w:noProof/>
                <w:webHidden/>
              </w:rPr>
              <w:t>11</w:t>
            </w:r>
            <w:r>
              <w:rPr>
                <w:noProof/>
                <w:webHidden/>
              </w:rPr>
              <w:fldChar w:fldCharType="end"/>
            </w:r>
          </w:hyperlink>
        </w:p>
        <w:p w14:paraId="1769B930" w14:textId="507E726E" w:rsidR="007928A1" w:rsidRDefault="007928A1">
          <w:pPr>
            <w:pStyle w:val="TOC2"/>
            <w:tabs>
              <w:tab w:val="right" w:leader="dot" w:pos="9350"/>
            </w:tabs>
            <w:rPr>
              <w:rFonts w:asciiTheme="minorHAnsi" w:eastAsiaTheme="minorEastAsia" w:hAnsiTheme="minorHAnsi"/>
              <w:noProof/>
              <w:sz w:val="22"/>
            </w:rPr>
          </w:pPr>
          <w:hyperlink w:anchor="_Toc227532007" w:history="1">
            <w:r w:rsidRPr="00112AF4">
              <w:rPr>
                <w:rStyle w:val="Hyperlink"/>
                <w:noProof/>
              </w:rPr>
              <w:t>3.5 Sustainability and SDGs</w:t>
            </w:r>
            <w:r>
              <w:rPr>
                <w:noProof/>
                <w:webHidden/>
              </w:rPr>
              <w:tab/>
            </w:r>
            <w:r>
              <w:rPr>
                <w:noProof/>
                <w:webHidden/>
              </w:rPr>
              <w:fldChar w:fldCharType="begin"/>
            </w:r>
            <w:r>
              <w:rPr>
                <w:noProof/>
                <w:webHidden/>
              </w:rPr>
              <w:instrText xml:space="preserve"> PAGEREF _Toc227532007 \h </w:instrText>
            </w:r>
            <w:r>
              <w:rPr>
                <w:noProof/>
                <w:webHidden/>
              </w:rPr>
            </w:r>
            <w:r>
              <w:rPr>
                <w:noProof/>
                <w:webHidden/>
              </w:rPr>
              <w:fldChar w:fldCharType="separate"/>
            </w:r>
            <w:r>
              <w:rPr>
                <w:noProof/>
                <w:webHidden/>
              </w:rPr>
              <w:t>12</w:t>
            </w:r>
            <w:r>
              <w:rPr>
                <w:noProof/>
                <w:webHidden/>
              </w:rPr>
              <w:fldChar w:fldCharType="end"/>
            </w:r>
          </w:hyperlink>
        </w:p>
        <w:p w14:paraId="4DF22274" w14:textId="441AE737" w:rsidR="007928A1" w:rsidRDefault="007928A1">
          <w:pPr>
            <w:pStyle w:val="TOC2"/>
            <w:tabs>
              <w:tab w:val="right" w:leader="dot" w:pos="9350"/>
            </w:tabs>
            <w:rPr>
              <w:rFonts w:asciiTheme="minorHAnsi" w:eastAsiaTheme="minorEastAsia" w:hAnsiTheme="minorHAnsi"/>
              <w:noProof/>
              <w:sz w:val="22"/>
            </w:rPr>
          </w:pPr>
          <w:hyperlink w:anchor="_Toc227532008" w:history="1">
            <w:r w:rsidRPr="00112AF4">
              <w:rPr>
                <w:rStyle w:val="Hyperlink"/>
                <w:noProof/>
              </w:rPr>
              <w:t>3.6 Research Gap</w:t>
            </w:r>
            <w:r>
              <w:rPr>
                <w:noProof/>
                <w:webHidden/>
              </w:rPr>
              <w:tab/>
            </w:r>
            <w:r>
              <w:rPr>
                <w:noProof/>
                <w:webHidden/>
              </w:rPr>
              <w:fldChar w:fldCharType="begin"/>
            </w:r>
            <w:r>
              <w:rPr>
                <w:noProof/>
                <w:webHidden/>
              </w:rPr>
              <w:instrText xml:space="preserve"> PAGEREF _Toc227532008 \h </w:instrText>
            </w:r>
            <w:r>
              <w:rPr>
                <w:noProof/>
                <w:webHidden/>
              </w:rPr>
            </w:r>
            <w:r>
              <w:rPr>
                <w:noProof/>
                <w:webHidden/>
              </w:rPr>
              <w:fldChar w:fldCharType="separate"/>
            </w:r>
            <w:r>
              <w:rPr>
                <w:noProof/>
                <w:webHidden/>
              </w:rPr>
              <w:t>12</w:t>
            </w:r>
            <w:r>
              <w:rPr>
                <w:noProof/>
                <w:webHidden/>
              </w:rPr>
              <w:fldChar w:fldCharType="end"/>
            </w:r>
          </w:hyperlink>
        </w:p>
        <w:p w14:paraId="5D20A8EF" w14:textId="0B8C636E" w:rsidR="007928A1" w:rsidRDefault="007928A1">
          <w:pPr>
            <w:pStyle w:val="TOC1"/>
            <w:tabs>
              <w:tab w:val="right" w:leader="dot" w:pos="9350"/>
            </w:tabs>
            <w:rPr>
              <w:rFonts w:asciiTheme="minorHAnsi" w:eastAsiaTheme="minorEastAsia" w:hAnsiTheme="minorHAnsi"/>
              <w:noProof/>
              <w:sz w:val="22"/>
            </w:rPr>
          </w:pPr>
          <w:hyperlink w:anchor="_Toc227532009" w:history="1">
            <w:r w:rsidRPr="00112AF4">
              <w:rPr>
                <w:rStyle w:val="Hyperlink"/>
                <w:noProof/>
              </w:rPr>
              <w:t>4. Economic and Social Empowerment</w:t>
            </w:r>
            <w:r>
              <w:rPr>
                <w:noProof/>
                <w:webHidden/>
              </w:rPr>
              <w:tab/>
            </w:r>
            <w:r>
              <w:rPr>
                <w:noProof/>
                <w:webHidden/>
              </w:rPr>
              <w:fldChar w:fldCharType="begin"/>
            </w:r>
            <w:r>
              <w:rPr>
                <w:noProof/>
                <w:webHidden/>
              </w:rPr>
              <w:instrText xml:space="preserve"> PAGEREF _Toc227532009 \h </w:instrText>
            </w:r>
            <w:r>
              <w:rPr>
                <w:noProof/>
                <w:webHidden/>
              </w:rPr>
            </w:r>
            <w:r>
              <w:rPr>
                <w:noProof/>
                <w:webHidden/>
              </w:rPr>
              <w:fldChar w:fldCharType="separate"/>
            </w:r>
            <w:r>
              <w:rPr>
                <w:noProof/>
                <w:webHidden/>
              </w:rPr>
              <w:t>13</w:t>
            </w:r>
            <w:r>
              <w:rPr>
                <w:noProof/>
                <w:webHidden/>
              </w:rPr>
              <w:fldChar w:fldCharType="end"/>
            </w:r>
          </w:hyperlink>
        </w:p>
        <w:p w14:paraId="48FDCF23" w14:textId="3E4C2654" w:rsidR="007928A1" w:rsidRDefault="007928A1">
          <w:pPr>
            <w:pStyle w:val="TOC2"/>
            <w:tabs>
              <w:tab w:val="right" w:leader="dot" w:pos="9350"/>
            </w:tabs>
            <w:rPr>
              <w:rFonts w:asciiTheme="minorHAnsi" w:eastAsiaTheme="minorEastAsia" w:hAnsiTheme="minorHAnsi"/>
              <w:noProof/>
              <w:sz w:val="22"/>
            </w:rPr>
          </w:pPr>
          <w:hyperlink w:anchor="_Toc227532010" w:history="1">
            <w:r w:rsidRPr="00112AF4">
              <w:rPr>
                <w:rStyle w:val="Hyperlink"/>
                <w:noProof/>
              </w:rPr>
              <w:t>4.1 Economic Empowerment</w:t>
            </w:r>
            <w:r>
              <w:rPr>
                <w:noProof/>
                <w:webHidden/>
              </w:rPr>
              <w:tab/>
            </w:r>
            <w:r>
              <w:rPr>
                <w:noProof/>
                <w:webHidden/>
              </w:rPr>
              <w:fldChar w:fldCharType="begin"/>
            </w:r>
            <w:r>
              <w:rPr>
                <w:noProof/>
                <w:webHidden/>
              </w:rPr>
              <w:instrText xml:space="preserve"> PAGEREF _Toc227532010 \h </w:instrText>
            </w:r>
            <w:r>
              <w:rPr>
                <w:noProof/>
                <w:webHidden/>
              </w:rPr>
            </w:r>
            <w:r>
              <w:rPr>
                <w:noProof/>
                <w:webHidden/>
              </w:rPr>
              <w:fldChar w:fldCharType="separate"/>
            </w:r>
            <w:r>
              <w:rPr>
                <w:noProof/>
                <w:webHidden/>
              </w:rPr>
              <w:t>13</w:t>
            </w:r>
            <w:r>
              <w:rPr>
                <w:noProof/>
                <w:webHidden/>
              </w:rPr>
              <w:fldChar w:fldCharType="end"/>
            </w:r>
          </w:hyperlink>
        </w:p>
        <w:p w14:paraId="4C004449" w14:textId="49FB670D" w:rsidR="007928A1" w:rsidRDefault="007928A1">
          <w:pPr>
            <w:pStyle w:val="TOC2"/>
            <w:tabs>
              <w:tab w:val="right" w:leader="dot" w:pos="9350"/>
            </w:tabs>
            <w:rPr>
              <w:rFonts w:asciiTheme="minorHAnsi" w:eastAsiaTheme="minorEastAsia" w:hAnsiTheme="minorHAnsi"/>
              <w:noProof/>
              <w:sz w:val="22"/>
            </w:rPr>
          </w:pPr>
          <w:hyperlink w:anchor="_Toc227532011" w:history="1">
            <w:r w:rsidRPr="00112AF4">
              <w:rPr>
                <w:rStyle w:val="Hyperlink"/>
                <w:noProof/>
              </w:rPr>
              <w:t>4.2 Social Empowerment</w:t>
            </w:r>
            <w:r>
              <w:rPr>
                <w:noProof/>
                <w:webHidden/>
              </w:rPr>
              <w:tab/>
            </w:r>
            <w:r>
              <w:rPr>
                <w:noProof/>
                <w:webHidden/>
              </w:rPr>
              <w:fldChar w:fldCharType="begin"/>
            </w:r>
            <w:r>
              <w:rPr>
                <w:noProof/>
                <w:webHidden/>
              </w:rPr>
              <w:instrText xml:space="preserve"> PAGEREF _Toc227532011 \h </w:instrText>
            </w:r>
            <w:r>
              <w:rPr>
                <w:noProof/>
                <w:webHidden/>
              </w:rPr>
            </w:r>
            <w:r>
              <w:rPr>
                <w:noProof/>
                <w:webHidden/>
              </w:rPr>
              <w:fldChar w:fldCharType="separate"/>
            </w:r>
            <w:r>
              <w:rPr>
                <w:noProof/>
                <w:webHidden/>
              </w:rPr>
              <w:t>13</w:t>
            </w:r>
            <w:r>
              <w:rPr>
                <w:noProof/>
                <w:webHidden/>
              </w:rPr>
              <w:fldChar w:fldCharType="end"/>
            </w:r>
          </w:hyperlink>
        </w:p>
        <w:p w14:paraId="414884CD" w14:textId="00B6F53F" w:rsidR="007928A1" w:rsidRDefault="007928A1">
          <w:pPr>
            <w:pStyle w:val="TOC2"/>
            <w:tabs>
              <w:tab w:val="right" w:leader="dot" w:pos="9350"/>
            </w:tabs>
            <w:rPr>
              <w:rFonts w:asciiTheme="minorHAnsi" w:eastAsiaTheme="minorEastAsia" w:hAnsiTheme="minorHAnsi"/>
              <w:noProof/>
              <w:sz w:val="22"/>
            </w:rPr>
          </w:pPr>
          <w:hyperlink w:anchor="_Toc227532012" w:history="1">
            <w:r w:rsidRPr="00112AF4">
              <w:rPr>
                <w:rStyle w:val="Hyperlink"/>
                <w:noProof/>
              </w:rPr>
              <w:t>4.3 Relationship Between Social and Economic Empowerment</w:t>
            </w:r>
            <w:r>
              <w:rPr>
                <w:noProof/>
                <w:webHidden/>
              </w:rPr>
              <w:tab/>
            </w:r>
            <w:r>
              <w:rPr>
                <w:noProof/>
                <w:webHidden/>
              </w:rPr>
              <w:fldChar w:fldCharType="begin"/>
            </w:r>
            <w:r>
              <w:rPr>
                <w:noProof/>
                <w:webHidden/>
              </w:rPr>
              <w:instrText xml:space="preserve"> PAGEREF _Toc227532012 \h </w:instrText>
            </w:r>
            <w:r>
              <w:rPr>
                <w:noProof/>
                <w:webHidden/>
              </w:rPr>
            </w:r>
            <w:r>
              <w:rPr>
                <w:noProof/>
                <w:webHidden/>
              </w:rPr>
              <w:fldChar w:fldCharType="separate"/>
            </w:r>
            <w:r>
              <w:rPr>
                <w:noProof/>
                <w:webHidden/>
              </w:rPr>
              <w:t>14</w:t>
            </w:r>
            <w:r>
              <w:rPr>
                <w:noProof/>
                <w:webHidden/>
              </w:rPr>
              <w:fldChar w:fldCharType="end"/>
            </w:r>
          </w:hyperlink>
        </w:p>
        <w:p w14:paraId="161B95F9" w14:textId="0E218673" w:rsidR="007928A1" w:rsidRDefault="007928A1">
          <w:pPr>
            <w:pStyle w:val="TOC1"/>
            <w:tabs>
              <w:tab w:val="right" w:leader="dot" w:pos="9350"/>
            </w:tabs>
            <w:rPr>
              <w:rFonts w:asciiTheme="minorHAnsi" w:eastAsiaTheme="minorEastAsia" w:hAnsiTheme="minorHAnsi"/>
              <w:noProof/>
              <w:sz w:val="22"/>
            </w:rPr>
          </w:pPr>
          <w:hyperlink w:anchor="_Toc227532013" w:history="1">
            <w:r w:rsidRPr="00112AF4">
              <w:rPr>
                <w:rStyle w:val="Hyperlink"/>
                <w:noProof/>
              </w:rPr>
              <w:t>5. Methodology</w:t>
            </w:r>
            <w:r>
              <w:rPr>
                <w:noProof/>
                <w:webHidden/>
              </w:rPr>
              <w:tab/>
            </w:r>
            <w:r>
              <w:rPr>
                <w:noProof/>
                <w:webHidden/>
              </w:rPr>
              <w:fldChar w:fldCharType="begin"/>
            </w:r>
            <w:r>
              <w:rPr>
                <w:noProof/>
                <w:webHidden/>
              </w:rPr>
              <w:instrText xml:space="preserve"> PAGEREF _Toc227532013 \h </w:instrText>
            </w:r>
            <w:r>
              <w:rPr>
                <w:noProof/>
                <w:webHidden/>
              </w:rPr>
            </w:r>
            <w:r>
              <w:rPr>
                <w:noProof/>
                <w:webHidden/>
              </w:rPr>
              <w:fldChar w:fldCharType="separate"/>
            </w:r>
            <w:r>
              <w:rPr>
                <w:noProof/>
                <w:webHidden/>
              </w:rPr>
              <w:t>14</w:t>
            </w:r>
            <w:r>
              <w:rPr>
                <w:noProof/>
                <w:webHidden/>
              </w:rPr>
              <w:fldChar w:fldCharType="end"/>
            </w:r>
          </w:hyperlink>
        </w:p>
        <w:p w14:paraId="3B5541B5" w14:textId="1397C88D" w:rsidR="007928A1" w:rsidRDefault="007928A1">
          <w:pPr>
            <w:pStyle w:val="TOC2"/>
            <w:tabs>
              <w:tab w:val="right" w:leader="dot" w:pos="9350"/>
            </w:tabs>
            <w:rPr>
              <w:rFonts w:asciiTheme="minorHAnsi" w:eastAsiaTheme="minorEastAsia" w:hAnsiTheme="minorHAnsi"/>
              <w:noProof/>
              <w:sz w:val="22"/>
            </w:rPr>
          </w:pPr>
          <w:hyperlink w:anchor="_Toc227532014" w:history="1">
            <w:r w:rsidRPr="00112AF4">
              <w:rPr>
                <w:rStyle w:val="Hyperlink"/>
                <w:noProof/>
              </w:rPr>
              <w:t>5.1 Research Philosophy</w:t>
            </w:r>
            <w:r>
              <w:rPr>
                <w:noProof/>
                <w:webHidden/>
              </w:rPr>
              <w:tab/>
            </w:r>
            <w:r>
              <w:rPr>
                <w:noProof/>
                <w:webHidden/>
              </w:rPr>
              <w:fldChar w:fldCharType="begin"/>
            </w:r>
            <w:r>
              <w:rPr>
                <w:noProof/>
                <w:webHidden/>
              </w:rPr>
              <w:instrText xml:space="preserve"> PAGEREF _Toc227532014 \h </w:instrText>
            </w:r>
            <w:r>
              <w:rPr>
                <w:noProof/>
                <w:webHidden/>
              </w:rPr>
            </w:r>
            <w:r>
              <w:rPr>
                <w:noProof/>
                <w:webHidden/>
              </w:rPr>
              <w:fldChar w:fldCharType="separate"/>
            </w:r>
            <w:r>
              <w:rPr>
                <w:noProof/>
                <w:webHidden/>
              </w:rPr>
              <w:t>14</w:t>
            </w:r>
            <w:r>
              <w:rPr>
                <w:noProof/>
                <w:webHidden/>
              </w:rPr>
              <w:fldChar w:fldCharType="end"/>
            </w:r>
          </w:hyperlink>
        </w:p>
        <w:p w14:paraId="50C684D6" w14:textId="2FCE5F66" w:rsidR="007928A1" w:rsidRDefault="007928A1">
          <w:pPr>
            <w:pStyle w:val="TOC2"/>
            <w:tabs>
              <w:tab w:val="right" w:leader="dot" w:pos="9350"/>
            </w:tabs>
            <w:rPr>
              <w:rFonts w:asciiTheme="minorHAnsi" w:eastAsiaTheme="minorEastAsia" w:hAnsiTheme="minorHAnsi"/>
              <w:noProof/>
              <w:sz w:val="22"/>
            </w:rPr>
          </w:pPr>
          <w:hyperlink w:anchor="_Toc227532015" w:history="1">
            <w:r w:rsidRPr="00112AF4">
              <w:rPr>
                <w:rStyle w:val="Hyperlink"/>
                <w:noProof/>
              </w:rPr>
              <w:t>5.2 Research Approach</w:t>
            </w:r>
            <w:r>
              <w:rPr>
                <w:noProof/>
                <w:webHidden/>
              </w:rPr>
              <w:tab/>
            </w:r>
            <w:r>
              <w:rPr>
                <w:noProof/>
                <w:webHidden/>
              </w:rPr>
              <w:fldChar w:fldCharType="begin"/>
            </w:r>
            <w:r>
              <w:rPr>
                <w:noProof/>
                <w:webHidden/>
              </w:rPr>
              <w:instrText xml:space="preserve"> PAGEREF _Toc227532015 \h </w:instrText>
            </w:r>
            <w:r>
              <w:rPr>
                <w:noProof/>
                <w:webHidden/>
              </w:rPr>
            </w:r>
            <w:r>
              <w:rPr>
                <w:noProof/>
                <w:webHidden/>
              </w:rPr>
              <w:fldChar w:fldCharType="separate"/>
            </w:r>
            <w:r>
              <w:rPr>
                <w:noProof/>
                <w:webHidden/>
              </w:rPr>
              <w:t>15</w:t>
            </w:r>
            <w:r>
              <w:rPr>
                <w:noProof/>
                <w:webHidden/>
              </w:rPr>
              <w:fldChar w:fldCharType="end"/>
            </w:r>
          </w:hyperlink>
        </w:p>
        <w:p w14:paraId="6AE2D58A" w14:textId="3EE81A3E" w:rsidR="007928A1" w:rsidRDefault="007928A1">
          <w:pPr>
            <w:pStyle w:val="TOC2"/>
            <w:tabs>
              <w:tab w:val="right" w:leader="dot" w:pos="9350"/>
            </w:tabs>
            <w:rPr>
              <w:rFonts w:asciiTheme="minorHAnsi" w:eastAsiaTheme="minorEastAsia" w:hAnsiTheme="minorHAnsi"/>
              <w:noProof/>
              <w:sz w:val="22"/>
            </w:rPr>
          </w:pPr>
          <w:hyperlink w:anchor="_Toc227532016" w:history="1">
            <w:r w:rsidRPr="00112AF4">
              <w:rPr>
                <w:rStyle w:val="Hyperlink"/>
                <w:noProof/>
              </w:rPr>
              <w:t>5.3 Research Design</w:t>
            </w:r>
            <w:r>
              <w:rPr>
                <w:noProof/>
                <w:webHidden/>
              </w:rPr>
              <w:tab/>
            </w:r>
            <w:r>
              <w:rPr>
                <w:noProof/>
                <w:webHidden/>
              </w:rPr>
              <w:fldChar w:fldCharType="begin"/>
            </w:r>
            <w:r>
              <w:rPr>
                <w:noProof/>
                <w:webHidden/>
              </w:rPr>
              <w:instrText xml:space="preserve"> PAGEREF _Toc227532016 \h </w:instrText>
            </w:r>
            <w:r>
              <w:rPr>
                <w:noProof/>
                <w:webHidden/>
              </w:rPr>
            </w:r>
            <w:r>
              <w:rPr>
                <w:noProof/>
                <w:webHidden/>
              </w:rPr>
              <w:fldChar w:fldCharType="separate"/>
            </w:r>
            <w:r>
              <w:rPr>
                <w:noProof/>
                <w:webHidden/>
              </w:rPr>
              <w:t>15</w:t>
            </w:r>
            <w:r>
              <w:rPr>
                <w:noProof/>
                <w:webHidden/>
              </w:rPr>
              <w:fldChar w:fldCharType="end"/>
            </w:r>
          </w:hyperlink>
        </w:p>
        <w:p w14:paraId="1B26FA22" w14:textId="66DFCCE2" w:rsidR="007928A1" w:rsidRDefault="007928A1">
          <w:pPr>
            <w:pStyle w:val="TOC2"/>
            <w:tabs>
              <w:tab w:val="right" w:leader="dot" w:pos="9350"/>
            </w:tabs>
            <w:rPr>
              <w:rFonts w:asciiTheme="minorHAnsi" w:eastAsiaTheme="minorEastAsia" w:hAnsiTheme="minorHAnsi"/>
              <w:noProof/>
              <w:sz w:val="22"/>
            </w:rPr>
          </w:pPr>
          <w:hyperlink w:anchor="_Toc227532017" w:history="1">
            <w:r w:rsidRPr="00112AF4">
              <w:rPr>
                <w:rStyle w:val="Hyperlink"/>
                <w:noProof/>
              </w:rPr>
              <w:t>5.4 Data Collection</w:t>
            </w:r>
            <w:r>
              <w:rPr>
                <w:noProof/>
                <w:webHidden/>
              </w:rPr>
              <w:tab/>
            </w:r>
            <w:r>
              <w:rPr>
                <w:noProof/>
                <w:webHidden/>
              </w:rPr>
              <w:fldChar w:fldCharType="begin"/>
            </w:r>
            <w:r>
              <w:rPr>
                <w:noProof/>
                <w:webHidden/>
              </w:rPr>
              <w:instrText xml:space="preserve"> PAGEREF _Toc227532017 \h </w:instrText>
            </w:r>
            <w:r>
              <w:rPr>
                <w:noProof/>
                <w:webHidden/>
              </w:rPr>
            </w:r>
            <w:r>
              <w:rPr>
                <w:noProof/>
                <w:webHidden/>
              </w:rPr>
              <w:fldChar w:fldCharType="separate"/>
            </w:r>
            <w:r>
              <w:rPr>
                <w:noProof/>
                <w:webHidden/>
              </w:rPr>
              <w:t>16</w:t>
            </w:r>
            <w:r>
              <w:rPr>
                <w:noProof/>
                <w:webHidden/>
              </w:rPr>
              <w:fldChar w:fldCharType="end"/>
            </w:r>
          </w:hyperlink>
        </w:p>
        <w:p w14:paraId="4156AC83" w14:textId="650E3681" w:rsidR="007928A1" w:rsidRDefault="007928A1">
          <w:pPr>
            <w:pStyle w:val="TOC2"/>
            <w:tabs>
              <w:tab w:val="right" w:leader="dot" w:pos="9350"/>
            </w:tabs>
            <w:rPr>
              <w:rFonts w:asciiTheme="minorHAnsi" w:eastAsiaTheme="minorEastAsia" w:hAnsiTheme="minorHAnsi"/>
              <w:noProof/>
              <w:sz w:val="22"/>
            </w:rPr>
          </w:pPr>
          <w:hyperlink w:anchor="_Toc227532018" w:history="1">
            <w:r w:rsidRPr="00112AF4">
              <w:rPr>
                <w:rStyle w:val="Hyperlink"/>
                <w:noProof/>
              </w:rPr>
              <w:t>5.5 Sampling Strategy</w:t>
            </w:r>
            <w:r>
              <w:rPr>
                <w:noProof/>
                <w:webHidden/>
              </w:rPr>
              <w:tab/>
            </w:r>
            <w:r>
              <w:rPr>
                <w:noProof/>
                <w:webHidden/>
              </w:rPr>
              <w:fldChar w:fldCharType="begin"/>
            </w:r>
            <w:r>
              <w:rPr>
                <w:noProof/>
                <w:webHidden/>
              </w:rPr>
              <w:instrText xml:space="preserve"> PAGEREF _Toc227532018 \h </w:instrText>
            </w:r>
            <w:r>
              <w:rPr>
                <w:noProof/>
                <w:webHidden/>
              </w:rPr>
            </w:r>
            <w:r>
              <w:rPr>
                <w:noProof/>
                <w:webHidden/>
              </w:rPr>
              <w:fldChar w:fldCharType="separate"/>
            </w:r>
            <w:r>
              <w:rPr>
                <w:noProof/>
                <w:webHidden/>
              </w:rPr>
              <w:t>16</w:t>
            </w:r>
            <w:r>
              <w:rPr>
                <w:noProof/>
                <w:webHidden/>
              </w:rPr>
              <w:fldChar w:fldCharType="end"/>
            </w:r>
          </w:hyperlink>
        </w:p>
        <w:p w14:paraId="35250657" w14:textId="2933A93F" w:rsidR="007928A1" w:rsidRDefault="007928A1">
          <w:pPr>
            <w:pStyle w:val="TOC2"/>
            <w:tabs>
              <w:tab w:val="right" w:leader="dot" w:pos="9350"/>
            </w:tabs>
            <w:rPr>
              <w:rFonts w:asciiTheme="minorHAnsi" w:eastAsiaTheme="minorEastAsia" w:hAnsiTheme="minorHAnsi"/>
              <w:noProof/>
              <w:sz w:val="22"/>
            </w:rPr>
          </w:pPr>
          <w:hyperlink w:anchor="_Toc227532019" w:history="1">
            <w:r w:rsidRPr="00112AF4">
              <w:rPr>
                <w:rStyle w:val="Hyperlink"/>
                <w:noProof/>
              </w:rPr>
              <w:t>5.6 Data Analysis</w:t>
            </w:r>
            <w:r>
              <w:rPr>
                <w:noProof/>
                <w:webHidden/>
              </w:rPr>
              <w:tab/>
            </w:r>
            <w:r>
              <w:rPr>
                <w:noProof/>
                <w:webHidden/>
              </w:rPr>
              <w:fldChar w:fldCharType="begin"/>
            </w:r>
            <w:r>
              <w:rPr>
                <w:noProof/>
                <w:webHidden/>
              </w:rPr>
              <w:instrText xml:space="preserve"> PAGEREF _Toc227532019 \h </w:instrText>
            </w:r>
            <w:r>
              <w:rPr>
                <w:noProof/>
                <w:webHidden/>
              </w:rPr>
            </w:r>
            <w:r>
              <w:rPr>
                <w:noProof/>
                <w:webHidden/>
              </w:rPr>
              <w:fldChar w:fldCharType="separate"/>
            </w:r>
            <w:r>
              <w:rPr>
                <w:noProof/>
                <w:webHidden/>
              </w:rPr>
              <w:t>16</w:t>
            </w:r>
            <w:r>
              <w:rPr>
                <w:noProof/>
                <w:webHidden/>
              </w:rPr>
              <w:fldChar w:fldCharType="end"/>
            </w:r>
          </w:hyperlink>
        </w:p>
        <w:p w14:paraId="68710EE5" w14:textId="0057FF48" w:rsidR="007928A1" w:rsidRDefault="007928A1">
          <w:pPr>
            <w:pStyle w:val="TOC1"/>
            <w:tabs>
              <w:tab w:val="right" w:leader="dot" w:pos="9350"/>
            </w:tabs>
            <w:rPr>
              <w:rFonts w:asciiTheme="minorHAnsi" w:eastAsiaTheme="minorEastAsia" w:hAnsiTheme="minorHAnsi"/>
              <w:noProof/>
              <w:sz w:val="22"/>
            </w:rPr>
          </w:pPr>
          <w:hyperlink w:anchor="_Toc227532020" w:history="1">
            <w:r w:rsidRPr="00112AF4">
              <w:rPr>
                <w:rStyle w:val="Hyperlink"/>
                <w:noProof/>
              </w:rPr>
              <w:t>6. Results</w:t>
            </w:r>
            <w:r>
              <w:rPr>
                <w:noProof/>
                <w:webHidden/>
              </w:rPr>
              <w:tab/>
            </w:r>
            <w:r>
              <w:rPr>
                <w:noProof/>
                <w:webHidden/>
              </w:rPr>
              <w:fldChar w:fldCharType="begin"/>
            </w:r>
            <w:r>
              <w:rPr>
                <w:noProof/>
                <w:webHidden/>
              </w:rPr>
              <w:instrText xml:space="preserve"> PAGEREF _Toc227532020 \h </w:instrText>
            </w:r>
            <w:r>
              <w:rPr>
                <w:noProof/>
                <w:webHidden/>
              </w:rPr>
            </w:r>
            <w:r>
              <w:rPr>
                <w:noProof/>
                <w:webHidden/>
              </w:rPr>
              <w:fldChar w:fldCharType="separate"/>
            </w:r>
            <w:r>
              <w:rPr>
                <w:noProof/>
                <w:webHidden/>
              </w:rPr>
              <w:t>17</w:t>
            </w:r>
            <w:r>
              <w:rPr>
                <w:noProof/>
                <w:webHidden/>
              </w:rPr>
              <w:fldChar w:fldCharType="end"/>
            </w:r>
          </w:hyperlink>
        </w:p>
        <w:p w14:paraId="5455587B" w14:textId="4376778E" w:rsidR="007928A1" w:rsidRDefault="007928A1">
          <w:pPr>
            <w:pStyle w:val="TOC1"/>
            <w:tabs>
              <w:tab w:val="right" w:leader="dot" w:pos="9350"/>
            </w:tabs>
            <w:rPr>
              <w:rFonts w:asciiTheme="minorHAnsi" w:eastAsiaTheme="minorEastAsia" w:hAnsiTheme="minorHAnsi"/>
              <w:noProof/>
              <w:sz w:val="22"/>
            </w:rPr>
          </w:pPr>
          <w:hyperlink w:anchor="_Toc227532021" w:history="1">
            <w:r w:rsidRPr="00112AF4">
              <w:rPr>
                <w:rStyle w:val="Hyperlink"/>
                <w:noProof/>
              </w:rPr>
              <w:t>7. Discussion</w:t>
            </w:r>
            <w:r>
              <w:rPr>
                <w:noProof/>
                <w:webHidden/>
              </w:rPr>
              <w:tab/>
            </w:r>
            <w:r>
              <w:rPr>
                <w:noProof/>
                <w:webHidden/>
              </w:rPr>
              <w:fldChar w:fldCharType="begin"/>
            </w:r>
            <w:r>
              <w:rPr>
                <w:noProof/>
                <w:webHidden/>
              </w:rPr>
              <w:instrText xml:space="preserve"> PAGEREF _Toc227532021 \h </w:instrText>
            </w:r>
            <w:r>
              <w:rPr>
                <w:noProof/>
                <w:webHidden/>
              </w:rPr>
            </w:r>
            <w:r>
              <w:rPr>
                <w:noProof/>
                <w:webHidden/>
              </w:rPr>
              <w:fldChar w:fldCharType="separate"/>
            </w:r>
            <w:r>
              <w:rPr>
                <w:noProof/>
                <w:webHidden/>
              </w:rPr>
              <w:t>23</w:t>
            </w:r>
            <w:r>
              <w:rPr>
                <w:noProof/>
                <w:webHidden/>
              </w:rPr>
              <w:fldChar w:fldCharType="end"/>
            </w:r>
          </w:hyperlink>
        </w:p>
        <w:p w14:paraId="69305919" w14:textId="17980C1F" w:rsidR="007928A1" w:rsidRDefault="007928A1">
          <w:pPr>
            <w:pStyle w:val="TOC1"/>
            <w:tabs>
              <w:tab w:val="right" w:leader="dot" w:pos="9350"/>
            </w:tabs>
            <w:rPr>
              <w:rFonts w:asciiTheme="minorHAnsi" w:eastAsiaTheme="minorEastAsia" w:hAnsiTheme="minorHAnsi"/>
              <w:noProof/>
              <w:sz w:val="22"/>
            </w:rPr>
          </w:pPr>
          <w:hyperlink w:anchor="_Toc227532022" w:history="1">
            <w:r w:rsidRPr="00112AF4">
              <w:rPr>
                <w:rStyle w:val="Hyperlink"/>
                <w:noProof/>
              </w:rPr>
              <w:t>8. Conclusion</w:t>
            </w:r>
            <w:r>
              <w:rPr>
                <w:noProof/>
                <w:webHidden/>
              </w:rPr>
              <w:tab/>
            </w:r>
            <w:r>
              <w:rPr>
                <w:noProof/>
                <w:webHidden/>
              </w:rPr>
              <w:fldChar w:fldCharType="begin"/>
            </w:r>
            <w:r>
              <w:rPr>
                <w:noProof/>
                <w:webHidden/>
              </w:rPr>
              <w:instrText xml:space="preserve"> PAGEREF _Toc227532022 \h </w:instrText>
            </w:r>
            <w:r>
              <w:rPr>
                <w:noProof/>
                <w:webHidden/>
              </w:rPr>
            </w:r>
            <w:r>
              <w:rPr>
                <w:noProof/>
                <w:webHidden/>
              </w:rPr>
              <w:fldChar w:fldCharType="separate"/>
            </w:r>
            <w:r>
              <w:rPr>
                <w:noProof/>
                <w:webHidden/>
              </w:rPr>
              <w:t>25</w:t>
            </w:r>
            <w:r>
              <w:rPr>
                <w:noProof/>
                <w:webHidden/>
              </w:rPr>
              <w:fldChar w:fldCharType="end"/>
            </w:r>
          </w:hyperlink>
        </w:p>
        <w:p w14:paraId="7ED6FBEE" w14:textId="28CAABBF" w:rsidR="007928A1" w:rsidRDefault="007928A1">
          <w:pPr>
            <w:pStyle w:val="TOC1"/>
            <w:tabs>
              <w:tab w:val="right" w:leader="dot" w:pos="9350"/>
            </w:tabs>
            <w:rPr>
              <w:rFonts w:asciiTheme="minorHAnsi" w:eastAsiaTheme="minorEastAsia" w:hAnsiTheme="minorHAnsi"/>
              <w:noProof/>
              <w:sz w:val="22"/>
            </w:rPr>
          </w:pPr>
          <w:hyperlink w:anchor="_Toc227532023" w:history="1">
            <w:r w:rsidRPr="00112AF4">
              <w:rPr>
                <w:rStyle w:val="Hyperlink"/>
                <w:noProof/>
              </w:rPr>
              <w:t>9. Future Research</w:t>
            </w:r>
            <w:r>
              <w:rPr>
                <w:noProof/>
                <w:webHidden/>
              </w:rPr>
              <w:tab/>
            </w:r>
            <w:r>
              <w:rPr>
                <w:noProof/>
                <w:webHidden/>
              </w:rPr>
              <w:fldChar w:fldCharType="begin"/>
            </w:r>
            <w:r>
              <w:rPr>
                <w:noProof/>
                <w:webHidden/>
              </w:rPr>
              <w:instrText xml:space="preserve"> PAGEREF _Toc227532023 \h </w:instrText>
            </w:r>
            <w:r>
              <w:rPr>
                <w:noProof/>
                <w:webHidden/>
              </w:rPr>
            </w:r>
            <w:r>
              <w:rPr>
                <w:noProof/>
                <w:webHidden/>
              </w:rPr>
              <w:fldChar w:fldCharType="separate"/>
            </w:r>
            <w:r>
              <w:rPr>
                <w:noProof/>
                <w:webHidden/>
              </w:rPr>
              <w:t>25</w:t>
            </w:r>
            <w:r>
              <w:rPr>
                <w:noProof/>
                <w:webHidden/>
              </w:rPr>
              <w:fldChar w:fldCharType="end"/>
            </w:r>
          </w:hyperlink>
        </w:p>
        <w:p w14:paraId="188BD03A" w14:textId="574387E7" w:rsidR="007928A1" w:rsidRDefault="007928A1">
          <w:pPr>
            <w:pStyle w:val="TOC1"/>
            <w:tabs>
              <w:tab w:val="right" w:leader="dot" w:pos="9350"/>
            </w:tabs>
            <w:rPr>
              <w:rFonts w:asciiTheme="minorHAnsi" w:eastAsiaTheme="minorEastAsia" w:hAnsiTheme="minorHAnsi"/>
              <w:noProof/>
              <w:sz w:val="22"/>
            </w:rPr>
          </w:pPr>
          <w:hyperlink w:anchor="_Toc227532024" w:history="1">
            <w:r w:rsidRPr="00112AF4">
              <w:rPr>
                <w:rStyle w:val="Hyperlink"/>
                <w:noProof/>
              </w:rPr>
              <w:t>10. Ethical Considerations</w:t>
            </w:r>
            <w:r>
              <w:rPr>
                <w:noProof/>
                <w:webHidden/>
              </w:rPr>
              <w:tab/>
            </w:r>
            <w:r>
              <w:rPr>
                <w:noProof/>
                <w:webHidden/>
              </w:rPr>
              <w:fldChar w:fldCharType="begin"/>
            </w:r>
            <w:r>
              <w:rPr>
                <w:noProof/>
                <w:webHidden/>
              </w:rPr>
              <w:instrText xml:space="preserve"> PAGEREF _Toc227532024 \h </w:instrText>
            </w:r>
            <w:r>
              <w:rPr>
                <w:noProof/>
                <w:webHidden/>
              </w:rPr>
            </w:r>
            <w:r>
              <w:rPr>
                <w:noProof/>
                <w:webHidden/>
              </w:rPr>
              <w:fldChar w:fldCharType="separate"/>
            </w:r>
            <w:r>
              <w:rPr>
                <w:noProof/>
                <w:webHidden/>
              </w:rPr>
              <w:t>26</w:t>
            </w:r>
            <w:r>
              <w:rPr>
                <w:noProof/>
                <w:webHidden/>
              </w:rPr>
              <w:fldChar w:fldCharType="end"/>
            </w:r>
          </w:hyperlink>
        </w:p>
        <w:p w14:paraId="46BFF0CD" w14:textId="5076D508" w:rsidR="007928A1" w:rsidRDefault="007928A1">
          <w:pPr>
            <w:pStyle w:val="TOC2"/>
            <w:tabs>
              <w:tab w:val="right" w:leader="dot" w:pos="9350"/>
            </w:tabs>
            <w:rPr>
              <w:rFonts w:asciiTheme="minorHAnsi" w:eastAsiaTheme="minorEastAsia" w:hAnsiTheme="minorHAnsi"/>
              <w:noProof/>
              <w:sz w:val="22"/>
            </w:rPr>
          </w:pPr>
          <w:hyperlink w:anchor="_Toc227532025" w:history="1">
            <w:r w:rsidRPr="00112AF4">
              <w:rPr>
                <w:rStyle w:val="Hyperlink"/>
                <w:noProof/>
              </w:rPr>
              <w:t>10.1 Informed Consent</w:t>
            </w:r>
            <w:r>
              <w:rPr>
                <w:noProof/>
                <w:webHidden/>
              </w:rPr>
              <w:tab/>
            </w:r>
            <w:r>
              <w:rPr>
                <w:noProof/>
                <w:webHidden/>
              </w:rPr>
              <w:fldChar w:fldCharType="begin"/>
            </w:r>
            <w:r>
              <w:rPr>
                <w:noProof/>
                <w:webHidden/>
              </w:rPr>
              <w:instrText xml:space="preserve"> PAGEREF _Toc227532025 \h </w:instrText>
            </w:r>
            <w:r>
              <w:rPr>
                <w:noProof/>
                <w:webHidden/>
              </w:rPr>
            </w:r>
            <w:r>
              <w:rPr>
                <w:noProof/>
                <w:webHidden/>
              </w:rPr>
              <w:fldChar w:fldCharType="separate"/>
            </w:r>
            <w:r>
              <w:rPr>
                <w:noProof/>
                <w:webHidden/>
              </w:rPr>
              <w:t>26</w:t>
            </w:r>
            <w:r>
              <w:rPr>
                <w:noProof/>
                <w:webHidden/>
              </w:rPr>
              <w:fldChar w:fldCharType="end"/>
            </w:r>
          </w:hyperlink>
        </w:p>
        <w:p w14:paraId="4C85B6FF" w14:textId="6CA0360A" w:rsidR="007928A1" w:rsidRDefault="007928A1">
          <w:pPr>
            <w:pStyle w:val="TOC2"/>
            <w:tabs>
              <w:tab w:val="right" w:leader="dot" w:pos="9350"/>
            </w:tabs>
            <w:rPr>
              <w:rFonts w:asciiTheme="minorHAnsi" w:eastAsiaTheme="minorEastAsia" w:hAnsiTheme="minorHAnsi"/>
              <w:noProof/>
              <w:sz w:val="22"/>
            </w:rPr>
          </w:pPr>
          <w:hyperlink w:anchor="_Toc227532026" w:history="1">
            <w:r w:rsidRPr="00112AF4">
              <w:rPr>
                <w:rStyle w:val="Hyperlink"/>
                <w:noProof/>
              </w:rPr>
              <w:t>10.2 Confidentiality</w:t>
            </w:r>
            <w:r>
              <w:rPr>
                <w:noProof/>
                <w:webHidden/>
              </w:rPr>
              <w:tab/>
            </w:r>
            <w:r>
              <w:rPr>
                <w:noProof/>
                <w:webHidden/>
              </w:rPr>
              <w:fldChar w:fldCharType="begin"/>
            </w:r>
            <w:r>
              <w:rPr>
                <w:noProof/>
                <w:webHidden/>
              </w:rPr>
              <w:instrText xml:space="preserve"> PAGEREF _Toc227532026 \h </w:instrText>
            </w:r>
            <w:r>
              <w:rPr>
                <w:noProof/>
                <w:webHidden/>
              </w:rPr>
            </w:r>
            <w:r>
              <w:rPr>
                <w:noProof/>
                <w:webHidden/>
              </w:rPr>
              <w:fldChar w:fldCharType="separate"/>
            </w:r>
            <w:r>
              <w:rPr>
                <w:noProof/>
                <w:webHidden/>
              </w:rPr>
              <w:t>26</w:t>
            </w:r>
            <w:r>
              <w:rPr>
                <w:noProof/>
                <w:webHidden/>
              </w:rPr>
              <w:fldChar w:fldCharType="end"/>
            </w:r>
          </w:hyperlink>
        </w:p>
        <w:p w14:paraId="40CA3C43" w14:textId="3251B4D6" w:rsidR="007928A1" w:rsidRDefault="007928A1">
          <w:pPr>
            <w:pStyle w:val="TOC2"/>
            <w:tabs>
              <w:tab w:val="right" w:leader="dot" w:pos="9350"/>
            </w:tabs>
            <w:rPr>
              <w:rFonts w:asciiTheme="minorHAnsi" w:eastAsiaTheme="minorEastAsia" w:hAnsiTheme="minorHAnsi"/>
              <w:noProof/>
              <w:sz w:val="22"/>
            </w:rPr>
          </w:pPr>
          <w:hyperlink w:anchor="_Toc227532027" w:history="1">
            <w:r w:rsidRPr="00112AF4">
              <w:rPr>
                <w:rStyle w:val="Hyperlink"/>
                <w:noProof/>
              </w:rPr>
              <w:t>10.3 Reduction of Harm</w:t>
            </w:r>
            <w:r>
              <w:rPr>
                <w:noProof/>
                <w:webHidden/>
              </w:rPr>
              <w:tab/>
            </w:r>
            <w:r>
              <w:rPr>
                <w:noProof/>
                <w:webHidden/>
              </w:rPr>
              <w:fldChar w:fldCharType="begin"/>
            </w:r>
            <w:r>
              <w:rPr>
                <w:noProof/>
                <w:webHidden/>
              </w:rPr>
              <w:instrText xml:space="preserve"> PAGEREF _Toc227532027 \h </w:instrText>
            </w:r>
            <w:r>
              <w:rPr>
                <w:noProof/>
                <w:webHidden/>
              </w:rPr>
            </w:r>
            <w:r>
              <w:rPr>
                <w:noProof/>
                <w:webHidden/>
              </w:rPr>
              <w:fldChar w:fldCharType="separate"/>
            </w:r>
            <w:r>
              <w:rPr>
                <w:noProof/>
                <w:webHidden/>
              </w:rPr>
              <w:t>26</w:t>
            </w:r>
            <w:r>
              <w:rPr>
                <w:noProof/>
                <w:webHidden/>
              </w:rPr>
              <w:fldChar w:fldCharType="end"/>
            </w:r>
          </w:hyperlink>
        </w:p>
        <w:p w14:paraId="2976B833" w14:textId="73EAB839" w:rsidR="007928A1" w:rsidRDefault="007928A1">
          <w:pPr>
            <w:pStyle w:val="TOC2"/>
            <w:tabs>
              <w:tab w:val="right" w:leader="dot" w:pos="9350"/>
            </w:tabs>
            <w:rPr>
              <w:rFonts w:asciiTheme="minorHAnsi" w:eastAsiaTheme="minorEastAsia" w:hAnsiTheme="minorHAnsi"/>
              <w:noProof/>
              <w:sz w:val="22"/>
            </w:rPr>
          </w:pPr>
          <w:hyperlink w:anchor="_Toc227532028" w:history="1">
            <w:r w:rsidRPr="00112AF4">
              <w:rPr>
                <w:rStyle w:val="Hyperlink"/>
                <w:noProof/>
              </w:rPr>
              <w:t>10.4 Neutrality of Researcher</w:t>
            </w:r>
            <w:r>
              <w:rPr>
                <w:noProof/>
                <w:webHidden/>
              </w:rPr>
              <w:tab/>
            </w:r>
            <w:r>
              <w:rPr>
                <w:noProof/>
                <w:webHidden/>
              </w:rPr>
              <w:fldChar w:fldCharType="begin"/>
            </w:r>
            <w:r>
              <w:rPr>
                <w:noProof/>
                <w:webHidden/>
              </w:rPr>
              <w:instrText xml:space="preserve"> PAGEREF _Toc227532028 \h </w:instrText>
            </w:r>
            <w:r>
              <w:rPr>
                <w:noProof/>
                <w:webHidden/>
              </w:rPr>
            </w:r>
            <w:r>
              <w:rPr>
                <w:noProof/>
                <w:webHidden/>
              </w:rPr>
              <w:fldChar w:fldCharType="separate"/>
            </w:r>
            <w:r>
              <w:rPr>
                <w:noProof/>
                <w:webHidden/>
              </w:rPr>
              <w:t>26</w:t>
            </w:r>
            <w:r>
              <w:rPr>
                <w:noProof/>
                <w:webHidden/>
              </w:rPr>
              <w:fldChar w:fldCharType="end"/>
            </w:r>
          </w:hyperlink>
        </w:p>
        <w:p w14:paraId="4A85388B" w14:textId="179015F9" w:rsidR="007928A1" w:rsidRDefault="007928A1">
          <w:pPr>
            <w:pStyle w:val="TOC2"/>
            <w:tabs>
              <w:tab w:val="right" w:leader="dot" w:pos="9350"/>
            </w:tabs>
            <w:rPr>
              <w:rFonts w:asciiTheme="minorHAnsi" w:eastAsiaTheme="minorEastAsia" w:hAnsiTheme="minorHAnsi"/>
              <w:noProof/>
              <w:sz w:val="22"/>
            </w:rPr>
          </w:pPr>
          <w:hyperlink w:anchor="_Toc227532029" w:history="1">
            <w:r w:rsidRPr="00112AF4">
              <w:rPr>
                <w:rStyle w:val="Hyperlink"/>
                <w:noProof/>
              </w:rPr>
              <w:t>10.5 Non-maleficence and Beneficence</w:t>
            </w:r>
            <w:r>
              <w:rPr>
                <w:noProof/>
                <w:webHidden/>
              </w:rPr>
              <w:tab/>
            </w:r>
            <w:r>
              <w:rPr>
                <w:noProof/>
                <w:webHidden/>
              </w:rPr>
              <w:fldChar w:fldCharType="begin"/>
            </w:r>
            <w:r>
              <w:rPr>
                <w:noProof/>
                <w:webHidden/>
              </w:rPr>
              <w:instrText xml:space="preserve"> PAGEREF _Toc227532029 \h </w:instrText>
            </w:r>
            <w:r>
              <w:rPr>
                <w:noProof/>
                <w:webHidden/>
              </w:rPr>
            </w:r>
            <w:r>
              <w:rPr>
                <w:noProof/>
                <w:webHidden/>
              </w:rPr>
              <w:fldChar w:fldCharType="separate"/>
            </w:r>
            <w:r>
              <w:rPr>
                <w:noProof/>
                <w:webHidden/>
              </w:rPr>
              <w:t>26</w:t>
            </w:r>
            <w:r>
              <w:rPr>
                <w:noProof/>
                <w:webHidden/>
              </w:rPr>
              <w:fldChar w:fldCharType="end"/>
            </w:r>
          </w:hyperlink>
        </w:p>
        <w:p w14:paraId="73D7194A" w14:textId="3D44FFAD" w:rsidR="007928A1" w:rsidRDefault="007928A1">
          <w:pPr>
            <w:pStyle w:val="TOC2"/>
            <w:tabs>
              <w:tab w:val="right" w:leader="dot" w:pos="9350"/>
            </w:tabs>
            <w:rPr>
              <w:rFonts w:asciiTheme="minorHAnsi" w:eastAsiaTheme="minorEastAsia" w:hAnsiTheme="minorHAnsi"/>
              <w:noProof/>
              <w:sz w:val="22"/>
            </w:rPr>
          </w:pPr>
          <w:hyperlink w:anchor="_Toc227532030" w:history="1">
            <w:r w:rsidRPr="00112AF4">
              <w:rPr>
                <w:rStyle w:val="Hyperlink"/>
                <w:noProof/>
              </w:rPr>
              <w:t>10.6 Transparency</w:t>
            </w:r>
            <w:r>
              <w:rPr>
                <w:noProof/>
                <w:webHidden/>
              </w:rPr>
              <w:tab/>
            </w:r>
            <w:r>
              <w:rPr>
                <w:noProof/>
                <w:webHidden/>
              </w:rPr>
              <w:fldChar w:fldCharType="begin"/>
            </w:r>
            <w:r>
              <w:rPr>
                <w:noProof/>
                <w:webHidden/>
              </w:rPr>
              <w:instrText xml:space="preserve"> PAGEREF _Toc227532030 \h </w:instrText>
            </w:r>
            <w:r>
              <w:rPr>
                <w:noProof/>
                <w:webHidden/>
              </w:rPr>
            </w:r>
            <w:r>
              <w:rPr>
                <w:noProof/>
                <w:webHidden/>
              </w:rPr>
              <w:fldChar w:fldCharType="separate"/>
            </w:r>
            <w:r>
              <w:rPr>
                <w:noProof/>
                <w:webHidden/>
              </w:rPr>
              <w:t>26</w:t>
            </w:r>
            <w:r>
              <w:rPr>
                <w:noProof/>
                <w:webHidden/>
              </w:rPr>
              <w:fldChar w:fldCharType="end"/>
            </w:r>
          </w:hyperlink>
        </w:p>
        <w:p w14:paraId="1DF22232" w14:textId="2ADECD56" w:rsidR="007928A1" w:rsidRDefault="007928A1">
          <w:pPr>
            <w:pStyle w:val="TOC2"/>
            <w:tabs>
              <w:tab w:val="right" w:leader="dot" w:pos="9350"/>
            </w:tabs>
            <w:rPr>
              <w:rFonts w:asciiTheme="minorHAnsi" w:eastAsiaTheme="minorEastAsia" w:hAnsiTheme="minorHAnsi"/>
              <w:noProof/>
              <w:sz w:val="22"/>
            </w:rPr>
          </w:pPr>
          <w:hyperlink w:anchor="_Toc227532031" w:history="1">
            <w:r w:rsidRPr="00112AF4">
              <w:rPr>
                <w:rStyle w:val="Hyperlink"/>
                <w:noProof/>
              </w:rPr>
              <w:t>10.7 Observance of Institutional Guidelines</w:t>
            </w:r>
            <w:r>
              <w:rPr>
                <w:noProof/>
                <w:webHidden/>
              </w:rPr>
              <w:tab/>
            </w:r>
            <w:r>
              <w:rPr>
                <w:noProof/>
                <w:webHidden/>
              </w:rPr>
              <w:fldChar w:fldCharType="begin"/>
            </w:r>
            <w:r>
              <w:rPr>
                <w:noProof/>
                <w:webHidden/>
              </w:rPr>
              <w:instrText xml:space="preserve"> PAGEREF _Toc227532031 \h </w:instrText>
            </w:r>
            <w:r>
              <w:rPr>
                <w:noProof/>
                <w:webHidden/>
              </w:rPr>
            </w:r>
            <w:r>
              <w:rPr>
                <w:noProof/>
                <w:webHidden/>
              </w:rPr>
              <w:fldChar w:fldCharType="separate"/>
            </w:r>
            <w:r>
              <w:rPr>
                <w:noProof/>
                <w:webHidden/>
              </w:rPr>
              <w:t>27</w:t>
            </w:r>
            <w:r>
              <w:rPr>
                <w:noProof/>
                <w:webHidden/>
              </w:rPr>
              <w:fldChar w:fldCharType="end"/>
            </w:r>
          </w:hyperlink>
        </w:p>
        <w:p w14:paraId="6D16AACF" w14:textId="1DECEB6E" w:rsidR="007928A1" w:rsidRDefault="007928A1">
          <w:pPr>
            <w:pStyle w:val="TOC1"/>
            <w:tabs>
              <w:tab w:val="right" w:leader="dot" w:pos="9350"/>
            </w:tabs>
            <w:rPr>
              <w:rFonts w:asciiTheme="minorHAnsi" w:eastAsiaTheme="minorEastAsia" w:hAnsiTheme="minorHAnsi"/>
              <w:noProof/>
              <w:sz w:val="22"/>
            </w:rPr>
          </w:pPr>
          <w:hyperlink w:anchor="_Toc227532032" w:history="1">
            <w:r w:rsidRPr="00112AF4">
              <w:rPr>
                <w:rStyle w:val="Hyperlink"/>
                <w:noProof/>
              </w:rPr>
              <w:t>Part 2: Reflective Account</w:t>
            </w:r>
            <w:r>
              <w:rPr>
                <w:noProof/>
                <w:webHidden/>
              </w:rPr>
              <w:tab/>
            </w:r>
            <w:r>
              <w:rPr>
                <w:noProof/>
                <w:webHidden/>
              </w:rPr>
              <w:fldChar w:fldCharType="begin"/>
            </w:r>
            <w:r>
              <w:rPr>
                <w:noProof/>
                <w:webHidden/>
              </w:rPr>
              <w:instrText xml:space="preserve"> PAGEREF _Toc227532032 \h </w:instrText>
            </w:r>
            <w:r>
              <w:rPr>
                <w:noProof/>
                <w:webHidden/>
              </w:rPr>
            </w:r>
            <w:r>
              <w:rPr>
                <w:noProof/>
                <w:webHidden/>
              </w:rPr>
              <w:fldChar w:fldCharType="separate"/>
            </w:r>
            <w:r>
              <w:rPr>
                <w:noProof/>
                <w:webHidden/>
              </w:rPr>
              <w:t>28</w:t>
            </w:r>
            <w:r>
              <w:rPr>
                <w:noProof/>
                <w:webHidden/>
              </w:rPr>
              <w:fldChar w:fldCharType="end"/>
            </w:r>
          </w:hyperlink>
        </w:p>
        <w:p w14:paraId="19A3AE74" w14:textId="4BBF3678" w:rsidR="007928A1" w:rsidRDefault="007928A1">
          <w:pPr>
            <w:pStyle w:val="TOC2"/>
            <w:tabs>
              <w:tab w:val="right" w:leader="dot" w:pos="9350"/>
            </w:tabs>
            <w:rPr>
              <w:rFonts w:asciiTheme="minorHAnsi" w:eastAsiaTheme="minorEastAsia" w:hAnsiTheme="minorHAnsi"/>
              <w:noProof/>
              <w:sz w:val="22"/>
            </w:rPr>
          </w:pPr>
          <w:hyperlink w:anchor="_Toc227532033" w:history="1">
            <w:r w:rsidRPr="00112AF4">
              <w:rPr>
                <w:rStyle w:val="Hyperlink"/>
                <w:noProof/>
              </w:rPr>
              <w:t>Introduction</w:t>
            </w:r>
            <w:r>
              <w:rPr>
                <w:noProof/>
                <w:webHidden/>
              </w:rPr>
              <w:tab/>
            </w:r>
            <w:r>
              <w:rPr>
                <w:noProof/>
                <w:webHidden/>
              </w:rPr>
              <w:fldChar w:fldCharType="begin"/>
            </w:r>
            <w:r>
              <w:rPr>
                <w:noProof/>
                <w:webHidden/>
              </w:rPr>
              <w:instrText xml:space="preserve"> PAGEREF _Toc227532033 \h </w:instrText>
            </w:r>
            <w:r>
              <w:rPr>
                <w:noProof/>
                <w:webHidden/>
              </w:rPr>
            </w:r>
            <w:r>
              <w:rPr>
                <w:noProof/>
                <w:webHidden/>
              </w:rPr>
              <w:fldChar w:fldCharType="separate"/>
            </w:r>
            <w:r>
              <w:rPr>
                <w:noProof/>
                <w:webHidden/>
              </w:rPr>
              <w:t>28</w:t>
            </w:r>
            <w:r>
              <w:rPr>
                <w:noProof/>
                <w:webHidden/>
              </w:rPr>
              <w:fldChar w:fldCharType="end"/>
            </w:r>
          </w:hyperlink>
        </w:p>
        <w:p w14:paraId="3768574E" w14:textId="64FA39A7" w:rsidR="007928A1" w:rsidRDefault="007928A1">
          <w:pPr>
            <w:pStyle w:val="TOC2"/>
            <w:tabs>
              <w:tab w:val="right" w:leader="dot" w:pos="9350"/>
            </w:tabs>
            <w:rPr>
              <w:rFonts w:asciiTheme="minorHAnsi" w:eastAsiaTheme="minorEastAsia" w:hAnsiTheme="minorHAnsi"/>
              <w:noProof/>
              <w:sz w:val="22"/>
            </w:rPr>
          </w:pPr>
          <w:hyperlink w:anchor="_Toc227532034" w:history="1">
            <w:r w:rsidRPr="00112AF4">
              <w:rPr>
                <w:rStyle w:val="Hyperlink"/>
                <w:noProof/>
              </w:rPr>
              <w:t>Research Design</w:t>
            </w:r>
            <w:r>
              <w:rPr>
                <w:noProof/>
                <w:webHidden/>
              </w:rPr>
              <w:tab/>
            </w:r>
            <w:r>
              <w:rPr>
                <w:noProof/>
                <w:webHidden/>
              </w:rPr>
              <w:fldChar w:fldCharType="begin"/>
            </w:r>
            <w:r>
              <w:rPr>
                <w:noProof/>
                <w:webHidden/>
              </w:rPr>
              <w:instrText xml:space="preserve"> PAGEREF _Toc227532034 \h </w:instrText>
            </w:r>
            <w:r>
              <w:rPr>
                <w:noProof/>
                <w:webHidden/>
              </w:rPr>
            </w:r>
            <w:r>
              <w:rPr>
                <w:noProof/>
                <w:webHidden/>
              </w:rPr>
              <w:fldChar w:fldCharType="separate"/>
            </w:r>
            <w:r>
              <w:rPr>
                <w:noProof/>
                <w:webHidden/>
              </w:rPr>
              <w:t>28</w:t>
            </w:r>
            <w:r>
              <w:rPr>
                <w:noProof/>
                <w:webHidden/>
              </w:rPr>
              <w:fldChar w:fldCharType="end"/>
            </w:r>
          </w:hyperlink>
        </w:p>
        <w:p w14:paraId="38EA29E5" w14:textId="30AD8B6D" w:rsidR="007928A1" w:rsidRDefault="007928A1">
          <w:pPr>
            <w:pStyle w:val="TOC2"/>
            <w:tabs>
              <w:tab w:val="right" w:leader="dot" w:pos="9350"/>
            </w:tabs>
            <w:rPr>
              <w:rFonts w:asciiTheme="minorHAnsi" w:eastAsiaTheme="minorEastAsia" w:hAnsiTheme="minorHAnsi"/>
              <w:noProof/>
              <w:sz w:val="22"/>
            </w:rPr>
          </w:pPr>
          <w:hyperlink w:anchor="_Toc227532035" w:history="1">
            <w:r w:rsidRPr="00112AF4">
              <w:rPr>
                <w:rStyle w:val="Hyperlink"/>
                <w:noProof/>
              </w:rPr>
              <w:t>Data Collection</w:t>
            </w:r>
            <w:r>
              <w:rPr>
                <w:noProof/>
                <w:webHidden/>
              </w:rPr>
              <w:tab/>
            </w:r>
            <w:r>
              <w:rPr>
                <w:noProof/>
                <w:webHidden/>
              </w:rPr>
              <w:fldChar w:fldCharType="begin"/>
            </w:r>
            <w:r>
              <w:rPr>
                <w:noProof/>
                <w:webHidden/>
              </w:rPr>
              <w:instrText xml:space="preserve"> PAGEREF _Toc227532035 \h </w:instrText>
            </w:r>
            <w:r>
              <w:rPr>
                <w:noProof/>
                <w:webHidden/>
              </w:rPr>
            </w:r>
            <w:r>
              <w:rPr>
                <w:noProof/>
                <w:webHidden/>
              </w:rPr>
              <w:fldChar w:fldCharType="separate"/>
            </w:r>
            <w:r>
              <w:rPr>
                <w:noProof/>
                <w:webHidden/>
              </w:rPr>
              <w:t>29</w:t>
            </w:r>
            <w:r>
              <w:rPr>
                <w:noProof/>
                <w:webHidden/>
              </w:rPr>
              <w:fldChar w:fldCharType="end"/>
            </w:r>
          </w:hyperlink>
        </w:p>
        <w:p w14:paraId="0A5618E0" w14:textId="510F4983" w:rsidR="007928A1" w:rsidRDefault="007928A1">
          <w:pPr>
            <w:pStyle w:val="TOC2"/>
            <w:tabs>
              <w:tab w:val="right" w:leader="dot" w:pos="9350"/>
            </w:tabs>
            <w:rPr>
              <w:rFonts w:asciiTheme="minorHAnsi" w:eastAsiaTheme="minorEastAsia" w:hAnsiTheme="minorHAnsi"/>
              <w:noProof/>
              <w:sz w:val="22"/>
            </w:rPr>
          </w:pPr>
          <w:hyperlink w:anchor="_Toc227532036" w:history="1">
            <w:r w:rsidRPr="00112AF4">
              <w:rPr>
                <w:rStyle w:val="Hyperlink"/>
                <w:noProof/>
              </w:rPr>
              <w:t>Data Analysis</w:t>
            </w:r>
            <w:r>
              <w:rPr>
                <w:noProof/>
                <w:webHidden/>
              </w:rPr>
              <w:tab/>
            </w:r>
            <w:r>
              <w:rPr>
                <w:noProof/>
                <w:webHidden/>
              </w:rPr>
              <w:fldChar w:fldCharType="begin"/>
            </w:r>
            <w:r>
              <w:rPr>
                <w:noProof/>
                <w:webHidden/>
              </w:rPr>
              <w:instrText xml:space="preserve"> PAGEREF _Toc227532036 \h </w:instrText>
            </w:r>
            <w:r>
              <w:rPr>
                <w:noProof/>
                <w:webHidden/>
              </w:rPr>
            </w:r>
            <w:r>
              <w:rPr>
                <w:noProof/>
                <w:webHidden/>
              </w:rPr>
              <w:fldChar w:fldCharType="separate"/>
            </w:r>
            <w:r>
              <w:rPr>
                <w:noProof/>
                <w:webHidden/>
              </w:rPr>
              <w:t>29</w:t>
            </w:r>
            <w:r>
              <w:rPr>
                <w:noProof/>
                <w:webHidden/>
              </w:rPr>
              <w:fldChar w:fldCharType="end"/>
            </w:r>
          </w:hyperlink>
        </w:p>
        <w:p w14:paraId="24050552" w14:textId="23159DF9" w:rsidR="007928A1" w:rsidRDefault="007928A1">
          <w:pPr>
            <w:pStyle w:val="TOC2"/>
            <w:tabs>
              <w:tab w:val="right" w:leader="dot" w:pos="9350"/>
            </w:tabs>
            <w:rPr>
              <w:rFonts w:asciiTheme="minorHAnsi" w:eastAsiaTheme="minorEastAsia" w:hAnsiTheme="minorHAnsi"/>
              <w:noProof/>
              <w:sz w:val="22"/>
            </w:rPr>
          </w:pPr>
          <w:hyperlink w:anchor="_Toc227532037" w:history="1">
            <w:r w:rsidRPr="00112AF4">
              <w:rPr>
                <w:rStyle w:val="Hyperlink"/>
                <w:noProof/>
              </w:rPr>
              <w:t>Sampling Considerations</w:t>
            </w:r>
            <w:r>
              <w:rPr>
                <w:noProof/>
                <w:webHidden/>
              </w:rPr>
              <w:tab/>
            </w:r>
            <w:r>
              <w:rPr>
                <w:noProof/>
                <w:webHidden/>
              </w:rPr>
              <w:fldChar w:fldCharType="begin"/>
            </w:r>
            <w:r>
              <w:rPr>
                <w:noProof/>
                <w:webHidden/>
              </w:rPr>
              <w:instrText xml:space="preserve"> PAGEREF _Toc227532037 \h </w:instrText>
            </w:r>
            <w:r>
              <w:rPr>
                <w:noProof/>
                <w:webHidden/>
              </w:rPr>
            </w:r>
            <w:r>
              <w:rPr>
                <w:noProof/>
                <w:webHidden/>
              </w:rPr>
              <w:fldChar w:fldCharType="separate"/>
            </w:r>
            <w:r>
              <w:rPr>
                <w:noProof/>
                <w:webHidden/>
              </w:rPr>
              <w:t>30</w:t>
            </w:r>
            <w:r>
              <w:rPr>
                <w:noProof/>
                <w:webHidden/>
              </w:rPr>
              <w:fldChar w:fldCharType="end"/>
            </w:r>
          </w:hyperlink>
        </w:p>
        <w:p w14:paraId="6FA9DA40" w14:textId="45BB3C28" w:rsidR="007928A1" w:rsidRDefault="007928A1">
          <w:pPr>
            <w:pStyle w:val="TOC2"/>
            <w:tabs>
              <w:tab w:val="right" w:leader="dot" w:pos="9350"/>
            </w:tabs>
            <w:rPr>
              <w:rFonts w:asciiTheme="minorHAnsi" w:eastAsiaTheme="minorEastAsia" w:hAnsiTheme="minorHAnsi"/>
              <w:noProof/>
              <w:sz w:val="22"/>
            </w:rPr>
          </w:pPr>
          <w:hyperlink w:anchor="_Toc227532038" w:history="1">
            <w:r w:rsidRPr="00112AF4">
              <w:rPr>
                <w:rStyle w:val="Hyperlink"/>
                <w:noProof/>
              </w:rPr>
              <w:t>Researcher Neutrality</w:t>
            </w:r>
            <w:r>
              <w:rPr>
                <w:noProof/>
                <w:webHidden/>
              </w:rPr>
              <w:tab/>
            </w:r>
            <w:r>
              <w:rPr>
                <w:noProof/>
                <w:webHidden/>
              </w:rPr>
              <w:fldChar w:fldCharType="begin"/>
            </w:r>
            <w:r>
              <w:rPr>
                <w:noProof/>
                <w:webHidden/>
              </w:rPr>
              <w:instrText xml:space="preserve"> PAGEREF _Toc227532038 \h </w:instrText>
            </w:r>
            <w:r>
              <w:rPr>
                <w:noProof/>
                <w:webHidden/>
              </w:rPr>
            </w:r>
            <w:r>
              <w:rPr>
                <w:noProof/>
                <w:webHidden/>
              </w:rPr>
              <w:fldChar w:fldCharType="separate"/>
            </w:r>
            <w:r>
              <w:rPr>
                <w:noProof/>
                <w:webHidden/>
              </w:rPr>
              <w:t>30</w:t>
            </w:r>
            <w:r>
              <w:rPr>
                <w:noProof/>
                <w:webHidden/>
              </w:rPr>
              <w:fldChar w:fldCharType="end"/>
            </w:r>
          </w:hyperlink>
        </w:p>
        <w:p w14:paraId="6226C3AE" w14:textId="76C60F85" w:rsidR="007928A1" w:rsidRDefault="007928A1">
          <w:pPr>
            <w:pStyle w:val="TOC2"/>
            <w:tabs>
              <w:tab w:val="right" w:leader="dot" w:pos="9350"/>
            </w:tabs>
            <w:rPr>
              <w:rFonts w:asciiTheme="minorHAnsi" w:eastAsiaTheme="minorEastAsia" w:hAnsiTheme="minorHAnsi"/>
              <w:noProof/>
              <w:sz w:val="22"/>
            </w:rPr>
          </w:pPr>
          <w:hyperlink w:anchor="_Toc227532039" w:history="1">
            <w:r w:rsidRPr="00112AF4">
              <w:rPr>
                <w:rStyle w:val="Hyperlink"/>
                <w:noProof/>
              </w:rPr>
              <w:t>Transparency and Conclusion</w:t>
            </w:r>
            <w:r>
              <w:rPr>
                <w:noProof/>
                <w:webHidden/>
              </w:rPr>
              <w:tab/>
            </w:r>
            <w:r>
              <w:rPr>
                <w:noProof/>
                <w:webHidden/>
              </w:rPr>
              <w:fldChar w:fldCharType="begin"/>
            </w:r>
            <w:r>
              <w:rPr>
                <w:noProof/>
                <w:webHidden/>
              </w:rPr>
              <w:instrText xml:space="preserve"> PAGEREF _Toc227532039 \h </w:instrText>
            </w:r>
            <w:r>
              <w:rPr>
                <w:noProof/>
                <w:webHidden/>
              </w:rPr>
            </w:r>
            <w:r>
              <w:rPr>
                <w:noProof/>
                <w:webHidden/>
              </w:rPr>
              <w:fldChar w:fldCharType="separate"/>
            </w:r>
            <w:r>
              <w:rPr>
                <w:noProof/>
                <w:webHidden/>
              </w:rPr>
              <w:t>31</w:t>
            </w:r>
            <w:r>
              <w:rPr>
                <w:noProof/>
                <w:webHidden/>
              </w:rPr>
              <w:fldChar w:fldCharType="end"/>
            </w:r>
          </w:hyperlink>
        </w:p>
        <w:p w14:paraId="042DE2ED" w14:textId="346D29AB" w:rsidR="007928A1" w:rsidRDefault="007928A1">
          <w:pPr>
            <w:pStyle w:val="TOC1"/>
            <w:tabs>
              <w:tab w:val="right" w:leader="dot" w:pos="9350"/>
            </w:tabs>
            <w:rPr>
              <w:rFonts w:asciiTheme="minorHAnsi" w:eastAsiaTheme="minorEastAsia" w:hAnsiTheme="minorHAnsi"/>
              <w:noProof/>
              <w:sz w:val="22"/>
            </w:rPr>
          </w:pPr>
          <w:hyperlink w:anchor="_Toc227532040" w:history="1">
            <w:r w:rsidRPr="00112AF4">
              <w:rPr>
                <w:rStyle w:val="Hyperlink"/>
                <w:noProof/>
              </w:rPr>
              <w:t>References</w:t>
            </w:r>
            <w:r>
              <w:rPr>
                <w:noProof/>
                <w:webHidden/>
              </w:rPr>
              <w:tab/>
            </w:r>
            <w:r>
              <w:rPr>
                <w:noProof/>
                <w:webHidden/>
              </w:rPr>
              <w:fldChar w:fldCharType="begin"/>
            </w:r>
            <w:r>
              <w:rPr>
                <w:noProof/>
                <w:webHidden/>
              </w:rPr>
              <w:instrText xml:space="preserve"> PAGEREF _Toc227532040 \h </w:instrText>
            </w:r>
            <w:r>
              <w:rPr>
                <w:noProof/>
                <w:webHidden/>
              </w:rPr>
            </w:r>
            <w:r>
              <w:rPr>
                <w:noProof/>
                <w:webHidden/>
              </w:rPr>
              <w:fldChar w:fldCharType="separate"/>
            </w:r>
            <w:r>
              <w:rPr>
                <w:noProof/>
                <w:webHidden/>
              </w:rPr>
              <w:t>32</w:t>
            </w:r>
            <w:r>
              <w:rPr>
                <w:noProof/>
                <w:webHidden/>
              </w:rPr>
              <w:fldChar w:fldCharType="end"/>
            </w:r>
          </w:hyperlink>
        </w:p>
        <w:p w14:paraId="6F67431C" w14:textId="42315F44" w:rsidR="007928A1" w:rsidRDefault="007928A1">
          <w:pPr>
            <w:pStyle w:val="TOC1"/>
            <w:tabs>
              <w:tab w:val="right" w:leader="dot" w:pos="9350"/>
            </w:tabs>
            <w:rPr>
              <w:rFonts w:asciiTheme="minorHAnsi" w:eastAsiaTheme="minorEastAsia" w:hAnsiTheme="minorHAnsi"/>
              <w:noProof/>
              <w:sz w:val="22"/>
            </w:rPr>
          </w:pPr>
          <w:hyperlink w:anchor="_Toc227532041" w:history="1">
            <w:r w:rsidRPr="00112AF4">
              <w:rPr>
                <w:rStyle w:val="Hyperlink"/>
                <w:rFonts w:eastAsia="Times New Roman"/>
                <w:noProof/>
              </w:rPr>
              <w:t>Appendices</w:t>
            </w:r>
            <w:r>
              <w:rPr>
                <w:noProof/>
                <w:webHidden/>
              </w:rPr>
              <w:tab/>
            </w:r>
            <w:r>
              <w:rPr>
                <w:noProof/>
                <w:webHidden/>
              </w:rPr>
              <w:fldChar w:fldCharType="begin"/>
            </w:r>
            <w:r>
              <w:rPr>
                <w:noProof/>
                <w:webHidden/>
              </w:rPr>
              <w:instrText xml:space="preserve"> PAGEREF _Toc227532041 \h </w:instrText>
            </w:r>
            <w:r>
              <w:rPr>
                <w:noProof/>
                <w:webHidden/>
              </w:rPr>
            </w:r>
            <w:r>
              <w:rPr>
                <w:noProof/>
                <w:webHidden/>
              </w:rPr>
              <w:fldChar w:fldCharType="separate"/>
            </w:r>
            <w:r>
              <w:rPr>
                <w:noProof/>
                <w:webHidden/>
              </w:rPr>
              <w:t>39</w:t>
            </w:r>
            <w:r>
              <w:rPr>
                <w:noProof/>
                <w:webHidden/>
              </w:rPr>
              <w:fldChar w:fldCharType="end"/>
            </w:r>
          </w:hyperlink>
        </w:p>
        <w:p w14:paraId="67867F08" w14:textId="16986163" w:rsidR="007928A1" w:rsidRDefault="007928A1">
          <w:pPr>
            <w:pStyle w:val="TOC2"/>
            <w:tabs>
              <w:tab w:val="right" w:leader="dot" w:pos="9350"/>
            </w:tabs>
            <w:rPr>
              <w:rFonts w:asciiTheme="minorHAnsi" w:eastAsiaTheme="minorEastAsia" w:hAnsiTheme="minorHAnsi"/>
              <w:noProof/>
              <w:sz w:val="22"/>
            </w:rPr>
          </w:pPr>
          <w:hyperlink w:anchor="_Toc227532042" w:history="1">
            <w:r w:rsidRPr="00112AF4">
              <w:rPr>
                <w:rStyle w:val="Hyperlink"/>
                <w:rFonts w:eastAsia="Times New Roman"/>
                <w:noProof/>
              </w:rPr>
              <w:t>Appendix 1: Survey Questionnaire</w:t>
            </w:r>
            <w:r>
              <w:rPr>
                <w:noProof/>
                <w:webHidden/>
              </w:rPr>
              <w:tab/>
            </w:r>
            <w:r>
              <w:rPr>
                <w:noProof/>
                <w:webHidden/>
              </w:rPr>
              <w:fldChar w:fldCharType="begin"/>
            </w:r>
            <w:r>
              <w:rPr>
                <w:noProof/>
                <w:webHidden/>
              </w:rPr>
              <w:instrText xml:space="preserve"> PAGEREF _Toc227532042 \h </w:instrText>
            </w:r>
            <w:r>
              <w:rPr>
                <w:noProof/>
                <w:webHidden/>
              </w:rPr>
            </w:r>
            <w:r>
              <w:rPr>
                <w:noProof/>
                <w:webHidden/>
              </w:rPr>
              <w:fldChar w:fldCharType="separate"/>
            </w:r>
            <w:r>
              <w:rPr>
                <w:noProof/>
                <w:webHidden/>
              </w:rPr>
              <w:t>39</w:t>
            </w:r>
            <w:r>
              <w:rPr>
                <w:noProof/>
                <w:webHidden/>
              </w:rPr>
              <w:fldChar w:fldCharType="end"/>
            </w:r>
          </w:hyperlink>
        </w:p>
        <w:p w14:paraId="2DC44B78" w14:textId="48196AEC" w:rsidR="007928A1" w:rsidRDefault="007928A1">
          <w:pPr>
            <w:pStyle w:val="TOC2"/>
            <w:tabs>
              <w:tab w:val="right" w:leader="dot" w:pos="9350"/>
            </w:tabs>
            <w:rPr>
              <w:rFonts w:asciiTheme="minorHAnsi" w:eastAsiaTheme="minorEastAsia" w:hAnsiTheme="minorHAnsi"/>
              <w:noProof/>
              <w:sz w:val="22"/>
            </w:rPr>
          </w:pPr>
          <w:hyperlink w:anchor="_Toc227532043" w:history="1">
            <w:r w:rsidRPr="00112AF4">
              <w:rPr>
                <w:rStyle w:val="Hyperlink"/>
                <w:noProof/>
              </w:rPr>
              <w:t>Appendix 2: Data Collection Spreadsheet</w:t>
            </w:r>
            <w:r>
              <w:rPr>
                <w:noProof/>
                <w:webHidden/>
              </w:rPr>
              <w:tab/>
            </w:r>
            <w:r>
              <w:rPr>
                <w:noProof/>
                <w:webHidden/>
              </w:rPr>
              <w:fldChar w:fldCharType="begin"/>
            </w:r>
            <w:r>
              <w:rPr>
                <w:noProof/>
                <w:webHidden/>
              </w:rPr>
              <w:instrText xml:space="preserve"> PAGEREF _Toc227532043 \h </w:instrText>
            </w:r>
            <w:r>
              <w:rPr>
                <w:noProof/>
                <w:webHidden/>
              </w:rPr>
            </w:r>
            <w:r>
              <w:rPr>
                <w:noProof/>
                <w:webHidden/>
              </w:rPr>
              <w:fldChar w:fldCharType="separate"/>
            </w:r>
            <w:r>
              <w:rPr>
                <w:noProof/>
                <w:webHidden/>
              </w:rPr>
              <w:t>43</w:t>
            </w:r>
            <w:r>
              <w:rPr>
                <w:noProof/>
                <w:webHidden/>
              </w:rPr>
              <w:fldChar w:fldCharType="end"/>
            </w:r>
          </w:hyperlink>
        </w:p>
        <w:p w14:paraId="5E901435" w14:textId="191BF997" w:rsidR="007928A1" w:rsidRDefault="007928A1">
          <w:pPr>
            <w:pStyle w:val="TOC2"/>
            <w:tabs>
              <w:tab w:val="right" w:leader="dot" w:pos="9350"/>
            </w:tabs>
            <w:rPr>
              <w:rFonts w:asciiTheme="minorHAnsi" w:eastAsiaTheme="minorEastAsia" w:hAnsiTheme="minorHAnsi"/>
              <w:noProof/>
              <w:sz w:val="22"/>
            </w:rPr>
          </w:pPr>
          <w:hyperlink w:anchor="_Toc227532044" w:history="1">
            <w:r w:rsidRPr="00112AF4">
              <w:rPr>
                <w:rStyle w:val="Hyperlink"/>
                <w:noProof/>
              </w:rPr>
              <w:t>Appendix 3: SPSS Analysis Output</w:t>
            </w:r>
            <w:r>
              <w:rPr>
                <w:noProof/>
                <w:webHidden/>
              </w:rPr>
              <w:tab/>
            </w:r>
            <w:r>
              <w:rPr>
                <w:noProof/>
                <w:webHidden/>
              </w:rPr>
              <w:fldChar w:fldCharType="begin"/>
            </w:r>
            <w:r>
              <w:rPr>
                <w:noProof/>
                <w:webHidden/>
              </w:rPr>
              <w:instrText xml:space="preserve"> PAGEREF _Toc227532044 \h </w:instrText>
            </w:r>
            <w:r>
              <w:rPr>
                <w:noProof/>
                <w:webHidden/>
              </w:rPr>
            </w:r>
            <w:r>
              <w:rPr>
                <w:noProof/>
                <w:webHidden/>
              </w:rPr>
              <w:fldChar w:fldCharType="separate"/>
            </w:r>
            <w:r>
              <w:rPr>
                <w:noProof/>
                <w:webHidden/>
              </w:rPr>
              <w:t>44</w:t>
            </w:r>
            <w:r>
              <w:rPr>
                <w:noProof/>
                <w:webHidden/>
              </w:rPr>
              <w:fldChar w:fldCharType="end"/>
            </w:r>
          </w:hyperlink>
        </w:p>
        <w:p w14:paraId="7D64FAEB" w14:textId="58641862" w:rsidR="00471473" w:rsidRDefault="00471473">
          <w:r>
            <w:rPr>
              <w:b/>
              <w:bCs/>
              <w:noProof/>
            </w:rPr>
            <w:fldChar w:fldCharType="end"/>
          </w:r>
        </w:p>
      </w:sdtContent>
    </w:sdt>
    <w:p w14:paraId="0D8792CB" w14:textId="77777777" w:rsidR="0066775C" w:rsidRDefault="0066775C" w:rsidP="00471473"/>
    <w:p w14:paraId="2D601F51" w14:textId="77777777" w:rsidR="0066775C" w:rsidRDefault="0066775C">
      <w:pPr>
        <w:spacing w:after="160" w:line="259" w:lineRule="auto"/>
        <w:jc w:val="left"/>
        <w:rPr>
          <w:b/>
          <w:bCs/>
          <w:sz w:val="28"/>
          <w:szCs w:val="24"/>
        </w:rPr>
      </w:pPr>
      <w:r>
        <w:rPr>
          <w:b/>
          <w:bCs/>
          <w:sz w:val="28"/>
          <w:szCs w:val="24"/>
        </w:rPr>
        <w:br w:type="page"/>
      </w:r>
    </w:p>
    <w:p w14:paraId="12007DE3" w14:textId="3E759704" w:rsidR="0066775C" w:rsidRDefault="0066775C" w:rsidP="0066775C">
      <w:pPr>
        <w:pStyle w:val="Heading1"/>
        <w:jc w:val="center"/>
      </w:pPr>
      <w:bookmarkStart w:id="0" w:name="_Toc225546744"/>
      <w:bookmarkStart w:id="1" w:name="_Toc227531993"/>
      <w:r>
        <w:lastRenderedPageBreak/>
        <w:t>Part 1: The Pilot Article</w:t>
      </w:r>
      <w:bookmarkEnd w:id="0"/>
      <w:bookmarkEnd w:id="1"/>
    </w:p>
    <w:p w14:paraId="409C1244" w14:textId="3AEE6407" w:rsidR="0066775C" w:rsidRDefault="004E74BC" w:rsidP="0066775C">
      <w:pPr>
        <w:pStyle w:val="Heading1"/>
        <w:jc w:val="center"/>
      </w:pPr>
      <w:bookmarkStart w:id="2" w:name="_Toc225546745"/>
      <w:bookmarkStart w:id="3" w:name="_Toc227531994"/>
      <w:r>
        <w:t>ABSTRACT</w:t>
      </w:r>
      <w:bookmarkEnd w:id="2"/>
      <w:bookmarkEnd w:id="3"/>
    </w:p>
    <w:p w14:paraId="08E5DD04" w14:textId="199F16E8" w:rsidR="004E74BC" w:rsidRPr="004E74BC" w:rsidRDefault="00703623" w:rsidP="004E74BC">
      <w:r w:rsidRPr="00703623">
        <w:t>Th</w:t>
      </w:r>
      <w:r w:rsidR="006860B1">
        <w:t>is paper</w:t>
      </w:r>
      <w:r w:rsidRPr="00703623">
        <w:t xml:space="preserve"> examines the institutional preparedness </w:t>
      </w:r>
      <w:r>
        <w:t>for</w:t>
      </w:r>
      <w:r w:rsidRPr="00703623">
        <w:t xml:space="preserve"> technological convergence and its relationship with Sustainable Development Goals (SDGs) in terms of electric vehicle (EV) adoption in the United Kingdom</w:t>
      </w:r>
      <w:r w:rsidR="00D51485">
        <w:t xml:space="preserve"> (UK)</w:t>
      </w:r>
      <w:r w:rsidRPr="00703623">
        <w:t xml:space="preserve">. The study is </w:t>
      </w:r>
      <w:r w:rsidR="00D51485">
        <w:t>bas</w:t>
      </w:r>
      <w:r w:rsidRPr="00703623">
        <w:t xml:space="preserve">ed on the </w:t>
      </w:r>
      <w:r w:rsidR="00D51485" w:rsidRPr="00703623">
        <w:t>concept</w:t>
      </w:r>
      <w:r w:rsidRPr="00703623">
        <w:t xml:space="preserve"> that EV adoption is not simply a consumer decision or technology, but it is also a factor of how the institutions assist in bringing together transport, energy and digital systems. The paper seeks to study the degree of institutional readiness, determine the key institutional drivers of EV adoption, and evaluate how the drivers contribute to broader sustainability objectives. An online questionnaire was carried out on 100 individuals in the UK as a pilot study to carry out its quantitative research. The use of SPSS to analyse the data was based on descriptive statistics, reliability testing, correlation, and multiple regression. The results indicate that the participants are very positive towards EV adoption, support of the policies, convergence in technology, and SDG contribution, but confidence in institutional preparedness remains relatively low. It is also indicated in the results that technological convergence and contribution to SDG are very positive predictors of EV adoption. The positive impact is </w:t>
      </w:r>
      <w:r w:rsidR="006860B1">
        <w:t xml:space="preserve">seen </w:t>
      </w:r>
      <w:r w:rsidRPr="00703623">
        <w:t xml:space="preserve">on policy support as well. On the whole, the research notes that effective implementation of EVs in the UK requires integrated governance, excellent infrastructure, and improved institutional backing. </w:t>
      </w:r>
      <w:r w:rsidR="006860B1">
        <w:t>The p</w:t>
      </w:r>
      <w:r w:rsidRPr="00703623">
        <w:t xml:space="preserve">ilot </w:t>
      </w:r>
      <w:r w:rsidR="006860B1">
        <w:t xml:space="preserve">study </w:t>
      </w:r>
      <w:r w:rsidRPr="00703623">
        <w:t xml:space="preserve">also indicates the necessity to improve </w:t>
      </w:r>
      <w:r>
        <w:t xml:space="preserve">the </w:t>
      </w:r>
      <w:r w:rsidRPr="00703623">
        <w:t xml:space="preserve">survey tool </w:t>
      </w:r>
      <w:r w:rsidR="006860B1">
        <w:t>before</w:t>
      </w:r>
      <w:r w:rsidRPr="00703623">
        <w:t xml:space="preserve"> a full-scale study. This paper adds to the existing knowledge by demonstrating that EV adoption must be viewed as a </w:t>
      </w:r>
      <w:r>
        <w:t>system-level</w:t>
      </w:r>
      <w:r w:rsidRPr="00703623">
        <w:t xml:space="preserve"> and institutional challenge, not merely as a consumer or technology challenge. It unites the readiness of the institutions, convergence of technologies and sustainability in a single system.</w:t>
      </w:r>
    </w:p>
    <w:p w14:paraId="4FE06302" w14:textId="765C5F62" w:rsidR="00703623" w:rsidRPr="00703623" w:rsidRDefault="00703623" w:rsidP="00703623">
      <w:bookmarkStart w:id="4" w:name="_Toc225546746"/>
      <w:r w:rsidRPr="00703623">
        <w:rPr>
          <w:b/>
          <w:bCs/>
        </w:rPr>
        <w:t>Keywords</w:t>
      </w:r>
      <w:bookmarkEnd w:id="4"/>
      <w:r w:rsidRPr="00703623">
        <w:rPr>
          <w:b/>
          <w:bCs/>
        </w:rPr>
        <w:t>:</w:t>
      </w:r>
      <w:r>
        <w:t xml:space="preserve"> </w:t>
      </w:r>
      <w:r w:rsidRPr="00703623">
        <w:rPr>
          <w:rFonts w:eastAsia="Times New Roman" w:cs="Times New Roman"/>
          <w:szCs w:val="24"/>
        </w:rPr>
        <w:t>Electric vehicles (EVs); institutional readiness; technological convergence; EV adoption; Sustainable Development Goals (SDGs); United Kingdom.</w:t>
      </w:r>
    </w:p>
    <w:p w14:paraId="47DFE333" w14:textId="16D6AE0B" w:rsidR="00C44C7B" w:rsidRPr="00703623" w:rsidRDefault="00C44C7B" w:rsidP="00703623">
      <w:pPr>
        <w:spacing w:after="160" w:line="259" w:lineRule="auto"/>
        <w:jc w:val="left"/>
        <w:rPr>
          <w:rFonts w:eastAsiaTheme="majorEastAsia" w:cstheme="majorBidi"/>
          <w:b/>
          <w:color w:val="000000" w:themeColor="text1"/>
          <w:sz w:val="32"/>
          <w:szCs w:val="32"/>
        </w:rPr>
      </w:pPr>
      <w:r>
        <w:br w:type="page"/>
      </w:r>
    </w:p>
    <w:p w14:paraId="73DD8D15" w14:textId="1AB5EA95" w:rsidR="0066775C" w:rsidRDefault="00300D64" w:rsidP="00300D64">
      <w:pPr>
        <w:pStyle w:val="Heading1"/>
      </w:pPr>
      <w:bookmarkStart w:id="5" w:name="_Toc225546747"/>
      <w:bookmarkStart w:id="6" w:name="_Toc227531995"/>
      <w:r>
        <w:lastRenderedPageBreak/>
        <w:t xml:space="preserve">1. </w:t>
      </w:r>
      <w:r w:rsidR="000717FC">
        <w:t>Introduction</w:t>
      </w:r>
      <w:bookmarkEnd w:id="5"/>
      <w:bookmarkEnd w:id="6"/>
    </w:p>
    <w:p w14:paraId="16A82929" w14:textId="536D4705" w:rsidR="000717FC" w:rsidRDefault="000717FC" w:rsidP="00613518">
      <w:pPr>
        <w:pStyle w:val="Heading2"/>
        <w:numPr>
          <w:ilvl w:val="1"/>
          <w:numId w:val="1"/>
        </w:numPr>
      </w:pPr>
      <w:bookmarkStart w:id="7" w:name="_Toc225546748"/>
      <w:bookmarkStart w:id="8" w:name="_Toc227531996"/>
      <w:r>
        <w:t>Background</w:t>
      </w:r>
      <w:bookmarkEnd w:id="7"/>
      <w:bookmarkEnd w:id="8"/>
    </w:p>
    <w:p w14:paraId="12264D5F" w14:textId="0620C3A6" w:rsidR="00920EB5" w:rsidRDefault="00920EB5" w:rsidP="00920EB5">
      <w:r w:rsidRPr="00920EB5">
        <w:t>Switching to electric vehicles (</w:t>
      </w:r>
      <w:r w:rsidR="006860B1">
        <w:t>EVs</w:t>
      </w:r>
      <w:r w:rsidRPr="00920EB5">
        <w:t xml:space="preserve">) is one of the core elements of the United </w:t>
      </w:r>
      <w:r>
        <w:t>Kingdom's</w:t>
      </w:r>
      <w:r w:rsidRPr="00920EB5">
        <w:t xml:space="preserve"> strategy to meet the climate goals of the Paris Agreement and the Sustainable Development Goals (SDGs)</w:t>
      </w:r>
      <w:r>
        <w:t>,</w:t>
      </w:r>
      <w:r w:rsidRPr="00920EB5">
        <w:t xml:space="preserve"> specifically SDG 7 (Affordable and Clean Energy) and SDG 13 (Climate Action) (GOV.UK, 2023).</w:t>
      </w:r>
      <w:r>
        <w:t xml:space="preserve"> By 2035, the UK government has made it its goal to </w:t>
      </w:r>
      <w:r w:rsidR="00854E8B">
        <w:t>reduce</w:t>
      </w:r>
      <w:r>
        <w:t xml:space="preserve"> the sale of fresh petrol and diesel cars, and this is an indicator of a swift policy adjustment to low-carbon transport (Allwood, Horton and Stephenson, 2021). The UK has experienced a </w:t>
      </w:r>
      <w:r w:rsidR="00854E8B">
        <w:t>sharp</w:t>
      </w:r>
      <w:r>
        <w:t xml:space="preserve"> increase in EV adoption, where battery electric vehicles currently represent more than 16% of all new car registrations, compared to nearly 2% in 2019 (Carlier, 2024). This is aided by the growth in consumer awareness, expansion in the charging infrastructure, and policy boost.</w:t>
      </w:r>
    </w:p>
    <w:p w14:paraId="6EB4BB62" w14:textId="4295DBA7" w:rsidR="00920EB5" w:rsidRDefault="00920EB5" w:rsidP="00920EB5">
      <w:r>
        <w:t>Nonetheless, this type of convergence of technologies in EV ecosystems associated with energy systems, digital infrastructure, and transport technologies will demand a high degree of institutional preparedness (Rong et al., 2017). This involves regulatory systems, investment potential, infrastructural building and the alignment between the government and the non-governmental groups. Some problems are yet to be resolved</w:t>
      </w:r>
      <w:r w:rsidR="006860B1">
        <w:t>,</w:t>
      </w:r>
      <w:r>
        <w:t xml:space="preserve"> such as uneven charging infrastructure, grid capacity, and policy uncertainty (Tafazzoli et al., 2025). Thus, it is important to know how ready the UK institutions are to assist technological convergence. The study will analyse the role of institutional readiness in EV adoption and how it can be used to support the attainment of wider sustainability objectives.</w:t>
      </w:r>
    </w:p>
    <w:p w14:paraId="32528BFC" w14:textId="008F0D79" w:rsidR="0076548E" w:rsidRDefault="0076548E" w:rsidP="00613518">
      <w:pPr>
        <w:pStyle w:val="Heading2"/>
        <w:numPr>
          <w:ilvl w:val="1"/>
          <w:numId w:val="1"/>
        </w:numPr>
      </w:pPr>
      <w:bookmarkStart w:id="9" w:name="_Toc225546749"/>
      <w:bookmarkStart w:id="10" w:name="_Toc227531997"/>
      <w:r>
        <w:t>Research Problem</w:t>
      </w:r>
      <w:bookmarkEnd w:id="9"/>
      <w:bookmarkEnd w:id="10"/>
    </w:p>
    <w:p w14:paraId="5D40F46C" w14:textId="62C59232" w:rsidR="00920EB5" w:rsidRDefault="00920EB5" w:rsidP="00920EB5">
      <w:r>
        <w:t xml:space="preserve">Although with the recent rapid development of electric vehicle (EV) acceptance, the </w:t>
      </w:r>
      <w:r w:rsidR="006860B1">
        <w:t>UK</w:t>
      </w:r>
      <w:r>
        <w:t xml:space="preserve"> has many gaps in institutional preparedness to facilitate complete technological convergence and adjustment to the Sustainable Development Goals (SDGs) (Qadir et al., 2024). Although the policies to foster the increase of EVs are active, the horizontal integration remains scattered. The institutions suffer difficulties in aligning infrastructural growth, regulations, and collaboration with the stakeholders (Zaino et al., 2024). </w:t>
      </w:r>
      <w:r w:rsidR="006860B1">
        <w:t>For</w:t>
      </w:r>
      <w:r>
        <w:t xml:space="preserve"> example, uneven distribution of charging infrastructure, the lack of grid capacity in certain locations, </w:t>
      </w:r>
      <w:r w:rsidR="006860B1">
        <w:t xml:space="preserve">and </w:t>
      </w:r>
      <w:r>
        <w:t>slow implementation of policies all create obstacles on the path to the uninterrupted adoption of EVs (Powell et al., 2022).</w:t>
      </w:r>
    </w:p>
    <w:p w14:paraId="0B04861F" w14:textId="7AC35088" w:rsidR="00457E44" w:rsidRPr="00457E44" w:rsidRDefault="00920EB5" w:rsidP="00920EB5">
      <w:r>
        <w:lastRenderedPageBreak/>
        <w:t xml:space="preserve">In addition, technological convergence demands outstanding institutional capacities, such as strategic, governance, and alignment of investment (Almashhadani and Almashhadani, 2023). It is not well understood, however, how ready the UK institutions are to cope with this change. The studies done are usually either technological or </w:t>
      </w:r>
      <w:r w:rsidR="0002589E">
        <w:t>consumer-oriented</w:t>
      </w:r>
      <w:r>
        <w:t>, without taking into consideration the institutional dimension. This leaves a serious research gap. The institutional preparation will impact a slower transition to EVs</w:t>
      </w:r>
      <w:r w:rsidR="0002589E">
        <w:t>,</w:t>
      </w:r>
      <w:r>
        <w:t xml:space="preserve"> hindering the capacity of the UK to achieve its climate and SDG goals (Shahzad et al., 2024). Thus, this study </w:t>
      </w:r>
      <w:r w:rsidR="0002589E">
        <w:t>fulfils</w:t>
      </w:r>
      <w:r>
        <w:t xml:space="preserve"> the requirement to study institutional readiness and its contribution to the effectiveness of technological convergence within the EV industry</w:t>
      </w:r>
      <w:r w:rsidR="00457E44" w:rsidRPr="00457E44">
        <w:t>.</w:t>
      </w:r>
    </w:p>
    <w:p w14:paraId="316D6C5E" w14:textId="2C2861FA" w:rsidR="0076548E" w:rsidRDefault="00932EA2" w:rsidP="00613518">
      <w:pPr>
        <w:pStyle w:val="Heading2"/>
        <w:numPr>
          <w:ilvl w:val="1"/>
          <w:numId w:val="1"/>
        </w:numPr>
      </w:pPr>
      <w:bookmarkStart w:id="11" w:name="_Toc225546750"/>
      <w:bookmarkStart w:id="12" w:name="_Toc227531998"/>
      <w:r>
        <w:t>Research Objective</w:t>
      </w:r>
      <w:bookmarkEnd w:id="11"/>
      <w:bookmarkEnd w:id="12"/>
    </w:p>
    <w:p w14:paraId="058BEDE3" w14:textId="77777777" w:rsidR="00920EB5" w:rsidRDefault="00920EB5" w:rsidP="00920EB5">
      <w:r>
        <w:t>This research has the following objectives:</w:t>
      </w:r>
    </w:p>
    <w:p w14:paraId="6431DA74" w14:textId="0EEEB6CB" w:rsidR="00920EB5" w:rsidRDefault="00920EB5" w:rsidP="00920EB5">
      <w:pPr>
        <w:pStyle w:val="ListParagraph"/>
        <w:numPr>
          <w:ilvl w:val="0"/>
          <w:numId w:val="7"/>
        </w:numPr>
      </w:pPr>
      <w:r>
        <w:t>To examine the scale of institutional preparedness to technological convergence related to the adoption of electric vehicles (EVs) in the United Kingdom.</w:t>
      </w:r>
    </w:p>
    <w:p w14:paraId="67968ECC" w14:textId="594453A7" w:rsidR="00920EB5" w:rsidRDefault="00920EB5" w:rsidP="00920EB5">
      <w:pPr>
        <w:pStyle w:val="ListParagraph"/>
        <w:numPr>
          <w:ilvl w:val="0"/>
          <w:numId w:val="7"/>
        </w:numPr>
      </w:pPr>
      <w:r>
        <w:t>To identify the most critical institutional (policies, governing structures, and infrastructure systems) factors which affect EV adoption.</w:t>
      </w:r>
    </w:p>
    <w:p w14:paraId="15F10F37" w14:textId="31406DB4" w:rsidR="00920EB5" w:rsidRDefault="00920EB5" w:rsidP="00920EB5">
      <w:pPr>
        <w:pStyle w:val="ListParagraph"/>
        <w:numPr>
          <w:ilvl w:val="0"/>
          <w:numId w:val="7"/>
        </w:numPr>
      </w:pPr>
      <w:r>
        <w:t>To analyse the role of institutional readiness in aiding or limiting the integration of transport, energy and digital technologies.</w:t>
      </w:r>
    </w:p>
    <w:p w14:paraId="24436F64" w14:textId="7891067C" w:rsidR="00457E44" w:rsidRPr="00457E44" w:rsidRDefault="00920EB5" w:rsidP="00920EB5">
      <w:pPr>
        <w:pStyle w:val="ListParagraph"/>
        <w:numPr>
          <w:ilvl w:val="0"/>
          <w:numId w:val="7"/>
        </w:numPr>
      </w:pPr>
      <w:r>
        <w:t>To evaluate the degree to which institutional preparedness serves the purpose of meeting Sustainable Development Goals (SDGs), especially on clean energy and climate action.</w:t>
      </w:r>
    </w:p>
    <w:p w14:paraId="61DDDE7B" w14:textId="2C23BD2D" w:rsidR="00932EA2" w:rsidRDefault="00932EA2" w:rsidP="00613518">
      <w:pPr>
        <w:pStyle w:val="Heading2"/>
        <w:numPr>
          <w:ilvl w:val="1"/>
          <w:numId w:val="1"/>
        </w:numPr>
      </w:pPr>
      <w:bookmarkStart w:id="13" w:name="_Toc225546751"/>
      <w:bookmarkStart w:id="14" w:name="_Toc227531999"/>
      <w:r>
        <w:t>Purpose and Research Questions</w:t>
      </w:r>
      <w:bookmarkEnd w:id="13"/>
      <w:bookmarkEnd w:id="14"/>
    </w:p>
    <w:p w14:paraId="6FE898E0" w14:textId="1EA61657" w:rsidR="00920EB5" w:rsidRDefault="00D51485" w:rsidP="00457E44">
      <w:r w:rsidRPr="00D51485">
        <w:t xml:space="preserve">This research aims to investigate </w:t>
      </w:r>
      <w:r w:rsidR="001C2E89" w:rsidRPr="001C2E89">
        <w:t>he effect of institutional preparedness on the technological convergence and adoption of electric vehicles in the UK and give practical implications in assisting achieve the targets of sustainability.</w:t>
      </w:r>
      <w:r w:rsidR="001C2E89">
        <w:t xml:space="preserve"> </w:t>
      </w:r>
      <w:r w:rsidR="00920EB5" w:rsidRPr="00920EB5">
        <w:t xml:space="preserve">The research will </w:t>
      </w:r>
      <w:r w:rsidR="00920EB5">
        <w:t>collect</w:t>
      </w:r>
      <w:r w:rsidR="00920EB5" w:rsidRPr="00920EB5">
        <w:t xml:space="preserve"> </w:t>
      </w:r>
      <w:r w:rsidR="00920EB5">
        <w:t xml:space="preserve">practical data </w:t>
      </w:r>
      <w:r w:rsidR="00920EB5" w:rsidRPr="00920EB5">
        <w:t xml:space="preserve">that can be used by </w:t>
      </w:r>
      <w:r w:rsidR="00920EB5">
        <w:t>policymakers</w:t>
      </w:r>
      <w:r w:rsidR="00920EB5" w:rsidRPr="00920EB5">
        <w:t xml:space="preserve"> and industry players in enhancing their institutional capacity and implementation plans.</w:t>
      </w:r>
    </w:p>
    <w:p w14:paraId="35C77F2D" w14:textId="4E355AC8" w:rsidR="00457E44" w:rsidRPr="00457E44" w:rsidRDefault="00457E44" w:rsidP="00457E44">
      <w:r w:rsidRPr="00457E44">
        <w:t>The research is guided by the following questions:</w:t>
      </w:r>
    </w:p>
    <w:p w14:paraId="59F79427" w14:textId="77777777" w:rsidR="00457E44" w:rsidRDefault="00457E44" w:rsidP="00613518">
      <w:pPr>
        <w:pStyle w:val="ListParagraph"/>
        <w:numPr>
          <w:ilvl w:val="0"/>
          <w:numId w:val="3"/>
        </w:numPr>
      </w:pPr>
      <w:r w:rsidRPr="00457E44">
        <w:t>How prepared are UK institutions to support technological convergence in the EV ecosystem?</w:t>
      </w:r>
    </w:p>
    <w:p w14:paraId="61D55620" w14:textId="77777777" w:rsidR="00457E44" w:rsidRDefault="00457E44" w:rsidP="00613518">
      <w:pPr>
        <w:pStyle w:val="ListParagraph"/>
        <w:numPr>
          <w:ilvl w:val="0"/>
          <w:numId w:val="3"/>
        </w:numPr>
      </w:pPr>
      <w:r w:rsidRPr="00457E44">
        <w:t>What institutional factors influence the adoption of electric vehicles in the UK?</w:t>
      </w:r>
    </w:p>
    <w:p w14:paraId="66FBC22C" w14:textId="77777777" w:rsidR="00457E44" w:rsidRDefault="00457E44" w:rsidP="00613518">
      <w:pPr>
        <w:pStyle w:val="ListParagraph"/>
        <w:numPr>
          <w:ilvl w:val="0"/>
          <w:numId w:val="3"/>
        </w:numPr>
      </w:pPr>
      <w:r w:rsidRPr="00457E44">
        <w:t>How does institutional readiness affect the integration of transport, energy, and digital systems?</w:t>
      </w:r>
    </w:p>
    <w:p w14:paraId="721D3499" w14:textId="6E3F716A" w:rsidR="00457E44" w:rsidRPr="00457E44" w:rsidRDefault="00457E44" w:rsidP="00613518">
      <w:pPr>
        <w:pStyle w:val="ListParagraph"/>
        <w:numPr>
          <w:ilvl w:val="0"/>
          <w:numId w:val="3"/>
        </w:numPr>
      </w:pPr>
      <w:r w:rsidRPr="00457E44">
        <w:lastRenderedPageBreak/>
        <w:t>To what extent does institutional readiness contribute to achieving Sustainable Development Goals?</w:t>
      </w:r>
    </w:p>
    <w:p w14:paraId="20B87E99" w14:textId="03D74551" w:rsidR="0076548E" w:rsidRDefault="00AE5D7E" w:rsidP="00613518">
      <w:pPr>
        <w:pStyle w:val="Heading2"/>
        <w:numPr>
          <w:ilvl w:val="1"/>
          <w:numId w:val="1"/>
        </w:numPr>
      </w:pPr>
      <w:bookmarkStart w:id="15" w:name="_Toc225546752"/>
      <w:bookmarkStart w:id="16" w:name="_Toc227532000"/>
      <w:r>
        <w:t>Scope and Limitations</w:t>
      </w:r>
      <w:bookmarkEnd w:id="15"/>
      <w:bookmarkEnd w:id="16"/>
    </w:p>
    <w:p w14:paraId="20A86231" w14:textId="28B63D7D" w:rsidR="00920EB5" w:rsidRDefault="00920EB5" w:rsidP="00920EB5">
      <w:r>
        <w:t xml:space="preserve">The purpose of this paper is to examine the institutional readiness to technological convergence as it applies to </w:t>
      </w:r>
      <w:r w:rsidR="0002589E">
        <w:t xml:space="preserve">the </w:t>
      </w:r>
      <w:r>
        <w:t xml:space="preserve">adoption of electric </w:t>
      </w:r>
      <w:r w:rsidR="0002589E">
        <w:t>vehicles</w:t>
      </w:r>
      <w:r>
        <w:t xml:space="preserve"> (</w:t>
      </w:r>
      <w:r w:rsidR="0002589E">
        <w:t>EVs</w:t>
      </w:r>
      <w:r>
        <w:t xml:space="preserve">) in the UK. Specifically, it </w:t>
      </w:r>
      <w:r w:rsidR="0002589E">
        <w:t>emphasises</w:t>
      </w:r>
      <w:r>
        <w:t xml:space="preserve"> multiple transport, energy, and digital systems and policy frameworks integrations, infrastructure development and mechanisms governing the uptake of EVs. The research is restricted to the UK context</w:t>
      </w:r>
      <w:r w:rsidR="0002589E">
        <w:t>,</w:t>
      </w:r>
      <w:r>
        <w:t xml:space="preserve"> and it </w:t>
      </w:r>
      <w:r w:rsidR="0002589E">
        <w:t>is</w:t>
      </w:r>
      <w:r>
        <w:t xml:space="preserve"> possible to know a stable economy with sustainable objectives and regulatory models in </w:t>
      </w:r>
      <w:r w:rsidR="0002589E">
        <w:t>detail</w:t>
      </w:r>
      <w:r>
        <w:t>.</w:t>
      </w:r>
    </w:p>
    <w:p w14:paraId="4575F776" w14:textId="53075626" w:rsidR="00AE4A98" w:rsidRPr="00AE4A98" w:rsidRDefault="00920EB5" w:rsidP="00920EB5">
      <w:r>
        <w:t xml:space="preserve">Nonetheless, there are a number of constraints. Firstly, the findings cannot be </w:t>
      </w:r>
      <w:r w:rsidR="0002589E">
        <w:t>generalised</w:t>
      </w:r>
      <w:r>
        <w:t xml:space="preserve"> to the developing countries due to institutional capacity and infrastructure. Second, the source of research is secondary data based and available </w:t>
      </w:r>
      <w:r w:rsidR="0002589E">
        <w:t>literature-based</w:t>
      </w:r>
      <w:r>
        <w:t>. Therefore, it can restrict the availability of real-time institutional knowledge. Third, the make-speed policies and technological development of EV technologies might affect the external validity of the results in the long term (Zhang and Popp, 2026). Irrespective of these shortcomings, the research offers useful information about the institutional processes that facilitate sustainable transport transitions</w:t>
      </w:r>
      <w:r w:rsidR="00AE4A98">
        <w:t>.</w:t>
      </w:r>
    </w:p>
    <w:p w14:paraId="6B3026A0" w14:textId="7C667491" w:rsidR="0007063E" w:rsidRDefault="00300D64" w:rsidP="00194AD8">
      <w:pPr>
        <w:pStyle w:val="Heading1"/>
      </w:pPr>
      <w:bookmarkStart w:id="17" w:name="_Toc225546753"/>
      <w:bookmarkStart w:id="18" w:name="_Toc227532001"/>
      <w:r>
        <w:t xml:space="preserve">2. </w:t>
      </w:r>
      <w:r w:rsidR="00834B9C" w:rsidRPr="00300D64">
        <w:t>Theoretical</w:t>
      </w:r>
      <w:r w:rsidR="00834B9C">
        <w:t xml:space="preserve"> Considerations</w:t>
      </w:r>
      <w:bookmarkEnd w:id="17"/>
      <w:bookmarkEnd w:id="18"/>
    </w:p>
    <w:p w14:paraId="356819EA" w14:textId="5B80C9F1" w:rsidR="00D51485" w:rsidRDefault="005D2129" w:rsidP="004F58BE">
      <w:bookmarkStart w:id="19" w:name="_Toc225546758"/>
      <w:r>
        <w:rPr>
          <w:noProof/>
        </w:rPr>
        <w:drawing>
          <wp:anchor distT="0" distB="0" distL="114300" distR="114300" simplePos="0" relativeHeight="251659264" behindDoc="0" locked="0" layoutInCell="1" allowOverlap="1" wp14:anchorId="0ACE2E82" wp14:editId="27900F72">
            <wp:simplePos x="0" y="0"/>
            <wp:positionH relativeFrom="margin">
              <wp:align>right</wp:align>
            </wp:positionH>
            <wp:positionV relativeFrom="paragraph">
              <wp:posOffset>227330</wp:posOffset>
            </wp:positionV>
            <wp:extent cx="4048125" cy="27622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48125" cy="2762250"/>
                    </a:xfrm>
                    <a:prstGeom prst="rect">
                      <a:avLst/>
                    </a:prstGeom>
                    <a:noFill/>
                  </pic:spPr>
                </pic:pic>
              </a:graphicData>
            </a:graphic>
            <wp14:sizeRelH relativeFrom="margin">
              <wp14:pctWidth>0</wp14:pctWidth>
            </wp14:sizeRelH>
            <wp14:sizeRelV relativeFrom="margin">
              <wp14:pctHeight>0</wp14:pctHeight>
            </wp14:sizeRelV>
          </wp:anchor>
        </w:drawing>
      </w:r>
      <w:r w:rsidR="007B2550">
        <w:rPr>
          <w:noProof/>
        </w:rPr>
        <mc:AlternateContent>
          <mc:Choice Requires="wps">
            <w:drawing>
              <wp:anchor distT="45720" distB="45720" distL="114300" distR="114300" simplePos="0" relativeHeight="251661312" behindDoc="0" locked="0" layoutInCell="1" allowOverlap="1" wp14:anchorId="2B65E9E7" wp14:editId="4641F124">
                <wp:simplePos x="0" y="0"/>
                <wp:positionH relativeFrom="margin">
                  <wp:align>right</wp:align>
                </wp:positionH>
                <wp:positionV relativeFrom="paragraph">
                  <wp:posOffset>3161030</wp:posOffset>
                </wp:positionV>
                <wp:extent cx="4051300" cy="1404620"/>
                <wp:effectExtent l="0" t="0" r="635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1300" cy="1404620"/>
                        </a:xfrm>
                        <a:prstGeom prst="rect">
                          <a:avLst/>
                        </a:prstGeom>
                        <a:solidFill>
                          <a:srgbClr val="FFFFFF"/>
                        </a:solidFill>
                        <a:ln w="9525">
                          <a:noFill/>
                          <a:miter lim="800000"/>
                          <a:headEnd/>
                          <a:tailEnd/>
                        </a:ln>
                      </wps:spPr>
                      <wps:txbx>
                        <w:txbxContent>
                          <w:p w14:paraId="1763FA99" w14:textId="0F9EA35E" w:rsidR="00D51485" w:rsidRPr="005D2129" w:rsidRDefault="00D51485" w:rsidP="005D2129">
                            <w:pPr>
                              <w:jc w:val="center"/>
                              <w:rPr>
                                <w:b/>
                                <w:bCs/>
                                <w:sz w:val="22"/>
                                <w:szCs w:val="20"/>
                              </w:rPr>
                            </w:pPr>
                            <w:r w:rsidRPr="005D2129">
                              <w:rPr>
                                <w:b/>
                                <w:bCs/>
                                <w:sz w:val="22"/>
                                <w:szCs w:val="20"/>
                              </w:rPr>
                              <w:t>Figure: Theoretical Framework</w:t>
                            </w:r>
                          </w:p>
                          <w:p w14:paraId="53EE062B" w14:textId="4829FC6F" w:rsidR="00D51485" w:rsidRPr="005D2129" w:rsidRDefault="00D51485" w:rsidP="005D2129">
                            <w:pPr>
                              <w:jc w:val="center"/>
                              <w:rPr>
                                <w:b/>
                                <w:bCs/>
                                <w:sz w:val="22"/>
                                <w:szCs w:val="20"/>
                              </w:rPr>
                            </w:pPr>
                            <w:r w:rsidRPr="005D2129">
                              <w:rPr>
                                <w:b/>
                                <w:bCs/>
                                <w:sz w:val="22"/>
                                <w:szCs w:val="20"/>
                              </w:rPr>
                              <w:t>Source: (Hofkirchner and Schafranek, 2011; Davis, Granić and Marangunić, 2024; Dearing and Cox,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B65E9E7" id="_x0000_t202" coordsize="21600,21600" o:spt="202" path="m,l,21600r21600,l21600,xe">
                <v:stroke joinstyle="miter"/>
                <v:path gradientshapeok="t" o:connecttype="rect"/>
              </v:shapetype>
              <v:shape id="Text Box 2" o:spid="_x0000_s1026" type="#_x0000_t202" style="position:absolute;left:0;text-align:left;margin-left:267.8pt;margin-top:248.9pt;width:319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" stroked="f">
                <v:textbox style="mso-fit-shape-to-text:t">
                  <w:txbxContent>
                    <w:p w14:paraId="1763FA99" w14:textId="0F9EA35E" w:rsidR="00D51485" w:rsidRPr="005D2129" w:rsidRDefault="00D51485" w:rsidP="005D2129">
                      <w:pPr>
                        <w:jc w:val="center"/>
                        <w:rPr>
                          <w:b/>
                          <w:bCs/>
                          <w:sz w:val="22"/>
                          <w:szCs w:val="20"/>
                        </w:rPr>
                      </w:pPr>
                      <w:r w:rsidRPr="005D2129">
                        <w:rPr>
                          <w:b/>
                          <w:bCs/>
                          <w:sz w:val="22"/>
                          <w:szCs w:val="20"/>
                        </w:rPr>
                        <w:t>Figure: Theoretical Framework</w:t>
                      </w:r>
                    </w:p>
                    <w:p w14:paraId="53EE062B" w14:textId="4829FC6F" w:rsidR="00D51485" w:rsidRPr="005D2129" w:rsidRDefault="00D51485" w:rsidP="005D2129">
                      <w:pPr>
                        <w:jc w:val="center"/>
                        <w:rPr>
                          <w:b/>
                          <w:bCs/>
                          <w:sz w:val="22"/>
                          <w:szCs w:val="20"/>
                        </w:rPr>
                      </w:pPr>
                      <w:r w:rsidRPr="005D2129">
                        <w:rPr>
                          <w:b/>
                          <w:bCs/>
                          <w:sz w:val="22"/>
                          <w:szCs w:val="20"/>
                        </w:rPr>
                        <w:t>Source: (</w:t>
                      </w:r>
                      <w:proofErr w:type="spellStart"/>
                      <w:r w:rsidRPr="005D2129">
                        <w:rPr>
                          <w:b/>
                          <w:bCs/>
                          <w:sz w:val="22"/>
                          <w:szCs w:val="20"/>
                        </w:rPr>
                        <w:t>Hofkirchner</w:t>
                      </w:r>
                      <w:proofErr w:type="spellEnd"/>
                      <w:r w:rsidRPr="005D2129">
                        <w:rPr>
                          <w:b/>
                          <w:bCs/>
                          <w:sz w:val="22"/>
                          <w:szCs w:val="20"/>
                        </w:rPr>
                        <w:t xml:space="preserve"> and </w:t>
                      </w:r>
                      <w:proofErr w:type="spellStart"/>
                      <w:r w:rsidRPr="005D2129">
                        <w:rPr>
                          <w:b/>
                          <w:bCs/>
                          <w:sz w:val="22"/>
                          <w:szCs w:val="20"/>
                        </w:rPr>
                        <w:t>Schafranek</w:t>
                      </w:r>
                      <w:proofErr w:type="spellEnd"/>
                      <w:r w:rsidRPr="005D2129">
                        <w:rPr>
                          <w:b/>
                          <w:bCs/>
                          <w:sz w:val="22"/>
                          <w:szCs w:val="20"/>
                        </w:rPr>
                        <w:t xml:space="preserve">, 2011; Davis, </w:t>
                      </w:r>
                      <w:proofErr w:type="spellStart"/>
                      <w:r w:rsidRPr="005D2129">
                        <w:rPr>
                          <w:b/>
                          <w:bCs/>
                          <w:sz w:val="22"/>
                          <w:szCs w:val="20"/>
                        </w:rPr>
                        <w:t>Granić</w:t>
                      </w:r>
                      <w:proofErr w:type="spellEnd"/>
                      <w:r w:rsidRPr="005D2129">
                        <w:rPr>
                          <w:b/>
                          <w:bCs/>
                          <w:sz w:val="22"/>
                          <w:szCs w:val="20"/>
                        </w:rPr>
                        <w:t xml:space="preserve"> and Marangunić, 2024; Dearing and Cox, 2018)</w:t>
                      </w:r>
                    </w:p>
                  </w:txbxContent>
                </v:textbox>
                <w10:wrap type="square" anchorx="margin"/>
              </v:shape>
            </w:pict>
          </mc:Fallback>
        </mc:AlternateContent>
      </w:r>
      <w:r w:rsidR="00920EB5" w:rsidRPr="00920EB5">
        <w:rPr>
          <w:noProof/>
        </w:rPr>
        <w:t>The paper deploys a multi-theoretical approach to explain why institutional preparation is essential to make a technological convergence and uptake of electric vehicles (EVs). Being a complex issue, the problem of transport, energy, and digital systems integration cannot be described with the help of a single theory because it has numerous facets of the phenomenon.</w:t>
      </w:r>
      <w:r w:rsidR="00920EB5">
        <w:rPr>
          <w:noProof/>
        </w:rPr>
        <w:t xml:space="preserve"> </w:t>
      </w:r>
      <w:r w:rsidR="00D51485" w:rsidRPr="00D51485">
        <w:t xml:space="preserve">In this way, research is based on General </w:t>
      </w:r>
      <w:r w:rsidR="00D51485" w:rsidRPr="00D51485">
        <w:lastRenderedPageBreak/>
        <w:t xml:space="preserve">Systems Theory (GST), the Technology Acceptance Model (TAM), or </w:t>
      </w:r>
      <w:r w:rsidR="0002589E">
        <w:t xml:space="preserve">the </w:t>
      </w:r>
      <w:r w:rsidR="00D51485" w:rsidRPr="00D51485">
        <w:t xml:space="preserve">Diffusion of Innovations Theory.  </w:t>
      </w:r>
    </w:p>
    <w:p w14:paraId="4E95E506" w14:textId="61B59F7B" w:rsidR="004F58BE" w:rsidRDefault="00E557EB" w:rsidP="004F58BE">
      <w:r w:rsidRPr="00E557EB">
        <w:rPr>
          <w:b/>
          <w:bCs/>
        </w:rPr>
        <w:t>General Systems Theory</w:t>
      </w:r>
      <w:r>
        <w:t xml:space="preserve"> (</w:t>
      </w:r>
      <w:r w:rsidR="004F58BE">
        <w:t>GST</w:t>
      </w:r>
      <w:r>
        <w:t>)</w:t>
      </w:r>
      <w:r w:rsidR="004F58BE">
        <w:t xml:space="preserve"> is of particular significance in the context of EV adoption</w:t>
      </w:r>
      <w:r>
        <w:t xml:space="preserve"> </w:t>
      </w:r>
      <w:r w:rsidRPr="000932A3">
        <w:t>(Hofkirchner and Schafranek, 2011)</w:t>
      </w:r>
      <w:r>
        <w:t>.</w:t>
      </w:r>
      <w:r w:rsidR="004F58BE">
        <w:t xml:space="preserve"> </w:t>
      </w:r>
      <w:r>
        <w:t xml:space="preserve">This theory is applicable here </w:t>
      </w:r>
      <w:r w:rsidR="004F58BE">
        <w:t>since the transition into electric mobility implies interdependence of several systems, among which are energy infrastructure, transport networks, regulatory institutions, and digital technologies</w:t>
      </w:r>
      <w:r w:rsidR="000932A3">
        <w:t xml:space="preserve"> (Ghani et al., 2025)</w:t>
      </w:r>
      <w:r w:rsidR="004F58BE">
        <w:t xml:space="preserve">. This theory allows the study to conceptualise EV adoption not as a stand-alone technological change but as a change that needs integrated (across sectors) coordination. Nonetheless, it is true that GST is successful in capturing interdependencies at the system level, but fails to explicitly consider the individual or organisational adoption </w:t>
      </w:r>
      <w:r w:rsidR="0002589E">
        <w:t xml:space="preserve">behaviour. This </w:t>
      </w:r>
      <w:r w:rsidR="004F58BE">
        <w:t>restricts its explanatory capabilities in establishing user-level decision-making behaviour.</w:t>
      </w:r>
    </w:p>
    <w:p w14:paraId="677FE913" w14:textId="37FE0A4D" w:rsidR="004F58BE" w:rsidRDefault="000932A3" w:rsidP="004F58BE">
      <w:r>
        <w:t>T</w:t>
      </w:r>
      <w:r w:rsidR="004F58BE">
        <w:t xml:space="preserve">o supplement this shortcoming, the </w:t>
      </w:r>
      <w:r w:rsidR="004F58BE" w:rsidRPr="00E557EB">
        <w:rPr>
          <w:b/>
          <w:bCs/>
        </w:rPr>
        <w:t>Technology Acceptance Model</w:t>
      </w:r>
      <w:r w:rsidR="004F58BE">
        <w:t xml:space="preserve"> </w:t>
      </w:r>
      <w:r w:rsidR="00E557EB" w:rsidRPr="00E557EB">
        <w:rPr>
          <w:b/>
          <w:bCs/>
        </w:rPr>
        <w:t>(TAM)</w:t>
      </w:r>
      <w:r w:rsidR="00E557EB">
        <w:t xml:space="preserve"> </w:t>
      </w:r>
      <w:r w:rsidR="004F58BE">
        <w:t xml:space="preserve">by Fred Davis is used to describe user perceptions and acceptance of EV </w:t>
      </w:r>
      <w:r w:rsidR="004F58BE" w:rsidRPr="000932A3">
        <w:t>technology</w:t>
      </w:r>
      <w:r w:rsidRPr="000932A3">
        <w:t xml:space="preserve"> (Davis, Granić and Marangunić, 2024)</w:t>
      </w:r>
      <w:r w:rsidR="004F58BE" w:rsidRPr="000932A3">
        <w:t>.</w:t>
      </w:r>
      <w:r w:rsidR="004F58BE">
        <w:t xml:space="preserve"> TAM assumes that technology adoption depends mainly on the perceived usefulness and perceived ease of use. In the EV case, these perceptions are determined by institutional conditions which include government incentives, availability of infrastructure and regulatory support</w:t>
      </w:r>
      <w:r>
        <w:t xml:space="preserve"> </w:t>
      </w:r>
      <w:r w:rsidRPr="000932A3">
        <w:t>(Chonsalasin et al., 2024)</w:t>
      </w:r>
      <w:r w:rsidR="004F58BE" w:rsidRPr="000932A3">
        <w:t xml:space="preserve">. </w:t>
      </w:r>
      <w:r w:rsidR="0002589E">
        <w:t xml:space="preserve">For </w:t>
      </w:r>
      <w:r w:rsidR="004F58BE">
        <w:t>example, perceived ease of use increases with the availability of charging infrastructure, whereas perceived usefulness increases with financial incentives</w:t>
      </w:r>
      <w:r>
        <w:t xml:space="preserve"> </w:t>
      </w:r>
      <w:r w:rsidRPr="007B2550">
        <w:t>(Christianto and Lahindah, 2025)</w:t>
      </w:r>
      <w:r w:rsidR="004F58BE" w:rsidRPr="007B2550">
        <w:t>. However</w:t>
      </w:r>
      <w:r w:rsidR="004F58BE">
        <w:t xml:space="preserve">, TAM is limited in its analysis as it does not take into account the wider impact of institutions and </w:t>
      </w:r>
      <w:r w:rsidR="004F58BE" w:rsidRPr="007B2550">
        <w:t>structures</w:t>
      </w:r>
      <w:r w:rsidR="007B2550" w:rsidRPr="007B2550">
        <w:t xml:space="preserve"> (Fathema, Shannon and Ross, 2015)</w:t>
      </w:r>
      <w:r w:rsidR="004F58BE" w:rsidRPr="007B2550">
        <w:t>. This is especially applicable to this research, which highlights the contribution</w:t>
      </w:r>
      <w:r w:rsidR="004F58BE">
        <w:t xml:space="preserve"> of governance and system integration.</w:t>
      </w:r>
    </w:p>
    <w:p w14:paraId="311D6C33" w14:textId="365FD018" w:rsidR="004F58BE" w:rsidRDefault="004F58BE" w:rsidP="004F58BE">
      <w:r>
        <w:t xml:space="preserve">The analysis is further extended by </w:t>
      </w:r>
      <w:r w:rsidRPr="00E557EB">
        <w:rPr>
          <w:b/>
          <w:bCs/>
        </w:rPr>
        <w:t>Diffusion of Innovations Theory</w:t>
      </w:r>
      <w:r>
        <w:t>, which is put forward by Everett Rogers, which explains how new technologies spread over social systems and over time</w:t>
      </w:r>
      <w:r w:rsidR="007B2550">
        <w:t xml:space="preserve"> </w:t>
      </w:r>
      <w:r w:rsidR="007B2550" w:rsidRPr="007B2550">
        <w:t>(Dearing and Cox, 2018)</w:t>
      </w:r>
      <w:r w:rsidRPr="007B2550">
        <w:t>. Relative</w:t>
      </w:r>
      <w:r>
        <w:t xml:space="preserve"> advantage, compatibility, complexity and communication channels are some of the factors pointed out by the theory in determining the rates of adoption. As far as EVs are concerned, the concept of diffusion is shaped by consumer preferences and institutional preparedness, such as the clarity of the policies, the presence of the infrastructure, and the coordination of </w:t>
      </w:r>
      <w:r w:rsidRPr="007B2550">
        <w:t>stakeholders</w:t>
      </w:r>
      <w:r w:rsidR="007B2550" w:rsidRPr="007B2550">
        <w:t xml:space="preserve"> (Ryghaug and Skjølsvold, 2023)</w:t>
      </w:r>
      <w:r w:rsidRPr="007B2550">
        <w:t>. Well-developed institutional tools can speed up the diffusion process by cutting down on uncertainties and</w:t>
      </w:r>
      <w:r>
        <w:t xml:space="preserve"> gaining easy access </w:t>
      </w:r>
      <w:r>
        <w:lastRenderedPageBreak/>
        <w:t>to resources. The theory</w:t>
      </w:r>
      <w:r w:rsidR="00E557EB">
        <w:t xml:space="preserve"> </w:t>
      </w:r>
      <w:r>
        <w:t xml:space="preserve">has a tendency to undermine the importance of formal governance structures, which are the focus of </w:t>
      </w:r>
      <w:r w:rsidRPr="007B2550">
        <w:t>this study</w:t>
      </w:r>
      <w:r w:rsidR="007B2550" w:rsidRPr="007B2550">
        <w:t xml:space="preserve"> (</w:t>
      </w:r>
      <w:bookmarkStart w:id="20" w:name="_Hlk226286107"/>
      <w:r w:rsidR="007B2550" w:rsidRPr="007B2550">
        <w:t>Dearing and Cox, 2018)</w:t>
      </w:r>
      <w:bookmarkEnd w:id="20"/>
      <w:r w:rsidRPr="007B2550">
        <w:t>.</w:t>
      </w:r>
    </w:p>
    <w:p w14:paraId="762F9CA0" w14:textId="14BF0615" w:rsidR="00AE4A98" w:rsidRDefault="004F58BE" w:rsidP="004F58BE">
      <w:r>
        <w:t>The combination of these three theoretical positions leads to the creation of a multi-level framework to embrace systemic and behavioural aspects of EV uptake into the study. GST gives us a macro-level explanation of the convergence and interdependence of systems using technology, TAM offers us a micro-level explanation of adoption behaviour, and Diffusion of Innovations Theory fills the gap between the two levels through analysis of the diffusion of adoption in a structured environment</w:t>
      </w:r>
      <w:r w:rsidR="007B2550">
        <w:t xml:space="preserve"> (</w:t>
      </w:r>
      <w:r w:rsidR="007B2550" w:rsidRPr="000932A3">
        <w:t>Hofkirchner and Schafranek, 2011</w:t>
      </w:r>
      <w:r w:rsidR="007B2550">
        <w:t xml:space="preserve">; </w:t>
      </w:r>
      <w:r w:rsidR="007B2550" w:rsidRPr="000932A3">
        <w:t>Davis, Granić and Marangunić, 2024</w:t>
      </w:r>
      <w:r w:rsidR="007B2550">
        <w:t xml:space="preserve">; </w:t>
      </w:r>
      <w:r w:rsidR="007B2550" w:rsidRPr="007B2550">
        <w:t>Dearing and Cox, 2018</w:t>
      </w:r>
      <w:r w:rsidR="007B2550">
        <w:t>)</w:t>
      </w:r>
      <w:r>
        <w:t xml:space="preserve">. </w:t>
      </w:r>
    </w:p>
    <w:p w14:paraId="30BCCF36" w14:textId="3DDAD64E" w:rsidR="0007063E" w:rsidRDefault="00300D64" w:rsidP="00300D64">
      <w:pPr>
        <w:pStyle w:val="Heading1"/>
      </w:pPr>
      <w:bookmarkStart w:id="21" w:name="_Toc227532002"/>
      <w:r>
        <w:t xml:space="preserve">3. </w:t>
      </w:r>
      <w:r w:rsidR="0007063E">
        <w:t>Literature Review</w:t>
      </w:r>
      <w:bookmarkEnd w:id="19"/>
      <w:bookmarkEnd w:id="21"/>
    </w:p>
    <w:p w14:paraId="679AEF4A" w14:textId="0463A7DB" w:rsidR="005D2129" w:rsidRPr="005D2129" w:rsidRDefault="005D2129" w:rsidP="005D2129">
      <w:pPr>
        <w:pStyle w:val="Heading2"/>
      </w:pPr>
      <w:bookmarkStart w:id="22" w:name="_Toc227532003"/>
      <w:r>
        <w:t>3.1 Overview of Electric Vehicle Adoption</w:t>
      </w:r>
      <w:bookmarkEnd w:id="22"/>
    </w:p>
    <w:p w14:paraId="1745A293" w14:textId="3A49CB69" w:rsidR="004B377E" w:rsidRDefault="004B377E" w:rsidP="004B377E">
      <w:bookmarkStart w:id="23" w:name="_Toc225546763"/>
      <w:r>
        <w:t xml:space="preserve">The transition of electric vehicles (EVs) has raised more coverage due to its potential role in sustainable development and reduction of carbon footprint (Hossain et al., 2022). Based on the available literature, there is a set of technological, environmental, economic, and policy-related factors that are combined to determine EV adoption. Zaino et al. (2024) and Singh et al. (2024) note that the EV adoption process is multidimensional and requires the interplay between the infrastructure, the system of governance, and user behaviour. It means that EV adoption </w:t>
      </w:r>
      <w:r w:rsidR="0002589E">
        <w:t>cannot</w:t>
      </w:r>
      <w:r>
        <w:t xml:space="preserve"> be viewed in a single manner, but should be treated in a hybrid manner.</w:t>
      </w:r>
    </w:p>
    <w:p w14:paraId="3D3F101B" w14:textId="412900F0" w:rsidR="005D2129" w:rsidRDefault="004B377E" w:rsidP="004B377E">
      <w:r>
        <w:t>Nevertheless, most of the available literature is rather individualistic</w:t>
      </w:r>
      <w:r w:rsidR="0002589E">
        <w:t>. I</w:t>
      </w:r>
      <w:r>
        <w:t xml:space="preserve">t usually studies individual factors in isolation. This restricts the explanatory depth of the available literature to understand the interaction of different systems in its entirety to find the answer to the occurrence of adoption. Therefore, there is a need to have a more encompassing approach towards both structural and behavioural </w:t>
      </w:r>
      <w:r w:rsidR="0002589E">
        <w:t>considerations</w:t>
      </w:r>
      <w:r w:rsidR="005D2129">
        <w:t>.</w:t>
      </w:r>
    </w:p>
    <w:p w14:paraId="3759A0D2" w14:textId="7E2B332E" w:rsidR="005D2129" w:rsidRDefault="005D2129" w:rsidP="005D2129">
      <w:pPr>
        <w:pStyle w:val="Heading2"/>
      </w:pPr>
      <w:bookmarkStart w:id="24" w:name="_Toc227532004"/>
      <w:r>
        <w:t>3.2 Policy and Institutional Factors</w:t>
      </w:r>
      <w:bookmarkEnd w:id="24"/>
    </w:p>
    <w:p w14:paraId="79979633" w14:textId="00F971BC" w:rsidR="004B377E" w:rsidRDefault="004B377E" w:rsidP="004B377E">
      <w:r>
        <w:t xml:space="preserve">The policies of the government and the institutional systems play a critical role in facilitating the adoption of </w:t>
      </w:r>
      <w:r w:rsidR="0002589E">
        <w:t>EVs</w:t>
      </w:r>
      <w:r>
        <w:t xml:space="preserve">. Research studies such as Alali, Niesten and Gagliardi (2022) and Sun et al. (2024) demonstrated that monetary incentives, regulatory support, and investments in infrastructure are useful in affecting the adoption rates in the UK. Jackson (2023) postulates that </w:t>
      </w:r>
      <w:r w:rsidR="0002589E">
        <w:t>EV</w:t>
      </w:r>
      <w:r>
        <w:t xml:space="preserve"> adoption is not an exclusive technological change but rather a wider institutional change that entails a policy initiative.</w:t>
      </w:r>
    </w:p>
    <w:p w14:paraId="0AC2BC9C" w14:textId="449DE287" w:rsidR="005D2129" w:rsidRDefault="004B377E" w:rsidP="004B377E">
      <w:r>
        <w:lastRenderedPageBreak/>
        <w:t xml:space="preserve">Even with these contributions, it is possible to note that the available studies are more policy effectiveness-oriented rather than institution preparedness-oriented. In other words, even though policies can be evaluated using the ensuing outcome, little is mentioned regarding the capacity of institutions to possess capacity, </w:t>
      </w:r>
      <w:r w:rsidR="0002589E">
        <w:t>coordinating</w:t>
      </w:r>
      <w:r>
        <w:t xml:space="preserve"> mechanisms, and structures of governance to influence the policies in a meaningful way (Wong et al., 2026).</w:t>
      </w:r>
      <w:r w:rsidR="005D2129">
        <w:t xml:space="preserve"> This forms a major lapse as the policies themselves cannot succeed without sufficient institutional reinforcements.</w:t>
      </w:r>
    </w:p>
    <w:p w14:paraId="75ED7A8A" w14:textId="75E4C270" w:rsidR="005D2129" w:rsidRDefault="005D2129" w:rsidP="005D2129">
      <w:pPr>
        <w:pStyle w:val="Heading2"/>
      </w:pPr>
      <w:bookmarkStart w:id="25" w:name="_Toc227532005"/>
      <w:r>
        <w:t>3.3 Infrastructure and Technological Convergence</w:t>
      </w:r>
      <w:bookmarkEnd w:id="25"/>
    </w:p>
    <w:p w14:paraId="4DBD84A4" w14:textId="72A0535F" w:rsidR="005D2129" w:rsidRDefault="005D2129" w:rsidP="005D2129">
      <w:r>
        <w:t>It is well known that charging infrastructure constitutes a key factor of EV adoption. As highlighted by Chen et al. (2020) and LaMonaca and Ryan</w:t>
      </w:r>
      <w:r w:rsidR="00EF1425">
        <w:t xml:space="preserve"> (2022)</w:t>
      </w:r>
      <w:r>
        <w:t xml:space="preserve">, users report that they feel confident and are ready to switch to EVs solely due to the accessibility of charging facilities. More so, Hopkins et al. (2023) emphasise the fact that inequalities in the distribution of infrastructure may form regional disparities, restricting adoption in rural or less developed regions. </w:t>
      </w:r>
      <w:r w:rsidR="00EF1425" w:rsidRPr="00EF1425">
        <w:t>Burra, Al-Khasawneh and Cirillo</w:t>
      </w:r>
      <w:r w:rsidR="00EF1425">
        <w:t xml:space="preserve"> </w:t>
      </w:r>
      <w:r>
        <w:t xml:space="preserve">(2024) also </w:t>
      </w:r>
      <w:r w:rsidR="007D0F86">
        <w:t>approve</w:t>
      </w:r>
      <w:r>
        <w:t xml:space="preserve"> the fact that the ability of infrastructure influences the adoption behaviour </w:t>
      </w:r>
      <w:r w:rsidR="00EF1425">
        <w:t>directly and measurably</w:t>
      </w:r>
      <w:r>
        <w:t>.</w:t>
      </w:r>
    </w:p>
    <w:p w14:paraId="7869A660" w14:textId="4ADA1802" w:rsidR="005D2129" w:rsidRDefault="005D2129" w:rsidP="005D2129">
      <w:r>
        <w:t>Along with infrastructure, technological convergence is increasingly becoming significant in recent research. Indicatively, Correia (2025) states that to have sustainable transport systems, the power grids need to integrate with the electric mobility systems. Equally, Kochanek et al. (2025) highlight the importance of the integration of renewable energy to help EV ecosystems. Nevertheless, such studies tend to be technical in nature</w:t>
      </w:r>
      <w:r w:rsidR="007D0F86">
        <w:t>.</w:t>
      </w:r>
      <w:r>
        <w:t xml:space="preserve"> </w:t>
      </w:r>
      <w:r w:rsidR="007D0F86">
        <w:t>T</w:t>
      </w:r>
      <w:r>
        <w:t>hey give minimal consideration to the institutional coordination that is necessary to govern such integration. Consequently, the contribution of governance and strategic planning to facilitate technological convergence has not been well explored.</w:t>
      </w:r>
    </w:p>
    <w:p w14:paraId="11958171" w14:textId="2EF42BDE" w:rsidR="005D2129" w:rsidRDefault="005D2129" w:rsidP="005D2129">
      <w:pPr>
        <w:pStyle w:val="Heading2"/>
      </w:pPr>
      <w:bookmarkStart w:id="26" w:name="_Toc227532006"/>
      <w:r>
        <w:t>3.4 Consumer Behaviour and Adoption Barriers</w:t>
      </w:r>
      <w:bookmarkEnd w:id="26"/>
    </w:p>
    <w:p w14:paraId="7CBE22A2" w14:textId="1D3AC527" w:rsidR="005D2129" w:rsidRDefault="005D2129" w:rsidP="005D2129">
      <w:r>
        <w:t xml:space="preserve">Another significant aspect of EV adoption is consumer behaviour. </w:t>
      </w:r>
      <w:r w:rsidR="00EF1425" w:rsidRPr="00EF1425">
        <w:t>Budnitz, Toon Meelen and Schwanen</w:t>
      </w:r>
      <w:r w:rsidR="00EF1425">
        <w:t xml:space="preserve"> </w:t>
      </w:r>
      <w:r>
        <w:t>(2024) and Lavieri and de Oliveira (2023) both have found that convenience, accessibility, and cost are viewed as critical factors affecting the adoption decision. Mesquita et al. (2025) also single out several essential obstacles, such as high start-up fees, range apprehension, and the lack of awareness. These results demonstrate the significance of user perceptions in determining adoption results.</w:t>
      </w:r>
    </w:p>
    <w:p w14:paraId="2BDD268F" w14:textId="6536A3F3" w:rsidR="005D2129" w:rsidRDefault="005D2129" w:rsidP="005D2129">
      <w:r>
        <w:t xml:space="preserve">Yet, much of this literature pays particular attention to individual factors and does not pay much attention to the larger institutional context. Indicatively, range anxiety is a consumer issue that is </w:t>
      </w:r>
      <w:r>
        <w:lastRenderedPageBreak/>
        <w:t xml:space="preserve">directly associated with the availability of the infrastructure, and this availability is subject to policy and planning </w:t>
      </w:r>
      <w:r w:rsidRPr="00EF1425">
        <w:t>decisions</w:t>
      </w:r>
      <w:r w:rsidR="00EF1425" w:rsidRPr="00EF1425">
        <w:t xml:space="preserve"> (Guo, Yang and Lu, 2018)</w:t>
      </w:r>
      <w:r w:rsidRPr="00EF1425">
        <w:t>.</w:t>
      </w:r>
      <w:r>
        <w:t xml:space="preserve"> Thus, the study of consumer behaviour that ignores the role of institutions as an influencer of the adoption process gives an incomplete picture of the process of adoption.</w:t>
      </w:r>
    </w:p>
    <w:p w14:paraId="1BC2E49A" w14:textId="39938179" w:rsidR="005D2129" w:rsidRDefault="005D2129" w:rsidP="005D2129">
      <w:pPr>
        <w:pStyle w:val="Heading2"/>
      </w:pPr>
      <w:bookmarkStart w:id="27" w:name="_Toc227532007"/>
      <w:r>
        <w:t>3.5 Sustainability and SDGs</w:t>
      </w:r>
      <w:bookmarkEnd w:id="27"/>
    </w:p>
    <w:p w14:paraId="135814E1" w14:textId="793AE68C" w:rsidR="005D2129" w:rsidRDefault="005D2129" w:rsidP="005D2129">
      <w:r>
        <w:t>The energy use of EVs is closely associated with the climate goals and sustainability. Abdelkareem et al. (2025) emphasise the fact that EVs help to fulfil Sustainable Development Goals (SDGs), especially clean energy and climate action. On the same note, Kumar and Alok (2020) and Song and Potoglou (2020) conclude that EVs are integral to long-term sustainability plans.</w:t>
      </w:r>
    </w:p>
    <w:p w14:paraId="04D61F17" w14:textId="6D44FA50" w:rsidR="005D2129" w:rsidRDefault="005D2129" w:rsidP="005D2129">
      <w:r>
        <w:t xml:space="preserve">However, such studies tend to </w:t>
      </w:r>
      <w:r w:rsidR="007D0F86">
        <w:t>suggest</w:t>
      </w:r>
      <w:r>
        <w:t xml:space="preserve"> that there is a direct dependence between EV adoption and sustainability outcomes. This premise does not recognise the role played by institutional preparedness in terms of having the EV systems supported by clean energy sources, good infrastructure, and harmonious policies</w:t>
      </w:r>
      <w:r w:rsidR="00F900E9">
        <w:t xml:space="preserve"> (Lee et al., 2025)</w:t>
      </w:r>
      <w:r>
        <w:t xml:space="preserve">. Without such supporting structures, the </w:t>
      </w:r>
      <w:r w:rsidR="004378DE">
        <w:t xml:space="preserve">environmental benefits </w:t>
      </w:r>
      <w:r>
        <w:t>of EV adoption can be constrained.</w:t>
      </w:r>
    </w:p>
    <w:p w14:paraId="5A1BC76F" w14:textId="00D817DB" w:rsidR="005D2129" w:rsidRDefault="005D2129" w:rsidP="005D2129">
      <w:pPr>
        <w:pStyle w:val="Heading2"/>
      </w:pPr>
      <w:bookmarkStart w:id="28" w:name="_Toc227532008"/>
      <w:r>
        <w:t>3.6 Research Gap</w:t>
      </w:r>
      <w:bookmarkEnd w:id="28"/>
    </w:p>
    <w:p w14:paraId="12276E32" w14:textId="78EC9E9A" w:rsidR="005D2129" w:rsidRDefault="005D2129" w:rsidP="005D2129">
      <w:r>
        <w:t xml:space="preserve">In spite of the rich body of literature on EV adoption, there are some significant gaps present. In </w:t>
      </w:r>
      <w:r w:rsidR="00F900E9">
        <w:t xml:space="preserve">the </w:t>
      </w:r>
      <w:r>
        <w:t xml:space="preserve">majority of the studies, technological factors, infrastructure development or consumer behaviour </w:t>
      </w:r>
      <w:r w:rsidR="00F900E9">
        <w:t>are</w:t>
      </w:r>
      <w:r>
        <w:t xml:space="preserve"> considered independently. Research that incorporates all these elements in a comprehensive framework of institutional readiness and technological convergence is limited. As an illustration, </w:t>
      </w:r>
      <w:r w:rsidR="00F900E9" w:rsidRPr="00F900E9">
        <w:t>Khader, Wilson and Tryfonas</w:t>
      </w:r>
      <w:r w:rsidR="00F900E9">
        <w:t xml:space="preserve"> </w:t>
      </w:r>
      <w:r>
        <w:t>(2025) do not explore the spatial differences in EV adoption comprehensively</w:t>
      </w:r>
      <w:r w:rsidR="004378DE">
        <w:t>.</w:t>
      </w:r>
      <w:r>
        <w:t xml:space="preserve"> </w:t>
      </w:r>
      <w:r w:rsidR="004378DE">
        <w:t>However, the role of institutional capacity in shaping these patterns remains underexplored in</w:t>
      </w:r>
      <w:r>
        <w:t xml:space="preserve"> the adoption patterns</w:t>
      </w:r>
      <w:r w:rsidR="004378DE">
        <w:t>.</w:t>
      </w:r>
      <w:r>
        <w:t xml:space="preserve"> In the same way, Marson and Ferris (2024) </w:t>
      </w:r>
      <w:r w:rsidR="00F900E9">
        <w:t>recognise</w:t>
      </w:r>
      <w:r>
        <w:t xml:space="preserve"> a problem of infrastructure obstacles in the UK and offer a small discussion of the issues of governance.</w:t>
      </w:r>
    </w:p>
    <w:p w14:paraId="6843BE4F" w14:textId="39DD1DBE" w:rsidR="005D2129" w:rsidRPr="005D2129" w:rsidRDefault="005D2129" w:rsidP="005D2129">
      <w:r>
        <w:t xml:space="preserve">Thus, this project </w:t>
      </w:r>
      <w:r w:rsidR="00F900E9">
        <w:t>fulfils</w:t>
      </w:r>
      <w:r>
        <w:t xml:space="preserve"> an essential gap by looking at the role of institutional preparation in facilitating the implementation of transport, energy, and digital systems and the impact of the latter on EV adoption and sustainability. This study adds to the better understanding of institutional settings of sustainable transport transitions by encouraging a more holistic and system-driven view.</w:t>
      </w:r>
    </w:p>
    <w:p w14:paraId="3DA8E6E6" w14:textId="68DCC475" w:rsidR="00C778BA" w:rsidRDefault="00300D64" w:rsidP="00C92551">
      <w:pPr>
        <w:pStyle w:val="Heading1"/>
      </w:pPr>
      <w:bookmarkStart w:id="29" w:name="_Toc227532009"/>
      <w:r>
        <w:lastRenderedPageBreak/>
        <w:t xml:space="preserve">4. </w:t>
      </w:r>
      <w:r w:rsidR="00BB27D2">
        <w:t>Economic and Social Empowerment</w:t>
      </w:r>
      <w:bookmarkEnd w:id="23"/>
      <w:bookmarkEnd w:id="29"/>
    </w:p>
    <w:p w14:paraId="17E29619" w14:textId="75AA91D2" w:rsidR="00BB27D2" w:rsidRDefault="00BB27D2" w:rsidP="00BB27D2">
      <w:pPr>
        <w:pStyle w:val="Heading2"/>
      </w:pPr>
      <w:bookmarkStart w:id="30" w:name="_Toc225546764"/>
      <w:bookmarkStart w:id="31" w:name="_Toc227532010"/>
      <w:r>
        <w:t>4.1 Economic Empowerment</w:t>
      </w:r>
      <w:bookmarkEnd w:id="30"/>
      <w:bookmarkEnd w:id="31"/>
    </w:p>
    <w:p w14:paraId="2FC80DEC" w14:textId="2CBAAF03" w:rsidR="00585FF1" w:rsidRPr="00585FF1" w:rsidRDefault="00585FF1" w:rsidP="00585FF1">
      <w:r>
        <w:t>Economic empowerment relative to EV adoption is the power of individuals, firms and communities to enjoy new economic opportunities created by switching to electric mobility</w:t>
      </w:r>
      <w:r w:rsidR="004378DE">
        <w:t xml:space="preserve"> (Fleming, 2018)</w:t>
      </w:r>
      <w:r>
        <w:t xml:space="preserve">. Available literature indicates that EVs diffusion leads to growth and development in the economy by creating employment, stimulating innovation and changing the industry. To illustrate it, Jackson (2023) states that EVs in the UK have a strong connection with industrial modernisation that opens up possibilities in manufacturing, battery creation, and infrastructure construction. </w:t>
      </w:r>
      <w:r w:rsidRPr="00585FF1">
        <w:t>Similarly, according to Singh et al. (2024), newly appeared business models are introduced in the EV ecosystem, including the charging service, energy management, and digital platforms</w:t>
      </w:r>
      <w:r>
        <w:t>.</w:t>
      </w:r>
    </w:p>
    <w:p w14:paraId="2BA91DDA" w14:textId="5E55E879" w:rsidR="00585FF1" w:rsidRPr="00585FF1" w:rsidRDefault="00585FF1" w:rsidP="00585FF1">
      <w:r>
        <w:t xml:space="preserve">In addition, government incentives as well as policy structures are significant towards facilitating economic empowerment. </w:t>
      </w:r>
      <w:r w:rsidR="00170510" w:rsidRPr="00EF1425">
        <w:t>Alali, Niesten and Gagliardi</w:t>
      </w:r>
      <w:r w:rsidR="00170510">
        <w:t xml:space="preserve"> </w:t>
      </w:r>
      <w:r>
        <w:t>(2022) also prove that financial incentives play a great role in the adoption of electric fleets to motivate businesses to invest in eco-friendly transport solutions. Nevertheless, not all the results of economic benefits are spread equally. Small enterprises and low-income populations may face multiple obstacles due to the high initial expenses of EVs and infrastructure development, and may not be able to participate in the transition (Mesquita et al., 2025). Thus, economic empowerment is tied not only to market opportunities but also to inclusive policies and institutional support that will make the resources available to everyone equally.</w:t>
      </w:r>
    </w:p>
    <w:p w14:paraId="79E431BF" w14:textId="59D2108E" w:rsidR="00BB27D2" w:rsidRDefault="00BB27D2" w:rsidP="00BB27D2">
      <w:pPr>
        <w:pStyle w:val="Heading2"/>
      </w:pPr>
      <w:bookmarkStart w:id="32" w:name="_Toc225546765"/>
      <w:bookmarkStart w:id="33" w:name="_Toc227532011"/>
      <w:r>
        <w:t>4.2 Social Empowerment</w:t>
      </w:r>
      <w:bookmarkEnd w:id="32"/>
      <w:bookmarkEnd w:id="33"/>
    </w:p>
    <w:p w14:paraId="4537CBC5" w14:textId="337F656F" w:rsidR="00585FF1" w:rsidRDefault="00585FF1" w:rsidP="00585FF1">
      <w:r w:rsidRPr="00585FF1">
        <w:t xml:space="preserve">Social empowerment refers to the process through which individuals and societies are granted access to the opportunities, resources, and </w:t>
      </w:r>
      <w:r>
        <w:t>decision-making</w:t>
      </w:r>
      <w:r w:rsidRPr="00585FF1">
        <w:t xml:space="preserve"> process in EV adoption</w:t>
      </w:r>
      <w:r w:rsidRPr="00585FF1">
        <w:rPr>
          <w:color w:val="FF0000"/>
        </w:rPr>
        <w:t xml:space="preserve">. </w:t>
      </w:r>
      <w:r>
        <w:t>EVs can be used to enhance the quality of life through air pollution reduction, improved population health, and sustainable urban living. Abdelkareem et al. (2025) note that EV adoption is also associated with social health because it helps provide cleaner surroundings and mitigate health-related risks related to emissions.</w:t>
      </w:r>
    </w:p>
    <w:p w14:paraId="089127A0" w14:textId="637D25F9" w:rsidR="00585FF1" w:rsidRDefault="00585FF1" w:rsidP="00585FF1">
      <w:r>
        <w:t xml:space="preserve">Nonetheless, the phenomena of accessibility and inclusivity are also closely related to social empowerment. As noted in the studies, including </w:t>
      </w:r>
      <w:r w:rsidR="00170510" w:rsidRPr="00EF1425">
        <w:t>Budnitz, Toon Meelen and Schwanen</w:t>
      </w:r>
      <w:r>
        <w:t xml:space="preserve"> (2024), the availability of charging infrastructure is a predictive factor in adoption, especially for people </w:t>
      </w:r>
      <w:r>
        <w:lastRenderedPageBreak/>
        <w:t>in social housing or those in urban dwellings. In the same note, Hopkins et al. (2023) also believe that social inequalities may arise due to unequal distribution of infrastructure, whereby some groups gain more than others. That is why it is implied that, in the case of inattentive planning, the shift to EVs can only contribute to societal inequalities.</w:t>
      </w:r>
    </w:p>
    <w:p w14:paraId="6AD1EFA0" w14:textId="43A9DD8C" w:rsidR="00585FF1" w:rsidRPr="00585FF1" w:rsidRDefault="00585FF1" w:rsidP="00585FF1">
      <w:r>
        <w:t>In addition to that, social empowerment is also determined by consumer awareness and perceptions. Low knowledge, range anxiety, and affordability apprehension may be discouraging, especially in disadvantaged populations (Mesquita et al., 2025). Thus, social empowerment must be achieved through the development of infrastructure as well as through education, awareness and inclusive policy design.</w:t>
      </w:r>
    </w:p>
    <w:p w14:paraId="07E847B9" w14:textId="4DBD019A" w:rsidR="00BB27D2" w:rsidRDefault="00BB27D2" w:rsidP="00BB27D2">
      <w:pPr>
        <w:pStyle w:val="Heading2"/>
      </w:pPr>
      <w:bookmarkStart w:id="34" w:name="_Toc225546766"/>
      <w:bookmarkStart w:id="35" w:name="_Toc227532012"/>
      <w:r>
        <w:t>4.3 Relationship Between Social and Economic Empowerment</w:t>
      </w:r>
      <w:bookmarkEnd w:id="34"/>
      <w:bookmarkEnd w:id="35"/>
    </w:p>
    <w:p w14:paraId="074D0102" w14:textId="0AC1083E" w:rsidR="00585FF1" w:rsidRDefault="004B377E" w:rsidP="00585FF1">
      <w:r w:rsidRPr="004B377E">
        <w:t>Two independent variables that are next to each other as far as EV adoption is concerned are economic and social enabling. The level of economic opportunities can boost social inclusion and enhance the creation of new workplaces and expansion of businesses that may raise the amount of income and access to resources (Fleming et al., 2018). At the same time, socially inclusive policies could ensure the equal measure of economic benefits to different populations</w:t>
      </w:r>
      <w:r w:rsidR="00585FF1">
        <w:t>.</w:t>
      </w:r>
    </w:p>
    <w:p w14:paraId="302C4E11" w14:textId="41FC4C85" w:rsidR="00585FF1" w:rsidRDefault="00585FF1" w:rsidP="00585FF1">
      <w:r>
        <w:t xml:space="preserve">Nonetheless, such a relationship is not always balanced. Although the economic growth could be achieved by expanding the EV industry, it cannot necessarily lead to social inclusion. The investment into infrastructure, as an example, can provide urban communities more benefits than the rural ones, resulting in unequal </w:t>
      </w:r>
      <w:r w:rsidRPr="00075E15">
        <w:t>growth</w:t>
      </w:r>
      <w:r w:rsidR="00075E15" w:rsidRPr="00075E15">
        <w:t xml:space="preserve"> (Mendoza-del Villar et al., 2020)</w:t>
      </w:r>
      <w:r w:rsidRPr="00075E15">
        <w:t>. Likewise</w:t>
      </w:r>
      <w:r>
        <w:t>, high prices of EV ownership may lock out less affluent groups of people, restraining economic as well as social empowerment.</w:t>
      </w:r>
    </w:p>
    <w:p w14:paraId="66F34503" w14:textId="03D4914E" w:rsidR="00585FF1" w:rsidRPr="00585FF1" w:rsidRDefault="00585FF1" w:rsidP="00585FF1">
      <w:r>
        <w:t>Hence, economic and social empowerment must be implemented in an institutionally backed program. It should have policies that deal with affordability, accessibility of infrastructure and disparities between regions, but encouraging innovations and investment. Such a design can help to make EVs more inclusive and sustainable in terms of their development effects by combining economic and social goals.</w:t>
      </w:r>
    </w:p>
    <w:p w14:paraId="4A8D2D2C" w14:textId="0C5902FE" w:rsidR="00750F1C" w:rsidRDefault="00750F1C" w:rsidP="00052C1A">
      <w:pPr>
        <w:pStyle w:val="Heading1"/>
      </w:pPr>
      <w:bookmarkStart w:id="36" w:name="_Toc225546767"/>
      <w:bookmarkStart w:id="37" w:name="_Toc227532013"/>
      <w:r>
        <w:t>5. Methodology</w:t>
      </w:r>
      <w:bookmarkEnd w:id="36"/>
      <w:bookmarkEnd w:id="37"/>
    </w:p>
    <w:p w14:paraId="04F5042B" w14:textId="77777777" w:rsidR="00075E15" w:rsidRDefault="00075E15" w:rsidP="00075E15">
      <w:pPr>
        <w:pStyle w:val="Heading2"/>
      </w:pPr>
      <w:bookmarkStart w:id="38" w:name="_Toc227532014"/>
      <w:r>
        <w:t>5.1 Research Philosophy</w:t>
      </w:r>
      <w:bookmarkEnd w:id="38"/>
    </w:p>
    <w:p w14:paraId="0F6F27E2" w14:textId="778A8290" w:rsidR="00075E15" w:rsidRDefault="00075E15" w:rsidP="00075E15">
      <w:r>
        <w:t xml:space="preserve">The research philosophy in this study is a positivist research philosophy, which </w:t>
      </w:r>
      <w:r w:rsidR="004B377E">
        <w:t xml:space="preserve">helps in </w:t>
      </w:r>
      <w:r>
        <w:t xml:space="preserve">objective measurement and empirical analysis. Positivism would be the correct approach since the study </w:t>
      </w:r>
      <w:r>
        <w:lastRenderedPageBreak/>
        <w:t xml:space="preserve">would investigate the relationship between institutional variables and EV adoption throughout the study using quantifiable data. </w:t>
      </w:r>
      <w:r w:rsidR="00E557EB">
        <w:t>Positivism is based</w:t>
      </w:r>
      <w:r w:rsidR="00E557EB" w:rsidRPr="00E557EB">
        <w:t xml:space="preserve"> </w:t>
      </w:r>
      <w:r w:rsidR="00E557EB">
        <w:t xml:space="preserve">on </w:t>
      </w:r>
      <w:r w:rsidR="00E557EB" w:rsidRPr="00E557EB">
        <w:t>an ontological basis of objectivism</w:t>
      </w:r>
      <w:r w:rsidR="00E557EB">
        <w:t>,</w:t>
      </w:r>
      <w:r w:rsidR="00E557EB" w:rsidRPr="00E557EB">
        <w:t xml:space="preserve"> wherein it is assumed that there is an independent and measurable reality that can be expressed as observable phenomena</w:t>
      </w:r>
      <w:r w:rsidR="00854E8B">
        <w:t xml:space="preserve"> </w:t>
      </w:r>
      <w:r w:rsidR="00854E8B" w:rsidRPr="00854E8B">
        <w:t>(Park, Konge and Artino Jr, 2020)</w:t>
      </w:r>
      <w:r w:rsidR="00E557EB" w:rsidRPr="00E557EB">
        <w:t xml:space="preserve">. </w:t>
      </w:r>
      <w:r w:rsidR="00E557EB">
        <w:t>About</w:t>
      </w:r>
      <w:r w:rsidR="00E557EB" w:rsidRPr="00E557EB">
        <w:t xml:space="preserve"> epistemology, the research takes a positivist position as it depends on empirical evidence gathered using </w:t>
      </w:r>
      <w:r w:rsidR="00E557EB">
        <w:t>comprehensive</w:t>
      </w:r>
      <w:r w:rsidR="00E557EB" w:rsidRPr="00E557EB">
        <w:t xml:space="preserve"> questionnaires and interpreted using statistical software, like SPSS. The research is axiologically neutral, which would mean that </w:t>
      </w:r>
      <w:r w:rsidR="00E557EB">
        <w:t xml:space="preserve">the </w:t>
      </w:r>
      <w:r w:rsidR="00E557EB" w:rsidRPr="00E557EB">
        <w:t>results obtained are objective and free of researcher bias.</w:t>
      </w:r>
      <w:r w:rsidR="00E557EB">
        <w:t xml:space="preserve"> </w:t>
      </w:r>
      <w:r w:rsidR="00E557EB" w:rsidRPr="00E557EB">
        <w:t xml:space="preserve">This congruence enhances </w:t>
      </w:r>
      <w:r w:rsidR="00E557EB">
        <w:t xml:space="preserve">the </w:t>
      </w:r>
      <w:r w:rsidR="00E557EB" w:rsidRPr="00E557EB">
        <w:t>validity and reliability of the research.</w:t>
      </w:r>
      <w:r w:rsidR="00E557EB">
        <w:t xml:space="preserve"> </w:t>
      </w:r>
      <w:r>
        <w:t>As Collis and Hussey (2013) state, positivism focuses on organised research and statistical consideration, which makes it appropriate to address studies that are to be generalisable.</w:t>
      </w:r>
      <w:r w:rsidR="00333124">
        <w:t xml:space="preserve"> </w:t>
      </w:r>
      <w:r>
        <w:t>Also, the adoption of a structured survey and the use of statistical methods in SPSS is consistent with the principles of positivism since it enables the collection and objective interpretation of the data systematically (Adams et al., 2014). In such a way, the findings can be made on the basis of observable data and can be a subjective interpretation.</w:t>
      </w:r>
    </w:p>
    <w:p w14:paraId="3659C33F" w14:textId="77777777" w:rsidR="00075E15" w:rsidRDefault="00075E15" w:rsidP="00075E15">
      <w:pPr>
        <w:pStyle w:val="Heading2"/>
      </w:pPr>
      <w:bookmarkStart w:id="39" w:name="_Toc227532015"/>
      <w:r>
        <w:t>5.2 Research Approach</w:t>
      </w:r>
      <w:bookmarkEnd w:id="39"/>
    </w:p>
    <w:p w14:paraId="2CA41FEE" w14:textId="17BFB9EA" w:rsidR="00075E15" w:rsidRDefault="00075E15" w:rsidP="00075E15">
      <w:r>
        <w:t xml:space="preserve">The study </w:t>
      </w:r>
      <w:r w:rsidR="004B377E">
        <w:t>uses</w:t>
      </w:r>
      <w:r>
        <w:t xml:space="preserve"> a deductive research </w:t>
      </w:r>
      <w:r w:rsidR="00703623">
        <w:t>approach</w:t>
      </w:r>
      <w:r>
        <w:t xml:space="preserve">, in which former theories and literature guide the company to formulate research questions and </w:t>
      </w:r>
      <w:r w:rsidR="00333124">
        <w:t>hypotheses</w:t>
      </w:r>
      <w:r>
        <w:t xml:space="preserve">, which are subsequently tested with the aid of empirical </w:t>
      </w:r>
      <w:r w:rsidRPr="00703623">
        <w:t>data</w:t>
      </w:r>
      <w:r w:rsidR="00703623" w:rsidRPr="00703623">
        <w:t xml:space="preserve"> (Azungah, 2018)</w:t>
      </w:r>
      <w:r w:rsidRPr="00703623">
        <w:t>. Deducti</w:t>
      </w:r>
      <w:r w:rsidR="00703623">
        <w:t>ve</w:t>
      </w:r>
      <w:r>
        <w:t xml:space="preserve"> </w:t>
      </w:r>
      <w:r w:rsidR="00D049CF">
        <w:t xml:space="preserve">reasoning </w:t>
      </w:r>
      <w:r>
        <w:t>will suitably be used since the research will be formed based on the developed theories</w:t>
      </w:r>
      <w:r w:rsidR="00333124">
        <w:t>,</w:t>
      </w:r>
      <w:r>
        <w:t xml:space="preserve"> including the Technology Acceptance Model and Diffusion of Innovations.</w:t>
      </w:r>
    </w:p>
    <w:p w14:paraId="2F69B159" w14:textId="6E2788E1" w:rsidR="00075E15" w:rsidRDefault="00075E15" w:rsidP="00075E15">
      <w:r>
        <w:t xml:space="preserve">Deductive research, according to Bryman et al. (2019), begins with </w:t>
      </w:r>
      <w:r w:rsidR="00333124">
        <w:t xml:space="preserve">a </w:t>
      </w:r>
      <w:r>
        <w:t xml:space="preserve">theory and then provides a way </w:t>
      </w:r>
      <w:r w:rsidR="00333124">
        <w:t>for</w:t>
      </w:r>
      <w:r>
        <w:t xml:space="preserve"> the researcher to </w:t>
      </w:r>
      <w:r w:rsidR="00333124">
        <w:t xml:space="preserve">collect </w:t>
      </w:r>
      <w:r>
        <w:t>data so that the researcher can test the connection between the variables. This paper discusses institutional readiness variables, policy, infrastructure, and governance, in connection with the results of EV adoption. This is a systematic method that makes the research process more convenient and trustworthy.</w:t>
      </w:r>
    </w:p>
    <w:p w14:paraId="04C56C8A" w14:textId="77777777" w:rsidR="00075E15" w:rsidRDefault="00075E15" w:rsidP="00075E15">
      <w:pPr>
        <w:pStyle w:val="Heading2"/>
      </w:pPr>
      <w:bookmarkStart w:id="40" w:name="_Toc227532016"/>
      <w:r>
        <w:t>5.3 Research Design</w:t>
      </w:r>
      <w:bookmarkEnd w:id="40"/>
    </w:p>
    <w:p w14:paraId="2208DFCD" w14:textId="77777777" w:rsidR="00333124" w:rsidRDefault="00075E15" w:rsidP="00075E15">
      <w:r>
        <w:t xml:space="preserve">In this study, a quantitative research design is applied. Quantitative research will be appropriate since it enables the researcher to gather and analyse variable relationships through statistical methods. According to Bloomfield and Fisher (2019), quantitative designs can be used to determine the patterns and test hypotheses in a </w:t>
      </w:r>
      <w:r w:rsidR="00333124">
        <w:t>systematic</w:t>
      </w:r>
      <w:r>
        <w:t xml:space="preserve"> way.</w:t>
      </w:r>
      <w:r w:rsidR="00333124">
        <w:t xml:space="preserve"> </w:t>
      </w:r>
    </w:p>
    <w:p w14:paraId="01117CB3" w14:textId="49BD6695" w:rsidR="00075E15" w:rsidRDefault="00075E15" w:rsidP="00075E15">
      <w:r>
        <w:lastRenderedPageBreak/>
        <w:t>The research strategy used in the study is a survey-based</w:t>
      </w:r>
      <w:r w:rsidR="00333124">
        <w:t xml:space="preserve"> approach</w:t>
      </w:r>
      <w:r>
        <w:t xml:space="preserve">, which is a common approach in conducting research in business and social sciences. Surveys allow gathering information about the response of a significant number of respondents in a short period of time (Ghanad, 2023). This design will be suitable </w:t>
      </w:r>
      <w:r w:rsidR="00D049CF">
        <w:t>for</w:t>
      </w:r>
      <w:r>
        <w:t xml:space="preserve"> the analysis of the institutional readiness perceptions and EV adoption.</w:t>
      </w:r>
    </w:p>
    <w:p w14:paraId="16E98073" w14:textId="77777777" w:rsidR="00075E15" w:rsidRDefault="00075E15" w:rsidP="00075E15">
      <w:pPr>
        <w:pStyle w:val="Heading2"/>
      </w:pPr>
      <w:bookmarkStart w:id="41" w:name="_Toc227532017"/>
      <w:r>
        <w:t>5.4 Data Collection</w:t>
      </w:r>
      <w:bookmarkEnd w:id="41"/>
      <w:r>
        <w:t xml:space="preserve"> </w:t>
      </w:r>
    </w:p>
    <w:p w14:paraId="16F16FB5" w14:textId="3EE743CD" w:rsidR="00075E15" w:rsidRDefault="00075E15" w:rsidP="00075E15">
      <w:r>
        <w:t xml:space="preserve">The online questionnaire survey </w:t>
      </w:r>
      <w:r w:rsidR="004B377E">
        <w:t>is</w:t>
      </w:r>
      <w:r>
        <w:t xml:space="preserve"> used to gather primary data. Online surveys are also efficient, cost-effective, and can reach out a greater number of participants (Nardi, 2018). This questionnaire is prepared as a structured design question around </w:t>
      </w:r>
      <w:r w:rsidR="00333124">
        <w:t>a Likert scale</w:t>
      </w:r>
      <w:r>
        <w:t xml:space="preserve"> to evaluate the perceptions of the respondents on the institutional readiness, infrastructure, policy support, and EV adoption.</w:t>
      </w:r>
    </w:p>
    <w:p w14:paraId="5A30025B" w14:textId="30D0B156" w:rsidR="004B377E" w:rsidRDefault="00075E15" w:rsidP="004B377E">
      <w:r>
        <w:t>Brace (2018) argues that a questionnaire should be designed clearly</w:t>
      </w:r>
      <w:r w:rsidR="00D049CF">
        <w:t xml:space="preserve"> </w:t>
      </w:r>
      <w:r>
        <w:t xml:space="preserve">and also in a way that is pertinent to the research purpose. As such, the survey tool is well designed to guarantee reliability and validity. Also, the use of online tools like Google Forms makes it easy to distribute and collect data. </w:t>
      </w:r>
      <w:bookmarkStart w:id="42" w:name="_Toc225546774"/>
    </w:p>
    <w:p w14:paraId="7ED7383E" w14:textId="77777777" w:rsidR="004B377E" w:rsidRDefault="004B377E" w:rsidP="004B377E">
      <w:pPr>
        <w:pStyle w:val="Heading2"/>
      </w:pPr>
      <w:bookmarkStart w:id="43" w:name="_Toc227532018"/>
      <w:r>
        <w:t>5.5 Sampling Strategy</w:t>
      </w:r>
      <w:bookmarkEnd w:id="43"/>
      <w:r>
        <w:t xml:space="preserve"> </w:t>
      </w:r>
    </w:p>
    <w:p w14:paraId="2195A4E7" w14:textId="0E696205" w:rsidR="004B377E" w:rsidRDefault="004B377E" w:rsidP="004B377E">
      <w:r>
        <w:t xml:space="preserve">The study utilises a type of probability sampling, which is the simple random sampling, to </w:t>
      </w:r>
      <w:r w:rsidR="00D049CF">
        <w:t>ensure</w:t>
      </w:r>
      <w:r>
        <w:t xml:space="preserve"> representativeness. The need for sampling is that the researcher would not be able to </w:t>
      </w:r>
      <w:r w:rsidR="00D049CF">
        <w:t>access</w:t>
      </w:r>
      <w:r>
        <w:t xml:space="preserve"> the entire population due to time and resource constraints (Bryman et al., 2019).</w:t>
      </w:r>
    </w:p>
    <w:p w14:paraId="04E3E77F" w14:textId="09209CE2" w:rsidR="004B377E" w:rsidRDefault="004B377E" w:rsidP="004B377E">
      <w:r>
        <w:t xml:space="preserve">A pilot study will be based on a sample of 100 respondents. Pilot studies play a critical role in ensuring reliability and clarity of the research instrument are checked, and later, the actual research will be conducted. To conform to the module contents, pilot testing contributes to the onset of challenges in the question design and data collection </w:t>
      </w:r>
      <w:r w:rsidRPr="00703623">
        <w:t>processes</w:t>
      </w:r>
      <w:r w:rsidR="00703623" w:rsidRPr="00703623">
        <w:t xml:space="preserve"> (Brooks, Reed and Savage, 2016)</w:t>
      </w:r>
      <w:r w:rsidRPr="00703623">
        <w:t>.</w:t>
      </w:r>
      <w:r>
        <w:t xml:space="preserve"> This will enhance research excellence and quality.</w:t>
      </w:r>
    </w:p>
    <w:p w14:paraId="3634A1BE" w14:textId="77777777" w:rsidR="004B377E" w:rsidRDefault="004B377E" w:rsidP="004B377E">
      <w:pPr>
        <w:pStyle w:val="Heading2"/>
      </w:pPr>
      <w:bookmarkStart w:id="44" w:name="_Toc227532019"/>
      <w:r>
        <w:t>5.6 Data Analysis</w:t>
      </w:r>
      <w:bookmarkEnd w:id="44"/>
      <w:r>
        <w:t xml:space="preserve"> </w:t>
      </w:r>
    </w:p>
    <w:p w14:paraId="5DBC1147" w14:textId="2A7EC5FC" w:rsidR="004B377E" w:rsidRDefault="004B377E" w:rsidP="004B377E">
      <w:r>
        <w:t>Data obtained is analysed using the Statistical Package of Social Sciences (SPSS). It is frequently used in the management and statistical analysis of quantitative research by using SPSS (Dubey and Kothari, 2022). These will be analysed using descriptive statistics to provide an overview of the data and inferential statistics, which will be employed to test the relationship between the variables. Correlation and regression analysis will be employed in evaluating the influence of institutional factors on EV adoption. Gunter (2013) points out that statistical analysis may assist the research in identifying patterns and systematically testing hypotheses. The research design will render the results valid, objective and meet the objective of the study.</w:t>
      </w:r>
    </w:p>
    <w:p w14:paraId="6831A224" w14:textId="2B66C6A1" w:rsidR="00750F1C" w:rsidRDefault="00052C1A" w:rsidP="004B377E">
      <w:pPr>
        <w:pStyle w:val="Heading1"/>
      </w:pPr>
      <w:bookmarkStart w:id="45" w:name="_Toc227532020"/>
      <w:r>
        <w:lastRenderedPageBreak/>
        <w:t xml:space="preserve">6. </w:t>
      </w:r>
      <w:r w:rsidR="00370F73">
        <w:t>Result</w:t>
      </w:r>
      <w:r w:rsidR="00750F1C">
        <w:t>s</w:t>
      </w:r>
      <w:bookmarkEnd w:id="42"/>
      <w:bookmarkEnd w:id="45"/>
    </w:p>
    <w:p w14:paraId="7B3B9AFA" w14:textId="1563DE26" w:rsidR="00D51485" w:rsidRDefault="001C2E89" w:rsidP="002F6EA1">
      <w:r w:rsidRPr="001C2E89">
        <w:t xml:space="preserve">This section </w:t>
      </w:r>
      <w:r>
        <w:t>present</w:t>
      </w:r>
      <w:r w:rsidRPr="001C2E89">
        <w:t>s the empirical numbers with respect to the numbers that were analy</w:t>
      </w:r>
      <w:r>
        <w:t>s</w:t>
      </w:r>
      <w:r w:rsidRPr="001C2E89">
        <w:t>ed in SPSS, with a greater detail available as provided by the qualitative data. The outcomes are based on the central constructs, such as institutional preparedness, policy support, infrastructure, and EV adoption perceptions. Through descriptive and inferential analyses, patterns, relationships and trends are identified that are relevant to the research objectives</w:t>
      </w:r>
      <w:r w:rsidR="00D51485" w:rsidRPr="00D51485">
        <w:t xml:space="preserve">. </w:t>
      </w:r>
    </w:p>
    <w:p w14:paraId="6F247810" w14:textId="1804624B" w:rsidR="00370F73" w:rsidRPr="00370F73" w:rsidRDefault="001F3A36" w:rsidP="002F6EA1">
      <w:pPr>
        <w:rPr>
          <w:b/>
          <w:bCs/>
        </w:rPr>
      </w:pPr>
      <w:r>
        <w:rPr>
          <w:b/>
          <w:bCs/>
        </w:rPr>
        <w:t xml:space="preserve">Descriptive Statistics of </w:t>
      </w:r>
      <w:r w:rsidR="00370F73" w:rsidRPr="00370F73">
        <w:rPr>
          <w:b/>
          <w:bCs/>
        </w:rPr>
        <w:t>Demographic Profile</w:t>
      </w:r>
    </w:p>
    <w:tbl>
      <w:tblPr>
        <w:tblW w:w="5000" w:type="pct"/>
        <w:tblCellMar>
          <w:left w:w="0" w:type="dxa"/>
          <w:right w:w="0" w:type="dxa"/>
        </w:tblCellMar>
        <w:tblLook w:val="0000" w:firstRow="0" w:lastRow="0" w:firstColumn="0" w:lastColumn="0" w:noHBand="0" w:noVBand="0"/>
      </w:tblPr>
      <w:tblGrid>
        <w:gridCol w:w="1046"/>
        <w:gridCol w:w="1114"/>
        <w:gridCol w:w="1659"/>
        <w:gridCol w:w="1460"/>
        <w:gridCol w:w="1986"/>
        <w:gridCol w:w="2095"/>
      </w:tblGrid>
      <w:tr w:rsidR="00370F73" w:rsidRPr="00370F73" w14:paraId="701ADBBF" w14:textId="77777777" w:rsidTr="00316911">
        <w:trPr>
          <w:cantSplit/>
        </w:trPr>
        <w:tc>
          <w:tcPr>
            <w:tcW w:w="5000" w:type="pct"/>
            <w:gridSpan w:val="6"/>
            <w:tcBorders>
              <w:top w:val="nil"/>
              <w:left w:val="nil"/>
              <w:bottom w:val="nil"/>
              <w:right w:val="nil"/>
            </w:tcBorders>
            <w:shd w:val="clear" w:color="auto" w:fill="FFFFFF"/>
            <w:vAlign w:val="center"/>
          </w:tcPr>
          <w:p w14:paraId="651EF7F2"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010205"/>
                <w:sz w:val="22"/>
              </w:rPr>
            </w:pPr>
            <w:r w:rsidRPr="00370F73">
              <w:rPr>
                <w:rFonts w:ascii="Arial" w:hAnsi="Arial" w:cs="Arial"/>
                <w:b/>
                <w:bCs/>
                <w:color w:val="010205"/>
                <w:sz w:val="22"/>
              </w:rPr>
              <w:t>Age</w:t>
            </w:r>
          </w:p>
        </w:tc>
      </w:tr>
      <w:tr w:rsidR="00370F73" w:rsidRPr="00370F73" w14:paraId="1F53B803" w14:textId="77777777" w:rsidTr="00316911">
        <w:trPr>
          <w:cantSplit/>
        </w:trPr>
        <w:tc>
          <w:tcPr>
            <w:tcW w:w="1154" w:type="pct"/>
            <w:gridSpan w:val="2"/>
            <w:tcBorders>
              <w:top w:val="nil"/>
              <w:left w:val="nil"/>
              <w:bottom w:val="single" w:sz="8" w:space="0" w:color="152935"/>
              <w:right w:val="nil"/>
            </w:tcBorders>
            <w:shd w:val="clear" w:color="auto" w:fill="FFFFFF"/>
            <w:vAlign w:val="bottom"/>
          </w:tcPr>
          <w:p w14:paraId="516D309D" w14:textId="77777777" w:rsidR="00370F73" w:rsidRPr="00370F73" w:rsidRDefault="00370F73" w:rsidP="00370F73">
            <w:pPr>
              <w:autoSpaceDE w:val="0"/>
              <w:autoSpaceDN w:val="0"/>
              <w:adjustRightInd w:val="0"/>
              <w:spacing w:line="240" w:lineRule="auto"/>
              <w:jc w:val="left"/>
              <w:rPr>
                <w:rFonts w:cs="Times New Roman"/>
                <w:szCs w:val="24"/>
              </w:rPr>
            </w:pPr>
          </w:p>
        </w:tc>
        <w:tc>
          <w:tcPr>
            <w:tcW w:w="886" w:type="pct"/>
            <w:tcBorders>
              <w:top w:val="nil"/>
              <w:left w:val="nil"/>
              <w:bottom w:val="single" w:sz="8" w:space="0" w:color="152935"/>
              <w:right w:val="single" w:sz="8" w:space="0" w:color="E0E0E0"/>
            </w:tcBorders>
            <w:shd w:val="clear" w:color="auto" w:fill="FFFFFF"/>
            <w:vAlign w:val="bottom"/>
          </w:tcPr>
          <w:p w14:paraId="64EEC52F"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Frequency</w:t>
            </w:r>
          </w:p>
        </w:tc>
        <w:tc>
          <w:tcPr>
            <w:tcW w:w="780" w:type="pct"/>
            <w:tcBorders>
              <w:top w:val="nil"/>
              <w:left w:val="single" w:sz="8" w:space="0" w:color="E0E0E0"/>
              <w:bottom w:val="single" w:sz="8" w:space="0" w:color="152935"/>
              <w:right w:val="single" w:sz="8" w:space="0" w:color="E0E0E0"/>
            </w:tcBorders>
            <w:shd w:val="clear" w:color="auto" w:fill="FFFFFF"/>
            <w:vAlign w:val="bottom"/>
          </w:tcPr>
          <w:p w14:paraId="370F8739"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Percent</w:t>
            </w:r>
          </w:p>
        </w:tc>
        <w:tc>
          <w:tcPr>
            <w:tcW w:w="1061" w:type="pct"/>
            <w:tcBorders>
              <w:top w:val="nil"/>
              <w:left w:val="single" w:sz="8" w:space="0" w:color="E0E0E0"/>
              <w:bottom w:val="single" w:sz="8" w:space="0" w:color="152935"/>
              <w:right w:val="single" w:sz="8" w:space="0" w:color="E0E0E0"/>
            </w:tcBorders>
            <w:shd w:val="clear" w:color="auto" w:fill="FFFFFF"/>
            <w:vAlign w:val="bottom"/>
          </w:tcPr>
          <w:p w14:paraId="69C365CE"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Valid Percent</w:t>
            </w:r>
          </w:p>
        </w:tc>
        <w:tc>
          <w:tcPr>
            <w:tcW w:w="1119" w:type="pct"/>
            <w:tcBorders>
              <w:top w:val="nil"/>
              <w:left w:val="single" w:sz="8" w:space="0" w:color="E0E0E0"/>
              <w:bottom w:val="single" w:sz="8" w:space="0" w:color="152935"/>
              <w:right w:val="nil"/>
            </w:tcBorders>
            <w:shd w:val="clear" w:color="auto" w:fill="FFFFFF"/>
            <w:vAlign w:val="bottom"/>
          </w:tcPr>
          <w:p w14:paraId="08257059"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Cumulative Percent</w:t>
            </w:r>
          </w:p>
        </w:tc>
      </w:tr>
      <w:tr w:rsidR="00370F73" w:rsidRPr="00370F73" w14:paraId="472D163B" w14:textId="77777777" w:rsidTr="00316911">
        <w:trPr>
          <w:cantSplit/>
        </w:trPr>
        <w:tc>
          <w:tcPr>
            <w:tcW w:w="559" w:type="pct"/>
            <w:vMerge w:val="restart"/>
            <w:tcBorders>
              <w:top w:val="single" w:sz="8" w:space="0" w:color="152935"/>
              <w:left w:val="nil"/>
              <w:bottom w:val="single" w:sz="8" w:space="0" w:color="152935"/>
              <w:right w:val="nil"/>
            </w:tcBorders>
            <w:shd w:val="clear" w:color="auto" w:fill="E0E0E0"/>
          </w:tcPr>
          <w:p w14:paraId="69C70EF9"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Valid</w:t>
            </w:r>
          </w:p>
        </w:tc>
        <w:tc>
          <w:tcPr>
            <w:tcW w:w="594" w:type="pct"/>
            <w:tcBorders>
              <w:top w:val="single" w:sz="8" w:space="0" w:color="152935"/>
              <w:left w:val="nil"/>
              <w:bottom w:val="single" w:sz="8" w:space="0" w:color="AEAEAE"/>
              <w:right w:val="nil"/>
            </w:tcBorders>
            <w:shd w:val="clear" w:color="auto" w:fill="E0E0E0"/>
          </w:tcPr>
          <w:p w14:paraId="14965607"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25-34</w:t>
            </w:r>
          </w:p>
        </w:tc>
        <w:tc>
          <w:tcPr>
            <w:tcW w:w="886" w:type="pct"/>
            <w:tcBorders>
              <w:top w:val="single" w:sz="8" w:space="0" w:color="152935"/>
              <w:left w:val="nil"/>
              <w:bottom w:val="single" w:sz="8" w:space="0" w:color="AEAEAE"/>
              <w:right w:val="single" w:sz="8" w:space="0" w:color="E0E0E0"/>
            </w:tcBorders>
            <w:shd w:val="clear" w:color="auto" w:fill="F9F9FB"/>
          </w:tcPr>
          <w:p w14:paraId="666F0FC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72</w:t>
            </w:r>
          </w:p>
        </w:tc>
        <w:tc>
          <w:tcPr>
            <w:tcW w:w="780" w:type="pct"/>
            <w:tcBorders>
              <w:top w:val="single" w:sz="8" w:space="0" w:color="152935"/>
              <w:left w:val="single" w:sz="8" w:space="0" w:color="E0E0E0"/>
              <w:bottom w:val="single" w:sz="8" w:space="0" w:color="AEAEAE"/>
              <w:right w:val="single" w:sz="8" w:space="0" w:color="E0E0E0"/>
            </w:tcBorders>
            <w:shd w:val="clear" w:color="auto" w:fill="F9F9FB"/>
          </w:tcPr>
          <w:p w14:paraId="4DBD18D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72.0</w:t>
            </w:r>
          </w:p>
        </w:tc>
        <w:tc>
          <w:tcPr>
            <w:tcW w:w="1061" w:type="pct"/>
            <w:tcBorders>
              <w:top w:val="single" w:sz="8" w:space="0" w:color="152935"/>
              <w:left w:val="single" w:sz="8" w:space="0" w:color="E0E0E0"/>
              <w:bottom w:val="single" w:sz="8" w:space="0" w:color="AEAEAE"/>
              <w:right w:val="single" w:sz="8" w:space="0" w:color="E0E0E0"/>
            </w:tcBorders>
            <w:shd w:val="clear" w:color="auto" w:fill="F9F9FB"/>
          </w:tcPr>
          <w:p w14:paraId="6A6EB7E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72.0</w:t>
            </w:r>
          </w:p>
        </w:tc>
        <w:tc>
          <w:tcPr>
            <w:tcW w:w="1119" w:type="pct"/>
            <w:tcBorders>
              <w:top w:val="single" w:sz="8" w:space="0" w:color="152935"/>
              <w:left w:val="single" w:sz="8" w:space="0" w:color="E0E0E0"/>
              <w:bottom w:val="single" w:sz="8" w:space="0" w:color="AEAEAE"/>
              <w:right w:val="nil"/>
            </w:tcBorders>
            <w:shd w:val="clear" w:color="auto" w:fill="F9F9FB"/>
          </w:tcPr>
          <w:p w14:paraId="349159C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72.0</w:t>
            </w:r>
          </w:p>
        </w:tc>
      </w:tr>
      <w:tr w:rsidR="00370F73" w:rsidRPr="00370F73" w14:paraId="311C0123" w14:textId="77777777" w:rsidTr="00316911">
        <w:trPr>
          <w:cantSplit/>
        </w:trPr>
        <w:tc>
          <w:tcPr>
            <w:tcW w:w="559" w:type="pct"/>
            <w:vMerge/>
            <w:tcBorders>
              <w:top w:val="single" w:sz="8" w:space="0" w:color="152935"/>
              <w:left w:val="nil"/>
              <w:bottom w:val="single" w:sz="8" w:space="0" w:color="152935"/>
              <w:right w:val="nil"/>
            </w:tcBorders>
            <w:shd w:val="clear" w:color="auto" w:fill="E0E0E0"/>
          </w:tcPr>
          <w:p w14:paraId="27BABC76"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594" w:type="pct"/>
            <w:tcBorders>
              <w:top w:val="single" w:sz="8" w:space="0" w:color="AEAEAE"/>
              <w:left w:val="nil"/>
              <w:bottom w:val="single" w:sz="8" w:space="0" w:color="AEAEAE"/>
              <w:right w:val="nil"/>
            </w:tcBorders>
            <w:shd w:val="clear" w:color="auto" w:fill="E0E0E0"/>
          </w:tcPr>
          <w:p w14:paraId="41DCCB57"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35-44</w:t>
            </w:r>
          </w:p>
        </w:tc>
        <w:tc>
          <w:tcPr>
            <w:tcW w:w="886" w:type="pct"/>
            <w:tcBorders>
              <w:top w:val="single" w:sz="8" w:space="0" w:color="AEAEAE"/>
              <w:left w:val="nil"/>
              <w:bottom w:val="single" w:sz="8" w:space="0" w:color="AEAEAE"/>
              <w:right w:val="single" w:sz="8" w:space="0" w:color="E0E0E0"/>
            </w:tcBorders>
            <w:shd w:val="clear" w:color="auto" w:fill="F9F9FB"/>
          </w:tcPr>
          <w:p w14:paraId="4E71A597"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18</w:t>
            </w:r>
          </w:p>
        </w:tc>
        <w:tc>
          <w:tcPr>
            <w:tcW w:w="780" w:type="pct"/>
            <w:tcBorders>
              <w:top w:val="single" w:sz="8" w:space="0" w:color="AEAEAE"/>
              <w:left w:val="single" w:sz="8" w:space="0" w:color="E0E0E0"/>
              <w:bottom w:val="single" w:sz="8" w:space="0" w:color="AEAEAE"/>
              <w:right w:val="single" w:sz="8" w:space="0" w:color="E0E0E0"/>
            </w:tcBorders>
            <w:shd w:val="clear" w:color="auto" w:fill="F9F9FB"/>
          </w:tcPr>
          <w:p w14:paraId="78EA7BA7"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18.0</w:t>
            </w:r>
          </w:p>
        </w:tc>
        <w:tc>
          <w:tcPr>
            <w:tcW w:w="1061" w:type="pct"/>
            <w:tcBorders>
              <w:top w:val="single" w:sz="8" w:space="0" w:color="AEAEAE"/>
              <w:left w:val="single" w:sz="8" w:space="0" w:color="E0E0E0"/>
              <w:bottom w:val="single" w:sz="8" w:space="0" w:color="AEAEAE"/>
              <w:right w:val="single" w:sz="8" w:space="0" w:color="E0E0E0"/>
            </w:tcBorders>
            <w:shd w:val="clear" w:color="auto" w:fill="F9F9FB"/>
          </w:tcPr>
          <w:p w14:paraId="5696A1C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18.0</w:t>
            </w:r>
          </w:p>
        </w:tc>
        <w:tc>
          <w:tcPr>
            <w:tcW w:w="1119" w:type="pct"/>
            <w:tcBorders>
              <w:top w:val="single" w:sz="8" w:space="0" w:color="AEAEAE"/>
              <w:left w:val="single" w:sz="8" w:space="0" w:color="E0E0E0"/>
              <w:bottom w:val="single" w:sz="8" w:space="0" w:color="AEAEAE"/>
              <w:right w:val="nil"/>
            </w:tcBorders>
            <w:shd w:val="clear" w:color="auto" w:fill="F9F9FB"/>
          </w:tcPr>
          <w:p w14:paraId="6BC9A06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90.0</w:t>
            </w:r>
          </w:p>
        </w:tc>
      </w:tr>
      <w:tr w:rsidR="00370F73" w:rsidRPr="00370F73" w14:paraId="54F2E142" w14:textId="77777777" w:rsidTr="00316911">
        <w:trPr>
          <w:cantSplit/>
        </w:trPr>
        <w:tc>
          <w:tcPr>
            <w:tcW w:w="559" w:type="pct"/>
            <w:vMerge/>
            <w:tcBorders>
              <w:top w:val="single" w:sz="8" w:space="0" w:color="152935"/>
              <w:left w:val="nil"/>
              <w:bottom w:val="single" w:sz="8" w:space="0" w:color="152935"/>
              <w:right w:val="nil"/>
            </w:tcBorders>
            <w:shd w:val="clear" w:color="auto" w:fill="E0E0E0"/>
          </w:tcPr>
          <w:p w14:paraId="1A6474A8"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594" w:type="pct"/>
            <w:tcBorders>
              <w:top w:val="single" w:sz="8" w:space="0" w:color="AEAEAE"/>
              <w:left w:val="nil"/>
              <w:bottom w:val="single" w:sz="8" w:space="0" w:color="AEAEAE"/>
              <w:right w:val="nil"/>
            </w:tcBorders>
            <w:shd w:val="clear" w:color="auto" w:fill="E0E0E0"/>
          </w:tcPr>
          <w:p w14:paraId="1ADC1BD0"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45-54</w:t>
            </w:r>
          </w:p>
        </w:tc>
        <w:tc>
          <w:tcPr>
            <w:tcW w:w="886" w:type="pct"/>
            <w:tcBorders>
              <w:top w:val="single" w:sz="8" w:space="0" w:color="AEAEAE"/>
              <w:left w:val="nil"/>
              <w:bottom w:val="single" w:sz="8" w:space="0" w:color="AEAEAE"/>
              <w:right w:val="single" w:sz="8" w:space="0" w:color="E0E0E0"/>
            </w:tcBorders>
            <w:shd w:val="clear" w:color="auto" w:fill="F9F9FB"/>
          </w:tcPr>
          <w:p w14:paraId="0923B8AF"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w:t>
            </w:r>
          </w:p>
        </w:tc>
        <w:tc>
          <w:tcPr>
            <w:tcW w:w="780" w:type="pct"/>
            <w:tcBorders>
              <w:top w:val="single" w:sz="8" w:space="0" w:color="AEAEAE"/>
              <w:left w:val="single" w:sz="8" w:space="0" w:color="E0E0E0"/>
              <w:bottom w:val="single" w:sz="8" w:space="0" w:color="AEAEAE"/>
              <w:right w:val="single" w:sz="8" w:space="0" w:color="E0E0E0"/>
            </w:tcBorders>
            <w:shd w:val="clear" w:color="auto" w:fill="F9F9FB"/>
          </w:tcPr>
          <w:p w14:paraId="3A70B4F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1061" w:type="pct"/>
            <w:tcBorders>
              <w:top w:val="single" w:sz="8" w:space="0" w:color="AEAEAE"/>
              <w:left w:val="single" w:sz="8" w:space="0" w:color="E0E0E0"/>
              <w:bottom w:val="single" w:sz="8" w:space="0" w:color="AEAEAE"/>
              <w:right w:val="single" w:sz="8" w:space="0" w:color="E0E0E0"/>
            </w:tcBorders>
            <w:shd w:val="clear" w:color="auto" w:fill="F9F9FB"/>
          </w:tcPr>
          <w:p w14:paraId="10DA5134"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1119" w:type="pct"/>
            <w:tcBorders>
              <w:top w:val="single" w:sz="8" w:space="0" w:color="AEAEAE"/>
              <w:left w:val="single" w:sz="8" w:space="0" w:color="E0E0E0"/>
              <w:bottom w:val="single" w:sz="8" w:space="0" w:color="AEAEAE"/>
              <w:right w:val="nil"/>
            </w:tcBorders>
            <w:shd w:val="clear" w:color="auto" w:fill="F9F9FB"/>
          </w:tcPr>
          <w:p w14:paraId="2269EE97"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r>
      <w:tr w:rsidR="00370F73" w:rsidRPr="00370F73" w14:paraId="3E87CADA" w14:textId="77777777" w:rsidTr="00316911">
        <w:trPr>
          <w:cantSplit/>
        </w:trPr>
        <w:tc>
          <w:tcPr>
            <w:tcW w:w="559" w:type="pct"/>
            <w:vMerge/>
            <w:tcBorders>
              <w:top w:val="single" w:sz="8" w:space="0" w:color="152935"/>
              <w:left w:val="nil"/>
              <w:bottom w:val="single" w:sz="8" w:space="0" w:color="152935"/>
              <w:right w:val="nil"/>
            </w:tcBorders>
            <w:shd w:val="clear" w:color="auto" w:fill="E0E0E0"/>
          </w:tcPr>
          <w:p w14:paraId="04B888FB"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594" w:type="pct"/>
            <w:tcBorders>
              <w:top w:val="single" w:sz="8" w:space="0" w:color="AEAEAE"/>
              <w:left w:val="nil"/>
              <w:bottom w:val="single" w:sz="8" w:space="0" w:color="152935"/>
              <w:right w:val="nil"/>
            </w:tcBorders>
            <w:shd w:val="clear" w:color="auto" w:fill="E0E0E0"/>
          </w:tcPr>
          <w:p w14:paraId="366BBD28"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Total</w:t>
            </w:r>
          </w:p>
        </w:tc>
        <w:tc>
          <w:tcPr>
            <w:tcW w:w="886" w:type="pct"/>
            <w:tcBorders>
              <w:top w:val="single" w:sz="8" w:space="0" w:color="AEAEAE"/>
              <w:left w:val="nil"/>
              <w:bottom w:val="single" w:sz="8" w:space="0" w:color="152935"/>
              <w:right w:val="single" w:sz="8" w:space="0" w:color="E0E0E0"/>
            </w:tcBorders>
            <w:shd w:val="clear" w:color="auto" w:fill="F9F9FB"/>
          </w:tcPr>
          <w:p w14:paraId="5E44754E"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780" w:type="pct"/>
            <w:tcBorders>
              <w:top w:val="single" w:sz="8" w:space="0" w:color="AEAEAE"/>
              <w:left w:val="single" w:sz="8" w:space="0" w:color="E0E0E0"/>
              <w:bottom w:val="single" w:sz="8" w:space="0" w:color="152935"/>
              <w:right w:val="single" w:sz="8" w:space="0" w:color="E0E0E0"/>
            </w:tcBorders>
            <w:shd w:val="clear" w:color="auto" w:fill="F9F9FB"/>
          </w:tcPr>
          <w:p w14:paraId="0355200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61" w:type="pct"/>
            <w:tcBorders>
              <w:top w:val="single" w:sz="8" w:space="0" w:color="AEAEAE"/>
              <w:left w:val="single" w:sz="8" w:space="0" w:color="E0E0E0"/>
              <w:bottom w:val="single" w:sz="8" w:space="0" w:color="152935"/>
              <w:right w:val="single" w:sz="8" w:space="0" w:color="E0E0E0"/>
            </w:tcBorders>
            <w:shd w:val="clear" w:color="auto" w:fill="F9F9FB"/>
          </w:tcPr>
          <w:p w14:paraId="73B9AB10"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119" w:type="pct"/>
            <w:tcBorders>
              <w:top w:val="single" w:sz="8" w:space="0" w:color="AEAEAE"/>
              <w:left w:val="single" w:sz="8" w:space="0" w:color="E0E0E0"/>
              <w:bottom w:val="single" w:sz="8" w:space="0" w:color="152935"/>
              <w:right w:val="nil"/>
            </w:tcBorders>
            <w:shd w:val="clear" w:color="auto" w:fill="F9F9FB"/>
            <w:vAlign w:val="center"/>
          </w:tcPr>
          <w:p w14:paraId="34E489D0" w14:textId="77777777" w:rsidR="00370F73" w:rsidRPr="00370F73" w:rsidRDefault="00370F73" w:rsidP="00370F73">
            <w:pPr>
              <w:autoSpaceDE w:val="0"/>
              <w:autoSpaceDN w:val="0"/>
              <w:adjustRightInd w:val="0"/>
              <w:spacing w:line="240" w:lineRule="auto"/>
              <w:jc w:val="left"/>
              <w:rPr>
                <w:rFonts w:cs="Times New Roman"/>
                <w:szCs w:val="24"/>
              </w:rPr>
            </w:pPr>
          </w:p>
        </w:tc>
      </w:tr>
    </w:tbl>
    <w:p w14:paraId="4A5FFE17" w14:textId="77777777" w:rsidR="00370F73" w:rsidRPr="00370F73" w:rsidRDefault="00370F73" w:rsidP="00370F73">
      <w:pPr>
        <w:autoSpaceDE w:val="0"/>
        <w:autoSpaceDN w:val="0"/>
        <w:adjustRightInd w:val="0"/>
        <w:spacing w:line="400" w:lineRule="atLeast"/>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1025"/>
        <w:gridCol w:w="1301"/>
        <w:gridCol w:w="1621"/>
        <w:gridCol w:w="1426"/>
        <w:gridCol w:w="1939"/>
        <w:gridCol w:w="2048"/>
      </w:tblGrid>
      <w:tr w:rsidR="00370F73" w:rsidRPr="00370F73" w14:paraId="1FC7E9E0" w14:textId="77777777" w:rsidTr="00316911">
        <w:trPr>
          <w:cantSplit/>
        </w:trPr>
        <w:tc>
          <w:tcPr>
            <w:tcW w:w="5000" w:type="pct"/>
            <w:gridSpan w:val="6"/>
            <w:tcBorders>
              <w:top w:val="nil"/>
              <w:left w:val="nil"/>
              <w:bottom w:val="nil"/>
              <w:right w:val="nil"/>
            </w:tcBorders>
            <w:shd w:val="clear" w:color="auto" w:fill="FFFFFF"/>
            <w:vAlign w:val="center"/>
          </w:tcPr>
          <w:p w14:paraId="5FA388E7"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010205"/>
                <w:sz w:val="22"/>
              </w:rPr>
            </w:pPr>
            <w:r w:rsidRPr="00370F73">
              <w:rPr>
                <w:rFonts w:ascii="Arial" w:hAnsi="Arial" w:cs="Arial"/>
                <w:b/>
                <w:bCs/>
                <w:color w:val="010205"/>
                <w:sz w:val="22"/>
              </w:rPr>
              <w:t>Gender</w:t>
            </w:r>
          </w:p>
        </w:tc>
      </w:tr>
      <w:tr w:rsidR="00370F73" w:rsidRPr="00370F73" w14:paraId="6BE0D70A" w14:textId="77777777" w:rsidTr="00316911">
        <w:trPr>
          <w:cantSplit/>
        </w:trPr>
        <w:tc>
          <w:tcPr>
            <w:tcW w:w="1241" w:type="pct"/>
            <w:gridSpan w:val="2"/>
            <w:tcBorders>
              <w:top w:val="nil"/>
              <w:left w:val="nil"/>
              <w:bottom w:val="single" w:sz="8" w:space="0" w:color="152935"/>
              <w:right w:val="nil"/>
            </w:tcBorders>
            <w:shd w:val="clear" w:color="auto" w:fill="FFFFFF"/>
            <w:vAlign w:val="bottom"/>
          </w:tcPr>
          <w:p w14:paraId="5363F5B0" w14:textId="77777777" w:rsidR="00370F73" w:rsidRPr="00370F73" w:rsidRDefault="00370F73" w:rsidP="00370F73">
            <w:pPr>
              <w:autoSpaceDE w:val="0"/>
              <w:autoSpaceDN w:val="0"/>
              <w:adjustRightInd w:val="0"/>
              <w:spacing w:line="240" w:lineRule="auto"/>
              <w:jc w:val="left"/>
              <w:rPr>
                <w:rFonts w:cs="Times New Roman"/>
                <w:szCs w:val="24"/>
              </w:rPr>
            </w:pPr>
          </w:p>
        </w:tc>
        <w:tc>
          <w:tcPr>
            <w:tcW w:w="866" w:type="pct"/>
            <w:tcBorders>
              <w:top w:val="nil"/>
              <w:left w:val="nil"/>
              <w:bottom w:val="single" w:sz="8" w:space="0" w:color="152935"/>
              <w:right w:val="single" w:sz="8" w:space="0" w:color="E0E0E0"/>
            </w:tcBorders>
            <w:shd w:val="clear" w:color="auto" w:fill="FFFFFF"/>
            <w:vAlign w:val="bottom"/>
          </w:tcPr>
          <w:p w14:paraId="3CD54D6F"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Frequency</w:t>
            </w:r>
          </w:p>
        </w:tc>
        <w:tc>
          <w:tcPr>
            <w:tcW w:w="762" w:type="pct"/>
            <w:tcBorders>
              <w:top w:val="nil"/>
              <w:left w:val="single" w:sz="8" w:space="0" w:color="E0E0E0"/>
              <w:bottom w:val="single" w:sz="8" w:space="0" w:color="152935"/>
              <w:right w:val="single" w:sz="8" w:space="0" w:color="E0E0E0"/>
            </w:tcBorders>
            <w:shd w:val="clear" w:color="auto" w:fill="FFFFFF"/>
            <w:vAlign w:val="bottom"/>
          </w:tcPr>
          <w:p w14:paraId="5E0875C3"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Percent</w:t>
            </w:r>
          </w:p>
        </w:tc>
        <w:tc>
          <w:tcPr>
            <w:tcW w:w="1036" w:type="pct"/>
            <w:tcBorders>
              <w:top w:val="nil"/>
              <w:left w:val="single" w:sz="8" w:space="0" w:color="E0E0E0"/>
              <w:bottom w:val="single" w:sz="8" w:space="0" w:color="152935"/>
              <w:right w:val="single" w:sz="8" w:space="0" w:color="E0E0E0"/>
            </w:tcBorders>
            <w:shd w:val="clear" w:color="auto" w:fill="FFFFFF"/>
            <w:vAlign w:val="bottom"/>
          </w:tcPr>
          <w:p w14:paraId="059A9CE6"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Valid Percent</w:t>
            </w:r>
          </w:p>
        </w:tc>
        <w:tc>
          <w:tcPr>
            <w:tcW w:w="1094" w:type="pct"/>
            <w:tcBorders>
              <w:top w:val="nil"/>
              <w:left w:val="single" w:sz="8" w:space="0" w:color="E0E0E0"/>
              <w:bottom w:val="single" w:sz="8" w:space="0" w:color="152935"/>
              <w:right w:val="nil"/>
            </w:tcBorders>
            <w:shd w:val="clear" w:color="auto" w:fill="FFFFFF"/>
            <w:vAlign w:val="bottom"/>
          </w:tcPr>
          <w:p w14:paraId="1781DBFA"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Cumulative Percent</w:t>
            </w:r>
          </w:p>
        </w:tc>
      </w:tr>
      <w:tr w:rsidR="00370F73" w:rsidRPr="00370F73" w14:paraId="0E434206" w14:textId="77777777" w:rsidTr="00316911">
        <w:trPr>
          <w:cantSplit/>
        </w:trPr>
        <w:tc>
          <w:tcPr>
            <w:tcW w:w="547" w:type="pct"/>
            <w:vMerge w:val="restart"/>
            <w:tcBorders>
              <w:top w:val="single" w:sz="8" w:space="0" w:color="152935"/>
              <w:left w:val="nil"/>
              <w:bottom w:val="single" w:sz="8" w:space="0" w:color="152935"/>
              <w:right w:val="nil"/>
            </w:tcBorders>
            <w:shd w:val="clear" w:color="auto" w:fill="E0E0E0"/>
          </w:tcPr>
          <w:p w14:paraId="2BA696F1"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Valid</w:t>
            </w:r>
          </w:p>
        </w:tc>
        <w:tc>
          <w:tcPr>
            <w:tcW w:w="695" w:type="pct"/>
            <w:tcBorders>
              <w:top w:val="single" w:sz="8" w:space="0" w:color="152935"/>
              <w:left w:val="nil"/>
              <w:bottom w:val="single" w:sz="8" w:space="0" w:color="AEAEAE"/>
              <w:right w:val="nil"/>
            </w:tcBorders>
            <w:shd w:val="clear" w:color="auto" w:fill="E0E0E0"/>
          </w:tcPr>
          <w:p w14:paraId="30F95C37"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Female</w:t>
            </w:r>
          </w:p>
        </w:tc>
        <w:tc>
          <w:tcPr>
            <w:tcW w:w="866" w:type="pct"/>
            <w:tcBorders>
              <w:top w:val="single" w:sz="8" w:space="0" w:color="152935"/>
              <w:left w:val="nil"/>
              <w:bottom w:val="single" w:sz="8" w:space="0" w:color="AEAEAE"/>
              <w:right w:val="single" w:sz="8" w:space="0" w:color="E0E0E0"/>
            </w:tcBorders>
            <w:shd w:val="clear" w:color="auto" w:fill="F9F9FB"/>
          </w:tcPr>
          <w:p w14:paraId="69537A74"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30</w:t>
            </w:r>
          </w:p>
        </w:tc>
        <w:tc>
          <w:tcPr>
            <w:tcW w:w="762" w:type="pct"/>
            <w:tcBorders>
              <w:top w:val="single" w:sz="8" w:space="0" w:color="152935"/>
              <w:left w:val="single" w:sz="8" w:space="0" w:color="E0E0E0"/>
              <w:bottom w:val="single" w:sz="8" w:space="0" w:color="AEAEAE"/>
              <w:right w:val="single" w:sz="8" w:space="0" w:color="E0E0E0"/>
            </w:tcBorders>
            <w:shd w:val="clear" w:color="auto" w:fill="F9F9FB"/>
          </w:tcPr>
          <w:p w14:paraId="428D9120"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30.0</w:t>
            </w:r>
          </w:p>
        </w:tc>
        <w:tc>
          <w:tcPr>
            <w:tcW w:w="1036" w:type="pct"/>
            <w:tcBorders>
              <w:top w:val="single" w:sz="8" w:space="0" w:color="152935"/>
              <w:left w:val="single" w:sz="8" w:space="0" w:color="E0E0E0"/>
              <w:bottom w:val="single" w:sz="8" w:space="0" w:color="AEAEAE"/>
              <w:right w:val="single" w:sz="8" w:space="0" w:color="E0E0E0"/>
            </w:tcBorders>
            <w:shd w:val="clear" w:color="auto" w:fill="F9F9FB"/>
          </w:tcPr>
          <w:p w14:paraId="4C05626C"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30.0</w:t>
            </w:r>
          </w:p>
        </w:tc>
        <w:tc>
          <w:tcPr>
            <w:tcW w:w="1094" w:type="pct"/>
            <w:tcBorders>
              <w:top w:val="single" w:sz="8" w:space="0" w:color="152935"/>
              <w:left w:val="single" w:sz="8" w:space="0" w:color="E0E0E0"/>
              <w:bottom w:val="single" w:sz="8" w:space="0" w:color="AEAEAE"/>
              <w:right w:val="nil"/>
            </w:tcBorders>
            <w:shd w:val="clear" w:color="auto" w:fill="F9F9FB"/>
          </w:tcPr>
          <w:p w14:paraId="059DB55C"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30.0</w:t>
            </w:r>
          </w:p>
        </w:tc>
      </w:tr>
      <w:tr w:rsidR="00370F73" w:rsidRPr="00370F73" w14:paraId="2EEF41FE" w14:textId="77777777" w:rsidTr="00316911">
        <w:trPr>
          <w:cantSplit/>
        </w:trPr>
        <w:tc>
          <w:tcPr>
            <w:tcW w:w="547" w:type="pct"/>
            <w:vMerge/>
            <w:tcBorders>
              <w:top w:val="single" w:sz="8" w:space="0" w:color="152935"/>
              <w:left w:val="nil"/>
              <w:bottom w:val="single" w:sz="8" w:space="0" w:color="152935"/>
              <w:right w:val="nil"/>
            </w:tcBorders>
            <w:shd w:val="clear" w:color="auto" w:fill="E0E0E0"/>
          </w:tcPr>
          <w:p w14:paraId="45488B1D"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695" w:type="pct"/>
            <w:tcBorders>
              <w:top w:val="single" w:sz="8" w:space="0" w:color="AEAEAE"/>
              <w:left w:val="nil"/>
              <w:bottom w:val="single" w:sz="8" w:space="0" w:color="AEAEAE"/>
              <w:right w:val="nil"/>
            </w:tcBorders>
            <w:shd w:val="clear" w:color="auto" w:fill="E0E0E0"/>
          </w:tcPr>
          <w:p w14:paraId="0B0DB473"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Male</w:t>
            </w:r>
          </w:p>
        </w:tc>
        <w:tc>
          <w:tcPr>
            <w:tcW w:w="866" w:type="pct"/>
            <w:tcBorders>
              <w:top w:val="single" w:sz="8" w:space="0" w:color="AEAEAE"/>
              <w:left w:val="nil"/>
              <w:bottom w:val="single" w:sz="8" w:space="0" w:color="AEAEAE"/>
              <w:right w:val="single" w:sz="8" w:space="0" w:color="E0E0E0"/>
            </w:tcBorders>
            <w:shd w:val="clear" w:color="auto" w:fill="F9F9FB"/>
          </w:tcPr>
          <w:p w14:paraId="27D05C3F"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70</w:t>
            </w:r>
          </w:p>
        </w:tc>
        <w:tc>
          <w:tcPr>
            <w:tcW w:w="762" w:type="pct"/>
            <w:tcBorders>
              <w:top w:val="single" w:sz="8" w:space="0" w:color="AEAEAE"/>
              <w:left w:val="single" w:sz="8" w:space="0" w:color="E0E0E0"/>
              <w:bottom w:val="single" w:sz="8" w:space="0" w:color="AEAEAE"/>
              <w:right w:val="single" w:sz="8" w:space="0" w:color="E0E0E0"/>
            </w:tcBorders>
            <w:shd w:val="clear" w:color="auto" w:fill="F9F9FB"/>
          </w:tcPr>
          <w:p w14:paraId="7F6FA6C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70.0</w:t>
            </w:r>
          </w:p>
        </w:tc>
        <w:tc>
          <w:tcPr>
            <w:tcW w:w="1036" w:type="pct"/>
            <w:tcBorders>
              <w:top w:val="single" w:sz="8" w:space="0" w:color="AEAEAE"/>
              <w:left w:val="single" w:sz="8" w:space="0" w:color="E0E0E0"/>
              <w:bottom w:val="single" w:sz="8" w:space="0" w:color="AEAEAE"/>
              <w:right w:val="single" w:sz="8" w:space="0" w:color="E0E0E0"/>
            </w:tcBorders>
            <w:shd w:val="clear" w:color="auto" w:fill="F9F9FB"/>
          </w:tcPr>
          <w:p w14:paraId="795D8AC9"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70.0</w:t>
            </w:r>
          </w:p>
        </w:tc>
        <w:tc>
          <w:tcPr>
            <w:tcW w:w="1094" w:type="pct"/>
            <w:tcBorders>
              <w:top w:val="single" w:sz="8" w:space="0" w:color="AEAEAE"/>
              <w:left w:val="single" w:sz="8" w:space="0" w:color="E0E0E0"/>
              <w:bottom w:val="single" w:sz="8" w:space="0" w:color="AEAEAE"/>
              <w:right w:val="nil"/>
            </w:tcBorders>
            <w:shd w:val="clear" w:color="auto" w:fill="F9F9FB"/>
          </w:tcPr>
          <w:p w14:paraId="14A23C48"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r>
      <w:tr w:rsidR="00370F73" w:rsidRPr="00370F73" w14:paraId="247C4BF9" w14:textId="77777777" w:rsidTr="00316911">
        <w:trPr>
          <w:cantSplit/>
        </w:trPr>
        <w:tc>
          <w:tcPr>
            <w:tcW w:w="547" w:type="pct"/>
            <w:vMerge/>
            <w:tcBorders>
              <w:top w:val="single" w:sz="8" w:space="0" w:color="152935"/>
              <w:left w:val="nil"/>
              <w:bottom w:val="single" w:sz="8" w:space="0" w:color="152935"/>
              <w:right w:val="nil"/>
            </w:tcBorders>
            <w:shd w:val="clear" w:color="auto" w:fill="E0E0E0"/>
          </w:tcPr>
          <w:p w14:paraId="2BC36AB7"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695" w:type="pct"/>
            <w:tcBorders>
              <w:top w:val="single" w:sz="8" w:space="0" w:color="AEAEAE"/>
              <w:left w:val="nil"/>
              <w:bottom w:val="single" w:sz="8" w:space="0" w:color="152935"/>
              <w:right w:val="nil"/>
            </w:tcBorders>
            <w:shd w:val="clear" w:color="auto" w:fill="E0E0E0"/>
          </w:tcPr>
          <w:p w14:paraId="02E1C63A"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Total</w:t>
            </w:r>
          </w:p>
        </w:tc>
        <w:tc>
          <w:tcPr>
            <w:tcW w:w="866" w:type="pct"/>
            <w:tcBorders>
              <w:top w:val="single" w:sz="8" w:space="0" w:color="AEAEAE"/>
              <w:left w:val="nil"/>
              <w:bottom w:val="single" w:sz="8" w:space="0" w:color="152935"/>
              <w:right w:val="single" w:sz="8" w:space="0" w:color="E0E0E0"/>
            </w:tcBorders>
            <w:shd w:val="clear" w:color="auto" w:fill="F9F9FB"/>
          </w:tcPr>
          <w:p w14:paraId="2A7E4715"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762" w:type="pct"/>
            <w:tcBorders>
              <w:top w:val="single" w:sz="8" w:space="0" w:color="AEAEAE"/>
              <w:left w:val="single" w:sz="8" w:space="0" w:color="E0E0E0"/>
              <w:bottom w:val="single" w:sz="8" w:space="0" w:color="152935"/>
              <w:right w:val="single" w:sz="8" w:space="0" w:color="E0E0E0"/>
            </w:tcBorders>
            <w:shd w:val="clear" w:color="auto" w:fill="F9F9FB"/>
          </w:tcPr>
          <w:p w14:paraId="4979CA5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36" w:type="pct"/>
            <w:tcBorders>
              <w:top w:val="single" w:sz="8" w:space="0" w:color="AEAEAE"/>
              <w:left w:val="single" w:sz="8" w:space="0" w:color="E0E0E0"/>
              <w:bottom w:val="single" w:sz="8" w:space="0" w:color="152935"/>
              <w:right w:val="single" w:sz="8" w:space="0" w:color="E0E0E0"/>
            </w:tcBorders>
            <w:shd w:val="clear" w:color="auto" w:fill="F9F9FB"/>
          </w:tcPr>
          <w:p w14:paraId="60538687"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94" w:type="pct"/>
            <w:tcBorders>
              <w:top w:val="single" w:sz="8" w:space="0" w:color="AEAEAE"/>
              <w:left w:val="single" w:sz="8" w:space="0" w:color="E0E0E0"/>
              <w:bottom w:val="single" w:sz="8" w:space="0" w:color="152935"/>
              <w:right w:val="nil"/>
            </w:tcBorders>
            <w:shd w:val="clear" w:color="auto" w:fill="F9F9FB"/>
            <w:vAlign w:val="center"/>
          </w:tcPr>
          <w:p w14:paraId="7F5CC19B" w14:textId="77777777" w:rsidR="00370F73" w:rsidRPr="00370F73" w:rsidRDefault="00370F73" w:rsidP="00370F73">
            <w:pPr>
              <w:autoSpaceDE w:val="0"/>
              <w:autoSpaceDN w:val="0"/>
              <w:adjustRightInd w:val="0"/>
              <w:spacing w:line="240" w:lineRule="auto"/>
              <w:jc w:val="left"/>
              <w:rPr>
                <w:rFonts w:cs="Times New Roman"/>
                <w:szCs w:val="24"/>
              </w:rPr>
            </w:pPr>
          </w:p>
        </w:tc>
      </w:tr>
    </w:tbl>
    <w:p w14:paraId="4B752670" w14:textId="77777777" w:rsidR="00370F73" w:rsidRPr="00370F73" w:rsidRDefault="00370F73" w:rsidP="00370F73">
      <w:pPr>
        <w:autoSpaceDE w:val="0"/>
        <w:autoSpaceDN w:val="0"/>
        <w:adjustRightInd w:val="0"/>
        <w:spacing w:line="400" w:lineRule="atLeast"/>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943"/>
        <w:gridCol w:w="1928"/>
        <w:gridCol w:w="1494"/>
        <w:gridCol w:w="1316"/>
        <w:gridCol w:w="1790"/>
        <w:gridCol w:w="1889"/>
      </w:tblGrid>
      <w:tr w:rsidR="00370F73" w:rsidRPr="00370F73" w14:paraId="71783706" w14:textId="77777777" w:rsidTr="00316911">
        <w:trPr>
          <w:cantSplit/>
        </w:trPr>
        <w:tc>
          <w:tcPr>
            <w:tcW w:w="5000" w:type="pct"/>
            <w:gridSpan w:val="6"/>
            <w:tcBorders>
              <w:top w:val="nil"/>
              <w:left w:val="nil"/>
              <w:bottom w:val="nil"/>
              <w:right w:val="nil"/>
            </w:tcBorders>
            <w:shd w:val="clear" w:color="auto" w:fill="FFFFFF"/>
            <w:vAlign w:val="center"/>
          </w:tcPr>
          <w:p w14:paraId="685073D2" w14:textId="464D9FD1" w:rsidR="00370F73" w:rsidRPr="00370F73" w:rsidRDefault="00370F73" w:rsidP="00370F73">
            <w:pPr>
              <w:autoSpaceDE w:val="0"/>
              <w:autoSpaceDN w:val="0"/>
              <w:adjustRightInd w:val="0"/>
              <w:spacing w:line="320" w:lineRule="atLeast"/>
              <w:ind w:left="60" w:right="60"/>
              <w:jc w:val="center"/>
              <w:rPr>
                <w:rFonts w:ascii="Arial" w:hAnsi="Arial" w:cs="Arial"/>
                <w:color w:val="010205"/>
                <w:sz w:val="22"/>
              </w:rPr>
            </w:pPr>
            <w:r w:rsidRPr="00370F73">
              <w:rPr>
                <w:rFonts w:ascii="Arial" w:hAnsi="Arial" w:cs="Arial"/>
                <w:b/>
                <w:bCs/>
                <w:color w:val="010205"/>
                <w:sz w:val="22"/>
              </w:rPr>
              <w:t>Employment</w:t>
            </w:r>
            <w:r w:rsidR="00316911">
              <w:rPr>
                <w:rFonts w:ascii="Arial" w:hAnsi="Arial" w:cs="Arial"/>
                <w:b/>
                <w:bCs/>
                <w:color w:val="010205"/>
                <w:sz w:val="22"/>
              </w:rPr>
              <w:t xml:space="preserve"> </w:t>
            </w:r>
            <w:r w:rsidRPr="00370F73">
              <w:rPr>
                <w:rFonts w:ascii="Arial" w:hAnsi="Arial" w:cs="Arial"/>
                <w:b/>
                <w:bCs/>
                <w:color w:val="010205"/>
                <w:sz w:val="22"/>
              </w:rPr>
              <w:t>Status</w:t>
            </w:r>
          </w:p>
        </w:tc>
      </w:tr>
      <w:tr w:rsidR="00370F73" w:rsidRPr="00370F73" w14:paraId="0B15A178" w14:textId="77777777" w:rsidTr="00316911">
        <w:trPr>
          <w:cantSplit/>
        </w:trPr>
        <w:tc>
          <w:tcPr>
            <w:tcW w:w="1534" w:type="pct"/>
            <w:gridSpan w:val="2"/>
            <w:tcBorders>
              <w:top w:val="nil"/>
              <w:left w:val="nil"/>
              <w:bottom w:val="single" w:sz="8" w:space="0" w:color="152935"/>
              <w:right w:val="nil"/>
            </w:tcBorders>
            <w:shd w:val="clear" w:color="auto" w:fill="FFFFFF"/>
            <w:vAlign w:val="bottom"/>
          </w:tcPr>
          <w:p w14:paraId="2BE3C510" w14:textId="77777777" w:rsidR="00370F73" w:rsidRPr="00370F73" w:rsidRDefault="00370F73" w:rsidP="00370F73">
            <w:pPr>
              <w:autoSpaceDE w:val="0"/>
              <w:autoSpaceDN w:val="0"/>
              <w:adjustRightInd w:val="0"/>
              <w:spacing w:line="240" w:lineRule="auto"/>
              <w:jc w:val="left"/>
              <w:rPr>
                <w:rFonts w:cs="Times New Roman"/>
                <w:szCs w:val="24"/>
              </w:rPr>
            </w:pPr>
          </w:p>
        </w:tc>
        <w:tc>
          <w:tcPr>
            <w:tcW w:w="798" w:type="pct"/>
            <w:tcBorders>
              <w:top w:val="nil"/>
              <w:left w:val="nil"/>
              <w:bottom w:val="single" w:sz="8" w:space="0" w:color="152935"/>
              <w:right w:val="single" w:sz="8" w:space="0" w:color="E0E0E0"/>
            </w:tcBorders>
            <w:shd w:val="clear" w:color="auto" w:fill="FFFFFF"/>
            <w:vAlign w:val="bottom"/>
          </w:tcPr>
          <w:p w14:paraId="5C0BAF3B"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Frequency</w:t>
            </w:r>
          </w:p>
        </w:tc>
        <w:tc>
          <w:tcPr>
            <w:tcW w:w="703" w:type="pct"/>
            <w:tcBorders>
              <w:top w:val="nil"/>
              <w:left w:val="single" w:sz="8" w:space="0" w:color="E0E0E0"/>
              <w:bottom w:val="single" w:sz="8" w:space="0" w:color="152935"/>
              <w:right w:val="single" w:sz="8" w:space="0" w:color="E0E0E0"/>
            </w:tcBorders>
            <w:shd w:val="clear" w:color="auto" w:fill="FFFFFF"/>
            <w:vAlign w:val="bottom"/>
          </w:tcPr>
          <w:p w14:paraId="474E6205"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Percent</w:t>
            </w:r>
          </w:p>
        </w:tc>
        <w:tc>
          <w:tcPr>
            <w:tcW w:w="956" w:type="pct"/>
            <w:tcBorders>
              <w:top w:val="nil"/>
              <w:left w:val="single" w:sz="8" w:space="0" w:color="E0E0E0"/>
              <w:bottom w:val="single" w:sz="8" w:space="0" w:color="152935"/>
              <w:right w:val="single" w:sz="8" w:space="0" w:color="E0E0E0"/>
            </w:tcBorders>
            <w:shd w:val="clear" w:color="auto" w:fill="FFFFFF"/>
            <w:vAlign w:val="bottom"/>
          </w:tcPr>
          <w:p w14:paraId="25132FC3"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Valid Percent</w:t>
            </w:r>
          </w:p>
        </w:tc>
        <w:tc>
          <w:tcPr>
            <w:tcW w:w="1009" w:type="pct"/>
            <w:tcBorders>
              <w:top w:val="nil"/>
              <w:left w:val="single" w:sz="8" w:space="0" w:color="E0E0E0"/>
              <w:bottom w:val="single" w:sz="8" w:space="0" w:color="152935"/>
              <w:right w:val="nil"/>
            </w:tcBorders>
            <w:shd w:val="clear" w:color="auto" w:fill="FFFFFF"/>
            <w:vAlign w:val="bottom"/>
          </w:tcPr>
          <w:p w14:paraId="6C1C0C6D"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Cumulative Percent</w:t>
            </w:r>
          </w:p>
        </w:tc>
      </w:tr>
      <w:tr w:rsidR="00370F73" w:rsidRPr="00370F73" w14:paraId="3FD18524" w14:textId="77777777" w:rsidTr="00316911">
        <w:trPr>
          <w:cantSplit/>
        </w:trPr>
        <w:tc>
          <w:tcPr>
            <w:tcW w:w="504" w:type="pct"/>
            <w:vMerge w:val="restart"/>
            <w:tcBorders>
              <w:top w:val="single" w:sz="8" w:space="0" w:color="152935"/>
              <w:left w:val="nil"/>
              <w:bottom w:val="single" w:sz="8" w:space="0" w:color="152935"/>
              <w:right w:val="nil"/>
            </w:tcBorders>
            <w:shd w:val="clear" w:color="auto" w:fill="E0E0E0"/>
          </w:tcPr>
          <w:p w14:paraId="57E03369"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Valid</w:t>
            </w:r>
          </w:p>
        </w:tc>
        <w:tc>
          <w:tcPr>
            <w:tcW w:w="1030" w:type="pct"/>
            <w:tcBorders>
              <w:top w:val="single" w:sz="8" w:space="0" w:color="152935"/>
              <w:left w:val="nil"/>
              <w:bottom w:val="single" w:sz="8" w:space="0" w:color="AEAEAE"/>
              <w:right w:val="nil"/>
            </w:tcBorders>
            <w:shd w:val="clear" w:color="auto" w:fill="E0E0E0"/>
          </w:tcPr>
          <w:p w14:paraId="4F213389"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Full-time</w:t>
            </w:r>
          </w:p>
        </w:tc>
        <w:tc>
          <w:tcPr>
            <w:tcW w:w="798" w:type="pct"/>
            <w:tcBorders>
              <w:top w:val="single" w:sz="8" w:space="0" w:color="152935"/>
              <w:left w:val="nil"/>
              <w:bottom w:val="single" w:sz="8" w:space="0" w:color="AEAEAE"/>
              <w:right w:val="single" w:sz="8" w:space="0" w:color="E0E0E0"/>
            </w:tcBorders>
            <w:shd w:val="clear" w:color="auto" w:fill="F9F9FB"/>
          </w:tcPr>
          <w:p w14:paraId="47C2FA4B"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25</w:t>
            </w:r>
          </w:p>
        </w:tc>
        <w:tc>
          <w:tcPr>
            <w:tcW w:w="703" w:type="pct"/>
            <w:tcBorders>
              <w:top w:val="single" w:sz="8" w:space="0" w:color="152935"/>
              <w:left w:val="single" w:sz="8" w:space="0" w:color="E0E0E0"/>
              <w:bottom w:val="single" w:sz="8" w:space="0" w:color="AEAEAE"/>
              <w:right w:val="single" w:sz="8" w:space="0" w:color="E0E0E0"/>
            </w:tcBorders>
            <w:shd w:val="clear" w:color="auto" w:fill="F9F9FB"/>
          </w:tcPr>
          <w:p w14:paraId="1E08DBD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25.0</w:t>
            </w:r>
          </w:p>
        </w:tc>
        <w:tc>
          <w:tcPr>
            <w:tcW w:w="956" w:type="pct"/>
            <w:tcBorders>
              <w:top w:val="single" w:sz="8" w:space="0" w:color="152935"/>
              <w:left w:val="single" w:sz="8" w:space="0" w:color="E0E0E0"/>
              <w:bottom w:val="single" w:sz="8" w:space="0" w:color="AEAEAE"/>
              <w:right w:val="single" w:sz="8" w:space="0" w:color="E0E0E0"/>
            </w:tcBorders>
            <w:shd w:val="clear" w:color="auto" w:fill="F9F9FB"/>
          </w:tcPr>
          <w:p w14:paraId="54E5F98E"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25.0</w:t>
            </w:r>
          </w:p>
        </w:tc>
        <w:tc>
          <w:tcPr>
            <w:tcW w:w="1009" w:type="pct"/>
            <w:tcBorders>
              <w:top w:val="single" w:sz="8" w:space="0" w:color="152935"/>
              <w:left w:val="single" w:sz="8" w:space="0" w:color="E0E0E0"/>
              <w:bottom w:val="single" w:sz="8" w:space="0" w:color="AEAEAE"/>
              <w:right w:val="nil"/>
            </w:tcBorders>
            <w:shd w:val="clear" w:color="auto" w:fill="F9F9FB"/>
          </w:tcPr>
          <w:p w14:paraId="15A3968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25.0</w:t>
            </w:r>
          </w:p>
        </w:tc>
      </w:tr>
      <w:tr w:rsidR="00370F73" w:rsidRPr="00370F73" w14:paraId="281A3CC6" w14:textId="77777777" w:rsidTr="00316911">
        <w:trPr>
          <w:cantSplit/>
        </w:trPr>
        <w:tc>
          <w:tcPr>
            <w:tcW w:w="504" w:type="pct"/>
            <w:vMerge/>
            <w:tcBorders>
              <w:top w:val="single" w:sz="8" w:space="0" w:color="152935"/>
              <w:left w:val="nil"/>
              <w:bottom w:val="single" w:sz="8" w:space="0" w:color="152935"/>
              <w:right w:val="nil"/>
            </w:tcBorders>
            <w:shd w:val="clear" w:color="auto" w:fill="E0E0E0"/>
          </w:tcPr>
          <w:p w14:paraId="63ED8B58"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1030" w:type="pct"/>
            <w:tcBorders>
              <w:top w:val="single" w:sz="8" w:space="0" w:color="AEAEAE"/>
              <w:left w:val="nil"/>
              <w:bottom w:val="single" w:sz="8" w:space="0" w:color="AEAEAE"/>
              <w:right w:val="nil"/>
            </w:tcBorders>
            <w:shd w:val="clear" w:color="auto" w:fill="E0E0E0"/>
          </w:tcPr>
          <w:p w14:paraId="2B07A3EF"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Part-time</w:t>
            </w:r>
          </w:p>
        </w:tc>
        <w:tc>
          <w:tcPr>
            <w:tcW w:w="798" w:type="pct"/>
            <w:tcBorders>
              <w:top w:val="single" w:sz="8" w:space="0" w:color="AEAEAE"/>
              <w:left w:val="nil"/>
              <w:bottom w:val="single" w:sz="8" w:space="0" w:color="AEAEAE"/>
              <w:right w:val="single" w:sz="8" w:space="0" w:color="E0E0E0"/>
            </w:tcBorders>
            <w:shd w:val="clear" w:color="auto" w:fill="F9F9FB"/>
          </w:tcPr>
          <w:p w14:paraId="5F28D00E"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24</w:t>
            </w:r>
          </w:p>
        </w:tc>
        <w:tc>
          <w:tcPr>
            <w:tcW w:w="703" w:type="pct"/>
            <w:tcBorders>
              <w:top w:val="single" w:sz="8" w:space="0" w:color="AEAEAE"/>
              <w:left w:val="single" w:sz="8" w:space="0" w:color="E0E0E0"/>
              <w:bottom w:val="single" w:sz="8" w:space="0" w:color="AEAEAE"/>
              <w:right w:val="single" w:sz="8" w:space="0" w:color="E0E0E0"/>
            </w:tcBorders>
            <w:shd w:val="clear" w:color="auto" w:fill="F9F9FB"/>
          </w:tcPr>
          <w:p w14:paraId="3BC286D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24.0</w:t>
            </w:r>
          </w:p>
        </w:tc>
        <w:tc>
          <w:tcPr>
            <w:tcW w:w="956" w:type="pct"/>
            <w:tcBorders>
              <w:top w:val="single" w:sz="8" w:space="0" w:color="AEAEAE"/>
              <w:left w:val="single" w:sz="8" w:space="0" w:color="E0E0E0"/>
              <w:bottom w:val="single" w:sz="8" w:space="0" w:color="AEAEAE"/>
              <w:right w:val="single" w:sz="8" w:space="0" w:color="E0E0E0"/>
            </w:tcBorders>
            <w:shd w:val="clear" w:color="auto" w:fill="F9F9FB"/>
          </w:tcPr>
          <w:p w14:paraId="30BB090C"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24.0</w:t>
            </w:r>
          </w:p>
        </w:tc>
        <w:tc>
          <w:tcPr>
            <w:tcW w:w="1009" w:type="pct"/>
            <w:tcBorders>
              <w:top w:val="single" w:sz="8" w:space="0" w:color="AEAEAE"/>
              <w:left w:val="single" w:sz="8" w:space="0" w:color="E0E0E0"/>
              <w:bottom w:val="single" w:sz="8" w:space="0" w:color="AEAEAE"/>
              <w:right w:val="nil"/>
            </w:tcBorders>
            <w:shd w:val="clear" w:color="auto" w:fill="F9F9FB"/>
          </w:tcPr>
          <w:p w14:paraId="1256D44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49.0</w:t>
            </w:r>
          </w:p>
        </w:tc>
      </w:tr>
      <w:tr w:rsidR="00370F73" w:rsidRPr="00370F73" w14:paraId="1FDAE93C" w14:textId="77777777" w:rsidTr="00316911">
        <w:trPr>
          <w:cantSplit/>
        </w:trPr>
        <w:tc>
          <w:tcPr>
            <w:tcW w:w="504" w:type="pct"/>
            <w:vMerge/>
            <w:tcBorders>
              <w:top w:val="single" w:sz="8" w:space="0" w:color="152935"/>
              <w:left w:val="nil"/>
              <w:bottom w:val="single" w:sz="8" w:space="0" w:color="152935"/>
              <w:right w:val="nil"/>
            </w:tcBorders>
            <w:shd w:val="clear" w:color="auto" w:fill="E0E0E0"/>
          </w:tcPr>
          <w:p w14:paraId="119A4C61"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1030" w:type="pct"/>
            <w:tcBorders>
              <w:top w:val="single" w:sz="8" w:space="0" w:color="AEAEAE"/>
              <w:left w:val="nil"/>
              <w:bottom w:val="single" w:sz="8" w:space="0" w:color="AEAEAE"/>
              <w:right w:val="nil"/>
            </w:tcBorders>
            <w:shd w:val="clear" w:color="auto" w:fill="E0E0E0"/>
          </w:tcPr>
          <w:p w14:paraId="6770CD8C"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Self-employed</w:t>
            </w:r>
          </w:p>
        </w:tc>
        <w:tc>
          <w:tcPr>
            <w:tcW w:w="798" w:type="pct"/>
            <w:tcBorders>
              <w:top w:val="single" w:sz="8" w:space="0" w:color="AEAEAE"/>
              <w:left w:val="nil"/>
              <w:bottom w:val="single" w:sz="8" w:space="0" w:color="AEAEAE"/>
              <w:right w:val="single" w:sz="8" w:space="0" w:color="E0E0E0"/>
            </w:tcBorders>
            <w:shd w:val="clear" w:color="auto" w:fill="F9F9FB"/>
          </w:tcPr>
          <w:p w14:paraId="6D8A696B"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12</w:t>
            </w:r>
          </w:p>
        </w:tc>
        <w:tc>
          <w:tcPr>
            <w:tcW w:w="703" w:type="pct"/>
            <w:tcBorders>
              <w:top w:val="single" w:sz="8" w:space="0" w:color="AEAEAE"/>
              <w:left w:val="single" w:sz="8" w:space="0" w:color="E0E0E0"/>
              <w:bottom w:val="single" w:sz="8" w:space="0" w:color="AEAEAE"/>
              <w:right w:val="single" w:sz="8" w:space="0" w:color="E0E0E0"/>
            </w:tcBorders>
            <w:shd w:val="clear" w:color="auto" w:fill="F9F9FB"/>
          </w:tcPr>
          <w:p w14:paraId="71FB2DD9"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12.0</w:t>
            </w:r>
          </w:p>
        </w:tc>
        <w:tc>
          <w:tcPr>
            <w:tcW w:w="956" w:type="pct"/>
            <w:tcBorders>
              <w:top w:val="single" w:sz="8" w:space="0" w:color="AEAEAE"/>
              <w:left w:val="single" w:sz="8" w:space="0" w:color="E0E0E0"/>
              <w:bottom w:val="single" w:sz="8" w:space="0" w:color="AEAEAE"/>
              <w:right w:val="single" w:sz="8" w:space="0" w:color="E0E0E0"/>
            </w:tcBorders>
            <w:shd w:val="clear" w:color="auto" w:fill="F9F9FB"/>
          </w:tcPr>
          <w:p w14:paraId="4C1AC0F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12.0</w:t>
            </w:r>
          </w:p>
        </w:tc>
        <w:tc>
          <w:tcPr>
            <w:tcW w:w="1009" w:type="pct"/>
            <w:tcBorders>
              <w:top w:val="single" w:sz="8" w:space="0" w:color="AEAEAE"/>
              <w:left w:val="single" w:sz="8" w:space="0" w:color="E0E0E0"/>
              <w:bottom w:val="single" w:sz="8" w:space="0" w:color="AEAEAE"/>
              <w:right w:val="nil"/>
            </w:tcBorders>
            <w:shd w:val="clear" w:color="auto" w:fill="F9F9FB"/>
          </w:tcPr>
          <w:p w14:paraId="3969833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61.0</w:t>
            </w:r>
          </w:p>
        </w:tc>
      </w:tr>
      <w:tr w:rsidR="00370F73" w:rsidRPr="00370F73" w14:paraId="1C701469" w14:textId="77777777" w:rsidTr="00316911">
        <w:trPr>
          <w:cantSplit/>
        </w:trPr>
        <w:tc>
          <w:tcPr>
            <w:tcW w:w="504" w:type="pct"/>
            <w:vMerge/>
            <w:tcBorders>
              <w:top w:val="single" w:sz="8" w:space="0" w:color="152935"/>
              <w:left w:val="nil"/>
              <w:bottom w:val="single" w:sz="8" w:space="0" w:color="152935"/>
              <w:right w:val="nil"/>
            </w:tcBorders>
            <w:shd w:val="clear" w:color="auto" w:fill="E0E0E0"/>
          </w:tcPr>
          <w:p w14:paraId="2C3274FF"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1030" w:type="pct"/>
            <w:tcBorders>
              <w:top w:val="single" w:sz="8" w:space="0" w:color="AEAEAE"/>
              <w:left w:val="nil"/>
              <w:bottom w:val="single" w:sz="8" w:space="0" w:color="AEAEAE"/>
              <w:right w:val="nil"/>
            </w:tcBorders>
            <w:shd w:val="clear" w:color="auto" w:fill="E0E0E0"/>
          </w:tcPr>
          <w:p w14:paraId="26BF1814"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Student</w:t>
            </w:r>
          </w:p>
        </w:tc>
        <w:tc>
          <w:tcPr>
            <w:tcW w:w="798" w:type="pct"/>
            <w:tcBorders>
              <w:top w:val="single" w:sz="8" w:space="0" w:color="AEAEAE"/>
              <w:left w:val="nil"/>
              <w:bottom w:val="single" w:sz="8" w:space="0" w:color="AEAEAE"/>
              <w:right w:val="single" w:sz="8" w:space="0" w:color="E0E0E0"/>
            </w:tcBorders>
            <w:shd w:val="clear" w:color="auto" w:fill="F9F9FB"/>
          </w:tcPr>
          <w:p w14:paraId="0C0B8F0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34</w:t>
            </w:r>
          </w:p>
        </w:tc>
        <w:tc>
          <w:tcPr>
            <w:tcW w:w="703" w:type="pct"/>
            <w:tcBorders>
              <w:top w:val="single" w:sz="8" w:space="0" w:color="AEAEAE"/>
              <w:left w:val="single" w:sz="8" w:space="0" w:color="E0E0E0"/>
              <w:bottom w:val="single" w:sz="8" w:space="0" w:color="AEAEAE"/>
              <w:right w:val="single" w:sz="8" w:space="0" w:color="E0E0E0"/>
            </w:tcBorders>
            <w:shd w:val="clear" w:color="auto" w:fill="F9F9FB"/>
          </w:tcPr>
          <w:p w14:paraId="327A0E1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34.0</w:t>
            </w:r>
          </w:p>
        </w:tc>
        <w:tc>
          <w:tcPr>
            <w:tcW w:w="956" w:type="pct"/>
            <w:tcBorders>
              <w:top w:val="single" w:sz="8" w:space="0" w:color="AEAEAE"/>
              <w:left w:val="single" w:sz="8" w:space="0" w:color="E0E0E0"/>
              <w:bottom w:val="single" w:sz="8" w:space="0" w:color="AEAEAE"/>
              <w:right w:val="single" w:sz="8" w:space="0" w:color="E0E0E0"/>
            </w:tcBorders>
            <w:shd w:val="clear" w:color="auto" w:fill="F9F9FB"/>
          </w:tcPr>
          <w:p w14:paraId="0F7BD52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34.0</w:t>
            </w:r>
          </w:p>
        </w:tc>
        <w:tc>
          <w:tcPr>
            <w:tcW w:w="1009" w:type="pct"/>
            <w:tcBorders>
              <w:top w:val="single" w:sz="8" w:space="0" w:color="AEAEAE"/>
              <w:left w:val="single" w:sz="8" w:space="0" w:color="E0E0E0"/>
              <w:bottom w:val="single" w:sz="8" w:space="0" w:color="AEAEAE"/>
              <w:right w:val="nil"/>
            </w:tcBorders>
            <w:shd w:val="clear" w:color="auto" w:fill="F9F9FB"/>
          </w:tcPr>
          <w:p w14:paraId="1CAC6374"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95.0</w:t>
            </w:r>
          </w:p>
        </w:tc>
      </w:tr>
      <w:tr w:rsidR="00370F73" w:rsidRPr="00370F73" w14:paraId="5E64385E" w14:textId="77777777" w:rsidTr="00316911">
        <w:trPr>
          <w:cantSplit/>
        </w:trPr>
        <w:tc>
          <w:tcPr>
            <w:tcW w:w="504" w:type="pct"/>
            <w:vMerge/>
            <w:tcBorders>
              <w:top w:val="single" w:sz="8" w:space="0" w:color="152935"/>
              <w:left w:val="nil"/>
              <w:bottom w:val="single" w:sz="8" w:space="0" w:color="152935"/>
              <w:right w:val="nil"/>
            </w:tcBorders>
            <w:shd w:val="clear" w:color="auto" w:fill="E0E0E0"/>
          </w:tcPr>
          <w:p w14:paraId="12CBCDA0"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1030" w:type="pct"/>
            <w:tcBorders>
              <w:top w:val="single" w:sz="8" w:space="0" w:color="AEAEAE"/>
              <w:left w:val="nil"/>
              <w:bottom w:val="single" w:sz="8" w:space="0" w:color="AEAEAE"/>
              <w:right w:val="nil"/>
            </w:tcBorders>
            <w:shd w:val="clear" w:color="auto" w:fill="E0E0E0"/>
          </w:tcPr>
          <w:p w14:paraId="2F9C1F8F"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Unemployed</w:t>
            </w:r>
          </w:p>
        </w:tc>
        <w:tc>
          <w:tcPr>
            <w:tcW w:w="798" w:type="pct"/>
            <w:tcBorders>
              <w:top w:val="single" w:sz="8" w:space="0" w:color="AEAEAE"/>
              <w:left w:val="nil"/>
              <w:bottom w:val="single" w:sz="8" w:space="0" w:color="AEAEAE"/>
              <w:right w:val="single" w:sz="8" w:space="0" w:color="E0E0E0"/>
            </w:tcBorders>
            <w:shd w:val="clear" w:color="auto" w:fill="F9F9FB"/>
          </w:tcPr>
          <w:p w14:paraId="13737FC7"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w:t>
            </w:r>
          </w:p>
        </w:tc>
        <w:tc>
          <w:tcPr>
            <w:tcW w:w="703" w:type="pct"/>
            <w:tcBorders>
              <w:top w:val="single" w:sz="8" w:space="0" w:color="AEAEAE"/>
              <w:left w:val="single" w:sz="8" w:space="0" w:color="E0E0E0"/>
              <w:bottom w:val="single" w:sz="8" w:space="0" w:color="AEAEAE"/>
              <w:right w:val="single" w:sz="8" w:space="0" w:color="E0E0E0"/>
            </w:tcBorders>
            <w:shd w:val="clear" w:color="auto" w:fill="F9F9FB"/>
          </w:tcPr>
          <w:p w14:paraId="50F9AC1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5.0</w:t>
            </w:r>
          </w:p>
        </w:tc>
        <w:tc>
          <w:tcPr>
            <w:tcW w:w="956" w:type="pct"/>
            <w:tcBorders>
              <w:top w:val="single" w:sz="8" w:space="0" w:color="AEAEAE"/>
              <w:left w:val="single" w:sz="8" w:space="0" w:color="E0E0E0"/>
              <w:bottom w:val="single" w:sz="8" w:space="0" w:color="AEAEAE"/>
              <w:right w:val="single" w:sz="8" w:space="0" w:color="E0E0E0"/>
            </w:tcBorders>
            <w:shd w:val="clear" w:color="auto" w:fill="F9F9FB"/>
          </w:tcPr>
          <w:p w14:paraId="154AD98D"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5.0</w:t>
            </w:r>
          </w:p>
        </w:tc>
        <w:tc>
          <w:tcPr>
            <w:tcW w:w="1009" w:type="pct"/>
            <w:tcBorders>
              <w:top w:val="single" w:sz="8" w:space="0" w:color="AEAEAE"/>
              <w:left w:val="single" w:sz="8" w:space="0" w:color="E0E0E0"/>
              <w:bottom w:val="single" w:sz="8" w:space="0" w:color="AEAEAE"/>
              <w:right w:val="nil"/>
            </w:tcBorders>
            <w:shd w:val="clear" w:color="auto" w:fill="F9F9FB"/>
          </w:tcPr>
          <w:p w14:paraId="7388B3BC"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r>
      <w:tr w:rsidR="00370F73" w:rsidRPr="00370F73" w14:paraId="5307CEE8" w14:textId="77777777" w:rsidTr="00316911">
        <w:trPr>
          <w:cantSplit/>
        </w:trPr>
        <w:tc>
          <w:tcPr>
            <w:tcW w:w="504" w:type="pct"/>
            <w:vMerge/>
            <w:tcBorders>
              <w:top w:val="single" w:sz="8" w:space="0" w:color="152935"/>
              <w:left w:val="nil"/>
              <w:bottom w:val="single" w:sz="8" w:space="0" w:color="152935"/>
              <w:right w:val="nil"/>
            </w:tcBorders>
            <w:shd w:val="clear" w:color="auto" w:fill="E0E0E0"/>
          </w:tcPr>
          <w:p w14:paraId="45D35EC4"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1030" w:type="pct"/>
            <w:tcBorders>
              <w:top w:val="single" w:sz="8" w:space="0" w:color="AEAEAE"/>
              <w:left w:val="nil"/>
              <w:bottom w:val="single" w:sz="8" w:space="0" w:color="152935"/>
              <w:right w:val="nil"/>
            </w:tcBorders>
            <w:shd w:val="clear" w:color="auto" w:fill="E0E0E0"/>
          </w:tcPr>
          <w:p w14:paraId="58E75F44"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Total</w:t>
            </w:r>
          </w:p>
        </w:tc>
        <w:tc>
          <w:tcPr>
            <w:tcW w:w="798" w:type="pct"/>
            <w:tcBorders>
              <w:top w:val="single" w:sz="8" w:space="0" w:color="AEAEAE"/>
              <w:left w:val="nil"/>
              <w:bottom w:val="single" w:sz="8" w:space="0" w:color="152935"/>
              <w:right w:val="single" w:sz="8" w:space="0" w:color="E0E0E0"/>
            </w:tcBorders>
            <w:shd w:val="clear" w:color="auto" w:fill="F9F9FB"/>
          </w:tcPr>
          <w:p w14:paraId="3F3E9A48"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703" w:type="pct"/>
            <w:tcBorders>
              <w:top w:val="single" w:sz="8" w:space="0" w:color="AEAEAE"/>
              <w:left w:val="single" w:sz="8" w:space="0" w:color="E0E0E0"/>
              <w:bottom w:val="single" w:sz="8" w:space="0" w:color="152935"/>
              <w:right w:val="single" w:sz="8" w:space="0" w:color="E0E0E0"/>
            </w:tcBorders>
            <w:shd w:val="clear" w:color="auto" w:fill="F9F9FB"/>
          </w:tcPr>
          <w:p w14:paraId="5FB1892E"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956" w:type="pct"/>
            <w:tcBorders>
              <w:top w:val="single" w:sz="8" w:space="0" w:color="AEAEAE"/>
              <w:left w:val="single" w:sz="8" w:space="0" w:color="E0E0E0"/>
              <w:bottom w:val="single" w:sz="8" w:space="0" w:color="152935"/>
              <w:right w:val="single" w:sz="8" w:space="0" w:color="E0E0E0"/>
            </w:tcBorders>
            <w:shd w:val="clear" w:color="auto" w:fill="F9F9FB"/>
          </w:tcPr>
          <w:p w14:paraId="38E89F6D"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09" w:type="pct"/>
            <w:tcBorders>
              <w:top w:val="single" w:sz="8" w:space="0" w:color="AEAEAE"/>
              <w:left w:val="single" w:sz="8" w:space="0" w:color="E0E0E0"/>
              <w:bottom w:val="single" w:sz="8" w:space="0" w:color="152935"/>
              <w:right w:val="nil"/>
            </w:tcBorders>
            <w:shd w:val="clear" w:color="auto" w:fill="F9F9FB"/>
            <w:vAlign w:val="center"/>
          </w:tcPr>
          <w:p w14:paraId="4F38D9C9" w14:textId="77777777" w:rsidR="00370F73" w:rsidRPr="00370F73" w:rsidRDefault="00370F73" w:rsidP="00370F73">
            <w:pPr>
              <w:autoSpaceDE w:val="0"/>
              <w:autoSpaceDN w:val="0"/>
              <w:adjustRightInd w:val="0"/>
              <w:spacing w:line="240" w:lineRule="auto"/>
              <w:jc w:val="left"/>
              <w:rPr>
                <w:rFonts w:cs="Times New Roman"/>
                <w:szCs w:val="24"/>
              </w:rPr>
            </w:pPr>
          </w:p>
        </w:tc>
      </w:tr>
    </w:tbl>
    <w:p w14:paraId="34EE6514" w14:textId="77777777" w:rsidR="00370F73" w:rsidRPr="00370F73" w:rsidRDefault="00370F73" w:rsidP="00370F73">
      <w:pPr>
        <w:autoSpaceDE w:val="0"/>
        <w:autoSpaceDN w:val="0"/>
        <w:adjustRightInd w:val="0"/>
        <w:spacing w:line="400" w:lineRule="atLeast"/>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1006"/>
        <w:gridCol w:w="1410"/>
        <w:gridCol w:w="1599"/>
        <w:gridCol w:w="1410"/>
        <w:gridCol w:w="1913"/>
        <w:gridCol w:w="2022"/>
      </w:tblGrid>
      <w:tr w:rsidR="00370F73" w:rsidRPr="00370F73" w14:paraId="33D58A58" w14:textId="77777777" w:rsidTr="00316911">
        <w:trPr>
          <w:cantSplit/>
        </w:trPr>
        <w:tc>
          <w:tcPr>
            <w:tcW w:w="5000" w:type="pct"/>
            <w:gridSpan w:val="6"/>
            <w:tcBorders>
              <w:top w:val="nil"/>
              <w:left w:val="nil"/>
              <w:bottom w:val="nil"/>
              <w:right w:val="nil"/>
            </w:tcBorders>
            <w:shd w:val="clear" w:color="auto" w:fill="FFFFFF"/>
            <w:vAlign w:val="center"/>
          </w:tcPr>
          <w:p w14:paraId="38A883D0"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010205"/>
                <w:sz w:val="22"/>
              </w:rPr>
            </w:pPr>
            <w:r w:rsidRPr="00370F73">
              <w:rPr>
                <w:rFonts w:ascii="Arial" w:hAnsi="Arial" w:cs="Arial"/>
                <w:b/>
                <w:bCs/>
                <w:color w:val="010205"/>
                <w:sz w:val="22"/>
              </w:rPr>
              <w:t>Region</w:t>
            </w:r>
          </w:p>
        </w:tc>
      </w:tr>
      <w:tr w:rsidR="00370F73" w:rsidRPr="00370F73" w14:paraId="41BD1915" w14:textId="77777777" w:rsidTr="00316911">
        <w:trPr>
          <w:cantSplit/>
        </w:trPr>
        <w:tc>
          <w:tcPr>
            <w:tcW w:w="1291" w:type="pct"/>
            <w:gridSpan w:val="2"/>
            <w:tcBorders>
              <w:top w:val="nil"/>
              <w:left w:val="nil"/>
              <w:bottom w:val="single" w:sz="8" w:space="0" w:color="152935"/>
              <w:right w:val="nil"/>
            </w:tcBorders>
            <w:shd w:val="clear" w:color="auto" w:fill="FFFFFF"/>
            <w:vAlign w:val="bottom"/>
          </w:tcPr>
          <w:p w14:paraId="22292C42" w14:textId="77777777" w:rsidR="00370F73" w:rsidRPr="00370F73" w:rsidRDefault="00370F73" w:rsidP="00370F73">
            <w:pPr>
              <w:autoSpaceDE w:val="0"/>
              <w:autoSpaceDN w:val="0"/>
              <w:adjustRightInd w:val="0"/>
              <w:spacing w:line="240" w:lineRule="auto"/>
              <w:jc w:val="left"/>
              <w:rPr>
                <w:rFonts w:cs="Times New Roman"/>
                <w:szCs w:val="24"/>
              </w:rPr>
            </w:pPr>
          </w:p>
        </w:tc>
        <w:tc>
          <w:tcPr>
            <w:tcW w:w="854" w:type="pct"/>
            <w:tcBorders>
              <w:top w:val="nil"/>
              <w:left w:val="nil"/>
              <w:bottom w:val="single" w:sz="8" w:space="0" w:color="152935"/>
              <w:right w:val="single" w:sz="8" w:space="0" w:color="E0E0E0"/>
            </w:tcBorders>
            <w:shd w:val="clear" w:color="auto" w:fill="FFFFFF"/>
            <w:vAlign w:val="bottom"/>
          </w:tcPr>
          <w:p w14:paraId="2093B519"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Frequency</w:t>
            </w:r>
          </w:p>
        </w:tc>
        <w:tc>
          <w:tcPr>
            <w:tcW w:w="753" w:type="pct"/>
            <w:tcBorders>
              <w:top w:val="nil"/>
              <w:left w:val="single" w:sz="8" w:space="0" w:color="E0E0E0"/>
              <w:bottom w:val="single" w:sz="8" w:space="0" w:color="152935"/>
              <w:right w:val="single" w:sz="8" w:space="0" w:color="E0E0E0"/>
            </w:tcBorders>
            <w:shd w:val="clear" w:color="auto" w:fill="FFFFFF"/>
            <w:vAlign w:val="bottom"/>
          </w:tcPr>
          <w:p w14:paraId="5D9740BE"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Percent</w:t>
            </w:r>
          </w:p>
        </w:tc>
        <w:tc>
          <w:tcPr>
            <w:tcW w:w="1022" w:type="pct"/>
            <w:tcBorders>
              <w:top w:val="nil"/>
              <w:left w:val="single" w:sz="8" w:space="0" w:color="E0E0E0"/>
              <w:bottom w:val="single" w:sz="8" w:space="0" w:color="152935"/>
              <w:right w:val="single" w:sz="8" w:space="0" w:color="E0E0E0"/>
            </w:tcBorders>
            <w:shd w:val="clear" w:color="auto" w:fill="FFFFFF"/>
            <w:vAlign w:val="bottom"/>
          </w:tcPr>
          <w:p w14:paraId="0E9BAFDD"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Valid Percent</w:t>
            </w:r>
          </w:p>
        </w:tc>
        <w:tc>
          <w:tcPr>
            <w:tcW w:w="1079" w:type="pct"/>
            <w:tcBorders>
              <w:top w:val="nil"/>
              <w:left w:val="single" w:sz="8" w:space="0" w:color="E0E0E0"/>
              <w:bottom w:val="single" w:sz="8" w:space="0" w:color="152935"/>
              <w:right w:val="nil"/>
            </w:tcBorders>
            <w:shd w:val="clear" w:color="auto" w:fill="FFFFFF"/>
            <w:vAlign w:val="bottom"/>
          </w:tcPr>
          <w:p w14:paraId="05B667E9"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Cumulative Percent</w:t>
            </w:r>
          </w:p>
        </w:tc>
      </w:tr>
      <w:tr w:rsidR="00370F73" w:rsidRPr="00370F73" w14:paraId="0ED03E72" w14:textId="77777777" w:rsidTr="00316911">
        <w:trPr>
          <w:cantSplit/>
        </w:trPr>
        <w:tc>
          <w:tcPr>
            <w:tcW w:w="538" w:type="pct"/>
            <w:vMerge w:val="restart"/>
            <w:tcBorders>
              <w:top w:val="single" w:sz="8" w:space="0" w:color="152935"/>
              <w:left w:val="nil"/>
              <w:bottom w:val="single" w:sz="8" w:space="0" w:color="152935"/>
              <w:right w:val="nil"/>
            </w:tcBorders>
            <w:shd w:val="clear" w:color="auto" w:fill="E0E0E0"/>
          </w:tcPr>
          <w:p w14:paraId="0E780064"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Valid</w:t>
            </w:r>
          </w:p>
        </w:tc>
        <w:tc>
          <w:tcPr>
            <w:tcW w:w="753" w:type="pct"/>
            <w:tcBorders>
              <w:top w:val="single" w:sz="8" w:space="0" w:color="152935"/>
              <w:left w:val="nil"/>
              <w:bottom w:val="single" w:sz="8" w:space="0" w:color="AEAEAE"/>
              <w:right w:val="nil"/>
            </w:tcBorders>
            <w:shd w:val="clear" w:color="auto" w:fill="E0E0E0"/>
          </w:tcPr>
          <w:p w14:paraId="2CB3B3ED"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England</w:t>
            </w:r>
          </w:p>
        </w:tc>
        <w:tc>
          <w:tcPr>
            <w:tcW w:w="854" w:type="pct"/>
            <w:tcBorders>
              <w:top w:val="single" w:sz="8" w:space="0" w:color="152935"/>
              <w:left w:val="nil"/>
              <w:bottom w:val="single" w:sz="8" w:space="0" w:color="AEAEAE"/>
              <w:right w:val="single" w:sz="8" w:space="0" w:color="E0E0E0"/>
            </w:tcBorders>
            <w:shd w:val="clear" w:color="auto" w:fill="F9F9FB"/>
          </w:tcPr>
          <w:p w14:paraId="050A5C6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54</w:t>
            </w:r>
          </w:p>
        </w:tc>
        <w:tc>
          <w:tcPr>
            <w:tcW w:w="753" w:type="pct"/>
            <w:tcBorders>
              <w:top w:val="single" w:sz="8" w:space="0" w:color="152935"/>
              <w:left w:val="single" w:sz="8" w:space="0" w:color="E0E0E0"/>
              <w:bottom w:val="single" w:sz="8" w:space="0" w:color="AEAEAE"/>
              <w:right w:val="single" w:sz="8" w:space="0" w:color="E0E0E0"/>
            </w:tcBorders>
            <w:shd w:val="clear" w:color="auto" w:fill="F9F9FB"/>
          </w:tcPr>
          <w:p w14:paraId="79876B99"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54.0</w:t>
            </w:r>
          </w:p>
        </w:tc>
        <w:tc>
          <w:tcPr>
            <w:tcW w:w="1022" w:type="pct"/>
            <w:tcBorders>
              <w:top w:val="single" w:sz="8" w:space="0" w:color="152935"/>
              <w:left w:val="single" w:sz="8" w:space="0" w:color="E0E0E0"/>
              <w:bottom w:val="single" w:sz="8" w:space="0" w:color="AEAEAE"/>
              <w:right w:val="single" w:sz="8" w:space="0" w:color="E0E0E0"/>
            </w:tcBorders>
            <w:shd w:val="clear" w:color="auto" w:fill="F9F9FB"/>
          </w:tcPr>
          <w:p w14:paraId="5B37D5C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54.0</w:t>
            </w:r>
          </w:p>
        </w:tc>
        <w:tc>
          <w:tcPr>
            <w:tcW w:w="1079" w:type="pct"/>
            <w:tcBorders>
              <w:top w:val="single" w:sz="8" w:space="0" w:color="152935"/>
              <w:left w:val="single" w:sz="8" w:space="0" w:color="E0E0E0"/>
              <w:bottom w:val="single" w:sz="8" w:space="0" w:color="AEAEAE"/>
              <w:right w:val="nil"/>
            </w:tcBorders>
            <w:shd w:val="clear" w:color="auto" w:fill="F9F9FB"/>
          </w:tcPr>
          <w:p w14:paraId="0810FD40"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54.0</w:t>
            </w:r>
          </w:p>
        </w:tc>
      </w:tr>
      <w:tr w:rsidR="00370F73" w:rsidRPr="00370F73" w14:paraId="3C1AFCB3" w14:textId="77777777" w:rsidTr="00316911">
        <w:trPr>
          <w:cantSplit/>
        </w:trPr>
        <w:tc>
          <w:tcPr>
            <w:tcW w:w="538" w:type="pct"/>
            <w:vMerge/>
            <w:tcBorders>
              <w:top w:val="single" w:sz="8" w:space="0" w:color="152935"/>
              <w:left w:val="nil"/>
              <w:bottom w:val="single" w:sz="8" w:space="0" w:color="152935"/>
              <w:right w:val="nil"/>
            </w:tcBorders>
            <w:shd w:val="clear" w:color="auto" w:fill="E0E0E0"/>
          </w:tcPr>
          <w:p w14:paraId="65F845BF"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753" w:type="pct"/>
            <w:tcBorders>
              <w:top w:val="single" w:sz="8" w:space="0" w:color="AEAEAE"/>
              <w:left w:val="nil"/>
              <w:bottom w:val="single" w:sz="8" w:space="0" w:color="AEAEAE"/>
              <w:right w:val="nil"/>
            </w:tcBorders>
            <w:shd w:val="clear" w:color="auto" w:fill="E0E0E0"/>
          </w:tcPr>
          <w:p w14:paraId="0098A248"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Scotland</w:t>
            </w:r>
          </w:p>
        </w:tc>
        <w:tc>
          <w:tcPr>
            <w:tcW w:w="854" w:type="pct"/>
            <w:tcBorders>
              <w:top w:val="single" w:sz="8" w:space="0" w:color="AEAEAE"/>
              <w:left w:val="nil"/>
              <w:bottom w:val="single" w:sz="8" w:space="0" w:color="AEAEAE"/>
              <w:right w:val="single" w:sz="8" w:space="0" w:color="E0E0E0"/>
            </w:tcBorders>
            <w:shd w:val="clear" w:color="auto" w:fill="F9F9FB"/>
          </w:tcPr>
          <w:p w14:paraId="7A965B3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18</w:t>
            </w:r>
          </w:p>
        </w:tc>
        <w:tc>
          <w:tcPr>
            <w:tcW w:w="753" w:type="pct"/>
            <w:tcBorders>
              <w:top w:val="single" w:sz="8" w:space="0" w:color="AEAEAE"/>
              <w:left w:val="single" w:sz="8" w:space="0" w:color="E0E0E0"/>
              <w:bottom w:val="single" w:sz="8" w:space="0" w:color="AEAEAE"/>
              <w:right w:val="single" w:sz="8" w:space="0" w:color="E0E0E0"/>
            </w:tcBorders>
            <w:shd w:val="clear" w:color="auto" w:fill="F9F9FB"/>
          </w:tcPr>
          <w:p w14:paraId="7536AD50"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18.0</w:t>
            </w:r>
          </w:p>
        </w:tc>
        <w:tc>
          <w:tcPr>
            <w:tcW w:w="1022" w:type="pct"/>
            <w:tcBorders>
              <w:top w:val="single" w:sz="8" w:space="0" w:color="AEAEAE"/>
              <w:left w:val="single" w:sz="8" w:space="0" w:color="E0E0E0"/>
              <w:bottom w:val="single" w:sz="8" w:space="0" w:color="AEAEAE"/>
              <w:right w:val="single" w:sz="8" w:space="0" w:color="E0E0E0"/>
            </w:tcBorders>
            <w:shd w:val="clear" w:color="auto" w:fill="F9F9FB"/>
          </w:tcPr>
          <w:p w14:paraId="4DA3DB5C"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18.0</w:t>
            </w:r>
          </w:p>
        </w:tc>
        <w:tc>
          <w:tcPr>
            <w:tcW w:w="1079" w:type="pct"/>
            <w:tcBorders>
              <w:top w:val="single" w:sz="8" w:space="0" w:color="AEAEAE"/>
              <w:left w:val="single" w:sz="8" w:space="0" w:color="E0E0E0"/>
              <w:bottom w:val="single" w:sz="8" w:space="0" w:color="AEAEAE"/>
              <w:right w:val="nil"/>
            </w:tcBorders>
            <w:shd w:val="clear" w:color="auto" w:fill="F9F9FB"/>
          </w:tcPr>
          <w:p w14:paraId="222337A8"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72.0</w:t>
            </w:r>
          </w:p>
        </w:tc>
      </w:tr>
      <w:tr w:rsidR="00370F73" w:rsidRPr="00370F73" w14:paraId="0C4DDA36" w14:textId="77777777" w:rsidTr="00316911">
        <w:trPr>
          <w:cantSplit/>
        </w:trPr>
        <w:tc>
          <w:tcPr>
            <w:tcW w:w="538" w:type="pct"/>
            <w:vMerge/>
            <w:tcBorders>
              <w:top w:val="single" w:sz="8" w:space="0" w:color="152935"/>
              <w:left w:val="nil"/>
              <w:bottom w:val="single" w:sz="8" w:space="0" w:color="152935"/>
              <w:right w:val="nil"/>
            </w:tcBorders>
            <w:shd w:val="clear" w:color="auto" w:fill="E0E0E0"/>
          </w:tcPr>
          <w:p w14:paraId="725D429B"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753" w:type="pct"/>
            <w:tcBorders>
              <w:top w:val="single" w:sz="8" w:space="0" w:color="AEAEAE"/>
              <w:left w:val="nil"/>
              <w:bottom w:val="single" w:sz="8" w:space="0" w:color="AEAEAE"/>
              <w:right w:val="nil"/>
            </w:tcBorders>
            <w:shd w:val="clear" w:color="auto" w:fill="E0E0E0"/>
          </w:tcPr>
          <w:p w14:paraId="7ED11D81"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Wales</w:t>
            </w:r>
          </w:p>
        </w:tc>
        <w:tc>
          <w:tcPr>
            <w:tcW w:w="854" w:type="pct"/>
            <w:tcBorders>
              <w:top w:val="single" w:sz="8" w:space="0" w:color="AEAEAE"/>
              <w:left w:val="nil"/>
              <w:bottom w:val="single" w:sz="8" w:space="0" w:color="AEAEAE"/>
              <w:right w:val="single" w:sz="8" w:space="0" w:color="E0E0E0"/>
            </w:tcBorders>
            <w:shd w:val="clear" w:color="auto" w:fill="F9F9FB"/>
          </w:tcPr>
          <w:p w14:paraId="3765DEF7"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28</w:t>
            </w:r>
          </w:p>
        </w:tc>
        <w:tc>
          <w:tcPr>
            <w:tcW w:w="753" w:type="pct"/>
            <w:tcBorders>
              <w:top w:val="single" w:sz="8" w:space="0" w:color="AEAEAE"/>
              <w:left w:val="single" w:sz="8" w:space="0" w:color="E0E0E0"/>
              <w:bottom w:val="single" w:sz="8" w:space="0" w:color="AEAEAE"/>
              <w:right w:val="single" w:sz="8" w:space="0" w:color="E0E0E0"/>
            </w:tcBorders>
            <w:shd w:val="clear" w:color="auto" w:fill="F9F9FB"/>
          </w:tcPr>
          <w:p w14:paraId="5A27825F"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28.0</w:t>
            </w:r>
          </w:p>
        </w:tc>
        <w:tc>
          <w:tcPr>
            <w:tcW w:w="1022" w:type="pct"/>
            <w:tcBorders>
              <w:top w:val="single" w:sz="8" w:space="0" w:color="AEAEAE"/>
              <w:left w:val="single" w:sz="8" w:space="0" w:color="E0E0E0"/>
              <w:bottom w:val="single" w:sz="8" w:space="0" w:color="AEAEAE"/>
              <w:right w:val="single" w:sz="8" w:space="0" w:color="E0E0E0"/>
            </w:tcBorders>
            <w:shd w:val="clear" w:color="auto" w:fill="F9F9FB"/>
          </w:tcPr>
          <w:p w14:paraId="38C14BC8"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28.0</w:t>
            </w:r>
          </w:p>
        </w:tc>
        <w:tc>
          <w:tcPr>
            <w:tcW w:w="1079" w:type="pct"/>
            <w:tcBorders>
              <w:top w:val="single" w:sz="8" w:space="0" w:color="AEAEAE"/>
              <w:left w:val="single" w:sz="8" w:space="0" w:color="E0E0E0"/>
              <w:bottom w:val="single" w:sz="8" w:space="0" w:color="AEAEAE"/>
              <w:right w:val="nil"/>
            </w:tcBorders>
            <w:shd w:val="clear" w:color="auto" w:fill="F9F9FB"/>
          </w:tcPr>
          <w:p w14:paraId="6A85064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r>
      <w:tr w:rsidR="00370F73" w:rsidRPr="00370F73" w14:paraId="6239277D" w14:textId="77777777" w:rsidTr="00316911">
        <w:trPr>
          <w:cantSplit/>
        </w:trPr>
        <w:tc>
          <w:tcPr>
            <w:tcW w:w="538" w:type="pct"/>
            <w:vMerge/>
            <w:tcBorders>
              <w:top w:val="single" w:sz="8" w:space="0" w:color="152935"/>
              <w:left w:val="nil"/>
              <w:bottom w:val="single" w:sz="8" w:space="0" w:color="152935"/>
              <w:right w:val="nil"/>
            </w:tcBorders>
            <w:shd w:val="clear" w:color="auto" w:fill="E0E0E0"/>
          </w:tcPr>
          <w:p w14:paraId="21B900FE"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753" w:type="pct"/>
            <w:tcBorders>
              <w:top w:val="single" w:sz="8" w:space="0" w:color="AEAEAE"/>
              <w:left w:val="nil"/>
              <w:bottom w:val="single" w:sz="8" w:space="0" w:color="152935"/>
              <w:right w:val="nil"/>
            </w:tcBorders>
            <w:shd w:val="clear" w:color="auto" w:fill="E0E0E0"/>
          </w:tcPr>
          <w:p w14:paraId="5167CCAA"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Total</w:t>
            </w:r>
          </w:p>
        </w:tc>
        <w:tc>
          <w:tcPr>
            <w:tcW w:w="854" w:type="pct"/>
            <w:tcBorders>
              <w:top w:val="single" w:sz="8" w:space="0" w:color="AEAEAE"/>
              <w:left w:val="nil"/>
              <w:bottom w:val="single" w:sz="8" w:space="0" w:color="152935"/>
              <w:right w:val="single" w:sz="8" w:space="0" w:color="E0E0E0"/>
            </w:tcBorders>
            <w:shd w:val="clear" w:color="auto" w:fill="F9F9FB"/>
          </w:tcPr>
          <w:p w14:paraId="16237F09"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753" w:type="pct"/>
            <w:tcBorders>
              <w:top w:val="single" w:sz="8" w:space="0" w:color="AEAEAE"/>
              <w:left w:val="single" w:sz="8" w:space="0" w:color="E0E0E0"/>
              <w:bottom w:val="single" w:sz="8" w:space="0" w:color="152935"/>
              <w:right w:val="single" w:sz="8" w:space="0" w:color="E0E0E0"/>
            </w:tcBorders>
            <w:shd w:val="clear" w:color="auto" w:fill="F9F9FB"/>
          </w:tcPr>
          <w:p w14:paraId="6ACD379C"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22" w:type="pct"/>
            <w:tcBorders>
              <w:top w:val="single" w:sz="8" w:space="0" w:color="AEAEAE"/>
              <w:left w:val="single" w:sz="8" w:space="0" w:color="E0E0E0"/>
              <w:bottom w:val="single" w:sz="8" w:space="0" w:color="152935"/>
              <w:right w:val="single" w:sz="8" w:space="0" w:color="E0E0E0"/>
            </w:tcBorders>
            <w:shd w:val="clear" w:color="auto" w:fill="F9F9FB"/>
          </w:tcPr>
          <w:p w14:paraId="5DDB567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79" w:type="pct"/>
            <w:tcBorders>
              <w:top w:val="single" w:sz="8" w:space="0" w:color="AEAEAE"/>
              <w:left w:val="single" w:sz="8" w:space="0" w:color="E0E0E0"/>
              <w:bottom w:val="single" w:sz="8" w:space="0" w:color="152935"/>
              <w:right w:val="nil"/>
            </w:tcBorders>
            <w:shd w:val="clear" w:color="auto" w:fill="F9F9FB"/>
            <w:vAlign w:val="center"/>
          </w:tcPr>
          <w:p w14:paraId="42917B6F" w14:textId="77777777" w:rsidR="00370F73" w:rsidRPr="00370F73" w:rsidRDefault="00370F73" w:rsidP="00370F73">
            <w:pPr>
              <w:autoSpaceDE w:val="0"/>
              <w:autoSpaceDN w:val="0"/>
              <w:adjustRightInd w:val="0"/>
              <w:spacing w:line="240" w:lineRule="auto"/>
              <w:jc w:val="left"/>
              <w:rPr>
                <w:rFonts w:cs="Times New Roman"/>
                <w:szCs w:val="24"/>
              </w:rPr>
            </w:pPr>
          </w:p>
        </w:tc>
      </w:tr>
    </w:tbl>
    <w:p w14:paraId="14712E36" w14:textId="77777777" w:rsidR="00370F73" w:rsidRPr="00370F73" w:rsidRDefault="00370F73" w:rsidP="00370F73">
      <w:pPr>
        <w:autoSpaceDE w:val="0"/>
        <w:autoSpaceDN w:val="0"/>
        <w:adjustRightInd w:val="0"/>
        <w:spacing w:line="400" w:lineRule="atLeast"/>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1054"/>
        <w:gridCol w:w="1054"/>
        <w:gridCol w:w="1670"/>
        <w:gridCol w:w="1471"/>
        <w:gridCol w:w="1999"/>
        <w:gridCol w:w="2112"/>
      </w:tblGrid>
      <w:tr w:rsidR="00370F73" w:rsidRPr="00370F73" w14:paraId="76D538E7" w14:textId="77777777" w:rsidTr="00316911">
        <w:trPr>
          <w:cantSplit/>
        </w:trPr>
        <w:tc>
          <w:tcPr>
            <w:tcW w:w="5000" w:type="pct"/>
            <w:gridSpan w:val="6"/>
            <w:tcBorders>
              <w:top w:val="nil"/>
              <w:left w:val="nil"/>
              <w:bottom w:val="nil"/>
              <w:right w:val="nil"/>
            </w:tcBorders>
            <w:shd w:val="clear" w:color="auto" w:fill="FFFFFF"/>
            <w:vAlign w:val="center"/>
          </w:tcPr>
          <w:p w14:paraId="5506897C" w14:textId="2AF8DC56" w:rsidR="00370F73" w:rsidRPr="00370F73" w:rsidRDefault="00370F73" w:rsidP="00370F73">
            <w:pPr>
              <w:autoSpaceDE w:val="0"/>
              <w:autoSpaceDN w:val="0"/>
              <w:adjustRightInd w:val="0"/>
              <w:spacing w:line="320" w:lineRule="atLeast"/>
              <w:ind w:left="60" w:right="60"/>
              <w:jc w:val="center"/>
              <w:rPr>
                <w:rFonts w:ascii="Arial" w:hAnsi="Arial" w:cs="Arial"/>
                <w:color w:val="010205"/>
                <w:sz w:val="22"/>
              </w:rPr>
            </w:pPr>
            <w:r w:rsidRPr="00370F73">
              <w:rPr>
                <w:rFonts w:ascii="Arial" w:hAnsi="Arial" w:cs="Arial"/>
                <w:b/>
                <w:bCs/>
                <w:color w:val="010205"/>
                <w:sz w:val="22"/>
              </w:rPr>
              <w:t>EV</w:t>
            </w:r>
            <w:r w:rsidR="00316911">
              <w:rPr>
                <w:rFonts w:ascii="Arial" w:hAnsi="Arial" w:cs="Arial"/>
                <w:b/>
                <w:bCs/>
                <w:color w:val="010205"/>
                <w:sz w:val="22"/>
              </w:rPr>
              <w:t xml:space="preserve"> </w:t>
            </w:r>
            <w:r w:rsidRPr="00370F73">
              <w:rPr>
                <w:rFonts w:ascii="Arial" w:hAnsi="Arial" w:cs="Arial"/>
                <w:b/>
                <w:bCs/>
                <w:color w:val="010205"/>
                <w:sz w:val="22"/>
              </w:rPr>
              <w:t>Ownership</w:t>
            </w:r>
          </w:p>
        </w:tc>
      </w:tr>
      <w:tr w:rsidR="00370F73" w:rsidRPr="00370F73" w14:paraId="1A17FB56" w14:textId="77777777" w:rsidTr="00316911">
        <w:trPr>
          <w:cantSplit/>
        </w:trPr>
        <w:tc>
          <w:tcPr>
            <w:tcW w:w="1126" w:type="pct"/>
            <w:gridSpan w:val="2"/>
            <w:tcBorders>
              <w:top w:val="nil"/>
              <w:left w:val="nil"/>
              <w:bottom w:val="single" w:sz="8" w:space="0" w:color="152935"/>
              <w:right w:val="nil"/>
            </w:tcBorders>
            <w:shd w:val="clear" w:color="auto" w:fill="FFFFFF"/>
            <w:vAlign w:val="bottom"/>
          </w:tcPr>
          <w:p w14:paraId="6CF4F478" w14:textId="77777777" w:rsidR="00370F73" w:rsidRPr="00370F73" w:rsidRDefault="00370F73" w:rsidP="00370F73">
            <w:pPr>
              <w:autoSpaceDE w:val="0"/>
              <w:autoSpaceDN w:val="0"/>
              <w:adjustRightInd w:val="0"/>
              <w:spacing w:line="240" w:lineRule="auto"/>
              <w:jc w:val="left"/>
              <w:rPr>
                <w:rFonts w:cs="Times New Roman"/>
                <w:szCs w:val="24"/>
              </w:rPr>
            </w:pPr>
          </w:p>
        </w:tc>
        <w:tc>
          <w:tcPr>
            <w:tcW w:w="892" w:type="pct"/>
            <w:tcBorders>
              <w:top w:val="nil"/>
              <w:left w:val="nil"/>
              <w:bottom w:val="single" w:sz="8" w:space="0" w:color="152935"/>
              <w:right w:val="single" w:sz="8" w:space="0" w:color="E0E0E0"/>
            </w:tcBorders>
            <w:shd w:val="clear" w:color="auto" w:fill="FFFFFF"/>
            <w:vAlign w:val="bottom"/>
          </w:tcPr>
          <w:p w14:paraId="0C5397DB"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Frequency</w:t>
            </w:r>
          </w:p>
        </w:tc>
        <w:tc>
          <w:tcPr>
            <w:tcW w:w="786" w:type="pct"/>
            <w:tcBorders>
              <w:top w:val="nil"/>
              <w:left w:val="single" w:sz="8" w:space="0" w:color="E0E0E0"/>
              <w:bottom w:val="single" w:sz="8" w:space="0" w:color="152935"/>
              <w:right w:val="single" w:sz="8" w:space="0" w:color="E0E0E0"/>
            </w:tcBorders>
            <w:shd w:val="clear" w:color="auto" w:fill="FFFFFF"/>
            <w:vAlign w:val="bottom"/>
          </w:tcPr>
          <w:p w14:paraId="7DF57490"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Percent</w:t>
            </w:r>
          </w:p>
        </w:tc>
        <w:tc>
          <w:tcPr>
            <w:tcW w:w="1068" w:type="pct"/>
            <w:tcBorders>
              <w:top w:val="nil"/>
              <w:left w:val="single" w:sz="8" w:space="0" w:color="E0E0E0"/>
              <w:bottom w:val="single" w:sz="8" w:space="0" w:color="152935"/>
              <w:right w:val="single" w:sz="8" w:space="0" w:color="E0E0E0"/>
            </w:tcBorders>
            <w:shd w:val="clear" w:color="auto" w:fill="FFFFFF"/>
            <w:vAlign w:val="bottom"/>
          </w:tcPr>
          <w:p w14:paraId="4C85A781"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Valid Percent</w:t>
            </w:r>
          </w:p>
        </w:tc>
        <w:tc>
          <w:tcPr>
            <w:tcW w:w="1128" w:type="pct"/>
            <w:tcBorders>
              <w:top w:val="nil"/>
              <w:left w:val="single" w:sz="8" w:space="0" w:color="E0E0E0"/>
              <w:bottom w:val="single" w:sz="8" w:space="0" w:color="152935"/>
              <w:right w:val="nil"/>
            </w:tcBorders>
            <w:shd w:val="clear" w:color="auto" w:fill="FFFFFF"/>
            <w:vAlign w:val="bottom"/>
          </w:tcPr>
          <w:p w14:paraId="3E77EEFB"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Cumulative Percent</w:t>
            </w:r>
          </w:p>
        </w:tc>
      </w:tr>
      <w:tr w:rsidR="00370F73" w:rsidRPr="00370F73" w14:paraId="59BD7D36" w14:textId="77777777" w:rsidTr="00316911">
        <w:trPr>
          <w:cantSplit/>
        </w:trPr>
        <w:tc>
          <w:tcPr>
            <w:tcW w:w="563" w:type="pct"/>
            <w:vMerge w:val="restart"/>
            <w:tcBorders>
              <w:top w:val="single" w:sz="8" w:space="0" w:color="152935"/>
              <w:left w:val="nil"/>
              <w:bottom w:val="single" w:sz="8" w:space="0" w:color="152935"/>
              <w:right w:val="nil"/>
            </w:tcBorders>
            <w:shd w:val="clear" w:color="auto" w:fill="E0E0E0"/>
          </w:tcPr>
          <w:p w14:paraId="2511D827"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Valid</w:t>
            </w:r>
          </w:p>
        </w:tc>
        <w:tc>
          <w:tcPr>
            <w:tcW w:w="563" w:type="pct"/>
            <w:tcBorders>
              <w:top w:val="single" w:sz="8" w:space="0" w:color="152935"/>
              <w:left w:val="nil"/>
              <w:bottom w:val="single" w:sz="8" w:space="0" w:color="AEAEAE"/>
              <w:right w:val="nil"/>
            </w:tcBorders>
            <w:shd w:val="clear" w:color="auto" w:fill="E0E0E0"/>
          </w:tcPr>
          <w:p w14:paraId="389E15B4"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No</w:t>
            </w:r>
          </w:p>
        </w:tc>
        <w:tc>
          <w:tcPr>
            <w:tcW w:w="892" w:type="pct"/>
            <w:tcBorders>
              <w:top w:val="single" w:sz="8" w:space="0" w:color="152935"/>
              <w:left w:val="nil"/>
              <w:bottom w:val="single" w:sz="8" w:space="0" w:color="AEAEAE"/>
              <w:right w:val="single" w:sz="8" w:space="0" w:color="E0E0E0"/>
            </w:tcBorders>
            <w:shd w:val="clear" w:color="auto" w:fill="F9F9FB"/>
          </w:tcPr>
          <w:p w14:paraId="23B3637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84</w:t>
            </w:r>
          </w:p>
        </w:tc>
        <w:tc>
          <w:tcPr>
            <w:tcW w:w="786" w:type="pct"/>
            <w:tcBorders>
              <w:top w:val="single" w:sz="8" w:space="0" w:color="152935"/>
              <w:left w:val="single" w:sz="8" w:space="0" w:color="E0E0E0"/>
              <w:bottom w:val="single" w:sz="8" w:space="0" w:color="AEAEAE"/>
              <w:right w:val="single" w:sz="8" w:space="0" w:color="E0E0E0"/>
            </w:tcBorders>
            <w:shd w:val="clear" w:color="auto" w:fill="F9F9FB"/>
          </w:tcPr>
          <w:p w14:paraId="33FAEA1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84.0</w:t>
            </w:r>
          </w:p>
        </w:tc>
        <w:tc>
          <w:tcPr>
            <w:tcW w:w="1068" w:type="pct"/>
            <w:tcBorders>
              <w:top w:val="single" w:sz="8" w:space="0" w:color="152935"/>
              <w:left w:val="single" w:sz="8" w:space="0" w:color="E0E0E0"/>
              <w:bottom w:val="single" w:sz="8" w:space="0" w:color="AEAEAE"/>
              <w:right w:val="single" w:sz="8" w:space="0" w:color="E0E0E0"/>
            </w:tcBorders>
            <w:shd w:val="clear" w:color="auto" w:fill="F9F9FB"/>
          </w:tcPr>
          <w:p w14:paraId="3BF2B6B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84.0</w:t>
            </w:r>
          </w:p>
        </w:tc>
        <w:tc>
          <w:tcPr>
            <w:tcW w:w="1128" w:type="pct"/>
            <w:tcBorders>
              <w:top w:val="single" w:sz="8" w:space="0" w:color="152935"/>
              <w:left w:val="single" w:sz="8" w:space="0" w:color="E0E0E0"/>
              <w:bottom w:val="single" w:sz="8" w:space="0" w:color="AEAEAE"/>
              <w:right w:val="nil"/>
            </w:tcBorders>
            <w:shd w:val="clear" w:color="auto" w:fill="F9F9FB"/>
          </w:tcPr>
          <w:p w14:paraId="69576B55"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84.0</w:t>
            </w:r>
          </w:p>
        </w:tc>
      </w:tr>
      <w:tr w:rsidR="00370F73" w:rsidRPr="00370F73" w14:paraId="53EE29CF" w14:textId="77777777" w:rsidTr="00316911">
        <w:trPr>
          <w:cantSplit/>
        </w:trPr>
        <w:tc>
          <w:tcPr>
            <w:tcW w:w="563" w:type="pct"/>
            <w:vMerge/>
            <w:tcBorders>
              <w:top w:val="single" w:sz="8" w:space="0" w:color="152935"/>
              <w:left w:val="nil"/>
              <w:bottom w:val="single" w:sz="8" w:space="0" w:color="152935"/>
              <w:right w:val="nil"/>
            </w:tcBorders>
            <w:shd w:val="clear" w:color="auto" w:fill="E0E0E0"/>
          </w:tcPr>
          <w:p w14:paraId="55795895"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563" w:type="pct"/>
            <w:tcBorders>
              <w:top w:val="single" w:sz="8" w:space="0" w:color="AEAEAE"/>
              <w:left w:val="nil"/>
              <w:bottom w:val="single" w:sz="8" w:space="0" w:color="AEAEAE"/>
              <w:right w:val="nil"/>
            </w:tcBorders>
            <w:shd w:val="clear" w:color="auto" w:fill="E0E0E0"/>
          </w:tcPr>
          <w:p w14:paraId="2B482F69"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Yes</w:t>
            </w:r>
          </w:p>
        </w:tc>
        <w:tc>
          <w:tcPr>
            <w:tcW w:w="892" w:type="pct"/>
            <w:tcBorders>
              <w:top w:val="single" w:sz="8" w:space="0" w:color="AEAEAE"/>
              <w:left w:val="nil"/>
              <w:bottom w:val="single" w:sz="8" w:space="0" w:color="AEAEAE"/>
              <w:right w:val="single" w:sz="8" w:space="0" w:color="E0E0E0"/>
            </w:tcBorders>
            <w:shd w:val="clear" w:color="auto" w:fill="F9F9FB"/>
          </w:tcPr>
          <w:p w14:paraId="0B4F9C79"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16</w:t>
            </w:r>
          </w:p>
        </w:tc>
        <w:tc>
          <w:tcPr>
            <w:tcW w:w="786" w:type="pct"/>
            <w:tcBorders>
              <w:top w:val="single" w:sz="8" w:space="0" w:color="AEAEAE"/>
              <w:left w:val="single" w:sz="8" w:space="0" w:color="E0E0E0"/>
              <w:bottom w:val="single" w:sz="8" w:space="0" w:color="AEAEAE"/>
              <w:right w:val="single" w:sz="8" w:space="0" w:color="E0E0E0"/>
            </w:tcBorders>
            <w:shd w:val="clear" w:color="auto" w:fill="F9F9FB"/>
          </w:tcPr>
          <w:p w14:paraId="083292D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16.0</w:t>
            </w:r>
          </w:p>
        </w:tc>
        <w:tc>
          <w:tcPr>
            <w:tcW w:w="1068" w:type="pct"/>
            <w:tcBorders>
              <w:top w:val="single" w:sz="8" w:space="0" w:color="AEAEAE"/>
              <w:left w:val="single" w:sz="8" w:space="0" w:color="E0E0E0"/>
              <w:bottom w:val="single" w:sz="8" w:space="0" w:color="AEAEAE"/>
              <w:right w:val="single" w:sz="8" w:space="0" w:color="E0E0E0"/>
            </w:tcBorders>
            <w:shd w:val="clear" w:color="auto" w:fill="F9F9FB"/>
          </w:tcPr>
          <w:p w14:paraId="173732FF"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16.0</w:t>
            </w:r>
          </w:p>
        </w:tc>
        <w:tc>
          <w:tcPr>
            <w:tcW w:w="1128" w:type="pct"/>
            <w:tcBorders>
              <w:top w:val="single" w:sz="8" w:space="0" w:color="AEAEAE"/>
              <w:left w:val="single" w:sz="8" w:space="0" w:color="E0E0E0"/>
              <w:bottom w:val="single" w:sz="8" w:space="0" w:color="AEAEAE"/>
              <w:right w:val="nil"/>
            </w:tcBorders>
            <w:shd w:val="clear" w:color="auto" w:fill="F9F9FB"/>
          </w:tcPr>
          <w:p w14:paraId="3BAC16A9"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r>
      <w:tr w:rsidR="00370F73" w:rsidRPr="00370F73" w14:paraId="70E91686" w14:textId="77777777" w:rsidTr="00316911">
        <w:trPr>
          <w:cantSplit/>
        </w:trPr>
        <w:tc>
          <w:tcPr>
            <w:tcW w:w="563" w:type="pct"/>
            <w:vMerge/>
            <w:tcBorders>
              <w:top w:val="single" w:sz="8" w:space="0" w:color="152935"/>
              <w:left w:val="nil"/>
              <w:bottom w:val="single" w:sz="8" w:space="0" w:color="152935"/>
              <w:right w:val="nil"/>
            </w:tcBorders>
            <w:shd w:val="clear" w:color="auto" w:fill="E0E0E0"/>
          </w:tcPr>
          <w:p w14:paraId="72C6D0EC"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563" w:type="pct"/>
            <w:tcBorders>
              <w:top w:val="single" w:sz="8" w:space="0" w:color="AEAEAE"/>
              <w:left w:val="nil"/>
              <w:bottom w:val="single" w:sz="8" w:space="0" w:color="152935"/>
              <w:right w:val="nil"/>
            </w:tcBorders>
            <w:shd w:val="clear" w:color="auto" w:fill="E0E0E0"/>
          </w:tcPr>
          <w:p w14:paraId="5049EF0F"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Total</w:t>
            </w:r>
          </w:p>
        </w:tc>
        <w:tc>
          <w:tcPr>
            <w:tcW w:w="892" w:type="pct"/>
            <w:tcBorders>
              <w:top w:val="single" w:sz="8" w:space="0" w:color="AEAEAE"/>
              <w:left w:val="nil"/>
              <w:bottom w:val="single" w:sz="8" w:space="0" w:color="152935"/>
              <w:right w:val="single" w:sz="8" w:space="0" w:color="E0E0E0"/>
            </w:tcBorders>
            <w:shd w:val="clear" w:color="auto" w:fill="F9F9FB"/>
          </w:tcPr>
          <w:p w14:paraId="3F65001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786" w:type="pct"/>
            <w:tcBorders>
              <w:top w:val="single" w:sz="8" w:space="0" w:color="AEAEAE"/>
              <w:left w:val="single" w:sz="8" w:space="0" w:color="E0E0E0"/>
              <w:bottom w:val="single" w:sz="8" w:space="0" w:color="152935"/>
              <w:right w:val="single" w:sz="8" w:space="0" w:color="E0E0E0"/>
            </w:tcBorders>
            <w:shd w:val="clear" w:color="auto" w:fill="F9F9FB"/>
          </w:tcPr>
          <w:p w14:paraId="20C0826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68" w:type="pct"/>
            <w:tcBorders>
              <w:top w:val="single" w:sz="8" w:space="0" w:color="AEAEAE"/>
              <w:left w:val="single" w:sz="8" w:space="0" w:color="E0E0E0"/>
              <w:bottom w:val="single" w:sz="8" w:space="0" w:color="152935"/>
              <w:right w:val="single" w:sz="8" w:space="0" w:color="E0E0E0"/>
            </w:tcBorders>
            <w:shd w:val="clear" w:color="auto" w:fill="F9F9FB"/>
          </w:tcPr>
          <w:p w14:paraId="1457E81D"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128" w:type="pct"/>
            <w:tcBorders>
              <w:top w:val="single" w:sz="8" w:space="0" w:color="AEAEAE"/>
              <w:left w:val="single" w:sz="8" w:space="0" w:color="E0E0E0"/>
              <w:bottom w:val="single" w:sz="8" w:space="0" w:color="152935"/>
              <w:right w:val="nil"/>
            </w:tcBorders>
            <w:shd w:val="clear" w:color="auto" w:fill="F9F9FB"/>
            <w:vAlign w:val="center"/>
          </w:tcPr>
          <w:p w14:paraId="0B705E94" w14:textId="77777777" w:rsidR="00370F73" w:rsidRPr="00370F73" w:rsidRDefault="00370F73" w:rsidP="00370F73">
            <w:pPr>
              <w:autoSpaceDE w:val="0"/>
              <w:autoSpaceDN w:val="0"/>
              <w:adjustRightInd w:val="0"/>
              <w:spacing w:line="240" w:lineRule="auto"/>
              <w:jc w:val="left"/>
              <w:rPr>
                <w:rFonts w:cs="Times New Roman"/>
                <w:szCs w:val="24"/>
              </w:rPr>
            </w:pPr>
          </w:p>
        </w:tc>
      </w:tr>
    </w:tbl>
    <w:p w14:paraId="04826467" w14:textId="77777777" w:rsidR="00370F73" w:rsidRPr="00370F73" w:rsidRDefault="00370F73" w:rsidP="00370F73">
      <w:pPr>
        <w:autoSpaceDE w:val="0"/>
        <w:autoSpaceDN w:val="0"/>
        <w:adjustRightInd w:val="0"/>
        <w:spacing w:line="400" w:lineRule="atLeast"/>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1005"/>
        <w:gridCol w:w="1411"/>
        <w:gridCol w:w="1599"/>
        <w:gridCol w:w="1410"/>
        <w:gridCol w:w="1913"/>
        <w:gridCol w:w="2022"/>
      </w:tblGrid>
      <w:tr w:rsidR="00370F73" w:rsidRPr="00370F73" w14:paraId="0BF59D60" w14:textId="77777777" w:rsidTr="00316911">
        <w:trPr>
          <w:cantSplit/>
        </w:trPr>
        <w:tc>
          <w:tcPr>
            <w:tcW w:w="5000" w:type="pct"/>
            <w:gridSpan w:val="6"/>
            <w:tcBorders>
              <w:top w:val="nil"/>
              <w:left w:val="nil"/>
              <w:bottom w:val="nil"/>
              <w:right w:val="nil"/>
            </w:tcBorders>
            <w:shd w:val="clear" w:color="auto" w:fill="FFFFFF"/>
            <w:vAlign w:val="center"/>
          </w:tcPr>
          <w:p w14:paraId="195278EB" w14:textId="77C9F38B" w:rsidR="00370F73" w:rsidRPr="00370F73" w:rsidRDefault="00370F73" w:rsidP="00370F73">
            <w:pPr>
              <w:autoSpaceDE w:val="0"/>
              <w:autoSpaceDN w:val="0"/>
              <w:adjustRightInd w:val="0"/>
              <w:spacing w:line="320" w:lineRule="atLeast"/>
              <w:ind w:left="60" w:right="60"/>
              <w:jc w:val="center"/>
              <w:rPr>
                <w:rFonts w:ascii="Arial" w:hAnsi="Arial" w:cs="Arial"/>
                <w:color w:val="010205"/>
                <w:sz w:val="22"/>
              </w:rPr>
            </w:pPr>
            <w:r w:rsidRPr="00370F73">
              <w:rPr>
                <w:rFonts w:ascii="Arial" w:hAnsi="Arial" w:cs="Arial"/>
                <w:b/>
                <w:bCs/>
                <w:color w:val="010205"/>
                <w:sz w:val="22"/>
              </w:rPr>
              <w:t>Intention</w:t>
            </w:r>
            <w:r w:rsidR="00316911">
              <w:rPr>
                <w:rFonts w:ascii="Arial" w:hAnsi="Arial" w:cs="Arial"/>
                <w:b/>
                <w:bCs/>
                <w:color w:val="010205"/>
                <w:sz w:val="22"/>
              </w:rPr>
              <w:t xml:space="preserve"> </w:t>
            </w:r>
            <w:r w:rsidRPr="00370F73">
              <w:rPr>
                <w:rFonts w:ascii="Arial" w:hAnsi="Arial" w:cs="Arial"/>
                <w:b/>
                <w:bCs/>
                <w:color w:val="010205"/>
                <w:sz w:val="22"/>
              </w:rPr>
              <w:t>to</w:t>
            </w:r>
            <w:r w:rsidR="00316911">
              <w:rPr>
                <w:rFonts w:ascii="Arial" w:hAnsi="Arial" w:cs="Arial"/>
                <w:b/>
                <w:bCs/>
                <w:color w:val="010205"/>
                <w:sz w:val="22"/>
              </w:rPr>
              <w:t xml:space="preserve"> </w:t>
            </w:r>
            <w:r w:rsidRPr="00370F73">
              <w:rPr>
                <w:rFonts w:ascii="Arial" w:hAnsi="Arial" w:cs="Arial"/>
                <w:b/>
                <w:bCs/>
                <w:color w:val="010205"/>
                <w:sz w:val="22"/>
              </w:rPr>
              <w:t>Adopt</w:t>
            </w:r>
            <w:r w:rsidR="00316911">
              <w:rPr>
                <w:rFonts w:ascii="Arial" w:hAnsi="Arial" w:cs="Arial"/>
                <w:b/>
                <w:bCs/>
                <w:color w:val="010205"/>
                <w:sz w:val="22"/>
              </w:rPr>
              <w:t xml:space="preserve"> </w:t>
            </w:r>
            <w:r w:rsidRPr="00370F73">
              <w:rPr>
                <w:rFonts w:ascii="Arial" w:hAnsi="Arial" w:cs="Arial"/>
                <w:b/>
                <w:bCs/>
                <w:color w:val="010205"/>
                <w:sz w:val="22"/>
              </w:rPr>
              <w:t>EV</w:t>
            </w:r>
          </w:p>
        </w:tc>
      </w:tr>
      <w:tr w:rsidR="00370F73" w:rsidRPr="00370F73" w14:paraId="6A8EB60F" w14:textId="77777777" w:rsidTr="00316911">
        <w:trPr>
          <w:cantSplit/>
        </w:trPr>
        <w:tc>
          <w:tcPr>
            <w:tcW w:w="1291" w:type="pct"/>
            <w:gridSpan w:val="2"/>
            <w:tcBorders>
              <w:top w:val="nil"/>
              <w:left w:val="nil"/>
              <w:bottom w:val="single" w:sz="8" w:space="0" w:color="152935"/>
              <w:right w:val="nil"/>
            </w:tcBorders>
            <w:shd w:val="clear" w:color="auto" w:fill="FFFFFF"/>
            <w:vAlign w:val="bottom"/>
          </w:tcPr>
          <w:p w14:paraId="68A322B8" w14:textId="77777777" w:rsidR="00370F73" w:rsidRPr="00370F73" w:rsidRDefault="00370F73" w:rsidP="00370F73">
            <w:pPr>
              <w:autoSpaceDE w:val="0"/>
              <w:autoSpaceDN w:val="0"/>
              <w:adjustRightInd w:val="0"/>
              <w:spacing w:line="240" w:lineRule="auto"/>
              <w:jc w:val="left"/>
              <w:rPr>
                <w:rFonts w:cs="Times New Roman"/>
                <w:szCs w:val="24"/>
              </w:rPr>
            </w:pPr>
          </w:p>
        </w:tc>
        <w:tc>
          <w:tcPr>
            <w:tcW w:w="854" w:type="pct"/>
            <w:tcBorders>
              <w:top w:val="nil"/>
              <w:left w:val="nil"/>
              <w:bottom w:val="single" w:sz="8" w:space="0" w:color="152935"/>
              <w:right w:val="single" w:sz="8" w:space="0" w:color="E0E0E0"/>
            </w:tcBorders>
            <w:shd w:val="clear" w:color="auto" w:fill="FFFFFF"/>
            <w:vAlign w:val="bottom"/>
          </w:tcPr>
          <w:p w14:paraId="5577EB8C"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Frequency</w:t>
            </w:r>
          </w:p>
        </w:tc>
        <w:tc>
          <w:tcPr>
            <w:tcW w:w="753" w:type="pct"/>
            <w:tcBorders>
              <w:top w:val="nil"/>
              <w:left w:val="single" w:sz="8" w:space="0" w:color="E0E0E0"/>
              <w:bottom w:val="single" w:sz="8" w:space="0" w:color="152935"/>
              <w:right w:val="single" w:sz="8" w:space="0" w:color="E0E0E0"/>
            </w:tcBorders>
            <w:shd w:val="clear" w:color="auto" w:fill="FFFFFF"/>
            <w:vAlign w:val="bottom"/>
          </w:tcPr>
          <w:p w14:paraId="7494399D"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Percent</w:t>
            </w:r>
          </w:p>
        </w:tc>
        <w:tc>
          <w:tcPr>
            <w:tcW w:w="1022" w:type="pct"/>
            <w:tcBorders>
              <w:top w:val="nil"/>
              <w:left w:val="single" w:sz="8" w:space="0" w:color="E0E0E0"/>
              <w:bottom w:val="single" w:sz="8" w:space="0" w:color="152935"/>
              <w:right w:val="single" w:sz="8" w:space="0" w:color="E0E0E0"/>
            </w:tcBorders>
            <w:shd w:val="clear" w:color="auto" w:fill="FFFFFF"/>
            <w:vAlign w:val="bottom"/>
          </w:tcPr>
          <w:p w14:paraId="7573417B"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Valid Percent</w:t>
            </w:r>
          </w:p>
        </w:tc>
        <w:tc>
          <w:tcPr>
            <w:tcW w:w="1080" w:type="pct"/>
            <w:tcBorders>
              <w:top w:val="nil"/>
              <w:left w:val="single" w:sz="8" w:space="0" w:color="E0E0E0"/>
              <w:bottom w:val="single" w:sz="8" w:space="0" w:color="152935"/>
              <w:right w:val="nil"/>
            </w:tcBorders>
            <w:shd w:val="clear" w:color="auto" w:fill="FFFFFF"/>
            <w:vAlign w:val="bottom"/>
          </w:tcPr>
          <w:p w14:paraId="61A3F8DA" w14:textId="77777777" w:rsidR="00370F73" w:rsidRPr="00370F73" w:rsidRDefault="00370F73" w:rsidP="00370F73">
            <w:pPr>
              <w:autoSpaceDE w:val="0"/>
              <w:autoSpaceDN w:val="0"/>
              <w:adjustRightInd w:val="0"/>
              <w:spacing w:line="320" w:lineRule="atLeast"/>
              <w:ind w:left="60" w:right="60"/>
              <w:jc w:val="center"/>
              <w:rPr>
                <w:rFonts w:ascii="Arial" w:hAnsi="Arial" w:cs="Arial"/>
                <w:color w:val="264A60"/>
                <w:sz w:val="18"/>
                <w:szCs w:val="18"/>
              </w:rPr>
            </w:pPr>
            <w:r w:rsidRPr="00370F73">
              <w:rPr>
                <w:rFonts w:ascii="Arial" w:hAnsi="Arial" w:cs="Arial"/>
                <w:color w:val="264A60"/>
                <w:sz w:val="18"/>
                <w:szCs w:val="18"/>
              </w:rPr>
              <w:t>Cumulative Percent</w:t>
            </w:r>
          </w:p>
        </w:tc>
      </w:tr>
      <w:tr w:rsidR="00370F73" w:rsidRPr="00370F73" w14:paraId="397CB4D6" w14:textId="77777777" w:rsidTr="00316911">
        <w:trPr>
          <w:cantSplit/>
        </w:trPr>
        <w:tc>
          <w:tcPr>
            <w:tcW w:w="537" w:type="pct"/>
            <w:vMerge w:val="restart"/>
            <w:tcBorders>
              <w:top w:val="single" w:sz="8" w:space="0" w:color="152935"/>
              <w:left w:val="nil"/>
              <w:bottom w:val="single" w:sz="8" w:space="0" w:color="152935"/>
              <w:right w:val="nil"/>
            </w:tcBorders>
            <w:shd w:val="clear" w:color="auto" w:fill="E0E0E0"/>
          </w:tcPr>
          <w:p w14:paraId="7FEB48BE"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Valid</w:t>
            </w:r>
          </w:p>
        </w:tc>
        <w:tc>
          <w:tcPr>
            <w:tcW w:w="754" w:type="pct"/>
            <w:tcBorders>
              <w:top w:val="single" w:sz="8" w:space="0" w:color="152935"/>
              <w:left w:val="nil"/>
              <w:bottom w:val="single" w:sz="8" w:space="0" w:color="AEAEAE"/>
              <w:right w:val="nil"/>
            </w:tcBorders>
            <w:shd w:val="clear" w:color="auto" w:fill="E0E0E0"/>
          </w:tcPr>
          <w:p w14:paraId="0052A56D"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No</w:t>
            </w:r>
          </w:p>
        </w:tc>
        <w:tc>
          <w:tcPr>
            <w:tcW w:w="854" w:type="pct"/>
            <w:tcBorders>
              <w:top w:val="single" w:sz="8" w:space="0" w:color="152935"/>
              <w:left w:val="nil"/>
              <w:bottom w:val="single" w:sz="8" w:space="0" w:color="AEAEAE"/>
              <w:right w:val="single" w:sz="8" w:space="0" w:color="E0E0E0"/>
            </w:tcBorders>
            <w:shd w:val="clear" w:color="auto" w:fill="F9F9FB"/>
          </w:tcPr>
          <w:p w14:paraId="7DA0F892"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13</w:t>
            </w:r>
          </w:p>
        </w:tc>
        <w:tc>
          <w:tcPr>
            <w:tcW w:w="753" w:type="pct"/>
            <w:tcBorders>
              <w:top w:val="single" w:sz="8" w:space="0" w:color="152935"/>
              <w:left w:val="single" w:sz="8" w:space="0" w:color="E0E0E0"/>
              <w:bottom w:val="single" w:sz="8" w:space="0" w:color="AEAEAE"/>
              <w:right w:val="single" w:sz="8" w:space="0" w:color="E0E0E0"/>
            </w:tcBorders>
            <w:shd w:val="clear" w:color="auto" w:fill="F9F9FB"/>
          </w:tcPr>
          <w:p w14:paraId="236CFF2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13.0</w:t>
            </w:r>
          </w:p>
        </w:tc>
        <w:tc>
          <w:tcPr>
            <w:tcW w:w="1022" w:type="pct"/>
            <w:tcBorders>
              <w:top w:val="single" w:sz="8" w:space="0" w:color="152935"/>
              <w:left w:val="single" w:sz="8" w:space="0" w:color="E0E0E0"/>
              <w:bottom w:val="single" w:sz="8" w:space="0" w:color="AEAEAE"/>
              <w:right w:val="single" w:sz="8" w:space="0" w:color="E0E0E0"/>
            </w:tcBorders>
            <w:shd w:val="clear" w:color="auto" w:fill="F9F9FB"/>
          </w:tcPr>
          <w:p w14:paraId="2785B55E"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13.0</w:t>
            </w:r>
          </w:p>
        </w:tc>
        <w:tc>
          <w:tcPr>
            <w:tcW w:w="1080" w:type="pct"/>
            <w:tcBorders>
              <w:top w:val="single" w:sz="8" w:space="0" w:color="152935"/>
              <w:left w:val="single" w:sz="8" w:space="0" w:color="E0E0E0"/>
              <w:bottom w:val="single" w:sz="8" w:space="0" w:color="AEAEAE"/>
              <w:right w:val="nil"/>
            </w:tcBorders>
            <w:shd w:val="clear" w:color="auto" w:fill="F9F9FB"/>
          </w:tcPr>
          <w:p w14:paraId="4F8B9916"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13.0</w:t>
            </w:r>
          </w:p>
        </w:tc>
      </w:tr>
      <w:tr w:rsidR="00370F73" w:rsidRPr="00370F73" w14:paraId="1AA958F7" w14:textId="77777777" w:rsidTr="00316911">
        <w:trPr>
          <w:cantSplit/>
        </w:trPr>
        <w:tc>
          <w:tcPr>
            <w:tcW w:w="537" w:type="pct"/>
            <w:vMerge/>
            <w:tcBorders>
              <w:top w:val="single" w:sz="8" w:space="0" w:color="152935"/>
              <w:left w:val="nil"/>
              <w:bottom w:val="single" w:sz="8" w:space="0" w:color="152935"/>
              <w:right w:val="nil"/>
            </w:tcBorders>
            <w:shd w:val="clear" w:color="auto" w:fill="E0E0E0"/>
          </w:tcPr>
          <w:p w14:paraId="00325967"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754" w:type="pct"/>
            <w:tcBorders>
              <w:top w:val="single" w:sz="8" w:space="0" w:color="AEAEAE"/>
              <w:left w:val="nil"/>
              <w:bottom w:val="single" w:sz="8" w:space="0" w:color="AEAEAE"/>
              <w:right w:val="nil"/>
            </w:tcBorders>
            <w:shd w:val="clear" w:color="auto" w:fill="E0E0E0"/>
          </w:tcPr>
          <w:p w14:paraId="269C67DC"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Not Sure</w:t>
            </w:r>
          </w:p>
        </w:tc>
        <w:tc>
          <w:tcPr>
            <w:tcW w:w="854" w:type="pct"/>
            <w:tcBorders>
              <w:top w:val="single" w:sz="8" w:space="0" w:color="AEAEAE"/>
              <w:left w:val="nil"/>
              <w:bottom w:val="single" w:sz="8" w:space="0" w:color="AEAEAE"/>
              <w:right w:val="single" w:sz="8" w:space="0" w:color="E0E0E0"/>
            </w:tcBorders>
            <w:shd w:val="clear" w:color="auto" w:fill="F9F9FB"/>
          </w:tcPr>
          <w:p w14:paraId="5949398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23</w:t>
            </w:r>
          </w:p>
        </w:tc>
        <w:tc>
          <w:tcPr>
            <w:tcW w:w="753" w:type="pct"/>
            <w:tcBorders>
              <w:top w:val="single" w:sz="8" w:space="0" w:color="AEAEAE"/>
              <w:left w:val="single" w:sz="8" w:space="0" w:color="E0E0E0"/>
              <w:bottom w:val="single" w:sz="8" w:space="0" w:color="AEAEAE"/>
              <w:right w:val="single" w:sz="8" w:space="0" w:color="E0E0E0"/>
            </w:tcBorders>
            <w:shd w:val="clear" w:color="auto" w:fill="F9F9FB"/>
          </w:tcPr>
          <w:p w14:paraId="69314A75"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23.0</w:t>
            </w:r>
          </w:p>
        </w:tc>
        <w:tc>
          <w:tcPr>
            <w:tcW w:w="1022" w:type="pct"/>
            <w:tcBorders>
              <w:top w:val="single" w:sz="8" w:space="0" w:color="AEAEAE"/>
              <w:left w:val="single" w:sz="8" w:space="0" w:color="E0E0E0"/>
              <w:bottom w:val="single" w:sz="8" w:space="0" w:color="AEAEAE"/>
              <w:right w:val="single" w:sz="8" w:space="0" w:color="E0E0E0"/>
            </w:tcBorders>
            <w:shd w:val="clear" w:color="auto" w:fill="F9F9FB"/>
          </w:tcPr>
          <w:p w14:paraId="230256DA"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23.0</w:t>
            </w:r>
          </w:p>
        </w:tc>
        <w:tc>
          <w:tcPr>
            <w:tcW w:w="1080" w:type="pct"/>
            <w:tcBorders>
              <w:top w:val="single" w:sz="8" w:space="0" w:color="AEAEAE"/>
              <w:left w:val="single" w:sz="8" w:space="0" w:color="E0E0E0"/>
              <w:bottom w:val="single" w:sz="8" w:space="0" w:color="AEAEAE"/>
              <w:right w:val="nil"/>
            </w:tcBorders>
            <w:shd w:val="clear" w:color="auto" w:fill="F9F9FB"/>
          </w:tcPr>
          <w:p w14:paraId="2BCAB5B3"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36.0</w:t>
            </w:r>
          </w:p>
        </w:tc>
      </w:tr>
      <w:tr w:rsidR="00370F73" w:rsidRPr="00370F73" w14:paraId="12363C17" w14:textId="77777777" w:rsidTr="00316911">
        <w:trPr>
          <w:cantSplit/>
        </w:trPr>
        <w:tc>
          <w:tcPr>
            <w:tcW w:w="537" w:type="pct"/>
            <w:vMerge/>
            <w:tcBorders>
              <w:top w:val="single" w:sz="8" w:space="0" w:color="152935"/>
              <w:left w:val="nil"/>
              <w:bottom w:val="single" w:sz="8" w:space="0" w:color="152935"/>
              <w:right w:val="nil"/>
            </w:tcBorders>
            <w:shd w:val="clear" w:color="auto" w:fill="E0E0E0"/>
          </w:tcPr>
          <w:p w14:paraId="6DC6B366"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754" w:type="pct"/>
            <w:tcBorders>
              <w:top w:val="single" w:sz="8" w:space="0" w:color="AEAEAE"/>
              <w:left w:val="nil"/>
              <w:bottom w:val="single" w:sz="8" w:space="0" w:color="AEAEAE"/>
              <w:right w:val="nil"/>
            </w:tcBorders>
            <w:shd w:val="clear" w:color="auto" w:fill="E0E0E0"/>
          </w:tcPr>
          <w:p w14:paraId="7ADD4EAE"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Yes</w:t>
            </w:r>
          </w:p>
        </w:tc>
        <w:tc>
          <w:tcPr>
            <w:tcW w:w="854" w:type="pct"/>
            <w:tcBorders>
              <w:top w:val="single" w:sz="8" w:space="0" w:color="AEAEAE"/>
              <w:left w:val="nil"/>
              <w:bottom w:val="single" w:sz="8" w:space="0" w:color="AEAEAE"/>
              <w:right w:val="single" w:sz="8" w:space="0" w:color="E0E0E0"/>
            </w:tcBorders>
            <w:shd w:val="clear" w:color="auto" w:fill="F9F9FB"/>
          </w:tcPr>
          <w:p w14:paraId="17206884"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64</w:t>
            </w:r>
          </w:p>
        </w:tc>
        <w:tc>
          <w:tcPr>
            <w:tcW w:w="753" w:type="pct"/>
            <w:tcBorders>
              <w:top w:val="single" w:sz="8" w:space="0" w:color="AEAEAE"/>
              <w:left w:val="single" w:sz="8" w:space="0" w:color="E0E0E0"/>
              <w:bottom w:val="single" w:sz="8" w:space="0" w:color="AEAEAE"/>
              <w:right w:val="single" w:sz="8" w:space="0" w:color="E0E0E0"/>
            </w:tcBorders>
            <w:shd w:val="clear" w:color="auto" w:fill="F9F9FB"/>
          </w:tcPr>
          <w:p w14:paraId="51565ACE"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64.0</w:t>
            </w:r>
          </w:p>
        </w:tc>
        <w:tc>
          <w:tcPr>
            <w:tcW w:w="1022" w:type="pct"/>
            <w:tcBorders>
              <w:top w:val="single" w:sz="8" w:space="0" w:color="AEAEAE"/>
              <w:left w:val="single" w:sz="8" w:space="0" w:color="E0E0E0"/>
              <w:bottom w:val="single" w:sz="8" w:space="0" w:color="AEAEAE"/>
              <w:right w:val="single" w:sz="8" w:space="0" w:color="E0E0E0"/>
            </w:tcBorders>
            <w:shd w:val="clear" w:color="auto" w:fill="F9F9FB"/>
          </w:tcPr>
          <w:p w14:paraId="78E67C48"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64.0</w:t>
            </w:r>
          </w:p>
        </w:tc>
        <w:tc>
          <w:tcPr>
            <w:tcW w:w="1080" w:type="pct"/>
            <w:tcBorders>
              <w:top w:val="single" w:sz="8" w:space="0" w:color="AEAEAE"/>
              <w:left w:val="single" w:sz="8" w:space="0" w:color="E0E0E0"/>
              <w:bottom w:val="single" w:sz="8" w:space="0" w:color="AEAEAE"/>
              <w:right w:val="nil"/>
            </w:tcBorders>
            <w:shd w:val="clear" w:color="auto" w:fill="F9F9FB"/>
          </w:tcPr>
          <w:p w14:paraId="3D3AC22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r>
      <w:tr w:rsidR="00370F73" w:rsidRPr="00370F73" w14:paraId="5E98E3F0" w14:textId="77777777" w:rsidTr="00316911">
        <w:trPr>
          <w:cantSplit/>
        </w:trPr>
        <w:tc>
          <w:tcPr>
            <w:tcW w:w="537" w:type="pct"/>
            <w:vMerge/>
            <w:tcBorders>
              <w:top w:val="single" w:sz="8" w:space="0" w:color="152935"/>
              <w:left w:val="nil"/>
              <w:bottom w:val="single" w:sz="8" w:space="0" w:color="152935"/>
              <w:right w:val="nil"/>
            </w:tcBorders>
            <w:shd w:val="clear" w:color="auto" w:fill="E0E0E0"/>
          </w:tcPr>
          <w:p w14:paraId="45ABF880" w14:textId="77777777" w:rsidR="00370F73" w:rsidRPr="00370F73" w:rsidRDefault="00370F73" w:rsidP="00370F73">
            <w:pPr>
              <w:autoSpaceDE w:val="0"/>
              <w:autoSpaceDN w:val="0"/>
              <w:adjustRightInd w:val="0"/>
              <w:spacing w:line="240" w:lineRule="auto"/>
              <w:jc w:val="left"/>
              <w:rPr>
                <w:rFonts w:ascii="Arial" w:hAnsi="Arial" w:cs="Arial"/>
                <w:color w:val="010205"/>
                <w:sz w:val="18"/>
                <w:szCs w:val="18"/>
              </w:rPr>
            </w:pPr>
          </w:p>
        </w:tc>
        <w:tc>
          <w:tcPr>
            <w:tcW w:w="754" w:type="pct"/>
            <w:tcBorders>
              <w:top w:val="single" w:sz="8" w:space="0" w:color="AEAEAE"/>
              <w:left w:val="nil"/>
              <w:bottom w:val="single" w:sz="8" w:space="0" w:color="152935"/>
              <w:right w:val="nil"/>
            </w:tcBorders>
            <w:shd w:val="clear" w:color="auto" w:fill="E0E0E0"/>
          </w:tcPr>
          <w:p w14:paraId="71691E8A" w14:textId="77777777" w:rsidR="00370F73" w:rsidRPr="00370F73" w:rsidRDefault="00370F73" w:rsidP="00370F73">
            <w:pPr>
              <w:autoSpaceDE w:val="0"/>
              <w:autoSpaceDN w:val="0"/>
              <w:adjustRightInd w:val="0"/>
              <w:spacing w:line="320" w:lineRule="atLeast"/>
              <w:ind w:left="60" w:right="60"/>
              <w:jc w:val="left"/>
              <w:rPr>
                <w:rFonts w:ascii="Arial" w:hAnsi="Arial" w:cs="Arial"/>
                <w:color w:val="264A60"/>
                <w:sz w:val="18"/>
                <w:szCs w:val="18"/>
              </w:rPr>
            </w:pPr>
            <w:r w:rsidRPr="00370F73">
              <w:rPr>
                <w:rFonts w:ascii="Arial" w:hAnsi="Arial" w:cs="Arial"/>
                <w:color w:val="264A60"/>
                <w:sz w:val="18"/>
                <w:szCs w:val="18"/>
              </w:rPr>
              <w:t>Total</w:t>
            </w:r>
          </w:p>
        </w:tc>
        <w:tc>
          <w:tcPr>
            <w:tcW w:w="854" w:type="pct"/>
            <w:tcBorders>
              <w:top w:val="single" w:sz="8" w:space="0" w:color="AEAEAE"/>
              <w:left w:val="nil"/>
              <w:bottom w:val="single" w:sz="8" w:space="0" w:color="152935"/>
              <w:right w:val="single" w:sz="8" w:space="0" w:color="E0E0E0"/>
            </w:tcBorders>
            <w:shd w:val="clear" w:color="auto" w:fill="F9F9FB"/>
          </w:tcPr>
          <w:p w14:paraId="68C57E61"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w:t>
            </w:r>
          </w:p>
        </w:tc>
        <w:tc>
          <w:tcPr>
            <w:tcW w:w="753" w:type="pct"/>
            <w:tcBorders>
              <w:top w:val="single" w:sz="8" w:space="0" w:color="AEAEAE"/>
              <w:left w:val="single" w:sz="8" w:space="0" w:color="E0E0E0"/>
              <w:bottom w:val="single" w:sz="8" w:space="0" w:color="152935"/>
              <w:right w:val="single" w:sz="8" w:space="0" w:color="E0E0E0"/>
            </w:tcBorders>
            <w:shd w:val="clear" w:color="auto" w:fill="F9F9FB"/>
          </w:tcPr>
          <w:p w14:paraId="7B8E3EF4"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22" w:type="pct"/>
            <w:tcBorders>
              <w:top w:val="single" w:sz="8" w:space="0" w:color="AEAEAE"/>
              <w:left w:val="single" w:sz="8" w:space="0" w:color="E0E0E0"/>
              <w:bottom w:val="single" w:sz="8" w:space="0" w:color="152935"/>
              <w:right w:val="single" w:sz="8" w:space="0" w:color="E0E0E0"/>
            </w:tcBorders>
            <w:shd w:val="clear" w:color="auto" w:fill="F9F9FB"/>
          </w:tcPr>
          <w:p w14:paraId="1B12102D" w14:textId="77777777" w:rsidR="00370F73" w:rsidRPr="00370F73" w:rsidRDefault="00370F73" w:rsidP="00370F73">
            <w:pPr>
              <w:autoSpaceDE w:val="0"/>
              <w:autoSpaceDN w:val="0"/>
              <w:adjustRightInd w:val="0"/>
              <w:spacing w:line="320" w:lineRule="atLeast"/>
              <w:ind w:left="60" w:right="60"/>
              <w:jc w:val="right"/>
              <w:rPr>
                <w:rFonts w:ascii="Arial" w:hAnsi="Arial" w:cs="Arial"/>
                <w:color w:val="010205"/>
                <w:sz w:val="18"/>
                <w:szCs w:val="18"/>
              </w:rPr>
            </w:pPr>
            <w:r w:rsidRPr="00370F73">
              <w:rPr>
                <w:rFonts w:ascii="Arial" w:hAnsi="Arial" w:cs="Arial"/>
                <w:color w:val="010205"/>
                <w:sz w:val="18"/>
                <w:szCs w:val="18"/>
              </w:rPr>
              <w:t>100.0</w:t>
            </w:r>
          </w:p>
        </w:tc>
        <w:tc>
          <w:tcPr>
            <w:tcW w:w="1080" w:type="pct"/>
            <w:tcBorders>
              <w:top w:val="single" w:sz="8" w:space="0" w:color="AEAEAE"/>
              <w:left w:val="single" w:sz="8" w:space="0" w:color="E0E0E0"/>
              <w:bottom w:val="single" w:sz="8" w:space="0" w:color="152935"/>
              <w:right w:val="nil"/>
            </w:tcBorders>
            <w:shd w:val="clear" w:color="auto" w:fill="F9F9FB"/>
            <w:vAlign w:val="center"/>
          </w:tcPr>
          <w:p w14:paraId="1F0359CE" w14:textId="77777777" w:rsidR="00370F73" w:rsidRPr="00370F73" w:rsidRDefault="00370F73" w:rsidP="00370F73">
            <w:pPr>
              <w:autoSpaceDE w:val="0"/>
              <w:autoSpaceDN w:val="0"/>
              <w:adjustRightInd w:val="0"/>
              <w:spacing w:line="240" w:lineRule="auto"/>
              <w:jc w:val="left"/>
              <w:rPr>
                <w:rFonts w:cs="Times New Roman"/>
                <w:szCs w:val="24"/>
              </w:rPr>
            </w:pPr>
          </w:p>
        </w:tc>
      </w:tr>
    </w:tbl>
    <w:p w14:paraId="2A6D5F8E" w14:textId="77777777" w:rsidR="00370F73" w:rsidRPr="00370F73" w:rsidRDefault="00370F73" w:rsidP="00370F73">
      <w:pPr>
        <w:autoSpaceDE w:val="0"/>
        <w:autoSpaceDN w:val="0"/>
        <w:adjustRightInd w:val="0"/>
        <w:spacing w:line="400" w:lineRule="atLeast"/>
        <w:jc w:val="left"/>
        <w:rPr>
          <w:rFonts w:cs="Times New Roman"/>
          <w:szCs w:val="24"/>
        </w:rPr>
      </w:pPr>
    </w:p>
    <w:p w14:paraId="1284F1E9" w14:textId="3922EAF8" w:rsidR="00370F73" w:rsidRDefault="002F6EA1" w:rsidP="00370F73">
      <w:pPr>
        <w:rPr>
          <w:b/>
          <w:bCs/>
        </w:rPr>
      </w:pPr>
      <w:r w:rsidRPr="002F6EA1">
        <w:t>The demographic profile shows that most of the respondents are between 25-34 (72</w:t>
      </w:r>
      <w:r>
        <w:t>%</w:t>
      </w:r>
      <w:r w:rsidRPr="002F6EA1">
        <w:t>), then 35-44 (18</w:t>
      </w:r>
      <w:r>
        <w:t>%</w:t>
      </w:r>
      <w:r w:rsidRPr="002F6EA1">
        <w:t>) and 45-54 (10</w:t>
      </w:r>
      <w:r>
        <w:t>%</w:t>
      </w:r>
      <w:r w:rsidRPr="002F6EA1">
        <w:t>)</w:t>
      </w:r>
      <w:r>
        <w:t>,</w:t>
      </w:r>
      <w:r w:rsidRPr="002F6EA1">
        <w:t xml:space="preserve"> indicating a significantly young sample population. There is also a gender imbalance</w:t>
      </w:r>
      <w:r>
        <w:t>,</w:t>
      </w:r>
      <w:r w:rsidRPr="002F6EA1">
        <w:t xml:space="preserve"> with males being 70</w:t>
      </w:r>
      <w:r>
        <w:t xml:space="preserve">% </w:t>
      </w:r>
      <w:r w:rsidRPr="002F6EA1">
        <w:t xml:space="preserve">of the participants. </w:t>
      </w:r>
      <w:r>
        <w:t>Students</w:t>
      </w:r>
      <w:r w:rsidRPr="002F6EA1">
        <w:t xml:space="preserve"> (34%), as well as full-time employees (25%) have the largest groups in terms of employment. </w:t>
      </w:r>
      <w:r>
        <w:t>The majority</w:t>
      </w:r>
      <w:r w:rsidRPr="002F6EA1">
        <w:t xml:space="preserve"> of the respondents are in England (54%), with representation in Wales (28%) and Scotland (18%). Ownership levels of EVs are low (16%), but a substantial number (64%) say that they are planning to use EVs. This underscores high future adoption despite low ownership among people today</w:t>
      </w:r>
      <w:r w:rsidRPr="002F6EA1">
        <w:rPr>
          <w:b/>
          <w:bCs/>
        </w:rPr>
        <w:t>.</w:t>
      </w:r>
    </w:p>
    <w:p w14:paraId="07DB939E" w14:textId="0DBAD54A" w:rsidR="001F3A36" w:rsidRDefault="001F3A36" w:rsidP="001F3A36">
      <w:pPr>
        <w:rPr>
          <w:b/>
          <w:bCs/>
        </w:rPr>
      </w:pPr>
      <w:r w:rsidRPr="001F3A36">
        <w:rPr>
          <w:b/>
          <w:bCs/>
        </w:rPr>
        <w:t>Descriptive Statistics of Key Variables</w:t>
      </w:r>
    </w:p>
    <w:p w14:paraId="102957F0" w14:textId="77777777" w:rsidR="00D02C58" w:rsidRPr="00D02C58" w:rsidRDefault="00D02C58" w:rsidP="00D02C58">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3062"/>
        <w:gridCol w:w="1850"/>
        <w:gridCol w:w="1850"/>
        <w:gridCol w:w="2598"/>
      </w:tblGrid>
      <w:tr w:rsidR="00D02C58" w:rsidRPr="00D02C58" w14:paraId="528FAA23" w14:textId="77777777" w:rsidTr="00316911">
        <w:trPr>
          <w:cantSplit/>
        </w:trPr>
        <w:tc>
          <w:tcPr>
            <w:tcW w:w="5000" w:type="pct"/>
            <w:gridSpan w:val="4"/>
            <w:tcBorders>
              <w:top w:val="nil"/>
              <w:left w:val="nil"/>
              <w:bottom w:val="nil"/>
              <w:right w:val="nil"/>
            </w:tcBorders>
            <w:shd w:val="clear" w:color="auto" w:fill="FFFFFF"/>
            <w:vAlign w:val="center"/>
          </w:tcPr>
          <w:p w14:paraId="1D1F3DB9"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010205"/>
                <w:sz w:val="22"/>
              </w:rPr>
            </w:pPr>
            <w:r w:rsidRPr="00D02C58">
              <w:rPr>
                <w:rFonts w:ascii="Arial" w:hAnsi="Arial" w:cs="Arial"/>
                <w:b/>
                <w:bCs/>
                <w:color w:val="010205"/>
                <w:sz w:val="22"/>
              </w:rPr>
              <w:t>Descriptive Statistics</w:t>
            </w:r>
          </w:p>
        </w:tc>
      </w:tr>
      <w:tr w:rsidR="00D02C58" w:rsidRPr="00D02C58" w14:paraId="7BC23941" w14:textId="77777777" w:rsidTr="00316911">
        <w:trPr>
          <w:cantSplit/>
        </w:trPr>
        <w:tc>
          <w:tcPr>
            <w:tcW w:w="1636" w:type="pct"/>
            <w:tcBorders>
              <w:top w:val="nil"/>
              <w:left w:val="nil"/>
              <w:bottom w:val="single" w:sz="8" w:space="0" w:color="152935"/>
              <w:right w:val="nil"/>
            </w:tcBorders>
            <w:shd w:val="clear" w:color="auto" w:fill="FFFFFF"/>
            <w:vAlign w:val="bottom"/>
          </w:tcPr>
          <w:p w14:paraId="6C7EE8F0" w14:textId="77777777" w:rsidR="00D02C58" w:rsidRPr="00D02C58" w:rsidRDefault="00D02C58" w:rsidP="00D02C58">
            <w:pPr>
              <w:autoSpaceDE w:val="0"/>
              <w:autoSpaceDN w:val="0"/>
              <w:adjustRightInd w:val="0"/>
              <w:spacing w:line="240" w:lineRule="auto"/>
              <w:jc w:val="left"/>
              <w:rPr>
                <w:rFonts w:cs="Times New Roman"/>
                <w:szCs w:val="24"/>
              </w:rPr>
            </w:pPr>
          </w:p>
        </w:tc>
        <w:tc>
          <w:tcPr>
            <w:tcW w:w="988" w:type="pct"/>
            <w:tcBorders>
              <w:top w:val="nil"/>
              <w:left w:val="nil"/>
              <w:bottom w:val="single" w:sz="8" w:space="0" w:color="152935"/>
              <w:right w:val="single" w:sz="8" w:space="0" w:color="E0E0E0"/>
            </w:tcBorders>
            <w:shd w:val="clear" w:color="auto" w:fill="FFFFFF"/>
            <w:vAlign w:val="bottom"/>
          </w:tcPr>
          <w:p w14:paraId="5BBB326D"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N</w:t>
            </w:r>
          </w:p>
        </w:tc>
        <w:tc>
          <w:tcPr>
            <w:tcW w:w="988" w:type="pct"/>
            <w:tcBorders>
              <w:top w:val="nil"/>
              <w:left w:val="single" w:sz="8" w:space="0" w:color="E0E0E0"/>
              <w:bottom w:val="single" w:sz="8" w:space="0" w:color="152935"/>
              <w:right w:val="single" w:sz="8" w:space="0" w:color="E0E0E0"/>
            </w:tcBorders>
            <w:shd w:val="clear" w:color="auto" w:fill="FFFFFF"/>
            <w:vAlign w:val="bottom"/>
          </w:tcPr>
          <w:p w14:paraId="378A6786"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Mean</w:t>
            </w:r>
          </w:p>
        </w:tc>
        <w:tc>
          <w:tcPr>
            <w:tcW w:w="1387" w:type="pct"/>
            <w:tcBorders>
              <w:top w:val="nil"/>
              <w:left w:val="single" w:sz="8" w:space="0" w:color="E0E0E0"/>
              <w:bottom w:val="single" w:sz="8" w:space="0" w:color="152935"/>
              <w:right w:val="nil"/>
            </w:tcBorders>
            <w:shd w:val="clear" w:color="auto" w:fill="FFFFFF"/>
            <w:vAlign w:val="bottom"/>
          </w:tcPr>
          <w:p w14:paraId="53B2570C"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Std. Deviation</w:t>
            </w:r>
          </w:p>
        </w:tc>
      </w:tr>
      <w:tr w:rsidR="00D02C58" w:rsidRPr="00D02C58" w14:paraId="61661123" w14:textId="77777777" w:rsidTr="00316911">
        <w:trPr>
          <w:cantSplit/>
        </w:trPr>
        <w:tc>
          <w:tcPr>
            <w:tcW w:w="1636" w:type="pct"/>
            <w:tcBorders>
              <w:top w:val="single" w:sz="8" w:space="0" w:color="152935"/>
              <w:left w:val="nil"/>
              <w:bottom w:val="single" w:sz="8" w:space="0" w:color="AEAEAE"/>
              <w:right w:val="nil"/>
            </w:tcBorders>
            <w:shd w:val="clear" w:color="auto" w:fill="E0E0E0"/>
          </w:tcPr>
          <w:p w14:paraId="651B60E8"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IR_Mean</w:t>
            </w:r>
          </w:p>
        </w:tc>
        <w:tc>
          <w:tcPr>
            <w:tcW w:w="988" w:type="pct"/>
            <w:tcBorders>
              <w:top w:val="single" w:sz="8" w:space="0" w:color="152935"/>
              <w:left w:val="nil"/>
              <w:bottom w:val="single" w:sz="8" w:space="0" w:color="AEAEAE"/>
              <w:right w:val="single" w:sz="8" w:space="0" w:color="E0E0E0"/>
            </w:tcBorders>
            <w:shd w:val="clear" w:color="auto" w:fill="F9F9FB"/>
          </w:tcPr>
          <w:p w14:paraId="66618C8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152935"/>
              <w:left w:val="single" w:sz="8" w:space="0" w:color="E0E0E0"/>
              <w:bottom w:val="single" w:sz="8" w:space="0" w:color="AEAEAE"/>
              <w:right w:val="single" w:sz="8" w:space="0" w:color="E0E0E0"/>
            </w:tcBorders>
            <w:shd w:val="clear" w:color="auto" w:fill="F9F9FB"/>
          </w:tcPr>
          <w:p w14:paraId="4758241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3.3840</w:t>
            </w:r>
          </w:p>
        </w:tc>
        <w:tc>
          <w:tcPr>
            <w:tcW w:w="1387" w:type="pct"/>
            <w:tcBorders>
              <w:top w:val="single" w:sz="8" w:space="0" w:color="152935"/>
              <w:left w:val="single" w:sz="8" w:space="0" w:color="E0E0E0"/>
              <w:bottom w:val="single" w:sz="8" w:space="0" w:color="AEAEAE"/>
              <w:right w:val="nil"/>
            </w:tcBorders>
            <w:shd w:val="clear" w:color="auto" w:fill="F9F9FB"/>
          </w:tcPr>
          <w:p w14:paraId="1B6DE13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1.16954</w:t>
            </w:r>
          </w:p>
        </w:tc>
      </w:tr>
      <w:tr w:rsidR="00D02C58" w:rsidRPr="00D02C58" w14:paraId="7338971A" w14:textId="77777777" w:rsidTr="00316911">
        <w:trPr>
          <w:cantSplit/>
        </w:trPr>
        <w:tc>
          <w:tcPr>
            <w:tcW w:w="1636" w:type="pct"/>
            <w:tcBorders>
              <w:top w:val="single" w:sz="8" w:space="0" w:color="AEAEAE"/>
              <w:left w:val="nil"/>
              <w:bottom w:val="single" w:sz="8" w:space="0" w:color="AEAEAE"/>
              <w:right w:val="nil"/>
            </w:tcBorders>
            <w:shd w:val="clear" w:color="auto" w:fill="E0E0E0"/>
          </w:tcPr>
          <w:p w14:paraId="23AC45DB"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PG_Mean</w:t>
            </w:r>
          </w:p>
        </w:tc>
        <w:tc>
          <w:tcPr>
            <w:tcW w:w="988" w:type="pct"/>
            <w:tcBorders>
              <w:top w:val="single" w:sz="8" w:space="0" w:color="AEAEAE"/>
              <w:left w:val="nil"/>
              <w:bottom w:val="single" w:sz="8" w:space="0" w:color="AEAEAE"/>
              <w:right w:val="single" w:sz="8" w:space="0" w:color="E0E0E0"/>
            </w:tcBorders>
            <w:shd w:val="clear" w:color="auto" w:fill="F9F9FB"/>
          </w:tcPr>
          <w:p w14:paraId="2300A9BE"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AEAEAE"/>
              <w:left w:val="single" w:sz="8" w:space="0" w:color="E0E0E0"/>
              <w:bottom w:val="single" w:sz="8" w:space="0" w:color="AEAEAE"/>
              <w:right w:val="single" w:sz="8" w:space="0" w:color="E0E0E0"/>
            </w:tcBorders>
            <w:shd w:val="clear" w:color="auto" w:fill="F9F9FB"/>
          </w:tcPr>
          <w:p w14:paraId="6B7CA6E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3.4280</w:t>
            </w:r>
          </w:p>
        </w:tc>
        <w:tc>
          <w:tcPr>
            <w:tcW w:w="1387" w:type="pct"/>
            <w:tcBorders>
              <w:top w:val="single" w:sz="8" w:space="0" w:color="AEAEAE"/>
              <w:left w:val="single" w:sz="8" w:space="0" w:color="E0E0E0"/>
              <w:bottom w:val="single" w:sz="8" w:space="0" w:color="AEAEAE"/>
              <w:right w:val="nil"/>
            </w:tcBorders>
            <w:shd w:val="clear" w:color="auto" w:fill="F9F9FB"/>
          </w:tcPr>
          <w:p w14:paraId="281CC83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1.17311</w:t>
            </w:r>
          </w:p>
        </w:tc>
      </w:tr>
      <w:tr w:rsidR="00D02C58" w:rsidRPr="00D02C58" w14:paraId="3E2A6D52" w14:textId="77777777" w:rsidTr="00316911">
        <w:trPr>
          <w:cantSplit/>
        </w:trPr>
        <w:tc>
          <w:tcPr>
            <w:tcW w:w="1636" w:type="pct"/>
            <w:tcBorders>
              <w:top w:val="single" w:sz="8" w:space="0" w:color="AEAEAE"/>
              <w:left w:val="nil"/>
              <w:bottom w:val="single" w:sz="8" w:space="0" w:color="AEAEAE"/>
              <w:right w:val="nil"/>
            </w:tcBorders>
            <w:shd w:val="clear" w:color="auto" w:fill="E0E0E0"/>
          </w:tcPr>
          <w:p w14:paraId="5D09AD17"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INF_Mean</w:t>
            </w:r>
          </w:p>
        </w:tc>
        <w:tc>
          <w:tcPr>
            <w:tcW w:w="988" w:type="pct"/>
            <w:tcBorders>
              <w:top w:val="single" w:sz="8" w:space="0" w:color="AEAEAE"/>
              <w:left w:val="nil"/>
              <w:bottom w:val="single" w:sz="8" w:space="0" w:color="AEAEAE"/>
              <w:right w:val="single" w:sz="8" w:space="0" w:color="E0E0E0"/>
            </w:tcBorders>
            <w:shd w:val="clear" w:color="auto" w:fill="F9F9FB"/>
          </w:tcPr>
          <w:p w14:paraId="574233E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AEAEAE"/>
              <w:left w:val="single" w:sz="8" w:space="0" w:color="E0E0E0"/>
              <w:bottom w:val="single" w:sz="8" w:space="0" w:color="AEAEAE"/>
              <w:right w:val="single" w:sz="8" w:space="0" w:color="E0E0E0"/>
            </w:tcBorders>
            <w:shd w:val="clear" w:color="auto" w:fill="F9F9FB"/>
          </w:tcPr>
          <w:p w14:paraId="21CD277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3.4200</w:t>
            </w:r>
          </w:p>
        </w:tc>
        <w:tc>
          <w:tcPr>
            <w:tcW w:w="1387" w:type="pct"/>
            <w:tcBorders>
              <w:top w:val="single" w:sz="8" w:space="0" w:color="AEAEAE"/>
              <w:left w:val="single" w:sz="8" w:space="0" w:color="E0E0E0"/>
              <w:bottom w:val="single" w:sz="8" w:space="0" w:color="AEAEAE"/>
              <w:right w:val="nil"/>
            </w:tcBorders>
            <w:shd w:val="clear" w:color="auto" w:fill="F9F9FB"/>
          </w:tcPr>
          <w:p w14:paraId="5670BDB3"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1.04350</w:t>
            </w:r>
          </w:p>
        </w:tc>
      </w:tr>
      <w:tr w:rsidR="00D02C58" w:rsidRPr="00D02C58" w14:paraId="1E151D07" w14:textId="77777777" w:rsidTr="00316911">
        <w:trPr>
          <w:cantSplit/>
        </w:trPr>
        <w:tc>
          <w:tcPr>
            <w:tcW w:w="1636" w:type="pct"/>
            <w:tcBorders>
              <w:top w:val="single" w:sz="8" w:space="0" w:color="AEAEAE"/>
              <w:left w:val="nil"/>
              <w:bottom w:val="single" w:sz="8" w:space="0" w:color="AEAEAE"/>
              <w:right w:val="nil"/>
            </w:tcBorders>
            <w:shd w:val="clear" w:color="auto" w:fill="E0E0E0"/>
          </w:tcPr>
          <w:p w14:paraId="7CB0AED7"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TC_Mean</w:t>
            </w:r>
          </w:p>
        </w:tc>
        <w:tc>
          <w:tcPr>
            <w:tcW w:w="988" w:type="pct"/>
            <w:tcBorders>
              <w:top w:val="single" w:sz="8" w:space="0" w:color="AEAEAE"/>
              <w:left w:val="nil"/>
              <w:bottom w:val="single" w:sz="8" w:space="0" w:color="AEAEAE"/>
              <w:right w:val="single" w:sz="8" w:space="0" w:color="E0E0E0"/>
            </w:tcBorders>
            <w:shd w:val="clear" w:color="auto" w:fill="F9F9FB"/>
          </w:tcPr>
          <w:p w14:paraId="213055F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AEAEAE"/>
              <w:left w:val="single" w:sz="8" w:space="0" w:color="E0E0E0"/>
              <w:bottom w:val="single" w:sz="8" w:space="0" w:color="AEAEAE"/>
              <w:right w:val="single" w:sz="8" w:space="0" w:color="E0E0E0"/>
            </w:tcBorders>
            <w:shd w:val="clear" w:color="auto" w:fill="F9F9FB"/>
          </w:tcPr>
          <w:p w14:paraId="565E688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3.4200</w:t>
            </w:r>
          </w:p>
        </w:tc>
        <w:tc>
          <w:tcPr>
            <w:tcW w:w="1387" w:type="pct"/>
            <w:tcBorders>
              <w:top w:val="single" w:sz="8" w:space="0" w:color="AEAEAE"/>
              <w:left w:val="single" w:sz="8" w:space="0" w:color="E0E0E0"/>
              <w:bottom w:val="single" w:sz="8" w:space="0" w:color="AEAEAE"/>
              <w:right w:val="nil"/>
            </w:tcBorders>
            <w:shd w:val="clear" w:color="auto" w:fill="F9F9FB"/>
          </w:tcPr>
          <w:p w14:paraId="7EDDCD2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1.04350</w:t>
            </w:r>
          </w:p>
        </w:tc>
      </w:tr>
      <w:tr w:rsidR="00D02C58" w:rsidRPr="00D02C58" w14:paraId="43DA4107" w14:textId="77777777" w:rsidTr="00316911">
        <w:trPr>
          <w:cantSplit/>
        </w:trPr>
        <w:tc>
          <w:tcPr>
            <w:tcW w:w="1636" w:type="pct"/>
            <w:tcBorders>
              <w:top w:val="single" w:sz="8" w:space="0" w:color="AEAEAE"/>
              <w:left w:val="nil"/>
              <w:bottom w:val="single" w:sz="8" w:space="0" w:color="AEAEAE"/>
              <w:right w:val="nil"/>
            </w:tcBorders>
            <w:shd w:val="clear" w:color="auto" w:fill="E0E0E0"/>
          </w:tcPr>
          <w:p w14:paraId="2B075BC1"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EV_Mean</w:t>
            </w:r>
          </w:p>
        </w:tc>
        <w:tc>
          <w:tcPr>
            <w:tcW w:w="988" w:type="pct"/>
            <w:tcBorders>
              <w:top w:val="single" w:sz="8" w:space="0" w:color="AEAEAE"/>
              <w:left w:val="nil"/>
              <w:bottom w:val="single" w:sz="8" w:space="0" w:color="AEAEAE"/>
              <w:right w:val="single" w:sz="8" w:space="0" w:color="E0E0E0"/>
            </w:tcBorders>
            <w:shd w:val="clear" w:color="auto" w:fill="F9F9FB"/>
          </w:tcPr>
          <w:p w14:paraId="5457B62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AEAEAE"/>
              <w:left w:val="single" w:sz="8" w:space="0" w:color="E0E0E0"/>
              <w:bottom w:val="single" w:sz="8" w:space="0" w:color="AEAEAE"/>
              <w:right w:val="single" w:sz="8" w:space="0" w:color="E0E0E0"/>
            </w:tcBorders>
            <w:shd w:val="clear" w:color="auto" w:fill="F9F9FB"/>
          </w:tcPr>
          <w:p w14:paraId="43F3FB7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3.6640</w:t>
            </w:r>
          </w:p>
        </w:tc>
        <w:tc>
          <w:tcPr>
            <w:tcW w:w="1387" w:type="pct"/>
            <w:tcBorders>
              <w:top w:val="single" w:sz="8" w:space="0" w:color="AEAEAE"/>
              <w:left w:val="single" w:sz="8" w:space="0" w:color="E0E0E0"/>
              <w:bottom w:val="single" w:sz="8" w:space="0" w:color="AEAEAE"/>
              <w:right w:val="nil"/>
            </w:tcBorders>
            <w:shd w:val="clear" w:color="auto" w:fill="F9F9FB"/>
          </w:tcPr>
          <w:p w14:paraId="0202E36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1.03665</w:t>
            </w:r>
          </w:p>
        </w:tc>
      </w:tr>
      <w:tr w:rsidR="00D02C58" w:rsidRPr="00D02C58" w14:paraId="0128D139" w14:textId="77777777" w:rsidTr="00316911">
        <w:trPr>
          <w:cantSplit/>
        </w:trPr>
        <w:tc>
          <w:tcPr>
            <w:tcW w:w="1636" w:type="pct"/>
            <w:tcBorders>
              <w:top w:val="single" w:sz="8" w:space="0" w:color="AEAEAE"/>
              <w:left w:val="nil"/>
              <w:bottom w:val="single" w:sz="8" w:space="0" w:color="AEAEAE"/>
              <w:right w:val="nil"/>
            </w:tcBorders>
            <w:shd w:val="clear" w:color="auto" w:fill="E0E0E0"/>
          </w:tcPr>
          <w:p w14:paraId="26FD913F"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SDG_Mean</w:t>
            </w:r>
          </w:p>
        </w:tc>
        <w:tc>
          <w:tcPr>
            <w:tcW w:w="988" w:type="pct"/>
            <w:tcBorders>
              <w:top w:val="single" w:sz="8" w:space="0" w:color="AEAEAE"/>
              <w:left w:val="nil"/>
              <w:bottom w:val="single" w:sz="8" w:space="0" w:color="AEAEAE"/>
              <w:right w:val="single" w:sz="8" w:space="0" w:color="E0E0E0"/>
            </w:tcBorders>
            <w:shd w:val="clear" w:color="auto" w:fill="F9F9FB"/>
          </w:tcPr>
          <w:p w14:paraId="68B9F75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AEAEAE"/>
              <w:left w:val="single" w:sz="8" w:space="0" w:color="E0E0E0"/>
              <w:bottom w:val="single" w:sz="8" w:space="0" w:color="AEAEAE"/>
              <w:right w:val="single" w:sz="8" w:space="0" w:color="E0E0E0"/>
            </w:tcBorders>
            <w:shd w:val="clear" w:color="auto" w:fill="F9F9FB"/>
          </w:tcPr>
          <w:p w14:paraId="41530CE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3.5420</w:t>
            </w:r>
          </w:p>
        </w:tc>
        <w:tc>
          <w:tcPr>
            <w:tcW w:w="1387" w:type="pct"/>
            <w:tcBorders>
              <w:top w:val="single" w:sz="8" w:space="0" w:color="AEAEAE"/>
              <w:left w:val="single" w:sz="8" w:space="0" w:color="E0E0E0"/>
              <w:bottom w:val="single" w:sz="8" w:space="0" w:color="AEAEAE"/>
              <w:right w:val="nil"/>
            </w:tcBorders>
            <w:shd w:val="clear" w:color="auto" w:fill="F9F9FB"/>
          </w:tcPr>
          <w:p w14:paraId="2A224E7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1.28466</w:t>
            </w:r>
          </w:p>
        </w:tc>
      </w:tr>
      <w:tr w:rsidR="00D02C58" w:rsidRPr="00D02C58" w14:paraId="7F1681A0" w14:textId="77777777" w:rsidTr="00316911">
        <w:trPr>
          <w:cantSplit/>
        </w:trPr>
        <w:tc>
          <w:tcPr>
            <w:tcW w:w="1636" w:type="pct"/>
            <w:tcBorders>
              <w:top w:val="single" w:sz="8" w:space="0" w:color="AEAEAE"/>
              <w:left w:val="nil"/>
              <w:bottom w:val="single" w:sz="8" w:space="0" w:color="152935"/>
              <w:right w:val="nil"/>
            </w:tcBorders>
            <w:shd w:val="clear" w:color="auto" w:fill="E0E0E0"/>
          </w:tcPr>
          <w:p w14:paraId="15EF2EB5"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Valid N (listwise)</w:t>
            </w:r>
          </w:p>
        </w:tc>
        <w:tc>
          <w:tcPr>
            <w:tcW w:w="988" w:type="pct"/>
            <w:tcBorders>
              <w:top w:val="single" w:sz="8" w:space="0" w:color="AEAEAE"/>
              <w:left w:val="nil"/>
              <w:bottom w:val="single" w:sz="8" w:space="0" w:color="152935"/>
              <w:right w:val="single" w:sz="8" w:space="0" w:color="E0E0E0"/>
            </w:tcBorders>
            <w:shd w:val="clear" w:color="auto" w:fill="F9F9FB"/>
          </w:tcPr>
          <w:p w14:paraId="13DF95A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988" w:type="pct"/>
            <w:tcBorders>
              <w:top w:val="single" w:sz="8" w:space="0" w:color="AEAEAE"/>
              <w:left w:val="single" w:sz="8" w:space="0" w:color="E0E0E0"/>
              <w:bottom w:val="single" w:sz="8" w:space="0" w:color="152935"/>
              <w:right w:val="single" w:sz="8" w:space="0" w:color="E0E0E0"/>
            </w:tcBorders>
            <w:shd w:val="clear" w:color="auto" w:fill="F9F9FB"/>
            <w:vAlign w:val="center"/>
          </w:tcPr>
          <w:p w14:paraId="037DA425" w14:textId="77777777" w:rsidR="00D02C58" w:rsidRPr="00D02C58" w:rsidRDefault="00D02C58" w:rsidP="00D02C58">
            <w:pPr>
              <w:autoSpaceDE w:val="0"/>
              <w:autoSpaceDN w:val="0"/>
              <w:adjustRightInd w:val="0"/>
              <w:spacing w:line="240" w:lineRule="auto"/>
              <w:jc w:val="left"/>
              <w:rPr>
                <w:rFonts w:cs="Times New Roman"/>
                <w:szCs w:val="24"/>
              </w:rPr>
            </w:pPr>
          </w:p>
        </w:tc>
        <w:tc>
          <w:tcPr>
            <w:tcW w:w="1387" w:type="pct"/>
            <w:tcBorders>
              <w:top w:val="single" w:sz="8" w:space="0" w:color="AEAEAE"/>
              <w:left w:val="single" w:sz="8" w:space="0" w:color="E0E0E0"/>
              <w:bottom w:val="single" w:sz="8" w:space="0" w:color="152935"/>
              <w:right w:val="nil"/>
            </w:tcBorders>
            <w:shd w:val="clear" w:color="auto" w:fill="F9F9FB"/>
            <w:vAlign w:val="center"/>
          </w:tcPr>
          <w:p w14:paraId="060EC133" w14:textId="77777777" w:rsidR="00D02C58" w:rsidRPr="00D02C58" w:rsidRDefault="00D02C58" w:rsidP="00D02C58">
            <w:pPr>
              <w:autoSpaceDE w:val="0"/>
              <w:autoSpaceDN w:val="0"/>
              <w:adjustRightInd w:val="0"/>
              <w:spacing w:line="240" w:lineRule="auto"/>
              <w:jc w:val="left"/>
              <w:rPr>
                <w:rFonts w:cs="Times New Roman"/>
                <w:szCs w:val="24"/>
              </w:rPr>
            </w:pPr>
          </w:p>
        </w:tc>
      </w:tr>
    </w:tbl>
    <w:p w14:paraId="5C00935E" w14:textId="77777777" w:rsidR="00D02C58" w:rsidRDefault="00D02C58" w:rsidP="00D02C58"/>
    <w:p w14:paraId="0B9CFB99" w14:textId="2C49A277" w:rsidR="001F3A36" w:rsidRPr="00D02C58" w:rsidRDefault="00D02C58" w:rsidP="00370F73">
      <w:r w:rsidRPr="00D02C58">
        <w:t xml:space="preserve">Descriptive statistics reveal that the overall perceptions on all constructs are moderate to positive. The largest mean (M </w:t>
      </w:r>
      <w:r>
        <w:t>=</w:t>
      </w:r>
      <w:r w:rsidRPr="00D02C58">
        <w:t xml:space="preserve"> 3.664) is EV Adoption, which implies that the respondents are more </w:t>
      </w:r>
      <w:r w:rsidRPr="00D02C58">
        <w:lastRenderedPageBreak/>
        <w:t>favourable to and accepting of the electric vehicles. SDG Contribution also has quite a high agreement (M = 3.542) in appreciation of sustainability benefits. On the contrary, the mean of Institutional Readiness is the lowest (M = 3.384), which reflects a relative lower level of confidence when speaking of institutional preparedness. The similarity between Policy Support, Infrastructure, and Technological Convergence indicates that there are unified perceptions between the aspects. The values of the standard deviation represent moderate variability, with certain differences in respondent opinions. In general, the results indicate that there is an optimistic attitude towards EV adoption, but institutional aspects might need additional reinforcement.</w:t>
      </w:r>
    </w:p>
    <w:p w14:paraId="14FA4DC5" w14:textId="20A9B397" w:rsidR="002F6EA1" w:rsidRDefault="002F6EA1" w:rsidP="00370F73">
      <w:pPr>
        <w:rPr>
          <w:b/>
          <w:bCs/>
        </w:rPr>
      </w:pPr>
      <w:r w:rsidRPr="002F6EA1">
        <w:rPr>
          <w:b/>
          <w:bCs/>
        </w:rPr>
        <w:t>Reliability Test (Cronbach Alpha)</w:t>
      </w:r>
    </w:p>
    <w:p w14:paraId="2FE1C6FF" w14:textId="77777777" w:rsidR="002F6EA1" w:rsidRPr="002F6EA1" w:rsidRDefault="002F6EA1" w:rsidP="002F6EA1">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5257"/>
        <w:gridCol w:w="4103"/>
      </w:tblGrid>
      <w:tr w:rsidR="002F6EA1" w:rsidRPr="002F6EA1" w14:paraId="132DCF1C" w14:textId="77777777" w:rsidTr="00316911">
        <w:trPr>
          <w:cantSplit/>
        </w:trPr>
        <w:tc>
          <w:tcPr>
            <w:tcW w:w="5000" w:type="pct"/>
            <w:gridSpan w:val="2"/>
            <w:tcBorders>
              <w:top w:val="nil"/>
              <w:left w:val="nil"/>
              <w:bottom w:val="nil"/>
              <w:right w:val="nil"/>
            </w:tcBorders>
            <w:shd w:val="clear" w:color="auto" w:fill="FFFFFF"/>
            <w:vAlign w:val="center"/>
          </w:tcPr>
          <w:p w14:paraId="039C030D"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010205"/>
                <w:sz w:val="22"/>
              </w:rPr>
            </w:pPr>
            <w:r w:rsidRPr="002F6EA1">
              <w:rPr>
                <w:rFonts w:ascii="Arial" w:hAnsi="Arial" w:cs="Arial"/>
                <w:b/>
                <w:bCs/>
                <w:color w:val="010205"/>
                <w:sz w:val="22"/>
              </w:rPr>
              <w:t>Reliability Statistics</w:t>
            </w:r>
          </w:p>
        </w:tc>
      </w:tr>
      <w:tr w:rsidR="002F6EA1" w:rsidRPr="002F6EA1" w14:paraId="5B29A60E" w14:textId="77777777" w:rsidTr="00316911">
        <w:trPr>
          <w:cantSplit/>
        </w:trPr>
        <w:tc>
          <w:tcPr>
            <w:tcW w:w="2808" w:type="pct"/>
            <w:tcBorders>
              <w:top w:val="nil"/>
              <w:left w:val="nil"/>
              <w:bottom w:val="single" w:sz="8" w:space="0" w:color="152935"/>
              <w:right w:val="single" w:sz="8" w:space="0" w:color="E0E0E0"/>
            </w:tcBorders>
            <w:shd w:val="clear" w:color="auto" w:fill="FFFFFF"/>
            <w:vAlign w:val="bottom"/>
          </w:tcPr>
          <w:p w14:paraId="5F6F204A"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Cronbach's Alpha</w:t>
            </w:r>
          </w:p>
        </w:tc>
        <w:tc>
          <w:tcPr>
            <w:tcW w:w="2192" w:type="pct"/>
            <w:tcBorders>
              <w:top w:val="nil"/>
              <w:left w:val="single" w:sz="8" w:space="0" w:color="E0E0E0"/>
              <w:bottom w:val="single" w:sz="8" w:space="0" w:color="152935"/>
              <w:right w:val="nil"/>
            </w:tcBorders>
            <w:shd w:val="clear" w:color="auto" w:fill="FFFFFF"/>
            <w:vAlign w:val="bottom"/>
          </w:tcPr>
          <w:p w14:paraId="45369CC9"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N of Items</w:t>
            </w:r>
          </w:p>
        </w:tc>
      </w:tr>
      <w:tr w:rsidR="002F6EA1" w:rsidRPr="002F6EA1" w14:paraId="0CE25725" w14:textId="77777777" w:rsidTr="00316911">
        <w:trPr>
          <w:cantSplit/>
        </w:trPr>
        <w:tc>
          <w:tcPr>
            <w:tcW w:w="2808" w:type="pct"/>
            <w:tcBorders>
              <w:top w:val="single" w:sz="8" w:space="0" w:color="152935"/>
              <w:left w:val="nil"/>
              <w:bottom w:val="single" w:sz="8" w:space="0" w:color="152935"/>
              <w:right w:val="single" w:sz="8" w:space="0" w:color="E0E0E0"/>
            </w:tcBorders>
            <w:shd w:val="clear" w:color="auto" w:fill="F9F9FB"/>
          </w:tcPr>
          <w:p w14:paraId="67D45B86"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.947</w:t>
            </w:r>
          </w:p>
        </w:tc>
        <w:tc>
          <w:tcPr>
            <w:tcW w:w="2192" w:type="pct"/>
            <w:tcBorders>
              <w:top w:val="single" w:sz="8" w:space="0" w:color="152935"/>
              <w:left w:val="single" w:sz="8" w:space="0" w:color="E0E0E0"/>
              <w:bottom w:val="single" w:sz="8" w:space="0" w:color="152935"/>
              <w:right w:val="nil"/>
            </w:tcBorders>
            <w:shd w:val="clear" w:color="auto" w:fill="F9F9FB"/>
          </w:tcPr>
          <w:p w14:paraId="58C807DC"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5</w:t>
            </w:r>
          </w:p>
        </w:tc>
      </w:tr>
    </w:tbl>
    <w:p w14:paraId="6235E036" w14:textId="6DCFF9AE" w:rsidR="002F6EA1" w:rsidRPr="002F6EA1" w:rsidRDefault="001F3A36" w:rsidP="001F3A36">
      <w:r w:rsidRPr="001F3A36">
        <w:t>The reliability test of Institutional Readiness indicates that the Cronbach’s alpha coefficient of five items is 0.947</w:t>
      </w:r>
      <w:r>
        <w:t>, which</w:t>
      </w:r>
      <w:r w:rsidRPr="001F3A36">
        <w:t xml:space="preserve"> depicts the presence of excellent internal consistency. This implies that the measurement items are extremely reliable and they are always able to capture the underlying construct</w:t>
      </w:r>
      <w:r>
        <w:t>,</w:t>
      </w:r>
      <w:r w:rsidRPr="001F3A36">
        <w:t xml:space="preserve"> hence their appropriateness to be used further in statistical analysis.</w:t>
      </w:r>
    </w:p>
    <w:p w14:paraId="72EAC1F7" w14:textId="77777777" w:rsidR="002F6EA1" w:rsidRPr="002F6EA1" w:rsidRDefault="002F6EA1" w:rsidP="002F6EA1">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5257"/>
        <w:gridCol w:w="4103"/>
      </w:tblGrid>
      <w:tr w:rsidR="002F6EA1" w:rsidRPr="002F6EA1" w14:paraId="70D05743" w14:textId="77777777" w:rsidTr="00316911">
        <w:trPr>
          <w:cantSplit/>
        </w:trPr>
        <w:tc>
          <w:tcPr>
            <w:tcW w:w="5000" w:type="pct"/>
            <w:gridSpan w:val="2"/>
            <w:tcBorders>
              <w:top w:val="nil"/>
              <w:left w:val="nil"/>
              <w:bottom w:val="nil"/>
              <w:right w:val="nil"/>
            </w:tcBorders>
            <w:shd w:val="clear" w:color="auto" w:fill="FFFFFF"/>
            <w:vAlign w:val="center"/>
          </w:tcPr>
          <w:p w14:paraId="332014F2"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010205"/>
                <w:sz w:val="22"/>
              </w:rPr>
            </w:pPr>
            <w:r w:rsidRPr="002F6EA1">
              <w:rPr>
                <w:rFonts w:ascii="Arial" w:hAnsi="Arial" w:cs="Arial"/>
                <w:b/>
                <w:bCs/>
                <w:color w:val="010205"/>
                <w:sz w:val="22"/>
              </w:rPr>
              <w:t>Reliability Statistics</w:t>
            </w:r>
          </w:p>
        </w:tc>
      </w:tr>
      <w:tr w:rsidR="002F6EA1" w:rsidRPr="002F6EA1" w14:paraId="26FACFBA" w14:textId="77777777" w:rsidTr="00316911">
        <w:trPr>
          <w:cantSplit/>
        </w:trPr>
        <w:tc>
          <w:tcPr>
            <w:tcW w:w="2808" w:type="pct"/>
            <w:tcBorders>
              <w:top w:val="nil"/>
              <w:left w:val="nil"/>
              <w:bottom w:val="single" w:sz="8" w:space="0" w:color="152935"/>
              <w:right w:val="single" w:sz="8" w:space="0" w:color="E0E0E0"/>
            </w:tcBorders>
            <w:shd w:val="clear" w:color="auto" w:fill="FFFFFF"/>
            <w:vAlign w:val="bottom"/>
          </w:tcPr>
          <w:p w14:paraId="03B08CE5"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Cronbach's Alpha</w:t>
            </w:r>
          </w:p>
        </w:tc>
        <w:tc>
          <w:tcPr>
            <w:tcW w:w="2192" w:type="pct"/>
            <w:tcBorders>
              <w:top w:val="nil"/>
              <w:left w:val="single" w:sz="8" w:space="0" w:color="E0E0E0"/>
              <w:bottom w:val="single" w:sz="8" w:space="0" w:color="152935"/>
              <w:right w:val="nil"/>
            </w:tcBorders>
            <w:shd w:val="clear" w:color="auto" w:fill="FFFFFF"/>
            <w:vAlign w:val="bottom"/>
          </w:tcPr>
          <w:p w14:paraId="2719E1DE"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N of Items</w:t>
            </w:r>
          </w:p>
        </w:tc>
      </w:tr>
      <w:tr w:rsidR="002F6EA1" w:rsidRPr="002F6EA1" w14:paraId="52C6FD35" w14:textId="77777777" w:rsidTr="00316911">
        <w:trPr>
          <w:cantSplit/>
        </w:trPr>
        <w:tc>
          <w:tcPr>
            <w:tcW w:w="2808" w:type="pct"/>
            <w:tcBorders>
              <w:top w:val="single" w:sz="8" w:space="0" w:color="152935"/>
              <w:left w:val="nil"/>
              <w:bottom w:val="single" w:sz="8" w:space="0" w:color="152935"/>
              <w:right w:val="single" w:sz="8" w:space="0" w:color="E0E0E0"/>
            </w:tcBorders>
            <w:shd w:val="clear" w:color="auto" w:fill="F9F9FB"/>
          </w:tcPr>
          <w:p w14:paraId="7EFFD062"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.932</w:t>
            </w:r>
          </w:p>
        </w:tc>
        <w:tc>
          <w:tcPr>
            <w:tcW w:w="2192" w:type="pct"/>
            <w:tcBorders>
              <w:top w:val="single" w:sz="8" w:space="0" w:color="152935"/>
              <w:left w:val="single" w:sz="8" w:space="0" w:color="E0E0E0"/>
              <w:bottom w:val="single" w:sz="8" w:space="0" w:color="152935"/>
              <w:right w:val="nil"/>
            </w:tcBorders>
            <w:shd w:val="clear" w:color="auto" w:fill="F9F9FB"/>
          </w:tcPr>
          <w:p w14:paraId="36EA3A2F"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5</w:t>
            </w:r>
          </w:p>
        </w:tc>
      </w:tr>
    </w:tbl>
    <w:p w14:paraId="7ADDCBCA" w14:textId="77777777" w:rsidR="001F3A36" w:rsidRDefault="001F3A36" w:rsidP="001F3A36">
      <w:pPr>
        <w:autoSpaceDE w:val="0"/>
        <w:autoSpaceDN w:val="0"/>
        <w:adjustRightInd w:val="0"/>
        <w:spacing w:line="400" w:lineRule="atLeast"/>
        <w:rPr>
          <w:rFonts w:cs="Times New Roman"/>
          <w:szCs w:val="24"/>
        </w:rPr>
      </w:pPr>
    </w:p>
    <w:p w14:paraId="36ECB5D1" w14:textId="288050D9" w:rsidR="002F6EA1" w:rsidRPr="002F6EA1" w:rsidRDefault="001F3A36" w:rsidP="001F3A36">
      <w:pPr>
        <w:autoSpaceDE w:val="0"/>
        <w:autoSpaceDN w:val="0"/>
        <w:adjustRightInd w:val="0"/>
        <w:spacing w:line="400" w:lineRule="atLeast"/>
        <w:rPr>
          <w:rFonts w:cs="Times New Roman"/>
          <w:szCs w:val="24"/>
        </w:rPr>
      </w:pPr>
      <w:r>
        <w:rPr>
          <w:rFonts w:cs="Times New Roman"/>
          <w:szCs w:val="24"/>
        </w:rPr>
        <w:t>Cronbach's</w:t>
      </w:r>
      <w:r w:rsidRPr="001F3A36">
        <w:rPr>
          <w:rFonts w:cs="Times New Roman"/>
          <w:szCs w:val="24"/>
        </w:rPr>
        <w:t xml:space="preserve"> alpha of 0.932 has five items, which is considered excellent in terms of the reliability analysis of Policy Support. This confirms that the items effectively measure the construct and that </w:t>
      </w:r>
      <w:r>
        <w:rPr>
          <w:rFonts w:cs="Times New Roman"/>
          <w:szCs w:val="24"/>
        </w:rPr>
        <w:t>they</w:t>
      </w:r>
      <w:r w:rsidRPr="001F3A36">
        <w:rPr>
          <w:rFonts w:cs="Times New Roman"/>
          <w:szCs w:val="24"/>
        </w:rPr>
        <w:t xml:space="preserve"> could be used in other statistical </w:t>
      </w:r>
      <w:r>
        <w:rPr>
          <w:rFonts w:cs="Times New Roman"/>
          <w:szCs w:val="24"/>
        </w:rPr>
        <w:t>analyses</w:t>
      </w:r>
      <w:r w:rsidRPr="001F3A36">
        <w:rPr>
          <w:rFonts w:cs="Times New Roman"/>
          <w:szCs w:val="24"/>
        </w:rPr>
        <w:t xml:space="preserve"> in the study.</w:t>
      </w:r>
    </w:p>
    <w:p w14:paraId="217A9DC9" w14:textId="77777777" w:rsidR="002F6EA1" w:rsidRPr="002F6EA1" w:rsidRDefault="002F6EA1" w:rsidP="002F6EA1">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5257"/>
        <w:gridCol w:w="4103"/>
      </w:tblGrid>
      <w:tr w:rsidR="002F6EA1" w:rsidRPr="002F6EA1" w14:paraId="46BDAC2C" w14:textId="77777777" w:rsidTr="00316911">
        <w:trPr>
          <w:cantSplit/>
        </w:trPr>
        <w:tc>
          <w:tcPr>
            <w:tcW w:w="5000" w:type="pct"/>
            <w:gridSpan w:val="2"/>
            <w:tcBorders>
              <w:top w:val="nil"/>
              <w:left w:val="nil"/>
              <w:bottom w:val="nil"/>
              <w:right w:val="nil"/>
            </w:tcBorders>
            <w:shd w:val="clear" w:color="auto" w:fill="FFFFFF"/>
            <w:vAlign w:val="center"/>
          </w:tcPr>
          <w:p w14:paraId="7803D98B"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010205"/>
                <w:sz w:val="22"/>
              </w:rPr>
            </w:pPr>
            <w:r w:rsidRPr="002F6EA1">
              <w:rPr>
                <w:rFonts w:ascii="Arial" w:hAnsi="Arial" w:cs="Arial"/>
                <w:b/>
                <w:bCs/>
                <w:color w:val="010205"/>
                <w:sz w:val="22"/>
              </w:rPr>
              <w:t>Reliability Statistics</w:t>
            </w:r>
          </w:p>
        </w:tc>
      </w:tr>
      <w:tr w:rsidR="002F6EA1" w:rsidRPr="002F6EA1" w14:paraId="13D4BAF1" w14:textId="77777777" w:rsidTr="00316911">
        <w:trPr>
          <w:cantSplit/>
        </w:trPr>
        <w:tc>
          <w:tcPr>
            <w:tcW w:w="2808" w:type="pct"/>
            <w:tcBorders>
              <w:top w:val="nil"/>
              <w:left w:val="nil"/>
              <w:bottom w:val="single" w:sz="8" w:space="0" w:color="152935"/>
              <w:right w:val="single" w:sz="8" w:space="0" w:color="E0E0E0"/>
            </w:tcBorders>
            <w:shd w:val="clear" w:color="auto" w:fill="FFFFFF"/>
            <w:vAlign w:val="bottom"/>
          </w:tcPr>
          <w:p w14:paraId="7582E56E"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Cronbach's Alpha</w:t>
            </w:r>
          </w:p>
        </w:tc>
        <w:tc>
          <w:tcPr>
            <w:tcW w:w="2192" w:type="pct"/>
            <w:tcBorders>
              <w:top w:val="nil"/>
              <w:left w:val="single" w:sz="8" w:space="0" w:color="E0E0E0"/>
              <w:bottom w:val="single" w:sz="8" w:space="0" w:color="152935"/>
              <w:right w:val="nil"/>
            </w:tcBorders>
            <w:shd w:val="clear" w:color="auto" w:fill="FFFFFF"/>
            <w:vAlign w:val="bottom"/>
          </w:tcPr>
          <w:p w14:paraId="39A897CF"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N of Items</w:t>
            </w:r>
          </w:p>
        </w:tc>
      </w:tr>
      <w:tr w:rsidR="002F6EA1" w:rsidRPr="002F6EA1" w14:paraId="607E703A" w14:textId="77777777" w:rsidTr="00316911">
        <w:trPr>
          <w:cantSplit/>
        </w:trPr>
        <w:tc>
          <w:tcPr>
            <w:tcW w:w="2808" w:type="pct"/>
            <w:tcBorders>
              <w:top w:val="single" w:sz="8" w:space="0" w:color="152935"/>
              <w:left w:val="nil"/>
              <w:bottom w:val="single" w:sz="8" w:space="0" w:color="152935"/>
              <w:right w:val="single" w:sz="8" w:space="0" w:color="E0E0E0"/>
            </w:tcBorders>
            <w:shd w:val="clear" w:color="auto" w:fill="F9F9FB"/>
          </w:tcPr>
          <w:p w14:paraId="631461C0"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.918</w:t>
            </w:r>
          </w:p>
        </w:tc>
        <w:tc>
          <w:tcPr>
            <w:tcW w:w="2192" w:type="pct"/>
            <w:tcBorders>
              <w:top w:val="single" w:sz="8" w:space="0" w:color="152935"/>
              <w:left w:val="single" w:sz="8" w:space="0" w:color="E0E0E0"/>
              <w:bottom w:val="single" w:sz="8" w:space="0" w:color="152935"/>
              <w:right w:val="nil"/>
            </w:tcBorders>
            <w:shd w:val="clear" w:color="auto" w:fill="F9F9FB"/>
          </w:tcPr>
          <w:p w14:paraId="1FF6F76A"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5</w:t>
            </w:r>
          </w:p>
        </w:tc>
      </w:tr>
    </w:tbl>
    <w:p w14:paraId="695FA7F6" w14:textId="77777777" w:rsidR="001F3A36" w:rsidRDefault="001F3A36" w:rsidP="001F3A36">
      <w:pPr>
        <w:autoSpaceDE w:val="0"/>
        <w:autoSpaceDN w:val="0"/>
        <w:adjustRightInd w:val="0"/>
        <w:spacing w:line="400" w:lineRule="atLeast"/>
        <w:rPr>
          <w:rFonts w:cs="Times New Roman"/>
          <w:szCs w:val="24"/>
        </w:rPr>
      </w:pPr>
    </w:p>
    <w:p w14:paraId="6DA44F4A" w14:textId="5DAA4D2D" w:rsidR="002F6EA1" w:rsidRPr="002F6EA1" w:rsidRDefault="001F3A36" w:rsidP="001F3A36">
      <w:pPr>
        <w:autoSpaceDE w:val="0"/>
        <w:autoSpaceDN w:val="0"/>
        <w:adjustRightInd w:val="0"/>
        <w:spacing w:line="400" w:lineRule="atLeast"/>
        <w:rPr>
          <w:rFonts w:cs="Times New Roman"/>
          <w:szCs w:val="24"/>
        </w:rPr>
      </w:pPr>
      <w:r w:rsidRPr="001F3A36">
        <w:rPr>
          <w:rFonts w:cs="Times New Roman"/>
          <w:szCs w:val="24"/>
        </w:rPr>
        <w:t xml:space="preserve">Infrastructure Reliability has </w:t>
      </w:r>
      <w:r>
        <w:rPr>
          <w:rFonts w:cs="Times New Roman"/>
          <w:szCs w:val="24"/>
        </w:rPr>
        <w:t>a Cronbach's</w:t>
      </w:r>
      <w:r w:rsidRPr="001F3A36">
        <w:rPr>
          <w:rFonts w:cs="Times New Roman"/>
          <w:szCs w:val="24"/>
        </w:rPr>
        <w:t xml:space="preserve"> alpha of 0.918, which means the data has excellent internal consistency. This shows that the items all test the construct</w:t>
      </w:r>
      <w:r>
        <w:rPr>
          <w:rFonts w:cs="Times New Roman"/>
          <w:szCs w:val="24"/>
        </w:rPr>
        <w:t>,</w:t>
      </w:r>
      <w:r w:rsidRPr="001F3A36">
        <w:rPr>
          <w:rFonts w:cs="Times New Roman"/>
          <w:szCs w:val="24"/>
        </w:rPr>
        <w:t xml:space="preserve"> ensuring that it is reliable and that it may be subjected to additional statistical </w:t>
      </w:r>
      <w:r>
        <w:rPr>
          <w:rFonts w:cs="Times New Roman"/>
          <w:szCs w:val="24"/>
        </w:rPr>
        <w:t>tests</w:t>
      </w:r>
      <w:r w:rsidRPr="001F3A36">
        <w:rPr>
          <w:rFonts w:cs="Times New Roman"/>
          <w:szCs w:val="24"/>
        </w:rPr>
        <w:t>.</w:t>
      </w:r>
    </w:p>
    <w:p w14:paraId="0AAA716D" w14:textId="77777777" w:rsidR="002F6EA1" w:rsidRPr="002F6EA1" w:rsidRDefault="002F6EA1" w:rsidP="002F6EA1">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5257"/>
        <w:gridCol w:w="4103"/>
      </w:tblGrid>
      <w:tr w:rsidR="002F6EA1" w:rsidRPr="002F6EA1" w14:paraId="4A98CCE6" w14:textId="77777777" w:rsidTr="00316911">
        <w:trPr>
          <w:cantSplit/>
        </w:trPr>
        <w:tc>
          <w:tcPr>
            <w:tcW w:w="5000" w:type="pct"/>
            <w:gridSpan w:val="2"/>
            <w:tcBorders>
              <w:top w:val="nil"/>
              <w:left w:val="nil"/>
              <w:bottom w:val="nil"/>
              <w:right w:val="nil"/>
            </w:tcBorders>
            <w:shd w:val="clear" w:color="auto" w:fill="FFFFFF"/>
            <w:vAlign w:val="center"/>
          </w:tcPr>
          <w:p w14:paraId="47CE261C"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010205"/>
                <w:sz w:val="22"/>
              </w:rPr>
            </w:pPr>
            <w:r w:rsidRPr="002F6EA1">
              <w:rPr>
                <w:rFonts w:ascii="Arial" w:hAnsi="Arial" w:cs="Arial"/>
                <w:b/>
                <w:bCs/>
                <w:color w:val="010205"/>
                <w:sz w:val="22"/>
              </w:rPr>
              <w:lastRenderedPageBreak/>
              <w:t>Reliability Statistics</w:t>
            </w:r>
          </w:p>
        </w:tc>
      </w:tr>
      <w:tr w:rsidR="002F6EA1" w:rsidRPr="002F6EA1" w14:paraId="48CA022D" w14:textId="77777777" w:rsidTr="00316911">
        <w:trPr>
          <w:cantSplit/>
        </w:trPr>
        <w:tc>
          <w:tcPr>
            <w:tcW w:w="2808" w:type="pct"/>
            <w:tcBorders>
              <w:top w:val="nil"/>
              <w:left w:val="nil"/>
              <w:bottom w:val="single" w:sz="8" w:space="0" w:color="152935"/>
              <w:right w:val="single" w:sz="8" w:space="0" w:color="E0E0E0"/>
            </w:tcBorders>
            <w:shd w:val="clear" w:color="auto" w:fill="FFFFFF"/>
            <w:vAlign w:val="bottom"/>
          </w:tcPr>
          <w:p w14:paraId="62F96D64"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Cronbach's Alpha</w:t>
            </w:r>
          </w:p>
        </w:tc>
        <w:tc>
          <w:tcPr>
            <w:tcW w:w="2192" w:type="pct"/>
            <w:tcBorders>
              <w:top w:val="nil"/>
              <w:left w:val="single" w:sz="8" w:space="0" w:color="E0E0E0"/>
              <w:bottom w:val="single" w:sz="8" w:space="0" w:color="152935"/>
              <w:right w:val="nil"/>
            </w:tcBorders>
            <w:shd w:val="clear" w:color="auto" w:fill="FFFFFF"/>
            <w:vAlign w:val="bottom"/>
          </w:tcPr>
          <w:p w14:paraId="15E68D5E"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N of Items</w:t>
            </w:r>
          </w:p>
        </w:tc>
      </w:tr>
      <w:tr w:rsidR="002F6EA1" w:rsidRPr="002F6EA1" w14:paraId="2A426783" w14:textId="77777777" w:rsidTr="00316911">
        <w:trPr>
          <w:cantSplit/>
        </w:trPr>
        <w:tc>
          <w:tcPr>
            <w:tcW w:w="2808" w:type="pct"/>
            <w:tcBorders>
              <w:top w:val="single" w:sz="8" w:space="0" w:color="152935"/>
              <w:left w:val="nil"/>
              <w:bottom w:val="single" w:sz="8" w:space="0" w:color="152935"/>
              <w:right w:val="single" w:sz="8" w:space="0" w:color="E0E0E0"/>
            </w:tcBorders>
            <w:shd w:val="clear" w:color="auto" w:fill="F9F9FB"/>
          </w:tcPr>
          <w:p w14:paraId="08C24694"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.928</w:t>
            </w:r>
          </w:p>
        </w:tc>
        <w:tc>
          <w:tcPr>
            <w:tcW w:w="2192" w:type="pct"/>
            <w:tcBorders>
              <w:top w:val="single" w:sz="8" w:space="0" w:color="152935"/>
              <w:left w:val="single" w:sz="8" w:space="0" w:color="E0E0E0"/>
              <w:bottom w:val="single" w:sz="8" w:space="0" w:color="152935"/>
              <w:right w:val="nil"/>
            </w:tcBorders>
            <w:shd w:val="clear" w:color="auto" w:fill="F9F9FB"/>
          </w:tcPr>
          <w:p w14:paraId="201A4128"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5</w:t>
            </w:r>
          </w:p>
        </w:tc>
      </w:tr>
    </w:tbl>
    <w:p w14:paraId="6E533F40" w14:textId="77777777" w:rsidR="001F3A36" w:rsidRDefault="001F3A36" w:rsidP="001F3A36"/>
    <w:p w14:paraId="5089C71C" w14:textId="35ED3CD9" w:rsidR="002F6EA1" w:rsidRPr="002F6EA1" w:rsidRDefault="001F3A36" w:rsidP="001F3A36">
      <w:r w:rsidRPr="001F3A36">
        <w:t xml:space="preserve">The Technological Convergence reliability analysis indicates that the </w:t>
      </w:r>
      <w:r>
        <w:t>Cronbach's</w:t>
      </w:r>
      <w:r w:rsidRPr="001F3A36">
        <w:t xml:space="preserve"> alpha of the five items is 0.928, and it has a high internal consistency. This indicates that the items are highly reliable in measuring the construct and can be subjected to additional statistical analysis in the research.</w:t>
      </w:r>
    </w:p>
    <w:p w14:paraId="3269C50A" w14:textId="77777777" w:rsidR="002F6EA1" w:rsidRPr="002F6EA1" w:rsidRDefault="002F6EA1" w:rsidP="002F6EA1">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5257"/>
        <w:gridCol w:w="4103"/>
      </w:tblGrid>
      <w:tr w:rsidR="002F6EA1" w:rsidRPr="002F6EA1" w14:paraId="3336A19A" w14:textId="77777777" w:rsidTr="00316911">
        <w:trPr>
          <w:cantSplit/>
        </w:trPr>
        <w:tc>
          <w:tcPr>
            <w:tcW w:w="5000" w:type="pct"/>
            <w:gridSpan w:val="2"/>
            <w:tcBorders>
              <w:top w:val="nil"/>
              <w:left w:val="nil"/>
              <w:bottom w:val="nil"/>
              <w:right w:val="nil"/>
            </w:tcBorders>
            <w:shd w:val="clear" w:color="auto" w:fill="FFFFFF"/>
            <w:vAlign w:val="center"/>
          </w:tcPr>
          <w:p w14:paraId="1EB8D100"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010205"/>
                <w:sz w:val="22"/>
              </w:rPr>
            </w:pPr>
            <w:r w:rsidRPr="002F6EA1">
              <w:rPr>
                <w:rFonts w:ascii="Arial" w:hAnsi="Arial" w:cs="Arial"/>
                <w:b/>
                <w:bCs/>
                <w:color w:val="010205"/>
                <w:sz w:val="22"/>
              </w:rPr>
              <w:t>Reliability Statistics</w:t>
            </w:r>
          </w:p>
        </w:tc>
      </w:tr>
      <w:tr w:rsidR="002F6EA1" w:rsidRPr="002F6EA1" w14:paraId="31A46107" w14:textId="77777777" w:rsidTr="00316911">
        <w:trPr>
          <w:cantSplit/>
        </w:trPr>
        <w:tc>
          <w:tcPr>
            <w:tcW w:w="2808" w:type="pct"/>
            <w:tcBorders>
              <w:top w:val="nil"/>
              <w:left w:val="nil"/>
              <w:bottom w:val="single" w:sz="8" w:space="0" w:color="152935"/>
              <w:right w:val="single" w:sz="8" w:space="0" w:color="E0E0E0"/>
            </w:tcBorders>
            <w:shd w:val="clear" w:color="auto" w:fill="FFFFFF"/>
            <w:vAlign w:val="bottom"/>
          </w:tcPr>
          <w:p w14:paraId="51E2580D"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Cronbach's Alpha</w:t>
            </w:r>
          </w:p>
        </w:tc>
        <w:tc>
          <w:tcPr>
            <w:tcW w:w="2192" w:type="pct"/>
            <w:tcBorders>
              <w:top w:val="nil"/>
              <w:left w:val="single" w:sz="8" w:space="0" w:color="E0E0E0"/>
              <w:bottom w:val="single" w:sz="8" w:space="0" w:color="152935"/>
              <w:right w:val="nil"/>
            </w:tcBorders>
            <w:shd w:val="clear" w:color="auto" w:fill="FFFFFF"/>
            <w:vAlign w:val="bottom"/>
          </w:tcPr>
          <w:p w14:paraId="7358D305" w14:textId="77777777" w:rsidR="002F6EA1" w:rsidRPr="002F6EA1" w:rsidRDefault="002F6EA1" w:rsidP="002F6EA1">
            <w:pPr>
              <w:autoSpaceDE w:val="0"/>
              <w:autoSpaceDN w:val="0"/>
              <w:adjustRightInd w:val="0"/>
              <w:spacing w:line="320" w:lineRule="atLeast"/>
              <w:ind w:left="60" w:right="60"/>
              <w:jc w:val="center"/>
              <w:rPr>
                <w:rFonts w:ascii="Arial" w:hAnsi="Arial" w:cs="Arial"/>
                <w:color w:val="264A60"/>
                <w:sz w:val="18"/>
                <w:szCs w:val="18"/>
              </w:rPr>
            </w:pPr>
            <w:r w:rsidRPr="002F6EA1">
              <w:rPr>
                <w:rFonts w:ascii="Arial" w:hAnsi="Arial" w:cs="Arial"/>
                <w:color w:val="264A60"/>
                <w:sz w:val="18"/>
                <w:szCs w:val="18"/>
              </w:rPr>
              <w:t>N of Items</w:t>
            </w:r>
          </w:p>
        </w:tc>
      </w:tr>
      <w:tr w:rsidR="002F6EA1" w:rsidRPr="002F6EA1" w14:paraId="4A6B805E" w14:textId="77777777" w:rsidTr="00316911">
        <w:trPr>
          <w:cantSplit/>
        </w:trPr>
        <w:tc>
          <w:tcPr>
            <w:tcW w:w="2808" w:type="pct"/>
            <w:tcBorders>
              <w:top w:val="single" w:sz="8" w:space="0" w:color="152935"/>
              <w:left w:val="nil"/>
              <w:bottom w:val="single" w:sz="8" w:space="0" w:color="152935"/>
              <w:right w:val="single" w:sz="8" w:space="0" w:color="E0E0E0"/>
            </w:tcBorders>
            <w:shd w:val="clear" w:color="auto" w:fill="F9F9FB"/>
          </w:tcPr>
          <w:p w14:paraId="0A2B06EA"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.892</w:t>
            </w:r>
          </w:p>
        </w:tc>
        <w:tc>
          <w:tcPr>
            <w:tcW w:w="2192" w:type="pct"/>
            <w:tcBorders>
              <w:top w:val="single" w:sz="8" w:space="0" w:color="152935"/>
              <w:left w:val="single" w:sz="8" w:space="0" w:color="E0E0E0"/>
              <w:bottom w:val="single" w:sz="8" w:space="0" w:color="152935"/>
              <w:right w:val="nil"/>
            </w:tcBorders>
            <w:shd w:val="clear" w:color="auto" w:fill="F9F9FB"/>
          </w:tcPr>
          <w:p w14:paraId="2FB4E96B" w14:textId="77777777" w:rsidR="002F6EA1" w:rsidRPr="002F6EA1" w:rsidRDefault="002F6EA1" w:rsidP="002F6EA1">
            <w:pPr>
              <w:autoSpaceDE w:val="0"/>
              <w:autoSpaceDN w:val="0"/>
              <w:adjustRightInd w:val="0"/>
              <w:spacing w:line="320" w:lineRule="atLeast"/>
              <w:ind w:left="60" w:right="60"/>
              <w:jc w:val="right"/>
              <w:rPr>
                <w:rFonts w:ascii="Arial" w:hAnsi="Arial" w:cs="Arial"/>
                <w:color w:val="010205"/>
                <w:sz w:val="18"/>
                <w:szCs w:val="18"/>
              </w:rPr>
            </w:pPr>
            <w:r w:rsidRPr="002F6EA1">
              <w:rPr>
                <w:rFonts w:ascii="Arial" w:hAnsi="Arial" w:cs="Arial"/>
                <w:color w:val="010205"/>
                <w:sz w:val="18"/>
                <w:szCs w:val="18"/>
              </w:rPr>
              <w:t>5</w:t>
            </w:r>
          </w:p>
        </w:tc>
      </w:tr>
    </w:tbl>
    <w:p w14:paraId="19286F77" w14:textId="77777777" w:rsidR="002F6EA1" w:rsidRPr="002F6EA1" w:rsidRDefault="002F6EA1" w:rsidP="002F6EA1">
      <w:pPr>
        <w:autoSpaceDE w:val="0"/>
        <w:autoSpaceDN w:val="0"/>
        <w:adjustRightInd w:val="0"/>
        <w:spacing w:line="400" w:lineRule="atLeast"/>
        <w:jc w:val="left"/>
        <w:rPr>
          <w:rFonts w:cs="Times New Roman"/>
          <w:szCs w:val="24"/>
        </w:rPr>
      </w:pPr>
    </w:p>
    <w:p w14:paraId="295B770E" w14:textId="63A7CF2D" w:rsidR="002F6EA1" w:rsidRDefault="001F3A36" w:rsidP="001F3A36">
      <w:r w:rsidRPr="001F3A36">
        <w:t xml:space="preserve">The analysis of </w:t>
      </w:r>
      <w:r>
        <w:t xml:space="preserve">the </w:t>
      </w:r>
      <w:r w:rsidRPr="001F3A36">
        <w:t xml:space="preserve">reliability of the EV Adoption has a </w:t>
      </w:r>
      <w:r>
        <w:t>Cronbach's</w:t>
      </w:r>
      <w:r w:rsidRPr="001F3A36">
        <w:t xml:space="preserve"> alpha of 0.892 with five items, indicating good internal consistency. This implies that the measurement items are dependable and can consistently measure the construct as they can be used in subsequent statistical analysis.</w:t>
      </w:r>
    </w:p>
    <w:p w14:paraId="49514945" w14:textId="77777777" w:rsidR="001F3A36" w:rsidRPr="001F3A36" w:rsidRDefault="001F3A36" w:rsidP="001F3A36">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5257"/>
        <w:gridCol w:w="4103"/>
      </w:tblGrid>
      <w:tr w:rsidR="001F3A36" w:rsidRPr="001F3A36" w14:paraId="6D3CE4EB" w14:textId="77777777" w:rsidTr="00316911">
        <w:trPr>
          <w:cantSplit/>
        </w:trPr>
        <w:tc>
          <w:tcPr>
            <w:tcW w:w="5000" w:type="pct"/>
            <w:gridSpan w:val="2"/>
            <w:tcBorders>
              <w:top w:val="nil"/>
              <w:left w:val="nil"/>
              <w:bottom w:val="nil"/>
              <w:right w:val="nil"/>
            </w:tcBorders>
            <w:shd w:val="clear" w:color="auto" w:fill="FFFFFF"/>
            <w:vAlign w:val="center"/>
          </w:tcPr>
          <w:p w14:paraId="4E74ADD0" w14:textId="77777777" w:rsidR="001F3A36" w:rsidRPr="001F3A36" w:rsidRDefault="001F3A36" w:rsidP="001F3A36">
            <w:pPr>
              <w:autoSpaceDE w:val="0"/>
              <w:autoSpaceDN w:val="0"/>
              <w:adjustRightInd w:val="0"/>
              <w:spacing w:line="320" w:lineRule="atLeast"/>
              <w:ind w:left="60" w:right="60"/>
              <w:jc w:val="center"/>
              <w:rPr>
                <w:rFonts w:ascii="Arial" w:hAnsi="Arial" w:cs="Arial"/>
                <w:color w:val="010205"/>
                <w:sz w:val="22"/>
              </w:rPr>
            </w:pPr>
            <w:r w:rsidRPr="001F3A36">
              <w:rPr>
                <w:rFonts w:ascii="Arial" w:hAnsi="Arial" w:cs="Arial"/>
                <w:b/>
                <w:bCs/>
                <w:color w:val="010205"/>
                <w:sz w:val="22"/>
              </w:rPr>
              <w:t>Reliability Statistics</w:t>
            </w:r>
          </w:p>
        </w:tc>
      </w:tr>
      <w:tr w:rsidR="001F3A36" w:rsidRPr="001F3A36" w14:paraId="47F52D20" w14:textId="77777777" w:rsidTr="00316911">
        <w:trPr>
          <w:cantSplit/>
        </w:trPr>
        <w:tc>
          <w:tcPr>
            <w:tcW w:w="2808" w:type="pct"/>
            <w:tcBorders>
              <w:top w:val="nil"/>
              <w:left w:val="nil"/>
              <w:bottom w:val="single" w:sz="8" w:space="0" w:color="152935"/>
              <w:right w:val="single" w:sz="8" w:space="0" w:color="E0E0E0"/>
            </w:tcBorders>
            <w:shd w:val="clear" w:color="auto" w:fill="FFFFFF"/>
            <w:vAlign w:val="bottom"/>
          </w:tcPr>
          <w:p w14:paraId="5426FBD6" w14:textId="77777777" w:rsidR="001F3A36" w:rsidRPr="001F3A36" w:rsidRDefault="001F3A36" w:rsidP="001F3A36">
            <w:pPr>
              <w:autoSpaceDE w:val="0"/>
              <w:autoSpaceDN w:val="0"/>
              <w:adjustRightInd w:val="0"/>
              <w:spacing w:line="320" w:lineRule="atLeast"/>
              <w:ind w:left="60" w:right="60"/>
              <w:jc w:val="center"/>
              <w:rPr>
                <w:rFonts w:ascii="Arial" w:hAnsi="Arial" w:cs="Arial"/>
                <w:color w:val="264A60"/>
                <w:sz w:val="18"/>
                <w:szCs w:val="18"/>
              </w:rPr>
            </w:pPr>
            <w:r w:rsidRPr="001F3A36">
              <w:rPr>
                <w:rFonts w:ascii="Arial" w:hAnsi="Arial" w:cs="Arial"/>
                <w:color w:val="264A60"/>
                <w:sz w:val="18"/>
                <w:szCs w:val="18"/>
              </w:rPr>
              <w:t>Cronbach's Alpha</w:t>
            </w:r>
          </w:p>
        </w:tc>
        <w:tc>
          <w:tcPr>
            <w:tcW w:w="2192" w:type="pct"/>
            <w:tcBorders>
              <w:top w:val="nil"/>
              <w:left w:val="single" w:sz="8" w:space="0" w:color="E0E0E0"/>
              <w:bottom w:val="single" w:sz="8" w:space="0" w:color="152935"/>
              <w:right w:val="nil"/>
            </w:tcBorders>
            <w:shd w:val="clear" w:color="auto" w:fill="FFFFFF"/>
            <w:vAlign w:val="bottom"/>
          </w:tcPr>
          <w:p w14:paraId="7698334E" w14:textId="77777777" w:rsidR="001F3A36" w:rsidRPr="001F3A36" w:rsidRDefault="001F3A36" w:rsidP="001F3A36">
            <w:pPr>
              <w:autoSpaceDE w:val="0"/>
              <w:autoSpaceDN w:val="0"/>
              <w:adjustRightInd w:val="0"/>
              <w:spacing w:line="320" w:lineRule="atLeast"/>
              <w:ind w:left="60" w:right="60"/>
              <w:jc w:val="center"/>
              <w:rPr>
                <w:rFonts w:ascii="Arial" w:hAnsi="Arial" w:cs="Arial"/>
                <w:color w:val="264A60"/>
                <w:sz w:val="18"/>
                <w:szCs w:val="18"/>
              </w:rPr>
            </w:pPr>
            <w:r w:rsidRPr="001F3A36">
              <w:rPr>
                <w:rFonts w:ascii="Arial" w:hAnsi="Arial" w:cs="Arial"/>
                <w:color w:val="264A60"/>
                <w:sz w:val="18"/>
                <w:szCs w:val="18"/>
              </w:rPr>
              <w:t>N of Items</w:t>
            </w:r>
          </w:p>
        </w:tc>
      </w:tr>
      <w:tr w:rsidR="001F3A36" w:rsidRPr="001F3A36" w14:paraId="45A9951C" w14:textId="77777777" w:rsidTr="00316911">
        <w:trPr>
          <w:cantSplit/>
        </w:trPr>
        <w:tc>
          <w:tcPr>
            <w:tcW w:w="2808" w:type="pct"/>
            <w:tcBorders>
              <w:top w:val="single" w:sz="8" w:space="0" w:color="152935"/>
              <w:left w:val="nil"/>
              <w:bottom w:val="single" w:sz="8" w:space="0" w:color="152935"/>
              <w:right w:val="single" w:sz="8" w:space="0" w:color="E0E0E0"/>
            </w:tcBorders>
            <w:shd w:val="clear" w:color="auto" w:fill="F9F9FB"/>
          </w:tcPr>
          <w:p w14:paraId="23D0ECC8" w14:textId="77777777" w:rsidR="001F3A36" w:rsidRPr="001F3A36" w:rsidRDefault="001F3A36" w:rsidP="001F3A36">
            <w:pPr>
              <w:autoSpaceDE w:val="0"/>
              <w:autoSpaceDN w:val="0"/>
              <w:adjustRightInd w:val="0"/>
              <w:spacing w:line="320" w:lineRule="atLeast"/>
              <w:ind w:left="60" w:right="60"/>
              <w:jc w:val="right"/>
              <w:rPr>
                <w:rFonts w:ascii="Arial" w:hAnsi="Arial" w:cs="Arial"/>
                <w:color w:val="010205"/>
                <w:sz w:val="18"/>
                <w:szCs w:val="18"/>
              </w:rPr>
            </w:pPr>
            <w:r w:rsidRPr="001F3A36">
              <w:rPr>
                <w:rFonts w:ascii="Arial" w:hAnsi="Arial" w:cs="Arial"/>
                <w:color w:val="010205"/>
                <w:sz w:val="18"/>
                <w:szCs w:val="18"/>
              </w:rPr>
              <w:t>.960</w:t>
            </w:r>
          </w:p>
        </w:tc>
        <w:tc>
          <w:tcPr>
            <w:tcW w:w="2192" w:type="pct"/>
            <w:tcBorders>
              <w:top w:val="single" w:sz="8" w:space="0" w:color="152935"/>
              <w:left w:val="single" w:sz="8" w:space="0" w:color="E0E0E0"/>
              <w:bottom w:val="single" w:sz="8" w:space="0" w:color="152935"/>
              <w:right w:val="nil"/>
            </w:tcBorders>
            <w:shd w:val="clear" w:color="auto" w:fill="F9F9FB"/>
          </w:tcPr>
          <w:p w14:paraId="21188B6D" w14:textId="77777777" w:rsidR="001F3A36" w:rsidRPr="001F3A36" w:rsidRDefault="001F3A36" w:rsidP="001F3A36">
            <w:pPr>
              <w:autoSpaceDE w:val="0"/>
              <w:autoSpaceDN w:val="0"/>
              <w:adjustRightInd w:val="0"/>
              <w:spacing w:line="320" w:lineRule="atLeast"/>
              <w:ind w:left="60" w:right="60"/>
              <w:jc w:val="right"/>
              <w:rPr>
                <w:rFonts w:ascii="Arial" w:hAnsi="Arial" w:cs="Arial"/>
                <w:color w:val="010205"/>
                <w:sz w:val="18"/>
                <w:szCs w:val="18"/>
              </w:rPr>
            </w:pPr>
            <w:r w:rsidRPr="001F3A36">
              <w:rPr>
                <w:rFonts w:ascii="Arial" w:hAnsi="Arial" w:cs="Arial"/>
                <w:color w:val="010205"/>
                <w:sz w:val="18"/>
                <w:szCs w:val="18"/>
              </w:rPr>
              <w:t>5</w:t>
            </w:r>
          </w:p>
        </w:tc>
      </w:tr>
    </w:tbl>
    <w:p w14:paraId="77ED506A" w14:textId="77777777" w:rsidR="001F3A36" w:rsidRDefault="001F3A36" w:rsidP="001F3A36"/>
    <w:p w14:paraId="11BE142A" w14:textId="72B364E3" w:rsidR="001F3A36" w:rsidRDefault="001F3A36" w:rsidP="001F3A36">
      <w:r w:rsidRPr="001F3A36">
        <w:t xml:space="preserve">The SDG Contribution reliability analysis displays a Cronbach alpha of 0.960 that comprises five items, which indicates great internal consistency. This shows that the items are quite dependable and always gauge the construct, which explains why they are </w:t>
      </w:r>
      <w:r>
        <w:t>suitable</w:t>
      </w:r>
      <w:r w:rsidRPr="001F3A36">
        <w:t xml:space="preserve"> to be subjected to additional statistical analysis.</w:t>
      </w:r>
    </w:p>
    <w:p w14:paraId="27DFFE3C" w14:textId="6A01F241" w:rsidR="00D02C58" w:rsidRPr="00D02C58" w:rsidRDefault="00D02C58" w:rsidP="00D02C58">
      <w:pPr>
        <w:rPr>
          <w:b/>
          <w:bCs/>
        </w:rPr>
      </w:pPr>
      <w:r w:rsidRPr="00D02C58">
        <w:rPr>
          <w:b/>
          <w:bCs/>
        </w:rPr>
        <w:t>Correlation</w:t>
      </w:r>
    </w:p>
    <w:tbl>
      <w:tblPr>
        <w:tblW w:w="9358" w:type="dxa"/>
        <w:tblLayout w:type="fixed"/>
        <w:tblCellMar>
          <w:left w:w="0" w:type="dxa"/>
          <w:right w:w="0" w:type="dxa"/>
        </w:tblCellMar>
        <w:tblLook w:val="0000" w:firstRow="0" w:lastRow="0" w:firstColumn="0" w:lastColumn="0" w:noHBand="0" w:noVBand="0"/>
      </w:tblPr>
      <w:tblGrid>
        <w:gridCol w:w="1175"/>
        <w:gridCol w:w="1864"/>
        <w:gridCol w:w="974"/>
        <w:gridCol w:w="1045"/>
        <w:gridCol w:w="1074"/>
        <w:gridCol w:w="1031"/>
        <w:gridCol w:w="1016"/>
        <w:gridCol w:w="1179"/>
      </w:tblGrid>
      <w:tr w:rsidR="00D02C58" w:rsidRPr="00D02C58" w14:paraId="5A63A16F" w14:textId="77777777" w:rsidTr="00D049CF">
        <w:trPr>
          <w:cantSplit/>
          <w:trHeight w:val="330"/>
        </w:trPr>
        <w:tc>
          <w:tcPr>
            <w:tcW w:w="9358" w:type="dxa"/>
            <w:gridSpan w:val="8"/>
            <w:tcBorders>
              <w:top w:val="nil"/>
              <w:left w:val="nil"/>
              <w:bottom w:val="nil"/>
              <w:right w:val="nil"/>
            </w:tcBorders>
            <w:shd w:val="clear" w:color="auto" w:fill="FFFFFF"/>
            <w:vAlign w:val="center"/>
          </w:tcPr>
          <w:p w14:paraId="5728FC4B"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010205"/>
                <w:sz w:val="22"/>
              </w:rPr>
            </w:pPr>
            <w:r w:rsidRPr="00D02C58">
              <w:rPr>
                <w:rFonts w:ascii="Arial" w:hAnsi="Arial" w:cs="Arial"/>
                <w:b/>
                <w:bCs/>
                <w:color w:val="010205"/>
                <w:sz w:val="22"/>
              </w:rPr>
              <w:t>Correlations</w:t>
            </w:r>
          </w:p>
        </w:tc>
      </w:tr>
      <w:tr w:rsidR="00D02C58" w:rsidRPr="00D02C58" w14:paraId="06CA882D" w14:textId="77777777" w:rsidTr="00D049CF">
        <w:trPr>
          <w:cantSplit/>
          <w:trHeight w:val="330"/>
        </w:trPr>
        <w:tc>
          <w:tcPr>
            <w:tcW w:w="3039" w:type="dxa"/>
            <w:gridSpan w:val="2"/>
            <w:tcBorders>
              <w:top w:val="nil"/>
              <w:left w:val="nil"/>
              <w:bottom w:val="single" w:sz="8" w:space="0" w:color="152935"/>
              <w:right w:val="nil"/>
            </w:tcBorders>
            <w:shd w:val="clear" w:color="auto" w:fill="FFFFFF"/>
            <w:vAlign w:val="bottom"/>
          </w:tcPr>
          <w:p w14:paraId="3B351783" w14:textId="77777777" w:rsidR="00D02C58" w:rsidRPr="00D02C58" w:rsidRDefault="00D02C58" w:rsidP="00D02C58">
            <w:pPr>
              <w:autoSpaceDE w:val="0"/>
              <w:autoSpaceDN w:val="0"/>
              <w:adjustRightInd w:val="0"/>
              <w:spacing w:line="240" w:lineRule="auto"/>
              <w:jc w:val="left"/>
              <w:rPr>
                <w:rFonts w:cs="Times New Roman"/>
                <w:szCs w:val="24"/>
              </w:rPr>
            </w:pPr>
          </w:p>
        </w:tc>
        <w:tc>
          <w:tcPr>
            <w:tcW w:w="974" w:type="dxa"/>
            <w:tcBorders>
              <w:top w:val="nil"/>
              <w:left w:val="nil"/>
              <w:bottom w:val="single" w:sz="8" w:space="0" w:color="152935"/>
              <w:right w:val="single" w:sz="8" w:space="0" w:color="E0E0E0"/>
            </w:tcBorders>
            <w:shd w:val="clear" w:color="auto" w:fill="FFFFFF"/>
            <w:vAlign w:val="bottom"/>
          </w:tcPr>
          <w:p w14:paraId="7ED3BD8D"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IR_Mean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C1BB692"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PG_Mean</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6E37CBB0"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INF_Mean</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6D8E182B"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TC_Mean</w:t>
            </w:r>
          </w:p>
        </w:tc>
        <w:tc>
          <w:tcPr>
            <w:tcW w:w="1016" w:type="dxa"/>
            <w:tcBorders>
              <w:top w:val="nil"/>
              <w:left w:val="single" w:sz="8" w:space="0" w:color="E0E0E0"/>
              <w:bottom w:val="single" w:sz="8" w:space="0" w:color="152935"/>
              <w:right w:val="single" w:sz="8" w:space="0" w:color="E0E0E0"/>
            </w:tcBorders>
            <w:shd w:val="clear" w:color="auto" w:fill="FFFFFF"/>
            <w:vAlign w:val="bottom"/>
          </w:tcPr>
          <w:p w14:paraId="7F4225EC"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EV_Mean</w:t>
            </w:r>
          </w:p>
        </w:tc>
        <w:tc>
          <w:tcPr>
            <w:tcW w:w="1177" w:type="dxa"/>
            <w:tcBorders>
              <w:top w:val="nil"/>
              <w:left w:val="single" w:sz="8" w:space="0" w:color="E0E0E0"/>
              <w:bottom w:val="single" w:sz="8" w:space="0" w:color="152935"/>
              <w:right w:val="nil"/>
            </w:tcBorders>
            <w:shd w:val="clear" w:color="auto" w:fill="FFFFFF"/>
            <w:vAlign w:val="bottom"/>
          </w:tcPr>
          <w:p w14:paraId="27B5DC20" w14:textId="77777777" w:rsidR="00D02C58" w:rsidRPr="00D02C58" w:rsidRDefault="00D02C58" w:rsidP="00D02C58">
            <w:pPr>
              <w:autoSpaceDE w:val="0"/>
              <w:autoSpaceDN w:val="0"/>
              <w:adjustRightInd w:val="0"/>
              <w:spacing w:line="320" w:lineRule="atLeast"/>
              <w:ind w:left="60" w:right="60"/>
              <w:jc w:val="center"/>
              <w:rPr>
                <w:rFonts w:ascii="Arial" w:hAnsi="Arial" w:cs="Arial"/>
                <w:color w:val="264A60"/>
                <w:sz w:val="18"/>
                <w:szCs w:val="18"/>
              </w:rPr>
            </w:pPr>
            <w:r w:rsidRPr="00D02C58">
              <w:rPr>
                <w:rFonts w:ascii="Arial" w:hAnsi="Arial" w:cs="Arial"/>
                <w:color w:val="264A60"/>
                <w:sz w:val="18"/>
                <w:szCs w:val="18"/>
              </w:rPr>
              <w:t>SDG_Mean</w:t>
            </w:r>
          </w:p>
        </w:tc>
      </w:tr>
      <w:tr w:rsidR="00D02C58" w:rsidRPr="00D02C58" w14:paraId="2D9262B9" w14:textId="77777777" w:rsidTr="00D049CF">
        <w:trPr>
          <w:cantSplit/>
          <w:trHeight w:val="330"/>
        </w:trPr>
        <w:tc>
          <w:tcPr>
            <w:tcW w:w="1175" w:type="dxa"/>
            <w:vMerge w:val="restart"/>
            <w:tcBorders>
              <w:top w:val="single" w:sz="8" w:space="0" w:color="152935"/>
              <w:left w:val="nil"/>
              <w:bottom w:val="nil"/>
              <w:right w:val="nil"/>
            </w:tcBorders>
            <w:shd w:val="clear" w:color="auto" w:fill="E0E0E0"/>
          </w:tcPr>
          <w:p w14:paraId="22D6E3F1"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IR_Mean</w:t>
            </w:r>
          </w:p>
        </w:tc>
        <w:tc>
          <w:tcPr>
            <w:tcW w:w="1864" w:type="dxa"/>
            <w:tcBorders>
              <w:top w:val="single" w:sz="8" w:space="0" w:color="152935"/>
              <w:left w:val="nil"/>
              <w:bottom w:val="single" w:sz="8" w:space="0" w:color="AEAEAE"/>
              <w:right w:val="nil"/>
            </w:tcBorders>
            <w:shd w:val="clear" w:color="auto" w:fill="E0E0E0"/>
          </w:tcPr>
          <w:p w14:paraId="28F353DE"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Pearson Correlation</w:t>
            </w:r>
          </w:p>
        </w:tc>
        <w:tc>
          <w:tcPr>
            <w:tcW w:w="974" w:type="dxa"/>
            <w:tcBorders>
              <w:top w:val="single" w:sz="8" w:space="0" w:color="152935"/>
              <w:left w:val="nil"/>
              <w:bottom w:val="single" w:sz="8" w:space="0" w:color="AEAEAE"/>
              <w:right w:val="single" w:sz="8" w:space="0" w:color="E0E0E0"/>
            </w:tcBorders>
            <w:shd w:val="clear" w:color="auto" w:fill="F9F9FB"/>
          </w:tcPr>
          <w:p w14:paraId="19E531C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8B3A01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.946</w:t>
            </w:r>
            <w:r w:rsidRPr="00D02C58">
              <w:rPr>
                <w:rFonts w:ascii="Arial" w:hAnsi="Arial" w:cs="Arial"/>
                <w:color w:val="010205"/>
                <w:sz w:val="18"/>
                <w:szCs w:val="18"/>
                <w:vertAlign w:val="superscript"/>
              </w:rPr>
              <w:t>**</w:t>
            </w:r>
          </w:p>
        </w:tc>
        <w:tc>
          <w:tcPr>
            <w:tcW w:w="1074" w:type="dxa"/>
            <w:tcBorders>
              <w:top w:val="single" w:sz="8" w:space="0" w:color="152935"/>
              <w:left w:val="single" w:sz="8" w:space="0" w:color="E0E0E0"/>
              <w:bottom w:val="single" w:sz="8" w:space="0" w:color="AEAEAE"/>
              <w:right w:val="single" w:sz="8" w:space="0" w:color="E0E0E0"/>
            </w:tcBorders>
            <w:shd w:val="clear" w:color="auto" w:fill="F9F9FB"/>
          </w:tcPr>
          <w:p w14:paraId="6E119BC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.857</w:t>
            </w:r>
            <w:r w:rsidRPr="00D02C58">
              <w:rPr>
                <w:rFonts w:ascii="Arial" w:hAnsi="Arial" w:cs="Arial"/>
                <w:color w:val="010205"/>
                <w:sz w:val="18"/>
                <w:szCs w:val="18"/>
                <w:vertAlign w:val="superscript"/>
              </w:rPr>
              <w:t>**</w:t>
            </w:r>
          </w:p>
        </w:tc>
        <w:tc>
          <w:tcPr>
            <w:tcW w:w="1031" w:type="dxa"/>
            <w:tcBorders>
              <w:top w:val="single" w:sz="8" w:space="0" w:color="152935"/>
              <w:left w:val="single" w:sz="8" w:space="0" w:color="E0E0E0"/>
              <w:bottom w:val="single" w:sz="8" w:space="0" w:color="AEAEAE"/>
              <w:right w:val="single" w:sz="8" w:space="0" w:color="E0E0E0"/>
            </w:tcBorders>
            <w:shd w:val="clear" w:color="auto" w:fill="F9F9FB"/>
          </w:tcPr>
          <w:p w14:paraId="3491D9B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.857</w:t>
            </w:r>
            <w:r w:rsidRPr="00D02C58">
              <w:rPr>
                <w:rFonts w:ascii="Arial" w:hAnsi="Arial" w:cs="Arial"/>
                <w:color w:val="010205"/>
                <w:sz w:val="18"/>
                <w:szCs w:val="18"/>
                <w:vertAlign w:val="superscript"/>
              </w:rPr>
              <w:t>**</w:t>
            </w:r>
          </w:p>
        </w:tc>
        <w:tc>
          <w:tcPr>
            <w:tcW w:w="1016" w:type="dxa"/>
            <w:tcBorders>
              <w:top w:val="single" w:sz="8" w:space="0" w:color="152935"/>
              <w:left w:val="single" w:sz="8" w:space="0" w:color="E0E0E0"/>
              <w:bottom w:val="single" w:sz="8" w:space="0" w:color="AEAEAE"/>
              <w:right w:val="single" w:sz="8" w:space="0" w:color="E0E0E0"/>
            </w:tcBorders>
            <w:shd w:val="clear" w:color="auto" w:fill="F9F9FB"/>
          </w:tcPr>
          <w:p w14:paraId="5A5A12C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.828</w:t>
            </w:r>
            <w:r w:rsidRPr="00D02C58">
              <w:rPr>
                <w:rFonts w:ascii="Arial" w:hAnsi="Arial" w:cs="Arial"/>
                <w:color w:val="010205"/>
                <w:sz w:val="18"/>
                <w:szCs w:val="18"/>
                <w:vertAlign w:val="superscript"/>
              </w:rPr>
              <w:t>**</w:t>
            </w:r>
          </w:p>
        </w:tc>
        <w:tc>
          <w:tcPr>
            <w:tcW w:w="1177" w:type="dxa"/>
            <w:tcBorders>
              <w:top w:val="single" w:sz="8" w:space="0" w:color="152935"/>
              <w:left w:val="single" w:sz="8" w:space="0" w:color="E0E0E0"/>
              <w:bottom w:val="single" w:sz="8" w:space="0" w:color="AEAEAE"/>
              <w:right w:val="nil"/>
            </w:tcBorders>
            <w:shd w:val="clear" w:color="auto" w:fill="F9F9FB"/>
          </w:tcPr>
          <w:p w14:paraId="4C8F393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.862</w:t>
            </w:r>
            <w:r w:rsidRPr="00D02C58">
              <w:rPr>
                <w:rFonts w:ascii="Arial" w:hAnsi="Arial" w:cs="Arial"/>
                <w:color w:val="010205"/>
                <w:sz w:val="18"/>
                <w:szCs w:val="18"/>
                <w:vertAlign w:val="superscript"/>
              </w:rPr>
              <w:t>**</w:t>
            </w:r>
          </w:p>
        </w:tc>
      </w:tr>
      <w:tr w:rsidR="00D02C58" w:rsidRPr="00D02C58" w14:paraId="620B1054" w14:textId="77777777" w:rsidTr="00D049CF">
        <w:trPr>
          <w:cantSplit/>
          <w:trHeight w:val="350"/>
        </w:trPr>
        <w:tc>
          <w:tcPr>
            <w:tcW w:w="1175" w:type="dxa"/>
            <w:vMerge/>
            <w:tcBorders>
              <w:top w:val="single" w:sz="8" w:space="0" w:color="152935"/>
              <w:left w:val="nil"/>
              <w:bottom w:val="nil"/>
              <w:right w:val="nil"/>
            </w:tcBorders>
            <w:shd w:val="clear" w:color="auto" w:fill="E0E0E0"/>
          </w:tcPr>
          <w:p w14:paraId="63E21D16"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single" w:sz="8" w:space="0" w:color="AEAEAE"/>
              <w:right w:val="nil"/>
            </w:tcBorders>
            <w:shd w:val="clear" w:color="auto" w:fill="E0E0E0"/>
          </w:tcPr>
          <w:p w14:paraId="7482B293"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Sig. (2-tailed)</w:t>
            </w:r>
          </w:p>
        </w:tc>
        <w:tc>
          <w:tcPr>
            <w:tcW w:w="974" w:type="dxa"/>
            <w:tcBorders>
              <w:top w:val="single" w:sz="8" w:space="0" w:color="AEAEAE"/>
              <w:left w:val="nil"/>
              <w:bottom w:val="single" w:sz="8" w:space="0" w:color="AEAEAE"/>
              <w:right w:val="single" w:sz="8" w:space="0" w:color="E0E0E0"/>
            </w:tcBorders>
            <w:shd w:val="clear" w:color="auto" w:fill="F9F9FB"/>
            <w:vAlign w:val="center"/>
          </w:tcPr>
          <w:p w14:paraId="5509AC95" w14:textId="77777777" w:rsidR="00D02C58" w:rsidRPr="00D02C58" w:rsidRDefault="00D02C58" w:rsidP="00D02C58">
            <w:pPr>
              <w:autoSpaceDE w:val="0"/>
              <w:autoSpaceDN w:val="0"/>
              <w:adjustRightInd w:val="0"/>
              <w:spacing w:line="240" w:lineRule="auto"/>
              <w:jc w:val="left"/>
              <w:rPr>
                <w:rFonts w:cs="Times New Roman"/>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F2EC1A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6FC7B7E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5BE6CE3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40810D5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177" w:type="dxa"/>
            <w:tcBorders>
              <w:top w:val="single" w:sz="8" w:space="0" w:color="AEAEAE"/>
              <w:left w:val="single" w:sz="8" w:space="0" w:color="E0E0E0"/>
              <w:bottom w:val="single" w:sz="8" w:space="0" w:color="AEAEAE"/>
              <w:right w:val="nil"/>
            </w:tcBorders>
            <w:shd w:val="clear" w:color="auto" w:fill="F9F9FB"/>
          </w:tcPr>
          <w:p w14:paraId="31E9666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r>
      <w:tr w:rsidR="00D02C58" w:rsidRPr="00D02C58" w14:paraId="771C4770" w14:textId="77777777" w:rsidTr="00D049CF">
        <w:trPr>
          <w:cantSplit/>
          <w:trHeight w:val="350"/>
        </w:trPr>
        <w:tc>
          <w:tcPr>
            <w:tcW w:w="1175" w:type="dxa"/>
            <w:vMerge/>
            <w:tcBorders>
              <w:top w:val="single" w:sz="8" w:space="0" w:color="152935"/>
              <w:left w:val="nil"/>
              <w:bottom w:val="nil"/>
              <w:right w:val="nil"/>
            </w:tcBorders>
            <w:shd w:val="clear" w:color="auto" w:fill="E0E0E0"/>
          </w:tcPr>
          <w:p w14:paraId="5D7E5136"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nil"/>
              <w:right w:val="nil"/>
            </w:tcBorders>
            <w:shd w:val="clear" w:color="auto" w:fill="E0E0E0"/>
          </w:tcPr>
          <w:p w14:paraId="51FE77A2"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N</w:t>
            </w:r>
          </w:p>
        </w:tc>
        <w:tc>
          <w:tcPr>
            <w:tcW w:w="974" w:type="dxa"/>
            <w:tcBorders>
              <w:top w:val="single" w:sz="8" w:space="0" w:color="AEAEAE"/>
              <w:left w:val="nil"/>
              <w:bottom w:val="nil"/>
              <w:right w:val="single" w:sz="8" w:space="0" w:color="E0E0E0"/>
            </w:tcBorders>
            <w:shd w:val="clear" w:color="auto" w:fill="F9F9FB"/>
          </w:tcPr>
          <w:p w14:paraId="2A4054B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45" w:type="dxa"/>
            <w:tcBorders>
              <w:top w:val="single" w:sz="8" w:space="0" w:color="AEAEAE"/>
              <w:left w:val="single" w:sz="8" w:space="0" w:color="E0E0E0"/>
              <w:bottom w:val="nil"/>
              <w:right w:val="single" w:sz="8" w:space="0" w:color="E0E0E0"/>
            </w:tcBorders>
            <w:shd w:val="clear" w:color="auto" w:fill="F9F9FB"/>
          </w:tcPr>
          <w:p w14:paraId="00FF130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74" w:type="dxa"/>
            <w:tcBorders>
              <w:top w:val="single" w:sz="8" w:space="0" w:color="AEAEAE"/>
              <w:left w:val="single" w:sz="8" w:space="0" w:color="E0E0E0"/>
              <w:bottom w:val="nil"/>
              <w:right w:val="single" w:sz="8" w:space="0" w:color="E0E0E0"/>
            </w:tcBorders>
            <w:shd w:val="clear" w:color="auto" w:fill="F9F9FB"/>
          </w:tcPr>
          <w:p w14:paraId="5488C00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31" w:type="dxa"/>
            <w:tcBorders>
              <w:top w:val="single" w:sz="8" w:space="0" w:color="AEAEAE"/>
              <w:left w:val="single" w:sz="8" w:space="0" w:color="E0E0E0"/>
              <w:bottom w:val="nil"/>
              <w:right w:val="single" w:sz="8" w:space="0" w:color="E0E0E0"/>
            </w:tcBorders>
            <w:shd w:val="clear" w:color="auto" w:fill="F9F9FB"/>
          </w:tcPr>
          <w:p w14:paraId="1D3B2B3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16" w:type="dxa"/>
            <w:tcBorders>
              <w:top w:val="single" w:sz="8" w:space="0" w:color="AEAEAE"/>
              <w:left w:val="single" w:sz="8" w:space="0" w:color="E0E0E0"/>
              <w:bottom w:val="nil"/>
              <w:right w:val="single" w:sz="8" w:space="0" w:color="E0E0E0"/>
            </w:tcBorders>
            <w:shd w:val="clear" w:color="auto" w:fill="F9F9FB"/>
          </w:tcPr>
          <w:p w14:paraId="01F52F5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177" w:type="dxa"/>
            <w:tcBorders>
              <w:top w:val="single" w:sz="8" w:space="0" w:color="AEAEAE"/>
              <w:left w:val="single" w:sz="8" w:space="0" w:color="E0E0E0"/>
              <w:bottom w:val="nil"/>
              <w:right w:val="nil"/>
            </w:tcBorders>
            <w:shd w:val="clear" w:color="auto" w:fill="F9F9FB"/>
          </w:tcPr>
          <w:p w14:paraId="362651C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r>
      <w:tr w:rsidR="00D02C58" w:rsidRPr="00D02C58" w14:paraId="18CBA8F1" w14:textId="77777777" w:rsidTr="00D049CF">
        <w:trPr>
          <w:cantSplit/>
          <w:trHeight w:val="330"/>
        </w:trPr>
        <w:tc>
          <w:tcPr>
            <w:tcW w:w="1175" w:type="dxa"/>
            <w:vMerge w:val="restart"/>
            <w:tcBorders>
              <w:top w:val="single" w:sz="8" w:space="0" w:color="AEAEAE"/>
              <w:left w:val="nil"/>
              <w:bottom w:val="nil"/>
              <w:right w:val="nil"/>
            </w:tcBorders>
            <w:shd w:val="clear" w:color="auto" w:fill="E0E0E0"/>
          </w:tcPr>
          <w:p w14:paraId="12ED861B"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PG_Mean</w:t>
            </w:r>
          </w:p>
        </w:tc>
        <w:tc>
          <w:tcPr>
            <w:tcW w:w="1864" w:type="dxa"/>
            <w:tcBorders>
              <w:top w:val="single" w:sz="8" w:space="0" w:color="AEAEAE"/>
              <w:left w:val="nil"/>
              <w:bottom w:val="single" w:sz="8" w:space="0" w:color="AEAEAE"/>
              <w:right w:val="nil"/>
            </w:tcBorders>
            <w:shd w:val="clear" w:color="auto" w:fill="E0E0E0"/>
          </w:tcPr>
          <w:p w14:paraId="3D3E7B5F"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Pearson Correlation</w:t>
            </w:r>
          </w:p>
        </w:tc>
        <w:tc>
          <w:tcPr>
            <w:tcW w:w="974" w:type="dxa"/>
            <w:tcBorders>
              <w:top w:val="single" w:sz="8" w:space="0" w:color="AEAEAE"/>
              <w:left w:val="nil"/>
              <w:bottom w:val="single" w:sz="8" w:space="0" w:color="AEAEAE"/>
              <w:right w:val="single" w:sz="8" w:space="0" w:color="E0E0E0"/>
            </w:tcBorders>
            <w:shd w:val="clear" w:color="auto" w:fill="F9F9FB"/>
          </w:tcPr>
          <w:p w14:paraId="210FC2E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.946</w:t>
            </w:r>
            <w:r w:rsidRPr="00D02C58">
              <w:rPr>
                <w:rFonts w:ascii="Arial" w:hAnsi="Arial" w:cs="Arial"/>
                <w:color w:val="010205"/>
                <w:sz w:val="18"/>
                <w:szCs w:val="18"/>
                <w:vertAlign w:val="superscript"/>
              </w:rPr>
              <w:t>**</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4B403A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38FC4C2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.838</w:t>
            </w:r>
            <w:r w:rsidRPr="00D02C58">
              <w:rPr>
                <w:rFonts w:ascii="Arial" w:hAnsi="Arial" w:cs="Arial"/>
                <w:color w:val="010205"/>
                <w:sz w:val="18"/>
                <w:szCs w:val="18"/>
                <w:vertAlign w:val="superscript"/>
              </w:rPr>
              <w:t>**</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42020FAB"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.838</w:t>
            </w:r>
            <w:r w:rsidRPr="00D02C58">
              <w:rPr>
                <w:rFonts w:ascii="Arial" w:hAnsi="Arial" w:cs="Arial"/>
                <w:color w:val="010205"/>
                <w:sz w:val="18"/>
                <w:szCs w:val="18"/>
                <w:vertAlign w:val="superscript"/>
              </w:rPr>
              <w:t>**</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641FDFFF"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.830</w:t>
            </w:r>
            <w:r w:rsidRPr="00D02C58">
              <w:rPr>
                <w:rFonts w:ascii="Arial" w:hAnsi="Arial" w:cs="Arial"/>
                <w:color w:val="010205"/>
                <w:sz w:val="18"/>
                <w:szCs w:val="18"/>
                <w:vertAlign w:val="superscript"/>
              </w:rPr>
              <w:t>**</w:t>
            </w:r>
          </w:p>
        </w:tc>
        <w:tc>
          <w:tcPr>
            <w:tcW w:w="1177" w:type="dxa"/>
            <w:tcBorders>
              <w:top w:val="single" w:sz="8" w:space="0" w:color="AEAEAE"/>
              <w:left w:val="single" w:sz="8" w:space="0" w:color="E0E0E0"/>
              <w:bottom w:val="single" w:sz="8" w:space="0" w:color="AEAEAE"/>
              <w:right w:val="nil"/>
            </w:tcBorders>
            <w:shd w:val="clear" w:color="auto" w:fill="F9F9FB"/>
          </w:tcPr>
          <w:p w14:paraId="35E1216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.830</w:t>
            </w:r>
            <w:r w:rsidRPr="00D02C58">
              <w:rPr>
                <w:rFonts w:ascii="Arial" w:hAnsi="Arial" w:cs="Arial"/>
                <w:color w:val="010205"/>
                <w:sz w:val="18"/>
                <w:szCs w:val="18"/>
                <w:vertAlign w:val="superscript"/>
              </w:rPr>
              <w:t>**</w:t>
            </w:r>
          </w:p>
        </w:tc>
      </w:tr>
      <w:tr w:rsidR="00D02C58" w:rsidRPr="00D02C58" w14:paraId="5D2FC104"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581CD953"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single" w:sz="8" w:space="0" w:color="AEAEAE"/>
              <w:right w:val="nil"/>
            </w:tcBorders>
            <w:shd w:val="clear" w:color="auto" w:fill="E0E0E0"/>
          </w:tcPr>
          <w:p w14:paraId="65CA32B2"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Sig. (2-tailed)</w:t>
            </w:r>
          </w:p>
        </w:tc>
        <w:tc>
          <w:tcPr>
            <w:tcW w:w="974" w:type="dxa"/>
            <w:tcBorders>
              <w:top w:val="single" w:sz="8" w:space="0" w:color="AEAEAE"/>
              <w:left w:val="nil"/>
              <w:bottom w:val="single" w:sz="8" w:space="0" w:color="AEAEAE"/>
              <w:right w:val="single" w:sz="8" w:space="0" w:color="E0E0E0"/>
            </w:tcBorders>
            <w:shd w:val="clear" w:color="auto" w:fill="F9F9FB"/>
          </w:tcPr>
          <w:p w14:paraId="1907C5EF"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A41318C" w14:textId="77777777" w:rsidR="00D02C58" w:rsidRPr="00D02C58" w:rsidRDefault="00D02C58" w:rsidP="00D02C58">
            <w:pPr>
              <w:autoSpaceDE w:val="0"/>
              <w:autoSpaceDN w:val="0"/>
              <w:adjustRightInd w:val="0"/>
              <w:spacing w:line="240" w:lineRule="auto"/>
              <w:jc w:val="left"/>
              <w:rPr>
                <w:rFonts w:cs="Times New Roman"/>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1216ABE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0ACD101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77EFEA8B"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177" w:type="dxa"/>
            <w:tcBorders>
              <w:top w:val="single" w:sz="8" w:space="0" w:color="AEAEAE"/>
              <w:left w:val="single" w:sz="8" w:space="0" w:color="E0E0E0"/>
              <w:bottom w:val="single" w:sz="8" w:space="0" w:color="AEAEAE"/>
              <w:right w:val="nil"/>
            </w:tcBorders>
            <w:shd w:val="clear" w:color="auto" w:fill="F9F9FB"/>
          </w:tcPr>
          <w:p w14:paraId="4A05D7A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r>
      <w:tr w:rsidR="00D02C58" w:rsidRPr="00D02C58" w14:paraId="30B7C869"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0C0CA700"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nil"/>
              <w:right w:val="nil"/>
            </w:tcBorders>
            <w:shd w:val="clear" w:color="auto" w:fill="E0E0E0"/>
          </w:tcPr>
          <w:p w14:paraId="5C6F57BB"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N</w:t>
            </w:r>
          </w:p>
        </w:tc>
        <w:tc>
          <w:tcPr>
            <w:tcW w:w="974" w:type="dxa"/>
            <w:tcBorders>
              <w:top w:val="single" w:sz="8" w:space="0" w:color="AEAEAE"/>
              <w:left w:val="nil"/>
              <w:bottom w:val="nil"/>
              <w:right w:val="single" w:sz="8" w:space="0" w:color="E0E0E0"/>
            </w:tcBorders>
            <w:shd w:val="clear" w:color="auto" w:fill="F9F9FB"/>
          </w:tcPr>
          <w:p w14:paraId="36858BA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45" w:type="dxa"/>
            <w:tcBorders>
              <w:top w:val="single" w:sz="8" w:space="0" w:color="AEAEAE"/>
              <w:left w:val="single" w:sz="8" w:space="0" w:color="E0E0E0"/>
              <w:bottom w:val="nil"/>
              <w:right w:val="single" w:sz="8" w:space="0" w:color="E0E0E0"/>
            </w:tcBorders>
            <w:shd w:val="clear" w:color="auto" w:fill="F9F9FB"/>
          </w:tcPr>
          <w:p w14:paraId="3C4A928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74" w:type="dxa"/>
            <w:tcBorders>
              <w:top w:val="single" w:sz="8" w:space="0" w:color="AEAEAE"/>
              <w:left w:val="single" w:sz="8" w:space="0" w:color="E0E0E0"/>
              <w:bottom w:val="nil"/>
              <w:right w:val="single" w:sz="8" w:space="0" w:color="E0E0E0"/>
            </w:tcBorders>
            <w:shd w:val="clear" w:color="auto" w:fill="F9F9FB"/>
          </w:tcPr>
          <w:p w14:paraId="13E331B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31" w:type="dxa"/>
            <w:tcBorders>
              <w:top w:val="single" w:sz="8" w:space="0" w:color="AEAEAE"/>
              <w:left w:val="single" w:sz="8" w:space="0" w:color="E0E0E0"/>
              <w:bottom w:val="nil"/>
              <w:right w:val="single" w:sz="8" w:space="0" w:color="E0E0E0"/>
            </w:tcBorders>
            <w:shd w:val="clear" w:color="auto" w:fill="F9F9FB"/>
          </w:tcPr>
          <w:p w14:paraId="0DF7CF1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16" w:type="dxa"/>
            <w:tcBorders>
              <w:top w:val="single" w:sz="8" w:space="0" w:color="AEAEAE"/>
              <w:left w:val="single" w:sz="8" w:space="0" w:color="E0E0E0"/>
              <w:bottom w:val="nil"/>
              <w:right w:val="single" w:sz="8" w:space="0" w:color="E0E0E0"/>
            </w:tcBorders>
            <w:shd w:val="clear" w:color="auto" w:fill="F9F9FB"/>
          </w:tcPr>
          <w:p w14:paraId="76D07E5E"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177" w:type="dxa"/>
            <w:tcBorders>
              <w:top w:val="single" w:sz="8" w:space="0" w:color="AEAEAE"/>
              <w:left w:val="single" w:sz="8" w:space="0" w:color="E0E0E0"/>
              <w:bottom w:val="nil"/>
              <w:right w:val="nil"/>
            </w:tcBorders>
            <w:shd w:val="clear" w:color="auto" w:fill="F9F9FB"/>
          </w:tcPr>
          <w:p w14:paraId="378CD44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r>
      <w:tr w:rsidR="00D02C58" w:rsidRPr="00D02C58" w14:paraId="20355991" w14:textId="77777777" w:rsidTr="00D049CF">
        <w:trPr>
          <w:cantSplit/>
          <w:trHeight w:val="330"/>
        </w:trPr>
        <w:tc>
          <w:tcPr>
            <w:tcW w:w="1175" w:type="dxa"/>
            <w:vMerge w:val="restart"/>
            <w:tcBorders>
              <w:top w:val="single" w:sz="8" w:space="0" w:color="AEAEAE"/>
              <w:left w:val="nil"/>
              <w:bottom w:val="nil"/>
              <w:right w:val="nil"/>
            </w:tcBorders>
            <w:shd w:val="clear" w:color="auto" w:fill="E0E0E0"/>
          </w:tcPr>
          <w:p w14:paraId="15903538"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INF_Mean</w:t>
            </w:r>
          </w:p>
        </w:tc>
        <w:tc>
          <w:tcPr>
            <w:tcW w:w="1864" w:type="dxa"/>
            <w:tcBorders>
              <w:top w:val="single" w:sz="8" w:space="0" w:color="AEAEAE"/>
              <w:left w:val="nil"/>
              <w:bottom w:val="single" w:sz="8" w:space="0" w:color="AEAEAE"/>
              <w:right w:val="nil"/>
            </w:tcBorders>
            <w:shd w:val="clear" w:color="auto" w:fill="E0E0E0"/>
          </w:tcPr>
          <w:p w14:paraId="58566D59"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Pearson Correlation</w:t>
            </w:r>
          </w:p>
        </w:tc>
        <w:tc>
          <w:tcPr>
            <w:tcW w:w="974" w:type="dxa"/>
            <w:tcBorders>
              <w:top w:val="single" w:sz="8" w:space="0" w:color="AEAEAE"/>
              <w:left w:val="nil"/>
              <w:bottom w:val="single" w:sz="8" w:space="0" w:color="AEAEAE"/>
              <w:right w:val="single" w:sz="8" w:space="0" w:color="E0E0E0"/>
            </w:tcBorders>
            <w:shd w:val="clear" w:color="auto" w:fill="F9F9FB"/>
          </w:tcPr>
          <w:p w14:paraId="06ADDE8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.857</w:t>
            </w:r>
            <w:r w:rsidRPr="00D02C58">
              <w:rPr>
                <w:rFonts w:ascii="Arial" w:hAnsi="Arial" w:cs="Arial"/>
                <w:color w:val="010205"/>
                <w:sz w:val="18"/>
                <w:szCs w:val="18"/>
                <w:vertAlign w:val="superscript"/>
              </w:rPr>
              <w:t>**</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73EA9C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.838</w:t>
            </w:r>
            <w:r w:rsidRPr="00D02C58">
              <w:rPr>
                <w:rFonts w:ascii="Arial" w:hAnsi="Arial" w:cs="Arial"/>
                <w:color w:val="010205"/>
                <w:sz w:val="18"/>
                <w:szCs w:val="18"/>
                <w:vertAlign w:val="superscript"/>
              </w:rPr>
              <w:t>**</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1A04DF43"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47F5D33F"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1.000</w:t>
            </w:r>
            <w:r w:rsidRPr="00D02C58">
              <w:rPr>
                <w:rFonts w:ascii="Arial" w:hAnsi="Arial" w:cs="Arial"/>
                <w:color w:val="010205"/>
                <w:sz w:val="18"/>
                <w:szCs w:val="18"/>
                <w:vertAlign w:val="superscript"/>
              </w:rPr>
              <w:t>**</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3CB603C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.930</w:t>
            </w:r>
            <w:r w:rsidRPr="00D02C58">
              <w:rPr>
                <w:rFonts w:ascii="Arial" w:hAnsi="Arial" w:cs="Arial"/>
                <w:color w:val="010205"/>
                <w:sz w:val="18"/>
                <w:szCs w:val="18"/>
                <w:vertAlign w:val="superscript"/>
              </w:rPr>
              <w:t>**</w:t>
            </w:r>
          </w:p>
        </w:tc>
        <w:tc>
          <w:tcPr>
            <w:tcW w:w="1177" w:type="dxa"/>
            <w:tcBorders>
              <w:top w:val="single" w:sz="8" w:space="0" w:color="AEAEAE"/>
              <w:left w:val="single" w:sz="8" w:space="0" w:color="E0E0E0"/>
              <w:bottom w:val="single" w:sz="8" w:space="0" w:color="AEAEAE"/>
              <w:right w:val="nil"/>
            </w:tcBorders>
            <w:shd w:val="clear" w:color="auto" w:fill="F9F9FB"/>
          </w:tcPr>
          <w:p w14:paraId="2DBBFF13"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.812</w:t>
            </w:r>
            <w:r w:rsidRPr="00D02C58">
              <w:rPr>
                <w:rFonts w:ascii="Arial" w:hAnsi="Arial" w:cs="Arial"/>
                <w:color w:val="010205"/>
                <w:sz w:val="18"/>
                <w:szCs w:val="18"/>
                <w:vertAlign w:val="superscript"/>
              </w:rPr>
              <w:t>**</w:t>
            </w:r>
          </w:p>
        </w:tc>
      </w:tr>
      <w:tr w:rsidR="00D02C58" w:rsidRPr="00D02C58" w14:paraId="0385BEB3"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39B9C51A"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single" w:sz="8" w:space="0" w:color="AEAEAE"/>
              <w:right w:val="nil"/>
            </w:tcBorders>
            <w:shd w:val="clear" w:color="auto" w:fill="E0E0E0"/>
          </w:tcPr>
          <w:p w14:paraId="26CB3D7B"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Sig. (2-tailed)</w:t>
            </w:r>
          </w:p>
        </w:tc>
        <w:tc>
          <w:tcPr>
            <w:tcW w:w="974" w:type="dxa"/>
            <w:tcBorders>
              <w:top w:val="single" w:sz="8" w:space="0" w:color="AEAEAE"/>
              <w:left w:val="nil"/>
              <w:bottom w:val="single" w:sz="8" w:space="0" w:color="AEAEAE"/>
              <w:right w:val="single" w:sz="8" w:space="0" w:color="E0E0E0"/>
            </w:tcBorders>
            <w:shd w:val="clear" w:color="auto" w:fill="F9F9FB"/>
          </w:tcPr>
          <w:p w14:paraId="5E0252A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A29A8A3"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7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B373222" w14:textId="77777777" w:rsidR="00D02C58" w:rsidRPr="00D02C58" w:rsidRDefault="00D02C58" w:rsidP="00D02C58">
            <w:pPr>
              <w:autoSpaceDE w:val="0"/>
              <w:autoSpaceDN w:val="0"/>
              <w:adjustRightInd w:val="0"/>
              <w:spacing w:line="240" w:lineRule="auto"/>
              <w:jc w:val="left"/>
              <w:rPr>
                <w:rFonts w:cs="Times New Roman"/>
                <w:szCs w:val="24"/>
              </w:rPr>
            </w:pP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1F8B0FAE"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34E54B1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177" w:type="dxa"/>
            <w:tcBorders>
              <w:top w:val="single" w:sz="8" w:space="0" w:color="AEAEAE"/>
              <w:left w:val="single" w:sz="8" w:space="0" w:color="E0E0E0"/>
              <w:bottom w:val="single" w:sz="8" w:space="0" w:color="AEAEAE"/>
              <w:right w:val="nil"/>
            </w:tcBorders>
            <w:shd w:val="clear" w:color="auto" w:fill="F9F9FB"/>
          </w:tcPr>
          <w:p w14:paraId="5B7DC89B"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r>
      <w:tr w:rsidR="00D02C58" w:rsidRPr="00D02C58" w14:paraId="27BB5549"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3CF18B14"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nil"/>
              <w:right w:val="nil"/>
            </w:tcBorders>
            <w:shd w:val="clear" w:color="auto" w:fill="E0E0E0"/>
          </w:tcPr>
          <w:p w14:paraId="197164FF"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N</w:t>
            </w:r>
          </w:p>
        </w:tc>
        <w:tc>
          <w:tcPr>
            <w:tcW w:w="974" w:type="dxa"/>
            <w:tcBorders>
              <w:top w:val="single" w:sz="8" w:space="0" w:color="AEAEAE"/>
              <w:left w:val="nil"/>
              <w:bottom w:val="nil"/>
              <w:right w:val="single" w:sz="8" w:space="0" w:color="E0E0E0"/>
            </w:tcBorders>
            <w:shd w:val="clear" w:color="auto" w:fill="F9F9FB"/>
          </w:tcPr>
          <w:p w14:paraId="2E3C3F3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45" w:type="dxa"/>
            <w:tcBorders>
              <w:top w:val="single" w:sz="8" w:space="0" w:color="AEAEAE"/>
              <w:left w:val="single" w:sz="8" w:space="0" w:color="E0E0E0"/>
              <w:bottom w:val="nil"/>
              <w:right w:val="single" w:sz="8" w:space="0" w:color="E0E0E0"/>
            </w:tcBorders>
            <w:shd w:val="clear" w:color="auto" w:fill="F9F9FB"/>
          </w:tcPr>
          <w:p w14:paraId="5852CE4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74" w:type="dxa"/>
            <w:tcBorders>
              <w:top w:val="single" w:sz="8" w:space="0" w:color="AEAEAE"/>
              <w:left w:val="single" w:sz="8" w:space="0" w:color="E0E0E0"/>
              <w:bottom w:val="nil"/>
              <w:right w:val="single" w:sz="8" w:space="0" w:color="E0E0E0"/>
            </w:tcBorders>
            <w:shd w:val="clear" w:color="auto" w:fill="F9F9FB"/>
          </w:tcPr>
          <w:p w14:paraId="7BBFEF0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31" w:type="dxa"/>
            <w:tcBorders>
              <w:top w:val="single" w:sz="8" w:space="0" w:color="AEAEAE"/>
              <w:left w:val="single" w:sz="8" w:space="0" w:color="E0E0E0"/>
              <w:bottom w:val="nil"/>
              <w:right w:val="single" w:sz="8" w:space="0" w:color="E0E0E0"/>
            </w:tcBorders>
            <w:shd w:val="clear" w:color="auto" w:fill="F9F9FB"/>
          </w:tcPr>
          <w:p w14:paraId="0D40CD3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16" w:type="dxa"/>
            <w:tcBorders>
              <w:top w:val="single" w:sz="8" w:space="0" w:color="AEAEAE"/>
              <w:left w:val="single" w:sz="8" w:space="0" w:color="E0E0E0"/>
              <w:bottom w:val="nil"/>
              <w:right w:val="single" w:sz="8" w:space="0" w:color="E0E0E0"/>
            </w:tcBorders>
            <w:shd w:val="clear" w:color="auto" w:fill="F9F9FB"/>
          </w:tcPr>
          <w:p w14:paraId="0A0D4DF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177" w:type="dxa"/>
            <w:tcBorders>
              <w:top w:val="single" w:sz="8" w:space="0" w:color="AEAEAE"/>
              <w:left w:val="single" w:sz="8" w:space="0" w:color="E0E0E0"/>
              <w:bottom w:val="nil"/>
              <w:right w:val="nil"/>
            </w:tcBorders>
            <w:shd w:val="clear" w:color="auto" w:fill="F9F9FB"/>
          </w:tcPr>
          <w:p w14:paraId="3B758D5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r>
      <w:tr w:rsidR="00D02C58" w:rsidRPr="00D02C58" w14:paraId="6620E0B2" w14:textId="77777777" w:rsidTr="00D049CF">
        <w:trPr>
          <w:cantSplit/>
          <w:trHeight w:val="330"/>
        </w:trPr>
        <w:tc>
          <w:tcPr>
            <w:tcW w:w="1175" w:type="dxa"/>
            <w:vMerge w:val="restart"/>
            <w:tcBorders>
              <w:top w:val="single" w:sz="8" w:space="0" w:color="AEAEAE"/>
              <w:left w:val="nil"/>
              <w:bottom w:val="nil"/>
              <w:right w:val="nil"/>
            </w:tcBorders>
            <w:shd w:val="clear" w:color="auto" w:fill="E0E0E0"/>
          </w:tcPr>
          <w:p w14:paraId="58C3AAD5"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TC_Mean</w:t>
            </w:r>
          </w:p>
        </w:tc>
        <w:tc>
          <w:tcPr>
            <w:tcW w:w="1864" w:type="dxa"/>
            <w:tcBorders>
              <w:top w:val="single" w:sz="8" w:space="0" w:color="AEAEAE"/>
              <w:left w:val="nil"/>
              <w:bottom w:val="single" w:sz="8" w:space="0" w:color="AEAEAE"/>
              <w:right w:val="nil"/>
            </w:tcBorders>
            <w:shd w:val="clear" w:color="auto" w:fill="E0E0E0"/>
          </w:tcPr>
          <w:p w14:paraId="657D9AFF"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Pearson Correlation</w:t>
            </w:r>
          </w:p>
        </w:tc>
        <w:tc>
          <w:tcPr>
            <w:tcW w:w="974" w:type="dxa"/>
            <w:tcBorders>
              <w:top w:val="single" w:sz="8" w:space="0" w:color="AEAEAE"/>
              <w:left w:val="nil"/>
              <w:bottom w:val="single" w:sz="8" w:space="0" w:color="AEAEAE"/>
              <w:right w:val="single" w:sz="8" w:space="0" w:color="E0E0E0"/>
            </w:tcBorders>
            <w:shd w:val="clear" w:color="auto" w:fill="F9F9FB"/>
          </w:tcPr>
          <w:p w14:paraId="1EB01EE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.857</w:t>
            </w:r>
            <w:r w:rsidRPr="00D02C58">
              <w:rPr>
                <w:rFonts w:ascii="Arial" w:hAnsi="Arial" w:cs="Arial"/>
                <w:color w:val="010205"/>
                <w:sz w:val="18"/>
                <w:szCs w:val="18"/>
                <w:vertAlign w:val="superscript"/>
              </w:rPr>
              <w:t>**</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59D42F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.838</w:t>
            </w:r>
            <w:r w:rsidRPr="00D02C58">
              <w:rPr>
                <w:rFonts w:ascii="Arial" w:hAnsi="Arial" w:cs="Arial"/>
                <w:color w:val="010205"/>
                <w:sz w:val="18"/>
                <w:szCs w:val="18"/>
                <w:vertAlign w:val="superscript"/>
              </w:rPr>
              <w:t>**</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5D1F553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1.000</w:t>
            </w:r>
            <w:r w:rsidRPr="00D02C58">
              <w:rPr>
                <w:rFonts w:ascii="Arial" w:hAnsi="Arial" w:cs="Arial"/>
                <w:color w:val="010205"/>
                <w:sz w:val="18"/>
                <w:szCs w:val="18"/>
                <w:vertAlign w:val="superscript"/>
              </w:rPr>
              <w:t>**</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161554D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4B64432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.930</w:t>
            </w:r>
            <w:r w:rsidRPr="00D02C58">
              <w:rPr>
                <w:rFonts w:ascii="Arial" w:hAnsi="Arial" w:cs="Arial"/>
                <w:color w:val="010205"/>
                <w:sz w:val="18"/>
                <w:szCs w:val="18"/>
                <w:vertAlign w:val="superscript"/>
              </w:rPr>
              <w:t>**</w:t>
            </w:r>
          </w:p>
        </w:tc>
        <w:tc>
          <w:tcPr>
            <w:tcW w:w="1177" w:type="dxa"/>
            <w:tcBorders>
              <w:top w:val="single" w:sz="8" w:space="0" w:color="AEAEAE"/>
              <w:left w:val="single" w:sz="8" w:space="0" w:color="E0E0E0"/>
              <w:bottom w:val="single" w:sz="8" w:space="0" w:color="AEAEAE"/>
              <w:right w:val="nil"/>
            </w:tcBorders>
            <w:shd w:val="clear" w:color="auto" w:fill="F9F9FB"/>
          </w:tcPr>
          <w:p w14:paraId="6070E57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.812</w:t>
            </w:r>
            <w:r w:rsidRPr="00D02C58">
              <w:rPr>
                <w:rFonts w:ascii="Arial" w:hAnsi="Arial" w:cs="Arial"/>
                <w:color w:val="010205"/>
                <w:sz w:val="18"/>
                <w:szCs w:val="18"/>
                <w:vertAlign w:val="superscript"/>
              </w:rPr>
              <w:t>**</w:t>
            </w:r>
          </w:p>
        </w:tc>
      </w:tr>
      <w:tr w:rsidR="00D02C58" w:rsidRPr="00D02C58" w14:paraId="31161865"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16590946"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single" w:sz="8" w:space="0" w:color="AEAEAE"/>
              <w:right w:val="nil"/>
            </w:tcBorders>
            <w:shd w:val="clear" w:color="auto" w:fill="E0E0E0"/>
          </w:tcPr>
          <w:p w14:paraId="70C57886"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Sig. (2-tailed)</w:t>
            </w:r>
          </w:p>
        </w:tc>
        <w:tc>
          <w:tcPr>
            <w:tcW w:w="974" w:type="dxa"/>
            <w:tcBorders>
              <w:top w:val="single" w:sz="8" w:space="0" w:color="AEAEAE"/>
              <w:left w:val="nil"/>
              <w:bottom w:val="single" w:sz="8" w:space="0" w:color="AEAEAE"/>
              <w:right w:val="single" w:sz="8" w:space="0" w:color="E0E0E0"/>
            </w:tcBorders>
            <w:shd w:val="clear" w:color="auto" w:fill="F9F9FB"/>
          </w:tcPr>
          <w:p w14:paraId="62ADB26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CA2E24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4FCFA01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B3DC4E8" w14:textId="77777777" w:rsidR="00D02C58" w:rsidRPr="00D02C58" w:rsidRDefault="00D02C58" w:rsidP="00D02C58">
            <w:pPr>
              <w:autoSpaceDE w:val="0"/>
              <w:autoSpaceDN w:val="0"/>
              <w:adjustRightInd w:val="0"/>
              <w:spacing w:line="240" w:lineRule="auto"/>
              <w:jc w:val="left"/>
              <w:rPr>
                <w:rFonts w:cs="Times New Roman"/>
                <w:szCs w:val="24"/>
              </w:rPr>
            </w:pP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3BB7F2B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177" w:type="dxa"/>
            <w:tcBorders>
              <w:top w:val="single" w:sz="8" w:space="0" w:color="AEAEAE"/>
              <w:left w:val="single" w:sz="8" w:space="0" w:color="E0E0E0"/>
              <w:bottom w:val="single" w:sz="8" w:space="0" w:color="AEAEAE"/>
              <w:right w:val="nil"/>
            </w:tcBorders>
            <w:shd w:val="clear" w:color="auto" w:fill="F9F9FB"/>
          </w:tcPr>
          <w:p w14:paraId="1AE728D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r>
      <w:tr w:rsidR="00D02C58" w:rsidRPr="00D02C58" w14:paraId="5DB3F65A"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37B2AA31"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nil"/>
              <w:right w:val="nil"/>
            </w:tcBorders>
            <w:shd w:val="clear" w:color="auto" w:fill="E0E0E0"/>
          </w:tcPr>
          <w:p w14:paraId="5C37E8EC"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N</w:t>
            </w:r>
          </w:p>
        </w:tc>
        <w:tc>
          <w:tcPr>
            <w:tcW w:w="974" w:type="dxa"/>
            <w:tcBorders>
              <w:top w:val="single" w:sz="8" w:space="0" w:color="AEAEAE"/>
              <w:left w:val="nil"/>
              <w:bottom w:val="nil"/>
              <w:right w:val="single" w:sz="8" w:space="0" w:color="E0E0E0"/>
            </w:tcBorders>
            <w:shd w:val="clear" w:color="auto" w:fill="F9F9FB"/>
          </w:tcPr>
          <w:p w14:paraId="67EF9EBE"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45" w:type="dxa"/>
            <w:tcBorders>
              <w:top w:val="single" w:sz="8" w:space="0" w:color="AEAEAE"/>
              <w:left w:val="single" w:sz="8" w:space="0" w:color="E0E0E0"/>
              <w:bottom w:val="nil"/>
              <w:right w:val="single" w:sz="8" w:space="0" w:color="E0E0E0"/>
            </w:tcBorders>
            <w:shd w:val="clear" w:color="auto" w:fill="F9F9FB"/>
          </w:tcPr>
          <w:p w14:paraId="6EA9C64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74" w:type="dxa"/>
            <w:tcBorders>
              <w:top w:val="single" w:sz="8" w:space="0" w:color="AEAEAE"/>
              <w:left w:val="single" w:sz="8" w:space="0" w:color="E0E0E0"/>
              <w:bottom w:val="nil"/>
              <w:right w:val="single" w:sz="8" w:space="0" w:color="E0E0E0"/>
            </w:tcBorders>
            <w:shd w:val="clear" w:color="auto" w:fill="F9F9FB"/>
          </w:tcPr>
          <w:p w14:paraId="022850D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31" w:type="dxa"/>
            <w:tcBorders>
              <w:top w:val="single" w:sz="8" w:space="0" w:color="AEAEAE"/>
              <w:left w:val="single" w:sz="8" w:space="0" w:color="E0E0E0"/>
              <w:bottom w:val="nil"/>
              <w:right w:val="single" w:sz="8" w:space="0" w:color="E0E0E0"/>
            </w:tcBorders>
            <w:shd w:val="clear" w:color="auto" w:fill="F9F9FB"/>
          </w:tcPr>
          <w:p w14:paraId="5FB0E5E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16" w:type="dxa"/>
            <w:tcBorders>
              <w:top w:val="single" w:sz="8" w:space="0" w:color="AEAEAE"/>
              <w:left w:val="single" w:sz="8" w:space="0" w:color="E0E0E0"/>
              <w:bottom w:val="nil"/>
              <w:right w:val="single" w:sz="8" w:space="0" w:color="E0E0E0"/>
            </w:tcBorders>
            <w:shd w:val="clear" w:color="auto" w:fill="F9F9FB"/>
          </w:tcPr>
          <w:p w14:paraId="20707416"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177" w:type="dxa"/>
            <w:tcBorders>
              <w:top w:val="single" w:sz="8" w:space="0" w:color="AEAEAE"/>
              <w:left w:val="single" w:sz="8" w:space="0" w:color="E0E0E0"/>
              <w:bottom w:val="nil"/>
              <w:right w:val="nil"/>
            </w:tcBorders>
            <w:shd w:val="clear" w:color="auto" w:fill="F9F9FB"/>
          </w:tcPr>
          <w:p w14:paraId="15223E1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r>
      <w:tr w:rsidR="00D02C58" w:rsidRPr="00D02C58" w14:paraId="22C32C3D" w14:textId="77777777" w:rsidTr="00D049CF">
        <w:trPr>
          <w:cantSplit/>
          <w:trHeight w:val="330"/>
        </w:trPr>
        <w:tc>
          <w:tcPr>
            <w:tcW w:w="1175" w:type="dxa"/>
            <w:vMerge w:val="restart"/>
            <w:tcBorders>
              <w:top w:val="single" w:sz="8" w:space="0" w:color="AEAEAE"/>
              <w:left w:val="nil"/>
              <w:bottom w:val="nil"/>
              <w:right w:val="nil"/>
            </w:tcBorders>
            <w:shd w:val="clear" w:color="auto" w:fill="E0E0E0"/>
          </w:tcPr>
          <w:p w14:paraId="5BFED547"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EV_Mean</w:t>
            </w:r>
          </w:p>
        </w:tc>
        <w:tc>
          <w:tcPr>
            <w:tcW w:w="1864" w:type="dxa"/>
            <w:tcBorders>
              <w:top w:val="single" w:sz="8" w:space="0" w:color="AEAEAE"/>
              <w:left w:val="nil"/>
              <w:bottom w:val="single" w:sz="8" w:space="0" w:color="AEAEAE"/>
              <w:right w:val="nil"/>
            </w:tcBorders>
            <w:shd w:val="clear" w:color="auto" w:fill="E0E0E0"/>
          </w:tcPr>
          <w:p w14:paraId="5A48E4ED"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Pearson Correlation</w:t>
            </w:r>
          </w:p>
        </w:tc>
        <w:tc>
          <w:tcPr>
            <w:tcW w:w="974" w:type="dxa"/>
            <w:tcBorders>
              <w:top w:val="single" w:sz="8" w:space="0" w:color="AEAEAE"/>
              <w:left w:val="nil"/>
              <w:bottom w:val="single" w:sz="8" w:space="0" w:color="AEAEAE"/>
              <w:right w:val="single" w:sz="8" w:space="0" w:color="E0E0E0"/>
            </w:tcBorders>
            <w:shd w:val="clear" w:color="auto" w:fill="F9F9FB"/>
          </w:tcPr>
          <w:p w14:paraId="398333A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.828</w:t>
            </w:r>
            <w:r w:rsidRPr="00D02C58">
              <w:rPr>
                <w:rFonts w:ascii="Arial" w:hAnsi="Arial" w:cs="Arial"/>
                <w:color w:val="010205"/>
                <w:sz w:val="18"/>
                <w:szCs w:val="18"/>
                <w:vertAlign w:val="superscript"/>
              </w:rPr>
              <w:t>**</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961B2E2"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.830</w:t>
            </w:r>
            <w:r w:rsidRPr="00D02C58">
              <w:rPr>
                <w:rFonts w:ascii="Arial" w:hAnsi="Arial" w:cs="Arial"/>
                <w:color w:val="010205"/>
                <w:sz w:val="18"/>
                <w:szCs w:val="18"/>
                <w:vertAlign w:val="superscript"/>
              </w:rPr>
              <w:t>**</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341875C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.930</w:t>
            </w:r>
            <w:r w:rsidRPr="00D02C58">
              <w:rPr>
                <w:rFonts w:ascii="Arial" w:hAnsi="Arial" w:cs="Arial"/>
                <w:color w:val="010205"/>
                <w:sz w:val="18"/>
                <w:szCs w:val="18"/>
                <w:vertAlign w:val="superscript"/>
              </w:rPr>
              <w:t>**</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296BE9F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.930</w:t>
            </w:r>
            <w:r w:rsidRPr="00D02C58">
              <w:rPr>
                <w:rFonts w:ascii="Arial" w:hAnsi="Arial" w:cs="Arial"/>
                <w:color w:val="010205"/>
                <w:sz w:val="18"/>
                <w:szCs w:val="18"/>
                <w:vertAlign w:val="superscript"/>
              </w:rPr>
              <w:t>**</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2BFAFD2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w:t>
            </w:r>
          </w:p>
        </w:tc>
        <w:tc>
          <w:tcPr>
            <w:tcW w:w="1177" w:type="dxa"/>
            <w:tcBorders>
              <w:top w:val="single" w:sz="8" w:space="0" w:color="AEAEAE"/>
              <w:left w:val="single" w:sz="8" w:space="0" w:color="E0E0E0"/>
              <w:bottom w:val="single" w:sz="8" w:space="0" w:color="AEAEAE"/>
              <w:right w:val="nil"/>
            </w:tcBorders>
            <w:shd w:val="clear" w:color="auto" w:fill="F9F9FB"/>
          </w:tcPr>
          <w:p w14:paraId="56CD730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.864</w:t>
            </w:r>
            <w:r w:rsidRPr="00D02C58">
              <w:rPr>
                <w:rFonts w:ascii="Arial" w:hAnsi="Arial" w:cs="Arial"/>
                <w:color w:val="010205"/>
                <w:sz w:val="18"/>
                <w:szCs w:val="18"/>
                <w:vertAlign w:val="superscript"/>
              </w:rPr>
              <w:t>**</w:t>
            </w:r>
          </w:p>
        </w:tc>
      </w:tr>
      <w:tr w:rsidR="00D02C58" w:rsidRPr="00D02C58" w14:paraId="316C6E66"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3484DF53"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single" w:sz="8" w:space="0" w:color="AEAEAE"/>
              <w:right w:val="nil"/>
            </w:tcBorders>
            <w:shd w:val="clear" w:color="auto" w:fill="E0E0E0"/>
          </w:tcPr>
          <w:p w14:paraId="687851B6"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Sig. (2-tailed)</w:t>
            </w:r>
          </w:p>
        </w:tc>
        <w:tc>
          <w:tcPr>
            <w:tcW w:w="974" w:type="dxa"/>
            <w:tcBorders>
              <w:top w:val="single" w:sz="8" w:space="0" w:color="AEAEAE"/>
              <w:left w:val="nil"/>
              <w:bottom w:val="single" w:sz="8" w:space="0" w:color="AEAEAE"/>
              <w:right w:val="single" w:sz="8" w:space="0" w:color="E0E0E0"/>
            </w:tcBorders>
            <w:shd w:val="clear" w:color="auto" w:fill="F9F9FB"/>
          </w:tcPr>
          <w:p w14:paraId="6AE395C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7F6956B"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09CEE95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61DA5C4F"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1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1143B43" w14:textId="77777777" w:rsidR="00D02C58" w:rsidRPr="00D02C58" w:rsidRDefault="00D02C58" w:rsidP="00D02C58">
            <w:pPr>
              <w:autoSpaceDE w:val="0"/>
              <w:autoSpaceDN w:val="0"/>
              <w:adjustRightInd w:val="0"/>
              <w:spacing w:line="240" w:lineRule="auto"/>
              <w:jc w:val="left"/>
              <w:rPr>
                <w:rFonts w:cs="Times New Roman"/>
                <w:szCs w:val="24"/>
              </w:rPr>
            </w:pPr>
          </w:p>
        </w:tc>
        <w:tc>
          <w:tcPr>
            <w:tcW w:w="1177" w:type="dxa"/>
            <w:tcBorders>
              <w:top w:val="single" w:sz="8" w:space="0" w:color="AEAEAE"/>
              <w:left w:val="single" w:sz="8" w:space="0" w:color="E0E0E0"/>
              <w:bottom w:val="single" w:sz="8" w:space="0" w:color="AEAEAE"/>
              <w:right w:val="nil"/>
            </w:tcBorders>
            <w:shd w:val="clear" w:color="auto" w:fill="F9F9FB"/>
          </w:tcPr>
          <w:p w14:paraId="503236C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r>
      <w:tr w:rsidR="00D02C58" w:rsidRPr="00D02C58" w14:paraId="42874D60" w14:textId="77777777" w:rsidTr="00D049CF">
        <w:trPr>
          <w:cantSplit/>
          <w:trHeight w:val="350"/>
        </w:trPr>
        <w:tc>
          <w:tcPr>
            <w:tcW w:w="1175" w:type="dxa"/>
            <w:vMerge/>
            <w:tcBorders>
              <w:top w:val="single" w:sz="8" w:space="0" w:color="AEAEAE"/>
              <w:left w:val="nil"/>
              <w:bottom w:val="nil"/>
              <w:right w:val="nil"/>
            </w:tcBorders>
            <w:shd w:val="clear" w:color="auto" w:fill="E0E0E0"/>
          </w:tcPr>
          <w:p w14:paraId="27D40D6E"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nil"/>
              <w:right w:val="nil"/>
            </w:tcBorders>
            <w:shd w:val="clear" w:color="auto" w:fill="E0E0E0"/>
          </w:tcPr>
          <w:p w14:paraId="0D140EA7"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N</w:t>
            </w:r>
          </w:p>
        </w:tc>
        <w:tc>
          <w:tcPr>
            <w:tcW w:w="974" w:type="dxa"/>
            <w:tcBorders>
              <w:top w:val="single" w:sz="8" w:space="0" w:color="AEAEAE"/>
              <w:left w:val="nil"/>
              <w:bottom w:val="nil"/>
              <w:right w:val="single" w:sz="8" w:space="0" w:color="E0E0E0"/>
            </w:tcBorders>
            <w:shd w:val="clear" w:color="auto" w:fill="F9F9FB"/>
          </w:tcPr>
          <w:p w14:paraId="5582E067"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45" w:type="dxa"/>
            <w:tcBorders>
              <w:top w:val="single" w:sz="8" w:space="0" w:color="AEAEAE"/>
              <w:left w:val="single" w:sz="8" w:space="0" w:color="E0E0E0"/>
              <w:bottom w:val="nil"/>
              <w:right w:val="single" w:sz="8" w:space="0" w:color="E0E0E0"/>
            </w:tcBorders>
            <w:shd w:val="clear" w:color="auto" w:fill="F9F9FB"/>
          </w:tcPr>
          <w:p w14:paraId="18E7B10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74" w:type="dxa"/>
            <w:tcBorders>
              <w:top w:val="single" w:sz="8" w:space="0" w:color="AEAEAE"/>
              <w:left w:val="single" w:sz="8" w:space="0" w:color="E0E0E0"/>
              <w:bottom w:val="nil"/>
              <w:right w:val="single" w:sz="8" w:space="0" w:color="E0E0E0"/>
            </w:tcBorders>
            <w:shd w:val="clear" w:color="auto" w:fill="F9F9FB"/>
          </w:tcPr>
          <w:p w14:paraId="0B800D3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31" w:type="dxa"/>
            <w:tcBorders>
              <w:top w:val="single" w:sz="8" w:space="0" w:color="AEAEAE"/>
              <w:left w:val="single" w:sz="8" w:space="0" w:color="E0E0E0"/>
              <w:bottom w:val="nil"/>
              <w:right w:val="single" w:sz="8" w:space="0" w:color="E0E0E0"/>
            </w:tcBorders>
            <w:shd w:val="clear" w:color="auto" w:fill="F9F9FB"/>
          </w:tcPr>
          <w:p w14:paraId="4A873053"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16" w:type="dxa"/>
            <w:tcBorders>
              <w:top w:val="single" w:sz="8" w:space="0" w:color="AEAEAE"/>
              <w:left w:val="single" w:sz="8" w:space="0" w:color="E0E0E0"/>
              <w:bottom w:val="nil"/>
              <w:right w:val="single" w:sz="8" w:space="0" w:color="E0E0E0"/>
            </w:tcBorders>
            <w:shd w:val="clear" w:color="auto" w:fill="F9F9FB"/>
          </w:tcPr>
          <w:p w14:paraId="3F55AEF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177" w:type="dxa"/>
            <w:tcBorders>
              <w:top w:val="single" w:sz="8" w:space="0" w:color="AEAEAE"/>
              <w:left w:val="single" w:sz="8" w:space="0" w:color="E0E0E0"/>
              <w:bottom w:val="nil"/>
              <w:right w:val="nil"/>
            </w:tcBorders>
            <w:shd w:val="clear" w:color="auto" w:fill="F9F9FB"/>
          </w:tcPr>
          <w:p w14:paraId="552689F5"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r>
      <w:tr w:rsidR="00D02C58" w:rsidRPr="00D02C58" w14:paraId="5B6E3D92" w14:textId="77777777" w:rsidTr="00D049CF">
        <w:trPr>
          <w:cantSplit/>
          <w:trHeight w:val="330"/>
        </w:trPr>
        <w:tc>
          <w:tcPr>
            <w:tcW w:w="1175" w:type="dxa"/>
            <w:vMerge w:val="restart"/>
            <w:tcBorders>
              <w:top w:val="single" w:sz="8" w:space="0" w:color="AEAEAE"/>
              <w:left w:val="nil"/>
              <w:bottom w:val="single" w:sz="8" w:space="0" w:color="152935"/>
              <w:right w:val="nil"/>
            </w:tcBorders>
            <w:shd w:val="clear" w:color="auto" w:fill="E0E0E0"/>
          </w:tcPr>
          <w:p w14:paraId="5BB03FC1"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SDG_Mean</w:t>
            </w:r>
          </w:p>
        </w:tc>
        <w:tc>
          <w:tcPr>
            <w:tcW w:w="1864" w:type="dxa"/>
            <w:tcBorders>
              <w:top w:val="single" w:sz="8" w:space="0" w:color="AEAEAE"/>
              <w:left w:val="nil"/>
              <w:bottom w:val="single" w:sz="8" w:space="0" w:color="AEAEAE"/>
              <w:right w:val="nil"/>
            </w:tcBorders>
            <w:shd w:val="clear" w:color="auto" w:fill="E0E0E0"/>
          </w:tcPr>
          <w:p w14:paraId="138AADD3"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Pearson Correlation</w:t>
            </w:r>
          </w:p>
        </w:tc>
        <w:tc>
          <w:tcPr>
            <w:tcW w:w="974" w:type="dxa"/>
            <w:tcBorders>
              <w:top w:val="single" w:sz="8" w:space="0" w:color="AEAEAE"/>
              <w:left w:val="nil"/>
              <w:bottom w:val="single" w:sz="8" w:space="0" w:color="AEAEAE"/>
              <w:right w:val="single" w:sz="8" w:space="0" w:color="E0E0E0"/>
            </w:tcBorders>
            <w:shd w:val="clear" w:color="auto" w:fill="F9F9FB"/>
          </w:tcPr>
          <w:p w14:paraId="4A3B41E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.862</w:t>
            </w:r>
            <w:r w:rsidRPr="00D02C58">
              <w:rPr>
                <w:rFonts w:ascii="Arial" w:hAnsi="Arial" w:cs="Arial"/>
                <w:color w:val="010205"/>
                <w:sz w:val="18"/>
                <w:szCs w:val="18"/>
                <w:vertAlign w:val="superscript"/>
              </w:rPr>
              <w:t>**</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E5C3B5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.830</w:t>
            </w:r>
            <w:r w:rsidRPr="00D02C58">
              <w:rPr>
                <w:rFonts w:ascii="Arial" w:hAnsi="Arial" w:cs="Arial"/>
                <w:color w:val="010205"/>
                <w:sz w:val="18"/>
                <w:szCs w:val="18"/>
                <w:vertAlign w:val="superscript"/>
              </w:rPr>
              <w:t>**</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135D858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.812</w:t>
            </w:r>
            <w:r w:rsidRPr="00D02C58">
              <w:rPr>
                <w:rFonts w:ascii="Arial" w:hAnsi="Arial" w:cs="Arial"/>
                <w:color w:val="010205"/>
                <w:sz w:val="18"/>
                <w:szCs w:val="18"/>
                <w:vertAlign w:val="superscript"/>
              </w:rPr>
              <w:t>**</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05D918E4"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.812</w:t>
            </w:r>
            <w:r w:rsidRPr="00D02C58">
              <w:rPr>
                <w:rFonts w:ascii="Arial" w:hAnsi="Arial" w:cs="Arial"/>
                <w:color w:val="010205"/>
                <w:sz w:val="18"/>
                <w:szCs w:val="18"/>
                <w:vertAlign w:val="superscript"/>
              </w:rPr>
              <w:t>**</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749C8BD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.864</w:t>
            </w:r>
            <w:r w:rsidRPr="00D02C58">
              <w:rPr>
                <w:rFonts w:ascii="Arial" w:hAnsi="Arial" w:cs="Arial"/>
                <w:color w:val="010205"/>
                <w:sz w:val="18"/>
                <w:szCs w:val="18"/>
                <w:vertAlign w:val="superscript"/>
              </w:rPr>
              <w:t>**</w:t>
            </w:r>
          </w:p>
        </w:tc>
        <w:tc>
          <w:tcPr>
            <w:tcW w:w="1177" w:type="dxa"/>
            <w:tcBorders>
              <w:top w:val="single" w:sz="8" w:space="0" w:color="AEAEAE"/>
              <w:left w:val="single" w:sz="8" w:space="0" w:color="E0E0E0"/>
              <w:bottom w:val="single" w:sz="8" w:space="0" w:color="AEAEAE"/>
              <w:right w:val="nil"/>
            </w:tcBorders>
            <w:shd w:val="clear" w:color="auto" w:fill="F9F9FB"/>
          </w:tcPr>
          <w:p w14:paraId="34AC921D"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w:t>
            </w:r>
          </w:p>
        </w:tc>
      </w:tr>
      <w:tr w:rsidR="00D02C58" w:rsidRPr="00D02C58" w14:paraId="44A79728" w14:textId="77777777" w:rsidTr="00D049CF">
        <w:trPr>
          <w:cantSplit/>
          <w:trHeight w:val="350"/>
        </w:trPr>
        <w:tc>
          <w:tcPr>
            <w:tcW w:w="1175" w:type="dxa"/>
            <w:vMerge/>
            <w:tcBorders>
              <w:top w:val="single" w:sz="8" w:space="0" w:color="AEAEAE"/>
              <w:left w:val="nil"/>
              <w:bottom w:val="single" w:sz="8" w:space="0" w:color="152935"/>
              <w:right w:val="nil"/>
            </w:tcBorders>
            <w:shd w:val="clear" w:color="auto" w:fill="E0E0E0"/>
          </w:tcPr>
          <w:p w14:paraId="2F3CFE7B" w14:textId="77777777" w:rsidR="00D02C58" w:rsidRPr="00D02C58" w:rsidRDefault="00D02C58" w:rsidP="00D02C58">
            <w:pPr>
              <w:autoSpaceDE w:val="0"/>
              <w:autoSpaceDN w:val="0"/>
              <w:adjustRightInd w:val="0"/>
              <w:spacing w:line="240" w:lineRule="auto"/>
              <w:jc w:val="left"/>
              <w:rPr>
                <w:rFonts w:ascii="Arial" w:hAnsi="Arial" w:cs="Arial"/>
                <w:color w:val="010205"/>
                <w:sz w:val="18"/>
                <w:szCs w:val="18"/>
              </w:rPr>
            </w:pPr>
          </w:p>
        </w:tc>
        <w:tc>
          <w:tcPr>
            <w:tcW w:w="1864" w:type="dxa"/>
            <w:tcBorders>
              <w:top w:val="single" w:sz="8" w:space="0" w:color="AEAEAE"/>
              <w:left w:val="nil"/>
              <w:bottom w:val="single" w:sz="8" w:space="0" w:color="AEAEAE"/>
              <w:right w:val="nil"/>
            </w:tcBorders>
            <w:shd w:val="clear" w:color="auto" w:fill="E0E0E0"/>
          </w:tcPr>
          <w:p w14:paraId="51FB7280"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Sig. (2-tailed)</w:t>
            </w:r>
          </w:p>
        </w:tc>
        <w:tc>
          <w:tcPr>
            <w:tcW w:w="974" w:type="dxa"/>
            <w:tcBorders>
              <w:top w:val="single" w:sz="8" w:space="0" w:color="AEAEAE"/>
              <w:left w:val="nil"/>
              <w:bottom w:val="single" w:sz="8" w:space="0" w:color="AEAEAE"/>
              <w:right w:val="single" w:sz="8" w:space="0" w:color="E0E0E0"/>
            </w:tcBorders>
            <w:shd w:val="clear" w:color="auto" w:fill="F9F9FB"/>
          </w:tcPr>
          <w:p w14:paraId="36646CB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5ABAEFA"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74" w:type="dxa"/>
            <w:tcBorders>
              <w:top w:val="single" w:sz="8" w:space="0" w:color="AEAEAE"/>
              <w:left w:val="single" w:sz="8" w:space="0" w:color="E0E0E0"/>
              <w:bottom w:val="single" w:sz="8" w:space="0" w:color="AEAEAE"/>
              <w:right w:val="single" w:sz="8" w:space="0" w:color="E0E0E0"/>
            </w:tcBorders>
            <w:shd w:val="clear" w:color="auto" w:fill="F9F9FB"/>
          </w:tcPr>
          <w:p w14:paraId="66648861"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39D0F018"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016" w:type="dxa"/>
            <w:tcBorders>
              <w:top w:val="single" w:sz="8" w:space="0" w:color="AEAEAE"/>
              <w:left w:val="single" w:sz="8" w:space="0" w:color="E0E0E0"/>
              <w:bottom w:val="single" w:sz="8" w:space="0" w:color="AEAEAE"/>
              <w:right w:val="single" w:sz="8" w:space="0" w:color="E0E0E0"/>
            </w:tcBorders>
            <w:shd w:val="clear" w:color="auto" w:fill="F9F9FB"/>
          </w:tcPr>
          <w:p w14:paraId="1F97900E"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.000</w:t>
            </w:r>
          </w:p>
        </w:tc>
        <w:tc>
          <w:tcPr>
            <w:tcW w:w="1177" w:type="dxa"/>
            <w:tcBorders>
              <w:top w:val="single" w:sz="8" w:space="0" w:color="AEAEAE"/>
              <w:left w:val="single" w:sz="8" w:space="0" w:color="E0E0E0"/>
              <w:bottom w:val="single" w:sz="8" w:space="0" w:color="AEAEAE"/>
              <w:right w:val="nil"/>
            </w:tcBorders>
            <w:shd w:val="clear" w:color="auto" w:fill="F9F9FB"/>
            <w:vAlign w:val="center"/>
          </w:tcPr>
          <w:p w14:paraId="147E1991" w14:textId="77777777" w:rsidR="00D02C58" w:rsidRPr="00D02C58" w:rsidRDefault="00D02C58" w:rsidP="00D02C58">
            <w:pPr>
              <w:autoSpaceDE w:val="0"/>
              <w:autoSpaceDN w:val="0"/>
              <w:adjustRightInd w:val="0"/>
              <w:spacing w:line="240" w:lineRule="auto"/>
              <w:jc w:val="left"/>
              <w:rPr>
                <w:rFonts w:cs="Times New Roman"/>
                <w:szCs w:val="24"/>
              </w:rPr>
            </w:pPr>
          </w:p>
        </w:tc>
      </w:tr>
      <w:tr w:rsidR="00D02C58" w:rsidRPr="00D02C58" w14:paraId="3EF3C9A7" w14:textId="77777777" w:rsidTr="00D049CF">
        <w:trPr>
          <w:cantSplit/>
          <w:trHeight w:val="350"/>
        </w:trPr>
        <w:tc>
          <w:tcPr>
            <w:tcW w:w="1175" w:type="dxa"/>
            <w:vMerge/>
            <w:tcBorders>
              <w:top w:val="single" w:sz="8" w:space="0" w:color="AEAEAE"/>
              <w:left w:val="nil"/>
              <w:bottom w:val="single" w:sz="8" w:space="0" w:color="152935"/>
              <w:right w:val="nil"/>
            </w:tcBorders>
            <w:shd w:val="clear" w:color="auto" w:fill="E0E0E0"/>
          </w:tcPr>
          <w:p w14:paraId="6C5EBE4F" w14:textId="77777777" w:rsidR="00D02C58" w:rsidRPr="00D02C58" w:rsidRDefault="00D02C58" w:rsidP="00D02C58">
            <w:pPr>
              <w:autoSpaceDE w:val="0"/>
              <w:autoSpaceDN w:val="0"/>
              <w:adjustRightInd w:val="0"/>
              <w:spacing w:line="240" w:lineRule="auto"/>
              <w:jc w:val="left"/>
              <w:rPr>
                <w:rFonts w:cs="Times New Roman"/>
                <w:szCs w:val="24"/>
              </w:rPr>
            </w:pPr>
          </w:p>
        </w:tc>
        <w:tc>
          <w:tcPr>
            <w:tcW w:w="1864" w:type="dxa"/>
            <w:tcBorders>
              <w:top w:val="single" w:sz="8" w:space="0" w:color="AEAEAE"/>
              <w:left w:val="nil"/>
              <w:bottom w:val="single" w:sz="8" w:space="0" w:color="152935"/>
              <w:right w:val="nil"/>
            </w:tcBorders>
            <w:shd w:val="clear" w:color="auto" w:fill="E0E0E0"/>
          </w:tcPr>
          <w:p w14:paraId="09B7C24E"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264A60"/>
                <w:sz w:val="18"/>
                <w:szCs w:val="18"/>
              </w:rPr>
            </w:pPr>
            <w:r w:rsidRPr="00D02C58">
              <w:rPr>
                <w:rFonts w:ascii="Arial" w:hAnsi="Arial" w:cs="Arial"/>
                <w:color w:val="264A60"/>
                <w:sz w:val="18"/>
                <w:szCs w:val="18"/>
              </w:rPr>
              <w:t>N</w:t>
            </w:r>
          </w:p>
        </w:tc>
        <w:tc>
          <w:tcPr>
            <w:tcW w:w="974" w:type="dxa"/>
            <w:tcBorders>
              <w:top w:val="single" w:sz="8" w:space="0" w:color="AEAEAE"/>
              <w:left w:val="nil"/>
              <w:bottom w:val="single" w:sz="8" w:space="0" w:color="152935"/>
              <w:right w:val="single" w:sz="8" w:space="0" w:color="E0E0E0"/>
            </w:tcBorders>
            <w:shd w:val="clear" w:color="auto" w:fill="F9F9FB"/>
          </w:tcPr>
          <w:p w14:paraId="69A5E98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CFBB21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74" w:type="dxa"/>
            <w:tcBorders>
              <w:top w:val="single" w:sz="8" w:space="0" w:color="AEAEAE"/>
              <w:left w:val="single" w:sz="8" w:space="0" w:color="E0E0E0"/>
              <w:bottom w:val="single" w:sz="8" w:space="0" w:color="152935"/>
              <w:right w:val="single" w:sz="8" w:space="0" w:color="E0E0E0"/>
            </w:tcBorders>
            <w:shd w:val="clear" w:color="auto" w:fill="F9F9FB"/>
          </w:tcPr>
          <w:p w14:paraId="7EEACC20"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31" w:type="dxa"/>
            <w:tcBorders>
              <w:top w:val="single" w:sz="8" w:space="0" w:color="AEAEAE"/>
              <w:left w:val="single" w:sz="8" w:space="0" w:color="E0E0E0"/>
              <w:bottom w:val="single" w:sz="8" w:space="0" w:color="152935"/>
              <w:right w:val="single" w:sz="8" w:space="0" w:color="E0E0E0"/>
            </w:tcBorders>
            <w:shd w:val="clear" w:color="auto" w:fill="F9F9FB"/>
          </w:tcPr>
          <w:p w14:paraId="10A5F04C"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016" w:type="dxa"/>
            <w:tcBorders>
              <w:top w:val="single" w:sz="8" w:space="0" w:color="AEAEAE"/>
              <w:left w:val="single" w:sz="8" w:space="0" w:color="E0E0E0"/>
              <w:bottom w:val="single" w:sz="8" w:space="0" w:color="152935"/>
              <w:right w:val="single" w:sz="8" w:space="0" w:color="E0E0E0"/>
            </w:tcBorders>
            <w:shd w:val="clear" w:color="auto" w:fill="F9F9FB"/>
          </w:tcPr>
          <w:p w14:paraId="49005313"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c>
          <w:tcPr>
            <w:tcW w:w="1177" w:type="dxa"/>
            <w:tcBorders>
              <w:top w:val="single" w:sz="8" w:space="0" w:color="AEAEAE"/>
              <w:left w:val="single" w:sz="8" w:space="0" w:color="E0E0E0"/>
              <w:bottom w:val="single" w:sz="8" w:space="0" w:color="152935"/>
              <w:right w:val="nil"/>
            </w:tcBorders>
            <w:shd w:val="clear" w:color="auto" w:fill="F9F9FB"/>
          </w:tcPr>
          <w:p w14:paraId="2C7FD3F9" w14:textId="77777777" w:rsidR="00D02C58" w:rsidRPr="00D02C58" w:rsidRDefault="00D02C58" w:rsidP="00D02C58">
            <w:pPr>
              <w:autoSpaceDE w:val="0"/>
              <w:autoSpaceDN w:val="0"/>
              <w:adjustRightInd w:val="0"/>
              <w:spacing w:line="320" w:lineRule="atLeast"/>
              <w:ind w:left="60" w:right="60"/>
              <w:jc w:val="right"/>
              <w:rPr>
                <w:rFonts w:ascii="Arial" w:hAnsi="Arial" w:cs="Arial"/>
                <w:color w:val="010205"/>
                <w:sz w:val="18"/>
                <w:szCs w:val="18"/>
              </w:rPr>
            </w:pPr>
            <w:r w:rsidRPr="00D02C58">
              <w:rPr>
                <w:rFonts w:ascii="Arial" w:hAnsi="Arial" w:cs="Arial"/>
                <w:color w:val="010205"/>
                <w:sz w:val="18"/>
                <w:szCs w:val="18"/>
              </w:rPr>
              <w:t>100</w:t>
            </w:r>
          </w:p>
        </w:tc>
      </w:tr>
      <w:tr w:rsidR="00D02C58" w:rsidRPr="00D02C58" w14:paraId="786ECCB2" w14:textId="77777777" w:rsidTr="00D049CF">
        <w:trPr>
          <w:cantSplit/>
          <w:trHeight w:val="330"/>
        </w:trPr>
        <w:tc>
          <w:tcPr>
            <w:tcW w:w="9358" w:type="dxa"/>
            <w:gridSpan w:val="8"/>
            <w:tcBorders>
              <w:top w:val="nil"/>
              <w:left w:val="nil"/>
              <w:bottom w:val="nil"/>
              <w:right w:val="nil"/>
            </w:tcBorders>
            <w:shd w:val="clear" w:color="auto" w:fill="FFFFFF"/>
          </w:tcPr>
          <w:p w14:paraId="298BEF79" w14:textId="77777777" w:rsidR="00D02C58" w:rsidRPr="00D02C58" w:rsidRDefault="00D02C58" w:rsidP="00D02C58">
            <w:pPr>
              <w:autoSpaceDE w:val="0"/>
              <w:autoSpaceDN w:val="0"/>
              <w:adjustRightInd w:val="0"/>
              <w:spacing w:line="320" w:lineRule="atLeast"/>
              <w:ind w:left="60" w:right="60"/>
              <w:jc w:val="left"/>
              <w:rPr>
                <w:rFonts w:ascii="Arial" w:hAnsi="Arial" w:cs="Arial"/>
                <w:color w:val="010205"/>
                <w:sz w:val="18"/>
                <w:szCs w:val="18"/>
              </w:rPr>
            </w:pPr>
            <w:r w:rsidRPr="00D02C58">
              <w:rPr>
                <w:rFonts w:ascii="Arial" w:hAnsi="Arial" w:cs="Arial"/>
                <w:color w:val="010205"/>
                <w:sz w:val="18"/>
                <w:szCs w:val="18"/>
              </w:rPr>
              <w:t>**. Correlation is significant at the 0.01 level (2-tailed).</w:t>
            </w:r>
          </w:p>
        </w:tc>
      </w:tr>
    </w:tbl>
    <w:p w14:paraId="4DAFBD67" w14:textId="59E5D5E0" w:rsidR="00D02C58" w:rsidRPr="00D02C58" w:rsidRDefault="003E3593" w:rsidP="00D049CF">
      <w:pPr>
        <w:autoSpaceDE w:val="0"/>
        <w:autoSpaceDN w:val="0"/>
        <w:adjustRightInd w:val="0"/>
        <w:spacing w:line="400" w:lineRule="atLeast"/>
        <w:rPr>
          <w:rFonts w:cs="Times New Roman"/>
          <w:szCs w:val="24"/>
        </w:rPr>
      </w:pPr>
      <w:r w:rsidRPr="003E3593">
        <w:rPr>
          <w:rFonts w:cs="Times New Roman"/>
          <w:szCs w:val="24"/>
        </w:rPr>
        <w:t xml:space="preserve">According to the correlation analysis, all significant variables show strong and statistically significant positive relationships between each other </w:t>
      </w:r>
      <w:r>
        <w:t>(p &lt; 0.01)</w:t>
      </w:r>
      <w:r w:rsidRPr="003E3593">
        <w:rPr>
          <w:rFonts w:cs="Times New Roman"/>
          <w:szCs w:val="24"/>
        </w:rPr>
        <w:t>. Policy Support (r = 0.946), Infrastructure (r = 0.857) and Technological Convergence (r = 0.857) have a high correlation with Institutional Readiness and are also very much correlated with one another, meaning that institutional factors are highly dependent. EV Adoption has a very high correlation with Infrastructure (r = 0.930), and Technological Convergence (r = 0.930) indicating them to be key determinants of adoption. Other strong associations with EV Adoption are Policy Support (r = 0.830) and Institutional Readiness (r = 0.828) also. Moreover, SDG Contribution is closely related to all the variables, especially EV Adoption (r = 0.864). On the whole, the results reveal that institutional, infrastructural and technological variables are strongly interconnected and have a substantial impact on determining the success of EV uptakes and sustainability of the results.</w:t>
      </w:r>
    </w:p>
    <w:p w14:paraId="596E0D31" w14:textId="614AD3B5" w:rsidR="00D02C58" w:rsidRDefault="00D02C58" w:rsidP="001F3A36">
      <w:pPr>
        <w:rPr>
          <w:b/>
          <w:bCs/>
        </w:rPr>
      </w:pPr>
    </w:p>
    <w:p w14:paraId="0EA89EB9" w14:textId="1CF50D38" w:rsidR="003E3593" w:rsidRDefault="003E3593" w:rsidP="001F3A36">
      <w:pPr>
        <w:rPr>
          <w:b/>
          <w:bCs/>
        </w:rPr>
      </w:pPr>
      <w:r>
        <w:rPr>
          <w:b/>
          <w:bCs/>
        </w:rPr>
        <w:t xml:space="preserve">Regression </w:t>
      </w:r>
    </w:p>
    <w:p w14:paraId="69926CF0" w14:textId="77777777" w:rsidR="003E3593" w:rsidRPr="003E3593" w:rsidRDefault="003E3593" w:rsidP="003E3593">
      <w:pPr>
        <w:autoSpaceDE w:val="0"/>
        <w:autoSpaceDN w:val="0"/>
        <w:adjustRightInd w:val="0"/>
        <w:spacing w:line="240" w:lineRule="auto"/>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1019"/>
        <w:gridCol w:w="1313"/>
        <w:gridCol w:w="1389"/>
        <w:gridCol w:w="1879"/>
        <w:gridCol w:w="1879"/>
        <w:gridCol w:w="1881"/>
      </w:tblGrid>
      <w:tr w:rsidR="003E3593" w:rsidRPr="003E3593" w14:paraId="4D79CC18" w14:textId="77777777" w:rsidTr="00316911">
        <w:trPr>
          <w:cantSplit/>
        </w:trPr>
        <w:tc>
          <w:tcPr>
            <w:tcW w:w="5000" w:type="pct"/>
            <w:gridSpan w:val="6"/>
            <w:tcBorders>
              <w:top w:val="nil"/>
              <w:left w:val="nil"/>
              <w:bottom w:val="nil"/>
              <w:right w:val="nil"/>
            </w:tcBorders>
            <w:shd w:val="clear" w:color="auto" w:fill="FFFFFF"/>
            <w:vAlign w:val="center"/>
          </w:tcPr>
          <w:p w14:paraId="316A1379"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010205"/>
                <w:sz w:val="22"/>
              </w:rPr>
            </w:pPr>
            <w:r w:rsidRPr="003E3593">
              <w:rPr>
                <w:rFonts w:ascii="Arial" w:hAnsi="Arial" w:cs="Arial"/>
                <w:b/>
                <w:bCs/>
                <w:color w:val="010205"/>
                <w:sz w:val="22"/>
              </w:rPr>
              <w:t>Model Summary</w:t>
            </w:r>
            <w:r w:rsidRPr="003E3593">
              <w:rPr>
                <w:rFonts w:ascii="Arial" w:hAnsi="Arial" w:cs="Arial"/>
                <w:b/>
                <w:bCs/>
                <w:color w:val="010205"/>
                <w:sz w:val="22"/>
                <w:vertAlign w:val="superscript"/>
              </w:rPr>
              <w:t>b</w:t>
            </w:r>
          </w:p>
        </w:tc>
      </w:tr>
      <w:tr w:rsidR="003E3593" w:rsidRPr="003E3593" w14:paraId="0C61F050" w14:textId="77777777" w:rsidTr="00316911">
        <w:trPr>
          <w:cantSplit/>
        </w:trPr>
        <w:tc>
          <w:tcPr>
            <w:tcW w:w="544" w:type="pct"/>
            <w:tcBorders>
              <w:top w:val="nil"/>
              <w:left w:val="nil"/>
              <w:bottom w:val="single" w:sz="8" w:space="0" w:color="152935"/>
              <w:right w:val="nil"/>
            </w:tcBorders>
            <w:shd w:val="clear" w:color="auto" w:fill="FFFFFF"/>
            <w:vAlign w:val="bottom"/>
          </w:tcPr>
          <w:p w14:paraId="549784F7"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Model</w:t>
            </w:r>
          </w:p>
        </w:tc>
        <w:tc>
          <w:tcPr>
            <w:tcW w:w="701" w:type="pct"/>
            <w:tcBorders>
              <w:top w:val="nil"/>
              <w:left w:val="nil"/>
              <w:bottom w:val="single" w:sz="8" w:space="0" w:color="152935"/>
              <w:right w:val="single" w:sz="8" w:space="0" w:color="E0E0E0"/>
            </w:tcBorders>
            <w:shd w:val="clear" w:color="auto" w:fill="FFFFFF"/>
            <w:vAlign w:val="bottom"/>
          </w:tcPr>
          <w:p w14:paraId="53D4E62D"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R</w:t>
            </w:r>
          </w:p>
        </w:tc>
        <w:tc>
          <w:tcPr>
            <w:tcW w:w="742" w:type="pct"/>
            <w:tcBorders>
              <w:top w:val="nil"/>
              <w:left w:val="single" w:sz="8" w:space="0" w:color="E0E0E0"/>
              <w:bottom w:val="single" w:sz="8" w:space="0" w:color="152935"/>
              <w:right w:val="single" w:sz="8" w:space="0" w:color="E0E0E0"/>
            </w:tcBorders>
            <w:shd w:val="clear" w:color="auto" w:fill="FFFFFF"/>
            <w:vAlign w:val="bottom"/>
          </w:tcPr>
          <w:p w14:paraId="298F1C26"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R Square</w:t>
            </w:r>
          </w:p>
        </w:tc>
        <w:tc>
          <w:tcPr>
            <w:tcW w:w="1004" w:type="pct"/>
            <w:tcBorders>
              <w:top w:val="nil"/>
              <w:left w:val="single" w:sz="8" w:space="0" w:color="E0E0E0"/>
              <w:bottom w:val="single" w:sz="8" w:space="0" w:color="152935"/>
              <w:right w:val="single" w:sz="8" w:space="0" w:color="E0E0E0"/>
            </w:tcBorders>
            <w:shd w:val="clear" w:color="auto" w:fill="FFFFFF"/>
            <w:vAlign w:val="bottom"/>
          </w:tcPr>
          <w:p w14:paraId="7237A270"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Adjusted R Square</w:t>
            </w:r>
          </w:p>
        </w:tc>
        <w:tc>
          <w:tcPr>
            <w:tcW w:w="1004" w:type="pct"/>
            <w:tcBorders>
              <w:top w:val="nil"/>
              <w:left w:val="single" w:sz="8" w:space="0" w:color="E0E0E0"/>
              <w:bottom w:val="single" w:sz="8" w:space="0" w:color="152935"/>
              <w:right w:val="single" w:sz="8" w:space="0" w:color="E0E0E0"/>
            </w:tcBorders>
            <w:shd w:val="clear" w:color="auto" w:fill="FFFFFF"/>
            <w:vAlign w:val="bottom"/>
          </w:tcPr>
          <w:p w14:paraId="5B5F8B36"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Std. Error of the Estimate</w:t>
            </w:r>
          </w:p>
        </w:tc>
        <w:tc>
          <w:tcPr>
            <w:tcW w:w="1004" w:type="pct"/>
            <w:tcBorders>
              <w:top w:val="nil"/>
              <w:left w:val="single" w:sz="8" w:space="0" w:color="E0E0E0"/>
              <w:bottom w:val="single" w:sz="8" w:space="0" w:color="152935"/>
              <w:right w:val="nil"/>
            </w:tcBorders>
            <w:shd w:val="clear" w:color="auto" w:fill="FFFFFF"/>
            <w:vAlign w:val="bottom"/>
          </w:tcPr>
          <w:p w14:paraId="7B6C7F70"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Durbin-Watson</w:t>
            </w:r>
          </w:p>
        </w:tc>
      </w:tr>
      <w:tr w:rsidR="003E3593" w:rsidRPr="003E3593" w14:paraId="4E8D1DC0" w14:textId="77777777" w:rsidTr="00316911">
        <w:trPr>
          <w:cantSplit/>
        </w:trPr>
        <w:tc>
          <w:tcPr>
            <w:tcW w:w="544" w:type="pct"/>
            <w:tcBorders>
              <w:top w:val="single" w:sz="8" w:space="0" w:color="152935"/>
              <w:left w:val="nil"/>
              <w:bottom w:val="single" w:sz="8" w:space="0" w:color="152935"/>
              <w:right w:val="nil"/>
            </w:tcBorders>
            <w:shd w:val="clear" w:color="auto" w:fill="E0E0E0"/>
          </w:tcPr>
          <w:p w14:paraId="244CF406"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1</w:t>
            </w:r>
          </w:p>
        </w:tc>
        <w:tc>
          <w:tcPr>
            <w:tcW w:w="701" w:type="pct"/>
            <w:tcBorders>
              <w:top w:val="single" w:sz="8" w:space="0" w:color="152935"/>
              <w:left w:val="nil"/>
              <w:bottom w:val="single" w:sz="8" w:space="0" w:color="152935"/>
              <w:right w:val="single" w:sz="8" w:space="0" w:color="E0E0E0"/>
            </w:tcBorders>
            <w:shd w:val="clear" w:color="auto" w:fill="F9F9FB"/>
          </w:tcPr>
          <w:p w14:paraId="373A3E2E"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.953</w:t>
            </w:r>
            <w:r w:rsidRPr="003E3593">
              <w:rPr>
                <w:rFonts w:ascii="Arial" w:hAnsi="Arial" w:cs="Arial"/>
                <w:color w:val="010205"/>
                <w:sz w:val="18"/>
                <w:szCs w:val="18"/>
                <w:vertAlign w:val="superscript"/>
              </w:rPr>
              <w:t>a</w:t>
            </w:r>
          </w:p>
        </w:tc>
        <w:tc>
          <w:tcPr>
            <w:tcW w:w="742" w:type="pct"/>
            <w:tcBorders>
              <w:top w:val="single" w:sz="8" w:space="0" w:color="152935"/>
              <w:left w:val="single" w:sz="8" w:space="0" w:color="E0E0E0"/>
              <w:bottom w:val="single" w:sz="8" w:space="0" w:color="152935"/>
              <w:right w:val="single" w:sz="8" w:space="0" w:color="E0E0E0"/>
            </w:tcBorders>
            <w:shd w:val="clear" w:color="auto" w:fill="F9F9FB"/>
          </w:tcPr>
          <w:p w14:paraId="507046C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.907</w:t>
            </w:r>
          </w:p>
        </w:tc>
        <w:tc>
          <w:tcPr>
            <w:tcW w:w="1004" w:type="pct"/>
            <w:tcBorders>
              <w:top w:val="single" w:sz="8" w:space="0" w:color="152935"/>
              <w:left w:val="single" w:sz="8" w:space="0" w:color="E0E0E0"/>
              <w:bottom w:val="single" w:sz="8" w:space="0" w:color="152935"/>
              <w:right w:val="single" w:sz="8" w:space="0" w:color="E0E0E0"/>
            </w:tcBorders>
            <w:shd w:val="clear" w:color="auto" w:fill="F9F9FB"/>
          </w:tcPr>
          <w:p w14:paraId="7E58E303"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.904</w:t>
            </w:r>
          </w:p>
        </w:tc>
        <w:tc>
          <w:tcPr>
            <w:tcW w:w="1004" w:type="pct"/>
            <w:tcBorders>
              <w:top w:val="single" w:sz="8" w:space="0" w:color="152935"/>
              <w:left w:val="single" w:sz="8" w:space="0" w:color="E0E0E0"/>
              <w:bottom w:val="single" w:sz="8" w:space="0" w:color="152935"/>
              <w:right w:val="single" w:sz="8" w:space="0" w:color="E0E0E0"/>
            </w:tcBorders>
            <w:shd w:val="clear" w:color="auto" w:fill="F9F9FB"/>
          </w:tcPr>
          <w:p w14:paraId="3309E14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.32191</w:t>
            </w:r>
          </w:p>
        </w:tc>
        <w:tc>
          <w:tcPr>
            <w:tcW w:w="1004" w:type="pct"/>
            <w:tcBorders>
              <w:top w:val="single" w:sz="8" w:space="0" w:color="152935"/>
              <w:left w:val="single" w:sz="8" w:space="0" w:color="E0E0E0"/>
              <w:bottom w:val="single" w:sz="8" w:space="0" w:color="152935"/>
              <w:right w:val="nil"/>
            </w:tcBorders>
            <w:shd w:val="clear" w:color="auto" w:fill="F9F9FB"/>
          </w:tcPr>
          <w:p w14:paraId="1D15208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2.249</w:t>
            </w:r>
          </w:p>
        </w:tc>
      </w:tr>
      <w:tr w:rsidR="003E3593" w:rsidRPr="003E3593" w14:paraId="27781EDA" w14:textId="77777777" w:rsidTr="00316911">
        <w:trPr>
          <w:cantSplit/>
        </w:trPr>
        <w:tc>
          <w:tcPr>
            <w:tcW w:w="5000" w:type="pct"/>
            <w:gridSpan w:val="6"/>
            <w:tcBorders>
              <w:top w:val="nil"/>
              <w:left w:val="nil"/>
              <w:bottom w:val="nil"/>
              <w:right w:val="nil"/>
            </w:tcBorders>
            <w:shd w:val="clear" w:color="auto" w:fill="FFFFFF"/>
          </w:tcPr>
          <w:p w14:paraId="16BB38A0"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a. Predictors: (Constant), SDG_Mean, TC_Mean, PG_Mean, IR_Mean</w:t>
            </w:r>
          </w:p>
        </w:tc>
      </w:tr>
      <w:tr w:rsidR="003E3593" w:rsidRPr="003E3593" w14:paraId="49CB09F1" w14:textId="77777777" w:rsidTr="00316911">
        <w:trPr>
          <w:cantSplit/>
        </w:trPr>
        <w:tc>
          <w:tcPr>
            <w:tcW w:w="5000" w:type="pct"/>
            <w:gridSpan w:val="6"/>
            <w:tcBorders>
              <w:top w:val="nil"/>
              <w:left w:val="nil"/>
              <w:bottom w:val="nil"/>
              <w:right w:val="nil"/>
            </w:tcBorders>
            <w:shd w:val="clear" w:color="auto" w:fill="FFFFFF"/>
          </w:tcPr>
          <w:p w14:paraId="46446B09"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b. Dependent Variable: EV_Mean</w:t>
            </w:r>
          </w:p>
        </w:tc>
      </w:tr>
    </w:tbl>
    <w:p w14:paraId="4D8D5AC7" w14:textId="1607D343" w:rsidR="00316911" w:rsidRDefault="00316911" w:rsidP="003E3593">
      <w:pPr>
        <w:autoSpaceDE w:val="0"/>
        <w:autoSpaceDN w:val="0"/>
        <w:adjustRightInd w:val="0"/>
        <w:spacing w:line="400" w:lineRule="atLeast"/>
        <w:jc w:val="left"/>
        <w:rPr>
          <w:rFonts w:cs="Times New Roman"/>
          <w:szCs w:val="24"/>
        </w:rPr>
      </w:pPr>
    </w:p>
    <w:p w14:paraId="45407E4B" w14:textId="77777777" w:rsidR="00316911" w:rsidRDefault="00316911">
      <w:pPr>
        <w:spacing w:after="160" w:line="259" w:lineRule="auto"/>
        <w:jc w:val="left"/>
        <w:rPr>
          <w:rFonts w:cs="Times New Roman"/>
          <w:szCs w:val="24"/>
        </w:rPr>
      </w:pPr>
      <w:r>
        <w:rPr>
          <w:rFonts w:cs="Times New Roman"/>
          <w:szCs w:val="24"/>
        </w:rPr>
        <w:br w:type="page"/>
      </w:r>
    </w:p>
    <w:tbl>
      <w:tblPr>
        <w:tblW w:w="5000" w:type="pct"/>
        <w:tblCellMar>
          <w:left w:w="0" w:type="dxa"/>
          <w:right w:w="0" w:type="dxa"/>
        </w:tblCellMar>
        <w:tblLook w:val="0000" w:firstRow="0" w:lastRow="0" w:firstColumn="0" w:lastColumn="0" w:noHBand="0" w:noVBand="0"/>
      </w:tblPr>
      <w:tblGrid>
        <w:gridCol w:w="862"/>
        <w:gridCol w:w="1509"/>
        <w:gridCol w:w="1726"/>
        <w:gridCol w:w="1204"/>
        <w:gridCol w:w="1653"/>
        <w:gridCol w:w="1204"/>
        <w:gridCol w:w="1202"/>
      </w:tblGrid>
      <w:tr w:rsidR="003E3593" w:rsidRPr="003E3593" w14:paraId="326BA856" w14:textId="77777777" w:rsidTr="00316911">
        <w:trPr>
          <w:cantSplit/>
        </w:trPr>
        <w:tc>
          <w:tcPr>
            <w:tcW w:w="5000" w:type="pct"/>
            <w:gridSpan w:val="7"/>
            <w:tcBorders>
              <w:top w:val="nil"/>
              <w:left w:val="nil"/>
              <w:bottom w:val="nil"/>
              <w:right w:val="nil"/>
            </w:tcBorders>
            <w:shd w:val="clear" w:color="auto" w:fill="FFFFFF"/>
            <w:vAlign w:val="center"/>
          </w:tcPr>
          <w:p w14:paraId="42E0500C"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010205"/>
                <w:sz w:val="22"/>
              </w:rPr>
            </w:pPr>
            <w:r w:rsidRPr="003E3593">
              <w:rPr>
                <w:rFonts w:ascii="Arial" w:hAnsi="Arial" w:cs="Arial"/>
                <w:b/>
                <w:bCs/>
                <w:color w:val="010205"/>
                <w:sz w:val="22"/>
              </w:rPr>
              <w:lastRenderedPageBreak/>
              <w:t>ANOVA</w:t>
            </w:r>
            <w:r w:rsidRPr="003E3593">
              <w:rPr>
                <w:rFonts w:ascii="Arial" w:hAnsi="Arial" w:cs="Arial"/>
                <w:b/>
                <w:bCs/>
                <w:color w:val="010205"/>
                <w:sz w:val="22"/>
                <w:vertAlign w:val="superscript"/>
              </w:rPr>
              <w:t>a</w:t>
            </w:r>
          </w:p>
        </w:tc>
      </w:tr>
      <w:tr w:rsidR="003E3593" w:rsidRPr="003E3593" w14:paraId="402EC5B0" w14:textId="77777777" w:rsidTr="00316911">
        <w:trPr>
          <w:cantSplit/>
        </w:trPr>
        <w:tc>
          <w:tcPr>
            <w:tcW w:w="1267" w:type="pct"/>
            <w:gridSpan w:val="2"/>
            <w:tcBorders>
              <w:top w:val="nil"/>
              <w:left w:val="nil"/>
              <w:bottom w:val="single" w:sz="8" w:space="0" w:color="152935"/>
              <w:right w:val="nil"/>
            </w:tcBorders>
            <w:shd w:val="clear" w:color="auto" w:fill="FFFFFF"/>
            <w:vAlign w:val="bottom"/>
          </w:tcPr>
          <w:p w14:paraId="6725CC1F"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Model</w:t>
            </w:r>
          </w:p>
        </w:tc>
        <w:tc>
          <w:tcPr>
            <w:tcW w:w="922" w:type="pct"/>
            <w:tcBorders>
              <w:top w:val="nil"/>
              <w:left w:val="nil"/>
              <w:bottom w:val="single" w:sz="8" w:space="0" w:color="152935"/>
              <w:right w:val="single" w:sz="8" w:space="0" w:color="E0E0E0"/>
            </w:tcBorders>
            <w:shd w:val="clear" w:color="auto" w:fill="FFFFFF"/>
            <w:vAlign w:val="bottom"/>
          </w:tcPr>
          <w:p w14:paraId="3014BC25"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Sum of Squares</w:t>
            </w:r>
          </w:p>
        </w:tc>
        <w:tc>
          <w:tcPr>
            <w:tcW w:w="643" w:type="pct"/>
            <w:tcBorders>
              <w:top w:val="nil"/>
              <w:left w:val="single" w:sz="8" w:space="0" w:color="E0E0E0"/>
              <w:bottom w:val="single" w:sz="8" w:space="0" w:color="152935"/>
              <w:right w:val="single" w:sz="8" w:space="0" w:color="E0E0E0"/>
            </w:tcBorders>
            <w:shd w:val="clear" w:color="auto" w:fill="FFFFFF"/>
            <w:vAlign w:val="bottom"/>
          </w:tcPr>
          <w:p w14:paraId="2682AD16"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df</w:t>
            </w:r>
          </w:p>
        </w:tc>
        <w:tc>
          <w:tcPr>
            <w:tcW w:w="883" w:type="pct"/>
            <w:tcBorders>
              <w:top w:val="nil"/>
              <w:left w:val="single" w:sz="8" w:space="0" w:color="E0E0E0"/>
              <w:bottom w:val="single" w:sz="8" w:space="0" w:color="152935"/>
              <w:right w:val="single" w:sz="8" w:space="0" w:color="E0E0E0"/>
            </w:tcBorders>
            <w:shd w:val="clear" w:color="auto" w:fill="FFFFFF"/>
            <w:vAlign w:val="bottom"/>
          </w:tcPr>
          <w:p w14:paraId="7E36F011"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Mean Square</w:t>
            </w:r>
          </w:p>
        </w:tc>
        <w:tc>
          <w:tcPr>
            <w:tcW w:w="643" w:type="pct"/>
            <w:tcBorders>
              <w:top w:val="nil"/>
              <w:left w:val="single" w:sz="8" w:space="0" w:color="E0E0E0"/>
              <w:bottom w:val="single" w:sz="8" w:space="0" w:color="152935"/>
              <w:right w:val="single" w:sz="8" w:space="0" w:color="E0E0E0"/>
            </w:tcBorders>
            <w:shd w:val="clear" w:color="auto" w:fill="FFFFFF"/>
            <w:vAlign w:val="bottom"/>
          </w:tcPr>
          <w:p w14:paraId="1CA4BC88"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F</w:t>
            </w:r>
          </w:p>
        </w:tc>
        <w:tc>
          <w:tcPr>
            <w:tcW w:w="643" w:type="pct"/>
            <w:tcBorders>
              <w:top w:val="nil"/>
              <w:left w:val="single" w:sz="8" w:space="0" w:color="E0E0E0"/>
              <w:bottom w:val="single" w:sz="8" w:space="0" w:color="152935"/>
              <w:right w:val="nil"/>
            </w:tcBorders>
            <w:shd w:val="clear" w:color="auto" w:fill="FFFFFF"/>
            <w:vAlign w:val="bottom"/>
          </w:tcPr>
          <w:p w14:paraId="76E166B9"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Sig.</w:t>
            </w:r>
          </w:p>
        </w:tc>
      </w:tr>
      <w:tr w:rsidR="003E3593" w:rsidRPr="003E3593" w14:paraId="1DDF201D" w14:textId="77777777" w:rsidTr="00316911">
        <w:trPr>
          <w:cantSplit/>
        </w:trPr>
        <w:tc>
          <w:tcPr>
            <w:tcW w:w="461" w:type="pct"/>
            <w:vMerge w:val="restart"/>
            <w:tcBorders>
              <w:top w:val="single" w:sz="8" w:space="0" w:color="152935"/>
              <w:left w:val="nil"/>
              <w:bottom w:val="single" w:sz="8" w:space="0" w:color="152935"/>
              <w:right w:val="nil"/>
            </w:tcBorders>
            <w:shd w:val="clear" w:color="auto" w:fill="E0E0E0"/>
          </w:tcPr>
          <w:p w14:paraId="5D62BBCA"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1</w:t>
            </w:r>
          </w:p>
        </w:tc>
        <w:tc>
          <w:tcPr>
            <w:tcW w:w="806" w:type="pct"/>
            <w:tcBorders>
              <w:top w:val="single" w:sz="8" w:space="0" w:color="152935"/>
              <w:left w:val="nil"/>
              <w:bottom w:val="single" w:sz="8" w:space="0" w:color="AEAEAE"/>
              <w:right w:val="nil"/>
            </w:tcBorders>
            <w:shd w:val="clear" w:color="auto" w:fill="E0E0E0"/>
          </w:tcPr>
          <w:p w14:paraId="2FCB1FD5"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Regression</w:t>
            </w:r>
          </w:p>
        </w:tc>
        <w:tc>
          <w:tcPr>
            <w:tcW w:w="922" w:type="pct"/>
            <w:tcBorders>
              <w:top w:val="single" w:sz="8" w:space="0" w:color="152935"/>
              <w:left w:val="nil"/>
              <w:bottom w:val="single" w:sz="8" w:space="0" w:color="AEAEAE"/>
              <w:right w:val="single" w:sz="8" w:space="0" w:color="E0E0E0"/>
            </w:tcBorders>
            <w:shd w:val="clear" w:color="auto" w:fill="F9F9FB"/>
          </w:tcPr>
          <w:p w14:paraId="1E90F3F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96.546</w:t>
            </w:r>
          </w:p>
        </w:tc>
        <w:tc>
          <w:tcPr>
            <w:tcW w:w="643" w:type="pct"/>
            <w:tcBorders>
              <w:top w:val="single" w:sz="8" w:space="0" w:color="152935"/>
              <w:left w:val="single" w:sz="8" w:space="0" w:color="E0E0E0"/>
              <w:bottom w:val="single" w:sz="8" w:space="0" w:color="AEAEAE"/>
              <w:right w:val="single" w:sz="8" w:space="0" w:color="E0E0E0"/>
            </w:tcBorders>
            <w:shd w:val="clear" w:color="auto" w:fill="F9F9FB"/>
          </w:tcPr>
          <w:p w14:paraId="39ED00EF"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4</w:t>
            </w:r>
          </w:p>
        </w:tc>
        <w:tc>
          <w:tcPr>
            <w:tcW w:w="883" w:type="pct"/>
            <w:tcBorders>
              <w:top w:val="single" w:sz="8" w:space="0" w:color="152935"/>
              <w:left w:val="single" w:sz="8" w:space="0" w:color="E0E0E0"/>
              <w:bottom w:val="single" w:sz="8" w:space="0" w:color="AEAEAE"/>
              <w:right w:val="single" w:sz="8" w:space="0" w:color="E0E0E0"/>
            </w:tcBorders>
            <w:shd w:val="clear" w:color="auto" w:fill="F9F9FB"/>
          </w:tcPr>
          <w:p w14:paraId="5449AA5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24.137</w:t>
            </w:r>
          </w:p>
        </w:tc>
        <w:tc>
          <w:tcPr>
            <w:tcW w:w="643" w:type="pct"/>
            <w:tcBorders>
              <w:top w:val="single" w:sz="8" w:space="0" w:color="152935"/>
              <w:left w:val="single" w:sz="8" w:space="0" w:color="E0E0E0"/>
              <w:bottom w:val="single" w:sz="8" w:space="0" w:color="AEAEAE"/>
              <w:right w:val="single" w:sz="8" w:space="0" w:color="E0E0E0"/>
            </w:tcBorders>
            <w:shd w:val="clear" w:color="auto" w:fill="F9F9FB"/>
          </w:tcPr>
          <w:p w14:paraId="29198DF3"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232.926</w:t>
            </w:r>
          </w:p>
        </w:tc>
        <w:tc>
          <w:tcPr>
            <w:tcW w:w="643" w:type="pct"/>
            <w:tcBorders>
              <w:top w:val="single" w:sz="8" w:space="0" w:color="152935"/>
              <w:left w:val="single" w:sz="8" w:space="0" w:color="E0E0E0"/>
              <w:bottom w:val="single" w:sz="8" w:space="0" w:color="AEAEAE"/>
              <w:right w:val="nil"/>
            </w:tcBorders>
            <w:shd w:val="clear" w:color="auto" w:fill="F9F9FB"/>
          </w:tcPr>
          <w:p w14:paraId="546766C9"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w:t>
            </w:r>
            <w:r w:rsidRPr="003E3593">
              <w:rPr>
                <w:rFonts w:ascii="Arial" w:hAnsi="Arial" w:cs="Arial"/>
                <w:color w:val="010205"/>
                <w:sz w:val="18"/>
                <w:szCs w:val="18"/>
                <w:vertAlign w:val="superscript"/>
              </w:rPr>
              <w:t>b</w:t>
            </w:r>
          </w:p>
        </w:tc>
      </w:tr>
      <w:tr w:rsidR="003E3593" w:rsidRPr="003E3593" w14:paraId="7DDE36A6" w14:textId="77777777" w:rsidTr="00316911">
        <w:trPr>
          <w:cantSplit/>
        </w:trPr>
        <w:tc>
          <w:tcPr>
            <w:tcW w:w="461" w:type="pct"/>
            <w:vMerge/>
            <w:tcBorders>
              <w:top w:val="single" w:sz="8" w:space="0" w:color="152935"/>
              <w:left w:val="nil"/>
              <w:bottom w:val="single" w:sz="8" w:space="0" w:color="152935"/>
              <w:right w:val="nil"/>
            </w:tcBorders>
            <w:shd w:val="clear" w:color="auto" w:fill="E0E0E0"/>
          </w:tcPr>
          <w:p w14:paraId="13DFAC04"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806" w:type="pct"/>
            <w:tcBorders>
              <w:top w:val="single" w:sz="8" w:space="0" w:color="AEAEAE"/>
              <w:left w:val="nil"/>
              <w:bottom w:val="single" w:sz="8" w:space="0" w:color="AEAEAE"/>
              <w:right w:val="nil"/>
            </w:tcBorders>
            <w:shd w:val="clear" w:color="auto" w:fill="E0E0E0"/>
          </w:tcPr>
          <w:p w14:paraId="06D6C0C4"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Residual</w:t>
            </w:r>
          </w:p>
        </w:tc>
        <w:tc>
          <w:tcPr>
            <w:tcW w:w="922" w:type="pct"/>
            <w:tcBorders>
              <w:top w:val="single" w:sz="8" w:space="0" w:color="AEAEAE"/>
              <w:left w:val="nil"/>
              <w:bottom w:val="single" w:sz="8" w:space="0" w:color="AEAEAE"/>
              <w:right w:val="single" w:sz="8" w:space="0" w:color="E0E0E0"/>
            </w:tcBorders>
            <w:shd w:val="clear" w:color="auto" w:fill="F9F9FB"/>
          </w:tcPr>
          <w:p w14:paraId="77ADD23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9.844</w:t>
            </w:r>
          </w:p>
        </w:tc>
        <w:tc>
          <w:tcPr>
            <w:tcW w:w="643" w:type="pct"/>
            <w:tcBorders>
              <w:top w:val="single" w:sz="8" w:space="0" w:color="AEAEAE"/>
              <w:left w:val="single" w:sz="8" w:space="0" w:color="E0E0E0"/>
              <w:bottom w:val="single" w:sz="8" w:space="0" w:color="AEAEAE"/>
              <w:right w:val="single" w:sz="8" w:space="0" w:color="E0E0E0"/>
            </w:tcBorders>
            <w:shd w:val="clear" w:color="auto" w:fill="F9F9FB"/>
          </w:tcPr>
          <w:p w14:paraId="6266EFA8"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95</w:t>
            </w:r>
          </w:p>
        </w:tc>
        <w:tc>
          <w:tcPr>
            <w:tcW w:w="883" w:type="pct"/>
            <w:tcBorders>
              <w:top w:val="single" w:sz="8" w:space="0" w:color="AEAEAE"/>
              <w:left w:val="single" w:sz="8" w:space="0" w:color="E0E0E0"/>
              <w:bottom w:val="single" w:sz="8" w:space="0" w:color="AEAEAE"/>
              <w:right w:val="single" w:sz="8" w:space="0" w:color="E0E0E0"/>
            </w:tcBorders>
            <w:shd w:val="clear" w:color="auto" w:fill="F9F9FB"/>
          </w:tcPr>
          <w:p w14:paraId="2204F226"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.104</w:t>
            </w:r>
          </w:p>
        </w:tc>
        <w:tc>
          <w:tcPr>
            <w:tcW w:w="64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32CA67C8" w14:textId="77777777" w:rsidR="003E3593" w:rsidRPr="003E3593" w:rsidRDefault="003E3593" w:rsidP="003E3593">
            <w:pPr>
              <w:autoSpaceDE w:val="0"/>
              <w:autoSpaceDN w:val="0"/>
              <w:adjustRightInd w:val="0"/>
              <w:spacing w:line="240" w:lineRule="auto"/>
              <w:jc w:val="left"/>
              <w:rPr>
                <w:rFonts w:cs="Times New Roman"/>
                <w:szCs w:val="24"/>
              </w:rPr>
            </w:pPr>
          </w:p>
        </w:tc>
        <w:tc>
          <w:tcPr>
            <w:tcW w:w="643" w:type="pct"/>
            <w:tcBorders>
              <w:top w:val="single" w:sz="8" w:space="0" w:color="AEAEAE"/>
              <w:left w:val="single" w:sz="8" w:space="0" w:color="E0E0E0"/>
              <w:bottom w:val="single" w:sz="8" w:space="0" w:color="AEAEAE"/>
              <w:right w:val="nil"/>
            </w:tcBorders>
            <w:shd w:val="clear" w:color="auto" w:fill="F9F9FB"/>
            <w:vAlign w:val="center"/>
          </w:tcPr>
          <w:p w14:paraId="19FC448B" w14:textId="77777777" w:rsidR="003E3593" w:rsidRPr="003E3593" w:rsidRDefault="003E3593" w:rsidP="003E3593">
            <w:pPr>
              <w:autoSpaceDE w:val="0"/>
              <w:autoSpaceDN w:val="0"/>
              <w:adjustRightInd w:val="0"/>
              <w:spacing w:line="240" w:lineRule="auto"/>
              <w:jc w:val="left"/>
              <w:rPr>
                <w:rFonts w:cs="Times New Roman"/>
                <w:szCs w:val="24"/>
              </w:rPr>
            </w:pPr>
          </w:p>
        </w:tc>
      </w:tr>
      <w:tr w:rsidR="003E3593" w:rsidRPr="003E3593" w14:paraId="534AAF9C" w14:textId="77777777" w:rsidTr="00316911">
        <w:trPr>
          <w:cantSplit/>
        </w:trPr>
        <w:tc>
          <w:tcPr>
            <w:tcW w:w="461" w:type="pct"/>
            <w:vMerge/>
            <w:tcBorders>
              <w:top w:val="single" w:sz="8" w:space="0" w:color="152935"/>
              <w:left w:val="nil"/>
              <w:bottom w:val="single" w:sz="8" w:space="0" w:color="152935"/>
              <w:right w:val="nil"/>
            </w:tcBorders>
            <w:shd w:val="clear" w:color="auto" w:fill="E0E0E0"/>
          </w:tcPr>
          <w:p w14:paraId="50E37A4F" w14:textId="77777777" w:rsidR="003E3593" w:rsidRPr="003E3593" w:rsidRDefault="003E3593" w:rsidP="003E3593">
            <w:pPr>
              <w:autoSpaceDE w:val="0"/>
              <w:autoSpaceDN w:val="0"/>
              <w:adjustRightInd w:val="0"/>
              <w:spacing w:line="240" w:lineRule="auto"/>
              <w:jc w:val="left"/>
              <w:rPr>
                <w:rFonts w:cs="Times New Roman"/>
                <w:szCs w:val="24"/>
              </w:rPr>
            </w:pPr>
          </w:p>
        </w:tc>
        <w:tc>
          <w:tcPr>
            <w:tcW w:w="806" w:type="pct"/>
            <w:tcBorders>
              <w:top w:val="single" w:sz="8" w:space="0" w:color="AEAEAE"/>
              <w:left w:val="nil"/>
              <w:bottom w:val="single" w:sz="8" w:space="0" w:color="152935"/>
              <w:right w:val="nil"/>
            </w:tcBorders>
            <w:shd w:val="clear" w:color="auto" w:fill="E0E0E0"/>
          </w:tcPr>
          <w:p w14:paraId="41D81A37"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Total</w:t>
            </w:r>
          </w:p>
        </w:tc>
        <w:tc>
          <w:tcPr>
            <w:tcW w:w="922" w:type="pct"/>
            <w:tcBorders>
              <w:top w:val="single" w:sz="8" w:space="0" w:color="AEAEAE"/>
              <w:left w:val="nil"/>
              <w:bottom w:val="single" w:sz="8" w:space="0" w:color="152935"/>
              <w:right w:val="single" w:sz="8" w:space="0" w:color="E0E0E0"/>
            </w:tcBorders>
            <w:shd w:val="clear" w:color="auto" w:fill="F9F9FB"/>
          </w:tcPr>
          <w:p w14:paraId="1A7290F1"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106.390</w:t>
            </w:r>
          </w:p>
        </w:tc>
        <w:tc>
          <w:tcPr>
            <w:tcW w:w="643" w:type="pct"/>
            <w:tcBorders>
              <w:top w:val="single" w:sz="8" w:space="0" w:color="AEAEAE"/>
              <w:left w:val="single" w:sz="8" w:space="0" w:color="E0E0E0"/>
              <w:bottom w:val="single" w:sz="8" w:space="0" w:color="152935"/>
              <w:right w:val="single" w:sz="8" w:space="0" w:color="E0E0E0"/>
            </w:tcBorders>
            <w:shd w:val="clear" w:color="auto" w:fill="F9F9FB"/>
          </w:tcPr>
          <w:p w14:paraId="382F22A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99</w:t>
            </w:r>
          </w:p>
        </w:tc>
        <w:tc>
          <w:tcPr>
            <w:tcW w:w="883" w:type="pct"/>
            <w:tcBorders>
              <w:top w:val="single" w:sz="8" w:space="0" w:color="AEAEAE"/>
              <w:left w:val="single" w:sz="8" w:space="0" w:color="E0E0E0"/>
              <w:bottom w:val="single" w:sz="8" w:space="0" w:color="152935"/>
              <w:right w:val="single" w:sz="8" w:space="0" w:color="E0E0E0"/>
            </w:tcBorders>
            <w:shd w:val="clear" w:color="auto" w:fill="F9F9FB"/>
            <w:vAlign w:val="center"/>
          </w:tcPr>
          <w:p w14:paraId="03521860" w14:textId="77777777" w:rsidR="003E3593" w:rsidRPr="003E3593" w:rsidRDefault="003E3593" w:rsidP="003E3593">
            <w:pPr>
              <w:autoSpaceDE w:val="0"/>
              <w:autoSpaceDN w:val="0"/>
              <w:adjustRightInd w:val="0"/>
              <w:spacing w:line="240" w:lineRule="auto"/>
              <w:jc w:val="left"/>
              <w:rPr>
                <w:rFonts w:cs="Times New Roman"/>
                <w:szCs w:val="24"/>
              </w:rPr>
            </w:pPr>
          </w:p>
        </w:tc>
        <w:tc>
          <w:tcPr>
            <w:tcW w:w="643" w:type="pct"/>
            <w:tcBorders>
              <w:top w:val="single" w:sz="8" w:space="0" w:color="AEAEAE"/>
              <w:left w:val="single" w:sz="8" w:space="0" w:color="E0E0E0"/>
              <w:bottom w:val="single" w:sz="8" w:space="0" w:color="152935"/>
              <w:right w:val="single" w:sz="8" w:space="0" w:color="E0E0E0"/>
            </w:tcBorders>
            <w:shd w:val="clear" w:color="auto" w:fill="F9F9FB"/>
            <w:vAlign w:val="center"/>
          </w:tcPr>
          <w:p w14:paraId="7F7DBFF6" w14:textId="77777777" w:rsidR="003E3593" w:rsidRPr="003E3593" w:rsidRDefault="003E3593" w:rsidP="003E3593">
            <w:pPr>
              <w:autoSpaceDE w:val="0"/>
              <w:autoSpaceDN w:val="0"/>
              <w:adjustRightInd w:val="0"/>
              <w:spacing w:line="240" w:lineRule="auto"/>
              <w:jc w:val="left"/>
              <w:rPr>
                <w:rFonts w:cs="Times New Roman"/>
                <w:szCs w:val="24"/>
              </w:rPr>
            </w:pPr>
          </w:p>
        </w:tc>
        <w:tc>
          <w:tcPr>
            <w:tcW w:w="643" w:type="pct"/>
            <w:tcBorders>
              <w:top w:val="single" w:sz="8" w:space="0" w:color="AEAEAE"/>
              <w:left w:val="single" w:sz="8" w:space="0" w:color="E0E0E0"/>
              <w:bottom w:val="single" w:sz="8" w:space="0" w:color="152935"/>
              <w:right w:val="nil"/>
            </w:tcBorders>
            <w:shd w:val="clear" w:color="auto" w:fill="F9F9FB"/>
            <w:vAlign w:val="center"/>
          </w:tcPr>
          <w:p w14:paraId="163A3D34" w14:textId="77777777" w:rsidR="003E3593" w:rsidRPr="003E3593" w:rsidRDefault="003E3593" w:rsidP="003E3593">
            <w:pPr>
              <w:autoSpaceDE w:val="0"/>
              <w:autoSpaceDN w:val="0"/>
              <w:adjustRightInd w:val="0"/>
              <w:spacing w:line="240" w:lineRule="auto"/>
              <w:jc w:val="left"/>
              <w:rPr>
                <w:rFonts w:cs="Times New Roman"/>
                <w:szCs w:val="24"/>
              </w:rPr>
            </w:pPr>
          </w:p>
        </w:tc>
      </w:tr>
      <w:tr w:rsidR="003E3593" w:rsidRPr="003E3593" w14:paraId="7065DBA6" w14:textId="77777777" w:rsidTr="00316911">
        <w:trPr>
          <w:cantSplit/>
        </w:trPr>
        <w:tc>
          <w:tcPr>
            <w:tcW w:w="5000" w:type="pct"/>
            <w:gridSpan w:val="7"/>
            <w:tcBorders>
              <w:top w:val="nil"/>
              <w:left w:val="nil"/>
              <w:bottom w:val="nil"/>
              <w:right w:val="nil"/>
            </w:tcBorders>
            <w:shd w:val="clear" w:color="auto" w:fill="FFFFFF"/>
          </w:tcPr>
          <w:p w14:paraId="733FC497"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a. Dependent Variable: EV_Mean</w:t>
            </w:r>
          </w:p>
        </w:tc>
      </w:tr>
      <w:tr w:rsidR="003E3593" w:rsidRPr="003E3593" w14:paraId="6D7D2EF9" w14:textId="77777777" w:rsidTr="00316911">
        <w:trPr>
          <w:cantSplit/>
        </w:trPr>
        <w:tc>
          <w:tcPr>
            <w:tcW w:w="5000" w:type="pct"/>
            <w:gridSpan w:val="7"/>
            <w:tcBorders>
              <w:top w:val="nil"/>
              <w:left w:val="nil"/>
              <w:bottom w:val="nil"/>
              <w:right w:val="nil"/>
            </w:tcBorders>
            <w:shd w:val="clear" w:color="auto" w:fill="FFFFFF"/>
          </w:tcPr>
          <w:p w14:paraId="0EA866D2"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b. Predictors: (Constant), SDG_Mean, TC_Mean, PG_Mean, IR_Mean</w:t>
            </w:r>
          </w:p>
        </w:tc>
      </w:tr>
    </w:tbl>
    <w:p w14:paraId="266D0BA9" w14:textId="77777777" w:rsidR="003E3593" w:rsidRPr="003E3593" w:rsidRDefault="003E3593" w:rsidP="003E3593">
      <w:pPr>
        <w:autoSpaceDE w:val="0"/>
        <w:autoSpaceDN w:val="0"/>
        <w:adjustRightInd w:val="0"/>
        <w:spacing w:line="400" w:lineRule="atLeast"/>
        <w:jc w:val="left"/>
        <w:rPr>
          <w:rFonts w:cs="Times New Roman"/>
          <w:szCs w:val="24"/>
        </w:rPr>
      </w:pPr>
    </w:p>
    <w:tbl>
      <w:tblPr>
        <w:tblW w:w="9679" w:type="dxa"/>
        <w:tblLayout w:type="fixed"/>
        <w:tblCellMar>
          <w:left w:w="0" w:type="dxa"/>
          <w:right w:w="0" w:type="dxa"/>
        </w:tblCellMar>
        <w:tblLook w:val="0000" w:firstRow="0" w:lastRow="0" w:firstColumn="0" w:lastColumn="0" w:noHBand="0" w:noVBand="0"/>
      </w:tblPr>
      <w:tblGrid>
        <w:gridCol w:w="689"/>
        <w:gridCol w:w="1176"/>
        <w:gridCol w:w="1247"/>
        <w:gridCol w:w="1247"/>
        <w:gridCol w:w="1376"/>
        <w:gridCol w:w="960"/>
        <w:gridCol w:w="960"/>
        <w:gridCol w:w="1060"/>
        <w:gridCol w:w="964"/>
      </w:tblGrid>
      <w:tr w:rsidR="003E3593" w:rsidRPr="003E3593" w14:paraId="0264E23C" w14:textId="77777777" w:rsidTr="003E3593">
        <w:trPr>
          <w:cantSplit/>
          <w:trHeight w:val="320"/>
        </w:trPr>
        <w:tc>
          <w:tcPr>
            <w:tcW w:w="9679" w:type="dxa"/>
            <w:gridSpan w:val="9"/>
            <w:tcBorders>
              <w:top w:val="nil"/>
              <w:left w:val="nil"/>
              <w:bottom w:val="nil"/>
              <w:right w:val="nil"/>
            </w:tcBorders>
            <w:shd w:val="clear" w:color="auto" w:fill="FFFFFF"/>
            <w:vAlign w:val="center"/>
          </w:tcPr>
          <w:p w14:paraId="40651F0C"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010205"/>
                <w:sz w:val="22"/>
              </w:rPr>
            </w:pPr>
            <w:r w:rsidRPr="003E3593">
              <w:rPr>
                <w:rFonts w:ascii="Arial" w:hAnsi="Arial" w:cs="Arial"/>
                <w:b/>
                <w:bCs/>
                <w:color w:val="010205"/>
                <w:sz w:val="22"/>
              </w:rPr>
              <w:t>Coefficients</w:t>
            </w:r>
            <w:r w:rsidRPr="003E3593">
              <w:rPr>
                <w:rFonts w:ascii="Arial" w:hAnsi="Arial" w:cs="Arial"/>
                <w:b/>
                <w:bCs/>
                <w:color w:val="010205"/>
                <w:sz w:val="22"/>
                <w:vertAlign w:val="superscript"/>
              </w:rPr>
              <w:t>a</w:t>
            </w:r>
          </w:p>
        </w:tc>
      </w:tr>
      <w:tr w:rsidR="003E3593" w:rsidRPr="003E3593" w14:paraId="297F5765" w14:textId="77777777" w:rsidTr="003E3593">
        <w:trPr>
          <w:cantSplit/>
          <w:trHeight w:val="641"/>
        </w:trPr>
        <w:tc>
          <w:tcPr>
            <w:tcW w:w="1865" w:type="dxa"/>
            <w:gridSpan w:val="2"/>
            <w:vMerge w:val="restart"/>
            <w:tcBorders>
              <w:top w:val="nil"/>
              <w:left w:val="nil"/>
              <w:bottom w:val="nil"/>
              <w:right w:val="nil"/>
            </w:tcBorders>
            <w:shd w:val="clear" w:color="auto" w:fill="FFFFFF"/>
            <w:vAlign w:val="bottom"/>
          </w:tcPr>
          <w:p w14:paraId="7347C739"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Model</w:t>
            </w:r>
          </w:p>
        </w:tc>
        <w:tc>
          <w:tcPr>
            <w:tcW w:w="2494" w:type="dxa"/>
            <w:gridSpan w:val="2"/>
            <w:tcBorders>
              <w:top w:val="nil"/>
              <w:left w:val="nil"/>
              <w:bottom w:val="nil"/>
              <w:right w:val="single" w:sz="8" w:space="0" w:color="E0E0E0"/>
            </w:tcBorders>
            <w:shd w:val="clear" w:color="auto" w:fill="FFFFFF"/>
            <w:vAlign w:val="bottom"/>
          </w:tcPr>
          <w:p w14:paraId="23B2D517"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Unstandardized Coefficients</w:t>
            </w:r>
          </w:p>
        </w:tc>
        <w:tc>
          <w:tcPr>
            <w:tcW w:w="1376" w:type="dxa"/>
            <w:tcBorders>
              <w:top w:val="nil"/>
              <w:left w:val="single" w:sz="8" w:space="0" w:color="E0E0E0"/>
              <w:bottom w:val="nil"/>
              <w:right w:val="single" w:sz="8" w:space="0" w:color="E0E0E0"/>
            </w:tcBorders>
            <w:shd w:val="clear" w:color="auto" w:fill="FFFFFF"/>
            <w:vAlign w:val="bottom"/>
          </w:tcPr>
          <w:p w14:paraId="1EA595D2"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Standardized Coefficients</w:t>
            </w:r>
          </w:p>
        </w:tc>
        <w:tc>
          <w:tcPr>
            <w:tcW w:w="960" w:type="dxa"/>
            <w:vMerge w:val="restart"/>
            <w:tcBorders>
              <w:top w:val="nil"/>
              <w:left w:val="single" w:sz="8" w:space="0" w:color="E0E0E0"/>
              <w:bottom w:val="nil"/>
              <w:right w:val="single" w:sz="8" w:space="0" w:color="E0E0E0"/>
            </w:tcBorders>
            <w:shd w:val="clear" w:color="auto" w:fill="FFFFFF"/>
            <w:vAlign w:val="bottom"/>
          </w:tcPr>
          <w:p w14:paraId="5171512F"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t</w:t>
            </w:r>
          </w:p>
        </w:tc>
        <w:tc>
          <w:tcPr>
            <w:tcW w:w="960" w:type="dxa"/>
            <w:vMerge w:val="restart"/>
            <w:tcBorders>
              <w:top w:val="nil"/>
              <w:left w:val="single" w:sz="8" w:space="0" w:color="E0E0E0"/>
              <w:bottom w:val="nil"/>
              <w:right w:val="single" w:sz="8" w:space="0" w:color="E0E0E0"/>
            </w:tcBorders>
            <w:shd w:val="clear" w:color="auto" w:fill="FFFFFF"/>
            <w:vAlign w:val="bottom"/>
          </w:tcPr>
          <w:p w14:paraId="03446540"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Sig.</w:t>
            </w:r>
          </w:p>
        </w:tc>
        <w:tc>
          <w:tcPr>
            <w:tcW w:w="2021" w:type="dxa"/>
            <w:gridSpan w:val="2"/>
            <w:tcBorders>
              <w:top w:val="nil"/>
              <w:left w:val="single" w:sz="8" w:space="0" w:color="E0E0E0"/>
              <w:bottom w:val="nil"/>
              <w:right w:val="nil"/>
            </w:tcBorders>
            <w:shd w:val="clear" w:color="auto" w:fill="FFFFFF"/>
            <w:vAlign w:val="bottom"/>
          </w:tcPr>
          <w:p w14:paraId="71ECEE50"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Collinearity Statistics</w:t>
            </w:r>
          </w:p>
        </w:tc>
      </w:tr>
      <w:tr w:rsidR="003E3593" w:rsidRPr="003E3593" w14:paraId="44B86FF6" w14:textId="77777777" w:rsidTr="003E3593">
        <w:trPr>
          <w:cantSplit/>
          <w:trHeight w:val="320"/>
        </w:trPr>
        <w:tc>
          <w:tcPr>
            <w:tcW w:w="1865" w:type="dxa"/>
            <w:gridSpan w:val="2"/>
            <w:vMerge/>
            <w:tcBorders>
              <w:top w:val="nil"/>
              <w:left w:val="nil"/>
              <w:bottom w:val="nil"/>
              <w:right w:val="nil"/>
            </w:tcBorders>
            <w:shd w:val="clear" w:color="auto" w:fill="FFFFFF"/>
            <w:vAlign w:val="bottom"/>
          </w:tcPr>
          <w:p w14:paraId="1548907D"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1247" w:type="dxa"/>
            <w:tcBorders>
              <w:top w:val="nil"/>
              <w:left w:val="nil"/>
              <w:bottom w:val="single" w:sz="8" w:space="0" w:color="152935"/>
              <w:right w:val="single" w:sz="8" w:space="0" w:color="E0E0E0"/>
            </w:tcBorders>
            <w:shd w:val="clear" w:color="auto" w:fill="FFFFFF"/>
            <w:vAlign w:val="bottom"/>
          </w:tcPr>
          <w:p w14:paraId="1BDBDA3D"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B</w:t>
            </w:r>
          </w:p>
        </w:tc>
        <w:tc>
          <w:tcPr>
            <w:tcW w:w="1246" w:type="dxa"/>
            <w:tcBorders>
              <w:top w:val="nil"/>
              <w:left w:val="single" w:sz="8" w:space="0" w:color="E0E0E0"/>
              <w:bottom w:val="single" w:sz="8" w:space="0" w:color="152935"/>
              <w:right w:val="single" w:sz="8" w:space="0" w:color="E0E0E0"/>
            </w:tcBorders>
            <w:shd w:val="clear" w:color="auto" w:fill="FFFFFF"/>
            <w:vAlign w:val="bottom"/>
          </w:tcPr>
          <w:p w14:paraId="5C500CEE"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Std. Error</w:t>
            </w:r>
          </w:p>
        </w:tc>
        <w:tc>
          <w:tcPr>
            <w:tcW w:w="1376" w:type="dxa"/>
            <w:tcBorders>
              <w:top w:val="nil"/>
              <w:left w:val="single" w:sz="8" w:space="0" w:color="E0E0E0"/>
              <w:bottom w:val="single" w:sz="8" w:space="0" w:color="152935"/>
              <w:right w:val="single" w:sz="8" w:space="0" w:color="E0E0E0"/>
            </w:tcBorders>
            <w:shd w:val="clear" w:color="auto" w:fill="FFFFFF"/>
            <w:vAlign w:val="bottom"/>
          </w:tcPr>
          <w:p w14:paraId="060CFE33"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Beta</w:t>
            </w:r>
          </w:p>
        </w:tc>
        <w:tc>
          <w:tcPr>
            <w:tcW w:w="960" w:type="dxa"/>
            <w:vMerge/>
            <w:tcBorders>
              <w:top w:val="nil"/>
              <w:left w:val="single" w:sz="8" w:space="0" w:color="E0E0E0"/>
              <w:bottom w:val="nil"/>
              <w:right w:val="single" w:sz="8" w:space="0" w:color="E0E0E0"/>
            </w:tcBorders>
            <w:shd w:val="clear" w:color="auto" w:fill="FFFFFF"/>
            <w:vAlign w:val="bottom"/>
          </w:tcPr>
          <w:p w14:paraId="3B80A80B"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960" w:type="dxa"/>
            <w:vMerge/>
            <w:tcBorders>
              <w:top w:val="nil"/>
              <w:left w:val="single" w:sz="8" w:space="0" w:color="E0E0E0"/>
              <w:bottom w:val="nil"/>
              <w:right w:val="single" w:sz="8" w:space="0" w:color="E0E0E0"/>
            </w:tcBorders>
            <w:shd w:val="clear" w:color="auto" w:fill="FFFFFF"/>
            <w:vAlign w:val="bottom"/>
          </w:tcPr>
          <w:p w14:paraId="51BB8CB4"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1060" w:type="dxa"/>
            <w:tcBorders>
              <w:top w:val="nil"/>
              <w:left w:val="single" w:sz="8" w:space="0" w:color="E0E0E0"/>
              <w:bottom w:val="single" w:sz="8" w:space="0" w:color="152935"/>
              <w:right w:val="single" w:sz="8" w:space="0" w:color="E0E0E0"/>
            </w:tcBorders>
            <w:shd w:val="clear" w:color="auto" w:fill="FFFFFF"/>
            <w:vAlign w:val="bottom"/>
          </w:tcPr>
          <w:p w14:paraId="2311C603"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Tolerance</w:t>
            </w:r>
          </w:p>
        </w:tc>
        <w:tc>
          <w:tcPr>
            <w:tcW w:w="960" w:type="dxa"/>
            <w:tcBorders>
              <w:top w:val="nil"/>
              <w:left w:val="single" w:sz="8" w:space="0" w:color="E0E0E0"/>
              <w:bottom w:val="single" w:sz="8" w:space="0" w:color="152935"/>
              <w:right w:val="nil"/>
            </w:tcBorders>
            <w:shd w:val="clear" w:color="auto" w:fill="FFFFFF"/>
            <w:vAlign w:val="bottom"/>
          </w:tcPr>
          <w:p w14:paraId="7BE614C9"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VIF</w:t>
            </w:r>
          </w:p>
        </w:tc>
      </w:tr>
      <w:tr w:rsidR="003E3593" w:rsidRPr="003E3593" w14:paraId="6745BF79" w14:textId="77777777" w:rsidTr="003E3593">
        <w:trPr>
          <w:cantSplit/>
          <w:trHeight w:val="320"/>
        </w:trPr>
        <w:tc>
          <w:tcPr>
            <w:tcW w:w="689" w:type="dxa"/>
            <w:vMerge w:val="restart"/>
            <w:tcBorders>
              <w:top w:val="single" w:sz="8" w:space="0" w:color="152935"/>
              <w:left w:val="nil"/>
              <w:bottom w:val="single" w:sz="8" w:space="0" w:color="152935"/>
              <w:right w:val="nil"/>
            </w:tcBorders>
            <w:shd w:val="clear" w:color="auto" w:fill="E0E0E0"/>
          </w:tcPr>
          <w:p w14:paraId="72ABFD77"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1</w:t>
            </w:r>
          </w:p>
        </w:tc>
        <w:tc>
          <w:tcPr>
            <w:tcW w:w="1176" w:type="dxa"/>
            <w:tcBorders>
              <w:top w:val="single" w:sz="8" w:space="0" w:color="152935"/>
              <w:left w:val="nil"/>
              <w:bottom w:val="single" w:sz="8" w:space="0" w:color="AEAEAE"/>
              <w:right w:val="nil"/>
            </w:tcBorders>
            <w:shd w:val="clear" w:color="auto" w:fill="E0E0E0"/>
          </w:tcPr>
          <w:p w14:paraId="4B27BAE9"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(Constant)</w:t>
            </w:r>
          </w:p>
        </w:tc>
        <w:tc>
          <w:tcPr>
            <w:tcW w:w="1247" w:type="dxa"/>
            <w:tcBorders>
              <w:top w:val="single" w:sz="8" w:space="0" w:color="152935"/>
              <w:left w:val="nil"/>
              <w:bottom w:val="single" w:sz="8" w:space="0" w:color="AEAEAE"/>
              <w:right w:val="single" w:sz="8" w:space="0" w:color="E0E0E0"/>
            </w:tcBorders>
            <w:shd w:val="clear" w:color="auto" w:fill="F9F9FB"/>
          </w:tcPr>
          <w:p w14:paraId="4E3A6013"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.454</w:t>
            </w:r>
          </w:p>
        </w:tc>
        <w:tc>
          <w:tcPr>
            <w:tcW w:w="1246" w:type="dxa"/>
            <w:tcBorders>
              <w:top w:val="single" w:sz="8" w:space="0" w:color="152935"/>
              <w:left w:val="single" w:sz="8" w:space="0" w:color="E0E0E0"/>
              <w:bottom w:val="single" w:sz="8" w:space="0" w:color="AEAEAE"/>
              <w:right w:val="single" w:sz="8" w:space="0" w:color="E0E0E0"/>
            </w:tcBorders>
            <w:shd w:val="clear" w:color="auto" w:fill="F9F9FB"/>
          </w:tcPr>
          <w:p w14:paraId="3084942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.111</w:t>
            </w:r>
          </w:p>
        </w:tc>
        <w:tc>
          <w:tcPr>
            <w:tcW w:w="137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6934F23C" w14:textId="77777777" w:rsidR="003E3593" w:rsidRPr="003E3593" w:rsidRDefault="003E3593" w:rsidP="003E3593">
            <w:pPr>
              <w:autoSpaceDE w:val="0"/>
              <w:autoSpaceDN w:val="0"/>
              <w:adjustRightInd w:val="0"/>
              <w:spacing w:line="240" w:lineRule="auto"/>
              <w:jc w:val="left"/>
              <w:rPr>
                <w:rFonts w:cs="Times New Roman"/>
                <w:szCs w:val="24"/>
              </w:rPr>
            </w:pPr>
          </w:p>
        </w:tc>
        <w:tc>
          <w:tcPr>
            <w:tcW w:w="960" w:type="dxa"/>
            <w:tcBorders>
              <w:top w:val="single" w:sz="8" w:space="0" w:color="152935"/>
              <w:left w:val="single" w:sz="8" w:space="0" w:color="E0E0E0"/>
              <w:bottom w:val="single" w:sz="8" w:space="0" w:color="AEAEAE"/>
              <w:right w:val="single" w:sz="8" w:space="0" w:color="E0E0E0"/>
            </w:tcBorders>
            <w:shd w:val="clear" w:color="auto" w:fill="F9F9FB"/>
          </w:tcPr>
          <w:p w14:paraId="2F3DE5F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4.069</w:t>
            </w:r>
          </w:p>
        </w:tc>
        <w:tc>
          <w:tcPr>
            <w:tcW w:w="960" w:type="dxa"/>
            <w:tcBorders>
              <w:top w:val="single" w:sz="8" w:space="0" w:color="152935"/>
              <w:left w:val="single" w:sz="8" w:space="0" w:color="E0E0E0"/>
              <w:bottom w:val="single" w:sz="8" w:space="0" w:color="AEAEAE"/>
              <w:right w:val="single" w:sz="8" w:space="0" w:color="E0E0E0"/>
            </w:tcBorders>
            <w:shd w:val="clear" w:color="auto" w:fill="F9F9FB"/>
          </w:tcPr>
          <w:p w14:paraId="74AC7D29"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w:t>
            </w:r>
          </w:p>
        </w:tc>
        <w:tc>
          <w:tcPr>
            <w:tcW w:w="1060"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184A89D4" w14:textId="77777777" w:rsidR="003E3593" w:rsidRPr="003E3593" w:rsidRDefault="003E3593" w:rsidP="003E3593">
            <w:pPr>
              <w:autoSpaceDE w:val="0"/>
              <w:autoSpaceDN w:val="0"/>
              <w:adjustRightInd w:val="0"/>
              <w:spacing w:line="240" w:lineRule="auto"/>
              <w:jc w:val="left"/>
              <w:rPr>
                <w:rFonts w:cs="Times New Roman"/>
                <w:szCs w:val="24"/>
              </w:rPr>
            </w:pPr>
          </w:p>
        </w:tc>
        <w:tc>
          <w:tcPr>
            <w:tcW w:w="960" w:type="dxa"/>
            <w:tcBorders>
              <w:top w:val="single" w:sz="8" w:space="0" w:color="152935"/>
              <w:left w:val="single" w:sz="8" w:space="0" w:color="E0E0E0"/>
              <w:bottom w:val="single" w:sz="8" w:space="0" w:color="AEAEAE"/>
              <w:right w:val="nil"/>
            </w:tcBorders>
            <w:shd w:val="clear" w:color="auto" w:fill="F9F9FB"/>
            <w:vAlign w:val="center"/>
          </w:tcPr>
          <w:p w14:paraId="7E964E46" w14:textId="77777777" w:rsidR="003E3593" w:rsidRPr="003E3593" w:rsidRDefault="003E3593" w:rsidP="003E3593">
            <w:pPr>
              <w:autoSpaceDE w:val="0"/>
              <w:autoSpaceDN w:val="0"/>
              <w:adjustRightInd w:val="0"/>
              <w:spacing w:line="240" w:lineRule="auto"/>
              <w:jc w:val="left"/>
              <w:rPr>
                <w:rFonts w:cs="Times New Roman"/>
                <w:szCs w:val="24"/>
              </w:rPr>
            </w:pPr>
          </w:p>
        </w:tc>
      </w:tr>
      <w:tr w:rsidR="003E3593" w:rsidRPr="003E3593" w14:paraId="233C4A6E" w14:textId="77777777" w:rsidTr="003E3593">
        <w:trPr>
          <w:cantSplit/>
          <w:trHeight w:val="341"/>
        </w:trPr>
        <w:tc>
          <w:tcPr>
            <w:tcW w:w="689" w:type="dxa"/>
            <w:vMerge/>
            <w:tcBorders>
              <w:top w:val="single" w:sz="8" w:space="0" w:color="152935"/>
              <w:left w:val="nil"/>
              <w:bottom w:val="single" w:sz="8" w:space="0" w:color="152935"/>
              <w:right w:val="nil"/>
            </w:tcBorders>
            <w:shd w:val="clear" w:color="auto" w:fill="E0E0E0"/>
          </w:tcPr>
          <w:p w14:paraId="79CF8275" w14:textId="77777777" w:rsidR="003E3593" w:rsidRPr="003E3593" w:rsidRDefault="003E3593" w:rsidP="003E3593">
            <w:pPr>
              <w:autoSpaceDE w:val="0"/>
              <w:autoSpaceDN w:val="0"/>
              <w:adjustRightInd w:val="0"/>
              <w:spacing w:line="240" w:lineRule="auto"/>
              <w:jc w:val="left"/>
              <w:rPr>
                <w:rFonts w:cs="Times New Roman"/>
                <w:szCs w:val="24"/>
              </w:rPr>
            </w:pPr>
          </w:p>
        </w:tc>
        <w:tc>
          <w:tcPr>
            <w:tcW w:w="1176" w:type="dxa"/>
            <w:tcBorders>
              <w:top w:val="single" w:sz="8" w:space="0" w:color="AEAEAE"/>
              <w:left w:val="nil"/>
              <w:bottom w:val="single" w:sz="8" w:space="0" w:color="AEAEAE"/>
              <w:right w:val="nil"/>
            </w:tcBorders>
            <w:shd w:val="clear" w:color="auto" w:fill="E0E0E0"/>
          </w:tcPr>
          <w:p w14:paraId="28CCCC39"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IR_Mean</w:t>
            </w:r>
          </w:p>
        </w:tc>
        <w:tc>
          <w:tcPr>
            <w:tcW w:w="1247" w:type="dxa"/>
            <w:tcBorders>
              <w:top w:val="single" w:sz="8" w:space="0" w:color="AEAEAE"/>
              <w:left w:val="nil"/>
              <w:bottom w:val="single" w:sz="8" w:space="0" w:color="AEAEAE"/>
              <w:right w:val="single" w:sz="8" w:space="0" w:color="E0E0E0"/>
            </w:tcBorders>
            <w:shd w:val="clear" w:color="auto" w:fill="F9F9FB"/>
          </w:tcPr>
          <w:p w14:paraId="53C37B26"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-.266</w:t>
            </w:r>
          </w:p>
        </w:tc>
        <w:tc>
          <w:tcPr>
            <w:tcW w:w="1246" w:type="dxa"/>
            <w:tcBorders>
              <w:top w:val="single" w:sz="8" w:space="0" w:color="AEAEAE"/>
              <w:left w:val="single" w:sz="8" w:space="0" w:color="E0E0E0"/>
              <w:bottom w:val="single" w:sz="8" w:space="0" w:color="AEAEAE"/>
              <w:right w:val="single" w:sz="8" w:space="0" w:color="E0E0E0"/>
            </w:tcBorders>
            <w:shd w:val="clear" w:color="auto" w:fill="F9F9FB"/>
          </w:tcPr>
          <w:p w14:paraId="0D5855D9"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.097</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10E20EA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-.300</w:t>
            </w:r>
          </w:p>
        </w:tc>
        <w:tc>
          <w:tcPr>
            <w:tcW w:w="960" w:type="dxa"/>
            <w:tcBorders>
              <w:top w:val="single" w:sz="8" w:space="0" w:color="AEAEAE"/>
              <w:left w:val="single" w:sz="8" w:space="0" w:color="E0E0E0"/>
              <w:bottom w:val="single" w:sz="8" w:space="0" w:color="AEAEAE"/>
              <w:right w:val="single" w:sz="8" w:space="0" w:color="E0E0E0"/>
            </w:tcBorders>
            <w:shd w:val="clear" w:color="auto" w:fill="F9F9FB"/>
          </w:tcPr>
          <w:p w14:paraId="4B598FB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-2.742</w:t>
            </w:r>
          </w:p>
        </w:tc>
        <w:tc>
          <w:tcPr>
            <w:tcW w:w="960" w:type="dxa"/>
            <w:tcBorders>
              <w:top w:val="single" w:sz="8" w:space="0" w:color="AEAEAE"/>
              <w:left w:val="single" w:sz="8" w:space="0" w:color="E0E0E0"/>
              <w:bottom w:val="single" w:sz="8" w:space="0" w:color="AEAEAE"/>
              <w:right w:val="single" w:sz="8" w:space="0" w:color="E0E0E0"/>
            </w:tcBorders>
            <w:shd w:val="clear" w:color="auto" w:fill="F9F9FB"/>
          </w:tcPr>
          <w:p w14:paraId="45EC026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.007</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14:paraId="0A25F55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.081</w:t>
            </w:r>
          </w:p>
        </w:tc>
        <w:tc>
          <w:tcPr>
            <w:tcW w:w="960" w:type="dxa"/>
            <w:tcBorders>
              <w:top w:val="single" w:sz="8" w:space="0" w:color="AEAEAE"/>
              <w:left w:val="single" w:sz="8" w:space="0" w:color="E0E0E0"/>
              <w:bottom w:val="single" w:sz="8" w:space="0" w:color="AEAEAE"/>
              <w:right w:val="nil"/>
            </w:tcBorders>
            <w:shd w:val="clear" w:color="auto" w:fill="F9F9FB"/>
          </w:tcPr>
          <w:p w14:paraId="6D424AC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12.325</w:t>
            </w:r>
          </w:p>
        </w:tc>
      </w:tr>
      <w:tr w:rsidR="003E3593" w:rsidRPr="003E3593" w14:paraId="5FDB4C87" w14:textId="77777777" w:rsidTr="003E3593">
        <w:trPr>
          <w:cantSplit/>
          <w:trHeight w:val="341"/>
        </w:trPr>
        <w:tc>
          <w:tcPr>
            <w:tcW w:w="689" w:type="dxa"/>
            <w:vMerge/>
            <w:tcBorders>
              <w:top w:val="single" w:sz="8" w:space="0" w:color="152935"/>
              <w:left w:val="nil"/>
              <w:bottom w:val="single" w:sz="8" w:space="0" w:color="152935"/>
              <w:right w:val="nil"/>
            </w:tcBorders>
            <w:shd w:val="clear" w:color="auto" w:fill="E0E0E0"/>
          </w:tcPr>
          <w:p w14:paraId="5B001B07"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76" w:type="dxa"/>
            <w:tcBorders>
              <w:top w:val="single" w:sz="8" w:space="0" w:color="AEAEAE"/>
              <w:left w:val="nil"/>
              <w:bottom w:val="single" w:sz="8" w:space="0" w:color="AEAEAE"/>
              <w:right w:val="nil"/>
            </w:tcBorders>
            <w:shd w:val="clear" w:color="auto" w:fill="E0E0E0"/>
          </w:tcPr>
          <w:p w14:paraId="2E19B6CF"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PG_Mean</w:t>
            </w:r>
          </w:p>
        </w:tc>
        <w:tc>
          <w:tcPr>
            <w:tcW w:w="1247" w:type="dxa"/>
            <w:tcBorders>
              <w:top w:val="single" w:sz="8" w:space="0" w:color="AEAEAE"/>
              <w:left w:val="nil"/>
              <w:bottom w:val="single" w:sz="8" w:space="0" w:color="AEAEAE"/>
              <w:right w:val="single" w:sz="8" w:space="0" w:color="E0E0E0"/>
            </w:tcBorders>
            <w:shd w:val="clear" w:color="auto" w:fill="F9F9FB"/>
          </w:tcPr>
          <w:p w14:paraId="2B86DFD1"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.189</w:t>
            </w:r>
          </w:p>
        </w:tc>
        <w:tc>
          <w:tcPr>
            <w:tcW w:w="1246" w:type="dxa"/>
            <w:tcBorders>
              <w:top w:val="single" w:sz="8" w:space="0" w:color="AEAEAE"/>
              <w:left w:val="single" w:sz="8" w:space="0" w:color="E0E0E0"/>
              <w:bottom w:val="single" w:sz="8" w:space="0" w:color="AEAEAE"/>
              <w:right w:val="single" w:sz="8" w:space="0" w:color="E0E0E0"/>
            </w:tcBorders>
            <w:shd w:val="clear" w:color="auto" w:fill="F9F9FB"/>
          </w:tcPr>
          <w:p w14:paraId="70452CB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.086</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28D24A5E"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.214</w:t>
            </w:r>
          </w:p>
        </w:tc>
        <w:tc>
          <w:tcPr>
            <w:tcW w:w="960" w:type="dxa"/>
            <w:tcBorders>
              <w:top w:val="single" w:sz="8" w:space="0" w:color="AEAEAE"/>
              <w:left w:val="single" w:sz="8" w:space="0" w:color="E0E0E0"/>
              <w:bottom w:val="single" w:sz="8" w:space="0" w:color="AEAEAE"/>
              <w:right w:val="single" w:sz="8" w:space="0" w:color="E0E0E0"/>
            </w:tcBorders>
            <w:shd w:val="clear" w:color="auto" w:fill="F9F9FB"/>
          </w:tcPr>
          <w:p w14:paraId="267BCDC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2.191</w:t>
            </w:r>
          </w:p>
        </w:tc>
        <w:tc>
          <w:tcPr>
            <w:tcW w:w="960" w:type="dxa"/>
            <w:tcBorders>
              <w:top w:val="single" w:sz="8" w:space="0" w:color="AEAEAE"/>
              <w:left w:val="single" w:sz="8" w:space="0" w:color="E0E0E0"/>
              <w:bottom w:val="single" w:sz="8" w:space="0" w:color="AEAEAE"/>
              <w:right w:val="single" w:sz="8" w:space="0" w:color="E0E0E0"/>
            </w:tcBorders>
            <w:shd w:val="clear" w:color="auto" w:fill="F9F9FB"/>
          </w:tcPr>
          <w:p w14:paraId="7692AFD2"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.031</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14:paraId="74700BA3"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.102</w:t>
            </w:r>
          </w:p>
        </w:tc>
        <w:tc>
          <w:tcPr>
            <w:tcW w:w="960" w:type="dxa"/>
            <w:tcBorders>
              <w:top w:val="single" w:sz="8" w:space="0" w:color="AEAEAE"/>
              <w:left w:val="single" w:sz="8" w:space="0" w:color="E0E0E0"/>
              <w:bottom w:val="single" w:sz="8" w:space="0" w:color="AEAEAE"/>
              <w:right w:val="nil"/>
            </w:tcBorders>
            <w:shd w:val="clear" w:color="auto" w:fill="F9F9FB"/>
          </w:tcPr>
          <w:p w14:paraId="097B724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9.779</w:t>
            </w:r>
          </w:p>
        </w:tc>
      </w:tr>
      <w:tr w:rsidR="003E3593" w:rsidRPr="003E3593" w14:paraId="010B5642" w14:textId="77777777" w:rsidTr="003E3593">
        <w:trPr>
          <w:cantSplit/>
          <w:trHeight w:val="341"/>
        </w:trPr>
        <w:tc>
          <w:tcPr>
            <w:tcW w:w="689" w:type="dxa"/>
            <w:vMerge/>
            <w:tcBorders>
              <w:top w:val="single" w:sz="8" w:space="0" w:color="152935"/>
              <w:left w:val="nil"/>
              <w:bottom w:val="single" w:sz="8" w:space="0" w:color="152935"/>
              <w:right w:val="nil"/>
            </w:tcBorders>
            <w:shd w:val="clear" w:color="auto" w:fill="E0E0E0"/>
          </w:tcPr>
          <w:p w14:paraId="7B13CF3A"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76" w:type="dxa"/>
            <w:tcBorders>
              <w:top w:val="single" w:sz="8" w:space="0" w:color="AEAEAE"/>
              <w:left w:val="nil"/>
              <w:bottom w:val="single" w:sz="8" w:space="0" w:color="AEAEAE"/>
              <w:right w:val="nil"/>
            </w:tcBorders>
            <w:shd w:val="clear" w:color="auto" w:fill="E0E0E0"/>
          </w:tcPr>
          <w:p w14:paraId="4201CB66"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TC_Mean</w:t>
            </w:r>
          </w:p>
        </w:tc>
        <w:tc>
          <w:tcPr>
            <w:tcW w:w="1247" w:type="dxa"/>
            <w:tcBorders>
              <w:top w:val="single" w:sz="8" w:space="0" w:color="AEAEAE"/>
              <w:left w:val="nil"/>
              <w:bottom w:val="single" w:sz="8" w:space="0" w:color="AEAEAE"/>
              <w:right w:val="single" w:sz="8" w:space="0" w:color="E0E0E0"/>
            </w:tcBorders>
            <w:shd w:val="clear" w:color="auto" w:fill="F9F9FB"/>
          </w:tcPr>
          <w:p w14:paraId="59E4CE1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.703</w:t>
            </w:r>
          </w:p>
        </w:tc>
        <w:tc>
          <w:tcPr>
            <w:tcW w:w="1246" w:type="dxa"/>
            <w:tcBorders>
              <w:top w:val="single" w:sz="8" w:space="0" w:color="AEAEAE"/>
              <w:left w:val="single" w:sz="8" w:space="0" w:color="E0E0E0"/>
              <w:bottom w:val="single" w:sz="8" w:space="0" w:color="AEAEAE"/>
              <w:right w:val="single" w:sz="8" w:space="0" w:color="E0E0E0"/>
            </w:tcBorders>
            <w:shd w:val="clear" w:color="auto" w:fill="F9F9FB"/>
          </w:tcPr>
          <w:p w14:paraId="39C40202"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.063</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2F8DC78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.707</w:t>
            </w:r>
          </w:p>
        </w:tc>
        <w:tc>
          <w:tcPr>
            <w:tcW w:w="960" w:type="dxa"/>
            <w:tcBorders>
              <w:top w:val="single" w:sz="8" w:space="0" w:color="AEAEAE"/>
              <w:left w:val="single" w:sz="8" w:space="0" w:color="E0E0E0"/>
              <w:bottom w:val="single" w:sz="8" w:space="0" w:color="AEAEAE"/>
              <w:right w:val="single" w:sz="8" w:space="0" w:color="E0E0E0"/>
            </w:tcBorders>
            <w:shd w:val="clear" w:color="auto" w:fill="F9F9FB"/>
          </w:tcPr>
          <w:p w14:paraId="6D2CD78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11.090</w:t>
            </w:r>
          </w:p>
        </w:tc>
        <w:tc>
          <w:tcPr>
            <w:tcW w:w="960" w:type="dxa"/>
            <w:tcBorders>
              <w:top w:val="single" w:sz="8" w:space="0" w:color="AEAEAE"/>
              <w:left w:val="single" w:sz="8" w:space="0" w:color="E0E0E0"/>
              <w:bottom w:val="single" w:sz="8" w:space="0" w:color="AEAEAE"/>
              <w:right w:val="single" w:sz="8" w:space="0" w:color="E0E0E0"/>
            </w:tcBorders>
            <w:shd w:val="clear" w:color="auto" w:fill="F9F9FB"/>
          </w:tcPr>
          <w:p w14:paraId="6C55C43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14:paraId="315642C9"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.240</w:t>
            </w:r>
          </w:p>
        </w:tc>
        <w:tc>
          <w:tcPr>
            <w:tcW w:w="960" w:type="dxa"/>
            <w:tcBorders>
              <w:top w:val="single" w:sz="8" w:space="0" w:color="AEAEAE"/>
              <w:left w:val="single" w:sz="8" w:space="0" w:color="E0E0E0"/>
              <w:bottom w:val="single" w:sz="8" w:space="0" w:color="AEAEAE"/>
              <w:right w:val="nil"/>
            </w:tcBorders>
            <w:shd w:val="clear" w:color="auto" w:fill="F9F9FB"/>
          </w:tcPr>
          <w:p w14:paraId="554CDEC7"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4.175</w:t>
            </w:r>
          </w:p>
        </w:tc>
      </w:tr>
      <w:tr w:rsidR="003E3593" w:rsidRPr="003E3593" w14:paraId="534DD2DE" w14:textId="77777777" w:rsidTr="003E3593">
        <w:trPr>
          <w:cantSplit/>
          <w:trHeight w:val="341"/>
        </w:trPr>
        <w:tc>
          <w:tcPr>
            <w:tcW w:w="689" w:type="dxa"/>
            <w:vMerge/>
            <w:tcBorders>
              <w:top w:val="single" w:sz="8" w:space="0" w:color="152935"/>
              <w:left w:val="nil"/>
              <w:bottom w:val="single" w:sz="8" w:space="0" w:color="152935"/>
              <w:right w:val="nil"/>
            </w:tcBorders>
            <w:shd w:val="clear" w:color="auto" w:fill="E0E0E0"/>
          </w:tcPr>
          <w:p w14:paraId="2AF8CCE9"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76" w:type="dxa"/>
            <w:tcBorders>
              <w:top w:val="single" w:sz="8" w:space="0" w:color="AEAEAE"/>
              <w:left w:val="nil"/>
              <w:bottom w:val="single" w:sz="8" w:space="0" w:color="152935"/>
              <w:right w:val="nil"/>
            </w:tcBorders>
            <w:shd w:val="clear" w:color="auto" w:fill="E0E0E0"/>
          </w:tcPr>
          <w:p w14:paraId="25D9E38F"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SDG_Mean</w:t>
            </w:r>
          </w:p>
        </w:tc>
        <w:tc>
          <w:tcPr>
            <w:tcW w:w="1247" w:type="dxa"/>
            <w:tcBorders>
              <w:top w:val="single" w:sz="8" w:space="0" w:color="AEAEAE"/>
              <w:left w:val="nil"/>
              <w:bottom w:val="single" w:sz="8" w:space="0" w:color="152935"/>
              <w:right w:val="single" w:sz="8" w:space="0" w:color="E0E0E0"/>
            </w:tcBorders>
            <w:shd w:val="clear" w:color="auto" w:fill="F9F9FB"/>
          </w:tcPr>
          <w:p w14:paraId="32FBACE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.300</w:t>
            </w:r>
          </w:p>
        </w:tc>
        <w:tc>
          <w:tcPr>
            <w:tcW w:w="1246" w:type="dxa"/>
            <w:tcBorders>
              <w:top w:val="single" w:sz="8" w:space="0" w:color="AEAEAE"/>
              <w:left w:val="single" w:sz="8" w:space="0" w:color="E0E0E0"/>
              <w:bottom w:val="single" w:sz="8" w:space="0" w:color="152935"/>
              <w:right w:val="single" w:sz="8" w:space="0" w:color="E0E0E0"/>
            </w:tcBorders>
            <w:shd w:val="clear" w:color="auto" w:fill="F9F9FB"/>
          </w:tcPr>
          <w:p w14:paraId="7C258BE5"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.052</w:t>
            </w:r>
          </w:p>
        </w:tc>
        <w:tc>
          <w:tcPr>
            <w:tcW w:w="1376" w:type="dxa"/>
            <w:tcBorders>
              <w:top w:val="single" w:sz="8" w:space="0" w:color="AEAEAE"/>
              <w:left w:val="single" w:sz="8" w:space="0" w:color="E0E0E0"/>
              <w:bottom w:val="single" w:sz="8" w:space="0" w:color="152935"/>
              <w:right w:val="single" w:sz="8" w:space="0" w:color="E0E0E0"/>
            </w:tcBorders>
            <w:shd w:val="clear" w:color="auto" w:fill="F9F9FB"/>
          </w:tcPr>
          <w:p w14:paraId="4774D48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.371</w:t>
            </w:r>
          </w:p>
        </w:tc>
        <w:tc>
          <w:tcPr>
            <w:tcW w:w="960" w:type="dxa"/>
            <w:tcBorders>
              <w:top w:val="single" w:sz="8" w:space="0" w:color="AEAEAE"/>
              <w:left w:val="single" w:sz="8" w:space="0" w:color="E0E0E0"/>
              <w:bottom w:val="single" w:sz="8" w:space="0" w:color="152935"/>
              <w:right w:val="single" w:sz="8" w:space="0" w:color="E0E0E0"/>
            </w:tcBorders>
            <w:shd w:val="clear" w:color="auto" w:fill="F9F9FB"/>
          </w:tcPr>
          <w:p w14:paraId="680B0D4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5.779</w:t>
            </w:r>
          </w:p>
        </w:tc>
        <w:tc>
          <w:tcPr>
            <w:tcW w:w="960" w:type="dxa"/>
            <w:tcBorders>
              <w:top w:val="single" w:sz="8" w:space="0" w:color="AEAEAE"/>
              <w:left w:val="single" w:sz="8" w:space="0" w:color="E0E0E0"/>
              <w:bottom w:val="single" w:sz="8" w:space="0" w:color="152935"/>
              <w:right w:val="single" w:sz="8" w:space="0" w:color="E0E0E0"/>
            </w:tcBorders>
            <w:shd w:val="clear" w:color="auto" w:fill="F9F9FB"/>
          </w:tcPr>
          <w:p w14:paraId="0B0A01E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w:t>
            </w:r>
          </w:p>
        </w:tc>
        <w:tc>
          <w:tcPr>
            <w:tcW w:w="1060" w:type="dxa"/>
            <w:tcBorders>
              <w:top w:val="single" w:sz="8" w:space="0" w:color="AEAEAE"/>
              <w:left w:val="single" w:sz="8" w:space="0" w:color="E0E0E0"/>
              <w:bottom w:val="single" w:sz="8" w:space="0" w:color="152935"/>
              <w:right w:val="single" w:sz="8" w:space="0" w:color="E0E0E0"/>
            </w:tcBorders>
            <w:shd w:val="clear" w:color="auto" w:fill="F9F9FB"/>
          </w:tcPr>
          <w:p w14:paraId="19F837A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.236</w:t>
            </w:r>
          </w:p>
        </w:tc>
        <w:tc>
          <w:tcPr>
            <w:tcW w:w="960" w:type="dxa"/>
            <w:tcBorders>
              <w:top w:val="single" w:sz="8" w:space="0" w:color="AEAEAE"/>
              <w:left w:val="single" w:sz="8" w:space="0" w:color="E0E0E0"/>
              <w:bottom w:val="single" w:sz="8" w:space="0" w:color="152935"/>
              <w:right w:val="nil"/>
            </w:tcBorders>
            <w:shd w:val="clear" w:color="auto" w:fill="F9F9FB"/>
          </w:tcPr>
          <w:p w14:paraId="627C3D70"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4.237</w:t>
            </w:r>
          </w:p>
        </w:tc>
      </w:tr>
      <w:tr w:rsidR="003E3593" w:rsidRPr="003E3593" w14:paraId="60D98E27" w14:textId="77777777" w:rsidTr="003E3593">
        <w:trPr>
          <w:cantSplit/>
          <w:trHeight w:val="320"/>
        </w:trPr>
        <w:tc>
          <w:tcPr>
            <w:tcW w:w="9679" w:type="dxa"/>
            <w:gridSpan w:val="9"/>
            <w:tcBorders>
              <w:top w:val="nil"/>
              <w:left w:val="nil"/>
              <w:bottom w:val="nil"/>
              <w:right w:val="nil"/>
            </w:tcBorders>
            <w:shd w:val="clear" w:color="auto" w:fill="FFFFFF"/>
          </w:tcPr>
          <w:p w14:paraId="6B9F7F0A"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a. Dependent Variable: EV_Mean</w:t>
            </w:r>
          </w:p>
        </w:tc>
      </w:tr>
    </w:tbl>
    <w:p w14:paraId="55B01AF2" w14:textId="77777777" w:rsidR="003E3593" w:rsidRPr="003E3593" w:rsidRDefault="003E3593" w:rsidP="003E3593">
      <w:pPr>
        <w:autoSpaceDE w:val="0"/>
        <w:autoSpaceDN w:val="0"/>
        <w:adjustRightInd w:val="0"/>
        <w:spacing w:line="400" w:lineRule="atLeast"/>
        <w:jc w:val="left"/>
        <w:rPr>
          <w:rFonts w:cs="Times New Roman"/>
          <w:szCs w:val="24"/>
        </w:rPr>
      </w:pPr>
    </w:p>
    <w:tbl>
      <w:tblPr>
        <w:tblW w:w="9639" w:type="dxa"/>
        <w:tblLayout w:type="fixed"/>
        <w:tblCellMar>
          <w:left w:w="0" w:type="dxa"/>
          <w:right w:w="0" w:type="dxa"/>
        </w:tblCellMar>
        <w:tblLook w:val="0000" w:firstRow="0" w:lastRow="0" w:firstColumn="0" w:lastColumn="0" w:noHBand="0" w:noVBand="0"/>
      </w:tblPr>
      <w:tblGrid>
        <w:gridCol w:w="737"/>
        <w:gridCol w:w="1134"/>
        <w:gridCol w:w="1134"/>
        <w:gridCol w:w="1361"/>
        <w:gridCol w:w="1090"/>
        <w:gridCol w:w="963"/>
        <w:gridCol w:w="1034"/>
        <w:gridCol w:w="1020"/>
        <w:gridCol w:w="1166"/>
      </w:tblGrid>
      <w:tr w:rsidR="003E3593" w:rsidRPr="003E3593" w14:paraId="762A77C4" w14:textId="77777777" w:rsidTr="003E3593">
        <w:trPr>
          <w:cantSplit/>
          <w:trHeight w:val="327"/>
        </w:trPr>
        <w:tc>
          <w:tcPr>
            <w:tcW w:w="9639" w:type="dxa"/>
            <w:gridSpan w:val="9"/>
            <w:tcBorders>
              <w:top w:val="nil"/>
              <w:left w:val="nil"/>
              <w:bottom w:val="nil"/>
              <w:right w:val="nil"/>
            </w:tcBorders>
            <w:shd w:val="clear" w:color="auto" w:fill="FFFFFF"/>
            <w:vAlign w:val="center"/>
          </w:tcPr>
          <w:p w14:paraId="60068BB5"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010205"/>
                <w:sz w:val="22"/>
              </w:rPr>
            </w:pPr>
            <w:r w:rsidRPr="003E3593">
              <w:rPr>
                <w:rFonts w:ascii="Arial" w:hAnsi="Arial" w:cs="Arial"/>
                <w:b/>
                <w:bCs/>
                <w:color w:val="010205"/>
                <w:sz w:val="22"/>
              </w:rPr>
              <w:t>Collinearity Diagnostics</w:t>
            </w:r>
            <w:r w:rsidRPr="003E3593">
              <w:rPr>
                <w:rFonts w:ascii="Arial" w:hAnsi="Arial" w:cs="Arial"/>
                <w:b/>
                <w:bCs/>
                <w:color w:val="010205"/>
                <w:sz w:val="22"/>
                <w:vertAlign w:val="superscript"/>
              </w:rPr>
              <w:t>a</w:t>
            </w:r>
          </w:p>
        </w:tc>
      </w:tr>
      <w:tr w:rsidR="003E3593" w:rsidRPr="003E3593" w14:paraId="3BA8E4C3" w14:textId="77777777" w:rsidTr="003E3593">
        <w:trPr>
          <w:cantSplit/>
          <w:trHeight w:val="327"/>
        </w:trPr>
        <w:tc>
          <w:tcPr>
            <w:tcW w:w="737" w:type="dxa"/>
            <w:vMerge w:val="restart"/>
            <w:tcBorders>
              <w:top w:val="nil"/>
              <w:left w:val="nil"/>
              <w:bottom w:val="nil"/>
              <w:right w:val="nil"/>
            </w:tcBorders>
            <w:shd w:val="clear" w:color="auto" w:fill="FFFFFF"/>
            <w:vAlign w:val="bottom"/>
          </w:tcPr>
          <w:p w14:paraId="56419250"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Model</w:t>
            </w:r>
          </w:p>
        </w:tc>
        <w:tc>
          <w:tcPr>
            <w:tcW w:w="1134" w:type="dxa"/>
            <w:vMerge w:val="restart"/>
            <w:tcBorders>
              <w:top w:val="nil"/>
              <w:left w:val="nil"/>
              <w:bottom w:val="nil"/>
              <w:right w:val="nil"/>
            </w:tcBorders>
            <w:shd w:val="clear" w:color="auto" w:fill="FFFFFF"/>
            <w:vAlign w:val="bottom"/>
          </w:tcPr>
          <w:p w14:paraId="2C96E77F"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Dimension</w:t>
            </w:r>
          </w:p>
        </w:tc>
        <w:tc>
          <w:tcPr>
            <w:tcW w:w="1134" w:type="dxa"/>
            <w:vMerge w:val="restart"/>
            <w:tcBorders>
              <w:top w:val="nil"/>
              <w:left w:val="nil"/>
              <w:bottom w:val="nil"/>
              <w:right w:val="single" w:sz="8" w:space="0" w:color="E0E0E0"/>
            </w:tcBorders>
            <w:shd w:val="clear" w:color="auto" w:fill="FFFFFF"/>
            <w:vAlign w:val="bottom"/>
          </w:tcPr>
          <w:p w14:paraId="343BC436"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Eigenvalue</w:t>
            </w:r>
          </w:p>
        </w:tc>
        <w:tc>
          <w:tcPr>
            <w:tcW w:w="1361" w:type="dxa"/>
            <w:vMerge w:val="restart"/>
            <w:tcBorders>
              <w:top w:val="nil"/>
              <w:left w:val="single" w:sz="8" w:space="0" w:color="E0E0E0"/>
              <w:bottom w:val="nil"/>
              <w:right w:val="single" w:sz="8" w:space="0" w:color="E0E0E0"/>
            </w:tcBorders>
            <w:shd w:val="clear" w:color="auto" w:fill="FFFFFF"/>
            <w:vAlign w:val="bottom"/>
          </w:tcPr>
          <w:p w14:paraId="73E3139F"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Condition Index</w:t>
            </w:r>
          </w:p>
        </w:tc>
        <w:tc>
          <w:tcPr>
            <w:tcW w:w="5270" w:type="dxa"/>
            <w:gridSpan w:val="5"/>
            <w:tcBorders>
              <w:top w:val="nil"/>
              <w:left w:val="single" w:sz="8" w:space="0" w:color="E0E0E0"/>
              <w:bottom w:val="nil"/>
              <w:right w:val="nil"/>
            </w:tcBorders>
            <w:shd w:val="clear" w:color="auto" w:fill="FFFFFF"/>
            <w:vAlign w:val="bottom"/>
          </w:tcPr>
          <w:p w14:paraId="6974A9F4"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Variance Proportions</w:t>
            </w:r>
          </w:p>
        </w:tc>
      </w:tr>
      <w:tr w:rsidR="003E3593" w:rsidRPr="003E3593" w14:paraId="3042FF64" w14:textId="77777777" w:rsidTr="003E3593">
        <w:trPr>
          <w:cantSplit/>
          <w:trHeight w:val="327"/>
        </w:trPr>
        <w:tc>
          <w:tcPr>
            <w:tcW w:w="737" w:type="dxa"/>
            <w:vMerge/>
            <w:tcBorders>
              <w:top w:val="nil"/>
              <w:left w:val="nil"/>
              <w:bottom w:val="nil"/>
              <w:right w:val="nil"/>
            </w:tcBorders>
            <w:shd w:val="clear" w:color="auto" w:fill="FFFFFF"/>
            <w:vAlign w:val="bottom"/>
          </w:tcPr>
          <w:p w14:paraId="595CCEA0"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1134" w:type="dxa"/>
            <w:vMerge/>
            <w:tcBorders>
              <w:top w:val="nil"/>
              <w:left w:val="nil"/>
              <w:bottom w:val="nil"/>
              <w:right w:val="nil"/>
            </w:tcBorders>
            <w:shd w:val="clear" w:color="auto" w:fill="FFFFFF"/>
            <w:vAlign w:val="bottom"/>
          </w:tcPr>
          <w:p w14:paraId="586FBC65"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1134" w:type="dxa"/>
            <w:vMerge/>
            <w:tcBorders>
              <w:top w:val="nil"/>
              <w:left w:val="nil"/>
              <w:bottom w:val="nil"/>
              <w:right w:val="single" w:sz="8" w:space="0" w:color="E0E0E0"/>
            </w:tcBorders>
            <w:shd w:val="clear" w:color="auto" w:fill="FFFFFF"/>
            <w:vAlign w:val="bottom"/>
          </w:tcPr>
          <w:p w14:paraId="519B5A96"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1361" w:type="dxa"/>
            <w:vMerge/>
            <w:tcBorders>
              <w:top w:val="nil"/>
              <w:left w:val="single" w:sz="8" w:space="0" w:color="E0E0E0"/>
              <w:bottom w:val="nil"/>
              <w:right w:val="single" w:sz="8" w:space="0" w:color="E0E0E0"/>
            </w:tcBorders>
            <w:shd w:val="clear" w:color="auto" w:fill="FFFFFF"/>
            <w:vAlign w:val="bottom"/>
          </w:tcPr>
          <w:p w14:paraId="4FEF1BE9" w14:textId="77777777" w:rsidR="003E3593" w:rsidRPr="003E3593" w:rsidRDefault="003E3593" w:rsidP="003E3593">
            <w:pPr>
              <w:autoSpaceDE w:val="0"/>
              <w:autoSpaceDN w:val="0"/>
              <w:adjustRightInd w:val="0"/>
              <w:spacing w:line="240" w:lineRule="auto"/>
              <w:jc w:val="left"/>
              <w:rPr>
                <w:rFonts w:ascii="Arial" w:hAnsi="Arial" w:cs="Arial"/>
                <w:color w:val="264A60"/>
                <w:sz w:val="18"/>
                <w:szCs w:val="18"/>
              </w:rPr>
            </w:pPr>
          </w:p>
        </w:tc>
        <w:tc>
          <w:tcPr>
            <w:tcW w:w="1090" w:type="dxa"/>
            <w:tcBorders>
              <w:top w:val="nil"/>
              <w:left w:val="single" w:sz="8" w:space="0" w:color="E0E0E0"/>
              <w:bottom w:val="single" w:sz="8" w:space="0" w:color="152935"/>
              <w:right w:val="single" w:sz="8" w:space="0" w:color="E0E0E0"/>
            </w:tcBorders>
            <w:shd w:val="clear" w:color="auto" w:fill="FFFFFF"/>
            <w:vAlign w:val="bottom"/>
          </w:tcPr>
          <w:p w14:paraId="230E974F"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(Constant)</w:t>
            </w:r>
          </w:p>
        </w:tc>
        <w:tc>
          <w:tcPr>
            <w:tcW w:w="963" w:type="dxa"/>
            <w:tcBorders>
              <w:top w:val="nil"/>
              <w:left w:val="single" w:sz="8" w:space="0" w:color="E0E0E0"/>
              <w:bottom w:val="single" w:sz="8" w:space="0" w:color="152935"/>
              <w:right w:val="single" w:sz="8" w:space="0" w:color="E0E0E0"/>
            </w:tcBorders>
            <w:shd w:val="clear" w:color="auto" w:fill="FFFFFF"/>
            <w:vAlign w:val="bottom"/>
          </w:tcPr>
          <w:p w14:paraId="01CF6721"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IR_Mean</w:t>
            </w:r>
          </w:p>
        </w:tc>
        <w:tc>
          <w:tcPr>
            <w:tcW w:w="1034" w:type="dxa"/>
            <w:tcBorders>
              <w:top w:val="nil"/>
              <w:left w:val="single" w:sz="8" w:space="0" w:color="E0E0E0"/>
              <w:bottom w:val="single" w:sz="8" w:space="0" w:color="152935"/>
              <w:right w:val="single" w:sz="8" w:space="0" w:color="E0E0E0"/>
            </w:tcBorders>
            <w:shd w:val="clear" w:color="auto" w:fill="FFFFFF"/>
            <w:vAlign w:val="bottom"/>
          </w:tcPr>
          <w:p w14:paraId="0CB3FDA9"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PG_Mean</w:t>
            </w:r>
          </w:p>
        </w:tc>
        <w:tc>
          <w:tcPr>
            <w:tcW w:w="1020" w:type="dxa"/>
            <w:tcBorders>
              <w:top w:val="nil"/>
              <w:left w:val="single" w:sz="8" w:space="0" w:color="E0E0E0"/>
              <w:bottom w:val="single" w:sz="8" w:space="0" w:color="152935"/>
              <w:right w:val="single" w:sz="8" w:space="0" w:color="E0E0E0"/>
            </w:tcBorders>
            <w:shd w:val="clear" w:color="auto" w:fill="FFFFFF"/>
            <w:vAlign w:val="bottom"/>
          </w:tcPr>
          <w:p w14:paraId="7016F75D"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TC_Mean</w:t>
            </w:r>
          </w:p>
        </w:tc>
        <w:tc>
          <w:tcPr>
            <w:tcW w:w="1161" w:type="dxa"/>
            <w:tcBorders>
              <w:top w:val="nil"/>
              <w:left w:val="single" w:sz="8" w:space="0" w:color="E0E0E0"/>
              <w:bottom w:val="single" w:sz="8" w:space="0" w:color="152935"/>
              <w:right w:val="nil"/>
            </w:tcBorders>
            <w:shd w:val="clear" w:color="auto" w:fill="FFFFFF"/>
            <w:vAlign w:val="bottom"/>
          </w:tcPr>
          <w:p w14:paraId="3C1C99BF"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SDG_Mean</w:t>
            </w:r>
          </w:p>
        </w:tc>
      </w:tr>
      <w:tr w:rsidR="003E3593" w:rsidRPr="003E3593" w14:paraId="655E5768" w14:textId="77777777" w:rsidTr="003E3593">
        <w:trPr>
          <w:cantSplit/>
          <w:trHeight w:val="327"/>
        </w:trPr>
        <w:tc>
          <w:tcPr>
            <w:tcW w:w="737" w:type="dxa"/>
            <w:vMerge w:val="restart"/>
            <w:tcBorders>
              <w:top w:val="single" w:sz="8" w:space="0" w:color="152935"/>
              <w:left w:val="nil"/>
              <w:bottom w:val="single" w:sz="8" w:space="0" w:color="152935"/>
              <w:right w:val="nil"/>
            </w:tcBorders>
            <w:shd w:val="clear" w:color="auto" w:fill="E0E0E0"/>
          </w:tcPr>
          <w:p w14:paraId="154C725A"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1</w:t>
            </w:r>
          </w:p>
        </w:tc>
        <w:tc>
          <w:tcPr>
            <w:tcW w:w="1134" w:type="dxa"/>
            <w:tcBorders>
              <w:top w:val="single" w:sz="8" w:space="0" w:color="152935"/>
              <w:left w:val="nil"/>
              <w:bottom w:val="single" w:sz="8" w:space="0" w:color="AEAEAE"/>
              <w:right w:val="nil"/>
            </w:tcBorders>
            <w:shd w:val="clear" w:color="auto" w:fill="E0E0E0"/>
          </w:tcPr>
          <w:p w14:paraId="30CBA410"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1</w:t>
            </w:r>
          </w:p>
        </w:tc>
        <w:tc>
          <w:tcPr>
            <w:tcW w:w="1134" w:type="dxa"/>
            <w:tcBorders>
              <w:top w:val="single" w:sz="8" w:space="0" w:color="152935"/>
              <w:left w:val="nil"/>
              <w:bottom w:val="single" w:sz="8" w:space="0" w:color="AEAEAE"/>
              <w:right w:val="single" w:sz="8" w:space="0" w:color="E0E0E0"/>
            </w:tcBorders>
            <w:shd w:val="clear" w:color="auto" w:fill="F9F9FB"/>
          </w:tcPr>
          <w:p w14:paraId="0F61CA97"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4.881</w:t>
            </w:r>
          </w:p>
        </w:tc>
        <w:tc>
          <w:tcPr>
            <w:tcW w:w="1361" w:type="dxa"/>
            <w:tcBorders>
              <w:top w:val="single" w:sz="8" w:space="0" w:color="152935"/>
              <w:left w:val="single" w:sz="8" w:space="0" w:color="E0E0E0"/>
              <w:bottom w:val="single" w:sz="8" w:space="0" w:color="AEAEAE"/>
              <w:right w:val="single" w:sz="8" w:space="0" w:color="E0E0E0"/>
            </w:tcBorders>
            <w:shd w:val="clear" w:color="auto" w:fill="F9F9FB"/>
          </w:tcPr>
          <w:p w14:paraId="35A5AEF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1.000</w:t>
            </w:r>
          </w:p>
        </w:tc>
        <w:tc>
          <w:tcPr>
            <w:tcW w:w="1090" w:type="dxa"/>
            <w:tcBorders>
              <w:top w:val="single" w:sz="8" w:space="0" w:color="152935"/>
              <w:left w:val="single" w:sz="8" w:space="0" w:color="E0E0E0"/>
              <w:bottom w:val="single" w:sz="8" w:space="0" w:color="AEAEAE"/>
              <w:right w:val="single" w:sz="8" w:space="0" w:color="E0E0E0"/>
            </w:tcBorders>
            <w:shd w:val="clear" w:color="auto" w:fill="F9F9FB"/>
          </w:tcPr>
          <w:p w14:paraId="3036F93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w:t>
            </w:r>
          </w:p>
        </w:tc>
        <w:tc>
          <w:tcPr>
            <w:tcW w:w="963" w:type="dxa"/>
            <w:tcBorders>
              <w:top w:val="single" w:sz="8" w:space="0" w:color="152935"/>
              <w:left w:val="single" w:sz="8" w:space="0" w:color="E0E0E0"/>
              <w:bottom w:val="single" w:sz="8" w:space="0" w:color="AEAEAE"/>
              <w:right w:val="single" w:sz="8" w:space="0" w:color="E0E0E0"/>
            </w:tcBorders>
            <w:shd w:val="clear" w:color="auto" w:fill="F9F9FB"/>
          </w:tcPr>
          <w:p w14:paraId="4803ED5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w:t>
            </w:r>
          </w:p>
        </w:tc>
        <w:tc>
          <w:tcPr>
            <w:tcW w:w="1034" w:type="dxa"/>
            <w:tcBorders>
              <w:top w:val="single" w:sz="8" w:space="0" w:color="152935"/>
              <w:left w:val="single" w:sz="8" w:space="0" w:color="E0E0E0"/>
              <w:bottom w:val="single" w:sz="8" w:space="0" w:color="AEAEAE"/>
              <w:right w:val="single" w:sz="8" w:space="0" w:color="E0E0E0"/>
            </w:tcBorders>
            <w:shd w:val="clear" w:color="auto" w:fill="F9F9FB"/>
          </w:tcPr>
          <w:p w14:paraId="59B47F63"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w:t>
            </w:r>
          </w:p>
        </w:tc>
        <w:tc>
          <w:tcPr>
            <w:tcW w:w="1020" w:type="dxa"/>
            <w:tcBorders>
              <w:top w:val="single" w:sz="8" w:space="0" w:color="152935"/>
              <w:left w:val="single" w:sz="8" w:space="0" w:color="E0E0E0"/>
              <w:bottom w:val="single" w:sz="8" w:space="0" w:color="AEAEAE"/>
              <w:right w:val="single" w:sz="8" w:space="0" w:color="E0E0E0"/>
            </w:tcBorders>
            <w:shd w:val="clear" w:color="auto" w:fill="F9F9FB"/>
          </w:tcPr>
          <w:p w14:paraId="7C87EAE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w:t>
            </w:r>
          </w:p>
        </w:tc>
        <w:tc>
          <w:tcPr>
            <w:tcW w:w="1161" w:type="dxa"/>
            <w:tcBorders>
              <w:top w:val="single" w:sz="8" w:space="0" w:color="152935"/>
              <w:left w:val="single" w:sz="8" w:space="0" w:color="E0E0E0"/>
              <w:bottom w:val="single" w:sz="8" w:space="0" w:color="AEAEAE"/>
              <w:right w:val="nil"/>
            </w:tcBorders>
            <w:shd w:val="clear" w:color="auto" w:fill="F9F9FB"/>
          </w:tcPr>
          <w:p w14:paraId="054C90DE"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w:t>
            </w:r>
          </w:p>
        </w:tc>
      </w:tr>
      <w:tr w:rsidR="003E3593" w:rsidRPr="003E3593" w14:paraId="29BFDA24" w14:textId="77777777" w:rsidTr="003E3593">
        <w:trPr>
          <w:cantSplit/>
          <w:trHeight w:val="347"/>
        </w:trPr>
        <w:tc>
          <w:tcPr>
            <w:tcW w:w="737" w:type="dxa"/>
            <w:vMerge/>
            <w:tcBorders>
              <w:top w:val="single" w:sz="8" w:space="0" w:color="152935"/>
              <w:left w:val="nil"/>
              <w:bottom w:val="single" w:sz="8" w:space="0" w:color="152935"/>
              <w:right w:val="nil"/>
            </w:tcBorders>
            <w:shd w:val="clear" w:color="auto" w:fill="E0E0E0"/>
          </w:tcPr>
          <w:p w14:paraId="6F4C2AE9"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34" w:type="dxa"/>
            <w:tcBorders>
              <w:top w:val="single" w:sz="8" w:space="0" w:color="AEAEAE"/>
              <w:left w:val="nil"/>
              <w:bottom w:val="single" w:sz="8" w:space="0" w:color="AEAEAE"/>
              <w:right w:val="nil"/>
            </w:tcBorders>
            <w:shd w:val="clear" w:color="auto" w:fill="E0E0E0"/>
          </w:tcPr>
          <w:p w14:paraId="58172FB1"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2</w:t>
            </w:r>
          </w:p>
        </w:tc>
        <w:tc>
          <w:tcPr>
            <w:tcW w:w="1134" w:type="dxa"/>
            <w:tcBorders>
              <w:top w:val="single" w:sz="8" w:space="0" w:color="AEAEAE"/>
              <w:left w:val="nil"/>
              <w:bottom w:val="single" w:sz="8" w:space="0" w:color="AEAEAE"/>
              <w:right w:val="single" w:sz="8" w:space="0" w:color="E0E0E0"/>
            </w:tcBorders>
            <w:shd w:val="clear" w:color="auto" w:fill="F9F9FB"/>
          </w:tcPr>
          <w:p w14:paraId="0C8D8DA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.077</w:t>
            </w:r>
          </w:p>
        </w:tc>
        <w:tc>
          <w:tcPr>
            <w:tcW w:w="1361" w:type="dxa"/>
            <w:tcBorders>
              <w:top w:val="single" w:sz="8" w:space="0" w:color="AEAEAE"/>
              <w:left w:val="single" w:sz="8" w:space="0" w:color="E0E0E0"/>
              <w:bottom w:val="single" w:sz="8" w:space="0" w:color="AEAEAE"/>
              <w:right w:val="single" w:sz="8" w:space="0" w:color="E0E0E0"/>
            </w:tcBorders>
            <w:shd w:val="clear" w:color="auto" w:fill="F9F9FB"/>
          </w:tcPr>
          <w:p w14:paraId="2D808FF8"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7.969</w:t>
            </w:r>
          </w:p>
        </w:tc>
        <w:tc>
          <w:tcPr>
            <w:tcW w:w="1090" w:type="dxa"/>
            <w:tcBorders>
              <w:top w:val="single" w:sz="8" w:space="0" w:color="AEAEAE"/>
              <w:left w:val="single" w:sz="8" w:space="0" w:color="E0E0E0"/>
              <w:bottom w:val="single" w:sz="8" w:space="0" w:color="AEAEAE"/>
              <w:right w:val="single" w:sz="8" w:space="0" w:color="E0E0E0"/>
            </w:tcBorders>
            <w:shd w:val="clear" w:color="auto" w:fill="F9F9FB"/>
          </w:tcPr>
          <w:p w14:paraId="381FF56F"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.85</w:t>
            </w:r>
          </w:p>
        </w:tc>
        <w:tc>
          <w:tcPr>
            <w:tcW w:w="963" w:type="dxa"/>
            <w:tcBorders>
              <w:top w:val="single" w:sz="8" w:space="0" w:color="AEAEAE"/>
              <w:left w:val="single" w:sz="8" w:space="0" w:color="E0E0E0"/>
              <w:bottom w:val="single" w:sz="8" w:space="0" w:color="AEAEAE"/>
              <w:right w:val="single" w:sz="8" w:space="0" w:color="E0E0E0"/>
            </w:tcBorders>
            <w:shd w:val="clear" w:color="auto" w:fill="F9F9FB"/>
          </w:tcPr>
          <w:p w14:paraId="3D178315"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w:t>
            </w:r>
          </w:p>
        </w:tc>
        <w:tc>
          <w:tcPr>
            <w:tcW w:w="1034" w:type="dxa"/>
            <w:tcBorders>
              <w:top w:val="single" w:sz="8" w:space="0" w:color="AEAEAE"/>
              <w:left w:val="single" w:sz="8" w:space="0" w:color="E0E0E0"/>
              <w:bottom w:val="single" w:sz="8" w:space="0" w:color="AEAEAE"/>
              <w:right w:val="single" w:sz="8" w:space="0" w:color="E0E0E0"/>
            </w:tcBorders>
            <w:shd w:val="clear" w:color="auto" w:fill="F9F9FB"/>
          </w:tcPr>
          <w:p w14:paraId="4A0C9BB6"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w:t>
            </w:r>
          </w:p>
        </w:tc>
        <w:tc>
          <w:tcPr>
            <w:tcW w:w="1020" w:type="dxa"/>
            <w:tcBorders>
              <w:top w:val="single" w:sz="8" w:space="0" w:color="AEAEAE"/>
              <w:left w:val="single" w:sz="8" w:space="0" w:color="E0E0E0"/>
              <w:bottom w:val="single" w:sz="8" w:space="0" w:color="AEAEAE"/>
              <w:right w:val="single" w:sz="8" w:space="0" w:color="E0E0E0"/>
            </w:tcBorders>
            <w:shd w:val="clear" w:color="auto" w:fill="F9F9FB"/>
          </w:tcPr>
          <w:p w14:paraId="60BE8236"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w:t>
            </w:r>
          </w:p>
        </w:tc>
        <w:tc>
          <w:tcPr>
            <w:tcW w:w="1161" w:type="dxa"/>
            <w:tcBorders>
              <w:top w:val="single" w:sz="8" w:space="0" w:color="AEAEAE"/>
              <w:left w:val="single" w:sz="8" w:space="0" w:color="E0E0E0"/>
              <w:bottom w:val="single" w:sz="8" w:space="0" w:color="AEAEAE"/>
              <w:right w:val="nil"/>
            </w:tcBorders>
            <w:shd w:val="clear" w:color="auto" w:fill="F9F9FB"/>
          </w:tcPr>
          <w:p w14:paraId="07963D71"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.03</w:t>
            </w:r>
          </w:p>
        </w:tc>
      </w:tr>
      <w:tr w:rsidR="003E3593" w:rsidRPr="003E3593" w14:paraId="3FC3B668" w14:textId="77777777" w:rsidTr="003E3593">
        <w:trPr>
          <w:cantSplit/>
          <w:trHeight w:val="347"/>
        </w:trPr>
        <w:tc>
          <w:tcPr>
            <w:tcW w:w="737" w:type="dxa"/>
            <w:vMerge/>
            <w:tcBorders>
              <w:top w:val="single" w:sz="8" w:space="0" w:color="152935"/>
              <w:left w:val="nil"/>
              <w:bottom w:val="single" w:sz="8" w:space="0" w:color="152935"/>
              <w:right w:val="nil"/>
            </w:tcBorders>
            <w:shd w:val="clear" w:color="auto" w:fill="E0E0E0"/>
          </w:tcPr>
          <w:p w14:paraId="4020527F"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34" w:type="dxa"/>
            <w:tcBorders>
              <w:top w:val="single" w:sz="8" w:space="0" w:color="AEAEAE"/>
              <w:left w:val="nil"/>
              <w:bottom w:val="single" w:sz="8" w:space="0" w:color="AEAEAE"/>
              <w:right w:val="nil"/>
            </w:tcBorders>
            <w:shd w:val="clear" w:color="auto" w:fill="E0E0E0"/>
          </w:tcPr>
          <w:p w14:paraId="3309AD8D"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3</w:t>
            </w:r>
          </w:p>
        </w:tc>
        <w:tc>
          <w:tcPr>
            <w:tcW w:w="1134" w:type="dxa"/>
            <w:tcBorders>
              <w:top w:val="single" w:sz="8" w:space="0" w:color="AEAEAE"/>
              <w:left w:val="nil"/>
              <w:bottom w:val="single" w:sz="8" w:space="0" w:color="AEAEAE"/>
              <w:right w:val="single" w:sz="8" w:space="0" w:color="E0E0E0"/>
            </w:tcBorders>
            <w:shd w:val="clear" w:color="auto" w:fill="F9F9FB"/>
          </w:tcPr>
          <w:p w14:paraId="1553C4C7"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.021</w:t>
            </w:r>
          </w:p>
        </w:tc>
        <w:tc>
          <w:tcPr>
            <w:tcW w:w="1361" w:type="dxa"/>
            <w:tcBorders>
              <w:top w:val="single" w:sz="8" w:space="0" w:color="AEAEAE"/>
              <w:left w:val="single" w:sz="8" w:space="0" w:color="E0E0E0"/>
              <w:bottom w:val="single" w:sz="8" w:space="0" w:color="AEAEAE"/>
              <w:right w:val="single" w:sz="8" w:space="0" w:color="E0E0E0"/>
            </w:tcBorders>
            <w:shd w:val="clear" w:color="auto" w:fill="F9F9FB"/>
          </w:tcPr>
          <w:p w14:paraId="49B0D5DE"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15.212</w:t>
            </w:r>
          </w:p>
        </w:tc>
        <w:tc>
          <w:tcPr>
            <w:tcW w:w="1090" w:type="dxa"/>
            <w:tcBorders>
              <w:top w:val="single" w:sz="8" w:space="0" w:color="AEAEAE"/>
              <w:left w:val="single" w:sz="8" w:space="0" w:color="E0E0E0"/>
              <w:bottom w:val="single" w:sz="8" w:space="0" w:color="AEAEAE"/>
              <w:right w:val="single" w:sz="8" w:space="0" w:color="E0E0E0"/>
            </w:tcBorders>
            <w:shd w:val="clear" w:color="auto" w:fill="F9F9FB"/>
          </w:tcPr>
          <w:p w14:paraId="20097BBE"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w:t>
            </w:r>
          </w:p>
        </w:tc>
        <w:tc>
          <w:tcPr>
            <w:tcW w:w="963" w:type="dxa"/>
            <w:tcBorders>
              <w:top w:val="single" w:sz="8" w:space="0" w:color="AEAEAE"/>
              <w:left w:val="single" w:sz="8" w:space="0" w:color="E0E0E0"/>
              <w:bottom w:val="single" w:sz="8" w:space="0" w:color="AEAEAE"/>
              <w:right w:val="single" w:sz="8" w:space="0" w:color="E0E0E0"/>
            </w:tcBorders>
            <w:shd w:val="clear" w:color="auto" w:fill="F9F9FB"/>
          </w:tcPr>
          <w:p w14:paraId="26DCF68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.04</w:t>
            </w:r>
          </w:p>
        </w:tc>
        <w:tc>
          <w:tcPr>
            <w:tcW w:w="1034" w:type="dxa"/>
            <w:tcBorders>
              <w:top w:val="single" w:sz="8" w:space="0" w:color="AEAEAE"/>
              <w:left w:val="single" w:sz="8" w:space="0" w:color="E0E0E0"/>
              <w:bottom w:val="single" w:sz="8" w:space="0" w:color="AEAEAE"/>
              <w:right w:val="single" w:sz="8" w:space="0" w:color="E0E0E0"/>
            </w:tcBorders>
            <w:shd w:val="clear" w:color="auto" w:fill="F9F9FB"/>
          </w:tcPr>
          <w:p w14:paraId="05EB407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.11</w:t>
            </w:r>
          </w:p>
        </w:tc>
        <w:tc>
          <w:tcPr>
            <w:tcW w:w="1020" w:type="dxa"/>
            <w:tcBorders>
              <w:top w:val="single" w:sz="8" w:space="0" w:color="AEAEAE"/>
              <w:left w:val="single" w:sz="8" w:space="0" w:color="E0E0E0"/>
              <w:bottom w:val="single" w:sz="8" w:space="0" w:color="AEAEAE"/>
              <w:right w:val="single" w:sz="8" w:space="0" w:color="E0E0E0"/>
            </w:tcBorders>
            <w:shd w:val="clear" w:color="auto" w:fill="F9F9FB"/>
          </w:tcPr>
          <w:p w14:paraId="2D15B6E8"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w:t>
            </w:r>
          </w:p>
        </w:tc>
        <w:tc>
          <w:tcPr>
            <w:tcW w:w="1161" w:type="dxa"/>
            <w:tcBorders>
              <w:top w:val="single" w:sz="8" w:space="0" w:color="AEAEAE"/>
              <w:left w:val="single" w:sz="8" w:space="0" w:color="E0E0E0"/>
              <w:bottom w:val="single" w:sz="8" w:space="0" w:color="AEAEAE"/>
              <w:right w:val="nil"/>
            </w:tcBorders>
            <w:shd w:val="clear" w:color="auto" w:fill="F9F9FB"/>
          </w:tcPr>
          <w:p w14:paraId="35169E4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.87</w:t>
            </w:r>
          </w:p>
        </w:tc>
      </w:tr>
      <w:tr w:rsidR="003E3593" w:rsidRPr="003E3593" w14:paraId="370E74A2" w14:textId="77777777" w:rsidTr="003E3593">
        <w:trPr>
          <w:cantSplit/>
          <w:trHeight w:val="347"/>
        </w:trPr>
        <w:tc>
          <w:tcPr>
            <w:tcW w:w="737" w:type="dxa"/>
            <w:vMerge/>
            <w:tcBorders>
              <w:top w:val="single" w:sz="8" w:space="0" w:color="152935"/>
              <w:left w:val="nil"/>
              <w:bottom w:val="single" w:sz="8" w:space="0" w:color="152935"/>
              <w:right w:val="nil"/>
            </w:tcBorders>
            <w:shd w:val="clear" w:color="auto" w:fill="E0E0E0"/>
          </w:tcPr>
          <w:p w14:paraId="523983BB"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34" w:type="dxa"/>
            <w:tcBorders>
              <w:top w:val="single" w:sz="8" w:space="0" w:color="AEAEAE"/>
              <w:left w:val="nil"/>
              <w:bottom w:val="single" w:sz="8" w:space="0" w:color="AEAEAE"/>
              <w:right w:val="nil"/>
            </w:tcBorders>
            <w:shd w:val="clear" w:color="auto" w:fill="E0E0E0"/>
          </w:tcPr>
          <w:p w14:paraId="037F6F82"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4</w:t>
            </w:r>
          </w:p>
        </w:tc>
        <w:tc>
          <w:tcPr>
            <w:tcW w:w="1134" w:type="dxa"/>
            <w:tcBorders>
              <w:top w:val="single" w:sz="8" w:space="0" w:color="AEAEAE"/>
              <w:left w:val="nil"/>
              <w:bottom w:val="single" w:sz="8" w:space="0" w:color="AEAEAE"/>
              <w:right w:val="single" w:sz="8" w:space="0" w:color="E0E0E0"/>
            </w:tcBorders>
            <w:shd w:val="clear" w:color="auto" w:fill="F9F9FB"/>
          </w:tcPr>
          <w:p w14:paraId="4AE58825"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.016</w:t>
            </w:r>
          </w:p>
        </w:tc>
        <w:tc>
          <w:tcPr>
            <w:tcW w:w="1361" w:type="dxa"/>
            <w:tcBorders>
              <w:top w:val="single" w:sz="8" w:space="0" w:color="AEAEAE"/>
              <w:left w:val="single" w:sz="8" w:space="0" w:color="E0E0E0"/>
              <w:bottom w:val="single" w:sz="8" w:space="0" w:color="AEAEAE"/>
              <w:right w:val="single" w:sz="8" w:space="0" w:color="E0E0E0"/>
            </w:tcBorders>
            <w:shd w:val="clear" w:color="auto" w:fill="F9F9FB"/>
          </w:tcPr>
          <w:p w14:paraId="62A4DCF0"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17.378</w:t>
            </w:r>
          </w:p>
        </w:tc>
        <w:tc>
          <w:tcPr>
            <w:tcW w:w="1090" w:type="dxa"/>
            <w:tcBorders>
              <w:top w:val="single" w:sz="8" w:space="0" w:color="AEAEAE"/>
              <w:left w:val="single" w:sz="8" w:space="0" w:color="E0E0E0"/>
              <w:bottom w:val="single" w:sz="8" w:space="0" w:color="AEAEAE"/>
              <w:right w:val="single" w:sz="8" w:space="0" w:color="E0E0E0"/>
            </w:tcBorders>
            <w:shd w:val="clear" w:color="auto" w:fill="F9F9FB"/>
          </w:tcPr>
          <w:p w14:paraId="69BCD9C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.14</w:t>
            </w:r>
          </w:p>
        </w:tc>
        <w:tc>
          <w:tcPr>
            <w:tcW w:w="963" w:type="dxa"/>
            <w:tcBorders>
              <w:top w:val="single" w:sz="8" w:space="0" w:color="AEAEAE"/>
              <w:left w:val="single" w:sz="8" w:space="0" w:color="E0E0E0"/>
              <w:bottom w:val="single" w:sz="8" w:space="0" w:color="AEAEAE"/>
              <w:right w:val="single" w:sz="8" w:space="0" w:color="E0E0E0"/>
            </w:tcBorders>
            <w:shd w:val="clear" w:color="auto" w:fill="F9F9FB"/>
          </w:tcPr>
          <w:p w14:paraId="0CFC558F"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.03</w:t>
            </w:r>
          </w:p>
        </w:tc>
        <w:tc>
          <w:tcPr>
            <w:tcW w:w="1034" w:type="dxa"/>
            <w:tcBorders>
              <w:top w:val="single" w:sz="8" w:space="0" w:color="AEAEAE"/>
              <w:left w:val="single" w:sz="8" w:space="0" w:color="E0E0E0"/>
              <w:bottom w:val="single" w:sz="8" w:space="0" w:color="AEAEAE"/>
              <w:right w:val="single" w:sz="8" w:space="0" w:color="E0E0E0"/>
            </w:tcBorders>
            <w:shd w:val="clear" w:color="auto" w:fill="F9F9FB"/>
          </w:tcPr>
          <w:p w14:paraId="476AF862"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.07</w:t>
            </w:r>
          </w:p>
        </w:tc>
        <w:tc>
          <w:tcPr>
            <w:tcW w:w="1020" w:type="dxa"/>
            <w:tcBorders>
              <w:top w:val="single" w:sz="8" w:space="0" w:color="AEAEAE"/>
              <w:left w:val="single" w:sz="8" w:space="0" w:color="E0E0E0"/>
              <w:bottom w:val="single" w:sz="8" w:space="0" w:color="AEAEAE"/>
              <w:right w:val="single" w:sz="8" w:space="0" w:color="E0E0E0"/>
            </w:tcBorders>
            <w:shd w:val="clear" w:color="auto" w:fill="F9F9FB"/>
          </w:tcPr>
          <w:p w14:paraId="6DC7B299"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.98</w:t>
            </w:r>
          </w:p>
        </w:tc>
        <w:tc>
          <w:tcPr>
            <w:tcW w:w="1161" w:type="dxa"/>
            <w:tcBorders>
              <w:top w:val="single" w:sz="8" w:space="0" w:color="AEAEAE"/>
              <w:left w:val="single" w:sz="8" w:space="0" w:color="E0E0E0"/>
              <w:bottom w:val="single" w:sz="8" w:space="0" w:color="AEAEAE"/>
              <w:right w:val="nil"/>
            </w:tcBorders>
            <w:shd w:val="clear" w:color="auto" w:fill="F9F9FB"/>
          </w:tcPr>
          <w:p w14:paraId="211B801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.05</w:t>
            </w:r>
          </w:p>
        </w:tc>
      </w:tr>
      <w:tr w:rsidR="003E3593" w:rsidRPr="003E3593" w14:paraId="40B51727" w14:textId="77777777" w:rsidTr="003E3593">
        <w:trPr>
          <w:cantSplit/>
          <w:trHeight w:val="347"/>
        </w:trPr>
        <w:tc>
          <w:tcPr>
            <w:tcW w:w="737" w:type="dxa"/>
            <w:vMerge/>
            <w:tcBorders>
              <w:top w:val="single" w:sz="8" w:space="0" w:color="152935"/>
              <w:left w:val="nil"/>
              <w:bottom w:val="single" w:sz="8" w:space="0" w:color="152935"/>
              <w:right w:val="nil"/>
            </w:tcBorders>
            <w:shd w:val="clear" w:color="auto" w:fill="E0E0E0"/>
          </w:tcPr>
          <w:p w14:paraId="409D491D" w14:textId="77777777" w:rsidR="003E3593" w:rsidRPr="003E3593" w:rsidRDefault="003E3593" w:rsidP="003E3593">
            <w:pPr>
              <w:autoSpaceDE w:val="0"/>
              <w:autoSpaceDN w:val="0"/>
              <w:adjustRightInd w:val="0"/>
              <w:spacing w:line="240" w:lineRule="auto"/>
              <w:jc w:val="left"/>
              <w:rPr>
                <w:rFonts w:ascii="Arial" w:hAnsi="Arial" w:cs="Arial"/>
                <w:color w:val="010205"/>
                <w:sz w:val="18"/>
                <w:szCs w:val="18"/>
              </w:rPr>
            </w:pPr>
          </w:p>
        </w:tc>
        <w:tc>
          <w:tcPr>
            <w:tcW w:w="1134" w:type="dxa"/>
            <w:tcBorders>
              <w:top w:val="single" w:sz="8" w:space="0" w:color="AEAEAE"/>
              <w:left w:val="nil"/>
              <w:bottom w:val="single" w:sz="8" w:space="0" w:color="152935"/>
              <w:right w:val="nil"/>
            </w:tcBorders>
            <w:shd w:val="clear" w:color="auto" w:fill="E0E0E0"/>
          </w:tcPr>
          <w:p w14:paraId="6D0AA457"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5</w:t>
            </w:r>
          </w:p>
        </w:tc>
        <w:tc>
          <w:tcPr>
            <w:tcW w:w="1134" w:type="dxa"/>
            <w:tcBorders>
              <w:top w:val="single" w:sz="8" w:space="0" w:color="AEAEAE"/>
              <w:left w:val="nil"/>
              <w:bottom w:val="single" w:sz="8" w:space="0" w:color="152935"/>
              <w:right w:val="single" w:sz="8" w:space="0" w:color="E0E0E0"/>
            </w:tcBorders>
            <w:shd w:val="clear" w:color="auto" w:fill="F9F9FB"/>
          </w:tcPr>
          <w:p w14:paraId="4C4F9065"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.005</w:t>
            </w:r>
          </w:p>
        </w:tc>
        <w:tc>
          <w:tcPr>
            <w:tcW w:w="1361" w:type="dxa"/>
            <w:tcBorders>
              <w:top w:val="single" w:sz="8" w:space="0" w:color="AEAEAE"/>
              <w:left w:val="single" w:sz="8" w:space="0" w:color="E0E0E0"/>
              <w:bottom w:val="single" w:sz="8" w:space="0" w:color="152935"/>
              <w:right w:val="single" w:sz="8" w:space="0" w:color="E0E0E0"/>
            </w:tcBorders>
            <w:shd w:val="clear" w:color="auto" w:fill="F9F9FB"/>
          </w:tcPr>
          <w:p w14:paraId="23635706"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30.161</w:t>
            </w:r>
          </w:p>
        </w:tc>
        <w:tc>
          <w:tcPr>
            <w:tcW w:w="1090" w:type="dxa"/>
            <w:tcBorders>
              <w:top w:val="single" w:sz="8" w:space="0" w:color="AEAEAE"/>
              <w:left w:val="single" w:sz="8" w:space="0" w:color="E0E0E0"/>
              <w:bottom w:val="single" w:sz="8" w:space="0" w:color="152935"/>
              <w:right w:val="single" w:sz="8" w:space="0" w:color="E0E0E0"/>
            </w:tcBorders>
            <w:shd w:val="clear" w:color="auto" w:fill="F9F9FB"/>
          </w:tcPr>
          <w:p w14:paraId="350E3CF9"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w:t>
            </w:r>
          </w:p>
        </w:tc>
        <w:tc>
          <w:tcPr>
            <w:tcW w:w="963" w:type="dxa"/>
            <w:tcBorders>
              <w:top w:val="single" w:sz="8" w:space="0" w:color="AEAEAE"/>
              <w:left w:val="single" w:sz="8" w:space="0" w:color="E0E0E0"/>
              <w:bottom w:val="single" w:sz="8" w:space="0" w:color="152935"/>
              <w:right w:val="single" w:sz="8" w:space="0" w:color="E0E0E0"/>
            </w:tcBorders>
            <w:shd w:val="clear" w:color="auto" w:fill="F9F9FB"/>
          </w:tcPr>
          <w:p w14:paraId="7E45F458"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.93</w:t>
            </w:r>
          </w:p>
        </w:tc>
        <w:tc>
          <w:tcPr>
            <w:tcW w:w="1034" w:type="dxa"/>
            <w:tcBorders>
              <w:top w:val="single" w:sz="8" w:space="0" w:color="AEAEAE"/>
              <w:left w:val="single" w:sz="8" w:space="0" w:color="E0E0E0"/>
              <w:bottom w:val="single" w:sz="8" w:space="0" w:color="152935"/>
              <w:right w:val="single" w:sz="8" w:space="0" w:color="E0E0E0"/>
            </w:tcBorders>
            <w:shd w:val="clear" w:color="auto" w:fill="F9F9FB"/>
          </w:tcPr>
          <w:p w14:paraId="5CBBD6A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.81</w:t>
            </w:r>
          </w:p>
        </w:tc>
        <w:tc>
          <w:tcPr>
            <w:tcW w:w="1020" w:type="dxa"/>
            <w:tcBorders>
              <w:top w:val="single" w:sz="8" w:space="0" w:color="AEAEAE"/>
              <w:left w:val="single" w:sz="8" w:space="0" w:color="E0E0E0"/>
              <w:bottom w:val="single" w:sz="8" w:space="0" w:color="152935"/>
              <w:right w:val="single" w:sz="8" w:space="0" w:color="E0E0E0"/>
            </w:tcBorders>
            <w:shd w:val="clear" w:color="auto" w:fill="F9F9FB"/>
          </w:tcPr>
          <w:p w14:paraId="2D26496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.01</w:t>
            </w:r>
          </w:p>
        </w:tc>
        <w:tc>
          <w:tcPr>
            <w:tcW w:w="1161" w:type="dxa"/>
            <w:tcBorders>
              <w:top w:val="single" w:sz="8" w:space="0" w:color="AEAEAE"/>
              <w:left w:val="single" w:sz="8" w:space="0" w:color="E0E0E0"/>
              <w:bottom w:val="single" w:sz="8" w:space="0" w:color="152935"/>
              <w:right w:val="nil"/>
            </w:tcBorders>
            <w:shd w:val="clear" w:color="auto" w:fill="F9F9FB"/>
          </w:tcPr>
          <w:p w14:paraId="30DA45D0"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.05</w:t>
            </w:r>
          </w:p>
        </w:tc>
      </w:tr>
      <w:tr w:rsidR="003E3593" w:rsidRPr="003E3593" w14:paraId="5E2651A6" w14:textId="77777777" w:rsidTr="003E3593">
        <w:trPr>
          <w:cantSplit/>
          <w:trHeight w:val="327"/>
        </w:trPr>
        <w:tc>
          <w:tcPr>
            <w:tcW w:w="9639" w:type="dxa"/>
            <w:gridSpan w:val="9"/>
            <w:tcBorders>
              <w:top w:val="nil"/>
              <w:left w:val="nil"/>
              <w:bottom w:val="nil"/>
              <w:right w:val="nil"/>
            </w:tcBorders>
            <w:shd w:val="clear" w:color="auto" w:fill="FFFFFF"/>
          </w:tcPr>
          <w:p w14:paraId="7E45FDCB"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a. Dependent Variable: EV_Mean</w:t>
            </w:r>
          </w:p>
        </w:tc>
      </w:tr>
    </w:tbl>
    <w:p w14:paraId="3ADA5359" w14:textId="77777777" w:rsidR="003E3593" w:rsidRPr="003E3593" w:rsidRDefault="003E3593" w:rsidP="003E3593">
      <w:pPr>
        <w:autoSpaceDE w:val="0"/>
        <w:autoSpaceDN w:val="0"/>
        <w:adjustRightInd w:val="0"/>
        <w:spacing w:line="400" w:lineRule="atLeast"/>
        <w:jc w:val="left"/>
        <w:rPr>
          <w:rFonts w:cs="Times New Roman"/>
          <w:szCs w:val="24"/>
        </w:rPr>
      </w:pPr>
    </w:p>
    <w:tbl>
      <w:tblPr>
        <w:tblW w:w="5000" w:type="pct"/>
        <w:tblCellMar>
          <w:left w:w="0" w:type="dxa"/>
          <w:right w:w="0" w:type="dxa"/>
        </w:tblCellMar>
        <w:tblLook w:val="0000" w:firstRow="0" w:lastRow="0" w:firstColumn="0" w:lastColumn="0" w:noHBand="0" w:noVBand="0"/>
      </w:tblPr>
      <w:tblGrid>
        <w:gridCol w:w="2423"/>
        <w:gridCol w:w="1312"/>
        <w:gridCol w:w="1350"/>
        <w:gridCol w:w="1256"/>
        <w:gridCol w:w="1763"/>
        <w:gridCol w:w="1256"/>
      </w:tblGrid>
      <w:tr w:rsidR="003E3593" w:rsidRPr="003E3593" w14:paraId="295A79CB" w14:textId="77777777" w:rsidTr="00316911">
        <w:trPr>
          <w:cantSplit/>
        </w:trPr>
        <w:tc>
          <w:tcPr>
            <w:tcW w:w="5000" w:type="pct"/>
            <w:gridSpan w:val="6"/>
            <w:tcBorders>
              <w:top w:val="nil"/>
              <w:left w:val="nil"/>
              <w:bottom w:val="nil"/>
              <w:right w:val="nil"/>
            </w:tcBorders>
            <w:shd w:val="clear" w:color="auto" w:fill="FFFFFF"/>
            <w:vAlign w:val="center"/>
          </w:tcPr>
          <w:p w14:paraId="64BC5D77"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010205"/>
                <w:sz w:val="22"/>
              </w:rPr>
            </w:pPr>
            <w:r w:rsidRPr="003E3593">
              <w:rPr>
                <w:rFonts w:ascii="Arial" w:hAnsi="Arial" w:cs="Arial"/>
                <w:b/>
                <w:bCs/>
                <w:color w:val="010205"/>
                <w:sz w:val="22"/>
              </w:rPr>
              <w:t>Residuals Statistics</w:t>
            </w:r>
            <w:r w:rsidRPr="003E3593">
              <w:rPr>
                <w:rFonts w:ascii="Arial" w:hAnsi="Arial" w:cs="Arial"/>
                <w:b/>
                <w:bCs/>
                <w:color w:val="010205"/>
                <w:sz w:val="22"/>
                <w:vertAlign w:val="superscript"/>
              </w:rPr>
              <w:t>a</w:t>
            </w:r>
          </w:p>
        </w:tc>
      </w:tr>
      <w:tr w:rsidR="003E3593" w:rsidRPr="003E3593" w14:paraId="4464D835" w14:textId="77777777" w:rsidTr="00316911">
        <w:trPr>
          <w:cantSplit/>
        </w:trPr>
        <w:tc>
          <w:tcPr>
            <w:tcW w:w="1294" w:type="pct"/>
            <w:tcBorders>
              <w:top w:val="nil"/>
              <w:left w:val="nil"/>
              <w:bottom w:val="single" w:sz="8" w:space="0" w:color="152935"/>
              <w:right w:val="nil"/>
            </w:tcBorders>
            <w:shd w:val="clear" w:color="auto" w:fill="FFFFFF"/>
            <w:vAlign w:val="bottom"/>
          </w:tcPr>
          <w:p w14:paraId="0EFF393D" w14:textId="77777777" w:rsidR="003E3593" w:rsidRPr="003E3593" w:rsidRDefault="003E3593" w:rsidP="003E3593">
            <w:pPr>
              <w:autoSpaceDE w:val="0"/>
              <w:autoSpaceDN w:val="0"/>
              <w:adjustRightInd w:val="0"/>
              <w:spacing w:line="240" w:lineRule="auto"/>
              <w:jc w:val="left"/>
              <w:rPr>
                <w:rFonts w:cs="Times New Roman"/>
                <w:szCs w:val="24"/>
              </w:rPr>
            </w:pPr>
          </w:p>
        </w:tc>
        <w:tc>
          <w:tcPr>
            <w:tcW w:w="701" w:type="pct"/>
            <w:tcBorders>
              <w:top w:val="nil"/>
              <w:left w:val="nil"/>
              <w:bottom w:val="single" w:sz="8" w:space="0" w:color="152935"/>
              <w:right w:val="single" w:sz="8" w:space="0" w:color="E0E0E0"/>
            </w:tcBorders>
            <w:shd w:val="clear" w:color="auto" w:fill="FFFFFF"/>
            <w:vAlign w:val="bottom"/>
          </w:tcPr>
          <w:p w14:paraId="7043A07D"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Minimum</w:t>
            </w:r>
          </w:p>
        </w:tc>
        <w:tc>
          <w:tcPr>
            <w:tcW w:w="721" w:type="pct"/>
            <w:tcBorders>
              <w:top w:val="nil"/>
              <w:left w:val="single" w:sz="8" w:space="0" w:color="E0E0E0"/>
              <w:bottom w:val="single" w:sz="8" w:space="0" w:color="152935"/>
              <w:right w:val="single" w:sz="8" w:space="0" w:color="E0E0E0"/>
            </w:tcBorders>
            <w:shd w:val="clear" w:color="auto" w:fill="FFFFFF"/>
            <w:vAlign w:val="bottom"/>
          </w:tcPr>
          <w:p w14:paraId="6D70D89D"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Maximum</w:t>
            </w:r>
          </w:p>
        </w:tc>
        <w:tc>
          <w:tcPr>
            <w:tcW w:w="671" w:type="pct"/>
            <w:tcBorders>
              <w:top w:val="nil"/>
              <w:left w:val="single" w:sz="8" w:space="0" w:color="E0E0E0"/>
              <w:bottom w:val="single" w:sz="8" w:space="0" w:color="152935"/>
              <w:right w:val="single" w:sz="8" w:space="0" w:color="E0E0E0"/>
            </w:tcBorders>
            <w:shd w:val="clear" w:color="auto" w:fill="FFFFFF"/>
            <w:vAlign w:val="bottom"/>
          </w:tcPr>
          <w:p w14:paraId="1D32ECF5"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Mean</w:t>
            </w:r>
          </w:p>
        </w:tc>
        <w:tc>
          <w:tcPr>
            <w:tcW w:w="942" w:type="pct"/>
            <w:tcBorders>
              <w:top w:val="nil"/>
              <w:left w:val="single" w:sz="8" w:space="0" w:color="E0E0E0"/>
              <w:bottom w:val="single" w:sz="8" w:space="0" w:color="152935"/>
              <w:right w:val="single" w:sz="8" w:space="0" w:color="E0E0E0"/>
            </w:tcBorders>
            <w:shd w:val="clear" w:color="auto" w:fill="FFFFFF"/>
            <w:vAlign w:val="bottom"/>
          </w:tcPr>
          <w:p w14:paraId="45B93876"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Std. Deviation</w:t>
            </w:r>
          </w:p>
        </w:tc>
        <w:tc>
          <w:tcPr>
            <w:tcW w:w="671" w:type="pct"/>
            <w:tcBorders>
              <w:top w:val="nil"/>
              <w:left w:val="single" w:sz="8" w:space="0" w:color="E0E0E0"/>
              <w:bottom w:val="single" w:sz="8" w:space="0" w:color="152935"/>
              <w:right w:val="nil"/>
            </w:tcBorders>
            <w:shd w:val="clear" w:color="auto" w:fill="FFFFFF"/>
            <w:vAlign w:val="bottom"/>
          </w:tcPr>
          <w:p w14:paraId="6DB7EF51" w14:textId="77777777" w:rsidR="003E3593" w:rsidRPr="003E3593" w:rsidRDefault="003E3593" w:rsidP="003E3593">
            <w:pPr>
              <w:autoSpaceDE w:val="0"/>
              <w:autoSpaceDN w:val="0"/>
              <w:adjustRightInd w:val="0"/>
              <w:spacing w:line="320" w:lineRule="atLeast"/>
              <w:ind w:left="60" w:right="60"/>
              <w:jc w:val="center"/>
              <w:rPr>
                <w:rFonts w:ascii="Arial" w:hAnsi="Arial" w:cs="Arial"/>
                <w:color w:val="264A60"/>
                <w:sz w:val="18"/>
                <w:szCs w:val="18"/>
              </w:rPr>
            </w:pPr>
            <w:r w:rsidRPr="003E3593">
              <w:rPr>
                <w:rFonts w:ascii="Arial" w:hAnsi="Arial" w:cs="Arial"/>
                <w:color w:val="264A60"/>
                <w:sz w:val="18"/>
                <w:szCs w:val="18"/>
              </w:rPr>
              <w:t>N</w:t>
            </w:r>
          </w:p>
        </w:tc>
      </w:tr>
      <w:tr w:rsidR="003E3593" w:rsidRPr="003E3593" w14:paraId="280C98FD" w14:textId="77777777" w:rsidTr="00316911">
        <w:trPr>
          <w:cantSplit/>
        </w:trPr>
        <w:tc>
          <w:tcPr>
            <w:tcW w:w="1294" w:type="pct"/>
            <w:tcBorders>
              <w:top w:val="single" w:sz="8" w:space="0" w:color="152935"/>
              <w:left w:val="nil"/>
              <w:bottom w:val="single" w:sz="8" w:space="0" w:color="AEAEAE"/>
              <w:right w:val="nil"/>
            </w:tcBorders>
            <w:shd w:val="clear" w:color="auto" w:fill="E0E0E0"/>
          </w:tcPr>
          <w:p w14:paraId="6BC744BD"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Predicted Value</w:t>
            </w:r>
          </w:p>
        </w:tc>
        <w:tc>
          <w:tcPr>
            <w:tcW w:w="701" w:type="pct"/>
            <w:tcBorders>
              <w:top w:val="single" w:sz="8" w:space="0" w:color="152935"/>
              <w:left w:val="nil"/>
              <w:bottom w:val="single" w:sz="8" w:space="0" w:color="AEAEAE"/>
              <w:right w:val="single" w:sz="8" w:space="0" w:color="E0E0E0"/>
            </w:tcBorders>
            <w:shd w:val="clear" w:color="auto" w:fill="F9F9FB"/>
          </w:tcPr>
          <w:p w14:paraId="56A4FE8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1.3784</w:t>
            </w:r>
          </w:p>
        </w:tc>
        <w:tc>
          <w:tcPr>
            <w:tcW w:w="721" w:type="pct"/>
            <w:tcBorders>
              <w:top w:val="single" w:sz="8" w:space="0" w:color="152935"/>
              <w:left w:val="single" w:sz="8" w:space="0" w:color="E0E0E0"/>
              <w:bottom w:val="single" w:sz="8" w:space="0" w:color="AEAEAE"/>
              <w:right w:val="single" w:sz="8" w:space="0" w:color="E0E0E0"/>
            </w:tcBorders>
            <w:shd w:val="clear" w:color="auto" w:fill="F9F9FB"/>
          </w:tcPr>
          <w:p w14:paraId="12C60C51"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5.0775</w:t>
            </w:r>
          </w:p>
        </w:tc>
        <w:tc>
          <w:tcPr>
            <w:tcW w:w="671" w:type="pct"/>
            <w:tcBorders>
              <w:top w:val="single" w:sz="8" w:space="0" w:color="152935"/>
              <w:left w:val="single" w:sz="8" w:space="0" w:color="E0E0E0"/>
              <w:bottom w:val="single" w:sz="8" w:space="0" w:color="AEAEAE"/>
              <w:right w:val="single" w:sz="8" w:space="0" w:color="E0E0E0"/>
            </w:tcBorders>
            <w:shd w:val="clear" w:color="auto" w:fill="F9F9FB"/>
          </w:tcPr>
          <w:p w14:paraId="52D32F87"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3.6640</w:t>
            </w:r>
          </w:p>
        </w:tc>
        <w:tc>
          <w:tcPr>
            <w:tcW w:w="942" w:type="pct"/>
            <w:tcBorders>
              <w:top w:val="single" w:sz="8" w:space="0" w:color="152935"/>
              <w:left w:val="single" w:sz="8" w:space="0" w:color="E0E0E0"/>
              <w:bottom w:val="single" w:sz="8" w:space="0" w:color="AEAEAE"/>
              <w:right w:val="single" w:sz="8" w:space="0" w:color="E0E0E0"/>
            </w:tcBorders>
            <w:shd w:val="clear" w:color="auto" w:fill="F9F9FB"/>
          </w:tcPr>
          <w:p w14:paraId="0AD33F6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.98753</w:t>
            </w:r>
          </w:p>
        </w:tc>
        <w:tc>
          <w:tcPr>
            <w:tcW w:w="671" w:type="pct"/>
            <w:tcBorders>
              <w:top w:val="single" w:sz="8" w:space="0" w:color="152935"/>
              <w:left w:val="single" w:sz="8" w:space="0" w:color="E0E0E0"/>
              <w:bottom w:val="single" w:sz="8" w:space="0" w:color="AEAEAE"/>
              <w:right w:val="nil"/>
            </w:tcBorders>
            <w:shd w:val="clear" w:color="auto" w:fill="F9F9FB"/>
          </w:tcPr>
          <w:p w14:paraId="6534722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100</w:t>
            </w:r>
          </w:p>
        </w:tc>
      </w:tr>
      <w:tr w:rsidR="003E3593" w:rsidRPr="003E3593" w14:paraId="44B5CB4E" w14:textId="77777777" w:rsidTr="00316911">
        <w:trPr>
          <w:cantSplit/>
        </w:trPr>
        <w:tc>
          <w:tcPr>
            <w:tcW w:w="1294" w:type="pct"/>
            <w:tcBorders>
              <w:top w:val="single" w:sz="8" w:space="0" w:color="AEAEAE"/>
              <w:left w:val="nil"/>
              <w:bottom w:val="single" w:sz="8" w:space="0" w:color="AEAEAE"/>
              <w:right w:val="nil"/>
            </w:tcBorders>
            <w:shd w:val="clear" w:color="auto" w:fill="E0E0E0"/>
          </w:tcPr>
          <w:p w14:paraId="0655F2B0"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Residual</w:t>
            </w:r>
          </w:p>
        </w:tc>
        <w:tc>
          <w:tcPr>
            <w:tcW w:w="701" w:type="pct"/>
            <w:tcBorders>
              <w:top w:val="single" w:sz="8" w:space="0" w:color="AEAEAE"/>
              <w:left w:val="nil"/>
              <w:bottom w:val="single" w:sz="8" w:space="0" w:color="AEAEAE"/>
              <w:right w:val="single" w:sz="8" w:space="0" w:color="E0E0E0"/>
            </w:tcBorders>
            <w:shd w:val="clear" w:color="auto" w:fill="F9F9FB"/>
          </w:tcPr>
          <w:p w14:paraId="2A4BF612"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-.73161</w:t>
            </w:r>
          </w:p>
        </w:tc>
        <w:tc>
          <w:tcPr>
            <w:tcW w:w="721" w:type="pct"/>
            <w:tcBorders>
              <w:top w:val="single" w:sz="8" w:space="0" w:color="AEAEAE"/>
              <w:left w:val="single" w:sz="8" w:space="0" w:color="E0E0E0"/>
              <w:bottom w:val="single" w:sz="8" w:space="0" w:color="AEAEAE"/>
              <w:right w:val="single" w:sz="8" w:space="0" w:color="E0E0E0"/>
            </w:tcBorders>
            <w:shd w:val="clear" w:color="auto" w:fill="F9F9FB"/>
          </w:tcPr>
          <w:p w14:paraId="3F2BE9DB"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.79391</w:t>
            </w:r>
          </w:p>
        </w:tc>
        <w:tc>
          <w:tcPr>
            <w:tcW w:w="671" w:type="pct"/>
            <w:tcBorders>
              <w:top w:val="single" w:sz="8" w:space="0" w:color="AEAEAE"/>
              <w:left w:val="single" w:sz="8" w:space="0" w:color="E0E0E0"/>
              <w:bottom w:val="single" w:sz="8" w:space="0" w:color="AEAEAE"/>
              <w:right w:val="single" w:sz="8" w:space="0" w:color="E0E0E0"/>
            </w:tcBorders>
            <w:shd w:val="clear" w:color="auto" w:fill="F9F9FB"/>
          </w:tcPr>
          <w:p w14:paraId="12B73DD2"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.00000</w:t>
            </w:r>
          </w:p>
        </w:tc>
        <w:tc>
          <w:tcPr>
            <w:tcW w:w="942" w:type="pct"/>
            <w:tcBorders>
              <w:top w:val="single" w:sz="8" w:space="0" w:color="AEAEAE"/>
              <w:left w:val="single" w:sz="8" w:space="0" w:color="E0E0E0"/>
              <w:bottom w:val="single" w:sz="8" w:space="0" w:color="AEAEAE"/>
              <w:right w:val="single" w:sz="8" w:space="0" w:color="E0E0E0"/>
            </w:tcBorders>
            <w:shd w:val="clear" w:color="auto" w:fill="F9F9FB"/>
          </w:tcPr>
          <w:p w14:paraId="1ACB4AC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.31534</w:t>
            </w:r>
          </w:p>
        </w:tc>
        <w:tc>
          <w:tcPr>
            <w:tcW w:w="671" w:type="pct"/>
            <w:tcBorders>
              <w:top w:val="single" w:sz="8" w:space="0" w:color="AEAEAE"/>
              <w:left w:val="single" w:sz="8" w:space="0" w:color="E0E0E0"/>
              <w:bottom w:val="single" w:sz="8" w:space="0" w:color="AEAEAE"/>
              <w:right w:val="nil"/>
            </w:tcBorders>
            <w:shd w:val="clear" w:color="auto" w:fill="F9F9FB"/>
          </w:tcPr>
          <w:p w14:paraId="0401661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100</w:t>
            </w:r>
          </w:p>
        </w:tc>
      </w:tr>
      <w:tr w:rsidR="003E3593" w:rsidRPr="003E3593" w14:paraId="37F5DD26" w14:textId="77777777" w:rsidTr="00316911">
        <w:trPr>
          <w:cantSplit/>
        </w:trPr>
        <w:tc>
          <w:tcPr>
            <w:tcW w:w="1294" w:type="pct"/>
            <w:tcBorders>
              <w:top w:val="single" w:sz="8" w:space="0" w:color="AEAEAE"/>
              <w:left w:val="nil"/>
              <w:bottom w:val="single" w:sz="8" w:space="0" w:color="AEAEAE"/>
              <w:right w:val="nil"/>
            </w:tcBorders>
            <w:shd w:val="clear" w:color="auto" w:fill="E0E0E0"/>
          </w:tcPr>
          <w:p w14:paraId="0D455877"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Std. Predicted Value</w:t>
            </w:r>
          </w:p>
        </w:tc>
        <w:tc>
          <w:tcPr>
            <w:tcW w:w="701" w:type="pct"/>
            <w:tcBorders>
              <w:top w:val="single" w:sz="8" w:space="0" w:color="AEAEAE"/>
              <w:left w:val="nil"/>
              <w:bottom w:val="single" w:sz="8" w:space="0" w:color="AEAEAE"/>
              <w:right w:val="single" w:sz="8" w:space="0" w:color="E0E0E0"/>
            </w:tcBorders>
            <w:shd w:val="clear" w:color="auto" w:fill="F9F9FB"/>
          </w:tcPr>
          <w:p w14:paraId="385F7AA3"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-2.314</w:t>
            </w:r>
          </w:p>
        </w:tc>
        <w:tc>
          <w:tcPr>
            <w:tcW w:w="721" w:type="pct"/>
            <w:tcBorders>
              <w:top w:val="single" w:sz="8" w:space="0" w:color="AEAEAE"/>
              <w:left w:val="single" w:sz="8" w:space="0" w:color="E0E0E0"/>
              <w:bottom w:val="single" w:sz="8" w:space="0" w:color="AEAEAE"/>
              <w:right w:val="single" w:sz="8" w:space="0" w:color="E0E0E0"/>
            </w:tcBorders>
            <w:shd w:val="clear" w:color="auto" w:fill="F9F9FB"/>
          </w:tcPr>
          <w:p w14:paraId="41F09BE7"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1.431</w:t>
            </w:r>
          </w:p>
        </w:tc>
        <w:tc>
          <w:tcPr>
            <w:tcW w:w="671" w:type="pct"/>
            <w:tcBorders>
              <w:top w:val="single" w:sz="8" w:space="0" w:color="AEAEAE"/>
              <w:left w:val="single" w:sz="8" w:space="0" w:color="E0E0E0"/>
              <w:bottom w:val="single" w:sz="8" w:space="0" w:color="AEAEAE"/>
              <w:right w:val="single" w:sz="8" w:space="0" w:color="E0E0E0"/>
            </w:tcBorders>
            <w:shd w:val="clear" w:color="auto" w:fill="F9F9FB"/>
          </w:tcPr>
          <w:p w14:paraId="4699BAD8"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w:t>
            </w:r>
          </w:p>
        </w:tc>
        <w:tc>
          <w:tcPr>
            <w:tcW w:w="942" w:type="pct"/>
            <w:tcBorders>
              <w:top w:val="single" w:sz="8" w:space="0" w:color="AEAEAE"/>
              <w:left w:val="single" w:sz="8" w:space="0" w:color="E0E0E0"/>
              <w:bottom w:val="single" w:sz="8" w:space="0" w:color="AEAEAE"/>
              <w:right w:val="single" w:sz="8" w:space="0" w:color="E0E0E0"/>
            </w:tcBorders>
            <w:shd w:val="clear" w:color="auto" w:fill="F9F9FB"/>
          </w:tcPr>
          <w:p w14:paraId="12A1C6B7"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1.000</w:t>
            </w:r>
          </w:p>
        </w:tc>
        <w:tc>
          <w:tcPr>
            <w:tcW w:w="671" w:type="pct"/>
            <w:tcBorders>
              <w:top w:val="single" w:sz="8" w:space="0" w:color="AEAEAE"/>
              <w:left w:val="single" w:sz="8" w:space="0" w:color="E0E0E0"/>
              <w:bottom w:val="single" w:sz="8" w:space="0" w:color="AEAEAE"/>
              <w:right w:val="nil"/>
            </w:tcBorders>
            <w:shd w:val="clear" w:color="auto" w:fill="F9F9FB"/>
          </w:tcPr>
          <w:p w14:paraId="6351109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100</w:t>
            </w:r>
          </w:p>
        </w:tc>
      </w:tr>
      <w:tr w:rsidR="003E3593" w:rsidRPr="003E3593" w14:paraId="04DC3988" w14:textId="77777777" w:rsidTr="00316911">
        <w:trPr>
          <w:cantSplit/>
        </w:trPr>
        <w:tc>
          <w:tcPr>
            <w:tcW w:w="1294" w:type="pct"/>
            <w:tcBorders>
              <w:top w:val="single" w:sz="8" w:space="0" w:color="AEAEAE"/>
              <w:left w:val="nil"/>
              <w:bottom w:val="single" w:sz="8" w:space="0" w:color="152935"/>
              <w:right w:val="nil"/>
            </w:tcBorders>
            <w:shd w:val="clear" w:color="auto" w:fill="E0E0E0"/>
          </w:tcPr>
          <w:p w14:paraId="6E31DD68"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264A60"/>
                <w:sz w:val="18"/>
                <w:szCs w:val="18"/>
              </w:rPr>
            </w:pPr>
            <w:r w:rsidRPr="003E3593">
              <w:rPr>
                <w:rFonts w:ascii="Arial" w:hAnsi="Arial" w:cs="Arial"/>
                <w:color w:val="264A60"/>
                <w:sz w:val="18"/>
                <w:szCs w:val="18"/>
              </w:rPr>
              <w:t>Std. Residual</w:t>
            </w:r>
          </w:p>
        </w:tc>
        <w:tc>
          <w:tcPr>
            <w:tcW w:w="701" w:type="pct"/>
            <w:tcBorders>
              <w:top w:val="single" w:sz="8" w:space="0" w:color="AEAEAE"/>
              <w:left w:val="nil"/>
              <w:bottom w:val="single" w:sz="8" w:space="0" w:color="152935"/>
              <w:right w:val="single" w:sz="8" w:space="0" w:color="E0E0E0"/>
            </w:tcBorders>
            <w:shd w:val="clear" w:color="auto" w:fill="F9F9FB"/>
          </w:tcPr>
          <w:p w14:paraId="0A07E07C"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-2.273</w:t>
            </w:r>
          </w:p>
        </w:tc>
        <w:tc>
          <w:tcPr>
            <w:tcW w:w="721" w:type="pct"/>
            <w:tcBorders>
              <w:top w:val="single" w:sz="8" w:space="0" w:color="AEAEAE"/>
              <w:left w:val="single" w:sz="8" w:space="0" w:color="E0E0E0"/>
              <w:bottom w:val="single" w:sz="8" w:space="0" w:color="152935"/>
              <w:right w:val="single" w:sz="8" w:space="0" w:color="E0E0E0"/>
            </w:tcBorders>
            <w:shd w:val="clear" w:color="auto" w:fill="F9F9FB"/>
          </w:tcPr>
          <w:p w14:paraId="6B3BB8B4"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2.466</w:t>
            </w:r>
          </w:p>
        </w:tc>
        <w:tc>
          <w:tcPr>
            <w:tcW w:w="671" w:type="pct"/>
            <w:tcBorders>
              <w:top w:val="single" w:sz="8" w:space="0" w:color="AEAEAE"/>
              <w:left w:val="single" w:sz="8" w:space="0" w:color="E0E0E0"/>
              <w:bottom w:val="single" w:sz="8" w:space="0" w:color="152935"/>
              <w:right w:val="single" w:sz="8" w:space="0" w:color="E0E0E0"/>
            </w:tcBorders>
            <w:shd w:val="clear" w:color="auto" w:fill="F9F9FB"/>
          </w:tcPr>
          <w:p w14:paraId="6D29D26A"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.000</w:t>
            </w:r>
          </w:p>
        </w:tc>
        <w:tc>
          <w:tcPr>
            <w:tcW w:w="942" w:type="pct"/>
            <w:tcBorders>
              <w:top w:val="single" w:sz="8" w:space="0" w:color="AEAEAE"/>
              <w:left w:val="single" w:sz="8" w:space="0" w:color="E0E0E0"/>
              <w:bottom w:val="single" w:sz="8" w:space="0" w:color="152935"/>
              <w:right w:val="single" w:sz="8" w:space="0" w:color="E0E0E0"/>
            </w:tcBorders>
            <w:shd w:val="clear" w:color="auto" w:fill="F9F9FB"/>
          </w:tcPr>
          <w:p w14:paraId="787A249D"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.980</w:t>
            </w:r>
          </w:p>
        </w:tc>
        <w:tc>
          <w:tcPr>
            <w:tcW w:w="671" w:type="pct"/>
            <w:tcBorders>
              <w:top w:val="single" w:sz="8" w:space="0" w:color="AEAEAE"/>
              <w:left w:val="single" w:sz="8" w:space="0" w:color="E0E0E0"/>
              <w:bottom w:val="single" w:sz="8" w:space="0" w:color="152935"/>
              <w:right w:val="nil"/>
            </w:tcBorders>
            <w:shd w:val="clear" w:color="auto" w:fill="F9F9FB"/>
          </w:tcPr>
          <w:p w14:paraId="00DBA1D6" w14:textId="77777777" w:rsidR="003E3593" w:rsidRPr="003E3593" w:rsidRDefault="003E3593" w:rsidP="003E3593">
            <w:pPr>
              <w:autoSpaceDE w:val="0"/>
              <w:autoSpaceDN w:val="0"/>
              <w:adjustRightInd w:val="0"/>
              <w:spacing w:line="320" w:lineRule="atLeast"/>
              <w:ind w:left="60" w:right="60"/>
              <w:jc w:val="right"/>
              <w:rPr>
                <w:rFonts w:ascii="Arial" w:hAnsi="Arial" w:cs="Arial"/>
                <w:color w:val="010205"/>
                <w:sz w:val="18"/>
                <w:szCs w:val="18"/>
              </w:rPr>
            </w:pPr>
            <w:r w:rsidRPr="003E3593">
              <w:rPr>
                <w:rFonts w:ascii="Arial" w:hAnsi="Arial" w:cs="Arial"/>
                <w:color w:val="010205"/>
                <w:sz w:val="18"/>
                <w:szCs w:val="18"/>
              </w:rPr>
              <w:t>100</w:t>
            </w:r>
          </w:p>
        </w:tc>
      </w:tr>
      <w:tr w:rsidR="003E3593" w:rsidRPr="003E3593" w14:paraId="4B87F306" w14:textId="77777777" w:rsidTr="00316911">
        <w:trPr>
          <w:cantSplit/>
        </w:trPr>
        <w:tc>
          <w:tcPr>
            <w:tcW w:w="5000" w:type="pct"/>
            <w:gridSpan w:val="6"/>
            <w:tcBorders>
              <w:top w:val="nil"/>
              <w:left w:val="nil"/>
              <w:bottom w:val="nil"/>
              <w:right w:val="nil"/>
            </w:tcBorders>
            <w:shd w:val="clear" w:color="auto" w:fill="FFFFFF"/>
          </w:tcPr>
          <w:p w14:paraId="0F97BF06" w14:textId="77777777" w:rsidR="003E3593" w:rsidRPr="003E3593" w:rsidRDefault="003E3593" w:rsidP="003E3593">
            <w:pPr>
              <w:autoSpaceDE w:val="0"/>
              <w:autoSpaceDN w:val="0"/>
              <w:adjustRightInd w:val="0"/>
              <w:spacing w:line="320" w:lineRule="atLeast"/>
              <w:ind w:left="60" w:right="60"/>
              <w:jc w:val="left"/>
              <w:rPr>
                <w:rFonts w:ascii="Arial" w:hAnsi="Arial" w:cs="Arial"/>
                <w:color w:val="010205"/>
                <w:sz w:val="18"/>
                <w:szCs w:val="18"/>
              </w:rPr>
            </w:pPr>
            <w:r w:rsidRPr="003E3593">
              <w:rPr>
                <w:rFonts w:ascii="Arial" w:hAnsi="Arial" w:cs="Arial"/>
                <w:color w:val="010205"/>
                <w:sz w:val="18"/>
                <w:szCs w:val="18"/>
              </w:rPr>
              <w:t>a. Dependent Variable: EV_Mean</w:t>
            </w:r>
          </w:p>
        </w:tc>
      </w:tr>
    </w:tbl>
    <w:p w14:paraId="0008DB77" w14:textId="38C4A7F2" w:rsidR="003E3593" w:rsidRPr="003E3593" w:rsidRDefault="003E3593" w:rsidP="003E3593">
      <w:pPr>
        <w:autoSpaceDE w:val="0"/>
        <w:autoSpaceDN w:val="0"/>
        <w:adjustRightInd w:val="0"/>
        <w:spacing w:line="400" w:lineRule="atLeast"/>
        <w:rPr>
          <w:rFonts w:cs="Times New Roman"/>
          <w:szCs w:val="24"/>
        </w:rPr>
      </w:pPr>
      <w:r w:rsidRPr="003E3593">
        <w:rPr>
          <w:rFonts w:cs="Times New Roman"/>
          <w:szCs w:val="24"/>
        </w:rPr>
        <w:lastRenderedPageBreak/>
        <w:t xml:space="preserve">The multiple regression statistics indicate that the model is significant and accounts </w:t>
      </w:r>
      <w:r>
        <w:rPr>
          <w:rFonts w:cs="Times New Roman"/>
          <w:szCs w:val="24"/>
        </w:rPr>
        <w:t xml:space="preserve">for </w:t>
      </w:r>
      <w:r w:rsidRPr="003E3593">
        <w:rPr>
          <w:rFonts w:cs="Times New Roman"/>
          <w:szCs w:val="24"/>
        </w:rPr>
        <w:t xml:space="preserve">a large percentage of the variation in EV adoption. The overall model is significant, </w:t>
      </w:r>
      <w:r>
        <w:t>F (4,95) = 232.926, p &lt; 0.001</w:t>
      </w:r>
      <w:r w:rsidRPr="003E3593">
        <w:rPr>
          <w:rFonts w:cs="Times New Roman"/>
          <w:szCs w:val="24"/>
        </w:rPr>
        <w:t>, with an R² of 0.907 and an adjusted R² of 0.904. This reveals that Institutional Readiness, Policy Support, Technological Convergence and SDG Contribution account 90.7</w:t>
      </w:r>
      <w:r>
        <w:rPr>
          <w:rFonts w:cs="Times New Roman"/>
          <w:szCs w:val="24"/>
        </w:rPr>
        <w:t>%</w:t>
      </w:r>
      <w:r w:rsidRPr="003E3593">
        <w:rPr>
          <w:rFonts w:cs="Times New Roman"/>
          <w:szCs w:val="24"/>
        </w:rPr>
        <w:t xml:space="preserve"> of the variance of EV adoption. Technological Convergence is by far the strongest positive predictor of EV adoption </w:t>
      </w:r>
      <w:r>
        <w:t>(β = 0.707, p &lt; 0.001)</w:t>
      </w:r>
      <w:r>
        <w:rPr>
          <w:rFonts w:cs="Times New Roman"/>
          <w:szCs w:val="24"/>
        </w:rPr>
        <w:t xml:space="preserve">, followed by SDG Contribution </w:t>
      </w:r>
      <w:r>
        <w:t>(β = 0.371, p &lt; 0.001)</w:t>
      </w:r>
      <w:r w:rsidRPr="003E3593">
        <w:rPr>
          <w:rFonts w:cs="Times New Roman"/>
          <w:szCs w:val="24"/>
        </w:rPr>
        <w:t xml:space="preserve">. Policy Support has a strong positive impact </w:t>
      </w:r>
      <w:r>
        <w:t>(β = 0.214, p = 0.031)</w:t>
      </w:r>
      <w:r w:rsidRPr="003E3593">
        <w:rPr>
          <w:rFonts w:cs="Times New Roman"/>
          <w:szCs w:val="24"/>
        </w:rPr>
        <w:t xml:space="preserve"> as well. But the Institutional Readiness displays a negative value that is noteworthy </w:t>
      </w:r>
      <w:r>
        <w:t>(β = -0.300, p = 0.007)</w:t>
      </w:r>
      <w:r w:rsidRPr="003E3593">
        <w:rPr>
          <w:rFonts w:cs="Times New Roman"/>
          <w:szCs w:val="24"/>
        </w:rPr>
        <w:t>, which can be a result of a predictor overlap. The general outcome of the findings is that the technological and sustainability-related reasons can be considered significant contributors to EV adoption.</w:t>
      </w:r>
    </w:p>
    <w:p w14:paraId="3944B19F" w14:textId="481AAD6F" w:rsidR="00052C1A" w:rsidRDefault="00B3376F" w:rsidP="00052C1A">
      <w:pPr>
        <w:pStyle w:val="Heading1"/>
      </w:pPr>
      <w:bookmarkStart w:id="46" w:name="_Toc225546781"/>
      <w:bookmarkStart w:id="47" w:name="_Toc227532021"/>
      <w:r>
        <w:t>7</w:t>
      </w:r>
      <w:r w:rsidR="00052C1A">
        <w:t xml:space="preserve">. </w:t>
      </w:r>
      <w:r w:rsidR="00052C1A" w:rsidRPr="00052C1A">
        <w:t>Discussion</w:t>
      </w:r>
      <w:bookmarkEnd w:id="46"/>
      <w:bookmarkEnd w:id="47"/>
    </w:p>
    <w:p w14:paraId="5330EF86" w14:textId="629D6180" w:rsidR="003E3593" w:rsidRDefault="003E3593" w:rsidP="003E3593">
      <w:r>
        <w:t>The results of this pilot study present valuable premises that the factors leading to EV adoption in the UK are not a unified phenomenon, but the sum of the effects of the institutional, policy, technological and environmental conditions of sustainability. This directly supports the original argument of the study that EV adoption should be reflected as a system-level problem, which entails interaction between transport, energy, digital infrastructure, and governance and not a decision of a purely consumer level.</w:t>
      </w:r>
    </w:p>
    <w:p w14:paraId="1761CFAF" w14:textId="2C83D488" w:rsidR="003E3593" w:rsidRDefault="003E3593" w:rsidP="003E3593">
      <w:r>
        <w:t>The descriptive statistics indicated that the restaurants had largely positive perceptions regarding all constructs, with EV Adoption as the highest and Institutional Readiness as the lowest. This implies that most respondents are generally positive on EVs, although they lack a strong belief that the UK institutions are well-equipped to help in the transition. This is aligned with the problem statement and the literature review in this study, which highlighted policy uncertainty, lapses in infrastructural development and the problem of coordination across sectors. It thus seems that the willingness of the population to go with EVs could be more intense than the trust in institutional capacity.</w:t>
      </w:r>
    </w:p>
    <w:p w14:paraId="1E69248C" w14:textId="5754EC8B" w:rsidR="003E3593" w:rsidRDefault="003E3593" w:rsidP="003E3593">
      <w:r>
        <w:t xml:space="preserve">Second, the analysis of correlation demonstrated that there are extremely strong positive associations among all variables. Specifically, it was found that EV Adoption was closely correlated with Technological Convergence, SDG contribution, policy support, and Institutional Readiness. This supports the perceptions expressed in the theoretical framework that EV adoption is conditioned by the systemic and behavioural conditions. This finding is consistent with the General Systems Theory, which views EV transition as a matter of coordinating systems across </w:t>
      </w:r>
      <w:r>
        <w:lastRenderedPageBreak/>
        <w:t>multiple interconnected systems, and also with the Technology Acceptance Model, since infrastructure, policy, and usability factors seem to have a strong correlation with adoption perceptions.</w:t>
      </w:r>
    </w:p>
    <w:p w14:paraId="42ABDCA3" w14:textId="58272B0D" w:rsidR="003E3593" w:rsidRDefault="003E3593" w:rsidP="003E3593">
      <w:r>
        <w:t xml:space="preserve">Third, the outcomes of the regression analysis indicated that the total model significantly covered a large percentage of variance in EV adoption (R² = 0.907). Technological Convergence became the best positive predictor, </w:t>
      </w:r>
      <w:r w:rsidR="000A4578">
        <w:t xml:space="preserve">and </w:t>
      </w:r>
      <w:r>
        <w:t>was succeeded by SDG Contribution and Policy Support. That implies that respondents attribute specific importance to integrated systems, digital support, and the overall sustainability applicability of EVs. These results are very much aligned with the literature in the article, which postulated that integration of infrastructure, alignment of renewable energy and institutional support were key to effective EV transition.</w:t>
      </w:r>
    </w:p>
    <w:p w14:paraId="563C2185" w14:textId="5A22D3DE" w:rsidR="003E3593" w:rsidRDefault="00D049CF" w:rsidP="003E3593">
      <w:r>
        <w:t>However, t</w:t>
      </w:r>
      <w:r w:rsidR="003E3593">
        <w:t>here is</w:t>
      </w:r>
      <w:r>
        <w:t xml:space="preserve"> </w:t>
      </w:r>
      <w:r w:rsidR="003E3593">
        <w:t xml:space="preserve">one outcome to be interpreted. In the regression model, Institutional Readiness exhibited a strong negative coefficient, making a significant negative contribution to the EV Adoption, even though it is strongly correlated with it bivariately. This should not be considered substantive evidence to demonstrate that institutional readiness diminishes EV adoption. Instead, it is probably a result of statistical coincidence due to overlap between predictors, in this pilot data. The high intercorrelations and collinearity values confirm this interpretation. Being a pilot study, it is convenient, as it will indicate that a small set of constructs might require refinement before the actual study, particularly in the conceptual </w:t>
      </w:r>
      <w:r w:rsidR="000A4578">
        <w:t>differentiation</w:t>
      </w:r>
      <w:r w:rsidR="003E3593">
        <w:t xml:space="preserve"> of technological convergence, infrastructure and broader institutional support, which may not be clear enough yet.</w:t>
      </w:r>
    </w:p>
    <w:p w14:paraId="427C61E7" w14:textId="3FFE7B46" w:rsidR="003E3593" w:rsidRPr="003E3593" w:rsidRDefault="003E3593" w:rsidP="003E3593">
      <w:r>
        <w:t>The discussion in general indicates that system integration, favourable governance and sustainability expectations play a significant role in driving the adoption of EVs in the UK. Meanwhile, the preliminary results suggest that the survey tool will have to be optimised to minimise the extent of construct overlap and reinforce the intelligibility of institutional measures before full-scale data gathering.</w:t>
      </w:r>
    </w:p>
    <w:p w14:paraId="62A66378" w14:textId="755B4766" w:rsidR="00750F1C" w:rsidRDefault="00B3376F" w:rsidP="00B3376F">
      <w:pPr>
        <w:pStyle w:val="Heading1"/>
      </w:pPr>
      <w:bookmarkStart w:id="48" w:name="_Toc225546788"/>
      <w:bookmarkStart w:id="49" w:name="_Toc227532022"/>
      <w:r>
        <w:t xml:space="preserve">8. </w:t>
      </w:r>
      <w:r w:rsidR="00300D64">
        <w:t>Conclusion</w:t>
      </w:r>
      <w:bookmarkEnd w:id="48"/>
      <w:bookmarkEnd w:id="49"/>
    </w:p>
    <w:p w14:paraId="388AE92F" w14:textId="403B0C3F" w:rsidR="000A4578" w:rsidRDefault="000A4578" w:rsidP="000A4578">
      <w:r>
        <w:t xml:space="preserve">This pilot study provides some initial empirical data that institutional factors have a strong influence on the adoption of electric vehicles in the UK. The results show that respondents have a relatively positive opinion about EV adoption, technological convergence, support through policies, and sustainability outcomes, and the perception about the institutional readiness is weaker. This is an indication that, despite the general positive attitude of the people and </w:t>
      </w:r>
      <w:r>
        <w:lastRenderedPageBreak/>
        <w:t>stakeholders towards the EV transition, trust in the broader institutional environment is more reserved.</w:t>
      </w:r>
    </w:p>
    <w:p w14:paraId="782AEA71" w14:textId="46B587A0" w:rsidR="00D51485" w:rsidRDefault="000A4578" w:rsidP="00D51485">
      <w:r>
        <w:t xml:space="preserve">The statistical findings also reveal that adoption of EV is closely related to policy, technological, and sustainability-related variables. Specifically, the technological convergence and contribution to SDGs have become particularly strong predictors, which makes a case that EV adoption can be viewed as a subset of an overall system shift rather than as a transport decision. </w:t>
      </w:r>
      <w:r w:rsidR="00D51485">
        <w:t xml:space="preserve">The findings support the multi-theoretical framing </w:t>
      </w:r>
      <w:r w:rsidR="00471473">
        <w:t xml:space="preserve">of </w:t>
      </w:r>
      <w:r w:rsidR="00D51485">
        <w:t>the paper and the importance of coherent governance, infrastructural and intersectoral integration in enabling sustainable mobility transitions.</w:t>
      </w:r>
    </w:p>
    <w:p w14:paraId="49CEFB4E" w14:textId="0245A4CD" w:rsidR="000A4578" w:rsidRPr="000A4578" w:rsidRDefault="00D51485" w:rsidP="00D51485">
      <w:r>
        <w:t>In the meantime, the pilot results indicate that the overlap between the explanatory variables is there and that the survey instrument needs to be adjusted</w:t>
      </w:r>
      <w:r w:rsidR="00471473">
        <w:t>,</w:t>
      </w:r>
      <w:r>
        <w:t xml:space="preserve"> after which the survey can be conducted on full scales. Overall, the study contributes to the initial evidence to understand institutional readiness in the UK EV ecosystem and provides a good base on which </w:t>
      </w:r>
      <w:r w:rsidR="00316911">
        <w:t>more comprehensive empirical research</w:t>
      </w:r>
      <w:r>
        <w:t xml:space="preserve"> can be </w:t>
      </w:r>
      <w:r w:rsidR="00471473">
        <w:t>conducted</w:t>
      </w:r>
      <w:r w:rsidR="000A4578">
        <w:t>.</w:t>
      </w:r>
    </w:p>
    <w:p w14:paraId="57104229" w14:textId="5B227F73" w:rsidR="00300D64" w:rsidRDefault="00B3376F" w:rsidP="00B3376F">
      <w:pPr>
        <w:pStyle w:val="Heading1"/>
      </w:pPr>
      <w:bookmarkStart w:id="50" w:name="_Toc225546789"/>
      <w:bookmarkStart w:id="51" w:name="_Toc227532023"/>
      <w:r>
        <w:t xml:space="preserve">9. </w:t>
      </w:r>
      <w:r w:rsidR="0094245F">
        <w:t>Future Research</w:t>
      </w:r>
      <w:bookmarkEnd w:id="50"/>
      <w:bookmarkEnd w:id="51"/>
    </w:p>
    <w:p w14:paraId="55804BF2" w14:textId="640ED856" w:rsidR="000A4578" w:rsidRPr="000A4578" w:rsidRDefault="00D51485" w:rsidP="000A4578">
      <w:r w:rsidRPr="00D51485">
        <w:t>It is highly advisable to conduct future studies to generalise this pilot study with a larger heterogeneous sample across all regions in the UK to capture better regional heterogeneity in institutional readiness as well as adoption of EV. One full-scale study would have the benefit of streamlining the measurement model</w:t>
      </w:r>
      <w:r>
        <w:t xml:space="preserve"> along with </w:t>
      </w:r>
      <w:r w:rsidRPr="00D51485">
        <w:t>more institution-wide support</w:t>
      </w:r>
      <w:r w:rsidR="000A4578" w:rsidRPr="000A4578">
        <w:t xml:space="preserve">. Furthermore, qualitative interviews with policymakers, industry participants, and energy or transport stakeholders should be employed in the future to create more profound insight </w:t>
      </w:r>
      <w:r>
        <w:t>into</w:t>
      </w:r>
      <w:r w:rsidR="000A4578" w:rsidRPr="000A4578">
        <w:t xml:space="preserve"> governance constraints, issues </w:t>
      </w:r>
      <w:r>
        <w:t xml:space="preserve">related </w:t>
      </w:r>
      <w:r w:rsidR="000A4578" w:rsidRPr="000A4578">
        <w:t xml:space="preserve">to coordination, and implementation loopholes. It would also be a good idea to have a longitudinal design because EV adoption and institutional arrangements are changing fast due to the change of policy, growth of infrastructure, and technological advancements. Lastly, cross-country or comparative studies in the UK or across regions would offer a better insight into the effect that various institutional settings have on sustainable mobility transitions and their impact on the </w:t>
      </w:r>
      <w:r w:rsidR="000A4578">
        <w:t>realisation</w:t>
      </w:r>
      <w:r w:rsidR="000A4578" w:rsidRPr="000A4578">
        <w:t xml:space="preserve"> of broader climate and SDG targets.</w:t>
      </w:r>
    </w:p>
    <w:p w14:paraId="4A6286A0" w14:textId="7420521A" w:rsidR="0094245F" w:rsidRDefault="00B3376F" w:rsidP="00B3376F">
      <w:pPr>
        <w:pStyle w:val="Heading1"/>
      </w:pPr>
      <w:bookmarkStart w:id="52" w:name="_Toc225546790"/>
      <w:bookmarkStart w:id="53" w:name="_Toc227532024"/>
      <w:r>
        <w:lastRenderedPageBreak/>
        <w:t xml:space="preserve">10. </w:t>
      </w:r>
      <w:r w:rsidR="0094245F">
        <w:t>Ethical Considerations</w:t>
      </w:r>
      <w:bookmarkEnd w:id="52"/>
      <w:bookmarkEnd w:id="53"/>
    </w:p>
    <w:p w14:paraId="6F71D516" w14:textId="507E4224" w:rsidR="0012779C" w:rsidRDefault="0012779C" w:rsidP="0012779C">
      <w:pPr>
        <w:pStyle w:val="Heading2"/>
      </w:pPr>
      <w:bookmarkStart w:id="54" w:name="_Toc225546791"/>
      <w:bookmarkStart w:id="55" w:name="_Toc227532025"/>
      <w:r>
        <w:t>10.1 Informed Consent</w:t>
      </w:r>
      <w:bookmarkEnd w:id="54"/>
      <w:bookmarkEnd w:id="55"/>
    </w:p>
    <w:p w14:paraId="16BC3E9D" w14:textId="5C602580" w:rsidR="000A4578" w:rsidRPr="000A4578" w:rsidRDefault="000A4578" w:rsidP="000A4578">
      <w:r w:rsidRPr="000A4578">
        <w:t xml:space="preserve">Each participant had a clear introduction on what the study was about, was voluntary and the time they should expect to take to complete the </w:t>
      </w:r>
      <w:r w:rsidRPr="00703623">
        <w:t>questionnaire</w:t>
      </w:r>
      <w:r w:rsidR="00703623" w:rsidRPr="00703623">
        <w:t xml:space="preserve"> (Kılınç and Fırat, 2017)</w:t>
      </w:r>
      <w:r w:rsidRPr="00703623">
        <w:t>. The</w:t>
      </w:r>
      <w:r w:rsidRPr="000A4578">
        <w:t xml:space="preserve"> study included only those who attested to being 18 years or over and were willing to participate.</w:t>
      </w:r>
    </w:p>
    <w:p w14:paraId="50F1C899" w14:textId="66F67961" w:rsidR="0012779C" w:rsidRDefault="0012779C" w:rsidP="0012779C">
      <w:pPr>
        <w:pStyle w:val="Heading2"/>
      </w:pPr>
      <w:bookmarkStart w:id="56" w:name="_Toc225546792"/>
      <w:bookmarkStart w:id="57" w:name="_Toc227532026"/>
      <w:r>
        <w:t>10.2 Confidentiality</w:t>
      </w:r>
      <w:bookmarkEnd w:id="56"/>
      <w:bookmarkEnd w:id="57"/>
    </w:p>
    <w:p w14:paraId="189B602C" w14:textId="17EB7A44" w:rsidR="000A4578" w:rsidRPr="000A4578" w:rsidRDefault="000A4578" w:rsidP="000A4578">
      <w:r w:rsidRPr="000A4578">
        <w:t xml:space="preserve">The identities of the respondents were anonymous. No </w:t>
      </w:r>
      <w:r w:rsidR="00703623">
        <w:t>individualising</w:t>
      </w:r>
      <w:r w:rsidRPr="000A4578">
        <w:t xml:space="preserve"> data were gathered</w:t>
      </w:r>
      <w:r w:rsidR="00703623">
        <w:t>,</w:t>
      </w:r>
      <w:r w:rsidRPr="000A4578">
        <w:t xml:space="preserve"> and no responses were </w:t>
      </w:r>
      <w:r w:rsidR="00703623">
        <w:t>utilised for</w:t>
      </w:r>
      <w:r w:rsidRPr="000A4578">
        <w:t xml:space="preserve"> any other </w:t>
      </w:r>
      <w:r w:rsidR="00703623" w:rsidRPr="00703623">
        <w:t>purpose (Czarnota-Bojarska, 2021)</w:t>
      </w:r>
      <w:r w:rsidRPr="00703623">
        <w:t>. This assisted</w:t>
      </w:r>
      <w:r w:rsidRPr="000A4578">
        <w:t xml:space="preserve"> with the safeguarding of privacy and made open-minded responses.</w:t>
      </w:r>
    </w:p>
    <w:p w14:paraId="0D5251D7" w14:textId="61731A31" w:rsidR="0012779C" w:rsidRDefault="0012779C" w:rsidP="0012779C">
      <w:pPr>
        <w:pStyle w:val="Heading2"/>
      </w:pPr>
      <w:bookmarkStart w:id="58" w:name="_Toc225546793"/>
      <w:bookmarkStart w:id="59" w:name="_Toc227532027"/>
      <w:r>
        <w:t>10.3 Reduction of Harm</w:t>
      </w:r>
      <w:bookmarkEnd w:id="58"/>
      <w:bookmarkEnd w:id="59"/>
    </w:p>
    <w:p w14:paraId="17C0A272" w14:textId="0242A99F" w:rsidR="000A4578" w:rsidRPr="000A4578" w:rsidRDefault="000A4578" w:rsidP="000A4578">
      <w:r w:rsidRPr="000A4578">
        <w:t xml:space="preserve">The research was planned to reduce the risk of psychological, emotional or social damage. These questions of the survey were based on the perception of EV adoption and institutional factors, which are not very sensitive. Contributors also had the right to withdraw </w:t>
      </w:r>
      <w:r w:rsidR="00703623">
        <w:t xml:space="preserve">from </w:t>
      </w:r>
      <w:r w:rsidRPr="000A4578">
        <w:t xml:space="preserve">the survey </w:t>
      </w:r>
      <w:r w:rsidR="00703623">
        <w:t>at any time</w:t>
      </w:r>
      <w:r w:rsidRPr="000A4578">
        <w:t>.</w:t>
      </w:r>
    </w:p>
    <w:p w14:paraId="5151CBF4" w14:textId="68258500" w:rsidR="0012779C" w:rsidRDefault="0012779C" w:rsidP="0012779C">
      <w:pPr>
        <w:pStyle w:val="Heading2"/>
      </w:pPr>
      <w:bookmarkStart w:id="60" w:name="_Toc225546794"/>
      <w:bookmarkStart w:id="61" w:name="_Toc227532028"/>
      <w:r>
        <w:t>10.4 Neutrality of Researcher</w:t>
      </w:r>
      <w:bookmarkEnd w:id="60"/>
      <w:bookmarkEnd w:id="61"/>
    </w:p>
    <w:p w14:paraId="026C50FB" w14:textId="64C43625" w:rsidR="000A4578" w:rsidRPr="00703623" w:rsidRDefault="000A4578" w:rsidP="000A4578">
      <w:r w:rsidRPr="000A4578">
        <w:t>The questions were designed in a neutral manner</w:t>
      </w:r>
      <w:r w:rsidR="00703623">
        <w:t>,</w:t>
      </w:r>
      <w:r w:rsidRPr="000A4578">
        <w:t xml:space="preserve"> and analysis was carried out using the statistical results and not on the </w:t>
      </w:r>
      <w:r w:rsidR="00703623">
        <w:t>opinions</w:t>
      </w:r>
      <w:r w:rsidRPr="000A4578">
        <w:t>. This endorses the positivist position embraced in the methodology</w:t>
      </w:r>
      <w:r w:rsidR="00703623">
        <w:t xml:space="preserve"> </w:t>
      </w:r>
      <w:r w:rsidR="00703623" w:rsidRPr="00703623">
        <w:t>(Macdonald and Birdi, 2020)</w:t>
      </w:r>
      <w:r w:rsidRPr="00703623">
        <w:t>.</w:t>
      </w:r>
    </w:p>
    <w:p w14:paraId="03D79A7F" w14:textId="208399BE" w:rsidR="0012779C" w:rsidRDefault="0012779C" w:rsidP="0012779C">
      <w:pPr>
        <w:pStyle w:val="Heading2"/>
      </w:pPr>
      <w:bookmarkStart w:id="62" w:name="_Toc225546795"/>
      <w:bookmarkStart w:id="63" w:name="_Toc227532029"/>
      <w:r w:rsidRPr="0012779C">
        <w:t>10.5 Non-maleficence and Beneficence</w:t>
      </w:r>
      <w:bookmarkEnd w:id="62"/>
      <w:bookmarkEnd w:id="63"/>
    </w:p>
    <w:p w14:paraId="73ADE337" w14:textId="2AC7A9DB" w:rsidR="000A4578" w:rsidRPr="000A4578" w:rsidRDefault="000A4578" w:rsidP="000A4578">
      <w:r w:rsidRPr="000A4578">
        <w:t>The research was aimed to prevent harm and generate beneficial knowledge. The desired impact it has is to create some evidence that could be used to improve policy and institutional planning to adopt EV in the UK.</w:t>
      </w:r>
    </w:p>
    <w:p w14:paraId="4AF7541D" w14:textId="48CBFE44" w:rsidR="0012779C" w:rsidRDefault="0012779C" w:rsidP="00194AD8">
      <w:pPr>
        <w:pStyle w:val="Heading2"/>
      </w:pPr>
      <w:bookmarkStart w:id="64" w:name="_Toc225546796"/>
      <w:bookmarkStart w:id="65" w:name="_Toc227532030"/>
      <w:r>
        <w:t>10.6 Transparency</w:t>
      </w:r>
      <w:bookmarkEnd w:id="64"/>
      <w:bookmarkEnd w:id="65"/>
    </w:p>
    <w:p w14:paraId="54E64A06" w14:textId="0CB38AA0" w:rsidR="000A4578" w:rsidRPr="00703623" w:rsidRDefault="000A4578" w:rsidP="000A4578">
      <w:r w:rsidRPr="000A4578">
        <w:t xml:space="preserve">Clear statements of the research process, methods and limitations were made to be open and academically </w:t>
      </w:r>
      <w:r w:rsidRPr="00703623">
        <w:t>honest</w:t>
      </w:r>
      <w:r w:rsidR="00703623" w:rsidRPr="00703623">
        <w:t xml:space="preserve"> (Knottnerus and Tugwell, 2016)</w:t>
      </w:r>
      <w:r w:rsidRPr="00703623">
        <w:t>.</w:t>
      </w:r>
    </w:p>
    <w:p w14:paraId="733C87AD" w14:textId="559C4289" w:rsidR="0012779C" w:rsidRDefault="0012779C" w:rsidP="0012779C">
      <w:pPr>
        <w:pStyle w:val="Heading2"/>
      </w:pPr>
      <w:bookmarkStart w:id="66" w:name="_Toc225546797"/>
      <w:bookmarkStart w:id="67" w:name="_Toc227532031"/>
      <w:r>
        <w:t xml:space="preserve">10.7 </w:t>
      </w:r>
      <w:r w:rsidRPr="0012779C">
        <w:t>Observance of Institutional Guidelines</w:t>
      </w:r>
      <w:bookmarkEnd w:id="66"/>
      <w:bookmarkEnd w:id="67"/>
    </w:p>
    <w:p w14:paraId="5910C3DA" w14:textId="1379154A" w:rsidR="00FE08C9" w:rsidRDefault="000A4578" w:rsidP="000A4578">
      <w:r w:rsidRPr="000A4578">
        <w:t xml:space="preserve">In preparing the pilot article, the study adheres to the </w:t>
      </w:r>
      <w:r w:rsidR="00703623">
        <w:t xml:space="preserve">university </w:t>
      </w:r>
      <w:r w:rsidRPr="000A4578">
        <w:t xml:space="preserve">standards of ethical </w:t>
      </w:r>
      <w:r w:rsidR="00703623">
        <w:t>behaviour</w:t>
      </w:r>
      <w:r w:rsidRPr="000A4578">
        <w:t xml:space="preserve">, academic integrity, and appropriate research </w:t>
      </w:r>
      <w:r w:rsidRPr="00703623">
        <w:t>ethics</w:t>
      </w:r>
      <w:r w:rsidR="00703623" w:rsidRPr="00703623">
        <w:t xml:space="preserve"> (Macfarlane, Zhang and Pun, 2014)</w:t>
      </w:r>
      <w:r w:rsidRPr="00703623">
        <w:t>.</w:t>
      </w:r>
      <w:r w:rsidR="00FE08C9">
        <w:br w:type="page"/>
      </w:r>
    </w:p>
    <w:p w14:paraId="6A50F586" w14:textId="77777777" w:rsidR="001F210E" w:rsidRDefault="001F210E" w:rsidP="001F210E">
      <w:pPr>
        <w:pStyle w:val="Heading1"/>
        <w:jc w:val="center"/>
      </w:pPr>
      <w:bookmarkStart w:id="68" w:name="_Toc225546798"/>
      <w:bookmarkStart w:id="69" w:name="_Toc227532032"/>
      <w:r>
        <w:lastRenderedPageBreak/>
        <w:t>Part 2: Reflective Account</w:t>
      </w:r>
      <w:bookmarkEnd w:id="68"/>
      <w:bookmarkEnd w:id="69"/>
    </w:p>
    <w:p w14:paraId="6BA57884" w14:textId="519E4C2E" w:rsidR="001F210E" w:rsidRDefault="001F210E" w:rsidP="001F210E">
      <w:pPr>
        <w:pStyle w:val="Heading2"/>
      </w:pPr>
      <w:bookmarkStart w:id="70" w:name="_Toc225546799"/>
      <w:bookmarkStart w:id="71" w:name="_Toc227532033"/>
      <w:r>
        <w:t>Introduction</w:t>
      </w:r>
      <w:bookmarkEnd w:id="70"/>
      <w:bookmarkEnd w:id="71"/>
    </w:p>
    <w:p w14:paraId="412A5DC3" w14:textId="4A8032D4" w:rsidR="003D1369" w:rsidRDefault="003D1369" w:rsidP="003D1369">
      <w:r>
        <w:t xml:space="preserve">This reflective report describes the procedures I used to prepare the pilot article on institutional readiness, technological convergence and electric vehicle (EV) adoption in the UK. The module also made me include a pilot study, analyse original empirical data, and present the work in the manner of </w:t>
      </w:r>
      <w:r w:rsidR="00703623">
        <w:t>an</w:t>
      </w:r>
      <w:r>
        <w:t xml:space="preserve"> academic journal article instead of the traditional assignment. The need influenced the process since it required me to reason like a researcher in academic writing.</w:t>
      </w:r>
    </w:p>
    <w:p w14:paraId="115BE5DF" w14:textId="4A177291" w:rsidR="003D1369" w:rsidRDefault="003D1369" w:rsidP="003D1369">
      <w:r>
        <w:t>My first problem was the first step to narrow down the topic. I was also interested in sustainability, innovation, transport transition and public policy</w:t>
      </w:r>
      <w:r w:rsidR="00703623">
        <w:t>,</w:t>
      </w:r>
      <w:r>
        <w:t xml:space="preserve"> which were too general to be the topic of a single pilot article. I thus centred on the institutional aspect of EV adoption. This choice was noteworthy in that most of the EV discourse focuses more on consumer behaviour or technical infrastructure over institutional readiness. I also wanted the article to demonstrate that the quality of governance, support of policies, cross-sector coordination, and alignment to sustainability are also significant in EV adoption. This assisted me in narrowing down to a distinct angle and contribution.</w:t>
      </w:r>
    </w:p>
    <w:p w14:paraId="40DD4F76" w14:textId="5A3F511C" w:rsidR="003D1369" w:rsidRPr="003D1369" w:rsidRDefault="003D1369" w:rsidP="003D1369">
      <w:r>
        <w:t xml:space="preserve">This task taught me </w:t>
      </w:r>
      <w:r w:rsidR="00703623">
        <w:t xml:space="preserve">that, </w:t>
      </w:r>
      <w:r>
        <w:t>at first</w:t>
      </w:r>
      <w:r w:rsidR="00703623">
        <w:t>,</w:t>
      </w:r>
      <w:r>
        <w:t xml:space="preserve"> work on the DBA level does not presuppose information gathering and inserting it into categories. It has to do with critical judgment as to direction, approach, fact, and display.</w:t>
      </w:r>
    </w:p>
    <w:p w14:paraId="078F7E71" w14:textId="5951A85E" w:rsidR="001F210E" w:rsidRDefault="001F210E" w:rsidP="001F210E">
      <w:pPr>
        <w:pStyle w:val="Heading2"/>
      </w:pPr>
      <w:bookmarkStart w:id="72" w:name="_Toc225546800"/>
      <w:bookmarkStart w:id="73" w:name="_Toc227532034"/>
      <w:r>
        <w:t>Research Design</w:t>
      </w:r>
      <w:bookmarkEnd w:id="72"/>
      <w:bookmarkEnd w:id="73"/>
    </w:p>
    <w:p w14:paraId="5105A381" w14:textId="5CD314B4" w:rsidR="003D1369" w:rsidRDefault="003D1369" w:rsidP="003D1369">
      <w:r>
        <w:t>The process was the most critical at the research design stage since it outlined the rationale of the paper. I chose to follow a positivist philosophy, deductive, and a survey design (quantitative)</w:t>
      </w:r>
      <w:r w:rsidR="006F0599">
        <w:t xml:space="preserve"> </w:t>
      </w:r>
      <w:r w:rsidR="006F0599" w:rsidRPr="00854E8B">
        <w:t>(Park, Konge and Artino Jr, 2020)</w:t>
      </w:r>
      <w:r>
        <w:t>. This was suitable, as the research sought to explore connections among quantifiable resources like institutional preparedness, policy backup, infrastructures, technological convergence, EV uptake, and sustainability contribution. The design was thus in line with the purpose of testing the patterns in a systematic manner</w:t>
      </w:r>
      <w:r w:rsidR="00703623">
        <w:t xml:space="preserve"> (Collis and Hussey, 2013)</w:t>
      </w:r>
      <w:r>
        <w:t>.</w:t>
      </w:r>
    </w:p>
    <w:p w14:paraId="605E6CAB" w14:textId="0E34A264" w:rsidR="003D1369" w:rsidRDefault="003D1369" w:rsidP="003D1369">
      <w:r>
        <w:t>Presumably</w:t>
      </w:r>
      <w:r w:rsidR="00703623">
        <w:t>,</w:t>
      </w:r>
      <w:r>
        <w:t xml:space="preserve"> one of the most fascinating elements of this stage was the revelation of the degree of interrelation between theory and method. The study was framed with General Systems Theory, the Technology Acceptance Model, and Diffusion of Innovations Theory</w:t>
      </w:r>
      <w:r w:rsidR="00703623">
        <w:t xml:space="preserve"> </w:t>
      </w:r>
      <w:r w:rsidR="00703623" w:rsidRPr="00703623">
        <w:t>(Hofkirchner and Schafranek, 2011; Davis, Granić and Marangunić, 2024; Dearing and Cox, 2018)</w:t>
      </w:r>
      <w:r>
        <w:t xml:space="preserve">. The process of writing the paper made me realise that the process of research design is also directed by theory. It explains what is to be measured, why these constructs are important and how the results can be </w:t>
      </w:r>
      <w:r>
        <w:lastRenderedPageBreak/>
        <w:t>discussed. This enhanced the strength of the design since the variables were connected to a definite conceptual framework.</w:t>
      </w:r>
    </w:p>
    <w:p w14:paraId="2CB4F13F" w14:textId="64DE9A49" w:rsidR="003D1369" w:rsidRPr="003D1369" w:rsidRDefault="003D1369" w:rsidP="003D1369">
      <w:r>
        <w:t xml:space="preserve">The problem was to prevent an over-complicated design. </w:t>
      </w:r>
      <w:r w:rsidR="006F0599">
        <w:t>First,</w:t>
      </w:r>
      <w:r>
        <w:t xml:space="preserve"> I had a desire to incorporate excessive dimensions of EV transition. I dealt with this by narrowing down the design to the most pertinent constructs and making sure that every construct </w:t>
      </w:r>
      <w:r w:rsidR="00703623">
        <w:t xml:space="preserve">was </w:t>
      </w:r>
      <w:r>
        <w:t xml:space="preserve">directly related to the research questions. Out of this, I </w:t>
      </w:r>
      <w:r w:rsidR="00703623">
        <w:t>realised</w:t>
      </w:r>
      <w:r>
        <w:t xml:space="preserve"> that a good pilot study is clear-cut, coherent and workable.</w:t>
      </w:r>
    </w:p>
    <w:p w14:paraId="0795BF12" w14:textId="08EE9AF3" w:rsidR="001F210E" w:rsidRDefault="001F210E" w:rsidP="001F210E">
      <w:pPr>
        <w:pStyle w:val="Heading2"/>
      </w:pPr>
      <w:bookmarkStart w:id="74" w:name="_Toc225546801"/>
      <w:bookmarkStart w:id="75" w:name="_Toc227532035"/>
      <w:r>
        <w:t>Data Collection</w:t>
      </w:r>
      <w:bookmarkEnd w:id="74"/>
      <w:bookmarkEnd w:id="75"/>
    </w:p>
    <w:p w14:paraId="1ECF26C5" w14:textId="35F1790F" w:rsidR="003D1369" w:rsidRDefault="003D1369" w:rsidP="003D1369">
      <w:r>
        <w:t xml:space="preserve">The process of data collection was lengthier and more detailed than I initially anticipated. The questionnaire contained demographic items, Likert-scale items on six constructs and </w:t>
      </w:r>
      <w:r w:rsidR="006F0599">
        <w:t>pilots’</w:t>
      </w:r>
      <w:r>
        <w:t xml:space="preserve"> feedback. This provided the research with a systematic numerical and </w:t>
      </w:r>
      <w:r w:rsidR="00703623">
        <w:t xml:space="preserve">a </w:t>
      </w:r>
      <w:r>
        <w:t>bit of qualitative understanding</w:t>
      </w:r>
      <w:r w:rsidR="003D64E4">
        <w:t xml:space="preserve"> (Rea and Parker, 2014)</w:t>
      </w:r>
      <w:r>
        <w:t>. The process has taught me that the design of the questionnaire plays a central role in knowledge production since the failure to present the words or apply them to the constructs in a strong manner can impact the entire study.</w:t>
      </w:r>
    </w:p>
    <w:p w14:paraId="0C0F0459" w14:textId="75A4FBDA" w:rsidR="003D1369" w:rsidRDefault="003D1369" w:rsidP="003D1369">
      <w:r>
        <w:t xml:space="preserve">The hardest part was to formulate the items. A question which appears to be easy to the researcher might be misunderstood by respondents. I thus made note of clarity, sequence and regularity. The pilot character of the study was beneficial, as it helped me to find out whether the items could be put into </w:t>
      </w:r>
      <w:r w:rsidRPr="003D64E4">
        <w:t>practice</w:t>
      </w:r>
      <w:r w:rsidR="003D64E4" w:rsidRPr="003D64E4">
        <w:t xml:space="preserve"> (Moy and Murphy, 2016)</w:t>
      </w:r>
      <w:r w:rsidRPr="003D64E4">
        <w:t>. This was</w:t>
      </w:r>
      <w:r>
        <w:t xml:space="preserve"> an important lesson during the assignment: pilot work does not only involve generating evidence of initial results, but also </w:t>
      </w:r>
      <w:r w:rsidR="003D64E4">
        <w:t>reveals</w:t>
      </w:r>
      <w:r>
        <w:t xml:space="preserve"> flaws in the measuring tool </w:t>
      </w:r>
      <w:r w:rsidR="003D64E4">
        <w:t>before</w:t>
      </w:r>
      <w:r>
        <w:t xml:space="preserve"> the larger experiment.</w:t>
      </w:r>
    </w:p>
    <w:p w14:paraId="44BB0530" w14:textId="0E682412" w:rsidR="003D1369" w:rsidRPr="003D1369" w:rsidRDefault="003D1369" w:rsidP="003D1369">
      <w:r>
        <w:t xml:space="preserve">Another challenge was to obtain answers within the allocated time. </w:t>
      </w:r>
      <w:r w:rsidR="00D51485" w:rsidRPr="00D51485">
        <w:t>Theoretically, online surveys seem effective. Practically speaking, patterns of response are a timing issue, availability and willingness of the respondents (Chen and Eisenberg, 2020). Calculates speed</w:t>
      </w:r>
      <w:r w:rsidR="00D51485">
        <w:t>,</w:t>
      </w:r>
      <w:r w:rsidR="00D51485" w:rsidRPr="00D51485">
        <w:t xml:space="preserve"> and results are rewarded more often in the school environment</w:t>
      </w:r>
      <w:r w:rsidR="00D51485">
        <w:t>. H</w:t>
      </w:r>
      <w:r w:rsidR="00D51485" w:rsidRPr="00D51485">
        <w:t>owever, gathering data is an exercise that requires time and planning</w:t>
      </w:r>
      <w:r>
        <w:t>.</w:t>
      </w:r>
    </w:p>
    <w:p w14:paraId="70DCE394" w14:textId="768A258E" w:rsidR="00DF6CB7" w:rsidRDefault="00DF6CB7" w:rsidP="00DF6CB7">
      <w:pPr>
        <w:pStyle w:val="Heading2"/>
      </w:pPr>
      <w:bookmarkStart w:id="76" w:name="_Toc225546802"/>
      <w:bookmarkStart w:id="77" w:name="_Toc227532036"/>
      <w:r>
        <w:t>Data Analysis</w:t>
      </w:r>
      <w:bookmarkEnd w:id="76"/>
      <w:bookmarkEnd w:id="77"/>
    </w:p>
    <w:p w14:paraId="40789399" w14:textId="76AE2587" w:rsidR="003D1369" w:rsidRDefault="00D51485" w:rsidP="003D1369">
      <w:r w:rsidRPr="00D51485">
        <w:t>The stage that involved analysis of the data made the research assume a more discouraging face</w:t>
      </w:r>
      <w:r w:rsidR="003D1369">
        <w:t>. I analy</w:t>
      </w:r>
      <w:r w:rsidR="003D64E4">
        <w:t>s</w:t>
      </w:r>
      <w:r w:rsidR="003D1369">
        <w:t>ed using SPSS</w:t>
      </w:r>
      <w:r w:rsidR="003D64E4">
        <w:t xml:space="preserve">, including </w:t>
      </w:r>
      <w:r w:rsidR="003D1369">
        <w:t xml:space="preserve">demographics, testing reliability, descriptive statistics, correlation, and multiple regression. The functions of each stage were different, and I understood that it is necessary to adhere to a logical </w:t>
      </w:r>
      <w:r w:rsidR="003D1369" w:rsidRPr="003D64E4">
        <w:t>sequence</w:t>
      </w:r>
      <w:r w:rsidR="003D64E4" w:rsidRPr="003D64E4">
        <w:t xml:space="preserve"> (Verma, 2012)</w:t>
      </w:r>
      <w:r w:rsidR="003D1369" w:rsidRPr="003D64E4">
        <w:t>. As a</w:t>
      </w:r>
      <w:r w:rsidR="003D1369">
        <w:t xml:space="preserve"> preliminary step to relationships between variables, I needed to establish whether the scales were reliable. The large </w:t>
      </w:r>
      <w:r w:rsidR="003D64E4">
        <w:t>Cronbach’s</w:t>
      </w:r>
      <w:r w:rsidR="003D1369">
        <w:t xml:space="preserve"> </w:t>
      </w:r>
      <w:r w:rsidR="003D1369">
        <w:lastRenderedPageBreak/>
        <w:t>alpha was indicative of a high internal consistency</w:t>
      </w:r>
      <w:r w:rsidR="003D64E4">
        <w:t>,</w:t>
      </w:r>
      <w:r w:rsidR="003D1369">
        <w:t xml:space="preserve"> and this instilled confidence </w:t>
      </w:r>
      <w:r w:rsidR="003D64E4">
        <w:t>in</w:t>
      </w:r>
      <w:r w:rsidR="003D1369">
        <w:t xml:space="preserve"> the instrument and warranted me to proceed to the next steps</w:t>
      </w:r>
      <w:r w:rsidR="00214FC5">
        <w:t xml:space="preserve"> </w:t>
      </w:r>
      <w:r w:rsidR="00214FC5" w:rsidRPr="00214FC5">
        <w:t>(McCormick and Salcedo, 2017)</w:t>
      </w:r>
      <w:r w:rsidR="003D1369">
        <w:t>.</w:t>
      </w:r>
    </w:p>
    <w:p w14:paraId="56B5F5E7" w14:textId="02361725" w:rsidR="00D51485" w:rsidRDefault="003D1369" w:rsidP="00D51485">
      <w:r>
        <w:t xml:space="preserve">The descriptive statistics enabled me </w:t>
      </w:r>
      <w:r w:rsidR="00214FC5">
        <w:t xml:space="preserve">to </w:t>
      </w:r>
      <w:r>
        <w:t xml:space="preserve">extract the general response pattern. The obtained data were further </w:t>
      </w:r>
      <w:r w:rsidR="00214FC5">
        <w:t>analysed</w:t>
      </w:r>
      <w:r>
        <w:t xml:space="preserve"> by correlation to reveal the high positive correlation between the main constructs, and the regression analysis was implemented to determine the strongest predictors of EV adoption. But the greatest thing to learn was not to view statistical analysis as a matter of typing commands</w:t>
      </w:r>
      <w:r w:rsidR="001C2E89">
        <w:t xml:space="preserve"> </w:t>
      </w:r>
      <w:r w:rsidR="00D51485">
        <w:t>(McCormick and Salcedo, 2017). Among the results, one showed that the institutional readiness had a negative regression coefficient</w:t>
      </w:r>
      <w:r w:rsidR="001C2E89">
        <w:t>,</w:t>
      </w:r>
      <w:r w:rsidR="00D51485">
        <w:t xml:space="preserve"> though it was positively determined </w:t>
      </w:r>
      <w:r w:rsidR="001C2E89">
        <w:t>by</w:t>
      </w:r>
      <w:r w:rsidR="00D51485">
        <w:t xml:space="preserve"> EV adoption. Instead of engaging </w:t>
      </w:r>
      <w:r w:rsidR="001C2E89">
        <w:t>mechanically</w:t>
      </w:r>
      <w:r w:rsidR="00D51485">
        <w:t>, I had to consider the overlap between the variables themselves, the possible multicollinearity and the constraints of the pilot dataset.</w:t>
      </w:r>
    </w:p>
    <w:p w14:paraId="2CCFA2C3" w14:textId="4E231521" w:rsidR="003D1369" w:rsidRPr="003D1369" w:rsidRDefault="00D51485" w:rsidP="00D51485">
      <w:r>
        <w:t xml:space="preserve">This part of the process helped me to improve my critical thinking. It taught me that the level of analysis required by the DBA level requires not purely technical ability, </w:t>
      </w:r>
      <w:r w:rsidR="001C2E89">
        <w:t xml:space="preserve">but also </w:t>
      </w:r>
      <w:r>
        <w:t>judicial ability. It also helped me to comprehend how to write the results selectively</w:t>
      </w:r>
      <w:r w:rsidR="003D1369">
        <w:t>.</w:t>
      </w:r>
    </w:p>
    <w:p w14:paraId="76F961E6" w14:textId="253BA94B" w:rsidR="00DF6CB7" w:rsidRDefault="00DF6CB7" w:rsidP="00DF6CB7">
      <w:pPr>
        <w:pStyle w:val="Heading2"/>
      </w:pPr>
      <w:bookmarkStart w:id="78" w:name="_Toc225546803"/>
      <w:bookmarkStart w:id="79" w:name="_Toc227532037"/>
      <w:r>
        <w:t>Sampling Considerations</w:t>
      </w:r>
      <w:bookmarkEnd w:id="78"/>
      <w:bookmarkEnd w:id="79"/>
    </w:p>
    <w:p w14:paraId="044C9A92" w14:textId="344F9A99" w:rsidR="003D1369" w:rsidRDefault="003D1369" w:rsidP="003D1369">
      <w:r>
        <w:t>In the pilot study, 100 respondents were used</w:t>
      </w:r>
      <w:r w:rsidR="00214FC5">
        <w:t xml:space="preserve"> with simple random sampling,</w:t>
      </w:r>
      <w:r>
        <w:t xml:space="preserve"> which was adequate to test the instrument, as well as </w:t>
      </w:r>
      <w:r w:rsidR="00214FC5">
        <w:t>to conduct</w:t>
      </w:r>
      <w:r>
        <w:t xml:space="preserve"> preliminary quantitative analysis</w:t>
      </w:r>
      <w:r w:rsidR="00214FC5">
        <w:t xml:space="preserve"> </w:t>
      </w:r>
      <w:r w:rsidR="00214FC5" w:rsidRPr="00214FC5">
        <w:t>(Noor, Tajik and Golzar, 2022)</w:t>
      </w:r>
      <w:r w:rsidRPr="00214FC5">
        <w:t>. There</w:t>
      </w:r>
      <w:r>
        <w:t xml:space="preserve"> were</w:t>
      </w:r>
      <w:r w:rsidR="00214FC5">
        <w:t>,</w:t>
      </w:r>
      <w:r>
        <w:t xml:space="preserve"> however</w:t>
      </w:r>
      <w:r w:rsidR="00214FC5">
        <w:t>,</w:t>
      </w:r>
      <w:r>
        <w:t xml:space="preserve"> imbalances noted in the sample profile as well</w:t>
      </w:r>
      <w:r w:rsidR="00214FC5">
        <w:t>,</w:t>
      </w:r>
      <w:r>
        <w:t xml:space="preserve"> particularly in the </w:t>
      </w:r>
      <w:r w:rsidR="00214FC5">
        <w:t>aspects</w:t>
      </w:r>
      <w:r>
        <w:t xml:space="preserve"> of age, gender and regional representation. This did not render the pilot invalid, but it did support me to the point of reminding me that pilot usefulness is not so much comparable to full representativeness</w:t>
      </w:r>
      <w:r w:rsidR="00214FC5">
        <w:t xml:space="preserve"> (West, 2016)</w:t>
      </w:r>
      <w:r>
        <w:t>.</w:t>
      </w:r>
    </w:p>
    <w:p w14:paraId="7CDA6CF2" w14:textId="638A8AA4" w:rsidR="003D1369" w:rsidRPr="003D1369" w:rsidRDefault="003D1369" w:rsidP="003D1369">
      <w:r>
        <w:t xml:space="preserve">It made me </w:t>
      </w:r>
      <w:r w:rsidR="00214FC5">
        <w:t>realise</w:t>
      </w:r>
      <w:r>
        <w:t xml:space="preserve"> that pilot studies are used </w:t>
      </w:r>
      <w:r w:rsidR="00214FC5">
        <w:t>for</w:t>
      </w:r>
      <w:r>
        <w:t xml:space="preserve"> a different effect. They are primarily valuable in assaying the viability of the design, the consistency of the instrument and the rationale of the analysis. They are also able to indicate to a larger study where to </w:t>
      </w:r>
      <w:r w:rsidR="00214FC5">
        <w:t>focus</w:t>
      </w:r>
      <w:r>
        <w:t>. In my instance</w:t>
      </w:r>
      <w:r w:rsidR="00214FC5">
        <w:t>,</w:t>
      </w:r>
      <w:r>
        <w:t xml:space="preserve"> there was an indication by the pilot of what a more diverse and extensive sample of the whole UK would be beneficial in future research.</w:t>
      </w:r>
    </w:p>
    <w:p w14:paraId="4FBA7621" w14:textId="7A39201E" w:rsidR="00DF6CB7" w:rsidRDefault="00DF6CB7" w:rsidP="00DF6CB7">
      <w:pPr>
        <w:pStyle w:val="Heading2"/>
      </w:pPr>
      <w:bookmarkStart w:id="80" w:name="_Toc225546804"/>
      <w:bookmarkStart w:id="81" w:name="_Toc227532038"/>
      <w:r>
        <w:t>Researcher Neutrality</w:t>
      </w:r>
      <w:bookmarkEnd w:id="80"/>
      <w:bookmarkEnd w:id="81"/>
    </w:p>
    <w:p w14:paraId="6ABA57D6" w14:textId="39DA164D" w:rsidR="003D1369" w:rsidRDefault="003D1369" w:rsidP="003D1369">
      <w:r>
        <w:t xml:space="preserve">The importance of researcher neutrality was that EV adoption is an easy issue to take a stance on forcefully. My understanding of the policy and environmental worth of EV transition also exists, yet, before doing this research, I learned that a doctoral researcher is supposed to treat the evidence in a disciplined </w:t>
      </w:r>
      <w:r w:rsidRPr="00214FC5">
        <w:t>way</w:t>
      </w:r>
      <w:r w:rsidR="00214FC5" w:rsidRPr="00214FC5">
        <w:t xml:space="preserve"> (Macdonald and Birdi, 2020)</w:t>
      </w:r>
      <w:r w:rsidRPr="00214FC5">
        <w:t>. I thus</w:t>
      </w:r>
      <w:r>
        <w:t xml:space="preserve"> attempted to be neutral in questionnaire wording, data treatment and interpretation.</w:t>
      </w:r>
    </w:p>
    <w:p w14:paraId="7C92216C" w14:textId="7E966149" w:rsidR="003D1369" w:rsidRPr="003D1369" w:rsidRDefault="003D1369" w:rsidP="003D1369">
      <w:r>
        <w:lastRenderedPageBreak/>
        <w:t>The surprise of the regression outcome helped remind me that the concept of being neutral implies letting the data in question test the assumptions made earlier. It was also a lesson that even social and sustainability issues can be normatively appealing and</w:t>
      </w:r>
      <w:r w:rsidR="00214FC5">
        <w:t>,</w:t>
      </w:r>
      <w:r>
        <w:t xml:space="preserve"> at the same time, demand a careful and balanced analysis. This was a significant work experience in that credibility is not just an aspect of being interested in the subject but also being reserved in drawing conclusions on the inquiry.</w:t>
      </w:r>
    </w:p>
    <w:p w14:paraId="08EB83A4" w14:textId="1ACC265A" w:rsidR="00DF6CB7" w:rsidRDefault="00DF6CB7" w:rsidP="00DF6CB7">
      <w:pPr>
        <w:pStyle w:val="Heading2"/>
      </w:pPr>
      <w:bookmarkStart w:id="82" w:name="_Toc225546805"/>
      <w:bookmarkStart w:id="83" w:name="_Toc227532039"/>
      <w:r>
        <w:t>Transparency and Conclusion</w:t>
      </w:r>
      <w:bookmarkEnd w:id="82"/>
      <w:bookmarkEnd w:id="83"/>
    </w:p>
    <w:p w14:paraId="0509E627" w14:textId="3DF0ADB1" w:rsidR="00D51485" w:rsidRDefault="003D1369" w:rsidP="00D51485">
      <w:r>
        <w:t xml:space="preserve">One of the best lessons of this assignment was transparency. I came to know that a good pilot article should be able to articulate its purpose, methods, limitations and contribution. Explicitly stating the sample boundaries, as well as </w:t>
      </w:r>
      <w:r w:rsidR="00190FCF">
        <w:t xml:space="preserve">the </w:t>
      </w:r>
      <w:r>
        <w:t>overlap of variables and the pilot nature of the findings</w:t>
      </w:r>
      <w:r w:rsidR="00190FCF">
        <w:t>,</w:t>
      </w:r>
      <w:r>
        <w:t xml:space="preserve"> did not make the paper weak. </w:t>
      </w:r>
      <w:r w:rsidR="00D51485">
        <w:t>Other aspects emphasised in the assessment brief are academic honesty, integrity of research findings, and effective communication, which resulted in the concern of transparency in the writing process and the reflection (Czarnota-Bojarska, 2021).</w:t>
      </w:r>
    </w:p>
    <w:p w14:paraId="67CF25B4" w14:textId="77777777" w:rsidR="00D51485" w:rsidRDefault="00D51485" w:rsidP="00D51485">
      <w:r>
        <w:t>Another reflection this assignment indicated to me was publication pressures. Academic writing is now occurring in a very densely populated environment in which originality, relevance and impact are important. That is, a paper must not be confined to providing data. It must seek an apparent gap that must be tackled to the appropriate audience and prove the applicability of the findings. The unique value addition of my article is that it has put institutional preparedness at the heart of the EV adoption discourse and tied it with technological convergence and sustainability targets.</w:t>
      </w:r>
    </w:p>
    <w:p w14:paraId="24E8055E" w14:textId="3E7F43C4" w:rsidR="003D1369" w:rsidRPr="003D1369" w:rsidRDefault="00D51485" w:rsidP="00D51485">
      <w:r>
        <w:t>Generally, this process has educated me on how doctoral research works out in the following steps, namely, topic choice up to the creation of the article. It enhanced my skills to relate theory, method, data and interpretation in a disciplined manner. Above all, it made me understand that research is a refining process</w:t>
      </w:r>
      <w:r w:rsidR="003D1369">
        <w:t>.</w:t>
      </w:r>
    </w:p>
    <w:p w14:paraId="3B408D10" w14:textId="31485BF6" w:rsidR="00750F1C" w:rsidRDefault="00750F1C" w:rsidP="00DF6CB7">
      <w:r>
        <w:br w:type="page"/>
      </w:r>
    </w:p>
    <w:p w14:paraId="3FCDA422" w14:textId="6605DB86" w:rsidR="00BB27D2" w:rsidRDefault="00BB27D2" w:rsidP="00BB27D2">
      <w:pPr>
        <w:pStyle w:val="Heading1"/>
      </w:pPr>
      <w:bookmarkStart w:id="84" w:name="_Toc225546806"/>
      <w:bookmarkStart w:id="85" w:name="_Toc227532040"/>
      <w:r>
        <w:lastRenderedPageBreak/>
        <w:t>References</w:t>
      </w:r>
      <w:bookmarkEnd w:id="84"/>
      <w:bookmarkEnd w:id="85"/>
    </w:p>
    <w:p w14:paraId="33E61B14"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Abdelkareem, M.A., Olabi, A.G., AlMallahi, M.N., Mahmoud, M. and Elgendi, M. (2025). Contributions of electric vehicles towards the sustainable development goals. </w:t>
      </w:r>
      <w:r w:rsidRPr="004378DE">
        <w:rPr>
          <w:i/>
          <w:iCs/>
        </w:rPr>
        <w:t>Energy Conversion and Management: X</w:t>
      </w:r>
      <w:r w:rsidRPr="004378DE">
        <w:t xml:space="preserve">, [online] p.101170. </w:t>
      </w:r>
      <w:hyperlink r:id="rId9" w:history="1">
        <w:r w:rsidRPr="004378DE">
          <w:rPr>
            <w:rStyle w:val="Hyperlink"/>
            <w:rFonts w:eastAsiaTheme="majorEastAsia"/>
          </w:rPr>
          <w:t>https://doi.org/10.1016/j.ecmx.2025.101170</w:t>
        </w:r>
      </w:hyperlink>
      <w:r w:rsidRPr="004378DE">
        <w:t>.</w:t>
      </w:r>
    </w:p>
    <w:p w14:paraId="1DA98C89" w14:textId="77777777" w:rsidR="008A37F9" w:rsidRPr="004378DE" w:rsidRDefault="008A37F9" w:rsidP="004378DE">
      <w:pPr>
        <w:ind w:left="720" w:hanging="720"/>
        <w:rPr>
          <w:rFonts w:cs="Times New Roman"/>
          <w:szCs w:val="24"/>
        </w:rPr>
      </w:pPr>
      <w:r w:rsidRPr="004378DE">
        <w:rPr>
          <w:rFonts w:cs="Times New Roman"/>
          <w:szCs w:val="24"/>
        </w:rPr>
        <w:t xml:space="preserve">Adams, J., Khan, H.T.A. and Raeside, R. (2014). </w:t>
      </w:r>
      <w:r w:rsidRPr="004378DE">
        <w:rPr>
          <w:rFonts w:cs="Times New Roman"/>
          <w:i/>
          <w:iCs/>
          <w:szCs w:val="24"/>
        </w:rPr>
        <w:t>Research Methods for Business and Social Science Students</w:t>
      </w:r>
      <w:r w:rsidRPr="004378DE">
        <w:rPr>
          <w:rFonts w:cs="Times New Roman"/>
          <w:szCs w:val="24"/>
        </w:rPr>
        <w:t>. 2nd ed. [online] SAGE Publications India Pvt, Ltd., 5–112.</w:t>
      </w:r>
    </w:p>
    <w:p w14:paraId="0C811513" w14:textId="04B31D45" w:rsidR="008A37F9" w:rsidRPr="004378DE" w:rsidRDefault="008A37F9" w:rsidP="004378DE">
      <w:pPr>
        <w:pStyle w:val="NormalWeb"/>
        <w:spacing w:before="0" w:beforeAutospacing="0" w:after="0" w:afterAutospacing="0" w:line="360" w:lineRule="auto"/>
        <w:ind w:left="720" w:hanging="720"/>
        <w:jc w:val="both"/>
      </w:pPr>
      <w:bookmarkStart w:id="86" w:name="_Hlk226287960"/>
      <w:r w:rsidRPr="004378DE">
        <w:t>Alali, L., Niesten, E. and Gagliardi</w:t>
      </w:r>
      <w:bookmarkEnd w:id="86"/>
      <w:r w:rsidRPr="004378DE">
        <w:t>, D. (2022</w:t>
      </w:r>
      <w:r>
        <w:t>s</w:t>
      </w:r>
      <w:r w:rsidRPr="004378DE">
        <w:t xml:space="preserve">). The impact of UK financial incentives on the adoption of electric fleets: The moderation effect of GDP change. </w:t>
      </w:r>
      <w:r w:rsidRPr="004378DE">
        <w:rPr>
          <w:i/>
          <w:iCs/>
        </w:rPr>
        <w:t>Transportation Research Part A: Policy and Practice</w:t>
      </w:r>
      <w:r w:rsidRPr="004378DE">
        <w:t xml:space="preserve">, [online] 161, pp.200–220. </w:t>
      </w:r>
      <w:hyperlink r:id="rId10" w:history="1">
        <w:r w:rsidRPr="004378DE">
          <w:rPr>
            <w:rStyle w:val="Hyperlink"/>
            <w:rFonts w:eastAsiaTheme="majorEastAsia"/>
          </w:rPr>
          <w:t>https://doi.org/10.1016/j.tra.2022.04.011</w:t>
        </w:r>
      </w:hyperlink>
      <w:r w:rsidRPr="004378DE">
        <w:t>.</w:t>
      </w:r>
    </w:p>
    <w:p w14:paraId="4F12414F"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Allwood, J., Horton, P. and Stephenson, S. (2021). Minus 45: Delivering the UK government’s commitment to cut emissions by 45% from 2019 to 2030 using today’s technologies.</w:t>
      </w:r>
    </w:p>
    <w:p w14:paraId="0A605183"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Almashhadani, M. and Almashhadani, H.A. (2023). The influence of technological capacity and financial capacity on promoting firm competitiveness and firm performance. </w:t>
      </w:r>
      <w:r w:rsidRPr="004378DE">
        <w:rPr>
          <w:i/>
          <w:iCs/>
          <w:color w:val="222222"/>
          <w:shd w:val="clear" w:color="auto" w:fill="FFFFFF"/>
        </w:rPr>
        <w:t>Journal of Humanities, Social Sciences and Business</w:t>
      </w:r>
      <w:r w:rsidRPr="004378DE">
        <w:rPr>
          <w:color w:val="222222"/>
          <w:shd w:val="clear" w:color="auto" w:fill="FFFFFF"/>
        </w:rPr>
        <w:t>, </w:t>
      </w:r>
      <w:r w:rsidRPr="004378DE">
        <w:rPr>
          <w:i/>
          <w:iCs/>
          <w:color w:val="222222"/>
          <w:shd w:val="clear" w:color="auto" w:fill="FFFFFF"/>
        </w:rPr>
        <w:t>3</w:t>
      </w:r>
      <w:r w:rsidRPr="004378DE">
        <w:rPr>
          <w:color w:val="222222"/>
          <w:shd w:val="clear" w:color="auto" w:fill="FFFFFF"/>
        </w:rPr>
        <w:t>(1), pp.125-141.</w:t>
      </w:r>
    </w:p>
    <w:p w14:paraId="2C23D1F4"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Azungah, T. (2018). Qualitative research: deductive and inductive approaches to data analysis. </w:t>
      </w:r>
      <w:r w:rsidRPr="008A37F9">
        <w:rPr>
          <w:rFonts w:cs="Times New Roman"/>
          <w:i/>
          <w:iCs/>
          <w:color w:val="222222"/>
          <w:szCs w:val="24"/>
          <w:shd w:val="clear" w:color="auto" w:fill="FFFFFF"/>
        </w:rPr>
        <w:t>Qualitative research journal</w:t>
      </w:r>
      <w:r w:rsidRPr="008A37F9">
        <w:rPr>
          <w:rFonts w:cs="Times New Roman"/>
          <w:color w:val="222222"/>
          <w:szCs w:val="24"/>
          <w:shd w:val="clear" w:color="auto" w:fill="FFFFFF"/>
        </w:rPr>
        <w:t>, </w:t>
      </w:r>
      <w:r w:rsidRPr="008A37F9">
        <w:rPr>
          <w:rFonts w:cs="Times New Roman"/>
          <w:i/>
          <w:iCs/>
          <w:color w:val="222222"/>
          <w:szCs w:val="24"/>
          <w:shd w:val="clear" w:color="auto" w:fill="FFFFFF"/>
        </w:rPr>
        <w:t>18</w:t>
      </w:r>
      <w:r w:rsidRPr="008A37F9">
        <w:rPr>
          <w:rFonts w:cs="Times New Roman"/>
          <w:color w:val="222222"/>
          <w:szCs w:val="24"/>
          <w:shd w:val="clear" w:color="auto" w:fill="FFFFFF"/>
        </w:rPr>
        <w:t>(4), pp.383-400.</w:t>
      </w:r>
    </w:p>
    <w:p w14:paraId="753A3C6D" w14:textId="77777777" w:rsidR="008A37F9" w:rsidRPr="004378DE" w:rsidRDefault="008A37F9" w:rsidP="004378DE">
      <w:pPr>
        <w:ind w:left="720" w:hanging="720"/>
        <w:rPr>
          <w:rFonts w:cs="Times New Roman"/>
          <w:szCs w:val="24"/>
        </w:rPr>
      </w:pPr>
      <w:r w:rsidRPr="004378DE">
        <w:rPr>
          <w:rFonts w:cs="Times New Roman"/>
          <w:szCs w:val="24"/>
        </w:rPr>
        <w:t xml:space="preserve">Bloomfield, J. and Fisher, M. (2019) 'Quantitative research design,' </w:t>
      </w:r>
      <w:r w:rsidRPr="004378DE">
        <w:rPr>
          <w:rFonts w:cs="Times New Roman"/>
          <w:i/>
          <w:iCs/>
          <w:szCs w:val="24"/>
        </w:rPr>
        <w:t>Journal of the Australasian Rehabilitation Nurses Association</w:t>
      </w:r>
      <w:r w:rsidRPr="004378DE">
        <w:rPr>
          <w:rFonts w:cs="Times New Roman"/>
          <w:szCs w:val="24"/>
        </w:rPr>
        <w:t xml:space="preserve">, </w:t>
      </w:r>
      <w:r w:rsidRPr="004378DE">
        <w:rPr>
          <w:rFonts w:cs="Times New Roman"/>
          <w:i/>
          <w:iCs/>
          <w:szCs w:val="24"/>
        </w:rPr>
        <w:t>22</w:t>
      </w:r>
      <w:r w:rsidRPr="004378DE">
        <w:rPr>
          <w:rFonts w:cs="Times New Roman"/>
          <w:szCs w:val="24"/>
        </w:rPr>
        <w:t xml:space="preserve">(2), pp. 27–30. </w:t>
      </w:r>
      <w:hyperlink r:id="rId11" w:history="1">
        <w:r w:rsidRPr="004378DE">
          <w:rPr>
            <w:rStyle w:val="Hyperlink"/>
            <w:rFonts w:cs="Times New Roman"/>
            <w:szCs w:val="24"/>
          </w:rPr>
          <w:t>https://doi.org/10.33235/jarna.22.2.27-30</w:t>
        </w:r>
      </w:hyperlink>
      <w:r w:rsidRPr="004378DE">
        <w:rPr>
          <w:rFonts w:cs="Times New Roman"/>
          <w:szCs w:val="24"/>
        </w:rPr>
        <w:t xml:space="preserve">. </w:t>
      </w:r>
    </w:p>
    <w:p w14:paraId="562D2A0B" w14:textId="77777777" w:rsidR="008A37F9" w:rsidRPr="004378DE" w:rsidRDefault="008A37F9" w:rsidP="004378DE">
      <w:pPr>
        <w:ind w:left="720" w:hanging="720"/>
        <w:rPr>
          <w:rFonts w:cs="Times New Roman"/>
          <w:szCs w:val="24"/>
        </w:rPr>
      </w:pPr>
      <w:r w:rsidRPr="004378DE">
        <w:rPr>
          <w:rFonts w:cs="Times New Roman"/>
          <w:szCs w:val="24"/>
        </w:rPr>
        <w:t xml:space="preserve">Brace, I. (2018). Questionnaire design: How to plan, structure and write survey material for effective market research. Kogan Page Publishers. </w:t>
      </w:r>
    </w:p>
    <w:p w14:paraId="1DB2B8FF"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Brooks, J., Reed, D.M. and Savage, B. (2016, June). Taking off with a pilot: The importance of testing research instruments. In </w:t>
      </w:r>
      <w:r w:rsidRPr="008A37F9">
        <w:rPr>
          <w:rFonts w:cs="Times New Roman"/>
          <w:i/>
          <w:iCs/>
          <w:color w:val="222222"/>
          <w:szCs w:val="24"/>
          <w:shd w:val="clear" w:color="auto" w:fill="FFFFFF"/>
        </w:rPr>
        <w:t>ECRM2016-Proceedings of the 15th European Conference on Research Methodology for Business Management": ECRM2016. Academic Conferences and publishing limited</w:t>
      </w:r>
      <w:r w:rsidRPr="008A37F9">
        <w:rPr>
          <w:rFonts w:cs="Times New Roman"/>
          <w:color w:val="222222"/>
          <w:szCs w:val="24"/>
          <w:shd w:val="clear" w:color="auto" w:fill="FFFFFF"/>
        </w:rPr>
        <w:t> (pp. 51-59).</w:t>
      </w:r>
    </w:p>
    <w:p w14:paraId="6C6FCFAC" w14:textId="77777777" w:rsidR="008A37F9" w:rsidRPr="004378DE" w:rsidRDefault="008A37F9" w:rsidP="004378DE">
      <w:pPr>
        <w:ind w:left="720" w:hanging="720"/>
        <w:rPr>
          <w:rFonts w:cs="Times New Roman"/>
          <w:szCs w:val="24"/>
        </w:rPr>
      </w:pPr>
      <w:r w:rsidRPr="004378DE">
        <w:rPr>
          <w:rFonts w:cs="Times New Roman"/>
          <w:szCs w:val="24"/>
        </w:rPr>
        <w:t xml:space="preserve">Bryman, A., Bell, E. and Harley, B. (2019) </w:t>
      </w:r>
      <w:r w:rsidRPr="004378DE">
        <w:rPr>
          <w:rFonts w:cs="Times New Roman"/>
          <w:i/>
          <w:iCs/>
          <w:szCs w:val="24"/>
        </w:rPr>
        <w:t>Business research methods</w:t>
      </w:r>
      <w:r w:rsidRPr="004378DE">
        <w:rPr>
          <w:rFonts w:cs="Times New Roman"/>
          <w:szCs w:val="24"/>
        </w:rPr>
        <w:t xml:space="preserve">. 5th ed. Oxford: Oxford University Press. </w:t>
      </w:r>
    </w:p>
    <w:p w14:paraId="187EECCD" w14:textId="77777777" w:rsidR="008A37F9" w:rsidRPr="004378DE" w:rsidRDefault="008A37F9" w:rsidP="004378DE">
      <w:pPr>
        <w:pStyle w:val="NormalWeb"/>
        <w:spacing w:before="0" w:beforeAutospacing="0" w:after="0" w:afterAutospacing="0" w:line="360" w:lineRule="auto"/>
        <w:ind w:left="720" w:hanging="720"/>
        <w:jc w:val="both"/>
      </w:pPr>
      <w:bookmarkStart w:id="87" w:name="_Hlk226288157"/>
      <w:r w:rsidRPr="004378DE">
        <w:lastRenderedPageBreak/>
        <w:t>Budnitz, H., Toon Meelen and Schwanen</w:t>
      </w:r>
      <w:bookmarkEnd w:id="87"/>
      <w:r w:rsidRPr="004378DE">
        <w:t xml:space="preserve">, T. (2024). Electric vehicle adoption intentions among UK residents parking in shared and public spaces. </w:t>
      </w:r>
      <w:r w:rsidRPr="004378DE">
        <w:rPr>
          <w:i/>
          <w:iCs/>
        </w:rPr>
        <w:t>Transportation</w:t>
      </w:r>
      <w:r w:rsidRPr="004378DE">
        <w:t xml:space="preserve">. </w:t>
      </w:r>
      <w:hyperlink r:id="rId12" w:history="1">
        <w:r w:rsidRPr="004378DE">
          <w:rPr>
            <w:rStyle w:val="Hyperlink"/>
            <w:rFonts w:eastAsiaTheme="majorEastAsia"/>
          </w:rPr>
          <w:t>https://doi.org/10.1007/s11116-024-10518-0</w:t>
        </w:r>
      </w:hyperlink>
      <w:r w:rsidRPr="004378DE">
        <w:t>.</w:t>
      </w:r>
    </w:p>
    <w:p w14:paraId="584F3CED" w14:textId="77777777" w:rsidR="008A37F9" w:rsidRPr="004378DE" w:rsidRDefault="008A37F9" w:rsidP="004378DE">
      <w:pPr>
        <w:pStyle w:val="NormalWeb"/>
        <w:spacing w:before="0" w:beforeAutospacing="0" w:after="0" w:afterAutospacing="0" w:line="360" w:lineRule="auto"/>
        <w:ind w:left="720" w:hanging="720"/>
        <w:jc w:val="both"/>
      </w:pPr>
      <w:bookmarkStart w:id="88" w:name="_Hlk226288110"/>
      <w:r w:rsidRPr="004378DE">
        <w:t>Burra, L.T., Al-Khasawneh, M.B. and Cirillo</w:t>
      </w:r>
      <w:bookmarkEnd w:id="88"/>
      <w:r w:rsidRPr="004378DE">
        <w:t xml:space="preserve">, C. (2024). Impact of charging infrastructure on electric vehicle adoption: A synthetic population approach. </w:t>
      </w:r>
      <w:r w:rsidRPr="004378DE">
        <w:rPr>
          <w:i/>
          <w:iCs/>
        </w:rPr>
        <w:t>Travel Behaviour and Society</w:t>
      </w:r>
      <w:r w:rsidRPr="004378DE">
        <w:t xml:space="preserve">, 37, pp.100834–100834. </w:t>
      </w:r>
      <w:hyperlink r:id="rId13" w:history="1">
        <w:r w:rsidRPr="004378DE">
          <w:rPr>
            <w:rStyle w:val="Hyperlink"/>
            <w:rFonts w:eastAsiaTheme="majorEastAsia"/>
          </w:rPr>
          <w:t>https://doi.org/10.1016/j.tbs.2024.100834</w:t>
        </w:r>
      </w:hyperlink>
      <w:r w:rsidRPr="004378DE">
        <w:t>.</w:t>
      </w:r>
    </w:p>
    <w:p w14:paraId="72E142BC"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Carlier, M. (2024). </w:t>
      </w:r>
      <w:r w:rsidRPr="004378DE">
        <w:rPr>
          <w:i/>
          <w:iCs/>
        </w:rPr>
        <w:t>Topic: Electric Vehicle Market in the United Kingdom</w:t>
      </w:r>
      <w:r w:rsidRPr="004378DE">
        <w:t xml:space="preserve">. [online] Statista. Available at: </w:t>
      </w:r>
      <w:hyperlink r:id="rId14" w:anchor="topicOverview" w:history="1">
        <w:r w:rsidRPr="004378DE">
          <w:rPr>
            <w:rStyle w:val="Hyperlink"/>
            <w:rFonts w:eastAsiaTheme="majorEastAsia"/>
          </w:rPr>
          <w:t>https://www.statista.com/topics/2298/the-uk-electric-vehicle-industry/#topicOverview</w:t>
        </w:r>
      </w:hyperlink>
      <w:r w:rsidRPr="004378DE">
        <w:t>.</w:t>
      </w:r>
    </w:p>
    <w:p w14:paraId="46CA230D"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Chen, T. and Eisenberg, M.L. (2020). Challenges in survey-based research. </w:t>
      </w:r>
      <w:r w:rsidRPr="008A37F9">
        <w:rPr>
          <w:rFonts w:cs="Times New Roman"/>
          <w:i/>
          <w:iCs/>
          <w:color w:val="222222"/>
          <w:szCs w:val="24"/>
          <w:shd w:val="clear" w:color="auto" w:fill="FFFFFF"/>
        </w:rPr>
        <w:t>The Journal of Sexual Medicine</w:t>
      </w:r>
      <w:r w:rsidRPr="008A37F9">
        <w:rPr>
          <w:rFonts w:cs="Times New Roman"/>
          <w:color w:val="222222"/>
          <w:szCs w:val="24"/>
          <w:shd w:val="clear" w:color="auto" w:fill="FFFFFF"/>
        </w:rPr>
        <w:t>, </w:t>
      </w:r>
      <w:r w:rsidRPr="008A37F9">
        <w:rPr>
          <w:rFonts w:cs="Times New Roman"/>
          <w:i/>
          <w:iCs/>
          <w:color w:val="222222"/>
          <w:szCs w:val="24"/>
          <w:shd w:val="clear" w:color="auto" w:fill="FFFFFF"/>
        </w:rPr>
        <w:t>17</w:t>
      </w:r>
      <w:r w:rsidRPr="008A37F9">
        <w:rPr>
          <w:rFonts w:cs="Times New Roman"/>
          <w:color w:val="222222"/>
          <w:szCs w:val="24"/>
          <w:shd w:val="clear" w:color="auto" w:fill="FFFFFF"/>
        </w:rPr>
        <w:t>(11), pp.2115-2117.</w:t>
      </w:r>
    </w:p>
    <w:p w14:paraId="53AF9432"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Chen, T., Zhang, X.-P., Wang, J., Li, J., Wu, C., Hu, M. and Bian, H. (2020). A Review on Electric Vehicle Charging Infrastructure Development in the UK. </w:t>
      </w:r>
      <w:r w:rsidRPr="004378DE">
        <w:rPr>
          <w:i/>
          <w:iCs/>
        </w:rPr>
        <w:t>Journal of Modern Power Systems and Clean Energy</w:t>
      </w:r>
      <w:r w:rsidRPr="004378DE">
        <w:t xml:space="preserve">, [online] 8(2), pp.193–205. </w:t>
      </w:r>
      <w:hyperlink r:id="rId15" w:history="1">
        <w:r w:rsidRPr="004378DE">
          <w:rPr>
            <w:rStyle w:val="Hyperlink"/>
            <w:rFonts w:eastAsiaTheme="majorEastAsia"/>
          </w:rPr>
          <w:t>https://doi.org/10.35833/mpce.2018.000374</w:t>
        </w:r>
      </w:hyperlink>
      <w:r w:rsidRPr="004378DE">
        <w:t>.</w:t>
      </w:r>
    </w:p>
    <w:p w14:paraId="11D52047" w14:textId="77777777" w:rsidR="008A37F9" w:rsidRPr="004378DE" w:rsidRDefault="008A37F9" w:rsidP="004378DE">
      <w:pPr>
        <w:pStyle w:val="NormalWeb"/>
        <w:spacing w:before="0" w:beforeAutospacing="0" w:after="0" w:afterAutospacing="0" w:line="360" w:lineRule="auto"/>
        <w:ind w:left="720" w:hanging="720"/>
        <w:jc w:val="both"/>
      </w:pPr>
      <w:bookmarkStart w:id="89" w:name="_Hlk226285959"/>
      <w:r w:rsidRPr="004378DE">
        <w:rPr>
          <w:color w:val="222222"/>
          <w:shd w:val="clear" w:color="auto" w:fill="FFFFFF"/>
        </w:rPr>
        <w:t>Chonsalasin</w:t>
      </w:r>
      <w:bookmarkEnd w:id="89"/>
      <w:r w:rsidRPr="004378DE">
        <w:rPr>
          <w:color w:val="222222"/>
          <w:shd w:val="clear" w:color="auto" w:fill="FFFFFF"/>
        </w:rPr>
        <w:t>, D., Champahom, T., Jomnonkwao, S., Karoonsoontawong, A., Runkawee, N. and Ratanavaraha, V. (2024). Exploring the influence of Thai government policy perceptions on electric vehicle adoption: A measurement model and empirical analysis. </w:t>
      </w:r>
      <w:r w:rsidRPr="004378DE">
        <w:rPr>
          <w:i/>
          <w:iCs/>
          <w:color w:val="222222"/>
          <w:shd w:val="clear" w:color="auto" w:fill="FFFFFF"/>
        </w:rPr>
        <w:t>Smart Cities</w:t>
      </w:r>
      <w:r w:rsidRPr="004378DE">
        <w:rPr>
          <w:color w:val="222222"/>
          <w:shd w:val="clear" w:color="auto" w:fill="FFFFFF"/>
        </w:rPr>
        <w:t>, </w:t>
      </w:r>
      <w:r w:rsidRPr="004378DE">
        <w:rPr>
          <w:i/>
          <w:iCs/>
          <w:color w:val="222222"/>
          <w:shd w:val="clear" w:color="auto" w:fill="FFFFFF"/>
        </w:rPr>
        <w:t>7</w:t>
      </w:r>
      <w:r w:rsidRPr="004378DE">
        <w:rPr>
          <w:color w:val="222222"/>
          <w:shd w:val="clear" w:color="auto" w:fill="FFFFFF"/>
        </w:rPr>
        <w:t>(4), pp.2258-2282.</w:t>
      </w:r>
    </w:p>
    <w:p w14:paraId="3843FCAA" w14:textId="77777777" w:rsidR="008A37F9" w:rsidRPr="004378DE" w:rsidRDefault="008A37F9" w:rsidP="004378DE">
      <w:pPr>
        <w:pStyle w:val="NormalWeb"/>
        <w:spacing w:before="0" w:beforeAutospacing="0" w:after="0" w:afterAutospacing="0" w:line="360" w:lineRule="auto"/>
        <w:ind w:left="720" w:hanging="720"/>
        <w:jc w:val="both"/>
      </w:pPr>
      <w:bookmarkStart w:id="90" w:name="_Hlk226286003"/>
      <w:r w:rsidRPr="004378DE">
        <w:rPr>
          <w:color w:val="222222"/>
          <w:shd w:val="clear" w:color="auto" w:fill="FFFFFF"/>
        </w:rPr>
        <w:t>Christianto, D. and Lahindah</w:t>
      </w:r>
      <w:bookmarkEnd w:id="90"/>
      <w:r w:rsidRPr="004378DE">
        <w:rPr>
          <w:color w:val="222222"/>
          <w:shd w:val="clear" w:color="auto" w:fill="FFFFFF"/>
        </w:rPr>
        <w:t>, L. (2025). Analysis of the influence of perceived usefulness, perceived ease of use, attitude, subjective norm, perceived behavioral control and price sensivity purchase intention of consumers on two-wheeled electric vehicles. </w:t>
      </w:r>
      <w:r w:rsidRPr="004378DE">
        <w:rPr>
          <w:i/>
          <w:iCs/>
          <w:color w:val="222222"/>
          <w:shd w:val="clear" w:color="auto" w:fill="FFFFFF"/>
        </w:rPr>
        <w:t>American Journal of Economic and Management Business (AJEMB)</w:t>
      </w:r>
      <w:r w:rsidRPr="004378DE">
        <w:rPr>
          <w:color w:val="222222"/>
          <w:shd w:val="clear" w:color="auto" w:fill="FFFFFF"/>
        </w:rPr>
        <w:t>, </w:t>
      </w:r>
      <w:r w:rsidRPr="004378DE">
        <w:rPr>
          <w:i/>
          <w:iCs/>
          <w:color w:val="222222"/>
          <w:shd w:val="clear" w:color="auto" w:fill="FFFFFF"/>
        </w:rPr>
        <w:t>4</w:t>
      </w:r>
      <w:r w:rsidRPr="004378DE">
        <w:rPr>
          <w:color w:val="222222"/>
          <w:shd w:val="clear" w:color="auto" w:fill="FFFFFF"/>
        </w:rPr>
        <w:t>(8), pp.1243-1258.</w:t>
      </w:r>
    </w:p>
    <w:p w14:paraId="2340DA6E" w14:textId="77777777" w:rsidR="008A37F9" w:rsidRPr="004378DE" w:rsidRDefault="008A37F9" w:rsidP="004378DE">
      <w:pPr>
        <w:ind w:left="720" w:hanging="720"/>
        <w:rPr>
          <w:rFonts w:cs="Times New Roman"/>
          <w:szCs w:val="24"/>
        </w:rPr>
      </w:pPr>
      <w:r w:rsidRPr="004378DE">
        <w:rPr>
          <w:rFonts w:cs="Times New Roman"/>
          <w:szCs w:val="24"/>
        </w:rPr>
        <w:t xml:space="preserve">Collis, J. and Hussey, R. (2013). Business Research : a Practical Guide for Undergraduate and Postgraduate Students. 4th ed. [online] </w:t>
      </w:r>
      <w:r w:rsidRPr="004378DE">
        <w:rPr>
          <w:rFonts w:cs="Times New Roman"/>
          <w:i/>
          <w:iCs/>
          <w:szCs w:val="24"/>
        </w:rPr>
        <w:t>Macmillan Education UK,</w:t>
      </w:r>
      <w:r w:rsidRPr="004378DE">
        <w:rPr>
          <w:rFonts w:cs="Times New Roman"/>
          <w:szCs w:val="24"/>
        </w:rPr>
        <w:t xml:space="preserve"> 42–115.</w:t>
      </w:r>
    </w:p>
    <w:p w14:paraId="0A086B2E"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Czarnota-Bojarska, J. (2021). The ethics of organizational research: Methodological considerations for ensuring respondents’ anonymity and confidentiality. </w:t>
      </w:r>
      <w:r w:rsidRPr="008A37F9">
        <w:rPr>
          <w:rFonts w:cs="Times New Roman"/>
          <w:i/>
          <w:iCs/>
          <w:color w:val="222222"/>
          <w:szCs w:val="24"/>
          <w:shd w:val="clear" w:color="auto" w:fill="FFFFFF"/>
        </w:rPr>
        <w:t>EWOP in Practice</w:t>
      </w:r>
      <w:r w:rsidRPr="008A37F9">
        <w:rPr>
          <w:rFonts w:cs="Times New Roman"/>
          <w:color w:val="222222"/>
          <w:szCs w:val="24"/>
          <w:shd w:val="clear" w:color="auto" w:fill="FFFFFF"/>
        </w:rPr>
        <w:t>, </w:t>
      </w:r>
      <w:r w:rsidRPr="008A37F9">
        <w:rPr>
          <w:rFonts w:cs="Times New Roman"/>
          <w:i/>
          <w:iCs/>
          <w:color w:val="222222"/>
          <w:szCs w:val="24"/>
          <w:shd w:val="clear" w:color="auto" w:fill="FFFFFF"/>
        </w:rPr>
        <w:t>15</w:t>
      </w:r>
      <w:r w:rsidRPr="008A37F9">
        <w:rPr>
          <w:rFonts w:cs="Times New Roman"/>
          <w:color w:val="222222"/>
          <w:szCs w:val="24"/>
          <w:shd w:val="clear" w:color="auto" w:fill="FFFFFF"/>
        </w:rPr>
        <w:t>(1).</w:t>
      </w:r>
    </w:p>
    <w:p w14:paraId="0004868D" w14:textId="77777777" w:rsidR="008A37F9" w:rsidRPr="004378DE" w:rsidRDefault="008A37F9" w:rsidP="004378DE">
      <w:pPr>
        <w:pStyle w:val="NormalWeb"/>
        <w:spacing w:before="0" w:beforeAutospacing="0" w:after="0" w:afterAutospacing="0" w:line="360" w:lineRule="auto"/>
        <w:ind w:left="720" w:hanging="720"/>
        <w:jc w:val="both"/>
      </w:pPr>
      <w:bookmarkStart w:id="91" w:name="_Hlk226285914"/>
      <w:r w:rsidRPr="004378DE">
        <w:rPr>
          <w:color w:val="222222"/>
          <w:shd w:val="clear" w:color="auto" w:fill="FFFFFF"/>
        </w:rPr>
        <w:t>Davis, F.D., Granić, A. and Marangunić, N. (2024)</w:t>
      </w:r>
      <w:bookmarkEnd w:id="91"/>
      <w:r w:rsidRPr="004378DE">
        <w:rPr>
          <w:color w:val="222222"/>
          <w:shd w:val="clear" w:color="auto" w:fill="FFFFFF"/>
        </w:rPr>
        <w:t>. </w:t>
      </w:r>
      <w:r w:rsidRPr="004378DE">
        <w:rPr>
          <w:i/>
          <w:iCs/>
          <w:color w:val="222222"/>
          <w:shd w:val="clear" w:color="auto" w:fill="FFFFFF"/>
        </w:rPr>
        <w:t>The technology acceptance model: 30 years of TAM</w:t>
      </w:r>
      <w:r w:rsidRPr="004378DE">
        <w:rPr>
          <w:color w:val="222222"/>
          <w:shd w:val="clear" w:color="auto" w:fill="FFFFFF"/>
        </w:rPr>
        <w:t> (pp. 20-54). Switzerland: Springer International Publishing AG.</w:t>
      </w:r>
    </w:p>
    <w:p w14:paraId="48AA8399" w14:textId="77777777" w:rsidR="008A37F9" w:rsidRPr="004378DE" w:rsidRDefault="008A37F9" w:rsidP="004378DE">
      <w:pPr>
        <w:pStyle w:val="NormalWeb"/>
        <w:spacing w:before="0" w:beforeAutospacing="0" w:after="0" w:afterAutospacing="0" w:line="360" w:lineRule="auto"/>
        <w:ind w:left="720" w:hanging="720"/>
        <w:jc w:val="both"/>
      </w:pPr>
      <w:r w:rsidRPr="004378DE">
        <w:rPr>
          <w:color w:val="222222"/>
          <w:shd w:val="clear" w:color="auto" w:fill="FFFFFF"/>
        </w:rPr>
        <w:lastRenderedPageBreak/>
        <w:t>Dearing, J.W. and Cox, J.G. (2018). Diffusion of innovations theory, principles, and practice. </w:t>
      </w:r>
      <w:r w:rsidRPr="004378DE">
        <w:rPr>
          <w:i/>
          <w:iCs/>
          <w:color w:val="222222"/>
          <w:shd w:val="clear" w:color="auto" w:fill="FFFFFF"/>
        </w:rPr>
        <w:t>Health affairs</w:t>
      </w:r>
      <w:r w:rsidRPr="004378DE">
        <w:rPr>
          <w:color w:val="222222"/>
          <w:shd w:val="clear" w:color="auto" w:fill="FFFFFF"/>
        </w:rPr>
        <w:t>, </w:t>
      </w:r>
      <w:r w:rsidRPr="004378DE">
        <w:rPr>
          <w:i/>
          <w:iCs/>
          <w:color w:val="222222"/>
          <w:shd w:val="clear" w:color="auto" w:fill="FFFFFF"/>
        </w:rPr>
        <w:t>37</w:t>
      </w:r>
      <w:r w:rsidRPr="004378DE">
        <w:rPr>
          <w:color w:val="222222"/>
          <w:shd w:val="clear" w:color="auto" w:fill="FFFFFF"/>
        </w:rPr>
        <w:t>(2), pp.183-190.</w:t>
      </w:r>
    </w:p>
    <w:p w14:paraId="50875D26" w14:textId="77777777" w:rsidR="008A37F9" w:rsidRPr="004378DE" w:rsidRDefault="008A37F9" w:rsidP="004378DE">
      <w:pPr>
        <w:ind w:left="720" w:hanging="720"/>
        <w:rPr>
          <w:rFonts w:cs="Times New Roman"/>
          <w:szCs w:val="24"/>
        </w:rPr>
      </w:pPr>
      <w:r w:rsidRPr="004378DE">
        <w:rPr>
          <w:rFonts w:cs="Times New Roman"/>
          <w:szCs w:val="24"/>
        </w:rPr>
        <w:t>Dubey, U.K.B. and Kothari, D.P. (2022). Research Methodology : Techniques and Trends. 1st ed. [online] CRC Press LLC, 13–31.</w:t>
      </w:r>
    </w:p>
    <w:p w14:paraId="740D56F7" w14:textId="77777777" w:rsidR="008A37F9" w:rsidRPr="004378DE" w:rsidRDefault="008A37F9" w:rsidP="004378DE">
      <w:pPr>
        <w:ind w:left="720" w:hanging="720"/>
        <w:rPr>
          <w:rFonts w:cs="Times New Roman"/>
          <w:szCs w:val="24"/>
        </w:rPr>
      </w:pPr>
      <w:r w:rsidRPr="004378DE">
        <w:rPr>
          <w:rFonts w:cs="Times New Roman"/>
          <w:szCs w:val="24"/>
        </w:rPr>
        <w:t xml:space="preserve">Eden, L., Nielsen, B.B. and Verbeke, A. (2020). </w:t>
      </w:r>
      <w:r w:rsidRPr="004378DE">
        <w:rPr>
          <w:rFonts w:cs="Times New Roman"/>
          <w:i/>
          <w:iCs/>
          <w:szCs w:val="24"/>
        </w:rPr>
        <w:t>Research methods in international business</w:t>
      </w:r>
      <w:r w:rsidRPr="004378DE">
        <w:rPr>
          <w:rFonts w:cs="Times New Roman"/>
          <w:szCs w:val="24"/>
        </w:rPr>
        <w:t xml:space="preserve">. Palgrave Macmillan. </w:t>
      </w:r>
    </w:p>
    <w:p w14:paraId="3ECE2B9B" w14:textId="77777777" w:rsidR="008A37F9" w:rsidRPr="004378DE" w:rsidRDefault="008A37F9" w:rsidP="004378DE">
      <w:pPr>
        <w:pStyle w:val="NormalWeb"/>
        <w:spacing w:before="0" w:beforeAutospacing="0" w:after="0" w:afterAutospacing="0" w:line="360" w:lineRule="auto"/>
        <w:ind w:left="720" w:hanging="720"/>
        <w:jc w:val="both"/>
      </w:pPr>
      <w:bookmarkStart w:id="92" w:name="_Hlk226286062"/>
      <w:r w:rsidRPr="004378DE">
        <w:rPr>
          <w:color w:val="222222"/>
          <w:shd w:val="clear" w:color="auto" w:fill="FFFFFF"/>
        </w:rPr>
        <w:t>Fathema, N., Shannon, D. and Ross, M. (2015)</w:t>
      </w:r>
      <w:bookmarkEnd w:id="92"/>
      <w:r w:rsidRPr="004378DE">
        <w:rPr>
          <w:color w:val="222222"/>
          <w:shd w:val="clear" w:color="auto" w:fill="FFFFFF"/>
        </w:rPr>
        <w:t>. Expanding the Technology Acceptance Model (TAM) to examine faculty use of Learning Management Systems (LMSs) in higher education institutions. </w:t>
      </w:r>
      <w:r w:rsidRPr="004378DE">
        <w:rPr>
          <w:i/>
          <w:iCs/>
          <w:color w:val="222222"/>
          <w:shd w:val="clear" w:color="auto" w:fill="FFFFFF"/>
        </w:rPr>
        <w:t>Journal of online learning &amp; teaching</w:t>
      </w:r>
      <w:r w:rsidRPr="004378DE">
        <w:rPr>
          <w:color w:val="222222"/>
          <w:shd w:val="clear" w:color="auto" w:fill="FFFFFF"/>
        </w:rPr>
        <w:t>, </w:t>
      </w:r>
      <w:r w:rsidRPr="004378DE">
        <w:rPr>
          <w:i/>
          <w:iCs/>
          <w:color w:val="222222"/>
          <w:shd w:val="clear" w:color="auto" w:fill="FFFFFF"/>
        </w:rPr>
        <w:t>11</w:t>
      </w:r>
      <w:r w:rsidRPr="004378DE">
        <w:rPr>
          <w:color w:val="222222"/>
          <w:shd w:val="clear" w:color="auto" w:fill="FFFFFF"/>
        </w:rPr>
        <w:t>(2).</w:t>
      </w:r>
    </w:p>
    <w:p w14:paraId="066BA61D" w14:textId="77777777" w:rsidR="008A37F9" w:rsidRPr="00325B66" w:rsidRDefault="008A37F9" w:rsidP="00325B66">
      <w:pPr>
        <w:pStyle w:val="NormalWeb"/>
        <w:spacing w:before="0" w:beforeAutospacing="0" w:after="0" w:afterAutospacing="0" w:line="360" w:lineRule="auto"/>
        <w:ind w:left="720" w:hanging="720"/>
        <w:rPr>
          <w:sz w:val="32"/>
          <w:szCs w:val="32"/>
        </w:rPr>
      </w:pPr>
      <w:r w:rsidRPr="00325B66">
        <w:rPr>
          <w:color w:val="222222"/>
          <w:shd w:val="clear" w:color="auto" w:fill="FFFFFF"/>
        </w:rPr>
        <w:t>Fleming, K.L. (2018). Social equity considerations in the new age of transportation: Electric, automated, and shared mobility. </w:t>
      </w:r>
      <w:r w:rsidRPr="00325B66">
        <w:rPr>
          <w:i/>
          <w:iCs/>
          <w:color w:val="222222"/>
          <w:shd w:val="clear" w:color="auto" w:fill="FFFFFF"/>
        </w:rPr>
        <w:t>Journal of Science Policy &amp; Governance</w:t>
      </w:r>
      <w:r w:rsidRPr="00325B66">
        <w:rPr>
          <w:color w:val="222222"/>
          <w:shd w:val="clear" w:color="auto" w:fill="FFFFFF"/>
        </w:rPr>
        <w:t>, </w:t>
      </w:r>
      <w:r w:rsidRPr="00325B66">
        <w:rPr>
          <w:i/>
          <w:iCs/>
          <w:color w:val="222222"/>
          <w:shd w:val="clear" w:color="auto" w:fill="FFFFFF"/>
        </w:rPr>
        <w:t>13</w:t>
      </w:r>
      <w:r w:rsidRPr="00325B66">
        <w:rPr>
          <w:color w:val="222222"/>
          <w:shd w:val="clear" w:color="auto" w:fill="FFFFFF"/>
        </w:rPr>
        <w:t>(1), p.20.</w:t>
      </w:r>
    </w:p>
    <w:p w14:paraId="6AD060FA" w14:textId="77777777" w:rsidR="008A37F9" w:rsidRPr="004378DE" w:rsidRDefault="008A37F9" w:rsidP="004378DE">
      <w:pPr>
        <w:ind w:left="720" w:hanging="720"/>
        <w:rPr>
          <w:rFonts w:cs="Times New Roman"/>
          <w:szCs w:val="24"/>
        </w:rPr>
      </w:pPr>
      <w:r w:rsidRPr="004378DE">
        <w:rPr>
          <w:rFonts w:cs="Times New Roman"/>
          <w:szCs w:val="24"/>
        </w:rPr>
        <w:t xml:space="preserve">Ghanad, A. (2023) 'An overview of quantitative research methods,' </w:t>
      </w:r>
      <w:r w:rsidRPr="004378DE">
        <w:rPr>
          <w:rFonts w:cs="Times New Roman"/>
          <w:i/>
          <w:iCs/>
          <w:szCs w:val="24"/>
        </w:rPr>
        <w:t>INTERNATIONAL JOURNAL OF MULTIDISCIPLINARY RESEARCH AND ANALYSIS</w:t>
      </w:r>
      <w:r w:rsidRPr="004378DE">
        <w:rPr>
          <w:rFonts w:cs="Times New Roman"/>
          <w:szCs w:val="24"/>
        </w:rPr>
        <w:t xml:space="preserve">, 06(08). </w:t>
      </w:r>
      <w:hyperlink r:id="rId16" w:history="1">
        <w:r w:rsidRPr="004378DE">
          <w:rPr>
            <w:rStyle w:val="Hyperlink"/>
            <w:rFonts w:cs="Times New Roman"/>
            <w:szCs w:val="24"/>
          </w:rPr>
          <w:t>https://doi.org/10.47191/ijmra/v6-i8-52</w:t>
        </w:r>
      </w:hyperlink>
      <w:r w:rsidRPr="004378DE">
        <w:rPr>
          <w:rFonts w:cs="Times New Roman"/>
          <w:szCs w:val="24"/>
        </w:rPr>
        <w:t xml:space="preserve">. </w:t>
      </w:r>
    </w:p>
    <w:p w14:paraId="57254ABC" w14:textId="77777777" w:rsidR="008A37F9" w:rsidRPr="004378DE" w:rsidRDefault="008A37F9" w:rsidP="004378DE">
      <w:pPr>
        <w:pStyle w:val="NormalWeb"/>
        <w:spacing w:before="0" w:beforeAutospacing="0" w:after="0" w:afterAutospacing="0" w:line="360" w:lineRule="auto"/>
        <w:ind w:left="720" w:hanging="720"/>
        <w:jc w:val="both"/>
      </w:pPr>
      <w:r w:rsidRPr="004378DE">
        <w:rPr>
          <w:color w:val="222222"/>
          <w:shd w:val="clear" w:color="auto" w:fill="FFFFFF"/>
        </w:rPr>
        <w:t>Ghani, A.A., Abdullah, N., Saidur, R. and Pandey, A.K. (2025). Assessing technological-driven challenges and policies associated with electric vehicle (EV) adoption. </w:t>
      </w:r>
      <w:r w:rsidRPr="004378DE">
        <w:rPr>
          <w:i/>
          <w:iCs/>
          <w:color w:val="222222"/>
          <w:shd w:val="clear" w:color="auto" w:fill="FFFFFF"/>
        </w:rPr>
        <w:t>Transport Policy</w:t>
      </w:r>
      <w:r w:rsidRPr="004378DE">
        <w:rPr>
          <w:color w:val="222222"/>
          <w:shd w:val="clear" w:color="auto" w:fill="FFFFFF"/>
        </w:rPr>
        <w:t>, </w:t>
      </w:r>
      <w:r w:rsidRPr="004378DE">
        <w:rPr>
          <w:i/>
          <w:iCs/>
          <w:color w:val="222222"/>
          <w:shd w:val="clear" w:color="auto" w:fill="FFFFFF"/>
        </w:rPr>
        <w:t>169</w:t>
      </w:r>
      <w:r w:rsidRPr="004378DE">
        <w:rPr>
          <w:color w:val="222222"/>
          <w:shd w:val="clear" w:color="auto" w:fill="FFFFFF"/>
        </w:rPr>
        <w:t>, pp.167-177.</w:t>
      </w:r>
    </w:p>
    <w:p w14:paraId="4CB0E823"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GOV.UK (2023). </w:t>
      </w:r>
      <w:r w:rsidRPr="004378DE">
        <w:rPr>
          <w:i/>
          <w:iCs/>
        </w:rPr>
        <w:t>Government Sets out Path to Zero Emission Vehicles by 2035</w:t>
      </w:r>
      <w:r w:rsidRPr="004378DE">
        <w:t xml:space="preserve">. [online] GOV.UK. Available at: </w:t>
      </w:r>
      <w:hyperlink r:id="rId17" w:history="1">
        <w:r w:rsidRPr="004378DE">
          <w:rPr>
            <w:rStyle w:val="Hyperlink"/>
            <w:rFonts w:eastAsiaTheme="majorEastAsia"/>
          </w:rPr>
          <w:t>https://www.gov.uk/government/news/government-sets-out-path-to-zero-emission-vehicles-by-2035</w:t>
        </w:r>
      </w:hyperlink>
      <w:r w:rsidRPr="004378DE">
        <w:t>.</w:t>
      </w:r>
    </w:p>
    <w:p w14:paraId="39C65863" w14:textId="77777777" w:rsidR="008A37F9" w:rsidRPr="004378DE" w:rsidRDefault="008A37F9" w:rsidP="004378DE">
      <w:pPr>
        <w:ind w:left="720" w:hanging="720"/>
        <w:rPr>
          <w:rFonts w:cs="Times New Roman"/>
          <w:szCs w:val="24"/>
        </w:rPr>
      </w:pPr>
      <w:r w:rsidRPr="004378DE">
        <w:rPr>
          <w:rFonts w:cs="Times New Roman"/>
          <w:szCs w:val="24"/>
        </w:rPr>
        <w:t xml:space="preserve">Gunter, B. (2013) 'The quantitative research process,' in Routledge eBooks, pp. 251–278. </w:t>
      </w:r>
      <w:hyperlink r:id="rId18" w:history="1">
        <w:r w:rsidRPr="004378DE">
          <w:rPr>
            <w:rStyle w:val="Hyperlink"/>
            <w:rFonts w:cs="Times New Roman"/>
            <w:szCs w:val="24"/>
          </w:rPr>
          <w:t>https://doi.org/10.4324/9780203357255-23</w:t>
        </w:r>
      </w:hyperlink>
      <w:r w:rsidRPr="004378DE">
        <w:rPr>
          <w:rFonts w:cs="Times New Roman"/>
          <w:szCs w:val="24"/>
        </w:rPr>
        <w:t xml:space="preserve">. </w:t>
      </w:r>
    </w:p>
    <w:p w14:paraId="0939A75C" w14:textId="77777777" w:rsidR="008A37F9" w:rsidRPr="004378DE" w:rsidRDefault="008A37F9" w:rsidP="004378DE">
      <w:pPr>
        <w:pStyle w:val="NormalWeb"/>
        <w:spacing w:before="0" w:beforeAutospacing="0" w:after="0" w:afterAutospacing="0" w:line="360" w:lineRule="auto"/>
        <w:ind w:left="720" w:hanging="720"/>
        <w:jc w:val="both"/>
      </w:pPr>
      <w:bookmarkStart w:id="93" w:name="_Hlk226288424"/>
      <w:r w:rsidRPr="004378DE">
        <w:rPr>
          <w:color w:val="222222"/>
          <w:shd w:val="clear" w:color="auto" w:fill="FFFFFF"/>
        </w:rPr>
        <w:t>Guo, F., Yang, J. and Lu, J. (2018)</w:t>
      </w:r>
      <w:bookmarkEnd w:id="93"/>
      <w:r w:rsidRPr="004378DE">
        <w:rPr>
          <w:color w:val="222222"/>
          <w:shd w:val="clear" w:color="auto" w:fill="FFFFFF"/>
        </w:rPr>
        <w:t>. The battery charging station location problem: Impact of users’ range anxiety and distance convenience. </w:t>
      </w:r>
      <w:r w:rsidRPr="004378DE">
        <w:rPr>
          <w:i/>
          <w:iCs/>
          <w:color w:val="222222"/>
          <w:shd w:val="clear" w:color="auto" w:fill="FFFFFF"/>
        </w:rPr>
        <w:t>Transportation Research Part E: Logistics and Transportation Review</w:t>
      </w:r>
      <w:r w:rsidRPr="004378DE">
        <w:rPr>
          <w:color w:val="222222"/>
          <w:shd w:val="clear" w:color="auto" w:fill="FFFFFF"/>
        </w:rPr>
        <w:t>, </w:t>
      </w:r>
      <w:r w:rsidRPr="004378DE">
        <w:rPr>
          <w:i/>
          <w:iCs/>
          <w:color w:val="222222"/>
          <w:shd w:val="clear" w:color="auto" w:fill="FFFFFF"/>
        </w:rPr>
        <w:t>114</w:t>
      </w:r>
      <w:r w:rsidRPr="004378DE">
        <w:rPr>
          <w:color w:val="222222"/>
          <w:shd w:val="clear" w:color="auto" w:fill="FFFFFF"/>
        </w:rPr>
        <w:t>, pp.1-18.</w:t>
      </w:r>
    </w:p>
    <w:p w14:paraId="03D61C4A" w14:textId="77777777" w:rsidR="008A37F9" w:rsidRPr="004378DE" w:rsidRDefault="008A37F9" w:rsidP="004378DE">
      <w:pPr>
        <w:pStyle w:val="NormalWeb"/>
        <w:spacing w:before="0" w:beforeAutospacing="0" w:after="0" w:afterAutospacing="0" w:line="360" w:lineRule="auto"/>
        <w:ind w:left="720" w:hanging="720"/>
        <w:jc w:val="both"/>
      </w:pPr>
      <w:bookmarkStart w:id="94" w:name="_Hlk226285724"/>
      <w:r w:rsidRPr="004378DE">
        <w:rPr>
          <w:color w:val="222222"/>
          <w:shd w:val="clear" w:color="auto" w:fill="FFFFFF"/>
        </w:rPr>
        <w:t>Hofkirchner, W. and Schafranek, M. (2011)</w:t>
      </w:r>
      <w:bookmarkEnd w:id="94"/>
      <w:r w:rsidRPr="004378DE">
        <w:rPr>
          <w:color w:val="222222"/>
          <w:shd w:val="clear" w:color="auto" w:fill="FFFFFF"/>
        </w:rPr>
        <w:t>. General system theory. In </w:t>
      </w:r>
      <w:r w:rsidRPr="004378DE">
        <w:rPr>
          <w:i/>
          <w:iCs/>
          <w:color w:val="222222"/>
          <w:shd w:val="clear" w:color="auto" w:fill="FFFFFF"/>
        </w:rPr>
        <w:t>Philosophy of complex systems</w:t>
      </w:r>
      <w:r w:rsidRPr="004378DE">
        <w:rPr>
          <w:color w:val="222222"/>
          <w:shd w:val="clear" w:color="auto" w:fill="FFFFFF"/>
        </w:rPr>
        <w:t> (pp. 177-194). North-Holland.</w:t>
      </w:r>
    </w:p>
    <w:p w14:paraId="4807E846"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Homem de Almeida Rodriguez Correia, G. (2025). Increasing transport sustainability through the integration between power grids and electric mobility systems. </w:t>
      </w:r>
      <w:r w:rsidRPr="004378DE">
        <w:rPr>
          <w:i/>
          <w:iCs/>
          <w:color w:val="222222"/>
          <w:shd w:val="clear" w:color="auto" w:fill="FFFFFF"/>
        </w:rPr>
        <w:t>npj Sustainable Mobility and Transport</w:t>
      </w:r>
      <w:r w:rsidRPr="004378DE">
        <w:rPr>
          <w:color w:val="222222"/>
          <w:shd w:val="clear" w:color="auto" w:fill="FFFFFF"/>
        </w:rPr>
        <w:t>, </w:t>
      </w:r>
      <w:r w:rsidRPr="004378DE">
        <w:rPr>
          <w:i/>
          <w:iCs/>
          <w:color w:val="222222"/>
          <w:shd w:val="clear" w:color="auto" w:fill="FFFFFF"/>
        </w:rPr>
        <w:t>2</w:t>
      </w:r>
      <w:r w:rsidRPr="004378DE">
        <w:rPr>
          <w:color w:val="222222"/>
          <w:shd w:val="clear" w:color="auto" w:fill="FFFFFF"/>
        </w:rPr>
        <w:t>(1), p.17.</w:t>
      </w:r>
    </w:p>
    <w:p w14:paraId="72669167" w14:textId="77777777" w:rsidR="008A37F9" w:rsidRPr="004378DE" w:rsidRDefault="008A37F9" w:rsidP="004378DE">
      <w:pPr>
        <w:pStyle w:val="NormalWeb"/>
        <w:spacing w:before="0" w:beforeAutospacing="0" w:after="0" w:afterAutospacing="0" w:line="360" w:lineRule="auto"/>
        <w:ind w:left="720" w:hanging="720"/>
        <w:jc w:val="both"/>
      </w:pPr>
      <w:r w:rsidRPr="004378DE">
        <w:lastRenderedPageBreak/>
        <w:t xml:space="preserve">Hopkins, E., Potoglou, D., Orford, S. and Cipcigan, L. (2023). Can the equitable roll out of electric vehicle charging infrastructure be achieved? </w:t>
      </w:r>
      <w:r w:rsidRPr="004378DE">
        <w:rPr>
          <w:i/>
          <w:iCs/>
        </w:rPr>
        <w:t>Renewable and Sustainable Energy Reviews</w:t>
      </w:r>
      <w:r w:rsidRPr="004378DE">
        <w:t xml:space="preserve">, 182, pp.113398–113398. </w:t>
      </w:r>
      <w:hyperlink r:id="rId19" w:history="1">
        <w:r w:rsidRPr="004378DE">
          <w:rPr>
            <w:rStyle w:val="Hyperlink"/>
            <w:rFonts w:eastAsiaTheme="majorEastAsia"/>
          </w:rPr>
          <w:t>https://doi.org/10.1016/j.rser.2023.113398</w:t>
        </w:r>
      </w:hyperlink>
      <w:r w:rsidRPr="004378DE">
        <w:t>.</w:t>
      </w:r>
    </w:p>
    <w:p w14:paraId="63E523A9" w14:textId="77777777" w:rsidR="008A37F9" w:rsidRPr="004378DE" w:rsidRDefault="008A37F9" w:rsidP="004378DE">
      <w:pPr>
        <w:pStyle w:val="NormalWeb"/>
        <w:spacing w:before="0" w:beforeAutospacing="0" w:after="0" w:afterAutospacing="0" w:line="360" w:lineRule="auto"/>
        <w:ind w:left="720" w:hanging="720"/>
        <w:jc w:val="both"/>
      </w:pPr>
      <w:bookmarkStart w:id="95" w:name="_Hlk226288261"/>
      <w:r w:rsidRPr="004378DE">
        <w:rPr>
          <w:color w:val="222222"/>
          <w:shd w:val="clear" w:color="auto" w:fill="FFFFFF"/>
        </w:rPr>
        <w:t>Hossain</w:t>
      </w:r>
      <w:bookmarkEnd w:id="95"/>
      <w:r w:rsidRPr="004378DE">
        <w:rPr>
          <w:color w:val="222222"/>
          <w:shd w:val="clear" w:color="auto" w:fill="FFFFFF"/>
        </w:rPr>
        <w:t>, M.S., Kumar, L., Islam, M.M. and Selvaraj, J. (2022). A comprehensive review on the integration of electric vehicles for sustainable development. </w:t>
      </w:r>
      <w:r w:rsidRPr="004378DE">
        <w:rPr>
          <w:i/>
          <w:iCs/>
          <w:color w:val="222222"/>
          <w:shd w:val="clear" w:color="auto" w:fill="FFFFFF"/>
        </w:rPr>
        <w:t>Journal of Advanced Transportation</w:t>
      </w:r>
      <w:r w:rsidRPr="004378DE">
        <w:rPr>
          <w:color w:val="222222"/>
          <w:shd w:val="clear" w:color="auto" w:fill="FFFFFF"/>
        </w:rPr>
        <w:t>, </w:t>
      </w:r>
      <w:r w:rsidRPr="004378DE">
        <w:rPr>
          <w:i/>
          <w:iCs/>
          <w:color w:val="222222"/>
          <w:shd w:val="clear" w:color="auto" w:fill="FFFFFF"/>
        </w:rPr>
        <w:t>2022</w:t>
      </w:r>
      <w:r w:rsidRPr="004378DE">
        <w:rPr>
          <w:color w:val="222222"/>
          <w:shd w:val="clear" w:color="auto" w:fill="FFFFFF"/>
        </w:rPr>
        <w:t>(1), p.3868388.</w:t>
      </w:r>
    </w:p>
    <w:p w14:paraId="6896055A"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Jackson, J. (2023). Decarbonisation through modernisation: The UK’s EV transition as a vehicle for industrial change. </w:t>
      </w:r>
      <w:r w:rsidRPr="004378DE">
        <w:rPr>
          <w:i/>
          <w:iCs/>
        </w:rPr>
        <w:t>Competition &amp; Change</w:t>
      </w:r>
      <w:r w:rsidRPr="004378DE">
        <w:t xml:space="preserve">, 28(2). </w:t>
      </w:r>
      <w:hyperlink r:id="rId20" w:history="1">
        <w:r w:rsidRPr="004378DE">
          <w:rPr>
            <w:rStyle w:val="Hyperlink"/>
            <w:rFonts w:eastAsiaTheme="majorEastAsia"/>
          </w:rPr>
          <w:t>https://doi.org/10.1177/10245294231223320</w:t>
        </w:r>
      </w:hyperlink>
      <w:r w:rsidRPr="004378DE">
        <w:t>.</w:t>
      </w:r>
    </w:p>
    <w:p w14:paraId="5E582A4E" w14:textId="77777777" w:rsidR="008A37F9" w:rsidRPr="004378DE" w:rsidRDefault="008A37F9" w:rsidP="004378DE">
      <w:pPr>
        <w:pStyle w:val="NormalWeb"/>
        <w:spacing w:before="0" w:beforeAutospacing="0" w:after="0" w:afterAutospacing="0" w:line="360" w:lineRule="auto"/>
        <w:ind w:left="720" w:hanging="720"/>
        <w:jc w:val="both"/>
      </w:pPr>
      <w:bookmarkStart w:id="96" w:name="_Hlk226287474"/>
      <w:r w:rsidRPr="004378DE">
        <w:t>Khader, M., Wilson, R.E. and Tryfonas</w:t>
      </w:r>
      <w:bookmarkEnd w:id="96"/>
      <w:r w:rsidRPr="004378DE">
        <w:t xml:space="preserve">, T. (2025). Factors influencing the spatial distribution of EV adoption – a case study in England. </w:t>
      </w:r>
      <w:r w:rsidRPr="004378DE">
        <w:rPr>
          <w:i/>
          <w:iCs/>
        </w:rPr>
        <w:t>Transportation Planning and Technology</w:t>
      </w:r>
      <w:r w:rsidRPr="004378DE">
        <w:t xml:space="preserve">, 48(4), pp.1–19. </w:t>
      </w:r>
      <w:hyperlink r:id="rId21" w:history="1">
        <w:r w:rsidRPr="004378DE">
          <w:rPr>
            <w:rStyle w:val="Hyperlink"/>
            <w:rFonts w:eastAsiaTheme="majorEastAsia"/>
          </w:rPr>
          <w:t>https://doi.org/10.1080/03081060.2024.2449127</w:t>
        </w:r>
      </w:hyperlink>
      <w:r w:rsidRPr="004378DE">
        <w:t>.</w:t>
      </w:r>
    </w:p>
    <w:p w14:paraId="775BDFA7"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Kılınç, H. and Fırat, M. (2017). Opinions of expert academicians on online data collection and voluntary participation in social sciences research. </w:t>
      </w:r>
      <w:r w:rsidRPr="008A37F9">
        <w:rPr>
          <w:rFonts w:cs="Times New Roman"/>
          <w:i/>
          <w:iCs/>
          <w:color w:val="222222"/>
          <w:szCs w:val="24"/>
          <w:shd w:val="clear" w:color="auto" w:fill="FFFFFF"/>
        </w:rPr>
        <w:t>Educational Sciences: Theory &amp; Practice</w:t>
      </w:r>
      <w:r w:rsidRPr="008A37F9">
        <w:rPr>
          <w:rFonts w:cs="Times New Roman"/>
          <w:color w:val="222222"/>
          <w:szCs w:val="24"/>
          <w:shd w:val="clear" w:color="auto" w:fill="FFFFFF"/>
        </w:rPr>
        <w:t>, </w:t>
      </w:r>
      <w:r w:rsidRPr="008A37F9">
        <w:rPr>
          <w:rFonts w:cs="Times New Roman"/>
          <w:i/>
          <w:iCs/>
          <w:color w:val="222222"/>
          <w:szCs w:val="24"/>
          <w:shd w:val="clear" w:color="auto" w:fill="FFFFFF"/>
        </w:rPr>
        <w:t>17</w:t>
      </w:r>
      <w:r w:rsidRPr="008A37F9">
        <w:rPr>
          <w:rFonts w:cs="Times New Roman"/>
          <w:color w:val="222222"/>
          <w:szCs w:val="24"/>
          <w:shd w:val="clear" w:color="auto" w:fill="FFFFFF"/>
        </w:rPr>
        <w:t>(5), pp.1461-1486.</w:t>
      </w:r>
    </w:p>
    <w:p w14:paraId="1AA00A66"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Knottnerus, J.A. and Tugwell, P. (2016). Promoting transparency of research and data needs much more attention. </w:t>
      </w:r>
      <w:r w:rsidRPr="008A37F9">
        <w:rPr>
          <w:rFonts w:cs="Times New Roman"/>
          <w:i/>
          <w:iCs/>
          <w:color w:val="222222"/>
          <w:szCs w:val="24"/>
          <w:shd w:val="clear" w:color="auto" w:fill="FFFFFF"/>
        </w:rPr>
        <w:t>Journal of clinical epidemiology</w:t>
      </w:r>
      <w:r w:rsidRPr="008A37F9">
        <w:rPr>
          <w:rFonts w:cs="Times New Roman"/>
          <w:color w:val="222222"/>
          <w:szCs w:val="24"/>
          <w:shd w:val="clear" w:color="auto" w:fill="FFFFFF"/>
        </w:rPr>
        <w:t>, </w:t>
      </w:r>
      <w:r w:rsidRPr="008A37F9">
        <w:rPr>
          <w:rFonts w:cs="Times New Roman"/>
          <w:i/>
          <w:iCs/>
          <w:color w:val="222222"/>
          <w:szCs w:val="24"/>
          <w:shd w:val="clear" w:color="auto" w:fill="FFFFFF"/>
        </w:rPr>
        <w:t>70</w:t>
      </w:r>
      <w:r w:rsidRPr="008A37F9">
        <w:rPr>
          <w:rFonts w:cs="Times New Roman"/>
          <w:color w:val="222222"/>
          <w:szCs w:val="24"/>
          <w:shd w:val="clear" w:color="auto" w:fill="FFFFFF"/>
        </w:rPr>
        <w:t>, pp.1-3.</w:t>
      </w:r>
    </w:p>
    <w:p w14:paraId="08BBA0EF"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Kochanek, A., Tomasz Zacłona, Pietrucha, I., Petryk, A., Urszula Ziemiańczyk, Basak, Z., Paweł Guzdek, Leyla Akbulut, Atılgan Atılgan and Agnieszka Dorota Woźniak (2025). Renewable Energy Integration in Sustainable Transport: A Review of Emerging Propulsion Technologies and Energy Transition Mechanisms. </w:t>
      </w:r>
      <w:r w:rsidRPr="004378DE">
        <w:rPr>
          <w:i/>
          <w:iCs/>
        </w:rPr>
        <w:t>Energies</w:t>
      </w:r>
      <w:r w:rsidRPr="004378DE">
        <w:t xml:space="preserve">, 18(24), pp.6610–6610. </w:t>
      </w:r>
      <w:hyperlink r:id="rId22" w:history="1">
        <w:r w:rsidRPr="004378DE">
          <w:rPr>
            <w:rStyle w:val="Hyperlink"/>
            <w:rFonts w:eastAsiaTheme="majorEastAsia"/>
          </w:rPr>
          <w:t>https://doi.org/10.3390/en18246610</w:t>
        </w:r>
      </w:hyperlink>
      <w:r w:rsidRPr="004378DE">
        <w:t>.</w:t>
      </w:r>
    </w:p>
    <w:p w14:paraId="211994F1"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Kumar, R.R. and Alok, K. (2020). Adoption of electric vehicle: A literature review and prospects for sustainability. </w:t>
      </w:r>
      <w:r w:rsidRPr="004378DE">
        <w:rPr>
          <w:i/>
          <w:iCs/>
        </w:rPr>
        <w:t>Journal of Cleaner Production</w:t>
      </w:r>
      <w:r w:rsidRPr="004378DE">
        <w:t xml:space="preserve">, [online] 253(1), p.119911. </w:t>
      </w:r>
      <w:hyperlink r:id="rId23" w:history="1">
        <w:r w:rsidRPr="004378DE">
          <w:rPr>
            <w:rStyle w:val="Hyperlink"/>
            <w:rFonts w:eastAsiaTheme="majorEastAsia"/>
          </w:rPr>
          <w:t>https://doi.org/10.1016/j.jclepro.2019.119911</w:t>
        </w:r>
      </w:hyperlink>
      <w:r w:rsidRPr="004378DE">
        <w:t>.</w:t>
      </w:r>
    </w:p>
    <w:p w14:paraId="6D73AA27"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LaMonaca, S. and Ryan, L. (2022). The State of Play in Electric Vehicle Charging Services – a Review of Infrastructure provision, players, and Policies. </w:t>
      </w:r>
      <w:r w:rsidRPr="004378DE">
        <w:rPr>
          <w:i/>
          <w:iCs/>
        </w:rPr>
        <w:t>Renewable and Sustainable Energy Reviews</w:t>
      </w:r>
      <w:r w:rsidRPr="004378DE">
        <w:t xml:space="preserve">, 154(2), p.111733. </w:t>
      </w:r>
      <w:hyperlink r:id="rId24" w:history="1">
        <w:r w:rsidRPr="004378DE">
          <w:rPr>
            <w:rStyle w:val="Hyperlink"/>
            <w:rFonts w:eastAsiaTheme="majorEastAsia"/>
          </w:rPr>
          <w:t>https://doi.org/10.1016/j.rser.2021.111733</w:t>
        </w:r>
      </w:hyperlink>
      <w:r w:rsidRPr="004378DE">
        <w:t>.</w:t>
      </w:r>
    </w:p>
    <w:p w14:paraId="09539AC0"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Lavieri, P.S. and de Oliveira, G.J.M. (2023). Planning for the majorities: are the charging needs and preferences of electric vehicle early adopters similar to those of mainstream consumers? </w:t>
      </w:r>
      <w:r w:rsidRPr="004378DE">
        <w:rPr>
          <w:i/>
          <w:iCs/>
        </w:rPr>
        <w:t>Oxford Open Energy</w:t>
      </w:r>
      <w:r w:rsidRPr="004378DE">
        <w:t xml:space="preserve">, 2. </w:t>
      </w:r>
      <w:hyperlink r:id="rId25" w:history="1">
        <w:r w:rsidRPr="004378DE">
          <w:rPr>
            <w:rStyle w:val="Hyperlink"/>
            <w:rFonts w:eastAsiaTheme="majorEastAsia"/>
          </w:rPr>
          <w:t>https://doi.org/10.1093/ooenergy/oiad001</w:t>
        </w:r>
      </w:hyperlink>
      <w:r w:rsidRPr="004378DE">
        <w:t>.</w:t>
      </w:r>
    </w:p>
    <w:p w14:paraId="67645F89"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lastRenderedPageBreak/>
        <w:t>Lee, Y., Bencekri, M., Kwak, J., Jeong, I. and Lee, S. (2025). Electrification pathways toward transport decarbonization with a systematic review. </w:t>
      </w:r>
      <w:r w:rsidRPr="004378DE">
        <w:rPr>
          <w:i/>
          <w:iCs/>
          <w:color w:val="222222"/>
          <w:shd w:val="clear" w:color="auto" w:fill="FFFFFF"/>
        </w:rPr>
        <w:t>Clean Technologies and Environmental Policy</w:t>
      </w:r>
      <w:r w:rsidRPr="004378DE">
        <w:rPr>
          <w:color w:val="222222"/>
          <w:shd w:val="clear" w:color="auto" w:fill="FFFFFF"/>
        </w:rPr>
        <w:t>, </w:t>
      </w:r>
      <w:r w:rsidRPr="004378DE">
        <w:rPr>
          <w:i/>
          <w:iCs/>
          <w:color w:val="222222"/>
          <w:shd w:val="clear" w:color="auto" w:fill="FFFFFF"/>
        </w:rPr>
        <w:t>27</w:t>
      </w:r>
      <w:r w:rsidRPr="004378DE">
        <w:rPr>
          <w:color w:val="222222"/>
          <w:shd w:val="clear" w:color="auto" w:fill="FFFFFF"/>
        </w:rPr>
        <w:t>(12), pp.7855-7877.</w:t>
      </w:r>
    </w:p>
    <w:p w14:paraId="10B1F5EC"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Macdonald, S. and Birdi, B. (2020). The concept of neutrality: a new approach. </w:t>
      </w:r>
      <w:r w:rsidRPr="008A37F9">
        <w:rPr>
          <w:rFonts w:cs="Times New Roman"/>
          <w:i/>
          <w:iCs/>
          <w:color w:val="222222"/>
          <w:szCs w:val="24"/>
          <w:shd w:val="clear" w:color="auto" w:fill="FFFFFF"/>
        </w:rPr>
        <w:t>Journal of Documentation</w:t>
      </w:r>
      <w:r w:rsidRPr="008A37F9">
        <w:rPr>
          <w:rFonts w:cs="Times New Roman"/>
          <w:color w:val="222222"/>
          <w:szCs w:val="24"/>
          <w:shd w:val="clear" w:color="auto" w:fill="FFFFFF"/>
        </w:rPr>
        <w:t>, </w:t>
      </w:r>
      <w:r w:rsidRPr="008A37F9">
        <w:rPr>
          <w:rFonts w:cs="Times New Roman"/>
          <w:i/>
          <w:iCs/>
          <w:color w:val="222222"/>
          <w:szCs w:val="24"/>
          <w:shd w:val="clear" w:color="auto" w:fill="FFFFFF"/>
        </w:rPr>
        <w:t>76</w:t>
      </w:r>
      <w:r w:rsidRPr="008A37F9">
        <w:rPr>
          <w:rFonts w:cs="Times New Roman"/>
          <w:color w:val="222222"/>
          <w:szCs w:val="24"/>
          <w:shd w:val="clear" w:color="auto" w:fill="FFFFFF"/>
        </w:rPr>
        <w:t>(1), pp.333-353.</w:t>
      </w:r>
    </w:p>
    <w:p w14:paraId="16340879"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Macfarlane, B., Zhang, J. and Pun, A. (2014). Academic integrity: A review of the literature. </w:t>
      </w:r>
      <w:r w:rsidRPr="008A37F9">
        <w:rPr>
          <w:rFonts w:cs="Times New Roman"/>
          <w:i/>
          <w:iCs/>
          <w:color w:val="222222"/>
          <w:szCs w:val="24"/>
          <w:shd w:val="clear" w:color="auto" w:fill="FFFFFF"/>
        </w:rPr>
        <w:t>Studies in higher education</w:t>
      </w:r>
      <w:r w:rsidRPr="008A37F9">
        <w:rPr>
          <w:rFonts w:cs="Times New Roman"/>
          <w:color w:val="222222"/>
          <w:szCs w:val="24"/>
          <w:shd w:val="clear" w:color="auto" w:fill="FFFFFF"/>
        </w:rPr>
        <w:t>, </w:t>
      </w:r>
      <w:r w:rsidRPr="008A37F9">
        <w:rPr>
          <w:rFonts w:cs="Times New Roman"/>
          <w:i/>
          <w:iCs/>
          <w:color w:val="222222"/>
          <w:szCs w:val="24"/>
          <w:shd w:val="clear" w:color="auto" w:fill="FFFFFF"/>
        </w:rPr>
        <w:t>39</w:t>
      </w:r>
      <w:r w:rsidRPr="008A37F9">
        <w:rPr>
          <w:rFonts w:cs="Times New Roman"/>
          <w:color w:val="222222"/>
          <w:szCs w:val="24"/>
          <w:shd w:val="clear" w:color="auto" w:fill="FFFFFF"/>
        </w:rPr>
        <w:t>(2), pp.339-358.</w:t>
      </w:r>
    </w:p>
    <w:p w14:paraId="6535C419"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Marson, J. and Ferris, K. (2024). The UK’s Intended Move to Electric and Connected and Autonomous Vehicles: Are Infrastructural Barriers Preventing Successful Transition?.</w:t>
      </w:r>
    </w:p>
    <w:p w14:paraId="5AB0F17C"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McCormick, K. and Salcedo, J. (2017). </w:t>
      </w:r>
      <w:r w:rsidRPr="008A37F9">
        <w:rPr>
          <w:rFonts w:cs="Times New Roman"/>
          <w:i/>
          <w:iCs/>
          <w:color w:val="222222"/>
          <w:szCs w:val="24"/>
          <w:shd w:val="clear" w:color="auto" w:fill="FFFFFF"/>
        </w:rPr>
        <w:t>SPSS statistics for data analysis and visualization</w:t>
      </w:r>
      <w:r w:rsidRPr="008A37F9">
        <w:rPr>
          <w:rFonts w:cs="Times New Roman"/>
          <w:color w:val="222222"/>
          <w:szCs w:val="24"/>
          <w:shd w:val="clear" w:color="auto" w:fill="FFFFFF"/>
        </w:rPr>
        <w:t>. John Wiley &amp; Sons.</w:t>
      </w:r>
    </w:p>
    <w:p w14:paraId="512D0C4B" w14:textId="77777777" w:rsidR="008A37F9" w:rsidRPr="00325B66" w:rsidRDefault="008A37F9" w:rsidP="00325B66">
      <w:pPr>
        <w:pStyle w:val="NormalWeb"/>
        <w:spacing w:before="0" w:beforeAutospacing="0" w:after="0" w:afterAutospacing="0" w:line="360" w:lineRule="auto"/>
        <w:ind w:left="720" w:hanging="720"/>
        <w:rPr>
          <w:sz w:val="32"/>
          <w:szCs w:val="32"/>
        </w:rPr>
      </w:pPr>
      <w:r w:rsidRPr="00325B66">
        <w:rPr>
          <w:color w:val="222222"/>
          <w:shd w:val="clear" w:color="auto" w:fill="FFFFFF"/>
        </w:rPr>
        <w:t>Mendoza-del Villar, L., Oliva-Lopez, E., Luis-Pineda, O., Benešová, A., Tupa, J. and Garza-Reyes, J.A. (2020). Fostering economic growth, social inclusion &amp; sustainability in Industry 4.0: a systemic approach. </w:t>
      </w:r>
      <w:r w:rsidRPr="00325B66">
        <w:rPr>
          <w:i/>
          <w:iCs/>
          <w:color w:val="222222"/>
          <w:shd w:val="clear" w:color="auto" w:fill="FFFFFF"/>
        </w:rPr>
        <w:t>Procedia Manufacturing</w:t>
      </w:r>
      <w:r w:rsidRPr="00325B66">
        <w:rPr>
          <w:color w:val="222222"/>
          <w:shd w:val="clear" w:color="auto" w:fill="FFFFFF"/>
        </w:rPr>
        <w:t>, </w:t>
      </w:r>
      <w:r w:rsidRPr="00325B66">
        <w:rPr>
          <w:i/>
          <w:iCs/>
          <w:color w:val="222222"/>
          <w:shd w:val="clear" w:color="auto" w:fill="FFFFFF"/>
        </w:rPr>
        <w:t>51</w:t>
      </w:r>
      <w:r w:rsidRPr="00325B66">
        <w:rPr>
          <w:color w:val="222222"/>
          <w:shd w:val="clear" w:color="auto" w:fill="FFFFFF"/>
        </w:rPr>
        <w:t>, pp.1755-1762.</w:t>
      </w:r>
    </w:p>
    <w:p w14:paraId="483D88D0"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Mesquita, A.R., Hugo, V., Nunes, P.C. and Santos, A.S. (2025). Barriers to Electric Vehicle Adoption: A Framework to Accelerate the Transition to Sustainable Mobility. </w:t>
      </w:r>
      <w:r w:rsidRPr="004378DE">
        <w:rPr>
          <w:i/>
          <w:iCs/>
        </w:rPr>
        <w:t>Sustainability</w:t>
      </w:r>
      <w:r w:rsidRPr="004378DE">
        <w:t xml:space="preserve">, [online] 17(18), p.8318. </w:t>
      </w:r>
      <w:hyperlink r:id="rId26" w:history="1">
        <w:r w:rsidRPr="004378DE">
          <w:rPr>
            <w:rStyle w:val="Hyperlink"/>
            <w:rFonts w:eastAsiaTheme="majorEastAsia"/>
          </w:rPr>
          <w:t>https://doi.org/10.3390/su17188318</w:t>
        </w:r>
      </w:hyperlink>
      <w:r w:rsidRPr="004378DE">
        <w:t>.</w:t>
      </w:r>
    </w:p>
    <w:p w14:paraId="7BB67F28"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Moy, P. and Murphy, J. (2016). Problems and prospects in survey research. </w:t>
      </w:r>
      <w:r w:rsidRPr="008A37F9">
        <w:rPr>
          <w:rFonts w:cs="Times New Roman"/>
          <w:i/>
          <w:iCs/>
          <w:color w:val="222222"/>
          <w:szCs w:val="24"/>
          <w:shd w:val="clear" w:color="auto" w:fill="FFFFFF"/>
        </w:rPr>
        <w:t>Journalism &amp; Mass Communication Quarterly</w:t>
      </w:r>
      <w:r w:rsidRPr="008A37F9">
        <w:rPr>
          <w:rFonts w:cs="Times New Roman"/>
          <w:color w:val="222222"/>
          <w:szCs w:val="24"/>
          <w:shd w:val="clear" w:color="auto" w:fill="FFFFFF"/>
        </w:rPr>
        <w:t>, </w:t>
      </w:r>
      <w:r w:rsidRPr="008A37F9">
        <w:rPr>
          <w:rFonts w:cs="Times New Roman"/>
          <w:i/>
          <w:iCs/>
          <w:color w:val="222222"/>
          <w:szCs w:val="24"/>
          <w:shd w:val="clear" w:color="auto" w:fill="FFFFFF"/>
        </w:rPr>
        <w:t>93</w:t>
      </w:r>
      <w:r w:rsidRPr="008A37F9">
        <w:rPr>
          <w:rFonts w:cs="Times New Roman"/>
          <w:color w:val="222222"/>
          <w:szCs w:val="24"/>
          <w:shd w:val="clear" w:color="auto" w:fill="FFFFFF"/>
        </w:rPr>
        <w:t>(1), pp.16-37.</w:t>
      </w:r>
    </w:p>
    <w:p w14:paraId="23391B71" w14:textId="77777777" w:rsidR="008A37F9" w:rsidRPr="004378DE" w:rsidRDefault="008A37F9" w:rsidP="004378DE">
      <w:pPr>
        <w:ind w:left="720" w:hanging="720"/>
        <w:rPr>
          <w:rFonts w:cs="Times New Roman"/>
          <w:szCs w:val="24"/>
        </w:rPr>
      </w:pPr>
      <w:r w:rsidRPr="004378DE">
        <w:rPr>
          <w:rFonts w:cs="Times New Roman"/>
          <w:szCs w:val="24"/>
        </w:rPr>
        <w:t>Nardi, P.M.N. (2018) Doing Survey Research: A Guide to Quantitative Methods. 4th ed. [online] Taylor &amp; Francis Group, 46–150.</w:t>
      </w:r>
    </w:p>
    <w:p w14:paraId="60DE85E8"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Noor, S., Tajik, O. and Golzar, J. (2022). Simple random sampling. </w:t>
      </w:r>
      <w:r w:rsidRPr="008A37F9">
        <w:rPr>
          <w:rFonts w:cs="Times New Roman"/>
          <w:i/>
          <w:iCs/>
          <w:color w:val="222222"/>
          <w:szCs w:val="24"/>
          <w:shd w:val="clear" w:color="auto" w:fill="FFFFFF"/>
        </w:rPr>
        <w:t>International Journal of Education &amp; Language Studies</w:t>
      </w:r>
      <w:r w:rsidRPr="008A37F9">
        <w:rPr>
          <w:rFonts w:cs="Times New Roman"/>
          <w:color w:val="222222"/>
          <w:szCs w:val="24"/>
          <w:shd w:val="clear" w:color="auto" w:fill="FFFFFF"/>
        </w:rPr>
        <w:t>, </w:t>
      </w:r>
      <w:r w:rsidRPr="008A37F9">
        <w:rPr>
          <w:rFonts w:cs="Times New Roman"/>
          <w:i/>
          <w:iCs/>
          <w:color w:val="222222"/>
          <w:szCs w:val="24"/>
          <w:shd w:val="clear" w:color="auto" w:fill="FFFFFF"/>
        </w:rPr>
        <w:t>1</w:t>
      </w:r>
      <w:r w:rsidRPr="008A37F9">
        <w:rPr>
          <w:rFonts w:cs="Times New Roman"/>
          <w:color w:val="222222"/>
          <w:szCs w:val="24"/>
          <w:shd w:val="clear" w:color="auto" w:fill="FFFFFF"/>
        </w:rPr>
        <w:t>(2), pp.78-82.</w:t>
      </w:r>
    </w:p>
    <w:p w14:paraId="53C3F68A"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Park, Y.S., Konge, L. and Artino Jr, A.R. (2020). The positivism paradigm of research. </w:t>
      </w:r>
      <w:r w:rsidRPr="008A37F9">
        <w:rPr>
          <w:rFonts w:cs="Times New Roman"/>
          <w:i/>
          <w:iCs/>
          <w:color w:val="222222"/>
          <w:szCs w:val="24"/>
          <w:shd w:val="clear" w:color="auto" w:fill="FFFFFF"/>
        </w:rPr>
        <w:t>Academic medicine</w:t>
      </w:r>
      <w:r w:rsidRPr="008A37F9">
        <w:rPr>
          <w:rFonts w:cs="Times New Roman"/>
          <w:color w:val="222222"/>
          <w:szCs w:val="24"/>
          <w:shd w:val="clear" w:color="auto" w:fill="FFFFFF"/>
        </w:rPr>
        <w:t>, </w:t>
      </w:r>
      <w:r w:rsidRPr="008A37F9">
        <w:rPr>
          <w:rFonts w:cs="Times New Roman"/>
          <w:i/>
          <w:iCs/>
          <w:color w:val="222222"/>
          <w:szCs w:val="24"/>
          <w:shd w:val="clear" w:color="auto" w:fill="FFFFFF"/>
        </w:rPr>
        <w:t>95</w:t>
      </w:r>
      <w:r w:rsidRPr="008A37F9">
        <w:rPr>
          <w:rFonts w:cs="Times New Roman"/>
          <w:color w:val="222222"/>
          <w:szCs w:val="24"/>
          <w:shd w:val="clear" w:color="auto" w:fill="FFFFFF"/>
        </w:rPr>
        <w:t>(5), pp.690-694.</w:t>
      </w:r>
    </w:p>
    <w:p w14:paraId="1FD5DD22"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Powell, S., Cezar, G.V., Min, L., Azevedo, I.M. and Rajagopal, R. (2022). Charging infrastructure access and operation to reduce the grid impacts of deep electric vehicle adoption. </w:t>
      </w:r>
      <w:r w:rsidRPr="004378DE">
        <w:rPr>
          <w:i/>
          <w:iCs/>
          <w:color w:val="222222"/>
          <w:shd w:val="clear" w:color="auto" w:fill="FFFFFF"/>
        </w:rPr>
        <w:t>Nature Energy</w:t>
      </w:r>
      <w:r w:rsidRPr="004378DE">
        <w:rPr>
          <w:color w:val="222222"/>
          <w:shd w:val="clear" w:color="auto" w:fill="FFFFFF"/>
        </w:rPr>
        <w:t>, </w:t>
      </w:r>
      <w:r w:rsidRPr="004378DE">
        <w:rPr>
          <w:i/>
          <w:iCs/>
          <w:color w:val="222222"/>
          <w:shd w:val="clear" w:color="auto" w:fill="FFFFFF"/>
        </w:rPr>
        <w:t>7</w:t>
      </w:r>
      <w:r w:rsidRPr="004378DE">
        <w:rPr>
          <w:color w:val="222222"/>
          <w:shd w:val="clear" w:color="auto" w:fill="FFFFFF"/>
        </w:rPr>
        <w:t>(10), pp.932-945.</w:t>
      </w:r>
    </w:p>
    <w:p w14:paraId="6A912263"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Qadir, S.A., Ahmad, F., Al-Wahedi, A.M.A.B., Iqbal, A. and Ali, A. (2024). Navigating the Complex Realities of Electric Vehicle adoption: a Comprehensive Study of Government strategies, policies, and Incentives. </w:t>
      </w:r>
      <w:r w:rsidRPr="004378DE">
        <w:rPr>
          <w:i/>
          <w:iCs/>
        </w:rPr>
        <w:t>Energy Strategy Reviews</w:t>
      </w:r>
      <w:r w:rsidRPr="004378DE">
        <w:t>, [online] 53(53), pp.101379–</w:t>
      </w:r>
      <w:r w:rsidRPr="004378DE">
        <w:lastRenderedPageBreak/>
        <w:t xml:space="preserve">101379. Available at: </w:t>
      </w:r>
      <w:hyperlink r:id="rId27" w:history="1">
        <w:r w:rsidRPr="004378DE">
          <w:rPr>
            <w:rStyle w:val="Hyperlink"/>
            <w:rFonts w:eastAsiaTheme="majorEastAsia"/>
          </w:rPr>
          <w:t>https://www.sciencedirect.com/science/article/pii/S2211467X24000865</w:t>
        </w:r>
      </w:hyperlink>
      <w:r w:rsidRPr="004378DE">
        <w:t>.</w:t>
      </w:r>
    </w:p>
    <w:p w14:paraId="5CE12347"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Rea, L.M. and Parker, R.A. (2014). </w:t>
      </w:r>
      <w:r w:rsidRPr="008A37F9">
        <w:rPr>
          <w:rFonts w:cs="Times New Roman"/>
          <w:i/>
          <w:iCs/>
          <w:color w:val="222222"/>
          <w:szCs w:val="24"/>
          <w:shd w:val="clear" w:color="auto" w:fill="FFFFFF"/>
        </w:rPr>
        <w:t>Designing and conducting survey research: A comprehensive guide</w:t>
      </w:r>
      <w:r w:rsidRPr="008A37F9">
        <w:rPr>
          <w:rFonts w:cs="Times New Roman"/>
          <w:color w:val="222222"/>
          <w:szCs w:val="24"/>
          <w:shd w:val="clear" w:color="auto" w:fill="FFFFFF"/>
        </w:rPr>
        <w:t>. John Wiley &amp; Sons.</w:t>
      </w:r>
    </w:p>
    <w:p w14:paraId="44134989"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Rong, K., Shi, Y., Shang, T., Chen, Y. and Hao, H. (2017). Organizing business ecosystems in emerging electric vehicle industry: Structure, mechanism, and integrated configuration. </w:t>
      </w:r>
      <w:r w:rsidRPr="004378DE">
        <w:rPr>
          <w:i/>
          <w:iCs/>
          <w:color w:val="222222"/>
          <w:shd w:val="clear" w:color="auto" w:fill="FFFFFF"/>
        </w:rPr>
        <w:t>Energy Policy</w:t>
      </w:r>
      <w:r w:rsidRPr="004378DE">
        <w:rPr>
          <w:color w:val="222222"/>
          <w:shd w:val="clear" w:color="auto" w:fill="FFFFFF"/>
        </w:rPr>
        <w:t>, </w:t>
      </w:r>
      <w:r w:rsidRPr="004378DE">
        <w:rPr>
          <w:i/>
          <w:iCs/>
          <w:color w:val="222222"/>
          <w:shd w:val="clear" w:color="auto" w:fill="FFFFFF"/>
        </w:rPr>
        <w:t>107</w:t>
      </w:r>
      <w:r w:rsidRPr="004378DE">
        <w:rPr>
          <w:color w:val="222222"/>
          <w:shd w:val="clear" w:color="auto" w:fill="FFFFFF"/>
        </w:rPr>
        <w:t>, pp.234-247.</w:t>
      </w:r>
    </w:p>
    <w:p w14:paraId="32F8F871" w14:textId="77777777" w:rsidR="008A37F9" w:rsidRPr="004378DE" w:rsidRDefault="008A37F9" w:rsidP="004378DE">
      <w:pPr>
        <w:pStyle w:val="NormalWeb"/>
        <w:spacing w:before="0" w:beforeAutospacing="0" w:after="0" w:afterAutospacing="0" w:line="360" w:lineRule="auto"/>
        <w:ind w:left="720" w:hanging="720"/>
        <w:jc w:val="both"/>
      </w:pPr>
      <w:bookmarkStart w:id="97" w:name="_Hlk226286198"/>
      <w:r w:rsidRPr="004378DE">
        <w:rPr>
          <w:color w:val="222222"/>
          <w:shd w:val="clear" w:color="auto" w:fill="FFFFFF"/>
        </w:rPr>
        <w:t>Ryghaug, M. and Skjølsvold, T.M. (2023)</w:t>
      </w:r>
      <w:bookmarkEnd w:id="97"/>
      <w:r w:rsidRPr="004378DE">
        <w:rPr>
          <w:color w:val="222222"/>
          <w:shd w:val="clear" w:color="auto" w:fill="FFFFFF"/>
        </w:rPr>
        <w:t>. How policies and actor strategies affect electric vehicle diffusion and wider sustainability transitions. </w:t>
      </w:r>
      <w:r w:rsidRPr="004378DE">
        <w:rPr>
          <w:i/>
          <w:iCs/>
          <w:color w:val="222222"/>
          <w:shd w:val="clear" w:color="auto" w:fill="FFFFFF"/>
        </w:rPr>
        <w:t>Proceedings of the National Academy of Sciences</w:t>
      </w:r>
      <w:r w:rsidRPr="004378DE">
        <w:rPr>
          <w:color w:val="222222"/>
          <w:shd w:val="clear" w:color="auto" w:fill="FFFFFF"/>
        </w:rPr>
        <w:t>, </w:t>
      </w:r>
      <w:r w:rsidRPr="004378DE">
        <w:rPr>
          <w:i/>
          <w:iCs/>
          <w:color w:val="222222"/>
          <w:shd w:val="clear" w:color="auto" w:fill="FFFFFF"/>
        </w:rPr>
        <w:t>120</w:t>
      </w:r>
      <w:r w:rsidRPr="004378DE">
        <w:rPr>
          <w:color w:val="222222"/>
          <w:shd w:val="clear" w:color="auto" w:fill="FFFFFF"/>
        </w:rPr>
        <w:t>(47), p.e2207888119.</w:t>
      </w:r>
    </w:p>
    <w:p w14:paraId="145FE191" w14:textId="77777777" w:rsidR="008A37F9" w:rsidRPr="004378DE" w:rsidRDefault="008A37F9" w:rsidP="004378DE">
      <w:pPr>
        <w:ind w:left="720" w:hanging="720"/>
        <w:rPr>
          <w:rFonts w:eastAsia="Times New Roman" w:cs="Times New Roman"/>
          <w:color w:val="222222"/>
          <w:szCs w:val="24"/>
          <w:shd w:val="clear" w:color="auto" w:fill="FFFFFF"/>
        </w:rPr>
      </w:pPr>
      <w:r w:rsidRPr="004378DE">
        <w:rPr>
          <w:rFonts w:cs="Times New Roman"/>
          <w:color w:val="222222"/>
          <w:szCs w:val="24"/>
          <w:shd w:val="clear" w:color="auto" w:fill="FFFFFF"/>
        </w:rPr>
        <w:t>Shahzad, S., Faheem, M., Muqeet, H.A. and Waseem, M. (2024). Charting the UK's path to net zero emissions by 2050: Challenges, strategies, and future directions. </w:t>
      </w:r>
      <w:r w:rsidRPr="004378DE">
        <w:rPr>
          <w:rFonts w:cs="Times New Roman"/>
          <w:i/>
          <w:iCs/>
          <w:color w:val="222222"/>
          <w:szCs w:val="24"/>
          <w:shd w:val="clear" w:color="auto" w:fill="FFFFFF"/>
        </w:rPr>
        <w:t>IET Smart Grid</w:t>
      </w:r>
      <w:r w:rsidRPr="004378DE">
        <w:rPr>
          <w:rFonts w:cs="Times New Roman"/>
          <w:color w:val="222222"/>
          <w:szCs w:val="24"/>
          <w:shd w:val="clear" w:color="auto" w:fill="FFFFFF"/>
        </w:rPr>
        <w:t>, </w:t>
      </w:r>
      <w:r w:rsidRPr="004378DE">
        <w:rPr>
          <w:rFonts w:cs="Times New Roman"/>
          <w:i/>
          <w:iCs/>
          <w:color w:val="222222"/>
          <w:szCs w:val="24"/>
          <w:shd w:val="clear" w:color="auto" w:fill="FFFFFF"/>
        </w:rPr>
        <w:t>7</w:t>
      </w:r>
      <w:r w:rsidRPr="004378DE">
        <w:rPr>
          <w:rFonts w:cs="Times New Roman"/>
          <w:color w:val="222222"/>
          <w:szCs w:val="24"/>
          <w:shd w:val="clear" w:color="auto" w:fill="FFFFFF"/>
        </w:rPr>
        <w:t>(6), pp.716-736.</w:t>
      </w:r>
    </w:p>
    <w:p w14:paraId="3D5D3B56"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Singh, G., Misra, S.C., Daultani, Y. and Singh, S. (2024). Electric vehicle adoption and sustainability: Insights from the bibliometric analysis, cluster analysis, and morphology analysis. </w:t>
      </w:r>
      <w:r w:rsidRPr="004378DE">
        <w:rPr>
          <w:i/>
          <w:iCs/>
          <w:color w:val="222222"/>
          <w:shd w:val="clear" w:color="auto" w:fill="FFFFFF"/>
        </w:rPr>
        <w:t>Operations Management Research</w:t>
      </w:r>
      <w:r w:rsidRPr="004378DE">
        <w:rPr>
          <w:color w:val="222222"/>
          <w:shd w:val="clear" w:color="auto" w:fill="FFFFFF"/>
        </w:rPr>
        <w:t>, </w:t>
      </w:r>
      <w:r w:rsidRPr="004378DE">
        <w:rPr>
          <w:i/>
          <w:iCs/>
          <w:color w:val="222222"/>
          <w:shd w:val="clear" w:color="auto" w:fill="FFFFFF"/>
        </w:rPr>
        <w:t>17</w:t>
      </w:r>
      <w:r w:rsidRPr="004378DE">
        <w:rPr>
          <w:color w:val="222222"/>
          <w:shd w:val="clear" w:color="auto" w:fill="FFFFFF"/>
        </w:rPr>
        <w:t>(2), pp.635-659.</w:t>
      </w:r>
    </w:p>
    <w:p w14:paraId="3CBA2CE8"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Song, R. and Potoglou, D. (2020). Are Existing Battery Electric Vehicles Adoption Studies Able to Inform Policy? A Review for Policymakers. </w:t>
      </w:r>
      <w:r w:rsidRPr="004378DE">
        <w:rPr>
          <w:i/>
          <w:iCs/>
        </w:rPr>
        <w:t>Sustainability</w:t>
      </w:r>
      <w:r w:rsidRPr="004378DE">
        <w:t xml:space="preserve">, 12(16), p.6494. </w:t>
      </w:r>
      <w:hyperlink r:id="rId28" w:history="1">
        <w:r w:rsidRPr="004378DE">
          <w:rPr>
            <w:rStyle w:val="Hyperlink"/>
            <w:rFonts w:eastAsiaTheme="majorEastAsia"/>
          </w:rPr>
          <w:t>https://doi.org/10.3390/su12166494</w:t>
        </w:r>
      </w:hyperlink>
      <w:r w:rsidRPr="004378DE">
        <w:t>.</w:t>
      </w:r>
    </w:p>
    <w:p w14:paraId="4D5991E1"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Sun, J., Sun, S., Chen, B. and Hu, Y. (2024). Charging change: Analysing the UK’s electric vehicle infrastructure policies and market dynamics. </w:t>
      </w:r>
      <w:r w:rsidRPr="004378DE">
        <w:rPr>
          <w:i/>
          <w:iCs/>
        </w:rPr>
        <w:t>Energy policy</w:t>
      </w:r>
      <w:r w:rsidRPr="004378DE">
        <w:t xml:space="preserve">, [online] 191, pp.114178–114178. </w:t>
      </w:r>
      <w:hyperlink r:id="rId29" w:history="1">
        <w:r w:rsidRPr="004378DE">
          <w:rPr>
            <w:rStyle w:val="Hyperlink"/>
            <w:rFonts w:eastAsiaTheme="majorEastAsia"/>
          </w:rPr>
          <w:t>https://doi.org/10.1016/j.enpol.2024.114178</w:t>
        </w:r>
      </w:hyperlink>
      <w:r w:rsidRPr="004378DE">
        <w:t>.</w:t>
      </w:r>
    </w:p>
    <w:p w14:paraId="003E372A" w14:textId="77777777" w:rsidR="008A37F9" w:rsidRPr="004378DE" w:rsidRDefault="008A37F9" w:rsidP="004378DE">
      <w:pPr>
        <w:pStyle w:val="NormalWeb"/>
        <w:spacing w:before="0" w:beforeAutospacing="0" w:after="0" w:afterAutospacing="0" w:line="360" w:lineRule="auto"/>
        <w:ind w:left="720" w:hanging="720"/>
        <w:jc w:val="both"/>
        <w:rPr>
          <w:color w:val="222222"/>
          <w:shd w:val="clear" w:color="auto" w:fill="FFFFFF"/>
        </w:rPr>
      </w:pPr>
      <w:r w:rsidRPr="004378DE">
        <w:rPr>
          <w:color w:val="222222"/>
          <w:shd w:val="clear" w:color="auto" w:fill="FFFFFF"/>
        </w:rPr>
        <w:t>Tafazzoli, M., Safapour, E., Sadeghvaziri, E. and Haq, I. (2025). EV Charging Infrastructure Optimization: Overcoming Scalability and Grid Management Challenges. In </w:t>
      </w:r>
      <w:r w:rsidRPr="004378DE">
        <w:rPr>
          <w:i/>
          <w:iCs/>
          <w:color w:val="222222"/>
          <w:shd w:val="clear" w:color="auto" w:fill="FFFFFF"/>
        </w:rPr>
        <w:t>International Conference on Transportation and Development 2025</w:t>
      </w:r>
      <w:r w:rsidRPr="004378DE">
        <w:rPr>
          <w:color w:val="222222"/>
          <w:shd w:val="clear" w:color="auto" w:fill="FFFFFF"/>
        </w:rPr>
        <w:t> (pp. 343-354).</w:t>
      </w:r>
    </w:p>
    <w:p w14:paraId="6DD6F23D" w14:textId="77777777" w:rsidR="008A37F9" w:rsidRPr="008A37F9" w:rsidRDefault="008A37F9" w:rsidP="008A37F9">
      <w:pPr>
        <w:ind w:left="720" w:hanging="720"/>
        <w:rPr>
          <w:rFonts w:cs="Times New Roman"/>
          <w:color w:val="222222"/>
          <w:szCs w:val="24"/>
          <w:shd w:val="clear" w:color="auto" w:fill="FFFFFF"/>
        </w:rPr>
      </w:pPr>
      <w:r w:rsidRPr="008A37F9">
        <w:rPr>
          <w:rFonts w:cs="Times New Roman"/>
          <w:color w:val="222222"/>
          <w:szCs w:val="24"/>
          <w:shd w:val="clear" w:color="auto" w:fill="FFFFFF"/>
        </w:rPr>
        <w:t>Verma, J.P. (2012). </w:t>
      </w:r>
      <w:r w:rsidRPr="008A37F9">
        <w:rPr>
          <w:rFonts w:cs="Times New Roman"/>
          <w:i/>
          <w:iCs/>
          <w:color w:val="222222"/>
          <w:szCs w:val="24"/>
          <w:shd w:val="clear" w:color="auto" w:fill="FFFFFF"/>
        </w:rPr>
        <w:t>Data analysis in management with SPSS software</w:t>
      </w:r>
      <w:r w:rsidRPr="008A37F9">
        <w:rPr>
          <w:rFonts w:cs="Times New Roman"/>
          <w:color w:val="222222"/>
          <w:szCs w:val="24"/>
          <w:shd w:val="clear" w:color="auto" w:fill="FFFFFF"/>
        </w:rPr>
        <w:t>. Springer Science &amp; Business Media.</w:t>
      </w:r>
    </w:p>
    <w:p w14:paraId="6A17FFE7" w14:textId="77777777" w:rsidR="008A37F9" w:rsidRPr="008A37F9" w:rsidRDefault="008A37F9" w:rsidP="008A37F9">
      <w:pPr>
        <w:ind w:left="720" w:hanging="720"/>
        <w:rPr>
          <w:rFonts w:cs="Times New Roman"/>
          <w:sz w:val="32"/>
          <w:szCs w:val="28"/>
        </w:rPr>
      </w:pPr>
      <w:r w:rsidRPr="008A37F9">
        <w:rPr>
          <w:rFonts w:cs="Times New Roman"/>
          <w:color w:val="222222"/>
          <w:szCs w:val="24"/>
          <w:shd w:val="clear" w:color="auto" w:fill="FFFFFF"/>
        </w:rPr>
        <w:t>West, P.W. (2016). Simple random sampling of individual items in the absence of a sampling frame that lists the individuals. </w:t>
      </w:r>
      <w:r w:rsidRPr="008A37F9">
        <w:rPr>
          <w:rFonts w:cs="Times New Roman"/>
          <w:i/>
          <w:iCs/>
          <w:color w:val="222222"/>
          <w:szCs w:val="24"/>
          <w:shd w:val="clear" w:color="auto" w:fill="FFFFFF"/>
        </w:rPr>
        <w:t>New Zealand journal of forestry science</w:t>
      </w:r>
      <w:r w:rsidRPr="008A37F9">
        <w:rPr>
          <w:rFonts w:cs="Times New Roman"/>
          <w:color w:val="222222"/>
          <w:szCs w:val="24"/>
          <w:shd w:val="clear" w:color="auto" w:fill="FFFFFF"/>
        </w:rPr>
        <w:t>, </w:t>
      </w:r>
      <w:r w:rsidRPr="008A37F9">
        <w:rPr>
          <w:rFonts w:cs="Times New Roman"/>
          <w:i/>
          <w:iCs/>
          <w:color w:val="222222"/>
          <w:szCs w:val="24"/>
          <w:shd w:val="clear" w:color="auto" w:fill="FFFFFF"/>
        </w:rPr>
        <w:t>46</w:t>
      </w:r>
      <w:r w:rsidRPr="008A37F9">
        <w:rPr>
          <w:rFonts w:cs="Times New Roman"/>
          <w:color w:val="222222"/>
          <w:szCs w:val="24"/>
          <w:shd w:val="clear" w:color="auto" w:fill="FFFFFF"/>
        </w:rPr>
        <w:t>(1), p.15.</w:t>
      </w:r>
    </w:p>
    <w:p w14:paraId="35C11ECE" w14:textId="77777777" w:rsidR="008A37F9" w:rsidRPr="004378DE" w:rsidRDefault="008A37F9" w:rsidP="004378DE">
      <w:pPr>
        <w:pStyle w:val="NormalWeb"/>
        <w:spacing w:before="0" w:beforeAutospacing="0" w:after="0" w:afterAutospacing="0" w:line="360" w:lineRule="auto"/>
        <w:ind w:left="720" w:hanging="720"/>
        <w:jc w:val="both"/>
      </w:pPr>
      <w:bookmarkStart w:id="98" w:name="_Hlk226287737"/>
      <w:r w:rsidRPr="004378DE">
        <w:lastRenderedPageBreak/>
        <w:t>Wong</w:t>
      </w:r>
      <w:bookmarkEnd w:id="98"/>
      <w:r w:rsidRPr="004378DE">
        <w:t xml:space="preserve">, P.Y.L., Leung, T.M., Zhang, W., Lo, K.C.C., Guo, X. and Hu, T. (2026). Enhancing Energy Efficiency in Road Transport Systems: A Comparative Study of Australia, Hong Kong and the UK. </w:t>
      </w:r>
      <w:r w:rsidRPr="004378DE">
        <w:rPr>
          <w:i/>
          <w:iCs/>
        </w:rPr>
        <w:t>Energies</w:t>
      </w:r>
      <w:r w:rsidRPr="004378DE">
        <w:t xml:space="preserve">, 19(1), p.266. </w:t>
      </w:r>
      <w:hyperlink r:id="rId30" w:history="1">
        <w:r w:rsidRPr="004378DE">
          <w:rPr>
            <w:rStyle w:val="Hyperlink"/>
            <w:rFonts w:eastAsiaTheme="majorEastAsia"/>
          </w:rPr>
          <w:t>https://doi.org/10.3390/en19010266</w:t>
        </w:r>
      </w:hyperlink>
      <w:r w:rsidRPr="004378DE">
        <w:t>.</w:t>
      </w:r>
    </w:p>
    <w:p w14:paraId="4CC78F2A" w14:textId="77777777" w:rsidR="008A37F9" w:rsidRPr="004378DE" w:rsidRDefault="008A37F9" w:rsidP="004378DE">
      <w:pPr>
        <w:pStyle w:val="NormalWeb"/>
        <w:spacing w:before="0" w:beforeAutospacing="0" w:after="0" w:afterAutospacing="0" w:line="360" w:lineRule="auto"/>
        <w:ind w:left="720" w:hanging="720"/>
        <w:jc w:val="both"/>
      </w:pPr>
      <w:r w:rsidRPr="004378DE">
        <w:t xml:space="preserve">Zaino, R., Ahmed, V., Alhammadi, A.M. and Alghoush, M. (2024). Electric Vehicle Adoption: A Comprehensive Systematic Review of Technological, Environmental, Organizational and Policy Impacts. </w:t>
      </w:r>
      <w:r w:rsidRPr="004378DE">
        <w:rPr>
          <w:i/>
          <w:iCs/>
        </w:rPr>
        <w:t>World Electric Vehicle Journal</w:t>
      </w:r>
      <w:r w:rsidRPr="004378DE">
        <w:t xml:space="preserve">, [online] 15(8), p.375. </w:t>
      </w:r>
      <w:hyperlink r:id="rId31" w:history="1">
        <w:r w:rsidRPr="004378DE">
          <w:rPr>
            <w:rStyle w:val="Hyperlink"/>
            <w:rFonts w:eastAsiaTheme="majorEastAsia"/>
          </w:rPr>
          <w:t>https://doi.org/10.3390/wevj15080375</w:t>
        </w:r>
      </w:hyperlink>
      <w:r w:rsidRPr="004378DE">
        <w:t>.</w:t>
      </w:r>
    </w:p>
    <w:p w14:paraId="1ECC1F4B" w14:textId="77777777" w:rsidR="008A37F9" w:rsidRDefault="008A37F9" w:rsidP="004378DE">
      <w:pPr>
        <w:pStyle w:val="NormalWeb"/>
        <w:spacing w:before="0" w:beforeAutospacing="0" w:after="0" w:afterAutospacing="0" w:line="360" w:lineRule="auto"/>
        <w:ind w:left="720" w:hanging="720"/>
        <w:jc w:val="both"/>
        <w:rPr>
          <w:color w:val="222222"/>
          <w:shd w:val="clear" w:color="auto" w:fill="FFFFFF"/>
        </w:rPr>
      </w:pPr>
      <w:bookmarkStart w:id="99" w:name="_Hlk226284353"/>
      <w:r w:rsidRPr="004378DE">
        <w:rPr>
          <w:color w:val="222222"/>
          <w:shd w:val="clear" w:color="auto" w:fill="FFFFFF"/>
        </w:rPr>
        <w:t>Zhang, J. and Popp, D. (2026)</w:t>
      </w:r>
      <w:bookmarkEnd w:id="99"/>
      <w:r w:rsidRPr="004378DE">
        <w:rPr>
          <w:color w:val="222222"/>
          <w:shd w:val="clear" w:color="auto" w:fill="FFFFFF"/>
        </w:rPr>
        <w:t>. </w:t>
      </w:r>
      <w:r w:rsidRPr="004378DE">
        <w:rPr>
          <w:i/>
          <w:iCs/>
          <w:color w:val="222222"/>
          <w:shd w:val="clear" w:color="auto" w:fill="FFFFFF"/>
        </w:rPr>
        <w:t>Driving Innovation: The Policy Tools Powering Electric Vehicle Technological Inventions</w:t>
      </w:r>
      <w:r w:rsidRPr="004378DE">
        <w:rPr>
          <w:color w:val="222222"/>
          <w:shd w:val="clear" w:color="auto" w:fill="FFFFFF"/>
        </w:rPr>
        <w:t> (No. w34763). National Bureau of Economic Research.</w:t>
      </w:r>
    </w:p>
    <w:p w14:paraId="2206B45C" w14:textId="77777777" w:rsidR="00325B66" w:rsidRPr="004378DE" w:rsidRDefault="00325B66" w:rsidP="004378DE">
      <w:pPr>
        <w:pStyle w:val="NormalWeb"/>
        <w:spacing w:before="0" w:beforeAutospacing="0" w:after="0" w:afterAutospacing="0" w:line="360" w:lineRule="auto"/>
        <w:ind w:left="720" w:hanging="720"/>
        <w:jc w:val="both"/>
      </w:pPr>
    </w:p>
    <w:p w14:paraId="08A0C4D6" w14:textId="2B79E975" w:rsidR="008B71E4" w:rsidRPr="00325B66" w:rsidRDefault="008B71E4" w:rsidP="00325B66">
      <w:pPr>
        <w:pStyle w:val="NormalWeb"/>
        <w:spacing w:before="0" w:beforeAutospacing="0" w:after="240" w:afterAutospacing="0" w:line="360" w:lineRule="auto"/>
      </w:pPr>
    </w:p>
    <w:p w14:paraId="0E92872B" w14:textId="77777777" w:rsidR="00325B66" w:rsidRDefault="00325B66">
      <w:pPr>
        <w:spacing w:after="160" w:line="259" w:lineRule="auto"/>
        <w:jc w:val="left"/>
        <w:rPr>
          <w:rFonts w:eastAsia="Times New Roman" w:cstheme="majorBidi"/>
          <w:b/>
          <w:color w:val="000000" w:themeColor="text1"/>
          <w:sz w:val="32"/>
          <w:szCs w:val="32"/>
        </w:rPr>
      </w:pPr>
      <w:bookmarkStart w:id="100" w:name="_Toc225546807"/>
      <w:r>
        <w:rPr>
          <w:rFonts w:eastAsia="Times New Roman"/>
        </w:rPr>
        <w:br w:type="page"/>
      </w:r>
    </w:p>
    <w:p w14:paraId="32A8C423" w14:textId="797B69B0" w:rsidR="00BB27D2" w:rsidRDefault="008B71E4" w:rsidP="008B71E4">
      <w:pPr>
        <w:pStyle w:val="Heading1"/>
        <w:jc w:val="center"/>
        <w:rPr>
          <w:rFonts w:eastAsia="Times New Roman"/>
        </w:rPr>
      </w:pPr>
      <w:bookmarkStart w:id="101" w:name="_Toc227532041"/>
      <w:r>
        <w:rPr>
          <w:rFonts w:eastAsia="Times New Roman"/>
        </w:rPr>
        <w:lastRenderedPageBreak/>
        <w:t>Appendices</w:t>
      </w:r>
      <w:bookmarkEnd w:id="100"/>
      <w:bookmarkEnd w:id="101"/>
    </w:p>
    <w:p w14:paraId="707069EE" w14:textId="7A5DC59E" w:rsidR="008B71E4" w:rsidRDefault="008B71E4" w:rsidP="008B71E4">
      <w:pPr>
        <w:pStyle w:val="Heading2"/>
        <w:jc w:val="center"/>
        <w:rPr>
          <w:rFonts w:eastAsia="Times New Roman"/>
        </w:rPr>
      </w:pPr>
      <w:bookmarkStart w:id="102" w:name="_Toc225546808"/>
      <w:bookmarkStart w:id="103" w:name="_Toc227532042"/>
      <w:r>
        <w:rPr>
          <w:rFonts w:eastAsia="Times New Roman"/>
        </w:rPr>
        <w:t xml:space="preserve">Appendix 1: </w:t>
      </w:r>
      <w:bookmarkEnd w:id="102"/>
      <w:r w:rsidR="00333124">
        <w:rPr>
          <w:rFonts w:eastAsia="Times New Roman"/>
        </w:rPr>
        <w:t>Survey Questionnaire</w:t>
      </w:r>
      <w:bookmarkEnd w:id="103"/>
    </w:p>
    <w:p w14:paraId="3E3D6BB7" w14:textId="77777777" w:rsidR="00641F95" w:rsidRPr="00641F95" w:rsidRDefault="00641F95" w:rsidP="00641F95">
      <w:pPr>
        <w:spacing w:before="100" w:beforeAutospacing="1" w:after="100" w:afterAutospacing="1" w:line="240" w:lineRule="auto"/>
        <w:jc w:val="left"/>
        <w:rPr>
          <w:rFonts w:eastAsia="Times New Roman" w:cs="Times New Roman"/>
          <w:szCs w:val="24"/>
        </w:rPr>
      </w:pPr>
      <w:r w:rsidRPr="00641F95">
        <w:rPr>
          <w:rFonts w:eastAsia="Times New Roman" w:cs="Times New Roman"/>
          <w:szCs w:val="24"/>
        </w:rPr>
        <w:t>Dear Participants,</w:t>
      </w:r>
    </w:p>
    <w:p w14:paraId="555A2013" w14:textId="77777777" w:rsidR="00641F95" w:rsidRPr="00641F95" w:rsidRDefault="00641F95" w:rsidP="00641F95">
      <w:r w:rsidRPr="00641F95">
        <w:t>This survey is part of a doctoral research study exploring institutional readiness and technological convergence in the adoption of electric vehicles (EVs) in the United Kingdom. The study aims to understand how policy, infrastructure, and governance influence EV adoption and support sustainability goals, including the Sustainable Development Goals (SDGs).</w:t>
      </w:r>
    </w:p>
    <w:p w14:paraId="7D8D5583" w14:textId="31BADA0E" w:rsidR="00641F95" w:rsidRDefault="00641F95" w:rsidP="00641F95">
      <w:r w:rsidRPr="00641F95">
        <w:t>Your participation is voluntary, and all responses will remain anonymous and confidential. The information collected will be used solely for academic purposes. The survey will take approximately 8</w:t>
      </w:r>
      <w:r>
        <w:t>-</w:t>
      </w:r>
      <w:r w:rsidRPr="00641F95">
        <w:t>10 minutes to complete. By proceeding, you confirm that you are 18 years or older and consent to participate in this research.</w:t>
      </w:r>
    </w:p>
    <w:p w14:paraId="31A649CB" w14:textId="77777777" w:rsidR="00641F95" w:rsidRPr="00641F95" w:rsidRDefault="00641F95" w:rsidP="00641F95">
      <w:pPr>
        <w:rPr>
          <w:sz w:val="44"/>
          <w:szCs w:val="28"/>
        </w:rPr>
      </w:pPr>
      <w:r w:rsidRPr="00641F95">
        <w:rPr>
          <w:rStyle w:val="Strong"/>
          <w:sz w:val="32"/>
          <w:szCs w:val="28"/>
        </w:rPr>
        <w:t>Section A: Participant Information &amp; Consent</w:t>
      </w:r>
    </w:p>
    <w:p w14:paraId="5369AF63" w14:textId="77777777" w:rsidR="00641F95" w:rsidRDefault="00641F95" w:rsidP="00613518">
      <w:pPr>
        <w:pStyle w:val="ListParagraph"/>
        <w:numPr>
          <w:ilvl w:val="0"/>
          <w:numId w:val="5"/>
        </w:numPr>
      </w:pPr>
      <w:r>
        <w:t xml:space="preserve">I confirm that I am 18 years or older </w:t>
      </w:r>
    </w:p>
    <w:p w14:paraId="187A3D1D" w14:textId="77777777" w:rsidR="00641F95" w:rsidRDefault="00641F95" w:rsidP="00613518">
      <w:pPr>
        <w:pStyle w:val="ListParagraph"/>
        <w:numPr>
          <w:ilvl w:val="0"/>
          <w:numId w:val="5"/>
        </w:numPr>
      </w:pPr>
      <w:r>
        <w:t xml:space="preserve">I voluntarily agree to participate in this research </w:t>
      </w:r>
    </w:p>
    <w:p w14:paraId="71EFA6EC" w14:textId="033958CE" w:rsidR="00641F95" w:rsidRDefault="00641F95" w:rsidP="00641F95">
      <w:pPr>
        <w:pStyle w:val="NormalWeb"/>
      </w:pPr>
      <w:r>
        <w:rPr>
          <w:rFonts w:ascii="Segoe UI Symbol" w:hAnsi="Segoe UI Symbol" w:cs="Segoe UI Symbol"/>
        </w:rPr>
        <w:t xml:space="preserve">           ☐</w:t>
      </w:r>
      <w:r>
        <w:t xml:space="preserve"> Yes </w:t>
      </w:r>
      <w:r>
        <w:rPr>
          <w:rFonts w:ascii="Segoe UI Symbol" w:hAnsi="Segoe UI Symbol" w:cs="Segoe UI Symbol"/>
        </w:rPr>
        <w:t>☐</w:t>
      </w:r>
      <w:r>
        <w:t xml:space="preserve"> No</w:t>
      </w:r>
    </w:p>
    <w:p w14:paraId="11E3AA37" w14:textId="77777777" w:rsidR="00641F95" w:rsidRPr="00641F95" w:rsidRDefault="00641F95" w:rsidP="00641F95">
      <w:pPr>
        <w:rPr>
          <w:sz w:val="32"/>
          <w:szCs w:val="28"/>
        </w:rPr>
      </w:pPr>
      <w:r w:rsidRPr="00641F95">
        <w:rPr>
          <w:rStyle w:val="Strong"/>
          <w:sz w:val="32"/>
          <w:szCs w:val="28"/>
        </w:rPr>
        <w:t>Section B: Demographic Information</w:t>
      </w:r>
    </w:p>
    <w:p w14:paraId="6605CAD5" w14:textId="646C44D9" w:rsidR="00641F95" w:rsidRDefault="00641F95" w:rsidP="00854E8B">
      <w:pPr>
        <w:numPr>
          <w:ilvl w:val="0"/>
          <w:numId w:val="4"/>
        </w:numPr>
        <w:spacing w:before="100" w:beforeAutospacing="1" w:after="100" w:afterAutospacing="1"/>
        <w:jc w:val="left"/>
      </w:pPr>
      <w:r>
        <w:t>Age</w:t>
      </w:r>
      <w:r>
        <w:br/>
      </w:r>
      <w:r>
        <w:rPr>
          <w:rFonts w:ascii="Segoe UI Symbol" w:hAnsi="Segoe UI Symbol" w:cs="Segoe UI Symbol"/>
        </w:rPr>
        <w:t>☐</w:t>
      </w:r>
      <w:r>
        <w:t xml:space="preserve"> 18</w:t>
      </w:r>
      <w:r>
        <w:rPr>
          <w:rFonts w:cs="Times New Roman"/>
        </w:rPr>
        <w:t>-</w:t>
      </w:r>
      <w:r>
        <w:t xml:space="preserve">24 </w:t>
      </w:r>
      <w:r>
        <w:rPr>
          <w:rFonts w:ascii="Segoe UI Symbol" w:hAnsi="Segoe UI Symbol" w:cs="Segoe UI Symbol"/>
        </w:rPr>
        <w:t>☐</w:t>
      </w:r>
      <w:r>
        <w:t xml:space="preserve"> 25</w:t>
      </w:r>
      <w:r>
        <w:rPr>
          <w:rFonts w:cs="Times New Roman"/>
        </w:rPr>
        <w:t>-</w:t>
      </w:r>
      <w:r>
        <w:t xml:space="preserve">34 </w:t>
      </w:r>
      <w:r>
        <w:rPr>
          <w:rFonts w:ascii="Segoe UI Symbol" w:hAnsi="Segoe UI Symbol" w:cs="Segoe UI Symbol"/>
        </w:rPr>
        <w:t>☐</w:t>
      </w:r>
      <w:r>
        <w:t xml:space="preserve"> 35</w:t>
      </w:r>
      <w:r>
        <w:rPr>
          <w:rFonts w:cs="Times New Roman"/>
        </w:rPr>
        <w:t>-</w:t>
      </w:r>
      <w:r>
        <w:t xml:space="preserve">44 </w:t>
      </w:r>
      <w:r>
        <w:rPr>
          <w:rFonts w:ascii="Segoe UI Symbol" w:hAnsi="Segoe UI Symbol" w:cs="Segoe UI Symbol"/>
        </w:rPr>
        <w:t>☐</w:t>
      </w:r>
      <w:r>
        <w:t xml:space="preserve"> 45</w:t>
      </w:r>
      <w:r>
        <w:rPr>
          <w:rFonts w:cs="Times New Roman"/>
        </w:rPr>
        <w:t>-</w:t>
      </w:r>
      <w:r>
        <w:t xml:space="preserve">54 </w:t>
      </w:r>
      <w:r>
        <w:rPr>
          <w:rFonts w:ascii="Segoe UI Symbol" w:hAnsi="Segoe UI Symbol" w:cs="Segoe UI Symbol"/>
        </w:rPr>
        <w:t>☐</w:t>
      </w:r>
      <w:r>
        <w:t xml:space="preserve"> 55+ </w:t>
      </w:r>
    </w:p>
    <w:p w14:paraId="074338D4" w14:textId="77777777" w:rsidR="00641F95" w:rsidRDefault="00641F95" w:rsidP="00854E8B">
      <w:pPr>
        <w:numPr>
          <w:ilvl w:val="0"/>
          <w:numId w:val="4"/>
        </w:numPr>
        <w:spacing w:before="100" w:beforeAutospacing="1" w:after="100" w:afterAutospacing="1"/>
        <w:jc w:val="left"/>
      </w:pPr>
      <w:r>
        <w:t>Gender</w:t>
      </w:r>
      <w:r>
        <w:br/>
      </w:r>
      <w:r>
        <w:rPr>
          <w:rFonts w:ascii="Segoe UI Symbol" w:hAnsi="Segoe UI Symbol" w:cs="Segoe UI Symbol"/>
        </w:rPr>
        <w:t>☐</w:t>
      </w:r>
      <w:r>
        <w:t xml:space="preserve"> Male </w:t>
      </w:r>
      <w:r>
        <w:rPr>
          <w:rFonts w:ascii="Segoe UI Symbol" w:hAnsi="Segoe UI Symbol" w:cs="Segoe UI Symbol"/>
        </w:rPr>
        <w:t>☐</w:t>
      </w:r>
      <w:r>
        <w:t xml:space="preserve"> Female </w:t>
      </w:r>
      <w:r>
        <w:rPr>
          <w:rFonts w:ascii="Segoe UI Symbol" w:hAnsi="Segoe UI Symbol" w:cs="Segoe UI Symbol"/>
        </w:rPr>
        <w:t>☐</w:t>
      </w:r>
      <w:r>
        <w:t xml:space="preserve"> Prefer not to say </w:t>
      </w:r>
      <w:r>
        <w:rPr>
          <w:rFonts w:ascii="Segoe UI Symbol" w:hAnsi="Segoe UI Symbol" w:cs="Segoe UI Symbol"/>
        </w:rPr>
        <w:t>☐</w:t>
      </w:r>
      <w:r>
        <w:t xml:space="preserve"> Other </w:t>
      </w:r>
    </w:p>
    <w:p w14:paraId="38E7E2A0" w14:textId="1A0202A5" w:rsidR="00641F95" w:rsidRDefault="00641F95" w:rsidP="00854E8B">
      <w:pPr>
        <w:numPr>
          <w:ilvl w:val="0"/>
          <w:numId w:val="4"/>
        </w:numPr>
        <w:spacing w:before="100" w:beforeAutospacing="1" w:after="100" w:afterAutospacing="1"/>
        <w:jc w:val="left"/>
      </w:pPr>
      <w:r>
        <w:t>Employment Status</w:t>
      </w:r>
      <w:r>
        <w:br/>
      </w:r>
      <w:r>
        <w:rPr>
          <w:rFonts w:ascii="Segoe UI Symbol" w:hAnsi="Segoe UI Symbol" w:cs="Segoe UI Symbol"/>
        </w:rPr>
        <w:t>☐</w:t>
      </w:r>
      <w:r>
        <w:t xml:space="preserve"> Student </w:t>
      </w:r>
      <w:r>
        <w:rPr>
          <w:rFonts w:ascii="Segoe UI Symbol" w:hAnsi="Segoe UI Symbol" w:cs="Segoe UI Symbol"/>
        </w:rPr>
        <w:t>☐</w:t>
      </w:r>
      <w:r>
        <w:t xml:space="preserve"> Full-time </w:t>
      </w:r>
      <w:r>
        <w:rPr>
          <w:rFonts w:ascii="Segoe UI Symbol" w:hAnsi="Segoe UI Symbol" w:cs="Segoe UI Symbol"/>
        </w:rPr>
        <w:t>☐</w:t>
      </w:r>
      <w:r>
        <w:t xml:space="preserve"> Part-time </w:t>
      </w:r>
      <w:r>
        <w:rPr>
          <w:rFonts w:ascii="Segoe UI Symbol" w:hAnsi="Segoe UI Symbol" w:cs="Segoe UI Symbol"/>
        </w:rPr>
        <w:t>☐</w:t>
      </w:r>
      <w:r>
        <w:t xml:space="preserve"> Self-employed </w:t>
      </w:r>
      <w:r>
        <w:rPr>
          <w:rFonts w:ascii="Segoe UI Symbol" w:hAnsi="Segoe UI Symbol" w:cs="Segoe UI Symbol"/>
        </w:rPr>
        <w:t>☐</w:t>
      </w:r>
      <w:r>
        <w:t xml:space="preserve"> Unemployed </w:t>
      </w:r>
      <w:r>
        <w:rPr>
          <w:rFonts w:ascii="Segoe UI Symbol" w:hAnsi="Segoe UI Symbol" w:cs="Segoe UI Symbol"/>
        </w:rPr>
        <w:t>☐</w:t>
      </w:r>
      <w:r>
        <w:t xml:space="preserve"> Other </w:t>
      </w:r>
    </w:p>
    <w:p w14:paraId="32EDE426" w14:textId="77777777" w:rsidR="00641F95" w:rsidRDefault="00641F95" w:rsidP="00854E8B">
      <w:pPr>
        <w:numPr>
          <w:ilvl w:val="0"/>
          <w:numId w:val="4"/>
        </w:numPr>
        <w:spacing w:before="100" w:beforeAutospacing="1" w:after="100" w:afterAutospacing="1"/>
        <w:jc w:val="left"/>
      </w:pPr>
      <w:r>
        <w:t>Region</w:t>
      </w:r>
      <w:r>
        <w:br/>
      </w:r>
      <w:r>
        <w:rPr>
          <w:rFonts w:ascii="Segoe UI Symbol" w:hAnsi="Segoe UI Symbol" w:cs="Segoe UI Symbol"/>
        </w:rPr>
        <w:t>☐</w:t>
      </w:r>
      <w:r>
        <w:t xml:space="preserve"> England </w:t>
      </w:r>
      <w:r>
        <w:rPr>
          <w:rFonts w:ascii="Segoe UI Symbol" w:hAnsi="Segoe UI Symbol" w:cs="Segoe UI Symbol"/>
        </w:rPr>
        <w:t>☐</w:t>
      </w:r>
      <w:r>
        <w:t xml:space="preserve"> Scotland </w:t>
      </w:r>
      <w:r>
        <w:rPr>
          <w:rFonts w:ascii="Segoe UI Symbol" w:hAnsi="Segoe UI Symbol" w:cs="Segoe UI Symbol"/>
        </w:rPr>
        <w:t>☐</w:t>
      </w:r>
      <w:r>
        <w:t xml:space="preserve"> Wales </w:t>
      </w:r>
      <w:r>
        <w:rPr>
          <w:rFonts w:ascii="Segoe UI Symbol" w:hAnsi="Segoe UI Symbol" w:cs="Segoe UI Symbol"/>
        </w:rPr>
        <w:t>☐</w:t>
      </w:r>
      <w:r>
        <w:t xml:space="preserve"> Northern Ireland </w:t>
      </w:r>
    </w:p>
    <w:p w14:paraId="6B565F57" w14:textId="77777777" w:rsidR="00641F95" w:rsidRDefault="00641F95" w:rsidP="00854E8B">
      <w:pPr>
        <w:numPr>
          <w:ilvl w:val="0"/>
          <w:numId w:val="4"/>
        </w:numPr>
        <w:spacing w:before="100" w:beforeAutospacing="1" w:after="100" w:afterAutospacing="1"/>
        <w:jc w:val="left"/>
      </w:pPr>
      <w:r>
        <w:t>EV Ownership</w:t>
      </w:r>
      <w:r>
        <w:br/>
      </w:r>
      <w:r>
        <w:rPr>
          <w:rFonts w:ascii="Segoe UI Symbol" w:hAnsi="Segoe UI Symbol" w:cs="Segoe UI Symbol"/>
        </w:rPr>
        <w:t>☐</w:t>
      </w:r>
      <w:r>
        <w:t xml:space="preserve"> Yes </w:t>
      </w:r>
      <w:r>
        <w:rPr>
          <w:rFonts w:ascii="Segoe UI Symbol" w:hAnsi="Segoe UI Symbol" w:cs="Segoe UI Symbol"/>
        </w:rPr>
        <w:t>☐</w:t>
      </w:r>
      <w:r>
        <w:t xml:space="preserve"> No </w:t>
      </w:r>
    </w:p>
    <w:p w14:paraId="70240DD7" w14:textId="6A71F9A1" w:rsidR="00641F95" w:rsidRPr="00471473" w:rsidRDefault="00641F95" w:rsidP="00641F95">
      <w:pPr>
        <w:numPr>
          <w:ilvl w:val="0"/>
          <w:numId w:val="4"/>
        </w:numPr>
        <w:spacing w:before="100" w:beforeAutospacing="1" w:after="100" w:afterAutospacing="1"/>
        <w:jc w:val="left"/>
        <w:rPr>
          <w:rStyle w:val="Strong"/>
          <w:b w:val="0"/>
          <w:bCs w:val="0"/>
        </w:rPr>
      </w:pPr>
      <w:r>
        <w:lastRenderedPageBreak/>
        <w:t>Intention to adopt EV</w:t>
      </w:r>
      <w:r>
        <w:br/>
      </w:r>
      <w:r>
        <w:rPr>
          <w:rFonts w:ascii="Segoe UI Symbol" w:hAnsi="Segoe UI Symbol" w:cs="Segoe UI Symbol"/>
        </w:rPr>
        <w:t>☐</w:t>
      </w:r>
      <w:r>
        <w:t xml:space="preserve"> Yes </w:t>
      </w:r>
      <w:r>
        <w:rPr>
          <w:rFonts w:ascii="Segoe UI Symbol" w:hAnsi="Segoe UI Symbol" w:cs="Segoe UI Symbol"/>
        </w:rPr>
        <w:t>☐</w:t>
      </w:r>
      <w:r>
        <w:t xml:space="preserve"> No </w:t>
      </w:r>
      <w:r>
        <w:rPr>
          <w:rFonts w:ascii="Segoe UI Symbol" w:hAnsi="Segoe UI Symbol" w:cs="Segoe UI Symbol"/>
        </w:rPr>
        <w:t>☐</w:t>
      </w:r>
      <w:r>
        <w:t xml:space="preserve"> Not sure </w:t>
      </w:r>
    </w:p>
    <w:p w14:paraId="38B8101B" w14:textId="77777777" w:rsidR="00641F95" w:rsidRDefault="00641F95" w:rsidP="00641F95">
      <w:pPr>
        <w:rPr>
          <w:rStyle w:val="Strong"/>
        </w:rPr>
      </w:pPr>
      <w:r w:rsidRPr="00641F95">
        <w:rPr>
          <w:rStyle w:val="Strong"/>
          <w:sz w:val="32"/>
          <w:szCs w:val="28"/>
        </w:rPr>
        <w:t>Section C: Measurement of Research Constructs</w:t>
      </w:r>
    </w:p>
    <w:p w14:paraId="64FBAB94" w14:textId="5E4C85DB" w:rsidR="00641F95" w:rsidRPr="00641F95" w:rsidRDefault="00641F95" w:rsidP="00641F95">
      <w:pPr>
        <w:rPr>
          <w:sz w:val="32"/>
          <w:szCs w:val="28"/>
        </w:rPr>
      </w:pPr>
      <w:r>
        <w:t>Please indicate your level of agreement with the following statements.</w:t>
      </w:r>
    </w:p>
    <w:tbl>
      <w:tblPr>
        <w:tblStyle w:val="TableGrid"/>
        <w:tblW w:w="0" w:type="auto"/>
        <w:tblLook w:val="04A0" w:firstRow="1" w:lastRow="0" w:firstColumn="1" w:lastColumn="0" w:noHBand="0" w:noVBand="1"/>
      </w:tblPr>
      <w:tblGrid>
        <w:gridCol w:w="750"/>
        <w:gridCol w:w="1956"/>
      </w:tblGrid>
      <w:tr w:rsidR="00641F95" w14:paraId="6F21EF9F" w14:textId="77777777" w:rsidTr="00641F95">
        <w:tc>
          <w:tcPr>
            <w:tcW w:w="0" w:type="auto"/>
            <w:hideMark/>
          </w:tcPr>
          <w:p w14:paraId="25F22D6D" w14:textId="77777777" w:rsidR="00641F95" w:rsidRDefault="00641F95">
            <w:pPr>
              <w:jc w:val="center"/>
              <w:rPr>
                <w:b/>
                <w:bCs/>
              </w:rPr>
            </w:pPr>
            <w:r>
              <w:rPr>
                <w:b/>
                <w:bCs/>
              </w:rPr>
              <w:t>Scale</w:t>
            </w:r>
          </w:p>
        </w:tc>
        <w:tc>
          <w:tcPr>
            <w:tcW w:w="0" w:type="auto"/>
            <w:hideMark/>
          </w:tcPr>
          <w:p w14:paraId="56C56E36" w14:textId="77777777" w:rsidR="00641F95" w:rsidRDefault="00641F95">
            <w:pPr>
              <w:jc w:val="center"/>
              <w:rPr>
                <w:b/>
                <w:bCs/>
              </w:rPr>
            </w:pPr>
            <w:r>
              <w:rPr>
                <w:b/>
                <w:bCs/>
              </w:rPr>
              <w:t>Meaning</w:t>
            </w:r>
          </w:p>
        </w:tc>
      </w:tr>
      <w:tr w:rsidR="00641F95" w14:paraId="279A2EDC" w14:textId="77777777" w:rsidTr="00641F95">
        <w:tc>
          <w:tcPr>
            <w:tcW w:w="0" w:type="auto"/>
            <w:hideMark/>
          </w:tcPr>
          <w:p w14:paraId="03F29715" w14:textId="77777777" w:rsidR="00641F95" w:rsidRDefault="00641F95">
            <w:pPr>
              <w:jc w:val="left"/>
            </w:pPr>
            <w:r>
              <w:t>1</w:t>
            </w:r>
          </w:p>
        </w:tc>
        <w:tc>
          <w:tcPr>
            <w:tcW w:w="0" w:type="auto"/>
            <w:hideMark/>
          </w:tcPr>
          <w:p w14:paraId="0C9ABEE6" w14:textId="77777777" w:rsidR="00641F95" w:rsidRDefault="00641F95">
            <w:r>
              <w:t>Strongly Disagree</w:t>
            </w:r>
          </w:p>
        </w:tc>
      </w:tr>
      <w:tr w:rsidR="00641F95" w14:paraId="7C715ADF" w14:textId="77777777" w:rsidTr="00641F95">
        <w:tc>
          <w:tcPr>
            <w:tcW w:w="0" w:type="auto"/>
            <w:hideMark/>
          </w:tcPr>
          <w:p w14:paraId="61047554" w14:textId="77777777" w:rsidR="00641F95" w:rsidRDefault="00641F95">
            <w:r>
              <w:t>2</w:t>
            </w:r>
          </w:p>
        </w:tc>
        <w:tc>
          <w:tcPr>
            <w:tcW w:w="0" w:type="auto"/>
            <w:hideMark/>
          </w:tcPr>
          <w:p w14:paraId="0315F554" w14:textId="77777777" w:rsidR="00641F95" w:rsidRDefault="00641F95">
            <w:r>
              <w:t>Disagree</w:t>
            </w:r>
          </w:p>
        </w:tc>
      </w:tr>
      <w:tr w:rsidR="00641F95" w14:paraId="3CFBE5B7" w14:textId="77777777" w:rsidTr="00641F95">
        <w:tc>
          <w:tcPr>
            <w:tcW w:w="0" w:type="auto"/>
            <w:hideMark/>
          </w:tcPr>
          <w:p w14:paraId="23B82888" w14:textId="77777777" w:rsidR="00641F95" w:rsidRDefault="00641F95">
            <w:r>
              <w:t>3</w:t>
            </w:r>
          </w:p>
        </w:tc>
        <w:tc>
          <w:tcPr>
            <w:tcW w:w="0" w:type="auto"/>
            <w:hideMark/>
          </w:tcPr>
          <w:p w14:paraId="6AF7BC33" w14:textId="77777777" w:rsidR="00641F95" w:rsidRDefault="00641F95">
            <w:r>
              <w:t>Neutral</w:t>
            </w:r>
          </w:p>
        </w:tc>
      </w:tr>
      <w:tr w:rsidR="00641F95" w14:paraId="2479F973" w14:textId="77777777" w:rsidTr="00641F95">
        <w:tc>
          <w:tcPr>
            <w:tcW w:w="0" w:type="auto"/>
            <w:hideMark/>
          </w:tcPr>
          <w:p w14:paraId="26A87A9E" w14:textId="77777777" w:rsidR="00641F95" w:rsidRDefault="00641F95">
            <w:r>
              <w:t>4</w:t>
            </w:r>
          </w:p>
        </w:tc>
        <w:tc>
          <w:tcPr>
            <w:tcW w:w="0" w:type="auto"/>
            <w:hideMark/>
          </w:tcPr>
          <w:p w14:paraId="2874D0C6" w14:textId="77777777" w:rsidR="00641F95" w:rsidRDefault="00641F95">
            <w:r>
              <w:t>Agree</w:t>
            </w:r>
          </w:p>
        </w:tc>
      </w:tr>
      <w:tr w:rsidR="00641F95" w14:paraId="3C4223E1" w14:textId="77777777" w:rsidTr="00641F95">
        <w:tc>
          <w:tcPr>
            <w:tcW w:w="0" w:type="auto"/>
            <w:hideMark/>
          </w:tcPr>
          <w:p w14:paraId="7663691F" w14:textId="77777777" w:rsidR="00641F95" w:rsidRDefault="00641F95">
            <w:r>
              <w:t>5</w:t>
            </w:r>
          </w:p>
        </w:tc>
        <w:tc>
          <w:tcPr>
            <w:tcW w:w="0" w:type="auto"/>
            <w:hideMark/>
          </w:tcPr>
          <w:p w14:paraId="5EC4BAE1" w14:textId="77777777" w:rsidR="00641F95" w:rsidRDefault="00641F95">
            <w:r>
              <w:t>Strongly Agree</w:t>
            </w:r>
          </w:p>
        </w:tc>
      </w:tr>
    </w:tbl>
    <w:p w14:paraId="506735EB" w14:textId="63E2E488" w:rsidR="00641F95" w:rsidRDefault="00641F95" w:rsidP="00641F95"/>
    <w:p w14:paraId="228C67A4" w14:textId="77777777" w:rsidR="00641F95" w:rsidRPr="00471473" w:rsidRDefault="00641F95" w:rsidP="00471473">
      <w:pPr>
        <w:ind w:left="432"/>
        <w:rPr>
          <w:sz w:val="28"/>
          <w:szCs w:val="24"/>
        </w:rPr>
      </w:pPr>
      <w:r w:rsidRPr="00471473">
        <w:rPr>
          <w:rStyle w:val="Strong"/>
          <w:sz w:val="28"/>
          <w:szCs w:val="24"/>
        </w:rPr>
        <w:t>Construct 1: Institutional Readiness</w:t>
      </w:r>
    </w:p>
    <w:tbl>
      <w:tblPr>
        <w:tblStyle w:val="TableGrid"/>
        <w:tblW w:w="0" w:type="auto"/>
        <w:tblLook w:val="04A0" w:firstRow="1" w:lastRow="0" w:firstColumn="1" w:lastColumn="0" w:noHBand="0" w:noVBand="1"/>
      </w:tblPr>
      <w:tblGrid>
        <w:gridCol w:w="750"/>
        <w:gridCol w:w="6485"/>
        <w:gridCol w:w="423"/>
        <w:gridCol w:w="423"/>
        <w:gridCol w:w="423"/>
        <w:gridCol w:w="423"/>
        <w:gridCol w:w="423"/>
      </w:tblGrid>
      <w:tr w:rsidR="00641F95" w14:paraId="2C9D0579" w14:textId="77777777" w:rsidTr="00641F95">
        <w:tc>
          <w:tcPr>
            <w:tcW w:w="0" w:type="auto"/>
            <w:hideMark/>
          </w:tcPr>
          <w:p w14:paraId="7F70CE4C" w14:textId="77777777" w:rsidR="00641F95" w:rsidRDefault="00641F95">
            <w:pPr>
              <w:jc w:val="center"/>
              <w:rPr>
                <w:b/>
                <w:bCs/>
              </w:rPr>
            </w:pPr>
            <w:r>
              <w:rPr>
                <w:b/>
                <w:bCs/>
              </w:rPr>
              <w:t>Code</w:t>
            </w:r>
          </w:p>
        </w:tc>
        <w:tc>
          <w:tcPr>
            <w:tcW w:w="0" w:type="auto"/>
            <w:hideMark/>
          </w:tcPr>
          <w:p w14:paraId="25A74401" w14:textId="77777777" w:rsidR="00641F95" w:rsidRDefault="00641F95">
            <w:pPr>
              <w:jc w:val="center"/>
              <w:rPr>
                <w:b/>
                <w:bCs/>
              </w:rPr>
            </w:pPr>
            <w:r>
              <w:rPr>
                <w:b/>
                <w:bCs/>
              </w:rPr>
              <w:t>Statement</w:t>
            </w:r>
          </w:p>
        </w:tc>
        <w:tc>
          <w:tcPr>
            <w:tcW w:w="0" w:type="auto"/>
            <w:hideMark/>
          </w:tcPr>
          <w:p w14:paraId="1CE8A0B9" w14:textId="77777777" w:rsidR="00641F95" w:rsidRDefault="00641F95">
            <w:pPr>
              <w:jc w:val="center"/>
              <w:rPr>
                <w:b/>
                <w:bCs/>
              </w:rPr>
            </w:pPr>
            <w:r>
              <w:rPr>
                <w:b/>
                <w:bCs/>
              </w:rPr>
              <w:t>1</w:t>
            </w:r>
          </w:p>
        </w:tc>
        <w:tc>
          <w:tcPr>
            <w:tcW w:w="0" w:type="auto"/>
            <w:hideMark/>
          </w:tcPr>
          <w:p w14:paraId="236AA230" w14:textId="77777777" w:rsidR="00641F95" w:rsidRDefault="00641F95">
            <w:pPr>
              <w:jc w:val="center"/>
              <w:rPr>
                <w:b/>
                <w:bCs/>
              </w:rPr>
            </w:pPr>
            <w:r>
              <w:rPr>
                <w:b/>
                <w:bCs/>
              </w:rPr>
              <w:t>2</w:t>
            </w:r>
          </w:p>
        </w:tc>
        <w:tc>
          <w:tcPr>
            <w:tcW w:w="0" w:type="auto"/>
            <w:hideMark/>
          </w:tcPr>
          <w:p w14:paraId="4CDCE221" w14:textId="77777777" w:rsidR="00641F95" w:rsidRDefault="00641F95">
            <w:pPr>
              <w:jc w:val="center"/>
              <w:rPr>
                <w:b/>
                <w:bCs/>
              </w:rPr>
            </w:pPr>
            <w:r>
              <w:rPr>
                <w:b/>
                <w:bCs/>
              </w:rPr>
              <w:t>3</w:t>
            </w:r>
          </w:p>
        </w:tc>
        <w:tc>
          <w:tcPr>
            <w:tcW w:w="0" w:type="auto"/>
            <w:hideMark/>
          </w:tcPr>
          <w:p w14:paraId="50DBEBE5" w14:textId="77777777" w:rsidR="00641F95" w:rsidRDefault="00641F95">
            <w:pPr>
              <w:jc w:val="center"/>
              <w:rPr>
                <w:b/>
                <w:bCs/>
              </w:rPr>
            </w:pPr>
            <w:r>
              <w:rPr>
                <w:b/>
                <w:bCs/>
              </w:rPr>
              <w:t>4</w:t>
            </w:r>
          </w:p>
        </w:tc>
        <w:tc>
          <w:tcPr>
            <w:tcW w:w="0" w:type="auto"/>
            <w:hideMark/>
          </w:tcPr>
          <w:p w14:paraId="1FF59D37" w14:textId="77777777" w:rsidR="00641F95" w:rsidRDefault="00641F95">
            <w:pPr>
              <w:jc w:val="center"/>
              <w:rPr>
                <w:b/>
                <w:bCs/>
              </w:rPr>
            </w:pPr>
            <w:r>
              <w:rPr>
                <w:b/>
                <w:bCs/>
              </w:rPr>
              <w:t>5</w:t>
            </w:r>
          </w:p>
        </w:tc>
      </w:tr>
      <w:tr w:rsidR="00641F95" w14:paraId="2B1BF44A" w14:textId="77777777" w:rsidTr="00641F95">
        <w:tc>
          <w:tcPr>
            <w:tcW w:w="0" w:type="auto"/>
            <w:hideMark/>
          </w:tcPr>
          <w:p w14:paraId="1EE7B92B" w14:textId="77777777" w:rsidR="00641F95" w:rsidRDefault="00641F95">
            <w:pPr>
              <w:jc w:val="left"/>
            </w:pPr>
            <w:r>
              <w:t>IR1</w:t>
            </w:r>
          </w:p>
        </w:tc>
        <w:tc>
          <w:tcPr>
            <w:tcW w:w="0" w:type="auto"/>
            <w:hideMark/>
          </w:tcPr>
          <w:p w14:paraId="3AB761AA" w14:textId="77777777" w:rsidR="00641F95" w:rsidRDefault="00641F95">
            <w:r>
              <w:t>UK institutions demonstrate adequate preparedness to support EV adoption</w:t>
            </w:r>
          </w:p>
        </w:tc>
        <w:tc>
          <w:tcPr>
            <w:tcW w:w="0" w:type="auto"/>
            <w:hideMark/>
          </w:tcPr>
          <w:p w14:paraId="282A95B2" w14:textId="77777777" w:rsidR="00641F95" w:rsidRDefault="00641F95">
            <w:r>
              <w:rPr>
                <w:rFonts w:ascii="Segoe UI Symbol" w:hAnsi="Segoe UI Symbol" w:cs="Segoe UI Symbol"/>
              </w:rPr>
              <w:t>☐</w:t>
            </w:r>
          </w:p>
        </w:tc>
        <w:tc>
          <w:tcPr>
            <w:tcW w:w="0" w:type="auto"/>
            <w:hideMark/>
          </w:tcPr>
          <w:p w14:paraId="04BD8677" w14:textId="77777777" w:rsidR="00641F95" w:rsidRDefault="00641F95">
            <w:r>
              <w:rPr>
                <w:rFonts w:ascii="Segoe UI Symbol" w:hAnsi="Segoe UI Symbol" w:cs="Segoe UI Symbol"/>
              </w:rPr>
              <w:t>☐</w:t>
            </w:r>
          </w:p>
        </w:tc>
        <w:tc>
          <w:tcPr>
            <w:tcW w:w="0" w:type="auto"/>
            <w:hideMark/>
          </w:tcPr>
          <w:p w14:paraId="75DC2A91" w14:textId="77777777" w:rsidR="00641F95" w:rsidRDefault="00641F95">
            <w:r>
              <w:rPr>
                <w:rFonts w:ascii="Segoe UI Symbol" w:hAnsi="Segoe UI Symbol" w:cs="Segoe UI Symbol"/>
              </w:rPr>
              <w:t>☐</w:t>
            </w:r>
          </w:p>
        </w:tc>
        <w:tc>
          <w:tcPr>
            <w:tcW w:w="0" w:type="auto"/>
            <w:hideMark/>
          </w:tcPr>
          <w:p w14:paraId="1A59E461" w14:textId="77777777" w:rsidR="00641F95" w:rsidRDefault="00641F95">
            <w:r>
              <w:rPr>
                <w:rFonts w:ascii="Segoe UI Symbol" w:hAnsi="Segoe UI Symbol" w:cs="Segoe UI Symbol"/>
              </w:rPr>
              <w:t>☐</w:t>
            </w:r>
          </w:p>
        </w:tc>
        <w:tc>
          <w:tcPr>
            <w:tcW w:w="0" w:type="auto"/>
            <w:hideMark/>
          </w:tcPr>
          <w:p w14:paraId="059B1FB4" w14:textId="77777777" w:rsidR="00641F95" w:rsidRDefault="00641F95">
            <w:r>
              <w:rPr>
                <w:rFonts w:ascii="Segoe UI Symbol" w:hAnsi="Segoe UI Symbol" w:cs="Segoe UI Symbol"/>
              </w:rPr>
              <w:t>☐</w:t>
            </w:r>
          </w:p>
        </w:tc>
      </w:tr>
      <w:tr w:rsidR="00641F95" w14:paraId="0096E531" w14:textId="77777777" w:rsidTr="00641F95">
        <w:tc>
          <w:tcPr>
            <w:tcW w:w="0" w:type="auto"/>
            <w:hideMark/>
          </w:tcPr>
          <w:p w14:paraId="6A7781B0" w14:textId="77777777" w:rsidR="00641F95" w:rsidRDefault="00641F95">
            <w:r>
              <w:t>IR2</w:t>
            </w:r>
          </w:p>
        </w:tc>
        <w:tc>
          <w:tcPr>
            <w:tcW w:w="0" w:type="auto"/>
            <w:hideMark/>
          </w:tcPr>
          <w:p w14:paraId="05B72FBB" w14:textId="77777777" w:rsidR="00641F95" w:rsidRDefault="00641F95">
            <w:r>
              <w:t>Government agencies provide clear strategic direction for EV development</w:t>
            </w:r>
          </w:p>
        </w:tc>
        <w:tc>
          <w:tcPr>
            <w:tcW w:w="0" w:type="auto"/>
            <w:hideMark/>
          </w:tcPr>
          <w:p w14:paraId="5FAED6E6" w14:textId="77777777" w:rsidR="00641F95" w:rsidRDefault="00641F95">
            <w:r>
              <w:rPr>
                <w:rFonts w:ascii="Segoe UI Symbol" w:hAnsi="Segoe UI Symbol" w:cs="Segoe UI Symbol"/>
              </w:rPr>
              <w:t>☐</w:t>
            </w:r>
          </w:p>
        </w:tc>
        <w:tc>
          <w:tcPr>
            <w:tcW w:w="0" w:type="auto"/>
            <w:hideMark/>
          </w:tcPr>
          <w:p w14:paraId="517717B6" w14:textId="77777777" w:rsidR="00641F95" w:rsidRDefault="00641F95">
            <w:r>
              <w:rPr>
                <w:rFonts w:ascii="Segoe UI Symbol" w:hAnsi="Segoe UI Symbol" w:cs="Segoe UI Symbol"/>
              </w:rPr>
              <w:t>☐</w:t>
            </w:r>
          </w:p>
        </w:tc>
        <w:tc>
          <w:tcPr>
            <w:tcW w:w="0" w:type="auto"/>
            <w:hideMark/>
          </w:tcPr>
          <w:p w14:paraId="60D57902" w14:textId="77777777" w:rsidR="00641F95" w:rsidRDefault="00641F95">
            <w:r>
              <w:rPr>
                <w:rFonts w:ascii="Segoe UI Symbol" w:hAnsi="Segoe UI Symbol" w:cs="Segoe UI Symbol"/>
              </w:rPr>
              <w:t>☐</w:t>
            </w:r>
          </w:p>
        </w:tc>
        <w:tc>
          <w:tcPr>
            <w:tcW w:w="0" w:type="auto"/>
            <w:hideMark/>
          </w:tcPr>
          <w:p w14:paraId="78901E09" w14:textId="77777777" w:rsidR="00641F95" w:rsidRDefault="00641F95">
            <w:r>
              <w:rPr>
                <w:rFonts w:ascii="Segoe UI Symbol" w:hAnsi="Segoe UI Symbol" w:cs="Segoe UI Symbol"/>
              </w:rPr>
              <w:t>☐</w:t>
            </w:r>
          </w:p>
        </w:tc>
        <w:tc>
          <w:tcPr>
            <w:tcW w:w="0" w:type="auto"/>
            <w:hideMark/>
          </w:tcPr>
          <w:p w14:paraId="4BDD3714" w14:textId="77777777" w:rsidR="00641F95" w:rsidRDefault="00641F95">
            <w:r>
              <w:rPr>
                <w:rFonts w:ascii="Segoe UI Symbol" w:hAnsi="Segoe UI Symbol" w:cs="Segoe UI Symbol"/>
              </w:rPr>
              <w:t>☐</w:t>
            </w:r>
          </w:p>
        </w:tc>
      </w:tr>
      <w:tr w:rsidR="00641F95" w14:paraId="0A1A9800" w14:textId="77777777" w:rsidTr="00641F95">
        <w:tc>
          <w:tcPr>
            <w:tcW w:w="0" w:type="auto"/>
            <w:hideMark/>
          </w:tcPr>
          <w:p w14:paraId="37E343FF" w14:textId="77777777" w:rsidR="00641F95" w:rsidRDefault="00641F95">
            <w:r>
              <w:t>IR3</w:t>
            </w:r>
          </w:p>
        </w:tc>
        <w:tc>
          <w:tcPr>
            <w:tcW w:w="0" w:type="auto"/>
            <w:hideMark/>
          </w:tcPr>
          <w:p w14:paraId="24B45426" w14:textId="77777777" w:rsidR="00641F95" w:rsidRDefault="00641F95">
            <w:r>
              <w:t>Institutional coordination across sectors (energy, transport, digital) is effective</w:t>
            </w:r>
          </w:p>
        </w:tc>
        <w:tc>
          <w:tcPr>
            <w:tcW w:w="0" w:type="auto"/>
            <w:hideMark/>
          </w:tcPr>
          <w:p w14:paraId="350CF1D3" w14:textId="77777777" w:rsidR="00641F95" w:rsidRDefault="00641F95">
            <w:r>
              <w:rPr>
                <w:rFonts w:ascii="Segoe UI Symbol" w:hAnsi="Segoe UI Symbol" w:cs="Segoe UI Symbol"/>
              </w:rPr>
              <w:t>☐</w:t>
            </w:r>
          </w:p>
        </w:tc>
        <w:tc>
          <w:tcPr>
            <w:tcW w:w="0" w:type="auto"/>
            <w:hideMark/>
          </w:tcPr>
          <w:p w14:paraId="4CA5F216" w14:textId="77777777" w:rsidR="00641F95" w:rsidRDefault="00641F95">
            <w:r>
              <w:rPr>
                <w:rFonts w:ascii="Segoe UI Symbol" w:hAnsi="Segoe UI Symbol" w:cs="Segoe UI Symbol"/>
              </w:rPr>
              <w:t>☐</w:t>
            </w:r>
          </w:p>
        </w:tc>
        <w:tc>
          <w:tcPr>
            <w:tcW w:w="0" w:type="auto"/>
            <w:hideMark/>
          </w:tcPr>
          <w:p w14:paraId="154505F2" w14:textId="77777777" w:rsidR="00641F95" w:rsidRDefault="00641F95">
            <w:r>
              <w:rPr>
                <w:rFonts w:ascii="Segoe UI Symbol" w:hAnsi="Segoe UI Symbol" w:cs="Segoe UI Symbol"/>
              </w:rPr>
              <w:t>☐</w:t>
            </w:r>
          </w:p>
        </w:tc>
        <w:tc>
          <w:tcPr>
            <w:tcW w:w="0" w:type="auto"/>
            <w:hideMark/>
          </w:tcPr>
          <w:p w14:paraId="1401C120" w14:textId="77777777" w:rsidR="00641F95" w:rsidRDefault="00641F95">
            <w:r>
              <w:rPr>
                <w:rFonts w:ascii="Segoe UI Symbol" w:hAnsi="Segoe UI Symbol" w:cs="Segoe UI Symbol"/>
              </w:rPr>
              <w:t>☐</w:t>
            </w:r>
          </w:p>
        </w:tc>
        <w:tc>
          <w:tcPr>
            <w:tcW w:w="0" w:type="auto"/>
            <w:hideMark/>
          </w:tcPr>
          <w:p w14:paraId="225AA28C" w14:textId="77777777" w:rsidR="00641F95" w:rsidRDefault="00641F95">
            <w:r>
              <w:rPr>
                <w:rFonts w:ascii="Segoe UI Symbol" w:hAnsi="Segoe UI Symbol" w:cs="Segoe UI Symbol"/>
              </w:rPr>
              <w:t>☐</w:t>
            </w:r>
          </w:p>
        </w:tc>
      </w:tr>
      <w:tr w:rsidR="00641F95" w14:paraId="5F80AE41" w14:textId="77777777" w:rsidTr="00641F95">
        <w:tc>
          <w:tcPr>
            <w:tcW w:w="0" w:type="auto"/>
            <w:hideMark/>
          </w:tcPr>
          <w:p w14:paraId="3945E1E3" w14:textId="77777777" w:rsidR="00641F95" w:rsidRDefault="00641F95">
            <w:r>
              <w:t>IR4</w:t>
            </w:r>
          </w:p>
        </w:tc>
        <w:tc>
          <w:tcPr>
            <w:tcW w:w="0" w:type="auto"/>
            <w:hideMark/>
          </w:tcPr>
          <w:p w14:paraId="48F7898C" w14:textId="77777777" w:rsidR="00641F95" w:rsidRDefault="00641F95">
            <w:r>
              <w:t>Institutional support for EV adoption is consistent across UK regions</w:t>
            </w:r>
          </w:p>
        </w:tc>
        <w:tc>
          <w:tcPr>
            <w:tcW w:w="0" w:type="auto"/>
            <w:hideMark/>
          </w:tcPr>
          <w:p w14:paraId="5B648FA8" w14:textId="77777777" w:rsidR="00641F95" w:rsidRDefault="00641F95">
            <w:r>
              <w:rPr>
                <w:rFonts w:ascii="Segoe UI Symbol" w:hAnsi="Segoe UI Symbol" w:cs="Segoe UI Symbol"/>
              </w:rPr>
              <w:t>☐</w:t>
            </w:r>
          </w:p>
        </w:tc>
        <w:tc>
          <w:tcPr>
            <w:tcW w:w="0" w:type="auto"/>
            <w:hideMark/>
          </w:tcPr>
          <w:p w14:paraId="3BE80B08" w14:textId="77777777" w:rsidR="00641F95" w:rsidRDefault="00641F95">
            <w:r>
              <w:rPr>
                <w:rFonts w:ascii="Segoe UI Symbol" w:hAnsi="Segoe UI Symbol" w:cs="Segoe UI Symbol"/>
              </w:rPr>
              <w:t>☐</w:t>
            </w:r>
          </w:p>
        </w:tc>
        <w:tc>
          <w:tcPr>
            <w:tcW w:w="0" w:type="auto"/>
            <w:hideMark/>
          </w:tcPr>
          <w:p w14:paraId="4FFBF411" w14:textId="77777777" w:rsidR="00641F95" w:rsidRDefault="00641F95">
            <w:r>
              <w:rPr>
                <w:rFonts w:ascii="Segoe UI Symbol" w:hAnsi="Segoe UI Symbol" w:cs="Segoe UI Symbol"/>
              </w:rPr>
              <w:t>☐</w:t>
            </w:r>
          </w:p>
        </w:tc>
        <w:tc>
          <w:tcPr>
            <w:tcW w:w="0" w:type="auto"/>
            <w:hideMark/>
          </w:tcPr>
          <w:p w14:paraId="0FCF18EE" w14:textId="77777777" w:rsidR="00641F95" w:rsidRDefault="00641F95">
            <w:r>
              <w:rPr>
                <w:rFonts w:ascii="Segoe UI Symbol" w:hAnsi="Segoe UI Symbol" w:cs="Segoe UI Symbol"/>
              </w:rPr>
              <w:t>☐</w:t>
            </w:r>
          </w:p>
        </w:tc>
        <w:tc>
          <w:tcPr>
            <w:tcW w:w="0" w:type="auto"/>
            <w:hideMark/>
          </w:tcPr>
          <w:p w14:paraId="16FC1364" w14:textId="77777777" w:rsidR="00641F95" w:rsidRDefault="00641F95">
            <w:r>
              <w:rPr>
                <w:rFonts w:ascii="Segoe UI Symbol" w:hAnsi="Segoe UI Symbol" w:cs="Segoe UI Symbol"/>
              </w:rPr>
              <w:t>☐</w:t>
            </w:r>
          </w:p>
        </w:tc>
      </w:tr>
      <w:tr w:rsidR="00641F95" w14:paraId="2881EDEF" w14:textId="77777777" w:rsidTr="00641F95">
        <w:tc>
          <w:tcPr>
            <w:tcW w:w="0" w:type="auto"/>
            <w:hideMark/>
          </w:tcPr>
          <w:p w14:paraId="66A9E607" w14:textId="77777777" w:rsidR="00641F95" w:rsidRDefault="00641F95">
            <w:r>
              <w:t>IR5</w:t>
            </w:r>
          </w:p>
        </w:tc>
        <w:tc>
          <w:tcPr>
            <w:tcW w:w="0" w:type="auto"/>
            <w:hideMark/>
          </w:tcPr>
          <w:p w14:paraId="1EEA8265" w14:textId="77777777" w:rsidR="00641F95" w:rsidRDefault="00641F95">
            <w:r>
              <w:t>Institutions are adaptive to emerging EV technologies and infrastructure needs</w:t>
            </w:r>
          </w:p>
        </w:tc>
        <w:tc>
          <w:tcPr>
            <w:tcW w:w="0" w:type="auto"/>
            <w:hideMark/>
          </w:tcPr>
          <w:p w14:paraId="25992D17" w14:textId="77777777" w:rsidR="00641F95" w:rsidRDefault="00641F95">
            <w:r>
              <w:rPr>
                <w:rFonts w:ascii="Segoe UI Symbol" w:hAnsi="Segoe UI Symbol" w:cs="Segoe UI Symbol"/>
              </w:rPr>
              <w:t>☐</w:t>
            </w:r>
          </w:p>
        </w:tc>
        <w:tc>
          <w:tcPr>
            <w:tcW w:w="0" w:type="auto"/>
            <w:hideMark/>
          </w:tcPr>
          <w:p w14:paraId="0063A161" w14:textId="77777777" w:rsidR="00641F95" w:rsidRDefault="00641F95">
            <w:r>
              <w:rPr>
                <w:rFonts w:ascii="Segoe UI Symbol" w:hAnsi="Segoe UI Symbol" w:cs="Segoe UI Symbol"/>
              </w:rPr>
              <w:t>☐</w:t>
            </w:r>
          </w:p>
        </w:tc>
        <w:tc>
          <w:tcPr>
            <w:tcW w:w="0" w:type="auto"/>
            <w:hideMark/>
          </w:tcPr>
          <w:p w14:paraId="0932A76F" w14:textId="77777777" w:rsidR="00641F95" w:rsidRDefault="00641F95">
            <w:r>
              <w:rPr>
                <w:rFonts w:ascii="Segoe UI Symbol" w:hAnsi="Segoe UI Symbol" w:cs="Segoe UI Symbol"/>
              </w:rPr>
              <w:t>☐</w:t>
            </w:r>
          </w:p>
        </w:tc>
        <w:tc>
          <w:tcPr>
            <w:tcW w:w="0" w:type="auto"/>
            <w:hideMark/>
          </w:tcPr>
          <w:p w14:paraId="774E12B5" w14:textId="77777777" w:rsidR="00641F95" w:rsidRDefault="00641F95">
            <w:r>
              <w:rPr>
                <w:rFonts w:ascii="Segoe UI Symbol" w:hAnsi="Segoe UI Symbol" w:cs="Segoe UI Symbol"/>
              </w:rPr>
              <w:t>☐</w:t>
            </w:r>
          </w:p>
        </w:tc>
        <w:tc>
          <w:tcPr>
            <w:tcW w:w="0" w:type="auto"/>
            <w:hideMark/>
          </w:tcPr>
          <w:p w14:paraId="0930999E" w14:textId="77777777" w:rsidR="00641F95" w:rsidRDefault="00641F95">
            <w:r>
              <w:rPr>
                <w:rFonts w:ascii="Segoe UI Symbol" w:hAnsi="Segoe UI Symbol" w:cs="Segoe UI Symbol"/>
              </w:rPr>
              <w:t>☐</w:t>
            </w:r>
          </w:p>
        </w:tc>
      </w:tr>
    </w:tbl>
    <w:p w14:paraId="1B91B1C2" w14:textId="7C6CE3E7" w:rsidR="00641F95" w:rsidRDefault="00641F95" w:rsidP="00641F95"/>
    <w:p w14:paraId="3F5D2157" w14:textId="77777777" w:rsidR="00641F95" w:rsidRPr="00471473" w:rsidRDefault="00641F95" w:rsidP="00471473">
      <w:pPr>
        <w:ind w:left="432"/>
        <w:rPr>
          <w:sz w:val="28"/>
          <w:szCs w:val="24"/>
        </w:rPr>
      </w:pPr>
      <w:r w:rsidRPr="00471473">
        <w:rPr>
          <w:rStyle w:val="Strong"/>
          <w:sz w:val="28"/>
          <w:szCs w:val="24"/>
        </w:rPr>
        <w:t>Construct 2: Policy Support and Governance</w:t>
      </w:r>
    </w:p>
    <w:tbl>
      <w:tblPr>
        <w:tblStyle w:val="TableGrid"/>
        <w:tblW w:w="0" w:type="auto"/>
        <w:tblLook w:val="04A0" w:firstRow="1" w:lastRow="0" w:firstColumn="1" w:lastColumn="0" w:noHBand="0" w:noVBand="1"/>
      </w:tblPr>
      <w:tblGrid>
        <w:gridCol w:w="750"/>
        <w:gridCol w:w="6485"/>
        <w:gridCol w:w="423"/>
        <w:gridCol w:w="423"/>
        <w:gridCol w:w="423"/>
        <w:gridCol w:w="423"/>
        <w:gridCol w:w="423"/>
      </w:tblGrid>
      <w:tr w:rsidR="00641F95" w14:paraId="6EC175BA" w14:textId="77777777" w:rsidTr="00641F95">
        <w:tc>
          <w:tcPr>
            <w:tcW w:w="0" w:type="auto"/>
            <w:hideMark/>
          </w:tcPr>
          <w:p w14:paraId="72D4D37B" w14:textId="77777777" w:rsidR="00641F95" w:rsidRDefault="00641F95">
            <w:pPr>
              <w:jc w:val="center"/>
              <w:rPr>
                <w:b/>
                <w:bCs/>
              </w:rPr>
            </w:pPr>
            <w:r>
              <w:rPr>
                <w:b/>
                <w:bCs/>
              </w:rPr>
              <w:t>Code</w:t>
            </w:r>
          </w:p>
        </w:tc>
        <w:tc>
          <w:tcPr>
            <w:tcW w:w="0" w:type="auto"/>
            <w:hideMark/>
          </w:tcPr>
          <w:p w14:paraId="69C1FD75" w14:textId="77777777" w:rsidR="00641F95" w:rsidRDefault="00641F95">
            <w:pPr>
              <w:jc w:val="center"/>
              <w:rPr>
                <w:b/>
                <w:bCs/>
              </w:rPr>
            </w:pPr>
            <w:r>
              <w:rPr>
                <w:b/>
                <w:bCs/>
              </w:rPr>
              <w:t>Statement</w:t>
            </w:r>
          </w:p>
        </w:tc>
        <w:tc>
          <w:tcPr>
            <w:tcW w:w="0" w:type="auto"/>
            <w:hideMark/>
          </w:tcPr>
          <w:p w14:paraId="5225615F" w14:textId="77777777" w:rsidR="00641F95" w:rsidRDefault="00641F95">
            <w:pPr>
              <w:jc w:val="center"/>
              <w:rPr>
                <w:b/>
                <w:bCs/>
              </w:rPr>
            </w:pPr>
            <w:r>
              <w:rPr>
                <w:b/>
                <w:bCs/>
              </w:rPr>
              <w:t>1</w:t>
            </w:r>
          </w:p>
        </w:tc>
        <w:tc>
          <w:tcPr>
            <w:tcW w:w="0" w:type="auto"/>
            <w:hideMark/>
          </w:tcPr>
          <w:p w14:paraId="7F155A9E" w14:textId="77777777" w:rsidR="00641F95" w:rsidRDefault="00641F95">
            <w:pPr>
              <w:jc w:val="center"/>
              <w:rPr>
                <w:b/>
                <w:bCs/>
              </w:rPr>
            </w:pPr>
            <w:r>
              <w:rPr>
                <w:b/>
                <w:bCs/>
              </w:rPr>
              <w:t>2</w:t>
            </w:r>
          </w:p>
        </w:tc>
        <w:tc>
          <w:tcPr>
            <w:tcW w:w="0" w:type="auto"/>
            <w:hideMark/>
          </w:tcPr>
          <w:p w14:paraId="714248D2" w14:textId="77777777" w:rsidR="00641F95" w:rsidRDefault="00641F95">
            <w:pPr>
              <w:jc w:val="center"/>
              <w:rPr>
                <w:b/>
                <w:bCs/>
              </w:rPr>
            </w:pPr>
            <w:r>
              <w:rPr>
                <w:b/>
                <w:bCs/>
              </w:rPr>
              <w:t>3</w:t>
            </w:r>
          </w:p>
        </w:tc>
        <w:tc>
          <w:tcPr>
            <w:tcW w:w="0" w:type="auto"/>
            <w:hideMark/>
          </w:tcPr>
          <w:p w14:paraId="16F09003" w14:textId="77777777" w:rsidR="00641F95" w:rsidRDefault="00641F95">
            <w:pPr>
              <w:jc w:val="center"/>
              <w:rPr>
                <w:b/>
                <w:bCs/>
              </w:rPr>
            </w:pPr>
            <w:r>
              <w:rPr>
                <w:b/>
                <w:bCs/>
              </w:rPr>
              <w:t>4</w:t>
            </w:r>
          </w:p>
        </w:tc>
        <w:tc>
          <w:tcPr>
            <w:tcW w:w="0" w:type="auto"/>
            <w:hideMark/>
          </w:tcPr>
          <w:p w14:paraId="25D16FF9" w14:textId="77777777" w:rsidR="00641F95" w:rsidRDefault="00641F95">
            <w:pPr>
              <w:jc w:val="center"/>
              <w:rPr>
                <w:b/>
                <w:bCs/>
              </w:rPr>
            </w:pPr>
            <w:r>
              <w:rPr>
                <w:b/>
                <w:bCs/>
              </w:rPr>
              <w:t>5</w:t>
            </w:r>
          </w:p>
        </w:tc>
      </w:tr>
      <w:tr w:rsidR="00641F95" w14:paraId="794CC7CB" w14:textId="77777777" w:rsidTr="00641F95">
        <w:tc>
          <w:tcPr>
            <w:tcW w:w="0" w:type="auto"/>
            <w:hideMark/>
          </w:tcPr>
          <w:p w14:paraId="0ECE4B59" w14:textId="77777777" w:rsidR="00641F95" w:rsidRDefault="00641F95">
            <w:pPr>
              <w:jc w:val="left"/>
            </w:pPr>
            <w:r>
              <w:t>PG1</w:t>
            </w:r>
          </w:p>
        </w:tc>
        <w:tc>
          <w:tcPr>
            <w:tcW w:w="0" w:type="auto"/>
            <w:hideMark/>
          </w:tcPr>
          <w:p w14:paraId="1B2D42AB" w14:textId="77777777" w:rsidR="00641F95" w:rsidRDefault="00641F95">
            <w:r>
              <w:t>Government policies effectively promote EV adoption</w:t>
            </w:r>
          </w:p>
        </w:tc>
        <w:tc>
          <w:tcPr>
            <w:tcW w:w="0" w:type="auto"/>
            <w:hideMark/>
          </w:tcPr>
          <w:p w14:paraId="3263497A" w14:textId="77777777" w:rsidR="00641F95" w:rsidRDefault="00641F95">
            <w:r>
              <w:rPr>
                <w:rFonts w:ascii="Segoe UI Symbol" w:hAnsi="Segoe UI Symbol" w:cs="Segoe UI Symbol"/>
              </w:rPr>
              <w:t>☐</w:t>
            </w:r>
          </w:p>
        </w:tc>
        <w:tc>
          <w:tcPr>
            <w:tcW w:w="0" w:type="auto"/>
            <w:hideMark/>
          </w:tcPr>
          <w:p w14:paraId="26069F5E" w14:textId="77777777" w:rsidR="00641F95" w:rsidRDefault="00641F95">
            <w:r>
              <w:rPr>
                <w:rFonts w:ascii="Segoe UI Symbol" w:hAnsi="Segoe UI Symbol" w:cs="Segoe UI Symbol"/>
              </w:rPr>
              <w:t>☐</w:t>
            </w:r>
          </w:p>
        </w:tc>
        <w:tc>
          <w:tcPr>
            <w:tcW w:w="0" w:type="auto"/>
            <w:hideMark/>
          </w:tcPr>
          <w:p w14:paraId="671CAF04" w14:textId="77777777" w:rsidR="00641F95" w:rsidRDefault="00641F95">
            <w:r>
              <w:rPr>
                <w:rFonts w:ascii="Segoe UI Symbol" w:hAnsi="Segoe UI Symbol" w:cs="Segoe UI Symbol"/>
              </w:rPr>
              <w:t>☐</w:t>
            </w:r>
          </w:p>
        </w:tc>
        <w:tc>
          <w:tcPr>
            <w:tcW w:w="0" w:type="auto"/>
            <w:hideMark/>
          </w:tcPr>
          <w:p w14:paraId="52730C6F" w14:textId="77777777" w:rsidR="00641F95" w:rsidRDefault="00641F95">
            <w:r>
              <w:rPr>
                <w:rFonts w:ascii="Segoe UI Symbol" w:hAnsi="Segoe UI Symbol" w:cs="Segoe UI Symbol"/>
              </w:rPr>
              <w:t>☐</w:t>
            </w:r>
          </w:p>
        </w:tc>
        <w:tc>
          <w:tcPr>
            <w:tcW w:w="0" w:type="auto"/>
            <w:hideMark/>
          </w:tcPr>
          <w:p w14:paraId="22B0F251" w14:textId="77777777" w:rsidR="00641F95" w:rsidRDefault="00641F95">
            <w:r>
              <w:rPr>
                <w:rFonts w:ascii="Segoe UI Symbol" w:hAnsi="Segoe UI Symbol" w:cs="Segoe UI Symbol"/>
              </w:rPr>
              <w:t>☐</w:t>
            </w:r>
          </w:p>
        </w:tc>
      </w:tr>
      <w:tr w:rsidR="00641F95" w14:paraId="3D15FABB" w14:textId="77777777" w:rsidTr="00641F95">
        <w:tc>
          <w:tcPr>
            <w:tcW w:w="0" w:type="auto"/>
            <w:hideMark/>
          </w:tcPr>
          <w:p w14:paraId="1199A3B2" w14:textId="77777777" w:rsidR="00641F95" w:rsidRDefault="00641F95">
            <w:r>
              <w:t>PG2</w:t>
            </w:r>
          </w:p>
        </w:tc>
        <w:tc>
          <w:tcPr>
            <w:tcW w:w="0" w:type="auto"/>
            <w:hideMark/>
          </w:tcPr>
          <w:p w14:paraId="4E299B56" w14:textId="77777777" w:rsidR="00641F95" w:rsidRDefault="00641F95">
            <w:r>
              <w:t>Financial incentives significantly influence EV adoption decisions</w:t>
            </w:r>
          </w:p>
        </w:tc>
        <w:tc>
          <w:tcPr>
            <w:tcW w:w="0" w:type="auto"/>
            <w:hideMark/>
          </w:tcPr>
          <w:p w14:paraId="2D390A82" w14:textId="77777777" w:rsidR="00641F95" w:rsidRDefault="00641F95">
            <w:r>
              <w:rPr>
                <w:rFonts w:ascii="Segoe UI Symbol" w:hAnsi="Segoe UI Symbol" w:cs="Segoe UI Symbol"/>
              </w:rPr>
              <w:t>☐</w:t>
            </w:r>
          </w:p>
        </w:tc>
        <w:tc>
          <w:tcPr>
            <w:tcW w:w="0" w:type="auto"/>
            <w:hideMark/>
          </w:tcPr>
          <w:p w14:paraId="0054F605" w14:textId="77777777" w:rsidR="00641F95" w:rsidRDefault="00641F95">
            <w:r>
              <w:rPr>
                <w:rFonts w:ascii="Segoe UI Symbol" w:hAnsi="Segoe UI Symbol" w:cs="Segoe UI Symbol"/>
              </w:rPr>
              <w:t>☐</w:t>
            </w:r>
          </w:p>
        </w:tc>
        <w:tc>
          <w:tcPr>
            <w:tcW w:w="0" w:type="auto"/>
            <w:hideMark/>
          </w:tcPr>
          <w:p w14:paraId="566EDAA8" w14:textId="77777777" w:rsidR="00641F95" w:rsidRDefault="00641F95">
            <w:r>
              <w:rPr>
                <w:rFonts w:ascii="Segoe UI Symbol" w:hAnsi="Segoe UI Symbol" w:cs="Segoe UI Symbol"/>
              </w:rPr>
              <w:t>☐</w:t>
            </w:r>
          </w:p>
        </w:tc>
        <w:tc>
          <w:tcPr>
            <w:tcW w:w="0" w:type="auto"/>
            <w:hideMark/>
          </w:tcPr>
          <w:p w14:paraId="75C74BC0" w14:textId="77777777" w:rsidR="00641F95" w:rsidRDefault="00641F95">
            <w:r>
              <w:rPr>
                <w:rFonts w:ascii="Segoe UI Symbol" w:hAnsi="Segoe UI Symbol" w:cs="Segoe UI Symbol"/>
              </w:rPr>
              <w:t>☐</w:t>
            </w:r>
          </w:p>
        </w:tc>
        <w:tc>
          <w:tcPr>
            <w:tcW w:w="0" w:type="auto"/>
            <w:hideMark/>
          </w:tcPr>
          <w:p w14:paraId="79B2027A" w14:textId="77777777" w:rsidR="00641F95" w:rsidRDefault="00641F95">
            <w:r>
              <w:rPr>
                <w:rFonts w:ascii="Segoe UI Symbol" w:hAnsi="Segoe UI Symbol" w:cs="Segoe UI Symbol"/>
              </w:rPr>
              <w:t>☐</w:t>
            </w:r>
          </w:p>
        </w:tc>
      </w:tr>
      <w:tr w:rsidR="00641F95" w14:paraId="6AF17C63" w14:textId="77777777" w:rsidTr="00641F95">
        <w:tc>
          <w:tcPr>
            <w:tcW w:w="0" w:type="auto"/>
            <w:hideMark/>
          </w:tcPr>
          <w:p w14:paraId="0F40ADE1" w14:textId="77777777" w:rsidR="00641F95" w:rsidRDefault="00641F95">
            <w:r>
              <w:lastRenderedPageBreak/>
              <w:t>PG3</w:t>
            </w:r>
          </w:p>
        </w:tc>
        <w:tc>
          <w:tcPr>
            <w:tcW w:w="0" w:type="auto"/>
            <w:hideMark/>
          </w:tcPr>
          <w:p w14:paraId="3F5B5154" w14:textId="77777777" w:rsidR="00641F95" w:rsidRDefault="00641F95">
            <w:r>
              <w:t>EV-related regulations are clear and well-structured</w:t>
            </w:r>
          </w:p>
        </w:tc>
        <w:tc>
          <w:tcPr>
            <w:tcW w:w="0" w:type="auto"/>
            <w:hideMark/>
          </w:tcPr>
          <w:p w14:paraId="2D4BCD06" w14:textId="77777777" w:rsidR="00641F95" w:rsidRDefault="00641F95">
            <w:r>
              <w:rPr>
                <w:rFonts w:ascii="Segoe UI Symbol" w:hAnsi="Segoe UI Symbol" w:cs="Segoe UI Symbol"/>
              </w:rPr>
              <w:t>☐</w:t>
            </w:r>
          </w:p>
        </w:tc>
        <w:tc>
          <w:tcPr>
            <w:tcW w:w="0" w:type="auto"/>
            <w:hideMark/>
          </w:tcPr>
          <w:p w14:paraId="500519EC" w14:textId="77777777" w:rsidR="00641F95" w:rsidRDefault="00641F95">
            <w:r>
              <w:rPr>
                <w:rFonts w:ascii="Segoe UI Symbol" w:hAnsi="Segoe UI Symbol" w:cs="Segoe UI Symbol"/>
              </w:rPr>
              <w:t>☐</w:t>
            </w:r>
          </w:p>
        </w:tc>
        <w:tc>
          <w:tcPr>
            <w:tcW w:w="0" w:type="auto"/>
            <w:hideMark/>
          </w:tcPr>
          <w:p w14:paraId="6EC05C28" w14:textId="77777777" w:rsidR="00641F95" w:rsidRDefault="00641F95">
            <w:r>
              <w:rPr>
                <w:rFonts w:ascii="Segoe UI Symbol" w:hAnsi="Segoe UI Symbol" w:cs="Segoe UI Symbol"/>
              </w:rPr>
              <w:t>☐</w:t>
            </w:r>
          </w:p>
        </w:tc>
        <w:tc>
          <w:tcPr>
            <w:tcW w:w="0" w:type="auto"/>
            <w:hideMark/>
          </w:tcPr>
          <w:p w14:paraId="649C5A2C" w14:textId="77777777" w:rsidR="00641F95" w:rsidRDefault="00641F95">
            <w:r>
              <w:rPr>
                <w:rFonts w:ascii="Segoe UI Symbol" w:hAnsi="Segoe UI Symbol" w:cs="Segoe UI Symbol"/>
              </w:rPr>
              <w:t>☐</w:t>
            </w:r>
          </w:p>
        </w:tc>
        <w:tc>
          <w:tcPr>
            <w:tcW w:w="0" w:type="auto"/>
            <w:hideMark/>
          </w:tcPr>
          <w:p w14:paraId="5D3C3CB3" w14:textId="77777777" w:rsidR="00641F95" w:rsidRDefault="00641F95">
            <w:r>
              <w:rPr>
                <w:rFonts w:ascii="Segoe UI Symbol" w:hAnsi="Segoe UI Symbol" w:cs="Segoe UI Symbol"/>
              </w:rPr>
              <w:t>☐</w:t>
            </w:r>
          </w:p>
        </w:tc>
      </w:tr>
      <w:tr w:rsidR="00641F95" w14:paraId="493408B2" w14:textId="77777777" w:rsidTr="00641F95">
        <w:tc>
          <w:tcPr>
            <w:tcW w:w="0" w:type="auto"/>
            <w:hideMark/>
          </w:tcPr>
          <w:p w14:paraId="4D3DC83E" w14:textId="77777777" w:rsidR="00641F95" w:rsidRDefault="00641F95">
            <w:r>
              <w:t>PG4</w:t>
            </w:r>
          </w:p>
        </w:tc>
        <w:tc>
          <w:tcPr>
            <w:tcW w:w="0" w:type="auto"/>
            <w:hideMark/>
          </w:tcPr>
          <w:p w14:paraId="5637CA1D" w14:textId="77777777" w:rsidR="00641F95" w:rsidRDefault="00641F95">
            <w:r>
              <w:t>There is strong long-term governmental commitment to EV transition</w:t>
            </w:r>
          </w:p>
        </w:tc>
        <w:tc>
          <w:tcPr>
            <w:tcW w:w="0" w:type="auto"/>
            <w:hideMark/>
          </w:tcPr>
          <w:p w14:paraId="3551A156" w14:textId="77777777" w:rsidR="00641F95" w:rsidRDefault="00641F95">
            <w:r>
              <w:rPr>
                <w:rFonts w:ascii="Segoe UI Symbol" w:hAnsi="Segoe UI Symbol" w:cs="Segoe UI Symbol"/>
              </w:rPr>
              <w:t>☐</w:t>
            </w:r>
          </w:p>
        </w:tc>
        <w:tc>
          <w:tcPr>
            <w:tcW w:w="0" w:type="auto"/>
            <w:hideMark/>
          </w:tcPr>
          <w:p w14:paraId="17A7422D" w14:textId="77777777" w:rsidR="00641F95" w:rsidRDefault="00641F95">
            <w:r>
              <w:rPr>
                <w:rFonts w:ascii="Segoe UI Symbol" w:hAnsi="Segoe UI Symbol" w:cs="Segoe UI Symbol"/>
              </w:rPr>
              <w:t>☐</w:t>
            </w:r>
          </w:p>
        </w:tc>
        <w:tc>
          <w:tcPr>
            <w:tcW w:w="0" w:type="auto"/>
            <w:hideMark/>
          </w:tcPr>
          <w:p w14:paraId="06A27B56" w14:textId="77777777" w:rsidR="00641F95" w:rsidRDefault="00641F95">
            <w:r>
              <w:rPr>
                <w:rFonts w:ascii="Segoe UI Symbol" w:hAnsi="Segoe UI Symbol" w:cs="Segoe UI Symbol"/>
              </w:rPr>
              <w:t>☐</w:t>
            </w:r>
          </w:p>
        </w:tc>
        <w:tc>
          <w:tcPr>
            <w:tcW w:w="0" w:type="auto"/>
            <w:hideMark/>
          </w:tcPr>
          <w:p w14:paraId="2262548E" w14:textId="77777777" w:rsidR="00641F95" w:rsidRDefault="00641F95">
            <w:r>
              <w:rPr>
                <w:rFonts w:ascii="Segoe UI Symbol" w:hAnsi="Segoe UI Symbol" w:cs="Segoe UI Symbol"/>
              </w:rPr>
              <w:t>☐</w:t>
            </w:r>
          </w:p>
        </w:tc>
        <w:tc>
          <w:tcPr>
            <w:tcW w:w="0" w:type="auto"/>
            <w:hideMark/>
          </w:tcPr>
          <w:p w14:paraId="31529BE9" w14:textId="77777777" w:rsidR="00641F95" w:rsidRDefault="00641F95">
            <w:r>
              <w:rPr>
                <w:rFonts w:ascii="Segoe UI Symbol" w:hAnsi="Segoe UI Symbol" w:cs="Segoe UI Symbol"/>
              </w:rPr>
              <w:t>☐</w:t>
            </w:r>
          </w:p>
        </w:tc>
      </w:tr>
      <w:tr w:rsidR="00641F95" w14:paraId="467CA56D" w14:textId="77777777" w:rsidTr="00641F95">
        <w:tc>
          <w:tcPr>
            <w:tcW w:w="0" w:type="auto"/>
            <w:hideMark/>
          </w:tcPr>
          <w:p w14:paraId="6C3E6057" w14:textId="77777777" w:rsidR="00641F95" w:rsidRDefault="00641F95">
            <w:r>
              <w:t>PG5</w:t>
            </w:r>
          </w:p>
        </w:tc>
        <w:tc>
          <w:tcPr>
            <w:tcW w:w="0" w:type="auto"/>
            <w:hideMark/>
          </w:tcPr>
          <w:p w14:paraId="3002D4FB" w14:textId="77777777" w:rsidR="00641F95" w:rsidRDefault="00641F95">
            <w:r>
              <w:t>Governance frameworks support collaboration among stakeholders</w:t>
            </w:r>
          </w:p>
        </w:tc>
        <w:tc>
          <w:tcPr>
            <w:tcW w:w="0" w:type="auto"/>
            <w:hideMark/>
          </w:tcPr>
          <w:p w14:paraId="77B15FE5" w14:textId="77777777" w:rsidR="00641F95" w:rsidRDefault="00641F95">
            <w:r>
              <w:rPr>
                <w:rFonts w:ascii="Segoe UI Symbol" w:hAnsi="Segoe UI Symbol" w:cs="Segoe UI Symbol"/>
              </w:rPr>
              <w:t>☐</w:t>
            </w:r>
          </w:p>
        </w:tc>
        <w:tc>
          <w:tcPr>
            <w:tcW w:w="0" w:type="auto"/>
            <w:hideMark/>
          </w:tcPr>
          <w:p w14:paraId="6AB8D5AA" w14:textId="77777777" w:rsidR="00641F95" w:rsidRDefault="00641F95">
            <w:r>
              <w:rPr>
                <w:rFonts w:ascii="Segoe UI Symbol" w:hAnsi="Segoe UI Symbol" w:cs="Segoe UI Symbol"/>
              </w:rPr>
              <w:t>☐</w:t>
            </w:r>
          </w:p>
        </w:tc>
        <w:tc>
          <w:tcPr>
            <w:tcW w:w="0" w:type="auto"/>
            <w:hideMark/>
          </w:tcPr>
          <w:p w14:paraId="4FE9D62A" w14:textId="77777777" w:rsidR="00641F95" w:rsidRDefault="00641F95">
            <w:r>
              <w:rPr>
                <w:rFonts w:ascii="Segoe UI Symbol" w:hAnsi="Segoe UI Symbol" w:cs="Segoe UI Symbol"/>
              </w:rPr>
              <w:t>☐</w:t>
            </w:r>
          </w:p>
        </w:tc>
        <w:tc>
          <w:tcPr>
            <w:tcW w:w="0" w:type="auto"/>
            <w:hideMark/>
          </w:tcPr>
          <w:p w14:paraId="58C9E951" w14:textId="77777777" w:rsidR="00641F95" w:rsidRDefault="00641F95">
            <w:r>
              <w:rPr>
                <w:rFonts w:ascii="Segoe UI Symbol" w:hAnsi="Segoe UI Symbol" w:cs="Segoe UI Symbol"/>
              </w:rPr>
              <w:t>☐</w:t>
            </w:r>
          </w:p>
        </w:tc>
        <w:tc>
          <w:tcPr>
            <w:tcW w:w="0" w:type="auto"/>
            <w:hideMark/>
          </w:tcPr>
          <w:p w14:paraId="55089D05" w14:textId="77777777" w:rsidR="00641F95" w:rsidRDefault="00641F95">
            <w:r>
              <w:rPr>
                <w:rFonts w:ascii="Segoe UI Symbol" w:hAnsi="Segoe UI Symbol" w:cs="Segoe UI Symbol"/>
              </w:rPr>
              <w:t>☐</w:t>
            </w:r>
          </w:p>
        </w:tc>
      </w:tr>
    </w:tbl>
    <w:p w14:paraId="36E333EB" w14:textId="084EA4B8" w:rsidR="00641F95" w:rsidRDefault="00641F95" w:rsidP="00641F95"/>
    <w:p w14:paraId="454B98BC" w14:textId="77777777" w:rsidR="00641F95" w:rsidRPr="00471473" w:rsidRDefault="00641F95" w:rsidP="00471473">
      <w:pPr>
        <w:ind w:left="432"/>
        <w:rPr>
          <w:sz w:val="28"/>
          <w:szCs w:val="24"/>
        </w:rPr>
      </w:pPr>
      <w:r w:rsidRPr="00471473">
        <w:rPr>
          <w:rStyle w:val="Strong"/>
          <w:sz w:val="28"/>
          <w:szCs w:val="24"/>
        </w:rPr>
        <w:t>Construct 3: Infrastructure Readiness</w:t>
      </w:r>
    </w:p>
    <w:tbl>
      <w:tblPr>
        <w:tblStyle w:val="TableGrid"/>
        <w:tblW w:w="0" w:type="auto"/>
        <w:tblLook w:val="04A0" w:firstRow="1" w:lastRow="0" w:firstColumn="1" w:lastColumn="0" w:noHBand="0" w:noVBand="1"/>
      </w:tblPr>
      <w:tblGrid>
        <w:gridCol w:w="750"/>
        <w:gridCol w:w="6095"/>
        <w:gridCol w:w="423"/>
        <w:gridCol w:w="423"/>
        <w:gridCol w:w="423"/>
        <w:gridCol w:w="423"/>
        <w:gridCol w:w="423"/>
      </w:tblGrid>
      <w:tr w:rsidR="00641F95" w14:paraId="513B47B5" w14:textId="77777777" w:rsidTr="00641F95">
        <w:tc>
          <w:tcPr>
            <w:tcW w:w="0" w:type="auto"/>
            <w:hideMark/>
          </w:tcPr>
          <w:p w14:paraId="002F4063" w14:textId="77777777" w:rsidR="00641F95" w:rsidRDefault="00641F95">
            <w:pPr>
              <w:jc w:val="center"/>
              <w:rPr>
                <w:b/>
                <w:bCs/>
              </w:rPr>
            </w:pPr>
            <w:r>
              <w:rPr>
                <w:b/>
                <w:bCs/>
              </w:rPr>
              <w:t>Code</w:t>
            </w:r>
          </w:p>
        </w:tc>
        <w:tc>
          <w:tcPr>
            <w:tcW w:w="0" w:type="auto"/>
            <w:hideMark/>
          </w:tcPr>
          <w:p w14:paraId="2FC5D282" w14:textId="77777777" w:rsidR="00641F95" w:rsidRDefault="00641F95">
            <w:pPr>
              <w:jc w:val="center"/>
              <w:rPr>
                <w:b/>
                <w:bCs/>
              </w:rPr>
            </w:pPr>
            <w:r>
              <w:rPr>
                <w:b/>
                <w:bCs/>
              </w:rPr>
              <w:t>Statement</w:t>
            </w:r>
          </w:p>
        </w:tc>
        <w:tc>
          <w:tcPr>
            <w:tcW w:w="0" w:type="auto"/>
            <w:hideMark/>
          </w:tcPr>
          <w:p w14:paraId="53299613" w14:textId="77777777" w:rsidR="00641F95" w:rsidRDefault="00641F95">
            <w:pPr>
              <w:jc w:val="center"/>
              <w:rPr>
                <w:b/>
                <w:bCs/>
              </w:rPr>
            </w:pPr>
            <w:r>
              <w:rPr>
                <w:b/>
                <w:bCs/>
              </w:rPr>
              <w:t>1</w:t>
            </w:r>
          </w:p>
        </w:tc>
        <w:tc>
          <w:tcPr>
            <w:tcW w:w="0" w:type="auto"/>
            <w:hideMark/>
          </w:tcPr>
          <w:p w14:paraId="7D6F3EC0" w14:textId="77777777" w:rsidR="00641F95" w:rsidRDefault="00641F95">
            <w:pPr>
              <w:jc w:val="center"/>
              <w:rPr>
                <w:b/>
                <w:bCs/>
              </w:rPr>
            </w:pPr>
            <w:r>
              <w:rPr>
                <w:b/>
                <w:bCs/>
              </w:rPr>
              <w:t>2</w:t>
            </w:r>
          </w:p>
        </w:tc>
        <w:tc>
          <w:tcPr>
            <w:tcW w:w="0" w:type="auto"/>
            <w:hideMark/>
          </w:tcPr>
          <w:p w14:paraId="2FC74283" w14:textId="77777777" w:rsidR="00641F95" w:rsidRDefault="00641F95">
            <w:pPr>
              <w:jc w:val="center"/>
              <w:rPr>
                <w:b/>
                <w:bCs/>
              </w:rPr>
            </w:pPr>
            <w:r>
              <w:rPr>
                <w:b/>
                <w:bCs/>
              </w:rPr>
              <w:t>3</w:t>
            </w:r>
          </w:p>
        </w:tc>
        <w:tc>
          <w:tcPr>
            <w:tcW w:w="0" w:type="auto"/>
            <w:hideMark/>
          </w:tcPr>
          <w:p w14:paraId="0A4F71B0" w14:textId="77777777" w:rsidR="00641F95" w:rsidRDefault="00641F95">
            <w:pPr>
              <w:jc w:val="center"/>
              <w:rPr>
                <w:b/>
                <w:bCs/>
              </w:rPr>
            </w:pPr>
            <w:r>
              <w:rPr>
                <w:b/>
                <w:bCs/>
              </w:rPr>
              <w:t>4</w:t>
            </w:r>
          </w:p>
        </w:tc>
        <w:tc>
          <w:tcPr>
            <w:tcW w:w="0" w:type="auto"/>
            <w:hideMark/>
          </w:tcPr>
          <w:p w14:paraId="24C9151A" w14:textId="77777777" w:rsidR="00641F95" w:rsidRDefault="00641F95">
            <w:pPr>
              <w:jc w:val="center"/>
              <w:rPr>
                <w:b/>
                <w:bCs/>
              </w:rPr>
            </w:pPr>
            <w:r>
              <w:rPr>
                <w:b/>
                <w:bCs/>
              </w:rPr>
              <w:t>5</w:t>
            </w:r>
          </w:p>
        </w:tc>
      </w:tr>
      <w:tr w:rsidR="00641F95" w14:paraId="36FA7CA6" w14:textId="77777777" w:rsidTr="00641F95">
        <w:tc>
          <w:tcPr>
            <w:tcW w:w="0" w:type="auto"/>
            <w:hideMark/>
          </w:tcPr>
          <w:p w14:paraId="6A3ACC9C" w14:textId="77777777" w:rsidR="00641F95" w:rsidRDefault="00641F95">
            <w:pPr>
              <w:jc w:val="left"/>
            </w:pPr>
            <w:r>
              <w:t>INF1</w:t>
            </w:r>
          </w:p>
        </w:tc>
        <w:tc>
          <w:tcPr>
            <w:tcW w:w="0" w:type="auto"/>
            <w:hideMark/>
          </w:tcPr>
          <w:p w14:paraId="6CC85F0D" w14:textId="77777777" w:rsidR="00641F95" w:rsidRDefault="00641F95">
            <w:r>
              <w:t>EV charging infrastructure is sufficiently available in the UK</w:t>
            </w:r>
          </w:p>
        </w:tc>
        <w:tc>
          <w:tcPr>
            <w:tcW w:w="0" w:type="auto"/>
            <w:hideMark/>
          </w:tcPr>
          <w:p w14:paraId="5DF36284" w14:textId="77777777" w:rsidR="00641F95" w:rsidRDefault="00641F95">
            <w:r>
              <w:rPr>
                <w:rFonts w:ascii="Segoe UI Symbol" w:hAnsi="Segoe UI Symbol" w:cs="Segoe UI Symbol"/>
              </w:rPr>
              <w:t>☐</w:t>
            </w:r>
          </w:p>
        </w:tc>
        <w:tc>
          <w:tcPr>
            <w:tcW w:w="0" w:type="auto"/>
            <w:hideMark/>
          </w:tcPr>
          <w:p w14:paraId="5D175843" w14:textId="77777777" w:rsidR="00641F95" w:rsidRDefault="00641F95">
            <w:r>
              <w:rPr>
                <w:rFonts w:ascii="Segoe UI Symbol" w:hAnsi="Segoe UI Symbol" w:cs="Segoe UI Symbol"/>
              </w:rPr>
              <w:t>☐</w:t>
            </w:r>
          </w:p>
        </w:tc>
        <w:tc>
          <w:tcPr>
            <w:tcW w:w="0" w:type="auto"/>
            <w:hideMark/>
          </w:tcPr>
          <w:p w14:paraId="63A1FB46" w14:textId="77777777" w:rsidR="00641F95" w:rsidRDefault="00641F95">
            <w:r>
              <w:rPr>
                <w:rFonts w:ascii="Segoe UI Symbol" w:hAnsi="Segoe UI Symbol" w:cs="Segoe UI Symbol"/>
              </w:rPr>
              <w:t>☐</w:t>
            </w:r>
          </w:p>
        </w:tc>
        <w:tc>
          <w:tcPr>
            <w:tcW w:w="0" w:type="auto"/>
            <w:hideMark/>
          </w:tcPr>
          <w:p w14:paraId="58318CB6" w14:textId="77777777" w:rsidR="00641F95" w:rsidRDefault="00641F95">
            <w:r>
              <w:rPr>
                <w:rFonts w:ascii="Segoe UI Symbol" w:hAnsi="Segoe UI Symbol" w:cs="Segoe UI Symbol"/>
              </w:rPr>
              <w:t>☐</w:t>
            </w:r>
          </w:p>
        </w:tc>
        <w:tc>
          <w:tcPr>
            <w:tcW w:w="0" w:type="auto"/>
            <w:hideMark/>
          </w:tcPr>
          <w:p w14:paraId="7FF00B9D" w14:textId="77777777" w:rsidR="00641F95" w:rsidRDefault="00641F95">
            <w:r>
              <w:rPr>
                <w:rFonts w:ascii="Segoe UI Symbol" w:hAnsi="Segoe UI Symbol" w:cs="Segoe UI Symbol"/>
              </w:rPr>
              <w:t>☐</w:t>
            </w:r>
          </w:p>
        </w:tc>
      </w:tr>
      <w:tr w:rsidR="00641F95" w14:paraId="0DAE6F98" w14:textId="77777777" w:rsidTr="00641F95">
        <w:tc>
          <w:tcPr>
            <w:tcW w:w="0" w:type="auto"/>
            <w:hideMark/>
          </w:tcPr>
          <w:p w14:paraId="428CB476" w14:textId="77777777" w:rsidR="00641F95" w:rsidRDefault="00641F95">
            <w:r>
              <w:t>INF2</w:t>
            </w:r>
          </w:p>
        </w:tc>
        <w:tc>
          <w:tcPr>
            <w:tcW w:w="0" w:type="auto"/>
            <w:hideMark/>
          </w:tcPr>
          <w:p w14:paraId="2AF3E9A3" w14:textId="77777777" w:rsidR="00641F95" w:rsidRDefault="00641F95">
            <w:r>
              <w:t>Charging stations are conveniently accessible</w:t>
            </w:r>
          </w:p>
        </w:tc>
        <w:tc>
          <w:tcPr>
            <w:tcW w:w="0" w:type="auto"/>
            <w:hideMark/>
          </w:tcPr>
          <w:p w14:paraId="6A56D2BA" w14:textId="77777777" w:rsidR="00641F95" w:rsidRDefault="00641F95">
            <w:r>
              <w:rPr>
                <w:rFonts w:ascii="Segoe UI Symbol" w:hAnsi="Segoe UI Symbol" w:cs="Segoe UI Symbol"/>
              </w:rPr>
              <w:t>☐</w:t>
            </w:r>
          </w:p>
        </w:tc>
        <w:tc>
          <w:tcPr>
            <w:tcW w:w="0" w:type="auto"/>
            <w:hideMark/>
          </w:tcPr>
          <w:p w14:paraId="1FDF1279" w14:textId="77777777" w:rsidR="00641F95" w:rsidRDefault="00641F95">
            <w:r>
              <w:rPr>
                <w:rFonts w:ascii="Segoe UI Symbol" w:hAnsi="Segoe UI Symbol" w:cs="Segoe UI Symbol"/>
              </w:rPr>
              <w:t>☐</w:t>
            </w:r>
          </w:p>
        </w:tc>
        <w:tc>
          <w:tcPr>
            <w:tcW w:w="0" w:type="auto"/>
            <w:hideMark/>
          </w:tcPr>
          <w:p w14:paraId="4BD46AD2" w14:textId="77777777" w:rsidR="00641F95" w:rsidRDefault="00641F95">
            <w:r>
              <w:rPr>
                <w:rFonts w:ascii="Segoe UI Symbol" w:hAnsi="Segoe UI Symbol" w:cs="Segoe UI Symbol"/>
              </w:rPr>
              <w:t>☐</w:t>
            </w:r>
          </w:p>
        </w:tc>
        <w:tc>
          <w:tcPr>
            <w:tcW w:w="0" w:type="auto"/>
            <w:hideMark/>
          </w:tcPr>
          <w:p w14:paraId="2F12E357" w14:textId="77777777" w:rsidR="00641F95" w:rsidRDefault="00641F95">
            <w:r>
              <w:rPr>
                <w:rFonts w:ascii="Segoe UI Symbol" w:hAnsi="Segoe UI Symbol" w:cs="Segoe UI Symbol"/>
              </w:rPr>
              <w:t>☐</w:t>
            </w:r>
          </w:p>
        </w:tc>
        <w:tc>
          <w:tcPr>
            <w:tcW w:w="0" w:type="auto"/>
            <w:hideMark/>
          </w:tcPr>
          <w:p w14:paraId="02A84D69" w14:textId="77777777" w:rsidR="00641F95" w:rsidRDefault="00641F95">
            <w:r>
              <w:rPr>
                <w:rFonts w:ascii="Segoe UI Symbol" w:hAnsi="Segoe UI Symbol" w:cs="Segoe UI Symbol"/>
              </w:rPr>
              <w:t>☐</w:t>
            </w:r>
          </w:p>
        </w:tc>
      </w:tr>
      <w:tr w:rsidR="00641F95" w14:paraId="0D4FE606" w14:textId="77777777" w:rsidTr="00641F95">
        <w:tc>
          <w:tcPr>
            <w:tcW w:w="0" w:type="auto"/>
            <w:hideMark/>
          </w:tcPr>
          <w:p w14:paraId="77FBC168" w14:textId="77777777" w:rsidR="00641F95" w:rsidRDefault="00641F95">
            <w:r>
              <w:t>INF3</w:t>
            </w:r>
          </w:p>
        </w:tc>
        <w:tc>
          <w:tcPr>
            <w:tcW w:w="0" w:type="auto"/>
            <w:hideMark/>
          </w:tcPr>
          <w:p w14:paraId="1037A38D" w14:textId="77777777" w:rsidR="00641F95" w:rsidRDefault="00641F95">
            <w:r>
              <w:t>Charging infrastructure is reliable for daily use</w:t>
            </w:r>
          </w:p>
        </w:tc>
        <w:tc>
          <w:tcPr>
            <w:tcW w:w="0" w:type="auto"/>
            <w:hideMark/>
          </w:tcPr>
          <w:p w14:paraId="418A19EF" w14:textId="77777777" w:rsidR="00641F95" w:rsidRDefault="00641F95">
            <w:r>
              <w:rPr>
                <w:rFonts w:ascii="Segoe UI Symbol" w:hAnsi="Segoe UI Symbol" w:cs="Segoe UI Symbol"/>
              </w:rPr>
              <w:t>☐</w:t>
            </w:r>
          </w:p>
        </w:tc>
        <w:tc>
          <w:tcPr>
            <w:tcW w:w="0" w:type="auto"/>
            <w:hideMark/>
          </w:tcPr>
          <w:p w14:paraId="6A11CB20" w14:textId="77777777" w:rsidR="00641F95" w:rsidRDefault="00641F95">
            <w:r>
              <w:rPr>
                <w:rFonts w:ascii="Segoe UI Symbol" w:hAnsi="Segoe UI Symbol" w:cs="Segoe UI Symbol"/>
              </w:rPr>
              <w:t>☐</w:t>
            </w:r>
          </w:p>
        </w:tc>
        <w:tc>
          <w:tcPr>
            <w:tcW w:w="0" w:type="auto"/>
            <w:hideMark/>
          </w:tcPr>
          <w:p w14:paraId="47AA7AA5" w14:textId="77777777" w:rsidR="00641F95" w:rsidRDefault="00641F95">
            <w:r>
              <w:rPr>
                <w:rFonts w:ascii="Segoe UI Symbol" w:hAnsi="Segoe UI Symbol" w:cs="Segoe UI Symbol"/>
              </w:rPr>
              <w:t>☐</w:t>
            </w:r>
          </w:p>
        </w:tc>
        <w:tc>
          <w:tcPr>
            <w:tcW w:w="0" w:type="auto"/>
            <w:hideMark/>
          </w:tcPr>
          <w:p w14:paraId="722FD49E" w14:textId="77777777" w:rsidR="00641F95" w:rsidRDefault="00641F95">
            <w:r>
              <w:rPr>
                <w:rFonts w:ascii="Segoe UI Symbol" w:hAnsi="Segoe UI Symbol" w:cs="Segoe UI Symbol"/>
              </w:rPr>
              <w:t>☐</w:t>
            </w:r>
          </w:p>
        </w:tc>
        <w:tc>
          <w:tcPr>
            <w:tcW w:w="0" w:type="auto"/>
            <w:hideMark/>
          </w:tcPr>
          <w:p w14:paraId="2FFCB8F2" w14:textId="77777777" w:rsidR="00641F95" w:rsidRDefault="00641F95">
            <w:r>
              <w:rPr>
                <w:rFonts w:ascii="Segoe UI Symbol" w:hAnsi="Segoe UI Symbol" w:cs="Segoe UI Symbol"/>
              </w:rPr>
              <w:t>☐</w:t>
            </w:r>
          </w:p>
        </w:tc>
      </w:tr>
      <w:tr w:rsidR="00641F95" w14:paraId="16681218" w14:textId="77777777" w:rsidTr="00641F95">
        <w:tc>
          <w:tcPr>
            <w:tcW w:w="0" w:type="auto"/>
            <w:hideMark/>
          </w:tcPr>
          <w:p w14:paraId="4D3819F1" w14:textId="77777777" w:rsidR="00641F95" w:rsidRDefault="00641F95">
            <w:r>
              <w:t>INF4</w:t>
            </w:r>
          </w:p>
        </w:tc>
        <w:tc>
          <w:tcPr>
            <w:tcW w:w="0" w:type="auto"/>
            <w:hideMark/>
          </w:tcPr>
          <w:p w14:paraId="7C48215E" w14:textId="77777777" w:rsidR="00641F95" w:rsidRDefault="00641F95">
            <w:r>
              <w:t>The electricity grid can support increased EV adoption</w:t>
            </w:r>
          </w:p>
        </w:tc>
        <w:tc>
          <w:tcPr>
            <w:tcW w:w="0" w:type="auto"/>
            <w:hideMark/>
          </w:tcPr>
          <w:p w14:paraId="763505C9" w14:textId="77777777" w:rsidR="00641F95" w:rsidRDefault="00641F95">
            <w:r>
              <w:rPr>
                <w:rFonts w:ascii="Segoe UI Symbol" w:hAnsi="Segoe UI Symbol" w:cs="Segoe UI Symbol"/>
              </w:rPr>
              <w:t>☐</w:t>
            </w:r>
          </w:p>
        </w:tc>
        <w:tc>
          <w:tcPr>
            <w:tcW w:w="0" w:type="auto"/>
            <w:hideMark/>
          </w:tcPr>
          <w:p w14:paraId="6B2BECEC" w14:textId="77777777" w:rsidR="00641F95" w:rsidRDefault="00641F95">
            <w:r>
              <w:rPr>
                <w:rFonts w:ascii="Segoe UI Symbol" w:hAnsi="Segoe UI Symbol" w:cs="Segoe UI Symbol"/>
              </w:rPr>
              <w:t>☐</w:t>
            </w:r>
          </w:p>
        </w:tc>
        <w:tc>
          <w:tcPr>
            <w:tcW w:w="0" w:type="auto"/>
            <w:hideMark/>
          </w:tcPr>
          <w:p w14:paraId="0F2D1226" w14:textId="77777777" w:rsidR="00641F95" w:rsidRDefault="00641F95">
            <w:r>
              <w:rPr>
                <w:rFonts w:ascii="Segoe UI Symbol" w:hAnsi="Segoe UI Symbol" w:cs="Segoe UI Symbol"/>
              </w:rPr>
              <w:t>☐</w:t>
            </w:r>
          </w:p>
        </w:tc>
        <w:tc>
          <w:tcPr>
            <w:tcW w:w="0" w:type="auto"/>
            <w:hideMark/>
          </w:tcPr>
          <w:p w14:paraId="4F1DEB62" w14:textId="77777777" w:rsidR="00641F95" w:rsidRDefault="00641F95">
            <w:r>
              <w:rPr>
                <w:rFonts w:ascii="Segoe UI Symbol" w:hAnsi="Segoe UI Symbol" w:cs="Segoe UI Symbol"/>
              </w:rPr>
              <w:t>☐</w:t>
            </w:r>
          </w:p>
        </w:tc>
        <w:tc>
          <w:tcPr>
            <w:tcW w:w="0" w:type="auto"/>
            <w:hideMark/>
          </w:tcPr>
          <w:p w14:paraId="49DBF58E" w14:textId="77777777" w:rsidR="00641F95" w:rsidRDefault="00641F95">
            <w:r>
              <w:rPr>
                <w:rFonts w:ascii="Segoe UI Symbol" w:hAnsi="Segoe UI Symbol" w:cs="Segoe UI Symbol"/>
              </w:rPr>
              <w:t>☐</w:t>
            </w:r>
          </w:p>
        </w:tc>
      </w:tr>
      <w:tr w:rsidR="00641F95" w14:paraId="4E5DBE83" w14:textId="77777777" w:rsidTr="00641F95">
        <w:tc>
          <w:tcPr>
            <w:tcW w:w="0" w:type="auto"/>
            <w:hideMark/>
          </w:tcPr>
          <w:p w14:paraId="318ADD77" w14:textId="77777777" w:rsidR="00641F95" w:rsidRDefault="00641F95">
            <w:r>
              <w:t>INF5</w:t>
            </w:r>
          </w:p>
        </w:tc>
        <w:tc>
          <w:tcPr>
            <w:tcW w:w="0" w:type="auto"/>
            <w:hideMark/>
          </w:tcPr>
          <w:p w14:paraId="375EE14B" w14:textId="77777777" w:rsidR="00641F95" w:rsidRDefault="00641F95">
            <w:r>
              <w:t>Infrastructure development aligns with EV market growth</w:t>
            </w:r>
          </w:p>
        </w:tc>
        <w:tc>
          <w:tcPr>
            <w:tcW w:w="0" w:type="auto"/>
            <w:hideMark/>
          </w:tcPr>
          <w:p w14:paraId="4DF5C387" w14:textId="77777777" w:rsidR="00641F95" w:rsidRDefault="00641F95">
            <w:r>
              <w:rPr>
                <w:rFonts w:ascii="Segoe UI Symbol" w:hAnsi="Segoe UI Symbol" w:cs="Segoe UI Symbol"/>
              </w:rPr>
              <w:t>☐</w:t>
            </w:r>
          </w:p>
        </w:tc>
        <w:tc>
          <w:tcPr>
            <w:tcW w:w="0" w:type="auto"/>
            <w:hideMark/>
          </w:tcPr>
          <w:p w14:paraId="685ADE3E" w14:textId="77777777" w:rsidR="00641F95" w:rsidRDefault="00641F95">
            <w:r>
              <w:rPr>
                <w:rFonts w:ascii="Segoe UI Symbol" w:hAnsi="Segoe UI Symbol" w:cs="Segoe UI Symbol"/>
              </w:rPr>
              <w:t>☐</w:t>
            </w:r>
          </w:p>
        </w:tc>
        <w:tc>
          <w:tcPr>
            <w:tcW w:w="0" w:type="auto"/>
            <w:hideMark/>
          </w:tcPr>
          <w:p w14:paraId="010CE651" w14:textId="77777777" w:rsidR="00641F95" w:rsidRDefault="00641F95">
            <w:r>
              <w:rPr>
                <w:rFonts w:ascii="Segoe UI Symbol" w:hAnsi="Segoe UI Symbol" w:cs="Segoe UI Symbol"/>
              </w:rPr>
              <w:t>☐</w:t>
            </w:r>
          </w:p>
        </w:tc>
        <w:tc>
          <w:tcPr>
            <w:tcW w:w="0" w:type="auto"/>
            <w:hideMark/>
          </w:tcPr>
          <w:p w14:paraId="66EC5337" w14:textId="77777777" w:rsidR="00641F95" w:rsidRDefault="00641F95">
            <w:r>
              <w:rPr>
                <w:rFonts w:ascii="Segoe UI Symbol" w:hAnsi="Segoe UI Symbol" w:cs="Segoe UI Symbol"/>
              </w:rPr>
              <w:t>☐</w:t>
            </w:r>
          </w:p>
        </w:tc>
        <w:tc>
          <w:tcPr>
            <w:tcW w:w="0" w:type="auto"/>
            <w:hideMark/>
          </w:tcPr>
          <w:p w14:paraId="1341621D" w14:textId="77777777" w:rsidR="00641F95" w:rsidRDefault="00641F95">
            <w:r>
              <w:rPr>
                <w:rFonts w:ascii="Segoe UI Symbol" w:hAnsi="Segoe UI Symbol" w:cs="Segoe UI Symbol"/>
              </w:rPr>
              <w:t>☐</w:t>
            </w:r>
          </w:p>
        </w:tc>
      </w:tr>
    </w:tbl>
    <w:p w14:paraId="7D628878" w14:textId="4C11D034" w:rsidR="00641F95" w:rsidRDefault="00641F95" w:rsidP="00641F95"/>
    <w:p w14:paraId="481A5E7A" w14:textId="77777777" w:rsidR="00641F95" w:rsidRPr="00471473" w:rsidRDefault="00641F95" w:rsidP="00471473">
      <w:pPr>
        <w:ind w:left="432"/>
        <w:rPr>
          <w:sz w:val="28"/>
          <w:szCs w:val="24"/>
        </w:rPr>
      </w:pPr>
      <w:r w:rsidRPr="00471473">
        <w:rPr>
          <w:rStyle w:val="Strong"/>
          <w:sz w:val="28"/>
          <w:szCs w:val="24"/>
        </w:rPr>
        <w:t>Construct 4: Technological Convergence</w:t>
      </w:r>
    </w:p>
    <w:tbl>
      <w:tblPr>
        <w:tblStyle w:val="TableGrid"/>
        <w:tblW w:w="0" w:type="auto"/>
        <w:tblLook w:val="04A0" w:firstRow="1" w:lastRow="0" w:firstColumn="1" w:lastColumn="0" w:noHBand="0" w:noVBand="1"/>
      </w:tblPr>
      <w:tblGrid>
        <w:gridCol w:w="750"/>
        <w:gridCol w:w="6485"/>
        <w:gridCol w:w="423"/>
        <w:gridCol w:w="423"/>
        <w:gridCol w:w="423"/>
        <w:gridCol w:w="423"/>
        <w:gridCol w:w="423"/>
      </w:tblGrid>
      <w:tr w:rsidR="00641F95" w14:paraId="2EFFEC27" w14:textId="77777777" w:rsidTr="00641F95">
        <w:tc>
          <w:tcPr>
            <w:tcW w:w="0" w:type="auto"/>
            <w:hideMark/>
          </w:tcPr>
          <w:p w14:paraId="36A743F7" w14:textId="77777777" w:rsidR="00641F95" w:rsidRDefault="00641F95">
            <w:pPr>
              <w:jc w:val="center"/>
              <w:rPr>
                <w:b/>
                <w:bCs/>
              </w:rPr>
            </w:pPr>
            <w:r>
              <w:rPr>
                <w:b/>
                <w:bCs/>
              </w:rPr>
              <w:t>Code</w:t>
            </w:r>
          </w:p>
        </w:tc>
        <w:tc>
          <w:tcPr>
            <w:tcW w:w="0" w:type="auto"/>
            <w:hideMark/>
          </w:tcPr>
          <w:p w14:paraId="49E725CF" w14:textId="77777777" w:rsidR="00641F95" w:rsidRDefault="00641F95">
            <w:pPr>
              <w:jc w:val="center"/>
              <w:rPr>
                <w:b/>
                <w:bCs/>
              </w:rPr>
            </w:pPr>
            <w:r>
              <w:rPr>
                <w:b/>
                <w:bCs/>
              </w:rPr>
              <w:t>Statement</w:t>
            </w:r>
          </w:p>
        </w:tc>
        <w:tc>
          <w:tcPr>
            <w:tcW w:w="0" w:type="auto"/>
            <w:hideMark/>
          </w:tcPr>
          <w:p w14:paraId="43A25030" w14:textId="77777777" w:rsidR="00641F95" w:rsidRDefault="00641F95">
            <w:pPr>
              <w:jc w:val="center"/>
              <w:rPr>
                <w:b/>
                <w:bCs/>
              </w:rPr>
            </w:pPr>
            <w:r>
              <w:rPr>
                <w:b/>
                <w:bCs/>
              </w:rPr>
              <w:t>1</w:t>
            </w:r>
          </w:p>
        </w:tc>
        <w:tc>
          <w:tcPr>
            <w:tcW w:w="0" w:type="auto"/>
            <w:hideMark/>
          </w:tcPr>
          <w:p w14:paraId="44EB210C" w14:textId="77777777" w:rsidR="00641F95" w:rsidRDefault="00641F95">
            <w:pPr>
              <w:jc w:val="center"/>
              <w:rPr>
                <w:b/>
                <w:bCs/>
              </w:rPr>
            </w:pPr>
            <w:r>
              <w:rPr>
                <w:b/>
                <w:bCs/>
              </w:rPr>
              <w:t>2</w:t>
            </w:r>
          </w:p>
        </w:tc>
        <w:tc>
          <w:tcPr>
            <w:tcW w:w="0" w:type="auto"/>
            <w:hideMark/>
          </w:tcPr>
          <w:p w14:paraId="0B5F9A83" w14:textId="77777777" w:rsidR="00641F95" w:rsidRDefault="00641F95">
            <w:pPr>
              <w:jc w:val="center"/>
              <w:rPr>
                <w:b/>
                <w:bCs/>
              </w:rPr>
            </w:pPr>
            <w:r>
              <w:rPr>
                <w:b/>
                <w:bCs/>
              </w:rPr>
              <w:t>3</w:t>
            </w:r>
          </w:p>
        </w:tc>
        <w:tc>
          <w:tcPr>
            <w:tcW w:w="0" w:type="auto"/>
            <w:hideMark/>
          </w:tcPr>
          <w:p w14:paraId="6DB73C33" w14:textId="77777777" w:rsidR="00641F95" w:rsidRDefault="00641F95">
            <w:pPr>
              <w:jc w:val="center"/>
              <w:rPr>
                <w:b/>
                <w:bCs/>
              </w:rPr>
            </w:pPr>
            <w:r>
              <w:rPr>
                <w:b/>
                <w:bCs/>
              </w:rPr>
              <w:t>4</w:t>
            </w:r>
          </w:p>
        </w:tc>
        <w:tc>
          <w:tcPr>
            <w:tcW w:w="0" w:type="auto"/>
            <w:hideMark/>
          </w:tcPr>
          <w:p w14:paraId="298D5B9A" w14:textId="77777777" w:rsidR="00641F95" w:rsidRDefault="00641F95">
            <w:pPr>
              <w:jc w:val="center"/>
              <w:rPr>
                <w:b/>
                <w:bCs/>
              </w:rPr>
            </w:pPr>
            <w:r>
              <w:rPr>
                <w:b/>
                <w:bCs/>
              </w:rPr>
              <w:t>5</w:t>
            </w:r>
          </w:p>
        </w:tc>
      </w:tr>
      <w:tr w:rsidR="00641F95" w14:paraId="12A6EF97" w14:textId="77777777" w:rsidTr="00641F95">
        <w:tc>
          <w:tcPr>
            <w:tcW w:w="0" w:type="auto"/>
            <w:hideMark/>
          </w:tcPr>
          <w:p w14:paraId="2B135967" w14:textId="77777777" w:rsidR="00641F95" w:rsidRDefault="00641F95">
            <w:pPr>
              <w:jc w:val="left"/>
            </w:pPr>
            <w:r>
              <w:t>TC1</w:t>
            </w:r>
          </w:p>
        </w:tc>
        <w:tc>
          <w:tcPr>
            <w:tcW w:w="0" w:type="auto"/>
            <w:hideMark/>
          </w:tcPr>
          <w:p w14:paraId="205997F7" w14:textId="77777777" w:rsidR="00641F95" w:rsidRDefault="00641F95">
            <w:r>
              <w:t>Integration between transport and energy systems supports EV adoption</w:t>
            </w:r>
          </w:p>
        </w:tc>
        <w:tc>
          <w:tcPr>
            <w:tcW w:w="0" w:type="auto"/>
            <w:hideMark/>
          </w:tcPr>
          <w:p w14:paraId="2827A683" w14:textId="77777777" w:rsidR="00641F95" w:rsidRDefault="00641F95">
            <w:r>
              <w:rPr>
                <w:rFonts w:ascii="Segoe UI Symbol" w:hAnsi="Segoe UI Symbol" w:cs="Segoe UI Symbol"/>
              </w:rPr>
              <w:t>☐</w:t>
            </w:r>
          </w:p>
        </w:tc>
        <w:tc>
          <w:tcPr>
            <w:tcW w:w="0" w:type="auto"/>
            <w:hideMark/>
          </w:tcPr>
          <w:p w14:paraId="142BC9E2" w14:textId="77777777" w:rsidR="00641F95" w:rsidRDefault="00641F95">
            <w:r>
              <w:rPr>
                <w:rFonts w:ascii="Segoe UI Symbol" w:hAnsi="Segoe UI Symbol" w:cs="Segoe UI Symbol"/>
              </w:rPr>
              <w:t>☐</w:t>
            </w:r>
          </w:p>
        </w:tc>
        <w:tc>
          <w:tcPr>
            <w:tcW w:w="0" w:type="auto"/>
            <w:hideMark/>
          </w:tcPr>
          <w:p w14:paraId="6EEC91DB" w14:textId="77777777" w:rsidR="00641F95" w:rsidRDefault="00641F95">
            <w:r>
              <w:rPr>
                <w:rFonts w:ascii="Segoe UI Symbol" w:hAnsi="Segoe UI Symbol" w:cs="Segoe UI Symbol"/>
              </w:rPr>
              <w:t>☐</w:t>
            </w:r>
          </w:p>
        </w:tc>
        <w:tc>
          <w:tcPr>
            <w:tcW w:w="0" w:type="auto"/>
            <w:hideMark/>
          </w:tcPr>
          <w:p w14:paraId="04A46597" w14:textId="77777777" w:rsidR="00641F95" w:rsidRDefault="00641F95">
            <w:r>
              <w:rPr>
                <w:rFonts w:ascii="Segoe UI Symbol" w:hAnsi="Segoe UI Symbol" w:cs="Segoe UI Symbol"/>
              </w:rPr>
              <w:t>☐</w:t>
            </w:r>
          </w:p>
        </w:tc>
        <w:tc>
          <w:tcPr>
            <w:tcW w:w="0" w:type="auto"/>
            <w:hideMark/>
          </w:tcPr>
          <w:p w14:paraId="31D9FC0B" w14:textId="77777777" w:rsidR="00641F95" w:rsidRDefault="00641F95">
            <w:r>
              <w:rPr>
                <w:rFonts w:ascii="Segoe UI Symbol" w:hAnsi="Segoe UI Symbol" w:cs="Segoe UI Symbol"/>
              </w:rPr>
              <w:t>☐</w:t>
            </w:r>
          </w:p>
        </w:tc>
      </w:tr>
      <w:tr w:rsidR="00641F95" w14:paraId="484E3399" w14:textId="77777777" w:rsidTr="00641F95">
        <w:tc>
          <w:tcPr>
            <w:tcW w:w="0" w:type="auto"/>
            <w:hideMark/>
          </w:tcPr>
          <w:p w14:paraId="2942332C" w14:textId="77777777" w:rsidR="00641F95" w:rsidRDefault="00641F95">
            <w:r>
              <w:t>TC2</w:t>
            </w:r>
          </w:p>
        </w:tc>
        <w:tc>
          <w:tcPr>
            <w:tcW w:w="0" w:type="auto"/>
            <w:hideMark/>
          </w:tcPr>
          <w:p w14:paraId="6BB1E51D" w14:textId="77777777" w:rsidR="00641F95" w:rsidRDefault="00641F95">
            <w:r>
              <w:t>Digital technologies enhance EV usability and efficiency</w:t>
            </w:r>
          </w:p>
        </w:tc>
        <w:tc>
          <w:tcPr>
            <w:tcW w:w="0" w:type="auto"/>
            <w:hideMark/>
          </w:tcPr>
          <w:p w14:paraId="22AF8A57" w14:textId="77777777" w:rsidR="00641F95" w:rsidRDefault="00641F95">
            <w:r>
              <w:rPr>
                <w:rFonts w:ascii="Segoe UI Symbol" w:hAnsi="Segoe UI Symbol" w:cs="Segoe UI Symbol"/>
              </w:rPr>
              <w:t>☐</w:t>
            </w:r>
          </w:p>
        </w:tc>
        <w:tc>
          <w:tcPr>
            <w:tcW w:w="0" w:type="auto"/>
            <w:hideMark/>
          </w:tcPr>
          <w:p w14:paraId="435AE85F" w14:textId="77777777" w:rsidR="00641F95" w:rsidRDefault="00641F95">
            <w:r>
              <w:rPr>
                <w:rFonts w:ascii="Segoe UI Symbol" w:hAnsi="Segoe UI Symbol" w:cs="Segoe UI Symbol"/>
              </w:rPr>
              <w:t>☐</w:t>
            </w:r>
          </w:p>
        </w:tc>
        <w:tc>
          <w:tcPr>
            <w:tcW w:w="0" w:type="auto"/>
            <w:hideMark/>
          </w:tcPr>
          <w:p w14:paraId="11916A44" w14:textId="77777777" w:rsidR="00641F95" w:rsidRDefault="00641F95">
            <w:r>
              <w:rPr>
                <w:rFonts w:ascii="Segoe UI Symbol" w:hAnsi="Segoe UI Symbol" w:cs="Segoe UI Symbol"/>
              </w:rPr>
              <w:t>☐</w:t>
            </w:r>
          </w:p>
        </w:tc>
        <w:tc>
          <w:tcPr>
            <w:tcW w:w="0" w:type="auto"/>
            <w:hideMark/>
          </w:tcPr>
          <w:p w14:paraId="12A67FCF" w14:textId="77777777" w:rsidR="00641F95" w:rsidRDefault="00641F95">
            <w:r>
              <w:rPr>
                <w:rFonts w:ascii="Segoe UI Symbol" w:hAnsi="Segoe UI Symbol" w:cs="Segoe UI Symbol"/>
              </w:rPr>
              <w:t>☐</w:t>
            </w:r>
          </w:p>
        </w:tc>
        <w:tc>
          <w:tcPr>
            <w:tcW w:w="0" w:type="auto"/>
            <w:hideMark/>
          </w:tcPr>
          <w:p w14:paraId="1881D828" w14:textId="77777777" w:rsidR="00641F95" w:rsidRDefault="00641F95">
            <w:r>
              <w:rPr>
                <w:rFonts w:ascii="Segoe UI Symbol" w:hAnsi="Segoe UI Symbol" w:cs="Segoe UI Symbol"/>
              </w:rPr>
              <w:t>☐</w:t>
            </w:r>
          </w:p>
        </w:tc>
      </w:tr>
      <w:tr w:rsidR="00641F95" w14:paraId="2A3008B6" w14:textId="77777777" w:rsidTr="00641F95">
        <w:tc>
          <w:tcPr>
            <w:tcW w:w="0" w:type="auto"/>
            <w:hideMark/>
          </w:tcPr>
          <w:p w14:paraId="7B1E4FD7" w14:textId="77777777" w:rsidR="00641F95" w:rsidRDefault="00641F95">
            <w:r>
              <w:t>TC3</w:t>
            </w:r>
          </w:p>
        </w:tc>
        <w:tc>
          <w:tcPr>
            <w:tcW w:w="0" w:type="auto"/>
            <w:hideMark/>
          </w:tcPr>
          <w:p w14:paraId="54E9F473" w14:textId="77777777" w:rsidR="00641F95" w:rsidRDefault="00641F95">
            <w:r>
              <w:t>Smart systems improve EV charging and energy management</w:t>
            </w:r>
          </w:p>
        </w:tc>
        <w:tc>
          <w:tcPr>
            <w:tcW w:w="0" w:type="auto"/>
            <w:hideMark/>
          </w:tcPr>
          <w:p w14:paraId="2E53B7AB" w14:textId="77777777" w:rsidR="00641F95" w:rsidRDefault="00641F95">
            <w:r>
              <w:rPr>
                <w:rFonts w:ascii="Segoe UI Symbol" w:hAnsi="Segoe UI Symbol" w:cs="Segoe UI Symbol"/>
              </w:rPr>
              <w:t>☐</w:t>
            </w:r>
          </w:p>
        </w:tc>
        <w:tc>
          <w:tcPr>
            <w:tcW w:w="0" w:type="auto"/>
            <w:hideMark/>
          </w:tcPr>
          <w:p w14:paraId="5CB9F76E" w14:textId="77777777" w:rsidR="00641F95" w:rsidRDefault="00641F95">
            <w:r>
              <w:rPr>
                <w:rFonts w:ascii="Segoe UI Symbol" w:hAnsi="Segoe UI Symbol" w:cs="Segoe UI Symbol"/>
              </w:rPr>
              <w:t>☐</w:t>
            </w:r>
          </w:p>
        </w:tc>
        <w:tc>
          <w:tcPr>
            <w:tcW w:w="0" w:type="auto"/>
            <w:hideMark/>
          </w:tcPr>
          <w:p w14:paraId="65562EC5" w14:textId="77777777" w:rsidR="00641F95" w:rsidRDefault="00641F95">
            <w:r>
              <w:rPr>
                <w:rFonts w:ascii="Segoe UI Symbol" w:hAnsi="Segoe UI Symbol" w:cs="Segoe UI Symbol"/>
              </w:rPr>
              <w:t>☐</w:t>
            </w:r>
          </w:p>
        </w:tc>
        <w:tc>
          <w:tcPr>
            <w:tcW w:w="0" w:type="auto"/>
            <w:hideMark/>
          </w:tcPr>
          <w:p w14:paraId="364D266A" w14:textId="77777777" w:rsidR="00641F95" w:rsidRDefault="00641F95">
            <w:r>
              <w:rPr>
                <w:rFonts w:ascii="Segoe UI Symbol" w:hAnsi="Segoe UI Symbol" w:cs="Segoe UI Symbol"/>
              </w:rPr>
              <w:t>☐</w:t>
            </w:r>
          </w:p>
        </w:tc>
        <w:tc>
          <w:tcPr>
            <w:tcW w:w="0" w:type="auto"/>
            <w:hideMark/>
          </w:tcPr>
          <w:p w14:paraId="48C78B19" w14:textId="77777777" w:rsidR="00641F95" w:rsidRDefault="00641F95">
            <w:r>
              <w:rPr>
                <w:rFonts w:ascii="Segoe UI Symbol" w:hAnsi="Segoe UI Symbol" w:cs="Segoe UI Symbol"/>
              </w:rPr>
              <w:t>☐</w:t>
            </w:r>
          </w:p>
        </w:tc>
      </w:tr>
      <w:tr w:rsidR="00641F95" w14:paraId="247BA543" w14:textId="77777777" w:rsidTr="00641F95">
        <w:tc>
          <w:tcPr>
            <w:tcW w:w="0" w:type="auto"/>
            <w:hideMark/>
          </w:tcPr>
          <w:p w14:paraId="0FCB04AA" w14:textId="77777777" w:rsidR="00641F95" w:rsidRDefault="00641F95">
            <w:r>
              <w:t>TC4</w:t>
            </w:r>
          </w:p>
        </w:tc>
        <w:tc>
          <w:tcPr>
            <w:tcW w:w="0" w:type="auto"/>
            <w:hideMark/>
          </w:tcPr>
          <w:p w14:paraId="7A7E995D" w14:textId="77777777" w:rsidR="00641F95" w:rsidRDefault="00641F95">
            <w:r>
              <w:t>Cross-sector technological integration is essential for EV success</w:t>
            </w:r>
          </w:p>
        </w:tc>
        <w:tc>
          <w:tcPr>
            <w:tcW w:w="0" w:type="auto"/>
            <w:hideMark/>
          </w:tcPr>
          <w:p w14:paraId="65CE7A0C" w14:textId="77777777" w:rsidR="00641F95" w:rsidRDefault="00641F95">
            <w:r>
              <w:rPr>
                <w:rFonts w:ascii="Segoe UI Symbol" w:hAnsi="Segoe UI Symbol" w:cs="Segoe UI Symbol"/>
              </w:rPr>
              <w:t>☐</w:t>
            </w:r>
          </w:p>
        </w:tc>
        <w:tc>
          <w:tcPr>
            <w:tcW w:w="0" w:type="auto"/>
            <w:hideMark/>
          </w:tcPr>
          <w:p w14:paraId="3D2D028A" w14:textId="77777777" w:rsidR="00641F95" w:rsidRDefault="00641F95">
            <w:r>
              <w:rPr>
                <w:rFonts w:ascii="Segoe UI Symbol" w:hAnsi="Segoe UI Symbol" w:cs="Segoe UI Symbol"/>
              </w:rPr>
              <w:t>☐</w:t>
            </w:r>
          </w:p>
        </w:tc>
        <w:tc>
          <w:tcPr>
            <w:tcW w:w="0" w:type="auto"/>
            <w:hideMark/>
          </w:tcPr>
          <w:p w14:paraId="02C73C5B" w14:textId="77777777" w:rsidR="00641F95" w:rsidRDefault="00641F95">
            <w:r>
              <w:rPr>
                <w:rFonts w:ascii="Segoe UI Symbol" w:hAnsi="Segoe UI Symbol" w:cs="Segoe UI Symbol"/>
              </w:rPr>
              <w:t>☐</w:t>
            </w:r>
          </w:p>
        </w:tc>
        <w:tc>
          <w:tcPr>
            <w:tcW w:w="0" w:type="auto"/>
            <w:hideMark/>
          </w:tcPr>
          <w:p w14:paraId="306328D4" w14:textId="77777777" w:rsidR="00641F95" w:rsidRDefault="00641F95">
            <w:r>
              <w:rPr>
                <w:rFonts w:ascii="Segoe UI Symbol" w:hAnsi="Segoe UI Symbol" w:cs="Segoe UI Symbol"/>
              </w:rPr>
              <w:t>☐</w:t>
            </w:r>
          </w:p>
        </w:tc>
        <w:tc>
          <w:tcPr>
            <w:tcW w:w="0" w:type="auto"/>
            <w:hideMark/>
          </w:tcPr>
          <w:p w14:paraId="67222894" w14:textId="77777777" w:rsidR="00641F95" w:rsidRDefault="00641F95">
            <w:r>
              <w:rPr>
                <w:rFonts w:ascii="Segoe UI Symbol" w:hAnsi="Segoe UI Symbol" w:cs="Segoe UI Symbol"/>
              </w:rPr>
              <w:t>☐</w:t>
            </w:r>
          </w:p>
        </w:tc>
      </w:tr>
      <w:tr w:rsidR="00641F95" w14:paraId="53AD487A" w14:textId="77777777" w:rsidTr="00641F95">
        <w:tc>
          <w:tcPr>
            <w:tcW w:w="0" w:type="auto"/>
            <w:hideMark/>
          </w:tcPr>
          <w:p w14:paraId="367FB99B" w14:textId="77777777" w:rsidR="00641F95" w:rsidRDefault="00641F95">
            <w:r>
              <w:t>TC5</w:t>
            </w:r>
          </w:p>
        </w:tc>
        <w:tc>
          <w:tcPr>
            <w:tcW w:w="0" w:type="auto"/>
            <w:hideMark/>
          </w:tcPr>
          <w:p w14:paraId="5D0046F9" w14:textId="77777777" w:rsidR="00641F95" w:rsidRDefault="00641F95">
            <w:r>
              <w:t>Technological convergence is adequately supported in the UK</w:t>
            </w:r>
          </w:p>
        </w:tc>
        <w:tc>
          <w:tcPr>
            <w:tcW w:w="0" w:type="auto"/>
            <w:hideMark/>
          </w:tcPr>
          <w:p w14:paraId="6EAFAC39" w14:textId="77777777" w:rsidR="00641F95" w:rsidRDefault="00641F95">
            <w:r>
              <w:rPr>
                <w:rFonts w:ascii="Segoe UI Symbol" w:hAnsi="Segoe UI Symbol" w:cs="Segoe UI Symbol"/>
              </w:rPr>
              <w:t>☐</w:t>
            </w:r>
          </w:p>
        </w:tc>
        <w:tc>
          <w:tcPr>
            <w:tcW w:w="0" w:type="auto"/>
            <w:hideMark/>
          </w:tcPr>
          <w:p w14:paraId="646F0AE1" w14:textId="77777777" w:rsidR="00641F95" w:rsidRDefault="00641F95">
            <w:r>
              <w:rPr>
                <w:rFonts w:ascii="Segoe UI Symbol" w:hAnsi="Segoe UI Symbol" w:cs="Segoe UI Symbol"/>
              </w:rPr>
              <w:t>☐</w:t>
            </w:r>
          </w:p>
        </w:tc>
        <w:tc>
          <w:tcPr>
            <w:tcW w:w="0" w:type="auto"/>
            <w:hideMark/>
          </w:tcPr>
          <w:p w14:paraId="13014377" w14:textId="77777777" w:rsidR="00641F95" w:rsidRDefault="00641F95">
            <w:r>
              <w:rPr>
                <w:rFonts w:ascii="Segoe UI Symbol" w:hAnsi="Segoe UI Symbol" w:cs="Segoe UI Symbol"/>
              </w:rPr>
              <w:t>☐</w:t>
            </w:r>
          </w:p>
        </w:tc>
        <w:tc>
          <w:tcPr>
            <w:tcW w:w="0" w:type="auto"/>
            <w:hideMark/>
          </w:tcPr>
          <w:p w14:paraId="3285EB06" w14:textId="77777777" w:rsidR="00641F95" w:rsidRDefault="00641F95">
            <w:r>
              <w:rPr>
                <w:rFonts w:ascii="Segoe UI Symbol" w:hAnsi="Segoe UI Symbol" w:cs="Segoe UI Symbol"/>
              </w:rPr>
              <w:t>☐</w:t>
            </w:r>
          </w:p>
        </w:tc>
        <w:tc>
          <w:tcPr>
            <w:tcW w:w="0" w:type="auto"/>
            <w:hideMark/>
          </w:tcPr>
          <w:p w14:paraId="569600E6" w14:textId="77777777" w:rsidR="00641F95" w:rsidRDefault="00641F95">
            <w:r>
              <w:rPr>
                <w:rFonts w:ascii="Segoe UI Symbol" w:hAnsi="Segoe UI Symbol" w:cs="Segoe UI Symbol"/>
              </w:rPr>
              <w:t>☐</w:t>
            </w:r>
          </w:p>
        </w:tc>
      </w:tr>
    </w:tbl>
    <w:p w14:paraId="39C250C1" w14:textId="626D3EEB" w:rsidR="00641F95" w:rsidRDefault="00641F95" w:rsidP="00641F95"/>
    <w:p w14:paraId="6EA0CD2F" w14:textId="77777777" w:rsidR="00641F95" w:rsidRPr="00471473" w:rsidRDefault="00641F95" w:rsidP="00471473">
      <w:pPr>
        <w:ind w:left="432"/>
        <w:rPr>
          <w:sz w:val="28"/>
          <w:szCs w:val="24"/>
        </w:rPr>
      </w:pPr>
      <w:r w:rsidRPr="00471473">
        <w:rPr>
          <w:rStyle w:val="Strong"/>
          <w:sz w:val="28"/>
          <w:szCs w:val="24"/>
        </w:rPr>
        <w:t>Construct 5: EV Adoption Perception</w:t>
      </w:r>
    </w:p>
    <w:tbl>
      <w:tblPr>
        <w:tblStyle w:val="TableGrid"/>
        <w:tblW w:w="0" w:type="auto"/>
        <w:tblLook w:val="04A0" w:firstRow="1" w:lastRow="0" w:firstColumn="1" w:lastColumn="0" w:noHBand="0" w:noVBand="1"/>
      </w:tblPr>
      <w:tblGrid>
        <w:gridCol w:w="750"/>
        <w:gridCol w:w="6485"/>
        <w:gridCol w:w="423"/>
        <w:gridCol w:w="423"/>
        <w:gridCol w:w="423"/>
        <w:gridCol w:w="423"/>
        <w:gridCol w:w="423"/>
      </w:tblGrid>
      <w:tr w:rsidR="00641F95" w14:paraId="7F773CE3" w14:textId="77777777" w:rsidTr="00641F95">
        <w:tc>
          <w:tcPr>
            <w:tcW w:w="0" w:type="auto"/>
            <w:hideMark/>
          </w:tcPr>
          <w:p w14:paraId="29EC7272" w14:textId="77777777" w:rsidR="00641F95" w:rsidRDefault="00641F95">
            <w:pPr>
              <w:jc w:val="center"/>
              <w:rPr>
                <w:b/>
                <w:bCs/>
              </w:rPr>
            </w:pPr>
            <w:r>
              <w:rPr>
                <w:b/>
                <w:bCs/>
              </w:rPr>
              <w:t>Code</w:t>
            </w:r>
          </w:p>
        </w:tc>
        <w:tc>
          <w:tcPr>
            <w:tcW w:w="0" w:type="auto"/>
            <w:hideMark/>
          </w:tcPr>
          <w:p w14:paraId="6EEF4851" w14:textId="77777777" w:rsidR="00641F95" w:rsidRDefault="00641F95">
            <w:pPr>
              <w:jc w:val="center"/>
              <w:rPr>
                <w:b/>
                <w:bCs/>
              </w:rPr>
            </w:pPr>
            <w:r>
              <w:rPr>
                <w:b/>
                <w:bCs/>
              </w:rPr>
              <w:t>Statement</w:t>
            </w:r>
          </w:p>
        </w:tc>
        <w:tc>
          <w:tcPr>
            <w:tcW w:w="0" w:type="auto"/>
            <w:hideMark/>
          </w:tcPr>
          <w:p w14:paraId="6CB64183" w14:textId="77777777" w:rsidR="00641F95" w:rsidRDefault="00641F95">
            <w:pPr>
              <w:jc w:val="center"/>
              <w:rPr>
                <w:b/>
                <w:bCs/>
              </w:rPr>
            </w:pPr>
            <w:r>
              <w:rPr>
                <w:b/>
                <w:bCs/>
              </w:rPr>
              <w:t>1</w:t>
            </w:r>
          </w:p>
        </w:tc>
        <w:tc>
          <w:tcPr>
            <w:tcW w:w="0" w:type="auto"/>
            <w:hideMark/>
          </w:tcPr>
          <w:p w14:paraId="26FC229F" w14:textId="77777777" w:rsidR="00641F95" w:rsidRDefault="00641F95">
            <w:pPr>
              <w:jc w:val="center"/>
              <w:rPr>
                <w:b/>
                <w:bCs/>
              </w:rPr>
            </w:pPr>
            <w:r>
              <w:rPr>
                <w:b/>
                <w:bCs/>
              </w:rPr>
              <w:t>2</w:t>
            </w:r>
          </w:p>
        </w:tc>
        <w:tc>
          <w:tcPr>
            <w:tcW w:w="0" w:type="auto"/>
            <w:hideMark/>
          </w:tcPr>
          <w:p w14:paraId="31C8F41F" w14:textId="77777777" w:rsidR="00641F95" w:rsidRDefault="00641F95">
            <w:pPr>
              <w:jc w:val="center"/>
              <w:rPr>
                <w:b/>
                <w:bCs/>
              </w:rPr>
            </w:pPr>
            <w:r>
              <w:rPr>
                <w:b/>
                <w:bCs/>
              </w:rPr>
              <w:t>3</w:t>
            </w:r>
          </w:p>
        </w:tc>
        <w:tc>
          <w:tcPr>
            <w:tcW w:w="0" w:type="auto"/>
            <w:hideMark/>
          </w:tcPr>
          <w:p w14:paraId="054A123F" w14:textId="77777777" w:rsidR="00641F95" w:rsidRDefault="00641F95">
            <w:pPr>
              <w:jc w:val="center"/>
              <w:rPr>
                <w:b/>
                <w:bCs/>
              </w:rPr>
            </w:pPr>
            <w:r>
              <w:rPr>
                <w:b/>
                <w:bCs/>
              </w:rPr>
              <w:t>4</w:t>
            </w:r>
          </w:p>
        </w:tc>
        <w:tc>
          <w:tcPr>
            <w:tcW w:w="0" w:type="auto"/>
            <w:hideMark/>
          </w:tcPr>
          <w:p w14:paraId="05AAAB38" w14:textId="77777777" w:rsidR="00641F95" w:rsidRDefault="00641F95">
            <w:pPr>
              <w:jc w:val="center"/>
              <w:rPr>
                <w:b/>
                <w:bCs/>
              </w:rPr>
            </w:pPr>
            <w:r>
              <w:rPr>
                <w:b/>
                <w:bCs/>
              </w:rPr>
              <w:t>5</w:t>
            </w:r>
          </w:p>
        </w:tc>
      </w:tr>
      <w:tr w:rsidR="00641F95" w14:paraId="5BC3C424" w14:textId="77777777" w:rsidTr="00641F95">
        <w:tc>
          <w:tcPr>
            <w:tcW w:w="0" w:type="auto"/>
            <w:hideMark/>
          </w:tcPr>
          <w:p w14:paraId="1C67BD7D" w14:textId="77777777" w:rsidR="00641F95" w:rsidRDefault="00641F95">
            <w:pPr>
              <w:jc w:val="left"/>
            </w:pPr>
            <w:r>
              <w:t>EV1</w:t>
            </w:r>
          </w:p>
        </w:tc>
        <w:tc>
          <w:tcPr>
            <w:tcW w:w="0" w:type="auto"/>
            <w:hideMark/>
          </w:tcPr>
          <w:p w14:paraId="52DD22F9" w14:textId="77777777" w:rsidR="00641F95" w:rsidRDefault="00641F95">
            <w:r>
              <w:t>EVs are a practical transport solution in the UK</w:t>
            </w:r>
          </w:p>
        </w:tc>
        <w:tc>
          <w:tcPr>
            <w:tcW w:w="0" w:type="auto"/>
            <w:hideMark/>
          </w:tcPr>
          <w:p w14:paraId="08939E00" w14:textId="77777777" w:rsidR="00641F95" w:rsidRDefault="00641F95">
            <w:r>
              <w:rPr>
                <w:rFonts w:ascii="Segoe UI Symbol" w:hAnsi="Segoe UI Symbol" w:cs="Segoe UI Symbol"/>
              </w:rPr>
              <w:t>☐</w:t>
            </w:r>
          </w:p>
        </w:tc>
        <w:tc>
          <w:tcPr>
            <w:tcW w:w="0" w:type="auto"/>
            <w:hideMark/>
          </w:tcPr>
          <w:p w14:paraId="22211CED" w14:textId="77777777" w:rsidR="00641F95" w:rsidRDefault="00641F95">
            <w:r>
              <w:rPr>
                <w:rFonts w:ascii="Segoe UI Symbol" w:hAnsi="Segoe UI Symbol" w:cs="Segoe UI Symbol"/>
              </w:rPr>
              <w:t>☐</w:t>
            </w:r>
          </w:p>
        </w:tc>
        <w:tc>
          <w:tcPr>
            <w:tcW w:w="0" w:type="auto"/>
            <w:hideMark/>
          </w:tcPr>
          <w:p w14:paraId="6B5F690A" w14:textId="77777777" w:rsidR="00641F95" w:rsidRDefault="00641F95">
            <w:r>
              <w:rPr>
                <w:rFonts w:ascii="Segoe UI Symbol" w:hAnsi="Segoe UI Symbol" w:cs="Segoe UI Symbol"/>
              </w:rPr>
              <w:t>☐</w:t>
            </w:r>
          </w:p>
        </w:tc>
        <w:tc>
          <w:tcPr>
            <w:tcW w:w="0" w:type="auto"/>
            <w:hideMark/>
          </w:tcPr>
          <w:p w14:paraId="464DA6A2" w14:textId="77777777" w:rsidR="00641F95" w:rsidRDefault="00641F95">
            <w:r>
              <w:rPr>
                <w:rFonts w:ascii="Segoe UI Symbol" w:hAnsi="Segoe UI Symbol" w:cs="Segoe UI Symbol"/>
              </w:rPr>
              <w:t>☐</w:t>
            </w:r>
          </w:p>
        </w:tc>
        <w:tc>
          <w:tcPr>
            <w:tcW w:w="0" w:type="auto"/>
            <w:hideMark/>
          </w:tcPr>
          <w:p w14:paraId="2BFE7463" w14:textId="77777777" w:rsidR="00641F95" w:rsidRDefault="00641F95">
            <w:r>
              <w:rPr>
                <w:rFonts w:ascii="Segoe UI Symbol" w:hAnsi="Segoe UI Symbol" w:cs="Segoe UI Symbol"/>
              </w:rPr>
              <w:t>☐</w:t>
            </w:r>
          </w:p>
        </w:tc>
      </w:tr>
      <w:tr w:rsidR="00641F95" w14:paraId="0EF18B74" w14:textId="77777777" w:rsidTr="00641F95">
        <w:tc>
          <w:tcPr>
            <w:tcW w:w="0" w:type="auto"/>
            <w:hideMark/>
          </w:tcPr>
          <w:p w14:paraId="0048928B" w14:textId="77777777" w:rsidR="00641F95" w:rsidRDefault="00641F95">
            <w:r>
              <w:t>EV2</w:t>
            </w:r>
          </w:p>
        </w:tc>
        <w:tc>
          <w:tcPr>
            <w:tcW w:w="0" w:type="auto"/>
            <w:hideMark/>
          </w:tcPr>
          <w:p w14:paraId="7B2A7C77" w14:textId="77777777" w:rsidR="00641F95" w:rsidRDefault="00641F95">
            <w:r>
              <w:t>EVs are environmentally beneficial compared to conventional vehicles</w:t>
            </w:r>
          </w:p>
        </w:tc>
        <w:tc>
          <w:tcPr>
            <w:tcW w:w="0" w:type="auto"/>
            <w:hideMark/>
          </w:tcPr>
          <w:p w14:paraId="27F5D440" w14:textId="77777777" w:rsidR="00641F95" w:rsidRDefault="00641F95">
            <w:r>
              <w:rPr>
                <w:rFonts w:ascii="Segoe UI Symbol" w:hAnsi="Segoe UI Symbol" w:cs="Segoe UI Symbol"/>
              </w:rPr>
              <w:t>☐</w:t>
            </w:r>
          </w:p>
        </w:tc>
        <w:tc>
          <w:tcPr>
            <w:tcW w:w="0" w:type="auto"/>
            <w:hideMark/>
          </w:tcPr>
          <w:p w14:paraId="1CDC5639" w14:textId="77777777" w:rsidR="00641F95" w:rsidRDefault="00641F95">
            <w:r>
              <w:rPr>
                <w:rFonts w:ascii="Segoe UI Symbol" w:hAnsi="Segoe UI Symbol" w:cs="Segoe UI Symbol"/>
              </w:rPr>
              <w:t>☐</w:t>
            </w:r>
          </w:p>
        </w:tc>
        <w:tc>
          <w:tcPr>
            <w:tcW w:w="0" w:type="auto"/>
            <w:hideMark/>
          </w:tcPr>
          <w:p w14:paraId="4BE47A4F" w14:textId="77777777" w:rsidR="00641F95" w:rsidRDefault="00641F95">
            <w:r>
              <w:rPr>
                <w:rFonts w:ascii="Segoe UI Symbol" w:hAnsi="Segoe UI Symbol" w:cs="Segoe UI Symbol"/>
              </w:rPr>
              <w:t>☐</w:t>
            </w:r>
          </w:p>
        </w:tc>
        <w:tc>
          <w:tcPr>
            <w:tcW w:w="0" w:type="auto"/>
            <w:hideMark/>
          </w:tcPr>
          <w:p w14:paraId="17350BFB" w14:textId="77777777" w:rsidR="00641F95" w:rsidRDefault="00641F95">
            <w:r>
              <w:rPr>
                <w:rFonts w:ascii="Segoe UI Symbol" w:hAnsi="Segoe UI Symbol" w:cs="Segoe UI Symbol"/>
              </w:rPr>
              <w:t>☐</w:t>
            </w:r>
          </w:p>
        </w:tc>
        <w:tc>
          <w:tcPr>
            <w:tcW w:w="0" w:type="auto"/>
            <w:hideMark/>
          </w:tcPr>
          <w:p w14:paraId="69196982" w14:textId="77777777" w:rsidR="00641F95" w:rsidRDefault="00641F95">
            <w:r>
              <w:rPr>
                <w:rFonts w:ascii="Segoe UI Symbol" w:hAnsi="Segoe UI Symbol" w:cs="Segoe UI Symbol"/>
              </w:rPr>
              <w:t>☐</w:t>
            </w:r>
          </w:p>
        </w:tc>
      </w:tr>
      <w:tr w:rsidR="00641F95" w14:paraId="26030216" w14:textId="77777777" w:rsidTr="00641F95">
        <w:tc>
          <w:tcPr>
            <w:tcW w:w="0" w:type="auto"/>
            <w:hideMark/>
          </w:tcPr>
          <w:p w14:paraId="637F91D8" w14:textId="77777777" w:rsidR="00641F95" w:rsidRDefault="00641F95">
            <w:r>
              <w:lastRenderedPageBreak/>
              <w:t>EV3</w:t>
            </w:r>
          </w:p>
        </w:tc>
        <w:tc>
          <w:tcPr>
            <w:tcW w:w="0" w:type="auto"/>
            <w:hideMark/>
          </w:tcPr>
          <w:p w14:paraId="300AE7DB" w14:textId="77777777" w:rsidR="00641F95" w:rsidRDefault="00641F95">
            <w:r>
              <w:t>Institutional support influences my decision to adopt EVs</w:t>
            </w:r>
          </w:p>
        </w:tc>
        <w:tc>
          <w:tcPr>
            <w:tcW w:w="0" w:type="auto"/>
            <w:hideMark/>
          </w:tcPr>
          <w:p w14:paraId="2D6D94FA" w14:textId="77777777" w:rsidR="00641F95" w:rsidRDefault="00641F95">
            <w:r>
              <w:rPr>
                <w:rFonts w:ascii="Segoe UI Symbol" w:hAnsi="Segoe UI Symbol" w:cs="Segoe UI Symbol"/>
              </w:rPr>
              <w:t>☐</w:t>
            </w:r>
          </w:p>
        </w:tc>
        <w:tc>
          <w:tcPr>
            <w:tcW w:w="0" w:type="auto"/>
            <w:hideMark/>
          </w:tcPr>
          <w:p w14:paraId="5FF8FB2F" w14:textId="77777777" w:rsidR="00641F95" w:rsidRDefault="00641F95">
            <w:r>
              <w:rPr>
                <w:rFonts w:ascii="Segoe UI Symbol" w:hAnsi="Segoe UI Symbol" w:cs="Segoe UI Symbol"/>
              </w:rPr>
              <w:t>☐</w:t>
            </w:r>
          </w:p>
        </w:tc>
        <w:tc>
          <w:tcPr>
            <w:tcW w:w="0" w:type="auto"/>
            <w:hideMark/>
          </w:tcPr>
          <w:p w14:paraId="6DC91509" w14:textId="77777777" w:rsidR="00641F95" w:rsidRDefault="00641F95">
            <w:r>
              <w:rPr>
                <w:rFonts w:ascii="Segoe UI Symbol" w:hAnsi="Segoe UI Symbol" w:cs="Segoe UI Symbol"/>
              </w:rPr>
              <w:t>☐</w:t>
            </w:r>
          </w:p>
        </w:tc>
        <w:tc>
          <w:tcPr>
            <w:tcW w:w="0" w:type="auto"/>
            <w:hideMark/>
          </w:tcPr>
          <w:p w14:paraId="5638E7BD" w14:textId="77777777" w:rsidR="00641F95" w:rsidRDefault="00641F95">
            <w:r>
              <w:rPr>
                <w:rFonts w:ascii="Segoe UI Symbol" w:hAnsi="Segoe UI Symbol" w:cs="Segoe UI Symbol"/>
              </w:rPr>
              <w:t>☐</w:t>
            </w:r>
          </w:p>
        </w:tc>
        <w:tc>
          <w:tcPr>
            <w:tcW w:w="0" w:type="auto"/>
            <w:hideMark/>
          </w:tcPr>
          <w:p w14:paraId="601F2609" w14:textId="77777777" w:rsidR="00641F95" w:rsidRDefault="00641F95">
            <w:r>
              <w:rPr>
                <w:rFonts w:ascii="Segoe UI Symbol" w:hAnsi="Segoe UI Symbol" w:cs="Segoe UI Symbol"/>
              </w:rPr>
              <w:t>☐</w:t>
            </w:r>
          </w:p>
        </w:tc>
      </w:tr>
      <w:tr w:rsidR="00641F95" w14:paraId="6251C27B" w14:textId="77777777" w:rsidTr="00641F95">
        <w:tc>
          <w:tcPr>
            <w:tcW w:w="0" w:type="auto"/>
            <w:hideMark/>
          </w:tcPr>
          <w:p w14:paraId="5C73BF29" w14:textId="77777777" w:rsidR="00641F95" w:rsidRDefault="00641F95">
            <w:r>
              <w:t>EV4</w:t>
            </w:r>
          </w:p>
        </w:tc>
        <w:tc>
          <w:tcPr>
            <w:tcW w:w="0" w:type="auto"/>
            <w:hideMark/>
          </w:tcPr>
          <w:p w14:paraId="5F79786F" w14:textId="77777777" w:rsidR="00641F95" w:rsidRDefault="00641F95">
            <w:r>
              <w:t>Infrastructure availability affects EV adoption decisions</w:t>
            </w:r>
          </w:p>
        </w:tc>
        <w:tc>
          <w:tcPr>
            <w:tcW w:w="0" w:type="auto"/>
            <w:hideMark/>
          </w:tcPr>
          <w:p w14:paraId="520E33C8" w14:textId="77777777" w:rsidR="00641F95" w:rsidRDefault="00641F95">
            <w:r>
              <w:rPr>
                <w:rFonts w:ascii="Segoe UI Symbol" w:hAnsi="Segoe UI Symbol" w:cs="Segoe UI Symbol"/>
              </w:rPr>
              <w:t>☐</w:t>
            </w:r>
          </w:p>
        </w:tc>
        <w:tc>
          <w:tcPr>
            <w:tcW w:w="0" w:type="auto"/>
            <w:hideMark/>
          </w:tcPr>
          <w:p w14:paraId="05E56A5C" w14:textId="77777777" w:rsidR="00641F95" w:rsidRDefault="00641F95">
            <w:r>
              <w:rPr>
                <w:rFonts w:ascii="Segoe UI Symbol" w:hAnsi="Segoe UI Symbol" w:cs="Segoe UI Symbol"/>
              </w:rPr>
              <w:t>☐</w:t>
            </w:r>
          </w:p>
        </w:tc>
        <w:tc>
          <w:tcPr>
            <w:tcW w:w="0" w:type="auto"/>
            <w:hideMark/>
          </w:tcPr>
          <w:p w14:paraId="4D2DF1B6" w14:textId="77777777" w:rsidR="00641F95" w:rsidRDefault="00641F95">
            <w:r>
              <w:rPr>
                <w:rFonts w:ascii="Segoe UI Symbol" w:hAnsi="Segoe UI Symbol" w:cs="Segoe UI Symbol"/>
              </w:rPr>
              <w:t>☐</w:t>
            </w:r>
          </w:p>
        </w:tc>
        <w:tc>
          <w:tcPr>
            <w:tcW w:w="0" w:type="auto"/>
            <w:hideMark/>
          </w:tcPr>
          <w:p w14:paraId="769EA5FC" w14:textId="77777777" w:rsidR="00641F95" w:rsidRDefault="00641F95">
            <w:r>
              <w:rPr>
                <w:rFonts w:ascii="Segoe UI Symbol" w:hAnsi="Segoe UI Symbol" w:cs="Segoe UI Symbol"/>
              </w:rPr>
              <w:t>☐</w:t>
            </w:r>
          </w:p>
        </w:tc>
        <w:tc>
          <w:tcPr>
            <w:tcW w:w="0" w:type="auto"/>
            <w:hideMark/>
          </w:tcPr>
          <w:p w14:paraId="3F52B0B4" w14:textId="77777777" w:rsidR="00641F95" w:rsidRDefault="00641F95">
            <w:r>
              <w:rPr>
                <w:rFonts w:ascii="Segoe UI Symbol" w:hAnsi="Segoe UI Symbol" w:cs="Segoe UI Symbol"/>
              </w:rPr>
              <w:t>☐</w:t>
            </w:r>
          </w:p>
        </w:tc>
      </w:tr>
      <w:tr w:rsidR="00641F95" w14:paraId="19789D76" w14:textId="77777777" w:rsidTr="00641F95">
        <w:tc>
          <w:tcPr>
            <w:tcW w:w="0" w:type="auto"/>
            <w:hideMark/>
          </w:tcPr>
          <w:p w14:paraId="759EC165" w14:textId="77777777" w:rsidR="00641F95" w:rsidRDefault="00641F95">
            <w:r>
              <w:t>EV5</w:t>
            </w:r>
          </w:p>
        </w:tc>
        <w:tc>
          <w:tcPr>
            <w:tcW w:w="0" w:type="auto"/>
            <w:hideMark/>
          </w:tcPr>
          <w:p w14:paraId="666E424A" w14:textId="77777777" w:rsidR="00641F95" w:rsidRDefault="00641F95">
            <w:r>
              <w:t>Policy incentives influence EV adoption intentions</w:t>
            </w:r>
          </w:p>
        </w:tc>
        <w:tc>
          <w:tcPr>
            <w:tcW w:w="0" w:type="auto"/>
            <w:hideMark/>
          </w:tcPr>
          <w:p w14:paraId="2EF201CD" w14:textId="77777777" w:rsidR="00641F95" w:rsidRDefault="00641F95">
            <w:r>
              <w:rPr>
                <w:rFonts w:ascii="Segoe UI Symbol" w:hAnsi="Segoe UI Symbol" w:cs="Segoe UI Symbol"/>
              </w:rPr>
              <w:t>☐</w:t>
            </w:r>
          </w:p>
        </w:tc>
        <w:tc>
          <w:tcPr>
            <w:tcW w:w="0" w:type="auto"/>
            <w:hideMark/>
          </w:tcPr>
          <w:p w14:paraId="153BE50D" w14:textId="77777777" w:rsidR="00641F95" w:rsidRDefault="00641F95">
            <w:r>
              <w:rPr>
                <w:rFonts w:ascii="Segoe UI Symbol" w:hAnsi="Segoe UI Symbol" w:cs="Segoe UI Symbol"/>
              </w:rPr>
              <w:t>☐</w:t>
            </w:r>
          </w:p>
        </w:tc>
        <w:tc>
          <w:tcPr>
            <w:tcW w:w="0" w:type="auto"/>
            <w:hideMark/>
          </w:tcPr>
          <w:p w14:paraId="35CED374" w14:textId="77777777" w:rsidR="00641F95" w:rsidRDefault="00641F95">
            <w:r>
              <w:rPr>
                <w:rFonts w:ascii="Segoe UI Symbol" w:hAnsi="Segoe UI Symbol" w:cs="Segoe UI Symbol"/>
              </w:rPr>
              <w:t>☐</w:t>
            </w:r>
          </w:p>
        </w:tc>
        <w:tc>
          <w:tcPr>
            <w:tcW w:w="0" w:type="auto"/>
            <w:hideMark/>
          </w:tcPr>
          <w:p w14:paraId="5A92D7AA" w14:textId="77777777" w:rsidR="00641F95" w:rsidRDefault="00641F95">
            <w:r>
              <w:rPr>
                <w:rFonts w:ascii="Segoe UI Symbol" w:hAnsi="Segoe UI Symbol" w:cs="Segoe UI Symbol"/>
              </w:rPr>
              <w:t>☐</w:t>
            </w:r>
          </w:p>
        </w:tc>
        <w:tc>
          <w:tcPr>
            <w:tcW w:w="0" w:type="auto"/>
            <w:hideMark/>
          </w:tcPr>
          <w:p w14:paraId="4E687C62" w14:textId="77777777" w:rsidR="00641F95" w:rsidRDefault="00641F95">
            <w:r>
              <w:rPr>
                <w:rFonts w:ascii="Segoe UI Symbol" w:hAnsi="Segoe UI Symbol" w:cs="Segoe UI Symbol"/>
              </w:rPr>
              <w:t>☐</w:t>
            </w:r>
          </w:p>
        </w:tc>
      </w:tr>
    </w:tbl>
    <w:p w14:paraId="433D73E3" w14:textId="1413AA05" w:rsidR="00641F95" w:rsidRDefault="00641F95" w:rsidP="00641F95"/>
    <w:p w14:paraId="279391E6" w14:textId="77777777" w:rsidR="00641F95" w:rsidRPr="00471473" w:rsidRDefault="00641F95" w:rsidP="00471473">
      <w:pPr>
        <w:ind w:left="432"/>
        <w:rPr>
          <w:sz w:val="28"/>
          <w:szCs w:val="24"/>
        </w:rPr>
      </w:pPr>
      <w:r w:rsidRPr="00471473">
        <w:rPr>
          <w:rStyle w:val="Strong"/>
          <w:sz w:val="28"/>
          <w:szCs w:val="24"/>
        </w:rPr>
        <w:t>Construct 6: Sustainability and SDG Contribution</w:t>
      </w:r>
    </w:p>
    <w:tbl>
      <w:tblPr>
        <w:tblStyle w:val="TableGrid"/>
        <w:tblW w:w="0" w:type="auto"/>
        <w:tblLook w:val="04A0" w:firstRow="1" w:lastRow="0" w:firstColumn="1" w:lastColumn="0" w:noHBand="0" w:noVBand="1"/>
      </w:tblPr>
      <w:tblGrid>
        <w:gridCol w:w="817"/>
        <w:gridCol w:w="6418"/>
        <w:gridCol w:w="423"/>
        <w:gridCol w:w="423"/>
        <w:gridCol w:w="423"/>
        <w:gridCol w:w="423"/>
        <w:gridCol w:w="423"/>
      </w:tblGrid>
      <w:tr w:rsidR="00641F95" w14:paraId="29810CD8" w14:textId="77777777" w:rsidTr="00641F95">
        <w:tc>
          <w:tcPr>
            <w:tcW w:w="0" w:type="auto"/>
            <w:hideMark/>
          </w:tcPr>
          <w:p w14:paraId="6350F480" w14:textId="77777777" w:rsidR="00641F95" w:rsidRDefault="00641F95">
            <w:pPr>
              <w:jc w:val="center"/>
              <w:rPr>
                <w:b/>
                <w:bCs/>
              </w:rPr>
            </w:pPr>
            <w:r>
              <w:rPr>
                <w:b/>
                <w:bCs/>
              </w:rPr>
              <w:t>Code</w:t>
            </w:r>
          </w:p>
        </w:tc>
        <w:tc>
          <w:tcPr>
            <w:tcW w:w="0" w:type="auto"/>
            <w:hideMark/>
          </w:tcPr>
          <w:p w14:paraId="33C0CB6F" w14:textId="77777777" w:rsidR="00641F95" w:rsidRDefault="00641F95">
            <w:pPr>
              <w:jc w:val="center"/>
              <w:rPr>
                <w:b/>
                <w:bCs/>
              </w:rPr>
            </w:pPr>
            <w:r>
              <w:rPr>
                <w:b/>
                <w:bCs/>
              </w:rPr>
              <w:t>Statement</w:t>
            </w:r>
          </w:p>
        </w:tc>
        <w:tc>
          <w:tcPr>
            <w:tcW w:w="0" w:type="auto"/>
            <w:hideMark/>
          </w:tcPr>
          <w:p w14:paraId="0649419C" w14:textId="77777777" w:rsidR="00641F95" w:rsidRDefault="00641F95">
            <w:pPr>
              <w:jc w:val="center"/>
              <w:rPr>
                <w:b/>
                <w:bCs/>
              </w:rPr>
            </w:pPr>
            <w:r>
              <w:rPr>
                <w:b/>
                <w:bCs/>
              </w:rPr>
              <w:t>1</w:t>
            </w:r>
          </w:p>
        </w:tc>
        <w:tc>
          <w:tcPr>
            <w:tcW w:w="0" w:type="auto"/>
            <w:hideMark/>
          </w:tcPr>
          <w:p w14:paraId="4366C0CF" w14:textId="77777777" w:rsidR="00641F95" w:rsidRDefault="00641F95">
            <w:pPr>
              <w:jc w:val="center"/>
              <w:rPr>
                <w:b/>
                <w:bCs/>
              </w:rPr>
            </w:pPr>
            <w:r>
              <w:rPr>
                <w:b/>
                <w:bCs/>
              </w:rPr>
              <w:t>2</w:t>
            </w:r>
          </w:p>
        </w:tc>
        <w:tc>
          <w:tcPr>
            <w:tcW w:w="0" w:type="auto"/>
            <w:hideMark/>
          </w:tcPr>
          <w:p w14:paraId="57FF9572" w14:textId="77777777" w:rsidR="00641F95" w:rsidRDefault="00641F95">
            <w:pPr>
              <w:jc w:val="center"/>
              <w:rPr>
                <w:b/>
                <w:bCs/>
              </w:rPr>
            </w:pPr>
            <w:r>
              <w:rPr>
                <w:b/>
                <w:bCs/>
              </w:rPr>
              <w:t>3</w:t>
            </w:r>
          </w:p>
        </w:tc>
        <w:tc>
          <w:tcPr>
            <w:tcW w:w="0" w:type="auto"/>
            <w:hideMark/>
          </w:tcPr>
          <w:p w14:paraId="031524DD" w14:textId="77777777" w:rsidR="00641F95" w:rsidRDefault="00641F95">
            <w:pPr>
              <w:jc w:val="center"/>
              <w:rPr>
                <w:b/>
                <w:bCs/>
              </w:rPr>
            </w:pPr>
            <w:r>
              <w:rPr>
                <w:b/>
                <w:bCs/>
              </w:rPr>
              <w:t>4</w:t>
            </w:r>
          </w:p>
        </w:tc>
        <w:tc>
          <w:tcPr>
            <w:tcW w:w="0" w:type="auto"/>
            <w:hideMark/>
          </w:tcPr>
          <w:p w14:paraId="5D33DBB8" w14:textId="77777777" w:rsidR="00641F95" w:rsidRDefault="00641F95">
            <w:pPr>
              <w:jc w:val="center"/>
              <w:rPr>
                <w:b/>
                <w:bCs/>
              </w:rPr>
            </w:pPr>
            <w:r>
              <w:rPr>
                <w:b/>
                <w:bCs/>
              </w:rPr>
              <w:t>5</w:t>
            </w:r>
          </w:p>
        </w:tc>
      </w:tr>
      <w:tr w:rsidR="00641F95" w14:paraId="4323FD7E" w14:textId="77777777" w:rsidTr="00641F95">
        <w:tc>
          <w:tcPr>
            <w:tcW w:w="0" w:type="auto"/>
            <w:hideMark/>
          </w:tcPr>
          <w:p w14:paraId="56D693A2" w14:textId="77777777" w:rsidR="00641F95" w:rsidRDefault="00641F95">
            <w:pPr>
              <w:jc w:val="left"/>
            </w:pPr>
            <w:r>
              <w:t>SDG1</w:t>
            </w:r>
          </w:p>
        </w:tc>
        <w:tc>
          <w:tcPr>
            <w:tcW w:w="0" w:type="auto"/>
            <w:hideMark/>
          </w:tcPr>
          <w:p w14:paraId="00EA8D8A" w14:textId="77777777" w:rsidR="00641F95" w:rsidRDefault="00641F95">
            <w:r>
              <w:t>EV adoption contributes to clean energy goals</w:t>
            </w:r>
          </w:p>
        </w:tc>
        <w:tc>
          <w:tcPr>
            <w:tcW w:w="0" w:type="auto"/>
            <w:hideMark/>
          </w:tcPr>
          <w:p w14:paraId="414498E3" w14:textId="77777777" w:rsidR="00641F95" w:rsidRDefault="00641F95">
            <w:r>
              <w:rPr>
                <w:rFonts w:ascii="Segoe UI Symbol" w:hAnsi="Segoe UI Symbol" w:cs="Segoe UI Symbol"/>
              </w:rPr>
              <w:t>☐</w:t>
            </w:r>
          </w:p>
        </w:tc>
        <w:tc>
          <w:tcPr>
            <w:tcW w:w="0" w:type="auto"/>
            <w:hideMark/>
          </w:tcPr>
          <w:p w14:paraId="7FAA0751" w14:textId="77777777" w:rsidR="00641F95" w:rsidRDefault="00641F95">
            <w:r>
              <w:rPr>
                <w:rFonts w:ascii="Segoe UI Symbol" w:hAnsi="Segoe UI Symbol" w:cs="Segoe UI Symbol"/>
              </w:rPr>
              <w:t>☐</w:t>
            </w:r>
          </w:p>
        </w:tc>
        <w:tc>
          <w:tcPr>
            <w:tcW w:w="0" w:type="auto"/>
            <w:hideMark/>
          </w:tcPr>
          <w:p w14:paraId="38E7A556" w14:textId="77777777" w:rsidR="00641F95" w:rsidRDefault="00641F95">
            <w:r>
              <w:rPr>
                <w:rFonts w:ascii="Segoe UI Symbol" w:hAnsi="Segoe UI Symbol" w:cs="Segoe UI Symbol"/>
              </w:rPr>
              <w:t>☐</w:t>
            </w:r>
          </w:p>
        </w:tc>
        <w:tc>
          <w:tcPr>
            <w:tcW w:w="0" w:type="auto"/>
            <w:hideMark/>
          </w:tcPr>
          <w:p w14:paraId="29BEB846" w14:textId="77777777" w:rsidR="00641F95" w:rsidRDefault="00641F95">
            <w:r>
              <w:rPr>
                <w:rFonts w:ascii="Segoe UI Symbol" w:hAnsi="Segoe UI Symbol" w:cs="Segoe UI Symbol"/>
              </w:rPr>
              <w:t>☐</w:t>
            </w:r>
          </w:p>
        </w:tc>
        <w:tc>
          <w:tcPr>
            <w:tcW w:w="0" w:type="auto"/>
            <w:hideMark/>
          </w:tcPr>
          <w:p w14:paraId="14B01BB7" w14:textId="77777777" w:rsidR="00641F95" w:rsidRDefault="00641F95">
            <w:r>
              <w:rPr>
                <w:rFonts w:ascii="Segoe UI Symbol" w:hAnsi="Segoe UI Symbol" w:cs="Segoe UI Symbol"/>
              </w:rPr>
              <w:t>☐</w:t>
            </w:r>
          </w:p>
        </w:tc>
      </w:tr>
      <w:tr w:rsidR="00641F95" w14:paraId="2DD5E949" w14:textId="77777777" w:rsidTr="00641F95">
        <w:tc>
          <w:tcPr>
            <w:tcW w:w="0" w:type="auto"/>
            <w:hideMark/>
          </w:tcPr>
          <w:p w14:paraId="56C0A596" w14:textId="77777777" w:rsidR="00641F95" w:rsidRDefault="00641F95">
            <w:r>
              <w:t>SDG2</w:t>
            </w:r>
          </w:p>
        </w:tc>
        <w:tc>
          <w:tcPr>
            <w:tcW w:w="0" w:type="auto"/>
            <w:hideMark/>
          </w:tcPr>
          <w:p w14:paraId="379D4B07" w14:textId="77777777" w:rsidR="00641F95" w:rsidRDefault="00641F95">
            <w:r>
              <w:t>EV adoption supports climate action objectives</w:t>
            </w:r>
          </w:p>
        </w:tc>
        <w:tc>
          <w:tcPr>
            <w:tcW w:w="0" w:type="auto"/>
            <w:hideMark/>
          </w:tcPr>
          <w:p w14:paraId="285415B9" w14:textId="77777777" w:rsidR="00641F95" w:rsidRDefault="00641F95">
            <w:r>
              <w:rPr>
                <w:rFonts w:ascii="Segoe UI Symbol" w:hAnsi="Segoe UI Symbol" w:cs="Segoe UI Symbol"/>
              </w:rPr>
              <w:t>☐</w:t>
            </w:r>
          </w:p>
        </w:tc>
        <w:tc>
          <w:tcPr>
            <w:tcW w:w="0" w:type="auto"/>
            <w:hideMark/>
          </w:tcPr>
          <w:p w14:paraId="3CD22D4E" w14:textId="77777777" w:rsidR="00641F95" w:rsidRDefault="00641F95">
            <w:r>
              <w:rPr>
                <w:rFonts w:ascii="Segoe UI Symbol" w:hAnsi="Segoe UI Symbol" w:cs="Segoe UI Symbol"/>
              </w:rPr>
              <w:t>☐</w:t>
            </w:r>
          </w:p>
        </w:tc>
        <w:tc>
          <w:tcPr>
            <w:tcW w:w="0" w:type="auto"/>
            <w:hideMark/>
          </w:tcPr>
          <w:p w14:paraId="6620CDAB" w14:textId="77777777" w:rsidR="00641F95" w:rsidRDefault="00641F95">
            <w:r>
              <w:rPr>
                <w:rFonts w:ascii="Segoe UI Symbol" w:hAnsi="Segoe UI Symbol" w:cs="Segoe UI Symbol"/>
              </w:rPr>
              <w:t>☐</w:t>
            </w:r>
          </w:p>
        </w:tc>
        <w:tc>
          <w:tcPr>
            <w:tcW w:w="0" w:type="auto"/>
            <w:hideMark/>
          </w:tcPr>
          <w:p w14:paraId="137F0C24" w14:textId="77777777" w:rsidR="00641F95" w:rsidRDefault="00641F95">
            <w:r>
              <w:rPr>
                <w:rFonts w:ascii="Segoe UI Symbol" w:hAnsi="Segoe UI Symbol" w:cs="Segoe UI Symbol"/>
              </w:rPr>
              <w:t>☐</w:t>
            </w:r>
          </w:p>
        </w:tc>
        <w:tc>
          <w:tcPr>
            <w:tcW w:w="0" w:type="auto"/>
            <w:hideMark/>
          </w:tcPr>
          <w:p w14:paraId="0C016D97" w14:textId="77777777" w:rsidR="00641F95" w:rsidRDefault="00641F95">
            <w:r>
              <w:rPr>
                <w:rFonts w:ascii="Segoe UI Symbol" w:hAnsi="Segoe UI Symbol" w:cs="Segoe UI Symbol"/>
              </w:rPr>
              <w:t>☐</w:t>
            </w:r>
          </w:p>
        </w:tc>
      </w:tr>
      <w:tr w:rsidR="00641F95" w14:paraId="5EAB8C14" w14:textId="77777777" w:rsidTr="00641F95">
        <w:tc>
          <w:tcPr>
            <w:tcW w:w="0" w:type="auto"/>
            <w:hideMark/>
          </w:tcPr>
          <w:p w14:paraId="02636E8A" w14:textId="77777777" w:rsidR="00641F95" w:rsidRDefault="00641F95">
            <w:r>
              <w:t>SDG3</w:t>
            </w:r>
          </w:p>
        </w:tc>
        <w:tc>
          <w:tcPr>
            <w:tcW w:w="0" w:type="auto"/>
            <w:hideMark/>
          </w:tcPr>
          <w:p w14:paraId="3B944F84" w14:textId="77777777" w:rsidR="00641F95" w:rsidRDefault="00641F95">
            <w:r>
              <w:t>Institutional readiness is essential for achieving SDGs through EV adoption</w:t>
            </w:r>
          </w:p>
        </w:tc>
        <w:tc>
          <w:tcPr>
            <w:tcW w:w="0" w:type="auto"/>
            <w:hideMark/>
          </w:tcPr>
          <w:p w14:paraId="43BB5B50" w14:textId="77777777" w:rsidR="00641F95" w:rsidRDefault="00641F95">
            <w:r>
              <w:rPr>
                <w:rFonts w:ascii="Segoe UI Symbol" w:hAnsi="Segoe UI Symbol" w:cs="Segoe UI Symbol"/>
              </w:rPr>
              <w:t>☐</w:t>
            </w:r>
          </w:p>
        </w:tc>
        <w:tc>
          <w:tcPr>
            <w:tcW w:w="0" w:type="auto"/>
            <w:hideMark/>
          </w:tcPr>
          <w:p w14:paraId="05AAED2C" w14:textId="77777777" w:rsidR="00641F95" w:rsidRDefault="00641F95">
            <w:r>
              <w:rPr>
                <w:rFonts w:ascii="Segoe UI Symbol" w:hAnsi="Segoe UI Symbol" w:cs="Segoe UI Symbol"/>
              </w:rPr>
              <w:t>☐</w:t>
            </w:r>
          </w:p>
        </w:tc>
        <w:tc>
          <w:tcPr>
            <w:tcW w:w="0" w:type="auto"/>
            <w:hideMark/>
          </w:tcPr>
          <w:p w14:paraId="0959740D" w14:textId="77777777" w:rsidR="00641F95" w:rsidRDefault="00641F95">
            <w:r>
              <w:rPr>
                <w:rFonts w:ascii="Segoe UI Symbol" w:hAnsi="Segoe UI Symbol" w:cs="Segoe UI Symbol"/>
              </w:rPr>
              <w:t>☐</w:t>
            </w:r>
          </w:p>
        </w:tc>
        <w:tc>
          <w:tcPr>
            <w:tcW w:w="0" w:type="auto"/>
            <w:hideMark/>
          </w:tcPr>
          <w:p w14:paraId="47C5B9A4" w14:textId="77777777" w:rsidR="00641F95" w:rsidRDefault="00641F95">
            <w:r>
              <w:rPr>
                <w:rFonts w:ascii="Segoe UI Symbol" w:hAnsi="Segoe UI Symbol" w:cs="Segoe UI Symbol"/>
              </w:rPr>
              <w:t>☐</w:t>
            </w:r>
          </w:p>
        </w:tc>
        <w:tc>
          <w:tcPr>
            <w:tcW w:w="0" w:type="auto"/>
            <w:hideMark/>
          </w:tcPr>
          <w:p w14:paraId="076F94C9" w14:textId="77777777" w:rsidR="00641F95" w:rsidRDefault="00641F95">
            <w:r>
              <w:rPr>
                <w:rFonts w:ascii="Segoe UI Symbol" w:hAnsi="Segoe UI Symbol" w:cs="Segoe UI Symbol"/>
              </w:rPr>
              <w:t>☐</w:t>
            </w:r>
          </w:p>
        </w:tc>
      </w:tr>
      <w:tr w:rsidR="00641F95" w14:paraId="4F0AF2B1" w14:textId="77777777" w:rsidTr="00641F95">
        <w:tc>
          <w:tcPr>
            <w:tcW w:w="0" w:type="auto"/>
            <w:hideMark/>
          </w:tcPr>
          <w:p w14:paraId="7629C9C8" w14:textId="77777777" w:rsidR="00641F95" w:rsidRDefault="00641F95">
            <w:r>
              <w:t>SDG4</w:t>
            </w:r>
          </w:p>
        </w:tc>
        <w:tc>
          <w:tcPr>
            <w:tcW w:w="0" w:type="auto"/>
            <w:hideMark/>
          </w:tcPr>
          <w:p w14:paraId="3C2EFAC9" w14:textId="77777777" w:rsidR="00641F95" w:rsidRDefault="00641F95">
            <w:r>
              <w:t>Improved EV infrastructure enhances environmental performance</w:t>
            </w:r>
          </w:p>
        </w:tc>
        <w:tc>
          <w:tcPr>
            <w:tcW w:w="0" w:type="auto"/>
            <w:hideMark/>
          </w:tcPr>
          <w:p w14:paraId="7157D80B" w14:textId="77777777" w:rsidR="00641F95" w:rsidRDefault="00641F95">
            <w:r>
              <w:rPr>
                <w:rFonts w:ascii="Segoe UI Symbol" w:hAnsi="Segoe UI Symbol" w:cs="Segoe UI Symbol"/>
              </w:rPr>
              <w:t>☐</w:t>
            </w:r>
          </w:p>
        </w:tc>
        <w:tc>
          <w:tcPr>
            <w:tcW w:w="0" w:type="auto"/>
            <w:hideMark/>
          </w:tcPr>
          <w:p w14:paraId="520814D5" w14:textId="77777777" w:rsidR="00641F95" w:rsidRDefault="00641F95">
            <w:r>
              <w:rPr>
                <w:rFonts w:ascii="Segoe UI Symbol" w:hAnsi="Segoe UI Symbol" w:cs="Segoe UI Symbol"/>
              </w:rPr>
              <w:t>☐</w:t>
            </w:r>
          </w:p>
        </w:tc>
        <w:tc>
          <w:tcPr>
            <w:tcW w:w="0" w:type="auto"/>
            <w:hideMark/>
          </w:tcPr>
          <w:p w14:paraId="1B140C84" w14:textId="77777777" w:rsidR="00641F95" w:rsidRDefault="00641F95">
            <w:r>
              <w:rPr>
                <w:rFonts w:ascii="Segoe UI Symbol" w:hAnsi="Segoe UI Symbol" w:cs="Segoe UI Symbol"/>
              </w:rPr>
              <w:t>☐</w:t>
            </w:r>
          </w:p>
        </w:tc>
        <w:tc>
          <w:tcPr>
            <w:tcW w:w="0" w:type="auto"/>
            <w:hideMark/>
          </w:tcPr>
          <w:p w14:paraId="6B30F553" w14:textId="77777777" w:rsidR="00641F95" w:rsidRDefault="00641F95">
            <w:r>
              <w:rPr>
                <w:rFonts w:ascii="Segoe UI Symbol" w:hAnsi="Segoe UI Symbol" w:cs="Segoe UI Symbol"/>
              </w:rPr>
              <w:t>☐</w:t>
            </w:r>
          </w:p>
        </w:tc>
        <w:tc>
          <w:tcPr>
            <w:tcW w:w="0" w:type="auto"/>
            <w:hideMark/>
          </w:tcPr>
          <w:p w14:paraId="50405508" w14:textId="77777777" w:rsidR="00641F95" w:rsidRDefault="00641F95">
            <w:r>
              <w:rPr>
                <w:rFonts w:ascii="Segoe UI Symbol" w:hAnsi="Segoe UI Symbol" w:cs="Segoe UI Symbol"/>
              </w:rPr>
              <w:t>☐</w:t>
            </w:r>
          </w:p>
        </w:tc>
      </w:tr>
      <w:tr w:rsidR="00641F95" w14:paraId="26A93F2E" w14:textId="77777777" w:rsidTr="00641F95">
        <w:tc>
          <w:tcPr>
            <w:tcW w:w="0" w:type="auto"/>
            <w:hideMark/>
          </w:tcPr>
          <w:p w14:paraId="720D4185" w14:textId="77777777" w:rsidR="00641F95" w:rsidRDefault="00641F95">
            <w:r>
              <w:t>SDG5</w:t>
            </w:r>
          </w:p>
        </w:tc>
        <w:tc>
          <w:tcPr>
            <w:tcW w:w="0" w:type="auto"/>
            <w:hideMark/>
          </w:tcPr>
          <w:p w14:paraId="019787A0" w14:textId="77777777" w:rsidR="00641F95" w:rsidRDefault="00641F95">
            <w:r>
              <w:t>EV transition supports long-term sustainable development</w:t>
            </w:r>
          </w:p>
        </w:tc>
        <w:tc>
          <w:tcPr>
            <w:tcW w:w="0" w:type="auto"/>
            <w:hideMark/>
          </w:tcPr>
          <w:p w14:paraId="2D3AC5CA" w14:textId="77777777" w:rsidR="00641F95" w:rsidRDefault="00641F95">
            <w:r>
              <w:rPr>
                <w:rFonts w:ascii="Segoe UI Symbol" w:hAnsi="Segoe UI Symbol" w:cs="Segoe UI Symbol"/>
              </w:rPr>
              <w:t>☐</w:t>
            </w:r>
          </w:p>
        </w:tc>
        <w:tc>
          <w:tcPr>
            <w:tcW w:w="0" w:type="auto"/>
            <w:hideMark/>
          </w:tcPr>
          <w:p w14:paraId="42C2A6DB" w14:textId="77777777" w:rsidR="00641F95" w:rsidRDefault="00641F95">
            <w:r>
              <w:rPr>
                <w:rFonts w:ascii="Segoe UI Symbol" w:hAnsi="Segoe UI Symbol" w:cs="Segoe UI Symbol"/>
              </w:rPr>
              <w:t>☐</w:t>
            </w:r>
          </w:p>
        </w:tc>
        <w:tc>
          <w:tcPr>
            <w:tcW w:w="0" w:type="auto"/>
            <w:hideMark/>
          </w:tcPr>
          <w:p w14:paraId="4088080C" w14:textId="77777777" w:rsidR="00641F95" w:rsidRDefault="00641F95">
            <w:r>
              <w:rPr>
                <w:rFonts w:ascii="Segoe UI Symbol" w:hAnsi="Segoe UI Symbol" w:cs="Segoe UI Symbol"/>
              </w:rPr>
              <w:t>☐</w:t>
            </w:r>
          </w:p>
        </w:tc>
        <w:tc>
          <w:tcPr>
            <w:tcW w:w="0" w:type="auto"/>
            <w:hideMark/>
          </w:tcPr>
          <w:p w14:paraId="3DA9867B" w14:textId="77777777" w:rsidR="00641F95" w:rsidRDefault="00641F95">
            <w:r>
              <w:rPr>
                <w:rFonts w:ascii="Segoe UI Symbol" w:hAnsi="Segoe UI Symbol" w:cs="Segoe UI Symbol"/>
              </w:rPr>
              <w:t>☐</w:t>
            </w:r>
          </w:p>
        </w:tc>
        <w:tc>
          <w:tcPr>
            <w:tcW w:w="0" w:type="auto"/>
            <w:hideMark/>
          </w:tcPr>
          <w:p w14:paraId="2B98F985" w14:textId="77777777" w:rsidR="00641F95" w:rsidRDefault="00641F95">
            <w:r>
              <w:rPr>
                <w:rFonts w:ascii="Segoe UI Symbol" w:hAnsi="Segoe UI Symbol" w:cs="Segoe UI Symbol"/>
              </w:rPr>
              <w:t>☐</w:t>
            </w:r>
          </w:p>
        </w:tc>
      </w:tr>
    </w:tbl>
    <w:p w14:paraId="4CEC01A9" w14:textId="0E2CF6D5" w:rsidR="00641F95" w:rsidRDefault="00641F95" w:rsidP="00641F95"/>
    <w:p w14:paraId="15088524" w14:textId="4E20CAAD" w:rsidR="00641F95" w:rsidRPr="00641F95" w:rsidRDefault="00641F95" w:rsidP="00641F95">
      <w:pPr>
        <w:rPr>
          <w:sz w:val="32"/>
          <w:szCs w:val="28"/>
        </w:rPr>
      </w:pPr>
      <w:r w:rsidRPr="00641F95">
        <w:rPr>
          <w:rStyle w:val="Strong"/>
          <w:sz w:val="32"/>
          <w:szCs w:val="28"/>
        </w:rPr>
        <w:t xml:space="preserve">Section </w:t>
      </w:r>
      <w:r w:rsidR="00703623">
        <w:rPr>
          <w:rStyle w:val="Strong"/>
          <w:sz w:val="32"/>
          <w:szCs w:val="28"/>
        </w:rPr>
        <w:t>D</w:t>
      </w:r>
      <w:r w:rsidRPr="00641F95">
        <w:rPr>
          <w:rStyle w:val="Strong"/>
          <w:sz w:val="32"/>
          <w:szCs w:val="28"/>
        </w:rPr>
        <w:t>: Pilot Testing Feedback</w:t>
      </w:r>
    </w:p>
    <w:p w14:paraId="76AC7244" w14:textId="77777777" w:rsidR="00641F95" w:rsidRDefault="00641F95" w:rsidP="00613518">
      <w:pPr>
        <w:spacing w:before="100" w:beforeAutospacing="1" w:after="100" w:afterAutospacing="1" w:line="240" w:lineRule="auto"/>
        <w:jc w:val="left"/>
      </w:pPr>
      <w:r>
        <w:t xml:space="preserve">Were any questions unclear? </w:t>
      </w:r>
    </w:p>
    <w:p w14:paraId="6DB63A56" w14:textId="77777777" w:rsidR="00641F95" w:rsidRDefault="00641F95" w:rsidP="00641F95">
      <w:pPr>
        <w:spacing w:before="100" w:beforeAutospacing="1" w:after="100" w:afterAutospacing="1" w:line="240" w:lineRule="auto"/>
        <w:ind w:left="720"/>
        <w:jc w:val="left"/>
      </w:pPr>
      <w:r>
        <w:rPr>
          <w:rFonts w:ascii="Segoe UI Symbol" w:hAnsi="Segoe UI Symbol" w:cs="Segoe UI Symbol"/>
        </w:rPr>
        <w:t>☐</w:t>
      </w:r>
      <w:r>
        <w:t xml:space="preserve"> Yes </w:t>
      </w:r>
      <w:r>
        <w:rPr>
          <w:rFonts w:ascii="Segoe UI Symbol" w:hAnsi="Segoe UI Symbol" w:cs="Segoe UI Symbol"/>
        </w:rPr>
        <w:t>☐</w:t>
      </w:r>
      <w:r>
        <w:t xml:space="preserve"> No</w:t>
      </w:r>
    </w:p>
    <w:p w14:paraId="02E87A44" w14:textId="636D36CD" w:rsidR="003D1369" w:rsidRDefault="00641F95" w:rsidP="00613518">
      <w:pPr>
        <w:spacing w:before="100" w:beforeAutospacing="1" w:after="100" w:afterAutospacing="1" w:line="240" w:lineRule="auto"/>
        <w:jc w:val="left"/>
      </w:pPr>
      <w:r>
        <w:t xml:space="preserve">If yes, please specify: __________ </w:t>
      </w:r>
    </w:p>
    <w:p w14:paraId="6FDC4297" w14:textId="41DDAAEE" w:rsidR="003D1369" w:rsidRDefault="003D1369">
      <w:pPr>
        <w:spacing w:after="160" w:line="259" w:lineRule="auto"/>
        <w:jc w:val="left"/>
      </w:pPr>
      <w:r>
        <w:br w:type="page"/>
      </w:r>
    </w:p>
    <w:p w14:paraId="5354B82A" w14:textId="0B6C27E9" w:rsidR="00854E8B" w:rsidRDefault="00854E8B" w:rsidP="00854E8B">
      <w:pPr>
        <w:pStyle w:val="Heading2"/>
        <w:jc w:val="center"/>
      </w:pPr>
      <w:bookmarkStart w:id="104" w:name="_Toc216389636"/>
      <w:bookmarkStart w:id="105" w:name="_Toc227320152"/>
      <w:bookmarkStart w:id="106" w:name="_Toc227532043"/>
      <w:r>
        <w:lastRenderedPageBreak/>
        <w:t>Appendix 2: Data Collection Spreadsheet</w:t>
      </w:r>
      <w:bookmarkEnd w:id="104"/>
      <w:bookmarkEnd w:id="105"/>
      <w:bookmarkEnd w:id="106"/>
    </w:p>
    <w:p w14:paraId="3DA221AC" w14:textId="77777777" w:rsidR="003D1369" w:rsidRDefault="003D1369">
      <w:pPr>
        <w:spacing w:after="160" w:line="259" w:lineRule="auto"/>
        <w:jc w:val="left"/>
      </w:pPr>
    </w:p>
    <w:p w14:paraId="5B6EB9E0" w14:textId="77777777" w:rsidR="003D1369" w:rsidRDefault="0081629F" w:rsidP="00613518">
      <w:pPr>
        <w:spacing w:before="100" w:beforeAutospacing="1" w:after="100" w:afterAutospacing="1" w:line="240" w:lineRule="auto"/>
        <w:jc w:val="left"/>
      </w:pPr>
      <w:r>
        <w:rPr>
          <w:noProof/>
        </w:rPr>
        <w:object w:dxaOrig="1508" w:dyaOrig="983" w14:anchorId="12DDB6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5pt;height:49pt;mso-width-percent:0;mso-height-percent:0;mso-width-percent:0;mso-height-percent:0" o:ole="">
            <v:imagedata r:id="rId32" o:title=""/>
          </v:shape>
          <o:OLEObject Type="Embed" ProgID="Package" ShapeID="_x0000_i1026" DrawAspect="Icon" ObjectID="_1838849903" r:id="rId33"/>
        </w:object>
      </w:r>
    </w:p>
    <w:p w14:paraId="3D3DF0A2" w14:textId="0C4558DC" w:rsidR="003D1369" w:rsidRDefault="003D1369" w:rsidP="00613518">
      <w:pPr>
        <w:spacing w:before="100" w:beforeAutospacing="1" w:after="100" w:afterAutospacing="1" w:line="240" w:lineRule="auto"/>
        <w:jc w:val="left"/>
      </w:pPr>
    </w:p>
    <w:p w14:paraId="67848EF5" w14:textId="64CA3AC8" w:rsidR="003D1369" w:rsidRDefault="003D1369" w:rsidP="00613518">
      <w:pPr>
        <w:spacing w:before="100" w:beforeAutospacing="1" w:after="100" w:afterAutospacing="1" w:line="240" w:lineRule="auto"/>
        <w:jc w:val="left"/>
      </w:pPr>
    </w:p>
    <w:p w14:paraId="7C163AED" w14:textId="0FF28A5F" w:rsidR="003D1369" w:rsidRDefault="003D1369">
      <w:pPr>
        <w:spacing w:after="160" w:line="259" w:lineRule="auto"/>
        <w:jc w:val="left"/>
      </w:pPr>
      <w:r>
        <w:br w:type="page"/>
      </w:r>
    </w:p>
    <w:p w14:paraId="66B30B8B" w14:textId="64C084F2" w:rsidR="003D1369" w:rsidRDefault="00854E8B" w:rsidP="00854E8B">
      <w:pPr>
        <w:pStyle w:val="Heading2"/>
        <w:jc w:val="center"/>
      </w:pPr>
      <w:bookmarkStart w:id="107" w:name="_Toc216389637"/>
      <w:bookmarkStart w:id="108" w:name="_Toc227320153"/>
      <w:bookmarkStart w:id="109" w:name="_Toc227532044"/>
      <w:r>
        <w:lastRenderedPageBreak/>
        <w:t>Appendix 3: SPSS Analysis Output</w:t>
      </w:r>
      <w:bookmarkEnd w:id="107"/>
      <w:bookmarkEnd w:id="108"/>
      <w:bookmarkEnd w:id="109"/>
    </w:p>
    <w:p w14:paraId="7DD0E2EB" w14:textId="77777777" w:rsidR="003D1369" w:rsidRDefault="003D1369">
      <w:pPr>
        <w:spacing w:after="160" w:line="259" w:lineRule="auto"/>
        <w:jc w:val="left"/>
      </w:pPr>
    </w:p>
    <w:p w14:paraId="487AB495" w14:textId="43473E11" w:rsidR="00641F95" w:rsidRDefault="0081629F" w:rsidP="00613518">
      <w:pPr>
        <w:spacing w:before="100" w:beforeAutospacing="1" w:after="100" w:afterAutospacing="1" w:line="240" w:lineRule="auto"/>
        <w:jc w:val="left"/>
      </w:pPr>
      <w:r>
        <w:rPr>
          <w:noProof/>
        </w:rPr>
        <w:object w:dxaOrig="1508" w:dyaOrig="983" w14:anchorId="349686EE">
          <v:shape id="_x0000_i1025" type="#_x0000_t75" alt="" style="width:75pt;height:49pt;mso-width-percent:0;mso-height-percent:0;mso-width-percent:0;mso-height-percent:0" o:ole="">
            <v:imagedata r:id="rId34" o:title=""/>
          </v:shape>
          <o:OLEObject Type="Embed" ProgID="Package" ShapeID="_x0000_i1025" DrawAspect="Icon" ObjectID="_1838849904" r:id="rId35"/>
        </w:object>
      </w:r>
    </w:p>
    <w:p w14:paraId="702E7928" w14:textId="41EADE74" w:rsidR="003D1369" w:rsidRDefault="003D1369" w:rsidP="00613518">
      <w:pPr>
        <w:spacing w:before="100" w:beforeAutospacing="1" w:after="100" w:afterAutospacing="1" w:line="240" w:lineRule="auto"/>
        <w:jc w:val="left"/>
      </w:pPr>
    </w:p>
    <w:p w14:paraId="6A64E9C5" w14:textId="77777777" w:rsidR="003D1369" w:rsidRDefault="003D1369" w:rsidP="00613518">
      <w:pPr>
        <w:spacing w:before="100" w:beforeAutospacing="1" w:after="100" w:afterAutospacing="1" w:line="240" w:lineRule="auto"/>
        <w:jc w:val="left"/>
      </w:pPr>
    </w:p>
    <w:p w14:paraId="684C14BD" w14:textId="77777777" w:rsidR="00641F95" w:rsidRDefault="00641F95" w:rsidP="00641F95"/>
    <w:p w14:paraId="6744D85B" w14:textId="77777777" w:rsidR="00641F95" w:rsidRPr="00641F95" w:rsidRDefault="00641F95" w:rsidP="00641F95"/>
    <w:p w14:paraId="7A7338C1" w14:textId="77777777" w:rsidR="00333124" w:rsidRPr="00333124" w:rsidRDefault="00333124" w:rsidP="00641F95"/>
    <w:p w14:paraId="11CF9936" w14:textId="77777777" w:rsidR="0012779C" w:rsidRPr="0012779C" w:rsidRDefault="0012779C" w:rsidP="0012779C"/>
    <w:p w14:paraId="52F60646" w14:textId="5C58248C" w:rsidR="0012779C" w:rsidRDefault="0012779C" w:rsidP="0012779C"/>
    <w:p w14:paraId="57003B19" w14:textId="67C63533" w:rsidR="0012779C" w:rsidRPr="0012779C" w:rsidRDefault="0012779C" w:rsidP="00613518">
      <w:pPr>
        <w:spacing w:after="160" w:line="259" w:lineRule="auto"/>
        <w:jc w:val="left"/>
      </w:pPr>
    </w:p>
    <w:sectPr w:rsidR="0012779C" w:rsidRPr="0012779C">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B7971" w14:textId="77777777" w:rsidR="0081629F" w:rsidRDefault="0081629F" w:rsidP="00703623">
      <w:pPr>
        <w:spacing w:line="240" w:lineRule="auto"/>
      </w:pPr>
      <w:r>
        <w:separator/>
      </w:r>
    </w:p>
  </w:endnote>
  <w:endnote w:type="continuationSeparator" w:id="0">
    <w:p w14:paraId="08866207" w14:textId="77777777" w:rsidR="0081629F" w:rsidRDefault="0081629F" w:rsidP="007036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4639938"/>
      <w:docPartObj>
        <w:docPartGallery w:val="Page Numbers (Bottom of Page)"/>
        <w:docPartUnique/>
      </w:docPartObj>
    </w:sdtPr>
    <w:sdtEndPr>
      <w:rPr>
        <w:noProof/>
      </w:rPr>
    </w:sdtEndPr>
    <w:sdtContent>
      <w:p w14:paraId="37F47F33" w14:textId="2ABF8A11" w:rsidR="00D51485" w:rsidRDefault="00D514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8E5130" w14:textId="77777777" w:rsidR="00D51485" w:rsidRDefault="00D51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FF6FD" w14:textId="77777777" w:rsidR="0081629F" w:rsidRDefault="0081629F" w:rsidP="00703623">
      <w:pPr>
        <w:spacing w:line="240" w:lineRule="auto"/>
      </w:pPr>
      <w:r>
        <w:separator/>
      </w:r>
    </w:p>
  </w:footnote>
  <w:footnote w:type="continuationSeparator" w:id="0">
    <w:p w14:paraId="0ACD86FA" w14:textId="77777777" w:rsidR="0081629F" w:rsidRDefault="0081629F" w:rsidP="007036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8460B"/>
    <w:multiLevelType w:val="hybridMultilevel"/>
    <w:tmpl w:val="BF78F55C"/>
    <w:lvl w:ilvl="0" w:tplc="A36E6626">
      <w:start w:val="1"/>
      <w:numFmt w:val="bullet"/>
      <w:lvlText w:val=""/>
      <w:lvlJc w:val="left"/>
      <w:pPr>
        <w:ind w:left="720" w:hanging="360"/>
      </w:pPr>
      <w:rPr>
        <w:rFonts w:ascii="Symbol" w:hAnsi="Symbol" w:hint="default"/>
        <w:sz w:val="24"/>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F43FC9"/>
    <w:multiLevelType w:val="hybridMultilevel"/>
    <w:tmpl w:val="A19EA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501242"/>
    <w:multiLevelType w:val="hybridMultilevel"/>
    <w:tmpl w:val="BD3C450E"/>
    <w:lvl w:ilvl="0" w:tplc="A36E6626">
      <w:start w:val="1"/>
      <w:numFmt w:val="bullet"/>
      <w:lvlText w:val=""/>
      <w:lvlJc w:val="left"/>
      <w:pPr>
        <w:ind w:left="720" w:hanging="360"/>
      </w:pPr>
      <w:rPr>
        <w:rFonts w:ascii="Symbol" w:hAnsi="Symbol" w:hint="default"/>
        <w:sz w:val="24"/>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1274A8"/>
    <w:multiLevelType w:val="hybridMultilevel"/>
    <w:tmpl w:val="30C69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76B4E3F"/>
    <w:multiLevelType w:val="multilevel"/>
    <w:tmpl w:val="69B6F1AA"/>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E05779B"/>
    <w:multiLevelType w:val="hybridMultilevel"/>
    <w:tmpl w:val="9F02A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D94018"/>
    <w:multiLevelType w:val="multilevel"/>
    <w:tmpl w:val="39665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5754578">
    <w:abstractNumId w:val="4"/>
  </w:num>
  <w:num w:numId="2" w16cid:durableId="510218056">
    <w:abstractNumId w:val="2"/>
  </w:num>
  <w:num w:numId="3" w16cid:durableId="1937247353">
    <w:abstractNumId w:val="0"/>
  </w:num>
  <w:num w:numId="4" w16cid:durableId="87433218">
    <w:abstractNumId w:val="6"/>
  </w:num>
  <w:num w:numId="5" w16cid:durableId="708262647">
    <w:abstractNumId w:val="3"/>
  </w:num>
  <w:num w:numId="6" w16cid:durableId="1408306449">
    <w:abstractNumId w:val="5"/>
  </w:num>
  <w:num w:numId="7" w16cid:durableId="334187490">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3A"/>
    <w:rsid w:val="00022C96"/>
    <w:rsid w:val="0002589E"/>
    <w:rsid w:val="00035C1B"/>
    <w:rsid w:val="00052C1A"/>
    <w:rsid w:val="0005469E"/>
    <w:rsid w:val="0005761C"/>
    <w:rsid w:val="0007063E"/>
    <w:rsid w:val="000717FC"/>
    <w:rsid w:val="00075E15"/>
    <w:rsid w:val="000870A5"/>
    <w:rsid w:val="000932A3"/>
    <w:rsid w:val="000A4578"/>
    <w:rsid w:val="000B6DDC"/>
    <w:rsid w:val="00122A36"/>
    <w:rsid w:val="0012779C"/>
    <w:rsid w:val="00145945"/>
    <w:rsid w:val="00170510"/>
    <w:rsid w:val="001754A8"/>
    <w:rsid w:val="00190FCF"/>
    <w:rsid w:val="0019250B"/>
    <w:rsid w:val="00194AD8"/>
    <w:rsid w:val="001C2225"/>
    <w:rsid w:val="001C2E89"/>
    <w:rsid w:val="001E3E9A"/>
    <w:rsid w:val="001F210E"/>
    <w:rsid w:val="001F3A36"/>
    <w:rsid w:val="00212C8A"/>
    <w:rsid w:val="00214FC5"/>
    <w:rsid w:val="00237B37"/>
    <w:rsid w:val="00244E54"/>
    <w:rsid w:val="00245C49"/>
    <w:rsid w:val="00280FCD"/>
    <w:rsid w:val="002F1BA4"/>
    <w:rsid w:val="002F6EA1"/>
    <w:rsid w:val="00300D64"/>
    <w:rsid w:val="00301E46"/>
    <w:rsid w:val="00316911"/>
    <w:rsid w:val="00325B66"/>
    <w:rsid w:val="00333124"/>
    <w:rsid w:val="00370F73"/>
    <w:rsid w:val="003D1369"/>
    <w:rsid w:val="003D64E4"/>
    <w:rsid w:val="003E3593"/>
    <w:rsid w:val="004164A3"/>
    <w:rsid w:val="004378DE"/>
    <w:rsid w:val="00441EF6"/>
    <w:rsid w:val="00456121"/>
    <w:rsid w:val="00457E44"/>
    <w:rsid w:val="00463E31"/>
    <w:rsid w:val="00465953"/>
    <w:rsid w:val="00471473"/>
    <w:rsid w:val="004B377E"/>
    <w:rsid w:val="004E74BC"/>
    <w:rsid w:val="004F47F4"/>
    <w:rsid w:val="004F58BE"/>
    <w:rsid w:val="004F6924"/>
    <w:rsid w:val="004F7B5D"/>
    <w:rsid w:val="00560204"/>
    <w:rsid w:val="00585FF1"/>
    <w:rsid w:val="005A14C2"/>
    <w:rsid w:val="005D2129"/>
    <w:rsid w:val="00613518"/>
    <w:rsid w:val="00613672"/>
    <w:rsid w:val="00641F95"/>
    <w:rsid w:val="0066775C"/>
    <w:rsid w:val="006860B1"/>
    <w:rsid w:val="00690308"/>
    <w:rsid w:val="006E0BAE"/>
    <w:rsid w:val="006F0599"/>
    <w:rsid w:val="00703623"/>
    <w:rsid w:val="00721524"/>
    <w:rsid w:val="00730A65"/>
    <w:rsid w:val="00750F1C"/>
    <w:rsid w:val="0076398A"/>
    <w:rsid w:val="0076548E"/>
    <w:rsid w:val="00773EE1"/>
    <w:rsid w:val="00773FFB"/>
    <w:rsid w:val="007928A1"/>
    <w:rsid w:val="007B2550"/>
    <w:rsid w:val="007D0F86"/>
    <w:rsid w:val="007E5B79"/>
    <w:rsid w:val="007F291E"/>
    <w:rsid w:val="00800C72"/>
    <w:rsid w:val="00814326"/>
    <w:rsid w:val="0081629F"/>
    <w:rsid w:val="00834B9C"/>
    <w:rsid w:val="00854098"/>
    <w:rsid w:val="00854E8B"/>
    <w:rsid w:val="008A37F9"/>
    <w:rsid w:val="008B71E4"/>
    <w:rsid w:val="008D5329"/>
    <w:rsid w:val="00920EB5"/>
    <w:rsid w:val="00932EA2"/>
    <w:rsid w:val="0094245F"/>
    <w:rsid w:val="009D13E5"/>
    <w:rsid w:val="009E4B94"/>
    <w:rsid w:val="00A1195C"/>
    <w:rsid w:val="00A42EA8"/>
    <w:rsid w:val="00A92CE3"/>
    <w:rsid w:val="00A95F79"/>
    <w:rsid w:val="00AC04AA"/>
    <w:rsid w:val="00AD42A0"/>
    <w:rsid w:val="00AE4A98"/>
    <w:rsid w:val="00AE5D7E"/>
    <w:rsid w:val="00AF02E7"/>
    <w:rsid w:val="00B261EB"/>
    <w:rsid w:val="00B3376F"/>
    <w:rsid w:val="00B404D0"/>
    <w:rsid w:val="00B577CF"/>
    <w:rsid w:val="00B73DD5"/>
    <w:rsid w:val="00B7529E"/>
    <w:rsid w:val="00B7793A"/>
    <w:rsid w:val="00BB27D2"/>
    <w:rsid w:val="00BB7821"/>
    <w:rsid w:val="00BF70B8"/>
    <w:rsid w:val="00C44C7B"/>
    <w:rsid w:val="00C57806"/>
    <w:rsid w:val="00C778BA"/>
    <w:rsid w:val="00C92551"/>
    <w:rsid w:val="00CC5EFC"/>
    <w:rsid w:val="00CE0F68"/>
    <w:rsid w:val="00CF56AA"/>
    <w:rsid w:val="00D02C58"/>
    <w:rsid w:val="00D049CF"/>
    <w:rsid w:val="00D07753"/>
    <w:rsid w:val="00D152BE"/>
    <w:rsid w:val="00D51485"/>
    <w:rsid w:val="00D941DA"/>
    <w:rsid w:val="00DA2A23"/>
    <w:rsid w:val="00DB2529"/>
    <w:rsid w:val="00DB2585"/>
    <w:rsid w:val="00DE46EF"/>
    <w:rsid w:val="00DF6CB7"/>
    <w:rsid w:val="00E557EB"/>
    <w:rsid w:val="00E630EB"/>
    <w:rsid w:val="00E96EE6"/>
    <w:rsid w:val="00EC3F4A"/>
    <w:rsid w:val="00EF1425"/>
    <w:rsid w:val="00F900E9"/>
    <w:rsid w:val="00FB40A4"/>
    <w:rsid w:val="00FD5003"/>
    <w:rsid w:val="00FE08C9"/>
    <w:rsid w:val="00FF4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EF43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93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93A"/>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42EA8"/>
    <w:pPr>
      <w:keepNext/>
      <w:keepLines/>
      <w:ind w:left="432"/>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0308"/>
    <w:pPr>
      <w:keepNext/>
      <w:keepLines/>
      <w:ind w:left="432"/>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4F47F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93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42EA8"/>
    <w:rPr>
      <w:rFonts w:ascii="Times New Roman" w:eastAsiaTheme="majorEastAsia" w:hAnsi="Times New Roman" w:cstheme="majorBidi"/>
      <w:b/>
      <w:sz w:val="28"/>
      <w:szCs w:val="26"/>
    </w:rPr>
  </w:style>
  <w:style w:type="paragraph" w:styleId="ListParagraph">
    <w:name w:val="List Paragraph"/>
    <w:basedOn w:val="Normal"/>
    <w:uiPriority w:val="34"/>
    <w:qFormat/>
    <w:rsid w:val="00773FFB"/>
    <w:pPr>
      <w:ind w:left="720"/>
      <w:contextualSpacing/>
    </w:pPr>
  </w:style>
  <w:style w:type="character" w:customStyle="1" w:styleId="Heading3Char">
    <w:name w:val="Heading 3 Char"/>
    <w:basedOn w:val="DefaultParagraphFont"/>
    <w:link w:val="Heading3"/>
    <w:uiPriority w:val="9"/>
    <w:rsid w:val="00690308"/>
    <w:rPr>
      <w:rFonts w:ascii="Times New Roman" w:eastAsiaTheme="majorEastAsia" w:hAnsi="Times New Roman" w:cstheme="majorBidi"/>
      <w:b/>
      <w:sz w:val="26"/>
      <w:szCs w:val="24"/>
    </w:rPr>
  </w:style>
  <w:style w:type="paragraph" w:styleId="NormalWeb">
    <w:name w:val="Normal (Web)"/>
    <w:basedOn w:val="Normal"/>
    <w:uiPriority w:val="99"/>
    <w:unhideWhenUsed/>
    <w:rsid w:val="00C5780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57806"/>
    <w:rPr>
      <w:b/>
      <w:bCs/>
    </w:rPr>
  </w:style>
  <w:style w:type="paragraph" w:styleId="TOCHeading">
    <w:name w:val="TOC Heading"/>
    <w:basedOn w:val="Heading1"/>
    <w:next w:val="Normal"/>
    <w:uiPriority w:val="39"/>
    <w:unhideWhenUsed/>
    <w:qFormat/>
    <w:rsid w:val="00237B37"/>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37B37"/>
    <w:pPr>
      <w:spacing w:after="100"/>
    </w:pPr>
  </w:style>
  <w:style w:type="paragraph" w:styleId="TOC2">
    <w:name w:val="toc 2"/>
    <w:basedOn w:val="Normal"/>
    <w:next w:val="Normal"/>
    <w:autoRedefine/>
    <w:uiPriority w:val="39"/>
    <w:unhideWhenUsed/>
    <w:rsid w:val="00237B37"/>
    <w:pPr>
      <w:spacing w:after="100"/>
      <w:ind w:left="240"/>
    </w:pPr>
  </w:style>
  <w:style w:type="paragraph" w:styleId="TOC3">
    <w:name w:val="toc 3"/>
    <w:basedOn w:val="Normal"/>
    <w:next w:val="Normal"/>
    <w:autoRedefine/>
    <w:uiPriority w:val="39"/>
    <w:unhideWhenUsed/>
    <w:rsid w:val="00237B37"/>
    <w:pPr>
      <w:spacing w:after="100"/>
      <w:ind w:left="480"/>
    </w:pPr>
  </w:style>
  <w:style w:type="character" w:styleId="Hyperlink">
    <w:name w:val="Hyperlink"/>
    <w:basedOn w:val="DefaultParagraphFont"/>
    <w:uiPriority w:val="99"/>
    <w:unhideWhenUsed/>
    <w:rsid w:val="00237B37"/>
    <w:rPr>
      <w:color w:val="0563C1" w:themeColor="hyperlink"/>
      <w:u w:val="single"/>
    </w:rPr>
  </w:style>
  <w:style w:type="character" w:customStyle="1" w:styleId="Heading4Char">
    <w:name w:val="Heading 4 Char"/>
    <w:basedOn w:val="DefaultParagraphFont"/>
    <w:link w:val="Heading4"/>
    <w:uiPriority w:val="9"/>
    <w:semiHidden/>
    <w:rsid w:val="004F47F4"/>
    <w:rPr>
      <w:rFonts w:asciiTheme="majorHAnsi" w:eastAsiaTheme="majorEastAsia" w:hAnsiTheme="majorHAnsi" w:cstheme="majorBidi"/>
      <w:i/>
      <w:iCs/>
      <w:color w:val="2F5496" w:themeColor="accent1" w:themeShade="BF"/>
      <w:sz w:val="24"/>
    </w:rPr>
  </w:style>
  <w:style w:type="paragraph" w:styleId="BalloonText">
    <w:name w:val="Balloon Text"/>
    <w:basedOn w:val="Normal"/>
    <w:link w:val="BalloonTextChar"/>
    <w:uiPriority w:val="99"/>
    <w:semiHidden/>
    <w:unhideWhenUsed/>
    <w:rsid w:val="004F692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924"/>
    <w:rPr>
      <w:rFonts w:ascii="Segoe UI" w:hAnsi="Segoe UI" w:cs="Segoe UI"/>
      <w:sz w:val="18"/>
      <w:szCs w:val="18"/>
    </w:rPr>
  </w:style>
  <w:style w:type="character" w:styleId="Emphasis">
    <w:name w:val="Emphasis"/>
    <w:basedOn w:val="DefaultParagraphFont"/>
    <w:uiPriority w:val="20"/>
    <w:qFormat/>
    <w:rsid w:val="00FB40A4"/>
    <w:rPr>
      <w:i/>
      <w:iCs/>
    </w:rPr>
  </w:style>
  <w:style w:type="table" w:styleId="TableGrid">
    <w:name w:val="Table Grid"/>
    <w:basedOn w:val="TableNormal"/>
    <w:uiPriority w:val="39"/>
    <w:rsid w:val="00FB4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3623"/>
    <w:pPr>
      <w:tabs>
        <w:tab w:val="center" w:pos="4680"/>
        <w:tab w:val="right" w:pos="9360"/>
      </w:tabs>
      <w:spacing w:line="240" w:lineRule="auto"/>
    </w:pPr>
  </w:style>
  <w:style w:type="character" w:customStyle="1" w:styleId="HeaderChar">
    <w:name w:val="Header Char"/>
    <w:basedOn w:val="DefaultParagraphFont"/>
    <w:link w:val="Header"/>
    <w:uiPriority w:val="99"/>
    <w:rsid w:val="00703623"/>
    <w:rPr>
      <w:rFonts w:ascii="Times New Roman" w:hAnsi="Times New Roman"/>
      <w:sz w:val="24"/>
    </w:rPr>
  </w:style>
  <w:style w:type="paragraph" w:styleId="Footer">
    <w:name w:val="footer"/>
    <w:basedOn w:val="Normal"/>
    <w:link w:val="FooterChar"/>
    <w:uiPriority w:val="99"/>
    <w:unhideWhenUsed/>
    <w:rsid w:val="00703623"/>
    <w:pPr>
      <w:tabs>
        <w:tab w:val="center" w:pos="4680"/>
        <w:tab w:val="right" w:pos="9360"/>
      </w:tabs>
      <w:spacing w:line="240" w:lineRule="auto"/>
    </w:pPr>
  </w:style>
  <w:style w:type="character" w:customStyle="1" w:styleId="FooterChar">
    <w:name w:val="Footer Char"/>
    <w:basedOn w:val="DefaultParagraphFont"/>
    <w:link w:val="Footer"/>
    <w:uiPriority w:val="99"/>
    <w:rsid w:val="0070362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54437">
      <w:bodyDiv w:val="1"/>
      <w:marLeft w:val="0"/>
      <w:marRight w:val="0"/>
      <w:marTop w:val="0"/>
      <w:marBottom w:val="0"/>
      <w:divBdr>
        <w:top w:val="none" w:sz="0" w:space="0" w:color="auto"/>
        <w:left w:val="none" w:sz="0" w:space="0" w:color="auto"/>
        <w:bottom w:val="none" w:sz="0" w:space="0" w:color="auto"/>
        <w:right w:val="none" w:sz="0" w:space="0" w:color="auto"/>
      </w:divBdr>
    </w:div>
    <w:div w:id="80953166">
      <w:bodyDiv w:val="1"/>
      <w:marLeft w:val="0"/>
      <w:marRight w:val="0"/>
      <w:marTop w:val="0"/>
      <w:marBottom w:val="0"/>
      <w:divBdr>
        <w:top w:val="none" w:sz="0" w:space="0" w:color="auto"/>
        <w:left w:val="none" w:sz="0" w:space="0" w:color="auto"/>
        <w:bottom w:val="none" w:sz="0" w:space="0" w:color="auto"/>
        <w:right w:val="none" w:sz="0" w:space="0" w:color="auto"/>
      </w:divBdr>
    </w:div>
    <w:div w:id="156460625">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249312450">
      <w:bodyDiv w:val="1"/>
      <w:marLeft w:val="0"/>
      <w:marRight w:val="0"/>
      <w:marTop w:val="0"/>
      <w:marBottom w:val="0"/>
      <w:divBdr>
        <w:top w:val="none" w:sz="0" w:space="0" w:color="auto"/>
        <w:left w:val="none" w:sz="0" w:space="0" w:color="auto"/>
        <w:bottom w:val="none" w:sz="0" w:space="0" w:color="auto"/>
        <w:right w:val="none" w:sz="0" w:space="0" w:color="auto"/>
      </w:divBdr>
    </w:div>
    <w:div w:id="299266274">
      <w:bodyDiv w:val="1"/>
      <w:marLeft w:val="0"/>
      <w:marRight w:val="0"/>
      <w:marTop w:val="0"/>
      <w:marBottom w:val="0"/>
      <w:divBdr>
        <w:top w:val="none" w:sz="0" w:space="0" w:color="auto"/>
        <w:left w:val="none" w:sz="0" w:space="0" w:color="auto"/>
        <w:bottom w:val="none" w:sz="0" w:space="0" w:color="auto"/>
        <w:right w:val="none" w:sz="0" w:space="0" w:color="auto"/>
      </w:divBdr>
    </w:div>
    <w:div w:id="310448342">
      <w:bodyDiv w:val="1"/>
      <w:marLeft w:val="0"/>
      <w:marRight w:val="0"/>
      <w:marTop w:val="0"/>
      <w:marBottom w:val="0"/>
      <w:divBdr>
        <w:top w:val="none" w:sz="0" w:space="0" w:color="auto"/>
        <w:left w:val="none" w:sz="0" w:space="0" w:color="auto"/>
        <w:bottom w:val="none" w:sz="0" w:space="0" w:color="auto"/>
        <w:right w:val="none" w:sz="0" w:space="0" w:color="auto"/>
      </w:divBdr>
    </w:div>
    <w:div w:id="328799379">
      <w:bodyDiv w:val="1"/>
      <w:marLeft w:val="0"/>
      <w:marRight w:val="0"/>
      <w:marTop w:val="0"/>
      <w:marBottom w:val="0"/>
      <w:divBdr>
        <w:top w:val="none" w:sz="0" w:space="0" w:color="auto"/>
        <w:left w:val="none" w:sz="0" w:space="0" w:color="auto"/>
        <w:bottom w:val="none" w:sz="0" w:space="0" w:color="auto"/>
        <w:right w:val="none" w:sz="0" w:space="0" w:color="auto"/>
      </w:divBdr>
    </w:div>
    <w:div w:id="358623044">
      <w:bodyDiv w:val="1"/>
      <w:marLeft w:val="0"/>
      <w:marRight w:val="0"/>
      <w:marTop w:val="0"/>
      <w:marBottom w:val="0"/>
      <w:divBdr>
        <w:top w:val="none" w:sz="0" w:space="0" w:color="auto"/>
        <w:left w:val="none" w:sz="0" w:space="0" w:color="auto"/>
        <w:bottom w:val="none" w:sz="0" w:space="0" w:color="auto"/>
        <w:right w:val="none" w:sz="0" w:space="0" w:color="auto"/>
      </w:divBdr>
      <w:divsChild>
        <w:div w:id="1176269588">
          <w:marLeft w:val="0"/>
          <w:marRight w:val="0"/>
          <w:marTop w:val="0"/>
          <w:marBottom w:val="0"/>
          <w:divBdr>
            <w:top w:val="none" w:sz="0" w:space="0" w:color="auto"/>
            <w:left w:val="none" w:sz="0" w:space="0" w:color="auto"/>
            <w:bottom w:val="none" w:sz="0" w:space="0" w:color="auto"/>
            <w:right w:val="none" w:sz="0" w:space="0" w:color="auto"/>
          </w:divBdr>
          <w:divsChild>
            <w:div w:id="943027924">
              <w:marLeft w:val="0"/>
              <w:marRight w:val="0"/>
              <w:marTop w:val="0"/>
              <w:marBottom w:val="0"/>
              <w:divBdr>
                <w:top w:val="none" w:sz="0" w:space="0" w:color="auto"/>
                <w:left w:val="none" w:sz="0" w:space="0" w:color="auto"/>
                <w:bottom w:val="none" w:sz="0" w:space="0" w:color="auto"/>
                <w:right w:val="none" w:sz="0" w:space="0" w:color="auto"/>
              </w:divBdr>
            </w:div>
          </w:divsChild>
        </w:div>
        <w:div w:id="379936309">
          <w:marLeft w:val="0"/>
          <w:marRight w:val="0"/>
          <w:marTop w:val="0"/>
          <w:marBottom w:val="0"/>
          <w:divBdr>
            <w:top w:val="none" w:sz="0" w:space="0" w:color="auto"/>
            <w:left w:val="none" w:sz="0" w:space="0" w:color="auto"/>
            <w:bottom w:val="none" w:sz="0" w:space="0" w:color="auto"/>
            <w:right w:val="none" w:sz="0" w:space="0" w:color="auto"/>
          </w:divBdr>
          <w:divsChild>
            <w:div w:id="852107353">
              <w:marLeft w:val="0"/>
              <w:marRight w:val="0"/>
              <w:marTop w:val="0"/>
              <w:marBottom w:val="0"/>
              <w:divBdr>
                <w:top w:val="none" w:sz="0" w:space="0" w:color="auto"/>
                <w:left w:val="none" w:sz="0" w:space="0" w:color="auto"/>
                <w:bottom w:val="none" w:sz="0" w:space="0" w:color="auto"/>
                <w:right w:val="none" w:sz="0" w:space="0" w:color="auto"/>
              </w:divBdr>
            </w:div>
          </w:divsChild>
        </w:div>
        <w:div w:id="222567859">
          <w:marLeft w:val="0"/>
          <w:marRight w:val="0"/>
          <w:marTop w:val="0"/>
          <w:marBottom w:val="0"/>
          <w:divBdr>
            <w:top w:val="none" w:sz="0" w:space="0" w:color="auto"/>
            <w:left w:val="none" w:sz="0" w:space="0" w:color="auto"/>
            <w:bottom w:val="none" w:sz="0" w:space="0" w:color="auto"/>
            <w:right w:val="none" w:sz="0" w:space="0" w:color="auto"/>
          </w:divBdr>
          <w:divsChild>
            <w:div w:id="1721241805">
              <w:marLeft w:val="0"/>
              <w:marRight w:val="0"/>
              <w:marTop w:val="0"/>
              <w:marBottom w:val="0"/>
              <w:divBdr>
                <w:top w:val="none" w:sz="0" w:space="0" w:color="auto"/>
                <w:left w:val="none" w:sz="0" w:space="0" w:color="auto"/>
                <w:bottom w:val="none" w:sz="0" w:space="0" w:color="auto"/>
                <w:right w:val="none" w:sz="0" w:space="0" w:color="auto"/>
              </w:divBdr>
            </w:div>
          </w:divsChild>
        </w:div>
        <w:div w:id="1622493369">
          <w:marLeft w:val="0"/>
          <w:marRight w:val="0"/>
          <w:marTop w:val="0"/>
          <w:marBottom w:val="0"/>
          <w:divBdr>
            <w:top w:val="none" w:sz="0" w:space="0" w:color="auto"/>
            <w:left w:val="none" w:sz="0" w:space="0" w:color="auto"/>
            <w:bottom w:val="none" w:sz="0" w:space="0" w:color="auto"/>
            <w:right w:val="none" w:sz="0" w:space="0" w:color="auto"/>
          </w:divBdr>
          <w:divsChild>
            <w:div w:id="2001155275">
              <w:marLeft w:val="0"/>
              <w:marRight w:val="0"/>
              <w:marTop w:val="0"/>
              <w:marBottom w:val="0"/>
              <w:divBdr>
                <w:top w:val="none" w:sz="0" w:space="0" w:color="auto"/>
                <w:left w:val="none" w:sz="0" w:space="0" w:color="auto"/>
                <w:bottom w:val="none" w:sz="0" w:space="0" w:color="auto"/>
                <w:right w:val="none" w:sz="0" w:space="0" w:color="auto"/>
              </w:divBdr>
            </w:div>
          </w:divsChild>
        </w:div>
        <w:div w:id="1381708482">
          <w:marLeft w:val="0"/>
          <w:marRight w:val="0"/>
          <w:marTop w:val="0"/>
          <w:marBottom w:val="0"/>
          <w:divBdr>
            <w:top w:val="none" w:sz="0" w:space="0" w:color="auto"/>
            <w:left w:val="none" w:sz="0" w:space="0" w:color="auto"/>
            <w:bottom w:val="none" w:sz="0" w:space="0" w:color="auto"/>
            <w:right w:val="none" w:sz="0" w:space="0" w:color="auto"/>
          </w:divBdr>
          <w:divsChild>
            <w:div w:id="1213615148">
              <w:marLeft w:val="0"/>
              <w:marRight w:val="0"/>
              <w:marTop w:val="0"/>
              <w:marBottom w:val="0"/>
              <w:divBdr>
                <w:top w:val="none" w:sz="0" w:space="0" w:color="auto"/>
                <w:left w:val="none" w:sz="0" w:space="0" w:color="auto"/>
                <w:bottom w:val="none" w:sz="0" w:space="0" w:color="auto"/>
                <w:right w:val="none" w:sz="0" w:space="0" w:color="auto"/>
              </w:divBdr>
            </w:div>
          </w:divsChild>
        </w:div>
        <w:div w:id="933976443">
          <w:marLeft w:val="0"/>
          <w:marRight w:val="0"/>
          <w:marTop w:val="0"/>
          <w:marBottom w:val="0"/>
          <w:divBdr>
            <w:top w:val="none" w:sz="0" w:space="0" w:color="auto"/>
            <w:left w:val="none" w:sz="0" w:space="0" w:color="auto"/>
            <w:bottom w:val="none" w:sz="0" w:space="0" w:color="auto"/>
            <w:right w:val="none" w:sz="0" w:space="0" w:color="auto"/>
          </w:divBdr>
          <w:divsChild>
            <w:div w:id="1108428459">
              <w:marLeft w:val="0"/>
              <w:marRight w:val="0"/>
              <w:marTop w:val="0"/>
              <w:marBottom w:val="0"/>
              <w:divBdr>
                <w:top w:val="none" w:sz="0" w:space="0" w:color="auto"/>
                <w:left w:val="none" w:sz="0" w:space="0" w:color="auto"/>
                <w:bottom w:val="none" w:sz="0" w:space="0" w:color="auto"/>
                <w:right w:val="none" w:sz="0" w:space="0" w:color="auto"/>
              </w:divBdr>
            </w:div>
          </w:divsChild>
        </w:div>
        <w:div w:id="1948392685">
          <w:marLeft w:val="0"/>
          <w:marRight w:val="0"/>
          <w:marTop w:val="0"/>
          <w:marBottom w:val="0"/>
          <w:divBdr>
            <w:top w:val="none" w:sz="0" w:space="0" w:color="auto"/>
            <w:left w:val="none" w:sz="0" w:space="0" w:color="auto"/>
            <w:bottom w:val="none" w:sz="0" w:space="0" w:color="auto"/>
            <w:right w:val="none" w:sz="0" w:space="0" w:color="auto"/>
          </w:divBdr>
          <w:divsChild>
            <w:div w:id="29491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582550">
      <w:bodyDiv w:val="1"/>
      <w:marLeft w:val="0"/>
      <w:marRight w:val="0"/>
      <w:marTop w:val="0"/>
      <w:marBottom w:val="0"/>
      <w:divBdr>
        <w:top w:val="none" w:sz="0" w:space="0" w:color="auto"/>
        <w:left w:val="none" w:sz="0" w:space="0" w:color="auto"/>
        <w:bottom w:val="none" w:sz="0" w:space="0" w:color="auto"/>
        <w:right w:val="none" w:sz="0" w:space="0" w:color="auto"/>
      </w:divBdr>
    </w:div>
    <w:div w:id="576745913">
      <w:bodyDiv w:val="1"/>
      <w:marLeft w:val="0"/>
      <w:marRight w:val="0"/>
      <w:marTop w:val="0"/>
      <w:marBottom w:val="0"/>
      <w:divBdr>
        <w:top w:val="none" w:sz="0" w:space="0" w:color="auto"/>
        <w:left w:val="none" w:sz="0" w:space="0" w:color="auto"/>
        <w:bottom w:val="none" w:sz="0" w:space="0" w:color="auto"/>
        <w:right w:val="none" w:sz="0" w:space="0" w:color="auto"/>
      </w:divBdr>
    </w:div>
    <w:div w:id="584536128">
      <w:bodyDiv w:val="1"/>
      <w:marLeft w:val="0"/>
      <w:marRight w:val="0"/>
      <w:marTop w:val="0"/>
      <w:marBottom w:val="0"/>
      <w:divBdr>
        <w:top w:val="none" w:sz="0" w:space="0" w:color="auto"/>
        <w:left w:val="none" w:sz="0" w:space="0" w:color="auto"/>
        <w:bottom w:val="none" w:sz="0" w:space="0" w:color="auto"/>
        <w:right w:val="none" w:sz="0" w:space="0" w:color="auto"/>
      </w:divBdr>
    </w:div>
    <w:div w:id="615718027">
      <w:bodyDiv w:val="1"/>
      <w:marLeft w:val="0"/>
      <w:marRight w:val="0"/>
      <w:marTop w:val="0"/>
      <w:marBottom w:val="0"/>
      <w:divBdr>
        <w:top w:val="none" w:sz="0" w:space="0" w:color="auto"/>
        <w:left w:val="none" w:sz="0" w:space="0" w:color="auto"/>
        <w:bottom w:val="none" w:sz="0" w:space="0" w:color="auto"/>
        <w:right w:val="none" w:sz="0" w:space="0" w:color="auto"/>
      </w:divBdr>
    </w:div>
    <w:div w:id="952396744">
      <w:bodyDiv w:val="1"/>
      <w:marLeft w:val="0"/>
      <w:marRight w:val="0"/>
      <w:marTop w:val="0"/>
      <w:marBottom w:val="0"/>
      <w:divBdr>
        <w:top w:val="none" w:sz="0" w:space="0" w:color="auto"/>
        <w:left w:val="none" w:sz="0" w:space="0" w:color="auto"/>
        <w:bottom w:val="none" w:sz="0" w:space="0" w:color="auto"/>
        <w:right w:val="none" w:sz="0" w:space="0" w:color="auto"/>
      </w:divBdr>
    </w:div>
    <w:div w:id="1009602672">
      <w:bodyDiv w:val="1"/>
      <w:marLeft w:val="0"/>
      <w:marRight w:val="0"/>
      <w:marTop w:val="0"/>
      <w:marBottom w:val="0"/>
      <w:divBdr>
        <w:top w:val="none" w:sz="0" w:space="0" w:color="auto"/>
        <w:left w:val="none" w:sz="0" w:space="0" w:color="auto"/>
        <w:bottom w:val="none" w:sz="0" w:space="0" w:color="auto"/>
        <w:right w:val="none" w:sz="0" w:space="0" w:color="auto"/>
      </w:divBdr>
    </w:div>
    <w:div w:id="1050500453">
      <w:bodyDiv w:val="1"/>
      <w:marLeft w:val="0"/>
      <w:marRight w:val="0"/>
      <w:marTop w:val="0"/>
      <w:marBottom w:val="0"/>
      <w:divBdr>
        <w:top w:val="none" w:sz="0" w:space="0" w:color="auto"/>
        <w:left w:val="none" w:sz="0" w:space="0" w:color="auto"/>
        <w:bottom w:val="none" w:sz="0" w:space="0" w:color="auto"/>
        <w:right w:val="none" w:sz="0" w:space="0" w:color="auto"/>
      </w:divBdr>
    </w:div>
    <w:div w:id="1235820853">
      <w:bodyDiv w:val="1"/>
      <w:marLeft w:val="0"/>
      <w:marRight w:val="0"/>
      <w:marTop w:val="0"/>
      <w:marBottom w:val="0"/>
      <w:divBdr>
        <w:top w:val="none" w:sz="0" w:space="0" w:color="auto"/>
        <w:left w:val="none" w:sz="0" w:space="0" w:color="auto"/>
        <w:bottom w:val="none" w:sz="0" w:space="0" w:color="auto"/>
        <w:right w:val="none" w:sz="0" w:space="0" w:color="auto"/>
      </w:divBdr>
    </w:div>
    <w:div w:id="1245454629">
      <w:bodyDiv w:val="1"/>
      <w:marLeft w:val="0"/>
      <w:marRight w:val="0"/>
      <w:marTop w:val="0"/>
      <w:marBottom w:val="0"/>
      <w:divBdr>
        <w:top w:val="none" w:sz="0" w:space="0" w:color="auto"/>
        <w:left w:val="none" w:sz="0" w:space="0" w:color="auto"/>
        <w:bottom w:val="none" w:sz="0" w:space="0" w:color="auto"/>
        <w:right w:val="none" w:sz="0" w:space="0" w:color="auto"/>
      </w:divBdr>
    </w:div>
    <w:div w:id="1248222338">
      <w:bodyDiv w:val="1"/>
      <w:marLeft w:val="0"/>
      <w:marRight w:val="0"/>
      <w:marTop w:val="0"/>
      <w:marBottom w:val="0"/>
      <w:divBdr>
        <w:top w:val="none" w:sz="0" w:space="0" w:color="auto"/>
        <w:left w:val="none" w:sz="0" w:space="0" w:color="auto"/>
        <w:bottom w:val="none" w:sz="0" w:space="0" w:color="auto"/>
        <w:right w:val="none" w:sz="0" w:space="0" w:color="auto"/>
      </w:divBdr>
      <w:divsChild>
        <w:div w:id="215162640">
          <w:marLeft w:val="0"/>
          <w:marRight w:val="0"/>
          <w:marTop w:val="0"/>
          <w:marBottom w:val="0"/>
          <w:divBdr>
            <w:top w:val="none" w:sz="0" w:space="0" w:color="auto"/>
            <w:left w:val="none" w:sz="0" w:space="0" w:color="auto"/>
            <w:bottom w:val="none" w:sz="0" w:space="0" w:color="auto"/>
            <w:right w:val="none" w:sz="0" w:space="0" w:color="auto"/>
          </w:divBdr>
          <w:divsChild>
            <w:div w:id="1599176553">
              <w:marLeft w:val="0"/>
              <w:marRight w:val="0"/>
              <w:marTop w:val="0"/>
              <w:marBottom w:val="0"/>
              <w:divBdr>
                <w:top w:val="none" w:sz="0" w:space="0" w:color="auto"/>
                <w:left w:val="none" w:sz="0" w:space="0" w:color="auto"/>
                <w:bottom w:val="none" w:sz="0" w:space="0" w:color="auto"/>
                <w:right w:val="none" w:sz="0" w:space="0" w:color="auto"/>
              </w:divBdr>
              <w:divsChild>
                <w:div w:id="378668285">
                  <w:marLeft w:val="0"/>
                  <w:marRight w:val="0"/>
                  <w:marTop w:val="0"/>
                  <w:marBottom w:val="0"/>
                  <w:divBdr>
                    <w:top w:val="none" w:sz="0" w:space="0" w:color="auto"/>
                    <w:left w:val="none" w:sz="0" w:space="0" w:color="auto"/>
                    <w:bottom w:val="none" w:sz="0" w:space="0" w:color="auto"/>
                    <w:right w:val="none" w:sz="0" w:space="0" w:color="auto"/>
                  </w:divBdr>
                  <w:divsChild>
                    <w:div w:id="80736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483462">
      <w:bodyDiv w:val="1"/>
      <w:marLeft w:val="0"/>
      <w:marRight w:val="0"/>
      <w:marTop w:val="0"/>
      <w:marBottom w:val="0"/>
      <w:divBdr>
        <w:top w:val="none" w:sz="0" w:space="0" w:color="auto"/>
        <w:left w:val="none" w:sz="0" w:space="0" w:color="auto"/>
        <w:bottom w:val="none" w:sz="0" w:space="0" w:color="auto"/>
        <w:right w:val="none" w:sz="0" w:space="0" w:color="auto"/>
      </w:divBdr>
    </w:div>
    <w:div w:id="1287733681">
      <w:bodyDiv w:val="1"/>
      <w:marLeft w:val="0"/>
      <w:marRight w:val="0"/>
      <w:marTop w:val="0"/>
      <w:marBottom w:val="0"/>
      <w:divBdr>
        <w:top w:val="none" w:sz="0" w:space="0" w:color="auto"/>
        <w:left w:val="none" w:sz="0" w:space="0" w:color="auto"/>
        <w:bottom w:val="none" w:sz="0" w:space="0" w:color="auto"/>
        <w:right w:val="none" w:sz="0" w:space="0" w:color="auto"/>
      </w:divBdr>
    </w:div>
    <w:div w:id="1492404143">
      <w:bodyDiv w:val="1"/>
      <w:marLeft w:val="0"/>
      <w:marRight w:val="0"/>
      <w:marTop w:val="0"/>
      <w:marBottom w:val="0"/>
      <w:divBdr>
        <w:top w:val="none" w:sz="0" w:space="0" w:color="auto"/>
        <w:left w:val="none" w:sz="0" w:space="0" w:color="auto"/>
        <w:bottom w:val="none" w:sz="0" w:space="0" w:color="auto"/>
        <w:right w:val="none" w:sz="0" w:space="0" w:color="auto"/>
      </w:divBdr>
    </w:div>
    <w:div w:id="1498688554">
      <w:bodyDiv w:val="1"/>
      <w:marLeft w:val="0"/>
      <w:marRight w:val="0"/>
      <w:marTop w:val="0"/>
      <w:marBottom w:val="0"/>
      <w:divBdr>
        <w:top w:val="none" w:sz="0" w:space="0" w:color="auto"/>
        <w:left w:val="none" w:sz="0" w:space="0" w:color="auto"/>
        <w:bottom w:val="none" w:sz="0" w:space="0" w:color="auto"/>
        <w:right w:val="none" w:sz="0" w:space="0" w:color="auto"/>
      </w:divBdr>
    </w:div>
    <w:div w:id="1783305043">
      <w:bodyDiv w:val="1"/>
      <w:marLeft w:val="0"/>
      <w:marRight w:val="0"/>
      <w:marTop w:val="0"/>
      <w:marBottom w:val="0"/>
      <w:divBdr>
        <w:top w:val="none" w:sz="0" w:space="0" w:color="auto"/>
        <w:left w:val="none" w:sz="0" w:space="0" w:color="auto"/>
        <w:bottom w:val="none" w:sz="0" w:space="0" w:color="auto"/>
        <w:right w:val="none" w:sz="0" w:space="0" w:color="auto"/>
      </w:divBdr>
    </w:div>
    <w:div w:id="1827356692">
      <w:bodyDiv w:val="1"/>
      <w:marLeft w:val="0"/>
      <w:marRight w:val="0"/>
      <w:marTop w:val="0"/>
      <w:marBottom w:val="0"/>
      <w:divBdr>
        <w:top w:val="none" w:sz="0" w:space="0" w:color="auto"/>
        <w:left w:val="none" w:sz="0" w:space="0" w:color="auto"/>
        <w:bottom w:val="none" w:sz="0" w:space="0" w:color="auto"/>
        <w:right w:val="none" w:sz="0" w:space="0" w:color="auto"/>
      </w:divBdr>
    </w:div>
    <w:div w:id="1914700012">
      <w:bodyDiv w:val="1"/>
      <w:marLeft w:val="0"/>
      <w:marRight w:val="0"/>
      <w:marTop w:val="0"/>
      <w:marBottom w:val="0"/>
      <w:divBdr>
        <w:top w:val="none" w:sz="0" w:space="0" w:color="auto"/>
        <w:left w:val="none" w:sz="0" w:space="0" w:color="auto"/>
        <w:bottom w:val="none" w:sz="0" w:space="0" w:color="auto"/>
        <w:right w:val="none" w:sz="0" w:space="0" w:color="auto"/>
      </w:divBdr>
    </w:div>
    <w:div w:id="2099671899">
      <w:bodyDiv w:val="1"/>
      <w:marLeft w:val="0"/>
      <w:marRight w:val="0"/>
      <w:marTop w:val="0"/>
      <w:marBottom w:val="0"/>
      <w:divBdr>
        <w:top w:val="none" w:sz="0" w:space="0" w:color="auto"/>
        <w:left w:val="none" w:sz="0" w:space="0" w:color="auto"/>
        <w:bottom w:val="none" w:sz="0" w:space="0" w:color="auto"/>
        <w:right w:val="none" w:sz="0" w:space="0" w:color="auto"/>
      </w:divBdr>
    </w:div>
    <w:div w:id="211894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bs.2024.100834" TargetMode="External"/><Relationship Id="rId18" Type="http://schemas.openxmlformats.org/officeDocument/2006/relationships/hyperlink" Target="https://doi.org/10.4324/9780203357255-23" TargetMode="External"/><Relationship Id="rId26" Type="http://schemas.openxmlformats.org/officeDocument/2006/relationships/hyperlink" Target="https://doi.org/10.3390/su17188318" TargetMode="External"/><Relationship Id="rId21" Type="http://schemas.openxmlformats.org/officeDocument/2006/relationships/hyperlink" Target="https://doi.org/10.1080/03081060.2024.2449127" TargetMode="External"/><Relationship Id="rId34" Type="http://schemas.openxmlformats.org/officeDocument/2006/relationships/image" Target="media/image3.emf"/><Relationship Id="rId7" Type="http://schemas.openxmlformats.org/officeDocument/2006/relationships/endnotes" Target="endnotes.xml"/><Relationship Id="rId12" Type="http://schemas.openxmlformats.org/officeDocument/2006/relationships/hyperlink" Target="https://doi.org/10.1007/s11116-024-10518-0" TargetMode="External"/><Relationship Id="rId17" Type="http://schemas.openxmlformats.org/officeDocument/2006/relationships/hyperlink" Target="https://www.gov.uk/government/news/government-sets-out-path-to-zero-emission-vehicles-by-2035" TargetMode="External"/><Relationship Id="rId25" Type="http://schemas.openxmlformats.org/officeDocument/2006/relationships/hyperlink" Target="https://doi.org/10.1093/ooenergy/oiad001" TargetMode="External"/><Relationship Id="rId33" Type="http://schemas.openxmlformats.org/officeDocument/2006/relationships/oleObject" Target="embeddings/oleObject1.bin"/><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47191/ijmra/v6-i8-52" TargetMode="External"/><Relationship Id="rId20" Type="http://schemas.openxmlformats.org/officeDocument/2006/relationships/hyperlink" Target="https://doi.org/10.1177/10245294231223320" TargetMode="External"/><Relationship Id="rId29" Type="http://schemas.openxmlformats.org/officeDocument/2006/relationships/hyperlink" Target="https://doi.org/10.1016/j.enpol.2024.1141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235/jarna.22.2.27-30" TargetMode="External"/><Relationship Id="rId24" Type="http://schemas.openxmlformats.org/officeDocument/2006/relationships/hyperlink" Target="https://doi.org/10.1016/j.rser.2021.111733" TargetMode="External"/><Relationship Id="rId32" Type="http://schemas.openxmlformats.org/officeDocument/2006/relationships/image" Target="media/image2.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5833/mpce.2018.000374" TargetMode="External"/><Relationship Id="rId23" Type="http://schemas.openxmlformats.org/officeDocument/2006/relationships/hyperlink" Target="https://doi.org/10.1016/j.jclepro.2019.119911" TargetMode="External"/><Relationship Id="rId28" Type="http://schemas.openxmlformats.org/officeDocument/2006/relationships/hyperlink" Target="https://doi.org/10.3390/su12166494" TargetMode="External"/><Relationship Id="rId36" Type="http://schemas.openxmlformats.org/officeDocument/2006/relationships/footer" Target="footer1.xml"/><Relationship Id="rId10" Type="http://schemas.openxmlformats.org/officeDocument/2006/relationships/hyperlink" Target="https://doi.org/10.1016/j.tra.2022.04.011" TargetMode="External"/><Relationship Id="rId19" Type="http://schemas.openxmlformats.org/officeDocument/2006/relationships/hyperlink" Target="https://doi.org/10.1016/j.rser.2023.113398" TargetMode="External"/><Relationship Id="rId31" Type="http://schemas.openxmlformats.org/officeDocument/2006/relationships/hyperlink" Target="https://doi.org/10.3390/wevj15080375" TargetMode="External"/><Relationship Id="rId4" Type="http://schemas.openxmlformats.org/officeDocument/2006/relationships/settings" Target="settings.xml"/><Relationship Id="rId9" Type="http://schemas.openxmlformats.org/officeDocument/2006/relationships/hyperlink" Target="https://doi.org/10.1016/j.ecmx.2025.101170" TargetMode="External"/><Relationship Id="rId14" Type="http://schemas.openxmlformats.org/officeDocument/2006/relationships/hyperlink" Target="https://www.statista.com/topics/2298/the-uk-electric-vehicle-industry/" TargetMode="External"/><Relationship Id="rId22" Type="http://schemas.openxmlformats.org/officeDocument/2006/relationships/hyperlink" Target="https://doi.org/10.3390/en18246610" TargetMode="External"/><Relationship Id="rId27" Type="http://schemas.openxmlformats.org/officeDocument/2006/relationships/hyperlink" Target="https://www.sciencedirect.com/science/article/pii/S2211467X24000865" TargetMode="External"/><Relationship Id="rId30" Type="http://schemas.openxmlformats.org/officeDocument/2006/relationships/hyperlink" Target="https://doi.org/10.3390/en19010266" TargetMode="External"/><Relationship Id="rId35" Type="http://schemas.openxmlformats.org/officeDocument/2006/relationships/oleObject" Target="embeddings/oleObject2.bin"/><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9717B-27FF-44BB-AC48-F67F820EE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12149</Words>
  <Characters>69250</Characters>
  <Application>Microsoft Office Word</Application>
  <DocSecurity>0</DocSecurity>
  <Lines>577</Lines>
  <Paragraphs>162</Paragraphs>
  <ScaleCrop>false</ScaleCrop>
  <Company/>
  <LinksUpToDate>false</LinksUpToDate>
  <CharactersWithSpaces>81237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2026-04-28T01:52:00Z</dcterms:created>
  <dcterms:modified xsi:type="dcterms:W3CDTF">2026-04-28T01:52:00Z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922d532c-f44a-4f68-b262-d33199811051</vt:lpwstr>
  </property>
</Properties>
</file>