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675AF1" w14:textId="42E3AE7A" w:rsidR="00897CE1" w:rsidRPr="00A76FF0" w:rsidRDefault="0060001D" w:rsidP="0060001D">
      <w:pPr>
        <w:jc w:val="center"/>
        <w:rPr>
          <w:b/>
          <w:bCs/>
          <w:sz w:val="48"/>
          <w:szCs w:val="48"/>
        </w:rPr>
      </w:pPr>
      <w:r w:rsidRPr="00A76FF0">
        <w:rPr>
          <w:noProof/>
        </w:rPr>
        <w:drawing>
          <wp:inline distT="0" distB="0" distL="0" distR="0" wp14:anchorId="3E846E92" wp14:editId="5F9CB5C3">
            <wp:extent cx="2814021" cy="1310640"/>
            <wp:effectExtent l="0" t="0" r="5715" b="3810"/>
            <wp:docPr id="10428144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a:fillRect/>
                    </a:stretch>
                  </pic:blipFill>
                  <pic:spPr bwMode="auto">
                    <a:xfrm>
                      <a:off x="0" y="0"/>
                      <a:ext cx="2833262" cy="1319602"/>
                    </a:xfrm>
                    <a:prstGeom prst="rect">
                      <a:avLst/>
                    </a:prstGeom>
                    <a:noFill/>
                    <a:ln>
                      <a:noFill/>
                    </a:ln>
                    <a:extLst>
                      <a:ext uri="{53640926-AAD7-44D8-BBD7-CCE9431645EC}">
                        <a14:shadowObscured xmlns:a14="http://schemas.microsoft.com/office/drawing/2010/main"/>
                      </a:ext>
                    </a:extLst>
                  </pic:spPr>
                </pic:pic>
              </a:graphicData>
            </a:graphic>
          </wp:inline>
        </w:drawing>
      </w:r>
    </w:p>
    <w:p w14:paraId="58C90073" w14:textId="4E3E2C9E" w:rsidR="00897CE1" w:rsidRPr="00FE3189" w:rsidRDefault="00A76FF0" w:rsidP="002203B0">
      <w:pPr>
        <w:jc w:val="center"/>
        <w:rPr>
          <w:b/>
          <w:bCs/>
        </w:rPr>
      </w:pPr>
      <w:r w:rsidRPr="00FE3189">
        <w:rPr>
          <w:b/>
          <w:bCs/>
        </w:rPr>
        <w:t>Program</w:t>
      </w:r>
      <w:r w:rsidR="00897CE1" w:rsidRPr="00FE3189">
        <w:rPr>
          <w:b/>
          <w:bCs/>
        </w:rPr>
        <w:t>: Master of Business Administration (MBA)</w:t>
      </w:r>
    </w:p>
    <w:p w14:paraId="32231F35" w14:textId="77777777" w:rsidR="00897CE1" w:rsidRPr="00FE3189" w:rsidRDefault="00897CE1" w:rsidP="002203B0">
      <w:pPr>
        <w:jc w:val="center"/>
        <w:rPr>
          <w:b/>
          <w:bCs/>
        </w:rPr>
      </w:pPr>
      <w:r w:rsidRPr="00FE3189">
        <w:rPr>
          <w:b/>
          <w:bCs/>
        </w:rPr>
        <w:t>Module Name and Code: Strategic Management – LCMB7003</w:t>
      </w:r>
    </w:p>
    <w:p w14:paraId="08710F85" w14:textId="77777777" w:rsidR="00897CE1" w:rsidRPr="00FE3189" w:rsidRDefault="00897CE1" w:rsidP="002203B0">
      <w:pPr>
        <w:jc w:val="center"/>
        <w:rPr>
          <w:b/>
          <w:bCs/>
        </w:rPr>
      </w:pPr>
      <w:r w:rsidRPr="00FE3189">
        <w:rPr>
          <w:b/>
          <w:bCs/>
        </w:rPr>
        <w:t>Title of Submission: Assessment: Individual Report – IKEA Expansion into Brazil</w:t>
      </w:r>
    </w:p>
    <w:p w14:paraId="746D1DEE" w14:textId="6F8D1F23" w:rsidR="00897CE1" w:rsidRPr="00FE3189" w:rsidRDefault="00897CE1" w:rsidP="002203B0">
      <w:pPr>
        <w:jc w:val="center"/>
        <w:rPr>
          <w:b/>
          <w:bCs/>
        </w:rPr>
      </w:pPr>
      <w:r w:rsidRPr="00FE3189">
        <w:rPr>
          <w:b/>
          <w:bCs/>
        </w:rPr>
        <w:t>Lecturer’s Name:</w:t>
      </w:r>
      <w:r w:rsidR="00FE3189" w:rsidRPr="00FE3189">
        <w:rPr>
          <w:b/>
          <w:bCs/>
        </w:rPr>
        <w:t xml:space="preserve"> </w:t>
      </w:r>
      <w:r w:rsidR="00FE3189" w:rsidRPr="00FE3189">
        <w:rPr>
          <w:b/>
          <w:bCs/>
        </w:rPr>
        <w:t xml:space="preserve">Zulfiqar Khan </w:t>
      </w:r>
    </w:p>
    <w:p w14:paraId="192231A5" w14:textId="5234B487" w:rsidR="00897CE1" w:rsidRPr="00FE3189" w:rsidRDefault="00897CE1" w:rsidP="002203B0">
      <w:pPr>
        <w:jc w:val="center"/>
        <w:rPr>
          <w:b/>
          <w:bCs/>
        </w:rPr>
      </w:pPr>
      <w:r w:rsidRPr="00FE3189">
        <w:rPr>
          <w:b/>
          <w:bCs/>
        </w:rPr>
        <w:t>Student Name:</w:t>
      </w:r>
      <w:r w:rsidR="00FE3189" w:rsidRPr="00FE3189">
        <w:rPr>
          <w:b/>
          <w:bCs/>
        </w:rPr>
        <w:t xml:space="preserve"> </w:t>
      </w:r>
      <w:r w:rsidR="00FE3189" w:rsidRPr="00FE3189">
        <w:rPr>
          <w:b/>
          <w:bCs/>
        </w:rPr>
        <w:t>Neelam rani</w:t>
      </w:r>
    </w:p>
    <w:p w14:paraId="083A4A5E" w14:textId="49D05D65" w:rsidR="00FE3189" w:rsidRPr="00FE3189" w:rsidRDefault="00FE3189" w:rsidP="002203B0">
      <w:pPr>
        <w:jc w:val="center"/>
        <w:rPr>
          <w:b/>
          <w:bCs/>
        </w:rPr>
      </w:pPr>
      <w:r w:rsidRPr="00FE3189">
        <w:rPr>
          <w:b/>
          <w:bCs/>
        </w:rPr>
        <w:t xml:space="preserve">Student ID: </w:t>
      </w:r>
      <w:r w:rsidRPr="00FE3189">
        <w:rPr>
          <w:b/>
          <w:bCs/>
        </w:rPr>
        <w:t>2434627</w:t>
      </w:r>
    </w:p>
    <w:p w14:paraId="4FD735EC" w14:textId="236958C2" w:rsidR="00897CE1" w:rsidRPr="00FE3189" w:rsidRDefault="00897CE1" w:rsidP="002203B0">
      <w:pPr>
        <w:jc w:val="center"/>
        <w:rPr>
          <w:b/>
          <w:bCs/>
        </w:rPr>
      </w:pPr>
      <w:r w:rsidRPr="00FE3189">
        <w:rPr>
          <w:b/>
          <w:bCs/>
        </w:rPr>
        <w:t xml:space="preserve">Word Count: </w:t>
      </w:r>
      <w:r w:rsidR="0060001D" w:rsidRPr="00FE3189">
        <w:rPr>
          <w:b/>
          <w:bCs/>
        </w:rPr>
        <w:t>5250</w:t>
      </w:r>
    </w:p>
    <w:p w14:paraId="01E2187C" w14:textId="3C2C9654" w:rsidR="00FD4893" w:rsidRPr="00A76FF0" w:rsidRDefault="00897CE1" w:rsidP="002203B0">
      <w:pPr>
        <w:jc w:val="center"/>
      </w:pPr>
      <w:r w:rsidRPr="00FE3189">
        <w:rPr>
          <w:b/>
          <w:bCs/>
        </w:rPr>
        <w:t xml:space="preserve">Submission Date: </w:t>
      </w:r>
      <w:r w:rsidR="002203B0" w:rsidRPr="00FE3189">
        <w:rPr>
          <w:b/>
          <w:bCs/>
        </w:rPr>
        <w:t>28-11-2025</w:t>
      </w:r>
      <w:r w:rsidR="00FD4893" w:rsidRPr="00A76FF0">
        <w:br w:type="page"/>
      </w:r>
    </w:p>
    <w:p w14:paraId="669C90F7" w14:textId="09EECC9A" w:rsidR="00865E08" w:rsidRPr="00A76FF0" w:rsidRDefault="00FD4893" w:rsidP="00865E08">
      <w:pPr>
        <w:jc w:val="center"/>
      </w:pPr>
      <w:r w:rsidRPr="00A76FF0">
        <w:rPr>
          <w:b/>
          <w:bCs/>
          <w:sz w:val="28"/>
        </w:rPr>
        <w:lastRenderedPageBreak/>
        <w:t>Executive Summary</w:t>
      </w:r>
    </w:p>
    <w:p w14:paraId="1F7241F4" w14:textId="7E3CA8B6" w:rsidR="00865E08" w:rsidRPr="00A76FF0" w:rsidRDefault="00865E08" w:rsidP="00865E08">
      <w:r w:rsidRPr="00A76FF0">
        <w:t xml:space="preserve">This report </w:t>
      </w:r>
      <w:r w:rsidR="00A76FF0">
        <w:t>examines IKEA's potential expansion to Brazil, the largest economy in South America, with over 200 million inhabitants, of whom</w:t>
      </w:r>
      <w:r w:rsidRPr="00A76FF0">
        <w:t xml:space="preserve"> 80% reside in urban </w:t>
      </w:r>
      <w:proofErr w:type="spellStart"/>
      <w:r w:rsidRPr="00A76FF0">
        <w:t>centers</w:t>
      </w:r>
      <w:proofErr w:type="spellEnd"/>
      <w:r w:rsidRPr="00A76FF0">
        <w:t xml:space="preserve"> (IBGE, 2025). Brazil's growing middle class, </w:t>
      </w:r>
      <w:r w:rsidR="00A76FF0">
        <w:t>the increasing need for affordable and sustainable home furnishings, and the forecasted growth of the furniture market until 2030 present</w:t>
      </w:r>
      <w:r w:rsidRPr="00A76FF0">
        <w:t xml:space="preserve"> attractive entry opportunities (Grand View Research, 2025; Mordor Intelligence, 2025).</w:t>
      </w:r>
    </w:p>
    <w:p w14:paraId="7D58E888" w14:textId="7E162CBC" w:rsidR="00865E08" w:rsidRPr="00A76FF0" w:rsidRDefault="00A76FF0" w:rsidP="00865E08">
      <w:r>
        <w:t>An external parameter, when evaluated, identifies threats in Brazil's demographic size, online retail growth, and sustainability emphasis, combined with risks</w:t>
      </w:r>
      <w:r w:rsidR="00865E08" w:rsidRPr="00A76FF0">
        <w:t xml:space="preserve"> </w:t>
      </w:r>
      <w:r w:rsidR="00C5573F" w:rsidRPr="00A76FF0">
        <w:t>from</w:t>
      </w:r>
      <w:r w:rsidR="00865E08" w:rsidRPr="00A76FF0">
        <w:t xml:space="preserve"> intricate taxation, logistical inefficiencies, and competition from domestic players such as Mobly and </w:t>
      </w:r>
      <w:proofErr w:type="spellStart"/>
      <w:r w:rsidR="00865E08" w:rsidRPr="00A76FF0">
        <w:t>Magalu</w:t>
      </w:r>
      <w:proofErr w:type="spellEnd"/>
      <w:r w:rsidR="00865E08" w:rsidRPr="00A76FF0">
        <w:t xml:space="preserve"> (PwC, 2024; Mobly, 2025). </w:t>
      </w:r>
      <w:r w:rsidR="008909FA" w:rsidRPr="00A76FF0">
        <w:t>Internal factors</w:t>
      </w:r>
      <w:r>
        <w:t xml:space="preserve">, such as IKEA's international supply chain, brand value, and sustainability reputation, provide strategic strengths; however, service model evolution and local sourcing are also </w:t>
      </w:r>
      <w:r w:rsidR="00865E08" w:rsidRPr="00A76FF0">
        <w:t>critical.</w:t>
      </w:r>
    </w:p>
    <w:p w14:paraId="2B7275BA" w14:textId="124C1C69" w:rsidR="00865E08" w:rsidRPr="00A76FF0" w:rsidRDefault="00865E08" w:rsidP="00865E08">
      <w:r w:rsidRPr="00A76FF0">
        <w:t xml:space="preserve">Phased market entry is recommended: start with e-commerce through Mercado Libre, followed by opening a flagship </w:t>
      </w:r>
      <w:r w:rsidR="00A76FF0">
        <w:t>store in São Paulo, and then expanding to the region</w:t>
      </w:r>
      <w:r w:rsidRPr="00A76FF0">
        <w:t xml:space="preserve">. The KPIs are 5% </w:t>
      </w:r>
      <w:r w:rsidR="00A76FF0">
        <w:t>annual sales growth, 30% local sourcing within five years, a 10% EBIT margin, and improvements in enhanced sustainability and customer satisfaction</w:t>
      </w:r>
      <w:r w:rsidRPr="00A76FF0">
        <w:t>.</w:t>
      </w:r>
    </w:p>
    <w:p w14:paraId="34E96A37" w14:textId="206222AA" w:rsidR="00865E08" w:rsidRPr="00A76FF0" w:rsidRDefault="00865E08" w:rsidP="00865E08"/>
    <w:p w14:paraId="7381829C" w14:textId="0A2C754C" w:rsidR="00FD4893" w:rsidRPr="00A76FF0" w:rsidRDefault="00FD4893" w:rsidP="00AA1EE7"/>
    <w:p w14:paraId="33673328" w14:textId="77777777" w:rsidR="00A76699" w:rsidRPr="00A76FF0" w:rsidRDefault="00A76699" w:rsidP="00AA1EE7">
      <w:pPr>
        <w:jc w:val="left"/>
        <w:rPr>
          <w:b/>
          <w:bCs/>
          <w:sz w:val="48"/>
          <w:szCs w:val="48"/>
        </w:rPr>
      </w:pPr>
      <w:r w:rsidRPr="00A76FF0">
        <w:rPr>
          <w:b/>
          <w:bCs/>
          <w:sz w:val="48"/>
          <w:szCs w:val="48"/>
        </w:rPr>
        <w:br w:type="page"/>
      </w:r>
    </w:p>
    <w:sdt>
      <w:sdtPr>
        <w:rPr>
          <w:rFonts w:ascii="Times New Roman" w:eastAsiaTheme="minorHAnsi" w:hAnsi="Times New Roman" w:cs="Times New Roman"/>
          <w:b w:val="0"/>
          <w:color w:val="000000" w:themeColor="text1"/>
          <w:kern w:val="2"/>
          <w:sz w:val="24"/>
          <w:szCs w:val="28"/>
          <w:u w:val="single"/>
          <w:lang w:val="en-GB" w:bidi="th-TH"/>
          <w14:ligatures w14:val="standardContextual"/>
        </w:rPr>
        <w:id w:val="821628975"/>
        <w:docPartObj>
          <w:docPartGallery w:val="Table of Contents"/>
          <w:docPartUnique/>
        </w:docPartObj>
      </w:sdtPr>
      <w:sdtEndPr>
        <w:rPr>
          <w:rFonts w:cstheme="minorBidi"/>
          <w:bCs/>
          <w:color w:val="auto"/>
          <w:u w:val="none"/>
        </w:rPr>
      </w:sdtEndPr>
      <w:sdtContent>
        <w:p w14:paraId="58524BC5" w14:textId="1A6B139B" w:rsidR="00A76699" w:rsidRPr="002203B0" w:rsidRDefault="00A76699" w:rsidP="00AA1EE7">
          <w:pPr>
            <w:pStyle w:val="TOCHeading"/>
            <w:spacing w:line="360" w:lineRule="auto"/>
            <w:jc w:val="center"/>
            <w:rPr>
              <w:rFonts w:ascii="Times New Roman" w:hAnsi="Times New Roman" w:cs="Times New Roman"/>
              <w:color w:val="000000" w:themeColor="text1"/>
              <w:u w:val="single"/>
              <w:lang w:val="en-GB"/>
            </w:rPr>
          </w:pPr>
          <w:r w:rsidRPr="002203B0">
            <w:rPr>
              <w:rFonts w:ascii="Times New Roman" w:hAnsi="Times New Roman" w:cs="Times New Roman"/>
              <w:color w:val="000000" w:themeColor="text1"/>
              <w:u w:val="single"/>
              <w:lang w:val="en-GB"/>
            </w:rPr>
            <w:t>Table Of Contents</w:t>
          </w:r>
        </w:p>
        <w:p w14:paraId="32AF8C04" w14:textId="3489EB5D" w:rsidR="00A11B98" w:rsidRDefault="00000000" w:rsidP="00A11B98">
          <w:pPr>
            <w:pStyle w:val="TOC1"/>
            <w:tabs>
              <w:tab w:val="right" w:leader="dot" w:pos="9016"/>
            </w:tabs>
            <w:spacing w:line="276" w:lineRule="auto"/>
            <w:rPr>
              <w:rFonts w:asciiTheme="minorHAnsi" w:eastAsiaTheme="minorEastAsia" w:hAnsiTheme="minorHAnsi"/>
              <w:noProof/>
              <w:szCs w:val="24"/>
              <w:lang w:val="en-IN" w:eastAsia="en-IN" w:bidi="ar-SA"/>
            </w:rPr>
          </w:pPr>
          <w:r w:rsidRPr="00A76FF0">
            <w:fldChar w:fldCharType="begin"/>
          </w:r>
          <w:r w:rsidRPr="00A76FF0">
            <w:instrText xml:space="preserve"> TOC \o "1-3" \h \z \u </w:instrText>
          </w:r>
          <w:r w:rsidRPr="00A76FF0">
            <w:fldChar w:fldCharType="separate"/>
          </w:r>
          <w:hyperlink w:anchor="_Toc215223894" w:history="1">
            <w:r w:rsidR="00A11B98" w:rsidRPr="00C802E0">
              <w:rPr>
                <w:rStyle w:val="Hyperlink"/>
                <w:noProof/>
              </w:rPr>
              <w:t>Introduction</w:t>
            </w:r>
            <w:r w:rsidR="00A11B98">
              <w:rPr>
                <w:noProof/>
                <w:webHidden/>
              </w:rPr>
              <w:tab/>
            </w:r>
            <w:r w:rsidR="00A11B98">
              <w:rPr>
                <w:noProof/>
                <w:webHidden/>
              </w:rPr>
              <w:fldChar w:fldCharType="begin"/>
            </w:r>
            <w:r w:rsidR="00A11B98">
              <w:rPr>
                <w:noProof/>
                <w:webHidden/>
              </w:rPr>
              <w:instrText xml:space="preserve"> PAGEREF _Toc215223894 \h </w:instrText>
            </w:r>
            <w:r w:rsidR="00A11B98">
              <w:rPr>
                <w:noProof/>
                <w:webHidden/>
              </w:rPr>
            </w:r>
            <w:r w:rsidR="00A11B98">
              <w:rPr>
                <w:noProof/>
                <w:webHidden/>
              </w:rPr>
              <w:fldChar w:fldCharType="separate"/>
            </w:r>
            <w:r w:rsidR="00A11B98">
              <w:rPr>
                <w:noProof/>
                <w:webHidden/>
              </w:rPr>
              <w:t>5</w:t>
            </w:r>
            <w:r w:rsidR="00A11B98">
              <w:rPr>
                <w:noProof/>
                <w:webHidden/>
              </w:rPr>
              <w:fldChar w:fldCharType="end"/>
            </w:r>
          </w:hyperlink>
        </w:p>
        <w:p w14:paraId="139B5477" w14:textId="5556159B"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895" w:history="1">
            <w:r w:rsidRPr="00C802E0">
              <w:rPr>
                <w:rStyle w:val="Hyperlink"/>
                <w:noProof/>
              </w:rPr>
              <w:t>Current Situation – Organisation Profile</w:t>
            </w:r>
            <w:r>
              <w:rPr>
                <w:noProof/>
                <w:webHidden/>
              </w:rPr>
              <w:tab/>
            </w:r>
            <w:r>
              <w:rPr>
                <w:noProof/>
                <w:webHidden/>
              </w:rPr>
              <w:fldChar w:fldCharType="begin"/>
            </w:r>
            <w:r>
              <w:rPr>
                <w:noProof/>
                <w:webHidden/>
              </w:rPr>
              <w:instrText xml:space="preserve"> PAGEREF _Toc215223895 \h </w:instrText>
            </w:r>
            <w:r>
              <w:rPr>
                <w:noProof/>
                <w:webHidden/>
              </w:rPr>
            </w:r>
            <w:r>
              <w:rPr>
                <w:noProof/>
                <w:webHidden/>
              </w:rPr>
              <w:fldChar w:fldCharType="separate"/>
            </w:r>
            <w:r>
              <w:rPr>
                <w:noProof/>
                <w:webHidden/>
              </w:rPr>
              <w:t>5</w:t>
            </w:r>
            <w:r>
              <w:rPr>
                <w:noProof/>
                <w:webHidden/>
              </w:rPr>
              <w:fldChar w:fldCharType="end"/>
            </w:r>
          </w:hyperlink>
        </w:p>
        <w:p w14:paraId="490418FF" w14:textId="0E11A3E4"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896" w:history="1">
            <w:r w:rsidRPr="00C802E0">
              <w:rPr>
                <w:rStyle w:val="Hyperlink"/>
                <w:noProof/>
              </w:rPr>
              <w:t>IKEA Overview</w:t>
            </w:r>
            <w:r>
              <w:rPr>
                <w:noProof/>
                <w:webHidden/>
              </w:rPr>
              <w:tab/>
            </w:r>
            <w:r>
              <w:rPr>
                <w:noProof/>
                <w:webHidden/>
              </w:rPr>
              <w:fldChar w:fldCharType="begin"/>
            </w:r>
            <w:r>
              <w:rPr>
                <w:noProof/>
                <w:webHidden/>
              </w:rPr>
              <w:instrText xml:space="preserve"> PAGEREF _Toc215223896 \h </w:instrText>
            </w:r>
            <w:r>
              <w:rPr>
                <w:noProof/>
                <w:webHidden/>
              </w:rPr>
            </w:r>
            <w:r>
              <w:rPr>
                <w:noProof/>
                <w:webHidden/>
              </w:rPr>
              <w:fldChar w:fldCharType="separate"/>
            </w:r>
            <w:r>
              <w:rPr>
                <w:noProof/>
                <w:webHidden/>
              </w:rPr>
              <w:t>5</w:t>
            </w:r>
            <w:r>
              <w:rPr>
                <w:noProof/>
                <w:webHidden/>
              </w:rPr>
              <w:fldChar w:fldCharType="end"/>
            </w:r>
          </w:hyperlink>
        </w:p>
        <w:p w14:paraId="3D3FB838" w14:textId="1DCA6871"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897" w:history="1">
            <w:r w:rsidRPr="00C802E0">
              <w:rPr>
                <w:rStyle w:val="Hyperlink"/>
                <w:noProof/>
              </w:rPr>
              <w:t>Strategic Positioning</w:t>
            </w:r>
            <w:r>
              <w:rPr>
                <w:noProof/>
                <w:webHidden/>
              </w:rPr>
              <w:tab/>
            </w:r>
            <w:r>
              <w:rPr>
                <w:noProof/>
                <w:webHidden/>
              </w:rPr>
              <w:fldChar w:fldCharType="begin"/>
            </w:r>
            <w:r>
              <w:rPr>
                <w:noProof/>
                <w:webHidden/>
              </w:rPr>
              <w:instrText xml:space="preserve"> PAGEREF _Toc215223897 \h </w:instrText>
            </w:r>
            <w:r>
              <w:rPr>
                <w:noProof/>
                <w:webHidden/>
              </w:rPr>
            </w:r>
            <w:r>
              <w:rPr>
                <w:noProof/>
                <w:webHidden/>
              </w:rPr>
              <w:fldChar w:fldCharType="separate"/>
            </w:r>
            <w:r>
              <w:rPr>
                <w:noProof/>
                <w:webHidden/>
              </w:rPr>
              <w:t>6</w:t>
            </w:r>
            <w:r>
              <w:rPr>
                <w:noProof/>
                <w:webHidden/>
              </w:rPr>
              <w:fldChar w:fldCharType="end"/>
            </w:r>
          </w:hyperlink>
        </w:p>
        <w:p w14:paraId="508AFE0E" w14:textId="48846D9B"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898" w:history="1">
            <w:r w:rsidRPr="00C802E0">
              <w:rPr>
                <w:rStyle w:val="Hyperlink"/>
                <w:noProof/>
              </w:rPr>
              <w:t>Business Model Canvas</w:t>
            </w:r>
            <w:r>
              <w:rPr>
                <w:noProof/>
                <w:webHidden/>
              </w:rPr>
              <w:tab/>
            </w:r>
            <w:r>
              <w:rPr>
                <w:noProof/>
                <w:webHidden/>
              </w:rPr>
              <w:fldChar w:fldCharType="begin"/>
            </w:r>
            <w:r>
              <w:rPr>
                <w:noProof/>
                <w:webHidden/>
              </w:rPr>
              <w:instrText xml:space="preserve"> PAGEREF _Toc215223898 \h </w:instrText>
            </w:r>
            <w:r>
              <w:rPr>
                <w:noProof/>
                <w:webHidden/>
              </w:rPr>
            </w:r>
            <w:r>
              <w:rPr>
                <w:noProof/>
                <w:webHidden/>
              </w:rPr>
              <w:fldChar w:fldCharType="separate"/>
            </w:r>
            <w:r>
              <w:rPr>
                <w:noProof/>
                <w:webHidden/>
              </w:rPr>
              <w:t>6</w:t>
            </w:r>
            <w:r>
              <w:rPr>
                <w:noProof/>
                <w:webHidden/>
              </w:rPr>
              <w:fldChar w:fldCharType="end"/>
            </w:r>
          </w:hyperlink>
        </w:p>
        <w:p w14:paraId="7F414463" w14:textId="5C6CBBE3"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899" w:history="1">
            <w:r w:rsidRPr="00C802E0">
              <w:rPr>
                <w:rStyle w:val="Hyperlink"/>
                <w:noProof/>
              </w:rPr>
              <w:t>Value Proposition in Emerging Markets</w:t>
            </w:r>
            <w:r>
              <w:rPr>
                <w:noProof/>
                <w:webHidden/>
              </w:rPr>
              <w:tab/>
            </w:r>
            <w:r>
              <w:rPr>
                <w:noProof/>
                <w:webHidden/>
              </w:rPr>
              <w:fldChar w:fldCharType="begin"/>
            </w:r>
            <w:r>
              <w:rPr>
                <w:noProof/>
                <w:webHidden/>
              </w:rPr>
              <w:instrText xml:space="preserve"> PAGEREF _Toc215223899 \h </w:instrText>
            </w:r>
            <w:r>
              <w:rPr>
                <w:noProof/>
                <w:webHidden/>
              </w:rPr>
            </w:r>
            <w:r>
              <w:rPr>
                <w:noProof/>
                <w:webHidden/>
              </w:rPr>
              <w:fldChar w:fldCharType="separate"/>
            </w:r>
            <w:r>
              <w:rPr>
                <w:noProof/>
                <w:webHidden/>
              </w:rPr>
              <w:t>7</w:t>
            </w:r>
            <w:r>
              <w:rPr>
                <w:noProof/>
                <w:webHidden/>
              </w:rPr>
              <w:fldChar w:fldCharType="end"/>
            </w:r>
          </w:hyperlink>
        </w:p>
        <w:p w14:paraId="05E979FD" w14:textId="4C084070"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0" w:history="1">
            <w:r w:rsidRPr="00C802E0">
              <w:rPr>
                <w:rStyle w:val="Hyperlink"/>
                <w:noProof/>
              </w:rPr>
              <w:t>Relevance to Emerging Markets and Brazil</w:t>
            </w:r>
            <w:r>
              <w:rPr>
                <w:noProof/>
                <w:webHidden/>
              </w:rPr>
              <w:tab/>
            </w:r>
            <w:r>
              <w:rPr>
                <w:noProof/>
                <w:webHidden/>
              </w:rPr>
              <w:fldChar w:fldCharType="begin"/>
            </w:r>
            <w:r>
              <w:rPr>
                <w:noProof/>
                <w:webHidden/>
              </w:rPr>
              <w:instrText xml:space="preserve"> PAGEREF _Toc215223900 \h </w:instrText>
            </w:r>
            <w:r>
              <w:rPr>
                <w:noProof/>
                <w:webHidden/>
              </w:rPr>
            </w:r>
            <w:r>
              <w:rPr>
                <w:noProof/>
                <w:webHidden/>
              </w:rPr>
              <w:fldChar w:fldCharType="separate"/>
            </w:r>
            <w:r>
              <w:rPr>
                <w:noProof/>
                <w:webHidden/>
              </w:rPr>
              <w:t>7</w:t>
            </w:r>
            <w:r>
              <w:rPr>
                <w:noProof/>
                <w:webHidden/>
              </w:rPr>
              <w:fldChar w:fldCharType="end"/>
            </w:r>
          </w:hyperlink>
        </w:p>
        <w:p w14:paraId="68F9814D" w14:textId="678B059B"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01" w:history="1">
            <w:r w:rsidRPr="00C802E0">
              <w:rPr>
                <w:rStyle w:val="Hyperlink"/>
                <w:noProof/>
              </w:rPr>
              <w:t>External Audit – Brazilian Market Analysis</w:t>
            </w:r>
            <w:r>
              <w:rPr>
                <w:noProof/>
                <w:webHidden/>
              </w:rPr>
              <w:tab/>
            </w:r>
            <w:r>
              <w:rPr>
                <w:noProof/>
                <w:webHidden/>
              </w:rPr>
              <w:fldChar w:fldCharType="begin"/>
            </w:r>
            <w:r>
              <w:rPr>
                <w:noProof/>
                <w:webHidden/>
              </w:rPr>
              <w:instrText xml:space="preserve"> PAGEREF _Toc215223901 \h </w:instrText>
            </w:r>
            <w:r>
              <w:rPr>
                <w:noProof/>
                <w:webHidden/>
              </w:rPr>
            </w:r>
            <w:r>
              <w:rPr>
                <w:noProof/>
                <w:webHidden/>
              </w:rPr>
              <w:fldChar w:fldCharType="separate"/>
            </w:r>
            <w:r>
              <w:rPr>
                <w:noProof/>
                <w:webHidden/>
              </w:rPr>
              <w:t>7</w:t>
            </w:r>
            <w:r>
              <w:rPr>
                <w:noProof/>
                <w:webHidden/>
              </w:rPr>
              <w:fldChar w:fldCharType="end"/>
            </w:r>
          </w:hyperlink>
        </w:p>
        <w:p w14:paraId="46E24F1F" w14:textId="7ED213E2"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2" w:history="1">
            <w:r w:rsidRPr="00C802E0">
              <w:rPr>
                <w:rStyle w:val="Hyperlink"/>
                <w:noProof/>
              </w:rPr>
              <w:t>The Role of the External Environment in Strategy</w:t>
            </w:r>
            <w:r>
              <w:rPr>
                <w:noProof/>
                <w:webHidden/>
              </w:rPr>
              <w:tab/>
            </w:r>
            <w:r>
              <w:rPr>
                <w:noProof/>
                <w:webHidden/>
              </w:rPr>
              <w:fldChar w:fldCharType="begin"/>
            </w:r>
            <w:r>
              <w:rPr>
                <w:noProof/>
                <w:webHidden/>
              </w:rPr>
              <w:instrText xml:space="preserve"> PAGEREF _Toc215223902 \h </w:instrText>
            </w:r>
            <w:r>
              <w:rPr>
                <w:noProof/>
                <w:webHidden/>
              </w:rPr>
            </w:r>
            <w:r>
              <w:rPr>
                <w:noProof/>
                <w:webHidden/>
              </w:rPr>
              <w:fldChar w:fldCharType="separate"/>
            </w:r>
            <w:r>
              <w:rPr>
                <w:noProof/>
                <w:webHidden/>
              </w:rPr>
              <w:t>7</w:t>
            </w:r>
            <w:r>
              <w:rPr>
                <w:noProof/>
                <w:webHidden/>
              </w:rPr>
              <w:fldChar w:fldCharType="end"/>
            </w:r>
          </w:hyperlink>
        </w:p>
        <w:p w14:paraId="73024488" w14:textId="47925884"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3" w:history="1">
            <w:r w:rsidRPr="00C802E0">
              <w:rPr>
                <w:rStyle w:val="Hyperlink"/>
                <w:noProof/>
              </w:rPr>
              <w:t>Macro Environment: PESTEL Analysis</w:t>
            </w:r>
            <w:r>
              <w:rPr>
                <w:noProof/>
                <w:webHidden/>
              </w:rPr>
              <w:tab/>
            </w:r>
            <w:r>
              <w:rPr>
                <w:noProof/>
                <w:webHidden/>
              </w:rPr>
              <w:fldChar w:fldCharType="begin"/>
            </w:r>
            <w:r>
              <w:rPr>
                <w:noProof/>
                <w:webHidden/>
              </w:rPr>
              <w:instrText xml:space="preserve"> PAGEREF _Toc215223903 \h </w:instrText>
            </w:r>
            <w:r>
              <w:rPr>
                <w:noProof/>
                <w:webHidden/>
              </w:rPr>
            </w:r>
            <w:r>
              <w:rPr>
                <w:noProof/>
                <w:webHidden/>
              </w:rPr>
              <w:fldChar w:fldCharType="separate"/>
            </w:r>
            <w:r>
              <w:rPr>
                <w:noProof/>
                <w:webHidden/>
              </w:rPr>
              <w:t>8</w:t>
            </w:r>
            <w:r>
              <w:rPr>
                <w:noProof/>
                <w:webHidden/>
              </w:rPr>
              <w:fldChar w:fldCharType="end"/>
            </w:r>
          </w:hyperlink>
        </w:p>
        <w:p w14:paraId="390C014E" w14:textId="30F64780"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4" w:history="1">
            <w:r w:rsidRPr="00C802E0">
              <w:rPr>
                <w:rStyle w:val="Hyperlink"/>
                <w:noProof/>
              </w:rPr>
              <w:t>Industry Analysis: Porter’s Five Forces</w:t>
            </w:r>
            <w:r>
              <w:rPr>
                <w:noProof/>
                <w:webHidden/>
              </w:rPr>
              <w:tab/>
            </w:r>
            <w:r>
              <w:rPr>
                <w:noProof/>
                <w:webHidden/>
              </w:rPr>
              <w:fldChar w:fldCharType="begin"/>
            </w:r>
            <w:r>
              <w:rPr>
                <w:noProof/>
                <w:webHidden/>
              </w:rPr>
              <w:instrText xml:space="preserve"> PAGEREF _Toc215223904 \h </w:instrText>
            </w:r>
            <w:r>
              <w:rPr>
                <w:noProof/>
                <w:webHidden/>
              </w:rPr>
            </w:r>
            <w:r>
              <w:rPr>
                <w:noProof/>
                <w:webHidden/>
              </w:rPr>
              <w:fldChar w:fldCharType="separate"/>
            </w:r>
            <w:r>
              <w:rPr>
                <w:noProof/>
                <w:webHidden/>
              </w:rPr>
              <w:t>9</w:t>
            </w:r>
            <w:r>
              <w:rPr>
                <w:noProof/>
                <w:webHidden/>
              </w:rPr>
              <w:fldChar w:fldCharType="end"/>
            </w:r>
          </w:hyperlink>
        </w:p>
        <w:p w14:paraId="1C9AD665" w14:textId="70D2C383"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5" w:history="1">
            <w:r w:rsidRPr="00C802E0">
              <w:rPr>
                <w:rStyle w:val="Hyperlink"/>
                <w:noProof/>
              </w:rPr>
              <w:t>Key Issues and Opportunities</w:t>
            </w:r>
            <w:r>
              <w:rPr>
                <w:noProof/>
                <w:webHidden/>
              </w:rPr>
              <w:tab/>
            </w:r>
            <w:r>
              <w:rPr>
                <w:noProof/>
                <w:webHidden/>
              </w:rPr>
              <w:fldChar w:fldCharType="begin"/>
            </w:r>
            <w:r>
              <w:rPr>
                <w:noProof/>
                <w:webHidden/>
              </w:rPr>
              <w:instrText xml:space="preserve"> PAGEREF _Toc215223905 \h </w:instrText>
            </w:r>
            <w:r>
              <w:rPr>
                <w:noProof/>
                <w:webHidden/>
              </w:rPr>
            </w:r>
            <w:r>
              <w:rPr>
                <w:noProof/>
                <w:webHidden/>
              </w:rPr>
              <w:fldChar w:fldCharType="separate"/>
            </w:r>
            <w:r>
              <w:rPr>
                <w:noProof/>
                <w:webHidden/>
              </w:rPr>
              <w:t>10</w:t>
            </w:r>
            <w:r>
              <w:rPr>
                <w:noProof/>
                <w:webHidden/>
              </w:rPr>
              <w:fldChar w:fldCharType="end"/>
            </w:r>
          </w:hyperlink>
        </w:p>
        <w:p w14:paraId="7B1F97FC" w14:textId="780DB022"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06" w:history="1">
            <w:r w:rsidRPr="00C802E0">
              <w:rPr>
                <w:rStyle w:val="Hyperlink"/>
                <w:noProof/>
              </w:rPr>
              <w:t>Internal Audit – IKEA Resources and Capabilities</w:t>
            </w:r>
            <w:r>
              <w:rPr>
                <w:noProof/>
                <w:webHidden/>
              </w:rPr>
              <w:tab/>
            </w:r>
            <w:r>
              <w:rPr>
                <w:noProof/>
                <w:webHidden/>
              </w:rPr>
              <w:fldChar w:fldCharType="begin"/>
            </w:r>
            <w:r>
              <w:rPr>
                <w:noProof/>
                <w:webHidden/>
              </w:rPr>
              <w:instrText xml:space="preserve"> PAGEREF _Toc215223906 \h </w:instrText>
            </w:r>
            <w:r>
              <w:rPr>
                <w:noProof/>
                <w:webHidden/>
              </w:rPr>
            </w:r>
            <w:r>
              <w:rPr>
                <w:noProof/>
                <w:webHidden/>
              </w:rPr>
              <w:fldChar w:fldCharType="separate"/>
            </w:r>
            <w:r>
              <w:rPr>
                <w:noProof/>
                <w:webHidden/>
              </w:rPr>
              <w:t>10</w:t>
            </w:r>
            <w:r>
              <w:rPr>
                <w:noProof/>
                <w:webHidden/>
              </w:rPr>
              <w:fldChar w:fldCharType="end"/>
            </w:r>
          </w:hyperlink>
        </w:p>
        <w:p w14:paraId="0616A0B4" w14:textId="49EC0FAF"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7" w:history="1">
            <w:r w:rsidRPr="00C802E0">
              <w:rPr>
                <w:rStyle w:val="Hyperlink"/>
                <w:noProof/>
              </w:rPr>
              <w:t>Resource Based View</w:t>
            </w:r>
            <w:r>
              <w:rPr>
                <w:noProof/>
                <w:webHidden/>
              </w:rPr>
              <w:tab/>
            </w:r>
            <w:r>
              <w:rPr>
                <w:noProof/>
                <w:webHidden/>
              </w:rPr>
              <w:fldChar w:fldCharType="begin"/>
            </w:r>
            <w:r>
              <w:rPr>
                <w:noProof/>
                <w:webHidden/>
              </w:rPr>
              <w:instrText xml:space="preserve"> PAGEREF _Toc215223907 \h </w:instrText>
            </w:r>
            <w:r>
              <w:rPr>
                <w:noProof/>
                <w:webHidden/>
              </w:rPr>
            </w:r>
            <w:r>
              <w:rPr>
                <w:noProof/>
                <w:webHidden/>
              </w:rPr>
              <w:fldChar w:fldCharType="separate"/>
            </w:r>
            <w:r>
              <w:rPr>
                <w:noProof/>
                <w:webHidden/>
              </w:rPr>
              <w:t>11</w:t>
            </w:r>
            <w:r>
              <w:rPr>
                <w:noProof/>
                <w:webHidden/>
              </w:rPr>
              <w:fldChar w:fldCharType="end"/>
            </w:r>
          </w:hyperlink>
        </w:p>
        <w:p w14:paraId="2D1FBA23" w14:textId="4AB8DD95"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8" w:history="1">
            <w:r w:rsidRPr="00C802E0">
              <w:rPr>
                <w:rStyle w:val="Hyperlink"/>
                <w:noProof/>
              </w:rPr>
              <w:t>VRIO Analysis</w:t>
            </w:r>
            <w:r>
              <w:rPr>
                <w:noProof/>
                <w:webHidden/>
              </w:rPr>
              <w:tab/>
            </w:r>
            <w:r>
              <w:rPr>
                <w:noProof/>
                <w:webHidden/>
              </w:rPr>
              <w:fldChar w:fldCharType="begin"/>
            </w:r>
            <w:r>
              <w:rPr>
                <w:noProof/>
                <w:webHidden/>
              </w:rPr>
              <w:instrText xml:space="preserve"> PAGEREF _Toc215223908 \h </w:instrText>
            </w:r>
            <w:r>
              <w:rPr>
                <w:noProof/>
                <w:webHidden/>
              </w:rPr>
            </w:r>
            <w:r>
              <w:rPr>
                <w:noProof/>
                <w:webHidden/>
              </w:rPr>
              <w:fldChar w:fldCharType="separate"/>
            </w:r>
            <w:r>
              <w:rPr>
                <w:noProof/>
                <w:webHidden/>
              </w:rPr>
              <w:t>11</w:t>
            </w:r>
            <w:r>
              <w:rPr>
                <w:noProof/>
                <w:webHidden/>
              </w:rPr>
              <w:fldChar w:fldCharType="end"/>
            </w:r>
          </w:hyperlink>
        </w:p>
        <w:p w14:paraId="353492A7" w14:textId="36976371"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09" w:history="1">
            <w:r w:rsidRPr="00C802E0">
              <w:rPr>
                <w:rStyle w:val="Hyperlink"/>
                <w:noProof/>
              </w:rPr>
              <w:t>Value Chain Analysis</w:t>
            </w:r>
            <w:r>
              <w:rPr>
                <w:noProof/>
                <w:webHidden/>
              </w:rPr>
              <w:tab/>
            </w:r>
            <w:r>
              <w:rPr>
                <w:noProof/>
                <w:webHidden/>
              </w:rPr>
              <w:fldChar w:fldCharType="begin"/>
            </w:r>
            <w:r>
              <w:rPr>
                <w:noProof/>
                <w:webHidden/>
              </w:rPr>
              <w:instrText xml:space="preserve"> PAGEREF _Toc215223909 \h </w:instrText>
            </w:r>
            <w:r>
              <w:rPr>
                <w:noProof/>
                <w:webHidden/>
              </w:rPr>
            </w:r>
            <w:r>
              <w:rPr>
                <w:noProof/>
                <w:webHidden/>
              </w:rPr>
              <w:fldChar w:fldCharType="separate"/>
            </w:r>
            <w:r>
              <w:rPr>
                <w:noProof/>
                <w:webHidden/>
              </w:rPr>
              <w:t>11</w:t>
            </w:r>
            <w:r>
              <w:rPr>
                <w:noProof/>
                <w:webHidden/>
              </w:rPr>
              <w:fldChar w:fldCharType="end"/>
            </w:r>
          </w:hyperlink>
        </w:p>
        <w:p w14:paraId="3CEAE483" w14:textId="5BEF9EAB"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0" w:history="1">
            <w:r w:rsidRPr="00C802E0">
              <w:rPr>
                <w:rStyle w:val="Hyperlink"/>
                <w:noProof/>
              </w:rPr>
              <w:t>Linking Strengths to Brazil’s Market</w:t>
            </w:r>
            <w:r>
              <w:rPr>
                <w:noProof/>
                <w:webHidden/>
              </w:rPr>
              <w:tab/>
            </w:r>
            <w:r>
              <w:rPr>
                <w:noProof/>
                <w:webHidden/>
              </w:rPr>
              <w:fldChar w:fldCharType="begin"/>
            </w:r>
            <w:r>
              <w:rPr>
                <w:noProof/>
                <w:webHidden/>
              </w:rPr>
              <w:instrText xml:space="preserve"> PAGEREF _Toc215223910 \h </w:instrText>
            </w:r>
            <w:r>
              <w:rPr>
                <w:noProof/>
                <w:webHidden/>
              </w:rPr>
            </w:r>
            <w:r>
              <w:rPr>
                <w:noProof/>
                <w:webHidden/>
              </w:rPr>
              <w:fldChar w:fldCharType="separate"/>
            </w:r>
            <w:r>
              <w:rPr>
                <w:noProof/>
                <w:webHidden/>
              </w:rPr>
              <w:t>12</w:t>
            </w:r>
            <w:r>
              <w:rPr>
                <w:noProof/>
                <w:webHidden/>
              </w:rPr>
              <w:fldChar w:fldCharType="end"/>
            </w:r>
          </w:hyperlink>
        </w:p>
        <w:p w14:paraId="1A4D593F" w14:textId="26359A30"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1" w:history="1">
            <w:r w:rsidRPr="00C802E0">
              <w:rPr>
                <w:rStyle w:val="Hyperlink"/>
                <w:noProof/>
              </w:rPr>
              <w:t>Gaps and Challenges</w:t>
            </w:r>
            <w:r>
              <w:rPr>
                <w:noProof/>
                <w:webHidden/>
              </w:rPr>
              <w:tab/>
            </w:r>
            <w:r>
              <w:rPr>
                <w:noProof/>
                <w:webHidden/>
              </w:rPr>
              <w:fldChar w:fldCharType="begin"/>
            </w:r>
            <w:r>
              <w:rPr>
                <w:noProof/>
                <w:webHidden/>
              </w:rPr>
              <w:instrText xml:space="preserve"> PAGEREF _Toc215223911 \h </w:instrText>
            </w:r>
            <w:r>
              <w:rPr>
                <w:noProof/>
                <w:webHidden/>
              </w:rPr>
            </w:r>
            <w:r>
              <w:rPr>
                <w:noProof/>
                <w:webHidden/>
              </w:rPr>
              <w:fldChar w:fldCharType="separate"/>
            </w:r>
            <w:r>
              <w:rPr>
                <w:noProof/>
                <w:webHidden/>
              </w:rPr>
              <w:t>12</w:t>
            </w:r>
            <w:r>
              <w:rPr>
                <w:noProof/>
                <w:webHidden/>
              </w:rPr>
              <w:fldChar w:fldCharType="end"/>
            </w:r>
          </w:hyperlink>
        </w:p>
        <w:p w14:paraId="24658FB1" w14:textId="62620EA1"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12" w:history="1">
            <w:r w:rsidRPr="00C802E0">
              <w:rPr>
                <w:rStyle w:val="Hyperlink"/>
                <w:noProof/>
              </w:rPr>
              <w:t>Strategy Formulation</w:t>
            </w:r>
            <w:r>
              <w:rPr>
                <w:noProof/>
                <w:webHidden/>
              </w:rPr>
              <w:tab/>
            </w:r>
            <w:r>
              <w:rPr>
                <w:noProof/>
                <w:webHidden/>
              </w:rPr>
              <w:fldChar w:fldCharType="begin"/>
            </w:r>
            <w:r>
              <w:rPr>
                <w:noProof/>
                <w:webHidden/>
              </w:rPr>
              <w:instrText xml:space="preserve"> PAGEREF _Toc215223912 \h </w:instrText>
            </w:r>
            <w:r>
              <w:rPr>
                <w:noProof/>
                <w:webHidden/>
              </w:rPr>
            </w:r>
            <w:r>
              <w:rPr>
                <w:noProof/>
                <w:webHidden/>
              </w:rPr>
              <w:fldChar w:fldCharType="separate"/>
            </w:r>
            <w:r>
              <w:rPr>
                <w:noProof/>
                <w:webHidden/>
              </w:rPr>
              <w:t>13</w:t>
            </w:r>
            <w:r>
              <w:rPr>
                <w:noProof/>
                <w:webHidden/>
              </w:rPr>
              <w:fldChar w:fldCharType="end"/>
            </w:r>
          </w:hyperlink>
        </w:p>
        <w:p w14:paraId="67464FEA" w14:textId="0C5E5C84"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3" w:history="1">
            <w:r w:rsidRPr="00C802E0">
              <w:rPr>
                <w:rStyle w:val="Hyperlink"/>
                <w:noProof/>
              </w:rPr>
              <w:t>Defining Strategy Formulation</w:t>
            </w:r>
            <w:r>
              <w:rPr>
                <w:noProof/>
                <w:webHidden/>
              </w:rPr>
              <w:tab/>
            </w:r>
            <w:r>
              <w:rPr>
                <w:noProof/>
                <w:webHidden/>
              </w:rPr>
              <w:fldChar w:fldCharType="begin"/>
            </w:r>
            <w:r>
              <w:rPr>
                <w:noProof/>
                <w:webHidden/>
              </w:rPr>
              <w:instrText xml:space="preserve"> PAGEREF _Toc215223913 \h </w:instrText>
            </w:r>
            <w:r>
              <w:rPr>
                <w:noProof/>
                <w:webHidden/>
              </w:rPr>
            </w:r>
            <w:r>
              <w:rPr>
                <w:noProof/>
                <w:webHidden/>
              </w:rPr>
              <w:fldChar w:fldCharType="separate"/>
            </w:r>
            <w:r>
              <w:rPr>
                <w:noProof/>
                <w:webHidden/>
              </w:rPr>
              <w:t>13</w:t>
            </w:r>
            <w:r>
              <w:rPr>
                <w:noProof/>
                <w:webHidden/>
              </w:rPr>
              <w:fldChar w:fldCharType="end"/>
            </w:r>
          </w:hyperlink>
        </w:p>
        <w:p w14:paraId="0F74C350" w14:textId="4C2E38A2"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4" w:history="1">
            <w:r w:rsidRPr="00C802E0">
              <w:rPr>
                <w:rStyle w:val="Hyperlink"/>
                <w:noProof/>
              </w:rPr>
              <w:t>Strategic Options: Ansoff Matrix</w:t>
            </w:r>
            <w:r>
              <w:rPr>
                <w:noProof/>
                <w:webHidden/>
              </w:rPr>
              <w:tab/>
            </w:r>
            <w:r>
              <w:rPr>
                <w:noProof/>
                <w:webHidden/>
              </w:rPr>
              <w:fldChar w:fldCharType="begin"/>
            </w:r>
            <w:r>
              <w:rPr>
                <w:noProof/>
                <w:webHidden/>
              </w:rPr>
              <w:instrText xml:space="preserve"> PAGEREF _Toc215223914 \h </w:instrText>
            </w:r>
            <w:r>
              <w:rPr>
                <w:noProof/>
                <w:webHidden/>
              </w:rPr>
            </w:r>
            <w:r>
              <w:rPr>
                <w:noProof/>
                <w:webHidden/>
              </w:rPr>
              <w:fldChar w:fldCharType="separate"/>
            </w:r>
            <w:r>
              <w:rPr>
                <w:noProof/>
                <w:webHidden/>
              </w:rPr>
              <w:t>13</w:t>
            </w:r>
            <w:r>
              <w:rPr>
                <w:noProof/>
                <w:webHidden/>
              </w:rPr>
              <w:fldChar w:fldCharType="end"/>
            </w:r>
          </w:hyperlink>
        </w:p>
        <w:p w14:paraId="0D759ED8" w14:textId="31F4B0C0"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5" w:history="1">
            <w:r w:rsidRPr="00C802E0">
              <w:rPr>
                <w:rStyle w:val="Hyperlink"/>
                <w:noProof/>
              </w:rPr>
              <w:t>Evaluation of Entry Modes</w:t>
            </w:r>
            <w:r>
              <w:rPr>
                <w:noProof/>
                <w:webHidden/>
              </w:rPr>
              <w:tab/>
            </w:r>
            <w:r>
              <w:rPr>
                <w:noProof/>
                <w:webHidden/>
              </w:rPr>
              <w:fldChar w:fldCharType="begin"/>
            </w:r>
            <w:r>
              <w:rPr>
                <w:noProof/>
                <w:webHidden/>
              </w:rPr>
              <w:instrText xml:space="preserve"> PAGEREF _Toc215223915 \h </w:instrText>
            </w:r>
            <w:r>
              <w:rPr>
                <w:noProof/>
                <w:webHidden/>
              </w:rPr>
            </w:r>
            <w:r>
              <w:rPr>
                <w:noProof/>
                <w:webHidden/>
              </w:rPr>
              <w:fldChar w:fldCharType="separate"/>
            </w:r>
            <w:r>
              <w:rPr>
                <w:noProof/>
                <w:webHidden/>
              </w:rPr>
              <w:t>14</w:t>
            </w:r>
            <w:r>
              <w:rPr>
                <w:noProof/>
                <w:webHidden/>
              </w:rPr>
              <w:fldChar w:fldCharType="end"/>
            </w:r>
          </w:hyperlink>
        </w:p>
        <w:p w14:paraId="745B8295" w14:textId="53CDFDD7"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6" w:history="1">
            <w:r w:rsidRPr="00C802E0">
              <w:rPr>
                <w:rStyle w:val="Hyperlink"/>
                <w:noProof/>
              </w:rPr>
              <w:t>Application of Dunning’s OLI Paradigm</w:t>
            </w:r>
            <w:r>
              <w:rPr>
                <w:noProof/>
                <w:webHidden/>
              </w:rPr>
              <w:tab/>
            </w:r>
            <w:r>
              <w:rPr>
                <w:noProof/>
                <w:webHidden/>
              </w:rPr>
              <w:fldChar w:fldCharType="begin"/>
            </w:r>
            <w:r>
              <w:rPr>
                <w:noProof/>
                <w:webHidden/>
              </w:rPr>
              <w:instrText xml:space="preserve"> PAGEREF _Toc215223916 \h </w:instrText>
            </w:r>
            <w:r>
              <w:rPr>
                <w:noProof/>
                <w:webHidden/>
              </w:rPr>
            </w:r>
            <w:r>
              <w:rPr>
                <w:noProof/>
                <w:webHidden/>
              </w:rPr>
              <w:fldChar w:fldCharType="separate"/>
            </w:r>
            <w:r>
              <w:rPr>
                <w:noProof/>
                <w:webHidden/>
              </w:rPr>
              <w:t>15</w:t>
            </w:r>
            <w:r>
              <w:rPr>
                <w:noProof/>
                <w:webHidden/>
              </w:rPr>
              <w:fldChar w:fldCharType="end"/>
            </w:r>
          </w:hyperlink>
        </w:p>
        <w:p w14:paraId="75AD7E38" w14:textId="4FA91B6E"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7" w:history="1">
            <w:r w:rsidRPr="00C802E0">
              <w:rPr>
                <w:rStyle w:val="Hyperlink"/>
                <w:noProof/>
              </w:rPr>
              <w:t>Recommended Strategy</w:t>
            </w:r>
            <w:r>
              <w:rPr>
                <w:noProof/>
                <w:webHidden/>
              </w:rPr>
              <w:tab/>
            </w:r>
            <w:r>
              <w:rPr>
                <w:noProof/>
                <w:webHidden/>
              </w:rPr>
              <w:fldChar w:fldCharType="begin"/>
            </w:r>
            <w:r>
              <w:rPr>
                <w:noProof/>
                <w:webHidden/>
              </w:rPr>
              <w:instrText xml:space="preserve"> PAGEREF _Toc215223917 \h </w:instrText>
            </w:r>
            <w:r>
              <w:rPr>
                <w:noProof/>
                <w:webHidden/>
              </w:rPr>
            </w:r>
            <w:r>
              <w:rPr>
                <w:noProof/>
                <w:webHidden/>
              </w:rPr>
              <w:fldChar w:fldCharType="separate"/>
            </w:r>
            <w:r>
              <w:rPr>
                <w:noProof/>
                <w:webHidden/>
              </w:rPr>
              <w:t>15</w:t>
            </w:r>
            <w:r>
              <w:rPr>
                <w:noProof/>
                <w:webHidden/>
              </w:rPr>
              <w:fldChar w:fldCharType="end"/>
            </w:r>
          </w:hyperlink>
        </w:p>
        <w:p w14:paraId="1BD0205C" w14:textId="5885A563"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18" w:history="1">
            <w:r w:rsidRPr="00C802E0">
              <w:rPr>
                <w:rStyle w:val="Hyperlink"/>
                <w:noProof/>
              </w:rPr>
              <w:t>Justification with Porter’s Generic Strategies</w:t>
            </w:r>
            <w:r>
              <w:rPr>
                <w:noProof/>
                <w:webHidden/>
              </w:rPr>
              <w:tab/>
            </w:r>
            <w:r>
              <w:rPr>
                <w:noProof/>
                <w:webHidden/>
              </w:rPr>
              <w:fldChar w:fldCharType="begin"/>
            </w:r>
            <w:r>
              <w:rPr>
                <w:noProof/>
                <w:webHidden/>
              </w:rPr>
              <w:instrText xml:space="preserve"> PAGEREF _Toc215223918 \h </w:instrText>
            </w:r>
            <w:r>
              <w:rPr>
                <w:noProof/>
                <w:webHidden/>
              </w:rPr>
            </w:r>
            <w:r>
              <w:rPr>
                <w:noProof/>
                <w:webHidden/>
              </w:rPr>
              <w:fldChar w:fldCharType="separate"/>
            </w:r>
            <w:r>
              <w:rPr>
                <w:noProof/>
                <w:webHidden/>
              </w:rPr>
              <w:t>15</w:t>
            </w:r>
            <w:r>
              <w:rPr>
                <w:noProof/>
                <w:webHidden/>
              </w:rPr>
              <w:fldChar w:fldCharType="end"/>
            </w:r>
          </w:hyperlink>
        </w:p>
        <w:p w14:paraId="1A762032" w14:textId="56F99040"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19" w:history="1">
            <w:r w:rsidRPr="00C802E0">
              <w:rPr>
                <w:rStyle w:val="Hyperlink"/>
                <w:noProof/>
              </w:rPr>
              <w:t>Strategy Implementation Process</w:t>
            </w:r>
            <w:r>
              <w:rPr>
                <w:noProof/>
                <w:webHidden/>
              </w:rPr>
              <w:tab/>
            </w:r>
            <w:r>
              <w:rPr>
                <w:noProof/>
                <w:webHidden/>
              </w:rPr>
              <w:fldChar w:fldCharType="begin"/>
            </w:r>
            <w:r>
              <w:rPr>
                <w:noProof/>
                <w:webHidden/>
              </w:rPr>
              <w:instrText xml:space="preserve"> PAGEREF _Toc215223919 \h </w:instrText>
            </w:r>
            <w:r>
              <w:rPr>
                <w:noProof/>
                <w:webHidden/>
              </w:rPr>
            </w:r>
            <w:r>
              <w:rPr>
                <w:noProof/>
                <w:webHidden/>
              </w:rPr>
              <w:fldChar w:fldCharType="separate"/>
            </w:r>
            <w:r>
              <w:rPr>
                <w:noProof/>
                <w:webHidden/>
              </w:rPr>
              <w:t>16</w:t>
            </w:r>
            <w:r>
              <w:rPr>
                <w:noProof/>
                <w:webHidden/>
              </w:rPr>
              <w:fldChar w:fldCharType="end"/>
            </w:r>
          </w:hyperlink>
        </w:p>
        <w:p w14:paraId="40BDEF89" w14:textId="3EF1F008"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0" w:history="1">
            <w:r w:rsidRPr="00C802E0">
              <w:rPr>
                <w:rStyle w:val="Hyperlink"/>
                <w:noProof/>
              </w:rPr>
              <w:t>Implementing the Strategies – Market, Financial and Internal Alignment</w:t>
            </w:r>
            <w:r>
              <w:rPr>
                <w:noProof/>
                <w:webHidden/>
              </w:rPr>
              <w:tab/>
            </w:r>
            <w:r>
              <w:rPr>
                <w:noProof/>
                <w:webHidden/>
              </w:rPr>
              <w:fldChar w:fldCharType="begin"/>
            </w:r>
            <w:r>
              <w:rPr>
                <w:noProof/>
                <w:webHidden/>
              </w:rPr>
              <w:instrText xml:space="preserve"> PAGEREF _Toc215223920 \h </w:instrText>
            </w:r>
            <w:r>
              <w:rPr>
                <w:noProof/>
                <w:webHidden/>
              </w:rPr>
            </w:r>
            <w:r>
              <w:rPr>
                <w:noProof/>
                <w:webHidden/>
              </w:rPr>
              <w:fldChar w:fldCharType="separate"/>
            </w:r>
            <w:r>
              <w:rPr>
                <w:noProof/>
                <w:webHidden/>
              </w:rPr>
              <w:t>16</w:t>
            </w:r>
            <w:r>
              <w:rPr>
                <w:noProof/>
                <w:webHidden/>
              </w:rPr>
              <w:fldChar w:fldCharType="end"/>
            </w:r>
          </w:hyperlink>
        </w:p>
        <w:p w14:paraId="519B3EA6" w14:textId="1C06A188"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1" w:history="1">
            <w:r w:rsidRPr="00C802E0">
              <w:rPr>
                <w:rStyle w:val="Hyperlink"/>
                <w:noProof/>
              </w:rPr>
              <w:t>Restructuring and Reengineering to Attain Objectives</w:t>
            </w:r>
            <w:r>
              <w:rPr>
                <w:noProof/>
                <w:webHidden/>
              </w:rPr>
              <w:tab/>
            </w:r>
            <w:r>
              <w:rPr>
                <w:noProof/>
                <w:webHidden/>
              </w:rPr>
              <w:fldChar w:fldCharType="begin"/>
            </w:r>
            <w:r>
              <w:rPr>
                <w:noProof/>
                <w:webHidden/>
              </w:rPr>
              <w:instrText xml:space="preserve"> PAGEREF _Toc215223921 \h </w:instrText>
            </w:r>
            <w:r>
              <w:rPr>
                <w:noProof/>
                <w:webHidden/>
              </w:rPr>
            </w:r>
            <w:r>
              <w:rPr>
                <w:noProof/>
                <w:webHidden/>
              </w:rPr>
              <w:fldChar w:fldCharType="separate"/>
            </w:r>
            <w:r>
              <w:rPr>
                <w:noProof/>
                <w:webHidden/>
              </w:rPr>
              <w:t>17</w:t>
            </w:r>
            <w:r>
              <w:rPr>
                <w:noProof/>
                <w:webHidden/>
              </w:rPr>
              <w:fldChar w:fldCharType="end"/>
            </w:r>
          </w:hyperlink>
        </w:p>
        <w:p w14:paraId="4BBF4503" w14:textId="65DA4A26"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2" w:history="1">
            <w:r w:rsidRPr="00C802E0">
              <w:rPr>
                <w:rStyle w:val="Hyperlink"/>
                <w:noProof/>
              </w:rPr>
              <w:t>Risk Mitigation</w:t>
            </w:r>
            <w:r>
              <w:rPr>
                <w:noProof/>
                <w:webHidden/>
              </w:rPr>
              <w:tab/>
            </w:r>
            <w:r>
              <w:rPr>
                <w:noProof/>
                <w:webHidden/>
              </w:rPr>
              <w:fldChar w:fldCharType="begin"/>
            </w:r>
            <w:r>
              <w:rPr>
                <w:noProof/>
                <w:webHidden/>
              </w:rPr>
              <w:instrText xml:space="preserve"> PAGEREF _Toc215223922 \h </w:instrText>
            </w:r>
            <w:r>
              <w:rPr>
                <w:noProof/>
                <w:webHidden/>
              </w:rPr>
            </w:r>
            <w:r>
              <w:rPr>
                <w:noProof/>
                <w:webHidden/>
              </w:rPr>
              <w:fldChar w:fldCharType="separate"/>
            </w:r>
            <w:r>
              <w:rPr>
                <w:noProof/>
                <w:webHidden/>
              </w:rPr>
              <w:t>17</w:t>
            </w:r>
            <w:r>
              <w:rPr>
                <w:noProof/>
                <w:webHidden/>
              </w:rPr>
              <w:fldChar w:fldCharType="end"/>
            </w:r>
          </w:hyperlink>
        </w:p>
        <w:p w14:paraId="03C774B6" w14:textId="0B86C237"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23" w:history="1">
            <w:r w:rsidRPr="00C802E0">
              <w:rPr>
                <w:rStyle w:val="Hyperlink"/>
                <w:noProof/>
              </w:rPr>
              <w:t>Evaluation and Control</w:t>
            </w:r>
            <w:r>
              <w:rPr>
                <w:noProof/>
                <w:webHidden/>
              </w:rPr>
              <w:tab/>
            </w:r>
            <w:r>
              <w:rPr>
                <w:noProof/>
                <w:webHidden/>
              </w:rPr>
              <w:fldChar w:fldCharType="begin"/>
            </w:r>
            <w:r>
              <w:rPr>
                <w:noProof/>
                <w:webHidden/>
              </w:rPr>
              <w:instrText xml:space="preserve"> PAGEREF _Toc215223923 \h </w:instrText>
            </w:r>
            <w:r>
              <w:rPr>
                <w:noProof/>
                <w:webHidden/>
              </w:rPr>
            </w:r>
            <w:r>
              <w:rPr>
                <w:noProof/>
                <w:webHidden/>
              </w:rPr>
              <w:fldChar w:fldCharType="separate"/>
            </w:r>
            <w:r>
              <w:rPr>
                <w:noProof/>
                <w:webHidden/>
              </w:rPr>
              <w:t>17</w:t>
            </w:r>
            <w:r>
              <w:rPr>
                <w:noProof/>
                <w:webHidden/>
              </w:rPr>
              <w:fldChar w:fldCharType="end"/>
            </w:r>
          </w:hyperlink>
        </w:p>
        <w:p w14:paraId="15D51DD2" w14:textId="57E9B4C0"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4" w:history="1">
            <w:r w:rsidRPr="00C802E0">
              <w:rPr>
                <w:rStyle w:val="Hyperlink"/>
                <w:noProof/>
              </w:rPr>
              <w:t>Importance of Evaluation and Controls</w:t>
            </w:r>
            <w:r>
              <w:rPr>
                <w:noProof/>
                <w:webHidden/>
              </w:rPr>
              <w:tab/>
            </w:r>
            <w:r>
              <w:rPr>
                <w:noProof/>
                <w:webHidden/>
              </w:rPr>
              <w:fldChar w:fldCharType="begin"/>
            </w:r>
            <w:r>
              <w:rPr>
                <w:noProof/>
                <w:webHidden/>
              </w:rPr>
              <w:instrText xml:space="preserve"> PAGEREF _Toc215223924 \h </w:instrText>
            </w:r>
            <w:r>
              <w:rPr>
                <w:noProof/>
                <w:webHidden/>
              </w:rPr>
            </w:r>
            <w:r>
              <w:rPr>
                <w:noProof/>
                <w:webHidden/>
              </w:rPr>
              <w:fldChar w:fldCharType="separate"/>
            </w:r>
            <w:r>
              <w:rPr>
                <w:noProof/>
                <w:webHidden/>
              </w:rPr>
              <w:t>17</w:t>
            </w:r>
            <w:r>
              <w:rPr>
                <w:noProof/>
                <w:webHidden/>
              </w:rPr>
              <w:fldChar w:fldCharType="end"/>
            </w:r>
          </w:hyperlink>
        </w:p>
        <w:p w14:paraId="2BE5C181" w14:textId="0694431F"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5" w:history="1">
            <w:r w:rsidRPr="00C802E0">
              <w:rPr>
                <w:rStyle w:val="Hyperlink"/>
                <w:noProof/>
              </w:rPr>
              <w:t>Balanced Scorecard</w:t>
            </w:r>
            <w:r>
              <w:rPr>
                <w:noProof/>
                <w:webHidden/>
              </w:rPr>
              <w:tab/>
            </w:r>
            <w:r>
              <w:rPr>
                <w:noProof/>
                <w:webHidden/>
              </w:rPr>
              <w:fldChar w:fldCharType="begin"/>
            </w:r>
            <w:r>
              <w:rPr>
                <w:noProof/>
                <w:webHidden/>
              </w:rPr>
              <w:instrText xml:space="preserve"> PAGEREF _Toc215223925 \h </w:instrText>
            </w:r>
            <w:r>
              <w:rPr>
                <w:noProof/>
                <w:webHidden/>
              </w:rPr>
            </w:r>
            <w:r>
              <w:rPr>
                <w:noProof/>
                <w:webHidden/>
              </w:rPr>
              <w:fldChar w:fldCharType="separate"/>
            </w:r>
            <w:r>
              <w:rPr>
                <w:noProof/>
                <w:webHidden/>
              </w:rPr>
              <w:t>18</w:t>
            </w:r>
            <w:r>
              <w:rPr>
                <w:noProof/>
                <w:webHidden/>
              </w:rPr>
              <w:fldChar w:fldCharType="end"/>
            </w:r>
          </w:hyperlink>
        </w:p>
        <w:p w14:paraId="283D3EE4" w14:textId="20E151C6"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6" w:history="1">
            <w:r w:rsidRPr="00C802E0">
              <w:rPr>
                <w:rStyle w:val="Hyperlink"/>
                <w:noProof/>
              </w:rPr>
              <w:t>Triple Bottom Line Integration</w:t>
            </w:r>
            <w:r>
              <w:rPr>
                <w:noProof/>
                <w:webHidden/>
              </w:rPr>
              <w:tab/>
            </w:r>
            <w:r>
              <w:rPr>
                <w:noProof/>
                <w:webHidden/>
              </w:rPr>
              <w:fldChar w:fldCharType="begin"/>
            </w:r>
            <w:r>
              <w:rPr>
                <w:noProof/>
                <w:webHidden/>
              </w:rPr>
              <w:instrText xml:space="preserve"> PAGEREF _Toc215223926 \h </w:instrText>
            </w:r>
            <w:r>
              <w:rPr>
                <w:noProof/>
                <w:webHidden/>
              </w:rPr>
            </w:r>
            <w:r>
              <w:rPr>
                <w:noProof/>
                <w:webHidden/>
              </w:rPr>
              <w:fldChar w:fldCharType="separate"/>
            </w:r>
            <w:r>
              <w:rPr>
                <w:noProof/>
                <w:webHidden/>
              </w:rPr>
              <w:t>18</w:t>
            </w:r>
            <w:r>
              <w:rPr>
                <w:noProof/>
                <w:webHidden/>
              </w:rPr>
              <w:fldChar w:fldCharType="end"/>
            </w:r>
          </w:hyperlink>
        </w:p>
        <w:p w14:paraId="50A2802D" w14:textId="5E6FD683"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7" w:history="1">
            <w:r w:rsidRPr="00C802E0">
              <w:rPr>
                <w:rStyle w:val="Hyperlink"/>
                <w:noProof/>
              </w:rPr>
              <w:t>Risk and Sensitivity Analysis</w:t>
            </w:r>
            <w:r>
              <w:rPr>
                <w:noProof/>
                <w:webHidden/>
              </w:rPr>
              <w:tab/>
            </w:r>
            <w:r>
              <w:rPr>
                <w:noProof/>
                <w:webHidden/>
              </w:rPr>
              <w:fldChar w:fldCharType="begin"/>
            </w:r>
            <w:r>
              <w:rPr>
                <w:noProof/>
                <w:webHidden/>
              </w:rPr>
              <w:instrText xml:space="preserve"> PAGEREF _Toc215223927 \h </w:instrText>
            </w:r>
            <w:r>
              <w:rPr>
                <w:noProof/>
                <w:webHidden/>
              </w:rPr>
            </w:r>
            <w:r>
              <w:rPr>
                <w:noProof/>
                <w:webHidden/>
              </w:rPr>
              <w:fldChar w:fldCharType="separate"/>
            </w:r>
            <w:r>
              <w:rPr>
                <w:noProof/>
                <w:webHidden/>
              </w:rPr>
              <w:t>19</w:t>
            </w:r>
            <w:r>
              <w:rPr>
                <w:noProof/>
                <w:webHidden/>
              </w:rPr>
              <w:fldChar w:fldCharType="end"/>
            </w:r>
          </w:hyperlink>
        </w:p>
        <w:p w14:paraId="051C25E7" w14:textId="29607DFB"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8" w:history="1">
            <w:r w:rsidRPr="00C802E0">
              <w:rPr>
                <w:rStyle w:val="Hyperlink"/>
                <w:noProof/>
              </w:rPr>
              <w:t>Total Quality Management (TQM)</w:t>
            </w:r>
            <w:r>
              <w:rPr>
                <w:noProof/>
                <w:webHidden/>
              </w:rPr>
              <w:tab/>
            </w:r>
            <w:r>
              <w:rPr>
                <w:noProof/>
                <w:webHidden/>
              </w:rPr>
              <w:fldChar w:fldCharType="begin"/>
            </w:r>
            <w:r>
              <w:rPr>
                <w:noProof/>
                <w:webHidden/>
              </w:rPr>
              <w:instrText xml:space="preserve"> PAGEREF _Toc215223928 \h </w:instrText>
            </w:r>
            <w:r>
              <w:rPr>
                <w:noProof/>
                <w:webHidden/>
              </w:rPr>
            </w:r>
            <w:r>
              <w:rPr>
                <w:noProof/>
                <w:webHidden/>
              </w:rPr>
              <w:fldChar w:fldCharType="separate"/>
            </w:r>
            <w:r>
              <w:rPr>
                <w:noProof/>
                <w:webHidden/>
              </w:rPr>
              <w:t>19</w:t>
            </w:r>
            <w:r>
              <w:rPr>
                <w:noProof/>
                <w:webHidden/>
              </w:rPr>
              <w:fldChar w:fldCharType="end"/>
            </w:r>
          </w:hyperlink>
        </w:p>
        <w:p w14:paraId="23E6C372" w14:textId="710A920C"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29" w:history="1">
            <w:r w:rsidRPr="00C802E0">
              <w:rPr>
                <w:rStyle w:val="Hyperlink"/>
                <w:noProof/>
              </w:rPr>
              <w:t>Performance Management Systems</w:t>
            </w:r>
            <w:r>
              <w:rPr>
                <w:noProof/>
                <w:webHidden/>
              </w:rPr>
              <w:tab/>
            </w:r>
            <w:r>
              <w:rPr>
                <w:noProof/>
                <w:webHidden/>
              </w:rPr>
              <w:fldChar w:fldCharType="begin"/>
            </w:r>
            <w:r>
              <w:rPr>
                <w:noProof/>
                <w:webHidden/>
              </w:rPr>
              <w:instrText xml:space="preserve"> PAGEREF _Toc215223929 \h </w:instrText>
            </w:r>
            <w:r>
              <w:rPr>
                <w:noProof/>
                <w:webHidden/>
              </w:rPr>
            </w:r>
            <w:r>
              <w:rPr>
                <w:noProof/>
                <w:webHidden/>
              </w:rPr>
              <w:fldChar w:fldCharType="separate"/>
            </w:r>
            <w:r>
              <w:rPr>
                <w:noProof/>
                <w:webHidden/>
              </w:rPr>
              <w:t>19</w:t>
            </w:r>
            <w:r>
              <w:rPr>
                <w:noProof/>
                <w:webHidden/>
              </w:rPr>
              <w:fldChar w:fldCharType="end"/>
            </w:r>
          </w:hyperlink>
        </w:p>
        <w:p w14:paraId="66E4AC8D" w14:textId="1B04508D"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30" w:history="1">
            <w:r w:rsidRPr="00C802E0">
              <w:rPr>
                <w:rStyle w:val="Hyperlink"/>
                <w:noProof/>
              </w:rPr>
              <w:t>Financial Plan</w:t>
            </w:r>
            <w:r>
              <w:rPr>
                <w:noProof/>
                <w:webHidden/>
              </w:rPr>
              <w:tab/>
            </w:r>
            <w:r>
              <w:rPr>
                <w:noProof/>
                <w:webHidden/>
              </w:rPr>
              <w:fldChar w:fldCharType="begin"/>
            </w:r>
            <w:r>
              <w:rPr>
                <w:noProof/>
                <w:webHidden/>
              </w:rPr>
              <w:instrText xml:space="preserve"> PAGEREF _Toc215223930 \h </w:instrText>
            </w:r>
            <w:r>
              <w:rPr>
                <w:noProof/>
                <w:webHidden/>
              </w:rPr>
            </w:r>
            <w:r>
              <w:rPr>
                <w:noProof/>
                <w:webHidden/>
              </w:rPr>
              <w:fldChar w:fldCharType="separate"/>
            </w:r>
            <w:r>
              <w:rPr>
                <w:noProof/>
                <w:webHidden/>
              </w:rPr>
              <w:t>20</w:t>
            </w:r>
            <w:r>
              <w:rPr>
                <w:noProof/>
                <w:webHidden/>
              </w:rPr>
              <w:fldChar w:fldCharType="end"/>
            </w:r>
          </w:hyperlink>
        </w:p>
        <w:p w14:paraId="6DBC89A4" w14:textId="1211908E"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31" w:history="1">
            <w:r w:rsidRPr="00C802E0">
              <w:rPr>
                <w:rStyle w:val="Hyperlink"/>
                <w:noProof/>
              </w:rPr>
              <w:t>Break-Even and EBIT Margin Analysis</w:t>
            </w:r>
            <w:r>
              <w:rPr>
                <w:noProof/>
                <w:webHidden/>
              </w:rPr>
              <w:tab/>
            </w:r>
            <w:r>
              <w:rPr>
                <w:noProof/>
                <w:webHidden/>
              </w:rPr>
              <w:fldChar w:fldCharType="begin"/>
            </w:r>
            <w:r>
              <w:rPr>
                <w:noProof/>
                <w:webHidden/>
              </w:rPr>
              <w:instrText xml:space="preserve"> PAGEREF _Toc215223931 \h </w:instrText>
            </w:r>
            <w:r>
              <w:rPr>
                <w:noProof/>
                <w:webHidden/>
              </w:rPr>
            </w:r>
            <w:r>
              <w:rPr>
                <w:noProof/>
                <w:webHidden/>
              </w:rPr>
              <w:fldChar w:fldCharType="separate"/>
            </w:r>
            <w:r>
              <w:rPr>
                <w:noProof/>
                <w:webHidden/>
              </w:rPr>
              <w:t>21</w:t>
            </w:r>
            <w:r>
              <w:rPr>
                <w:noProof/>
                <w:webHidden/>
              </w:rPr>
              <w:fldChar w:fldCharType="end"/>
            </w:r>
          </w:hyperlink>
        </w:p>
        <w:p w14:paraId="74F95269" w14:textId="1A0847E0"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32" w:history="1">
            <w:r w:rsidRPr="00C802E0">
              <w:rPr>
                <w:rStyle w:val="Hyperlink"/>
                <w:noProof/>
              </w:rPr>
              <w:t>Risk Analysis and Contingency Planning</w:t>
            </w:r>
            <w:r>
              <w:rPr>
                <w:noProof/>
                <w:webHidden/>
              </w:rPr>
              <w:tab/>
            </w:r>
            <w:r>
              <w:rPr>
                <w:noProof/>
                <w:webHidden/>
              </w:rPr>
              <w:fldChar w:fldCharType="begin"/>
            </w:r>
            <w:r>
              <w:rPr>
                <w:noProof/>
                <w:webHidden/>
              </w:rPr>
              <w:instrText xml:space="preserve"> PAGEREF _Toc215223932 \h </w:instrText>
            </w:r>
            <w:r>
              <w:rPr>
                <w:noProof/>
                <w:webHidden/>
              </w:rPr>
            </w:r>
            <w:r>
              <w:rPr>
                <w:noProof/>
                <w:webHidden/>
              </w:rPr>
              <w:fldChar w:fldCharType="separate"/>
            </w:r>
            <w:r>
              <w:rPr>
                <w:noProof/>
                <w:webHidden/>
              </w:rPr>
              <w:t>21</w:t>
            </w:r>
            <w:r>
              <w:rPr>
                <w:noProof/>
                <w:webHidden/>
              </w:rPr>
              <w:fldChar w:fldCharType="end"/>
            </w:r>
          </w:hyperlink>
        </w:p>
        <w:p w14:paraId="1BDB6D79" w14:textId="5E2199D3"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33" w:history="1">
            <w:r w:rsidRPr="00C802E0">
              <w:rPr>
                <w:rStyle w:val="Hyperlink"/>
                <w:noProof/>
              </w:rPr>
              <w:t>Scenario Planning</w:t>
            </w:r>
            <w:r>
              <w:rPr>
                <w:noProof/>
                <w:webHidden/>
              </w:rPr>
              <w:tab/>
            </w:r>
            <w:r>
              <w:rPr>
                <w:noProof/>
                <w:webHidden/>
              </w:rPr>
              <w:fldChar w:fldCharType="begin"/>
            </w:r>
            <w:r>
              <w:rPr>
                <w:noProof/>
                <w:webHidden/>
              </w:rPr>
              <w:instrText xml:space="preserve"> PAGEREF _Toc215223933 \h </w:instrText>
            </w:r>
            <w:r>
              <w:rPr>
                <w:noProof/>
                <w:webHidden/>
              </w:rPr>
            </w:r>
            <w:r>
              <w:rPr>
                <w:noProof/>
                <w:webHidden/>
              </w:rPr>
              <w:fldChar w:fldCharType="separate"/>
            </w:r>
            <w:r>
              <w:rPr>
                <w:noProof/>
                <w:webHidden/>
              </w:rPr>
              <w:t>22</w:t>
            </w:r>
            <w:r>
              <w:rPr>
                <w:noProof/>
                <w:webHidden/>
              </w:rPr>
              <w:fldChar w:fldCharType="end"/>
            </w:r>
          </w:hyperlink>
        </w:p>
        <w:p w14:paraId="4C038104" w14:textId="72EBBB3E"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34" w:history="1">
            <w:r w:rsidRPr="00C802E0">
              <w:rPr>
                <w:rStyle w:val="Hyperlink"/>
                <w:noProof/>
              </w:rPr>
              <w:t>Recommendations and Conclusion</w:t>
            </w:r>
            <w:r>
              <w:rPr>
                <w:noProof/>
                <w:webHidden/>
              </w:rPr>
              <w:tab/>
            </w:r>
            <w:r>
              <w:rPr>
                <w:noProof/>
                <w:webHidden/>
              </w:rPr>
              <w:fldChar w:fldCharType="begin"/>
            </w:r>
            <w:r>
              <w:rPr>
                <w:noProof/>
                <w:webHidden/>
              </w:rPr>
              <w:instrText xml:space="preserve"> PAGEREF _Toc215223934 \h </w:instrText>
            </w:r>
            <w:r>
              <w:rPr>
                <w:noProof/>
                <w:webHidden/>
              </w:rPr>
            </w:r>
            <w:r>
              <w:rPr>
                <w:noProof/>
                <w:webHidden/>
              </w:rPr>
              <w:fldChar w:fldCharType="separate"/>
            </w:r>
            <w:r>
              <w:rPr>
                <w:noProof/>
                <w:webHidden/>
              </w:rPr>
              <w:t>22</w:t>
            </w:r>
            <w:r>
              <w:rPr>
                <w:noProof/>
                <w:webHidden/>
              </w:rPr>
              <w:fldChar w:fldCharType="end"/>
            </w:r>
          </w:hyperlink>
        </w:p>
        <w:p w14:paraId="3D7949EC" w14:textId="08AA9A2F"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35" w:history="1">
            <w:r w:rsidRPr="00C802E0">
              <w:rPr>
                <w:rStyle w:val="Hyperlink"/>
                <w:noProof/>
              </w:rPr>
              <w:t>Recommended Entry Mode and Strategy</w:t>
            </w:r>
            <w:r>
              <w:rPr>
                <w:noProof/>
                <w:webHidden/>
              </w:rPr>
              <w:tab/>
            </w:r>
            <w:r>
              <w:rPr>
                <w:noProof/>
                <w:webHidden/>
              </w:rPr>
              <w:fldChar w:fldCharType="begin"/>
            </w:r>
            <w:r>
              <w:rPr>
                <w:noProof/>
                <w:webHidden/>
              </w:rPr>
              <w:instrText xml:space="preserve"> PAGEREF _Toc215223935 \h </w:instrText>
            </w:r>
            <w:r>
              <w:rPr>
                <w:noProof/>
                <w:webHidden/>
              </w:rPr>
            </w:r>
            <w:r>
              <w:rPr>
                <w:noProof/>
                <w:webHidden/>
              </w:rPr>
              <w:fldChar w:fldCharType="separate"/>
            </w:r>
            <w:r>
              <w:rPr>
                <w:noProof/>
                <w:webHidden/>
              </w:rPr>
              <w:t>22</w:t>
            </w:r>
            <w:r>
              <w:rPr>
                <w:noProof/>
                <w:webHidden/>
              </w:rPr>
              <w:fldChar w:fldCharType="end"/>
            </w:r>
          </w:hyperlink>
        </w:p>
        <w:p w14:paraId="7115C9E8" w14:textId="05ED90FF"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36" w:history="1">
            <w:r w:rsidRPr="00C802E0">
              <w:rPr>
                <w:rStyle w:val="Hyperlink"/>
                <w:noProof/>
              </w:rPr>
              <w:t>Conclusion</w:t>
            </w:r>
            <w:r>
              <w:rPr>
                <w:noProof/>
                <w:webHidden/>
              </w:rPr>
              <w:tab/>
            </w:r>
            <w:r>
              <w:rPr>
                <w:noProof/>
                <w:webHidden/>
              </w:rPr>
              <w:fldChar w:fldCharType="begin"/>
            </w:r>
            <w:r>
              <w:rPr>
                <w:noProof/>
                <w:webHidden/>
              </w:rPr>
              <w:instrText xml:space="preserve"> PAGEREF _Toc215223936 \h </w:instrText>
            </w:r>
            <w:r>
              <w:rPr>
                <w:noProof/>
                <w:webHidden/>
              </w:rPr>
            </w:r>
            <w:r>
              <w:rPr>
                <w:noProof/>
                <w:webHidden/>
              </w:rPr>
              <w:fldChar w:fldCharType="separate"/>
            </w:r>
            <w:r>
              <w:rPr>
                <w:noProof/>
                <w:webHidden/>
              </w:rPr>
              <w:t>23</w:t>
            </w:r>
            <w:r>
              <w:rPr>
                <w:noProof/>
                <w:webHidden/>
              </w:rPr>
              <w:fldChar w:fldCharType="end"/>
            </w:r>
          </w:hyperlink>
        </w:p>
        <w:p w14:paraId="6BEFCE0D" w14:textId="0464B042"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37" w:history="1">
            <w:r w:rsidRPr="00C802E0">
              <w:rPr>
                <w:rStyle w:val="Hyperlink"/>
                <w:noProof/>
              </w:rPr>
              <w:t>References</w:t>
            </w:r>
            <w:r>
              <w:rPr>
                <w:noProof/>
                <w:webHidden/>
              </w:rPr>
              <w:tab/>
            </w:r>
            <w:r>
              <w:rPr>
                <w:noProof/>
                <w:webHidden/>
              </w:rPr>
              <w:fldChar w:fldCharType="begin"/>
            </w:r>
            <w:r>
              <w:rPr>
                <w:noProof/>
                <w:webHidden/>
              </w:rPr>
              <w:instrText xml:space="preserve"> PAGEREF _Toc215223937 \h </w:instrText>
            </w:r>
            <w:r>
              <w:rPr>
                <w:noProof/>
                <w:webHidden/>
              </w:rPr>
            </w:r>
            <w:r>
              <w:rPr>
                <w:noProof/>
                <w:webHidden/>
              </w:rPr>
              <w:fldChar w:fldCharType="separate"/>
            </w:r>
            <w:r>
              <w:rPr>
                <w:noProof/>
                <w:webHidden/>
              </w:rPr>
              <w:t>24</w:t>
            </w:r>
            <w:r>
              <w:rPr>
                <w:noProof/>
                <w:webHidden/>
              </w:rPr>
              <w:fldChar w:fldCharType="end"/>
            </w:r>
          </w:hyperlink>
        </w:p>
        <w:p w14:paraId="69C0C3D4" w14:textId="63A776BC" w:rsidR="00A11B98" w:rsidRDefault="00A11B98" w:rsidP="00A11B98">
          <w:pPr>
            <w:pStyle w:val="TOC1"/>
            <w:tabs>
              <w:tab w:val="right" w:leader="dot" w:pos="9016"/>
            </w:tabs>
            <w:spacing w:line="276" w:lineRule="auto"/>
            <w:rPr>
              <w:rFonts w:asciiTheme="minorHAnsi" w:eastAsiaTheme="minorEastAsia" w:hAnsiTheme="minorHAnsi"/>
              <w:noProof/>
              <w:szCs w:val="24"/>
              <w:lang w:val="en-IN" w:eastAsia="en-IN" w:bidi="ar-SA"/>
            </w:rPr>
          </w:pPr>
          <w:hyperlink w:anchor="_Toc215223938" w:history="1">
            <w:r w:rsidRPr="00C802E0">
              <w:rPr>
                <w:rStyle w:val="Hyperlink"/>
                <w:noProof/>
              </w:rPr>
              <w:t>Appendices</w:t>
            </w:r>
            <w:r>
              <w:rPr>
                <w:noProof/>
                <w:webHidden/>
              </w:rPr>
              <w:tab/>
            </w:r>
            <w:r>
              <w:rPr>
                <w:noProof/>
                <w:webHidden/>
              </w:rPr>
              <w:fldChar w:fldCharType="begin"/>
            </w:r>
            <w:r>
              <w:rPr>
                <w:noProof/>
                <w:webHidden/>
              </w:rPr>
              <w:instrText xml:space="preserve"> PAGEREF _Toc215223938 \h </w:instrText>
            </w:r>
            <w:r>
              <w:rPr>
                <w:noProof/>
                <w:webHidden/>
              </w:rPr>
            </w:r>
            <w:r>
              <w:rPr>
                <w:noProof/>
                <w:webHidden/>
              </w:rPr>
              <w:fldChar w:fldCharType="separate"/>
            </w:r>
            <w:r>
              <w:rPr>
                <w:noProof/>
                <w:webHidden/>
              </w:rPr>
              <w:t>30</w:t>
            </w:r>
            <w:r>
              <w:rPr>
                <w:noProof/>
                <w:webHidden/>
              </w:rPr>
              <w:fldChar w:fldCharType="end"/>
            </w:r>
          </w:hyperlink>
        </w:p>
        <w:p w14:paraId="232586A4" w14:textId="7F6A8B5A"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39" w:history="1">
            <w:r w:rsidRPr="00C802E0">
              <w:rPr>
                <w:rStyle w:val="Hyperlink"/>
                <w:noProof/>
              </w:rPr>
              <w:t>Appendix A Business Model Canvas</w:t>
            </w:r>
            <w:r>
              <w:rPr>
                <w:noProof/>
                <w:webHidden/>
              </w:rPr>
              <w:tab/>
            </w:r>
            <w:r>
              <w:rPr>
                <w:noProof/>
                <w:webHidden/>
              </w:rPr>
              <w:fldChar w:fldCharType="begin"/>
            </w:r>
            <w:r>
              <w:rPr>
                <w:noProof/>
                <w:webHidden/>
              </w:rPr>
              <w:instrText xml:space="preserve"> PAGEREF _Toc215223939 \h </w:instrText>
            </w:r>
            <w:r>
              <w:rPr>
                <w:noProof/>
                <w:webHidden/>
              </w:rPr>
            </w:r>
            <w:r>
              <w:rPr>
                <w:noProof/>
                <w:webHidden/>
              </w:rPr>
              <w:fldChar w:fldCharType="separate"/>
            </w:r>
            <w:r>
              <w:rPr>
                <w:noProof/>
                <w:webHidden/>
              </w:rPr>
              <w:t>30</w:t>
            </w:r>
            <w:r>
              <w:rPr>
                <w:noProof/>
                <w:webHidden/>
              </w:rPr>
              <w:fldChar w:fldCharType="end"/>
            </w:r>
          </w:hyperlink>
        </w:p>
        <w:p w14:paraId="71AB0742" w14:textId="484631DA"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40" w:history="1">
            <w:r w:rsidRPr="00C802E0">
              <w:rPr>
                <w:rStyle w:val="Hyperlink"/>
                <w:noProof/>
              </w:rPr>
              <w:t>Appendix B: Financial Statements – Inter IKEA Group FY24 (Source: Inter IKEA Group, 2024)</w:t>
            </w:r>
            <w:r>
              <w:rPr>
                <w:noProof/>
                <w:webHidden/>
              </w:rPr>
              <w:tab/>
            </w:r>
            <w:r>
              <w:rPr>
                <w:noProof/>
                <w:webHidden/>
              </w:rPr>
              <w:fldChar w:fldCharType="begin"/>
            </w:r>
            <w:r>
              <w:rPr>
                <w:noProof/>
                <w:webHidden/>
              </w:rPr>
              <w:instrText xml:space="preserve"> PAGEREF _Toc215223940 \h </w:instrText>
            </w:r>
            <w:r>
              <w:rPr>
                <w:noProof/>
                <w:webHidden/>
              </w:rPr>
            </w:r>
            <w:r>
              <w:rPr>
                <w:noProof/>
                <w:webHidden/>
              </w:rPr>
              <w:fldChar w:fldCharType="separate"/>
            </w:r>
            <w:r>
              <w:rPr>
                <w:noProof/>
                <w:webHidden/>
              </w:rPr>
              <w:t>31</w:t>
            </w:r>
            <w:r>
              <w:rPr>
                <w:noProof/>
                <w:webHidden/>
              </w:rPr>
              <w:fldChar w:fldCharType="end"/>
            </w:r>
          </w:hyperlink>
        </w:p>
        <w:p w14:paraId="49426C55" w14:textId="5F92F2ED" w:rsidR="00A11B98" w:rsidRDefault="00A11B98" w:rsidP="00A11B98">
          <w:pPr>
            <w:pStyle w:val="TOC3"/>
            <w:tabs>
              <w:tab w:val="right" w:leader="dot" w:pos="9016"/>
            </w:tabs>
            <w:spacing w:line="276" w:lineRule="auto"/>
            <w:rPr>
              <w:rFonts w:asciiTheme="minorHAnsi" w:eastAsiaTheme="minorEastAsia" w:hAnsiTheme="minorHAnsi"/>
              <w:noProof/>
              <w:szCs w:val="24"/>
              <w:lang w:val="en-IN" w:eastAsia="en-IN" w:bidi="ar-SA"/>
            </w:rPr>
          </w:pPr>
          <w:hyperlink w:anchor="_Toc215223941" w:history="1">
            <w:r w:rsidRPr="00C802E0">
              <w:rPr>
                <w:rStyle w:val="Hyperlink"/>
                <w:noProof/>
              </w:rPr>
              <w:t>B1. Consolidated Balance Sheet as at 31 August 2024</w:t>
            </w:r>
            <w:r>
              <w:rPr>
                <w:noProof/>
                <w:webHidden/>
              </w:rPr>
              <w:tab/>
            </w:r>
            <w:r>
              <w:rPr>
                <w:noProof/>
                <w:webHidden/>
              </w:rPr>
              <w:fldChar w:fldCharType="begin"/>
            </w:r>
            <w:r>
              <w:rPr>
                <w:noProof/>
                <w:webHidden/>
              </w:rPr>
              <w:instrText xml:space="preserve"> PAGEREF _Toc215223941 \h </w:instrText>
            </w:r>
            <w:r>
              <w:rPr>
                <w:noProof/>
                <w:webHidden/>
              </w:rPr>
            </w:r>
            <w:r>
              <w:rPr>
                <w:noProof/>
                <w:webHidden/>
              </w:rPr>
              <w:fldChar w:fldCharType="separate"/>
            </w:r>
            <w:r>
              <w:rPr>
                <w:noProof/>
                <w:webHidden/>
              </w:rPr>
              <w:t>31</w:t>
            </w:r>
            <w:r>
              <w:rPr>
                <w:noProof/>
                <w:webHidden/>
              </w:rPr>
              <w:fldChar w:fldCharType="end"/>
            </w:r>
          </w:hyperlink>
        </w:p>
        <w:p w14:paraId="1442CE60" w14:textId="42D6431B" w:rsidR="00A11B98" w:rsidRDefault="00A11B98" w:rsidP="00A11B98">
          <w:pPr>
            <w:pStyle w:val="TOC3"/>
            <w:tabs>
              <w:tab w:val="right" w:leader="dot" w:pos="9016"/>
            </w:tabs>
            <w:spacing w:line="276" w:lineRule="auto"/>
            <w:rPr>
              <w:rFonts w:asciiTheme="minorHAnsi" w:eastAsiaTheme="minorEastAsia" w:hAnsiTheme="minorHAnsi"/>
              <w:noProof/>
              <w:szCs w:val="24"/>
              <w:lang w:val="en-IN" w:eastAsia="en-IN" w:bidi="ar-SA"/>
            </w:rPr>
          </w:pPr>
          <w:hyperlink w:anchor="_Toc215223942" w:history="1">
            <w:r w:rsidRPr="00C802E0">
              <w:rPr>
                <w:rStyle w:val="Hyperlink"/>
                <w:noProof/>
              </w:rPr>
              <w:t>B2. Consolidated Profit and Loss Account FY24</w:t>
            </w:r>
            <w:r>
              <w:rPr>
                <w:noProof/>
                <w:webHidden/>
              </w:rPr>
              <w:tab/>
            </w:r>
            <w:r>
              <w:rPr>
                <w:noProof/>
                <w:webHidden/>
              </w:rPr>
              <w:fldChar w:fldCharType="begin"/>
            </w:r>
            <w:r>
              <w:rPr>
                <w:noProof/>
                <w:webHidden/>
              </w:rPr>
              <w:instrText xml:space="preserve"> PAGEREF _Toc215223942 \h </w:instrText>
            </w:r>
            <w:r>
              <w:rPr>
                <w:noProof/>
                <w:webHidden/>
              </w:rPr>
            </w:r>
            <w:r>
              <w:rPr>
                <w:noProof/>
                <w:webHidden/>
              </w:rPr>
              <w:fldChar w:fldCharType="separate"/>
            </w:r>
            <w:r>
              <w:rPr>
                <w:noProof/>
                <w:webHidden/>
              </w:rPr>
              <w:t>32</w:t>
            </w:r>
            <w:r>
              <w:rPr>
                <w:noProof/>
                <w:webHidden/>
              </w:rPr>
              <w:fldChar w:fldCharType="end"/>
            </w:r>
          </w:hyperlink>
        </w:p>
        <w:p w14:paraId="61F3F604" w14:textId="160A3FBC" w:rsidR="00A11B98" w:rsidRDefault="00A11B98" w:rsidP="00A11B98">
          <w:pPr>
            <w:pStyle w:val="TOC3"/>
            <w:tabs>
              <w:tab w:val="right" w:leader="dot" w:pos="9016"/>
            </w:tabs>
            <w:spacing w:line="276" w:lineRule="auto"/>
            <w:rPr>
              <w:rFonts w:asciiTheme="minorHAnsi" w:eastAsiaTheme="minorEastAsia" w:hAnsiTheme="minorHAnsi"/>
              <w:noProof/>
              <w:szCs w:val="24"/>
              <w:lang w:val="en-IN" w:eastAsia="en-IN" w:bidi="ar-SA"/>
            </w:rPr>
          </w:pPr>
          <w:hyperlink w:anchor="_Toc215223943" w:history="1">
            <w:r w:rsidRPr="00C802E0">
              <w:rPr>
                <w:rStyle w:val="Hyperlink"/>
                <w:noProof/>
              </w:rPr>
              <w:t>B3. Consolidated Cash Flow Statement FY24</w:t>
            </w:r>
            <w:r>
              <w:rPr>
                <w:noProof/>
                <w:webHidden/>
              </w:rPr>
              <w:tab/>
            </w:r>
            <w:r>
              <w:rPr>
                <w:noProof/>
                <w:webHidden/>
              </w:rPr>
              <w:fldChar w:fldCharType="begin"/>
            </w:r>
            <w:r>
              <w:rPr>
                <w:noProof/>
                <w:webHidden/>
              </w:rPr>
              <w:instrText xml:space="preserve"> PAGEREF _Toc215223943 \h </w:instrText>
            </w:r>
            <w:r>
              <w:rPr>
                <w:noProof/>
                <w:webHidden/>
              </w:rPr>
            </w:r>
            <w:r>
              <w:rPr>
                <w:noProof/>
                <w:webHidden/>
              </w:rPr>
              <w:fldChar w:fldCharType="separate"/>
            </w:r>
            <w:r>
              <w:rPr>
                <w:noProof/>
                <w:webHidden/>
              </w:rPr>
              <w:t>32</w:t>
            </w:r>
            <w:r>
              <w:rPr>
                <w:noProof/>
                <w:webHidden/>
              </w:rPr>
              <w:fldChar w:fldCharType="end"/>
            </w:r>
          </w:hyperlink>
        </w:p>
        <w:p w14:paraId="6731D9AF" w14:textId="69D155EB" w:rsidR="00A11B98" w:rsidRDefault="00A11B98" w:rsidP="00A11B98">
          <w:pPr>
            <w:pStyle w:val="TOC3"/>
            <w:tabs>
              <w:tab w:val="right" w:leader="dot" w:pos="9016"/>
            </w:tabs>
            <w:spacing w:line="276" w:lineRule="auto"/>
            <w:rPr>
              <w:rFonts w:asciiTheme="minorHAnsi" w:eastAsiaTheme="minorEastAsia" w:hAnsiTheme="minorHAnsi"/>
              <w:noProof/>
              <w:szCs w:val="24"/>
              <w:lang w:val="en-IN" w:eastAsia="en-IN" w:bidi="ar-SA"/>
            </w:rPr>
          </w:pPr>
          <w:hyperlink w:anchor="_Toc215223944" w:history="1">
            <w:r w:rsidRPr="00C802E0">
              <w:rPr>
                <w:rStyle w:val="Hyperlink"/>
                <w:noProof/>
              </w:rPr>
              <w:t>B4. Consolidated Statement of Comprehensive Income FY24</w:t>
            </w:r>
            <w:r>
              <w:rPr>
                <w:noProof/>
                <w:webHidden/>
              </w:rPr>
              <w:tab/>
            </w:r>
            <w:r>
              <w:rPr>
                <w:noProof/>
                <w:webHidden/>
              </w:rPr>
              <w:fldChar w:fldCharType="begin"/>
            </w:r>
            <w:r>
              <w:rPr>
                <w:noProof/>
                <w:webHidden/>
              </w:rPr>
              <w:instrText xml:space="preserve"> PAGEREF _Toc215223944 \h </w:instrText>
            </w:r>
            <w:r>
              <w:rPr>
                <w:noProof/>
                <w:webHidden/>
              </w:rPr>
            </w:r>
            <w:r>
              <w:rPr>
                <w:noProof/>
                <w:webHidden/>
              </w:rPr>
              <w:fldChar w:fldCharType="separate"/>
            </w:r>
            <w:r>
              <w:rPr>
                <w:noProof/>
                <w:webHidden/>
              </w:rPr>
              <w:t>33</w:t>
            </w:r>
            <w:r>
              <w:rPr>
                <w:noProof/>
                <w:webHidden/>
              </w:rPr>
              <w:fldChar w:fldCharType="end"/>
            </w:r>
          </w:hyperlink>
        </w:p>
        <w:p w14:paraId="7E78ED6E" w14:textId="2D94CC1B" w:rsidR="00A11B98" w:rsidRDefault="00A11B98" w:rsidP="00A11B98">
          <w:pPr>
            <w:pStyle w:val="TOC2"/>
            <w:tabs>
              <w:tab w:val="right" w:leader="dot" w:pos="9016"/>
            </w:tabs>
            <w:spacing w:line="276" w:lineRule="auto"/>
            <w:rPr>
              <w:rFonts w:asciiTheme="minorHAnsi" w:eastAsiaTheme="minorEastAsia" w:hAnsiTheme="minorHAnsi"/>
              <w:noProof/>
              <w:szCs w:val="24"/>
              <w:lang w:val="en-IN" w:eastAsia="en-IN" w:bidi="ar-SA"/>
            </w:rPr>
          </w:pPr>
          <w:hyperlink w:anchor="_Toc215223945" w:history="1">
            <w:r w:rsidRPr="00C802E0">
              <w:rPr>
                <w:rStyle w:val="Hyperlink"/>
                <w:noProof/>
              </w:rPr>
              <w:t>Appendix C: VRIO Analysis</w:t>
            </w:r>
            <w:r>
              <w:rPr>
                <w:noProof/>
                <w:webHidden/>
              </w:rPr>
              <w:tab/>
            </w:r>
            <w:r>
              <w:rPr>
                <w:noProof/>
                <w:webHidden/>
              </w:rPr>
              <w:fldChar w:fldCharType="begin"/>
            </w:r>
            <w:r>
              <w:rPr>
                <w:noProof/>
                <w:webHidden/>
              </w:rPr>
              <w:instrText xml:space="preserve"> PAGEREF _Toc215223945 \h </w:instrText>
            </w:r>
            <w:r>
              <w:rPr>
                <w:noProof/>
                <w:webHidden/>
              </w:rPr>
            </w:r>
            <w:r>
              <w:rPr>
                <w:noProof/>
                <w:webHidden/>
              </w:rPr>
              <w:fldChar w:fldCharType="separate"/>
            </w:r>
            <w:r>
              <w:rPr>
                <w:noProof/>
                <w:webHidden/>
              </w:rPr>
              <w:t>34</w:t>
            </w:r>
            <w:r>
              <w:rPr>
                <w:noProof/>
                <w:webHidden/>
              </w:rPr>
              <w:fldChar w:fldCharType="end"/>
            </w:r>
          </w:hyperlink>
        </w:p>
        <w:p w14:paraId="6831B867" w14:textId="00399385" w:rsidR="00A76699" w:rsidRPr="00A76FF0" w:rsidRDefault="00000000" w:rsidP="00A11B98">
          <w:pPr>
            <w:spacing w:line="276" w:lineRule="auto"/>
          </w:pPr>
          <w:r w:rsidRPr="00A76FF0">
            <w:rPr>
              <w:b/>
              <w:bCs/>
            </w:rPr>
            <w:fldChar w:fldCharType="end"/>
          </w:r>
        </w:p>
      </w:sdtContent>
    </w:sdt>
    <w:p w14:paraId="52742873" w14:textId="77777777" w:rsidR="002203B0" w:rsidRDefault="002203B0" w:rsidP="00A11B98">
      <w:pPr>
        <w:spacing w:line="276" w:lineRule="auto"/>
        <w:jc w:val="left"/>
        <w:rPr>
          <w:rFonts w:eastAsiaTheme="majorEastAsia" w:cstheme="majorBidi"/>
          <w:b/>
          <w:color w:val="000000" w:themeColor="text1"/>
          <w:szCs w:val="40"/>
        </w:rPr>
      </w:pPr>
      <w:r>
        <w:br w:type="page"/>
      </w:r>
    </w:p>
    <w:p w14:paraId="5B58558B" w14:textId="1D654E28" w:rsidR="00722844" w:rsidRPr="00A76FF0" w:rsidRDefault="00722844" w:rsidP="00AA1EE7">
      <w:pPr>
        <w:pStyle w:val="Heading1"/>
      </w:pPr>
      <w:bookmarkStart w:id="0" w:name="_Toc215223894"/>
      <w:r w:rsidRPr="00A76FF0">
        <w:lastRenderedPageBreak/>
        <w:t>Introduction</w:t>
      </w:r>
      <w:bookmarkEnd w:id="0"/>
    </w:p>
    <w:p w14:paraId="41D6A80F" w14:textId="01F29ACC" w:rsidR="00BD13A4" w:rsidRPr="00A76FF0" w:rsidRDefault="00A76FF0" w:rsidP="00BD13A4">
      <w:r>
        <w:t>This report aims</w:t>
      </w:r>
      <w:r w:rsidR="00BD13A4" w:rsidRPr="00A76FF0">
        <w:t xml:space="preserve"> to analy</w:t>
      </w:r>
      <w:r w:rsidR="007533EE" w:rsidRPr="00A76FF0">
        <w:t>s</w:t>
      </w:r>
      <w:r w:rsidR="00BD13A4" w:rsidRPr="00A76FF0">
        <w:t>e the strategic expansion of IKEA in Brazil, which is one of the most important emerging markets in South America. The scope includes external study of Brazil's business environment, internal analysis of IKEA's resources and capabilities, formulation of suitable entry strategies, and implementation, control, and evaluation recommendations. This is in harmony with the strategic management process which begins with environmental scanning, proceeds to formulation and implementation of strategy, and culminates with performance evaluation.</w:t>
      </w:r>
    </w:p>
    <w:p w14:paraId="01D02E32" w14:textId="77777777" w:rsidR="00865E08" w:rsidRPr="00A76FF0" w:rsidRDefault="00BD13A4" w:rsidP="00865E08">
      <w:r w:rsidRPr="00A76FF0">
        <w:t xml:space="preserve">IKEA is a globally leading home furnishing business, most famously associated with flat-pack idea, affordable prices, and sustainability commitments (Inter IKEA Group, 2024). The company is now operating in more than 60 markets and continuously employs economies of scale, brand strength, and supply base consolidation to secure competitive advantage (Grant, 2021). Brazil was selected as the target market owing to its large population of more than 200 million, urbanization, growing middle class, and rising consumer demand for sophisticated home solutions (IBGE, 2025; World Bank, 2025). </w:t>
      </w:r>
      <w:r w:rsidR="00865E08" w:rsidRPr="00A76FF0">
        <w:t>Brazil's economy, while volatile, is strong with expansion helped by structural reforms and retailing activity (IMF, 2024; Reuters, 2025).</w:t>
      </w:r>
    </w:p>
    <w:p w14:paraId="29336361" w14:textId="338E03C8" w:rsidR="00722844" w:rsidRPr="00A76FF0" w:rsidRDefault="00C8264F" w:rsidP="00865E08">
      <w:r w:rsidRPr="00A76FF0">
        <w:t>Strategic management provides a context for multinational firms to gain competitiveness by achieving internal capability alignment with external opportunities (Johnson and Scholes, 2023). In the case of IKEA, its frameworks need to be applied in order to avoid risks, realise location advantages, and exploit long-term prosperity in the turbulent Brazilian retail environment.</w:t>
      </w:r>
    </w:p>
    <w:p w14:paraId="6D866D99" w14:textId="77777777" w:rsidR="00722844" w:rsidRPr="00A76FF0" w:rsidRDefault="00722844" w:rsidP="00AA1EE7">
      <w:pPr>
        <w:pStyle w:val="Heading1"/>
      </w:pPr>
      <w:bookmarkStart w:id="1" w:name="_Toc215223895"/>
      <w:r w:rsidRPr="00A76FF0">
        <w:t>Current Situation – Organisation Profile</w:t>
      </w:r>
      <w:bookmarkEnd w:id="1"/>
    </w:p>
    <w:p w14:paraId="59277433" w14:textId="77777777" w:rsidR="00722844" w:rsidRPr="00A76FF0" w:rsidRDefault="00722844" w:rsidP="00AA1EE7">
      <w:pPr>
        <w:pStyle w:val="Heading2"/>
      </w:pPr>
      <w:bookmarkStart w:id="2" w:name="_Toc215223896"/>
      <w:r w:rsidRPr="00A76FF0">
        <w:t>IKEA Overview</w:t>
      </w:r>
      <w:bookmarkEnd w:id="2"/>
    </w:p>
    <w:p w14:paraId="67493745" w14:textId="77777777" w:rsidR="005D528A" w:rsidRPr="00A76FF0" w:rsidRDefault="005D528A" w:rsidP="005D528A">
      <w:pPr>
        <w:rPr>
          <w:b/>
          <w:bCs/>
        </w:rPr>
      </w:pPr>
      <w:r w:rsidRPr="00A76FF0">
        <w:rPr>
          <w:b/>
          <w:bCs/>
        </w:rPr>
        <w:t>Vision, Mission, and Objectives</w:t>
      </w:r>
    </w:p>
    <w:p w14:paraId="7EDA44B4" w14:textId="558AE779" w:rsidR="005D528A" w:rsidRPr="00A76FF0" w:rsidRDefault="00FC6DEE" w:rsidP="005D528A">
      <w:r w:rsidRPr="00A76FF0">
        <w:t>IKEA's mission is "to create a better everyday life for the many people" (Inter IKEA Group, 2024). Its mission revolves around low-cost home furnishings, which are functional. Strategic intentions are expansion all over the world, sustainability of the supply chain, and digital transformation to enhance customer experience (Ingka Group, 2024) in order to achieve long-term profitability and sustainable development in developed and developing countries.</w:t>
      </w:r>
    </w:p>
    <w:p w14:paraId="168AAA26" w14:textId="77777777" w:rsidR="005D528A" w:rsidRPr="00A76FF0" w:rsidRDefault="005D528A" w:rsidP="005D528A">
      <w:pPr>
        <w:rPr>
          <w:b/>
          <w:bCs/>
        </w:rPr>
      </w:pPr>
      <w:r w:rsidRPr="00A76FF0">
        <w:rPr>
          <w:b/>
          <w:bCs/>
        </w:rPr>
        <w:t>Ownership and Governance</w:t>
      </w:r>
    </w:p>
    <w:p w14:paraId="60AE37EA" w14:textId="5684161D" w:rsidR="005D528A" w:rsidRPr="00A76FF0" w:rsidRDefault="00FC6DEE" w:rsidP="006F747F">
      <w:r w:rsidRPr="00A76FF0">
        <w:lastRenderedPageBreak/>
        <w:t>IKEA has a two-entity organisational structure: Inter IKEA Group oversees brand ownership, product innovation, and franchising, while Ingka Group manages most of the retailing business worldwide (Ingka Group, 2024). The design tries to reconcile global strategic consistency with local adaptability. It has roots of governance in ethical values and sustainability stressing transparency, action on climate change, and sustainable supply chain practices (</w:t>
      </w:r>
      <w:proofErr w:type="spellStart"/>
      <w:r w:rsidRPr="00A76FF0">
        <w:t>Filgueira</w:t>
      </w:r>
      <w:proofErr w:type="spellEnd"/>
      <w:r w:rsidRPr="00A76FF0">
        <w:t xml:space="preserve"> and Norden, 2025).</w:t>
      </w:r>
    </w:p>
    <w:p w14:paraId="16A3EA1F" w14:textId="77777777" w:rsidR="005D528A" w:rsidRPr="00A76FF0" w:rsidRDefault="005D528A" w:rsidP="005D528A">
      <w:pPr>
        <w:rPr>
          <w:b/>
          <w:bCs/>
        </w:rPr>
      </w:pPr>
      <w:r w:rsidRPr="00A76FF0">
        <w:rPr>
          <w:b/>
          <w:bCs/>
        </w:rPr>
        <w:t>Financial Position</w:t>
      </w:r>
    </w:p>
    <w:p w14:paraId="29596022" w14:textId="7EB9BBD7" w:rsidR="005D528A" w:rsidRPr="00A76FF0" w:rsidRDefault="00FC6DEE" w:rsidP="006F747F">
      <w:r w:rsidRPr="00A76FF0">
        <w:t>Inter IKEA Group recorded more than EUR 44 billion revenues in 2024, with robust overall global performance. Ingka Group is also investing significantly in the use of renewable energy, digitalization, and supply chain improvement (Ingka Group, 2024). These investments form the foundation for IKEA expansion into new markets such as Brazil.</w:t>
      </w:r>
    </w:p>
    <w:p w14:paraId="0A1B7A85" w14:textId="77777777" w:rsidR="005D528A" w:rsidRPr="00A76FF0" w:rsidRDefault="005D528A" w:rsidP="005D528A">
      <w:pPr>
        <w:rPr>
          <w:b/>
          <w:bCs/>
        </w:rPr>
      </w:pPr>
      <w:r w:rsidRPr="00A76FF0">
        <w:rPr>
          <w:b/>
          <w:bCs/>
        </w:rPr>
        <w:t>Industry and Market Context</w:t>
      </w:r>
    </w:p>
    <w:p w14:paraId="7DC2AFB4" w14:textId="65F8A061" w:rsidR="005D528A" w:rsidRPr="00A76FF0" w:rsidRDefault="00964ADC" w:rsidP="005D528A">
      <w:r w:rsidRPr="00A76FF0">
        <w:t>IKEA is the global home furnishings industry leader with a value of over USD 700 billion and with ongoing growth due to urbanization and e-commerce (Grand View Research, 2025). Brazil's furniture market will grow by 4–5% per annum to 2030 because of urban spending power and sustainable approaches (Mordor Intelligence, 2025; IBGE, 2025).</w:t>
      </w:r>
    </w:p>
    <w:p w14:paraId="35439D22" w14:textId="77777777" w:rsidR="00722844" w:rsidRPr="00A76FF0" w:rsidRDefault="00722844" w:rsidP="00AA1EE7">
      <w:pPr>
        <w:pStyle w:val="Heading2"/>
      </w:pPr>
      <w:bookmarkStart w:id="3" w:name="_Toc215223897"/>
      <w:r w:rsidRPr="00A76FF0">
        <w:t>Strategic Positioning</w:t>
      </w:r>
      <w:bookmarkEnd w:id="3"/>
    </w:p>
    <w:p w14:paraId="7DEFE47C" w14:textId="1150A35E" w:rsidR="00722844" w:rsidRPr="00A76FF0" w:rsidRDefault="00AD0F86" w:rsidP="00AA1EE7">
      <w:r w:rsidRPr="00A76FF0">
        <w:t xml:space="preserve">IKEA's strategic positioning is founded on cost leadership, economies of scale, and supply chain optimization (Grant, 2021). Its flat pack design reduces shipping and storage costs and allows customers to construct products on their own, justifying its low cost. It conceptualizes sustainability in operations through commitments to renewable power, circular design, and sustainable sourcing, making its proposition special and strengthening its competitive advantage (IKEA, 2025; </w:t>
      </w:r>
      <w:proofErr w:type="spellStart"/>
      <w:r w:rsidRPr="00A76FF0">
        <w:t>Filgueira</w:t>
      </w:r>
      <w:proofErr w:type="spellEnd"/>
      <w:r w:rsidRPr="00A76FF0">
        <w:t xml:space="preserve"> and Norden, 2025). IKEA therefore competes as a hybrid by providing low cost accompanied by differentiation along design and sustainability (Hitt, Ireland and </w:t>
      </w:r>
      <w:proofErr w:type="spellStart"/>
      <w:r w:rsidRPr="00A76FF0">
        <w:t>Hoskisson</w:t>
      </w:r>
      <w:proofErr w:type="spellEnd"/>
      <w:r w:rsidRPr="00A76FF0">
        <w:t>, 2024).</w:t>
      </w:r>
    </w:p>
    <w:p w14:paraId="771D5FA8" w14:textId="77777777" w:rsidR="00722844" w:rsidRPr="00A76FF0" w:rsidRDefault="00722844" w:rsidP="00AA1EE7">
      <w:pPr>
        <w:pStyle w:val="Heading2"/>
      </w:pPr>
      <w:bookmarkStart w:id="4" w:name="_Toc215223898"/>
      <w:r w:rsidRPr="00A76FF0">
        <w:t>Business Model Canvas</w:t>
      </w:r>
      <w:bookmarkEnd w:id="4"/>
    </w:p>
    <w:p w14:paraId="16D6A121" w14:textId="407A5F86" w:rsidR="002F2014" w:rsidRPr="00A76FF0" w:rsidRDefault="00E121D1" w:rsidP="00346217">
      <w:r w:rsidRPr="00A76FF0">
        <w:t xml:space="preserve">IKEA's value proposition is on the grounds of affordability, design innovation, and sustainability (Appendix A). Its key resources include brand reputation, design competence, and a global supply chain. Its key activities are product design, sourcing, logistics, and retail activities (Inter IKEA Group, 2024). Customer relationships are maintained through loyalty </w:t>
      </w:r>
      <w:r w:rsidRPr="00A76FF0">
        <w:lastRenderedPageBreak/>
        <w:t>schemes and omnichannel services (Ingka Group, 2024). Its principal sources of revenue are from furniture, home furnishings, and food retailing in stores.</w:t>
      </w:r>
    </w:p>
    <w:p w14:paraId="7533C088" w14:textId="77777777" w:rsidR="00722844" w:rsidRPr="00A76FF0" w:rsidRDefault="00722844" w:rsidP="00AA1EE7">
      <w:pPr>
        <w:pStyle w:val="Heading2"/>
      </w:pPr>
      <w:bookmarkStart w:id="5" w:name="_Toc215223899"/>
      <w:r w:rsidRPr="00A76FF0">
        <w:t>Value Proposition in Emerging Markets</w:t>
      </w:r>
      <w:bookmarkEnd w:id="5"/>
    </w:p>
    <w:tbl>
      <w:tblPr>
        <w:tblStyle w:val="GridTable3-Accent6"/>
        <w:tblW w:w="0" w:type="auto"/>
        <w:tblLook w:val="04A0" w:firstRow="1" w:lastRow="0" w:firstColumn="1" w:lastColumn="0" w:noHBand="0" w:noVBand="1"/>
      </w:tblPr>
      <w:tblGrid>
        <w:gridCol w:w="1857"/>
        <w:gridCol w:w="7169"/>
      </w:tblGrid>
      <w:tr w:rsidR="00722844" w:rsidRPr="00A76FF0" w14:paraId="1A4BC478" w14:textId="77777777" w:rsidTr="00247C92">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5D6E0609" w14:textId="77777777" w:rsidR="00722844" w:rsidRPr="00A76FF0" w:rsidRDefault="00722844" w:rsidP="00AA1EE7">
            <w:pPr>
              <w:spacing w:after="160"/>
            </w:pPr>
            <w:r w:rsidRPr="00A76FF0">
              <w:t>Dimension</w:t>
            </w:r>
          </w:p>
        </w:tc>
        <w:tc>
          <w:tcPr>
            <w:tcW w:w="0" w:type="auto"/>
            <w:hideMark/>
          </w:tcPr>
          <w:p w14:paraId="60EA5F02" w14:textId="77777777" w:rsidR="00722844" w:rsidRPr="00A76FF0" w:rsidRDefault="00722844" w:rsidP="00AA1EE7">
            <w:pPr>
              <w:spacing w:after="160"/>
              <w:cnfStyle w:val="100000000000" w:firstRow="1" w:lastRow="0" w:firstColumn="0" w:lastColumn="0" w:oddVBand="0" w:evenVBand="0" w:oddHBand="0" w:evenHBand="0" w:firstRowFirstColumn="0" w:firstRowLastColumn="0" w:lastRowFirstColumn="0" w:lastRowLastColumn="0"/>
            </w:pPr>
            <w:r w:rsidRPr="00A76FF0">
              <w:t>Relevance for Brazil</w:t>
            </w:r>
          </w:p>
        </w:tc>
      </w:tr>
      <w:tr w:rsidR="00722844" w:rsidRPr="00A76FF0" w14:paraId="24A84C3A"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7BCE2EB" w14:textId="77777777" w:rsidR="00722844" w:rsidRPr="00A76FF0" w:rsidRDefault="00722844" w:rsidP="00AA1EE7">
            <w:pPr>
              <w:spacing w:after="160"/>
            </w:pPr>
            <w:r w:rsidRPr="00A76FF0">
              <w:t>Affordability</w:t>
            </w:r>
          </w:p>
        </w:tc>
        <w:tc>
          <w:tcPr>
            <w:tcW w:w="0" w:type="auto"/>
            <w:hideMark/>
          </w:tcPr>
          <w:p w14:paraId="545A3B78" w14:textId="08119EF7" w:rsidR="00722844" w:rsidRPr="00A76FF0" w:rsidRDefault="00E121D1" w:rsidP="00AA1EE7">
            <w:pPr>
              <w:spacing w:after="160"/>
              <w:cnfStyle w:val="000000100000" w:firstRow="0" w:lastRow="0" w:firstColumn="0" w:lastColumn="0" w:oddVBand="0" w:evenVBand="0" w:oddHBand="1" w:evenHBand="0" w:firstRowFirstColumn="0" w:firstRowLastColumn="0" w:lastRowFirstColumn="0" w:lastRowLastColumn="0"/>
            </w:pPr>
            <w:r w:rsidRPr="00A76FF0">
              <w:t>Brazil has a massive middle class that is extremely price sensitive (IBGE, 2025; World Bank, 2025), and therefore IKEA's low-cost strategy is highly attractive.</w:t>
            </w:r>
          </w:p>
        </w:tc>
      </w:tr>
      <w:tr w:rsidR="00722844" w:rsidRPr="00A76FF0" w14:paraId="756ADEDA"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67811A8B" w14:textId="77777777" w:rsidR="00722844" w:rsidRPr="00A76FF0" w:rsidRDefault="00722844" w:rsidP="00AA1EE7">
            <w:pPr>
              <w:spacing w:after="160"/>
            </w:pPr>
            <w:r w:rsidRPr="00A76FF0">
              <w:t>Accessibility</w:t>
            </w:r>
          </w:p>
        </w:tc>
        <w:tc>
          <w:tcPr>
            <w:tcW w:w="0" w:type="auto"/>
            <w:hideMark/>
          </w:tcPr>
          <w:p w14:paraId="5EE43FA7" w14:textId="27C86AA0" w:rsidR="00722844" w:rsidRPr="00A76FF0" w:rsidRDefault="00E121D1" w:rsidP="00AA1EE7">
            <w:pPr>
              <w:spacing w:after="160"/>
              <w:cnfStyle w:val="000000000000" w:firstRow="0" w:lastRow="0" w:firstColumn="0" w:lastColumn="0" w:oddVBand="0" w:evenVBand="0" w:oddHBand="0" w:evenHBand="0" w:firstRowFirstColumn="0" w:firstRowLastColumn="0" w:lastRowFirstColumn="0" w:lastRowLastColumn="0"/>
            </w:pPr>
            <w:r w:rsidRPr="00A76FF0">
              <w:t>Urbanization concentration in São Paulo and Rio de Janeiro makes digital channels and compact store formats more attractive that enable greater convenience (Reuters, 2025; Veiga, 2024).</w:t>
            </w:r>
          </w:p>
        </w:tc>
      </w:tr>
      <w:tr w:rsidR="00722844" w:rsidRPr="00A76FF0" w14:paraId="79F7D704"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454B2" w14:textId="77777777" w:rsidR="00722844" w:rsidRPr="00A76FF0" w:rsidRDefault="00722844" w:rsidP="00AA1EE7">
            <w:pPr>
              <w:spacing w:after="160"/>
            </w:pPr>
            <w:r w:rsidRPr="00A76FF0">
              <w:t>Sustainability</w:t>
            </w:r>
          </w:p>
        </w:tc>
        <w:tc>
          <w:tcPr>
            <w:tcW w:w="0" w:type="auto"/>
            <w:hideMark/>
          </w:tcPr>
          <w:p w14:paraId="7B62021C" w14:textId="2231B3D8" w:rsidR="00722844" w:rsidRPr="00A76FF0" w:rsidRDefault="00E121D1" w:rsidP="00AA1EE7">
            <w:pPr>
              <w:spacing w:after="160"/>
              <w:cnfStyle w:val="000000100000" w:firstRow="0" w:lastRow="0" w:firstColumn="0" w:lastColumn="0" w:oddVBand="0" w:evenVBand="0" w:oddHBand="1" w:evenHBand="0" w:firstRowFirstColumn="0" w:firstRowLastColumn="0" w:lastRowFirstColumn="0" w:lastRowLastColumn="0"/>
            </w:pPr>
            <w:r w:rsidRPr="00A76FF0">
              <w:t>Environmental awareness among Brazilian customers is on the rise, and IKEA's transparency regarding its sustainability reports contributes to building consumer confidence (</w:t>
            </w:r>
            <w:proofErr w:type="spellStart"/>
            <w:r w:rsidRPr="00A76FF0">
              <w:t>Filgueira</w:t>
            </w:r>
            <w:proofErr w:type="spellEnd"/>
            <w:r w:rsidRPr="00A76FF0">
              <w:t xml:space="preserve"> and Norden, 2025; OECD, 2022).</w:t>
            </w:r>
          </w:p>
        </w:tc>
      </w:tr>
      <w:tr w:rsidR="00722844" w:rsidRPr="00A76FF0" w14:paraId="6C6A4356"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3400B58E" w14:textId="77777777" w:rsidR="00722844" w:rsidRPr="00A76FF0" w:rsidRDefault="00722844" w:rsidP="00AA1EE7">
            <w:pPr>
              <w:spacing w:after="160"/>
            </w:pPr>
            <w:r w:rsidRPr="00A76FF0">
              <w:t>Design and Functionality</w:t>
            </w:r>
          </w:p>
        </w:tc>
        <w:tc>
          <w:tcPr>
            <w:tcW w:w="0" w:type="auto"/>
            <w:hideMark/>
          </w:tcPr>
          <w:p w14:paraId="1A41E13B" w14:textId="134F07A3" w:rsidR="00722844" w:rsidRPr="00A76FF0" w:rsidRDefault="00E121D1" w:rsidP="00AA1EE7">
            <w:pPr>
              <w:spacing w:after="160"/>
              <w:cnfStyle w:val="000000000000" w:firstRow="0" w:lastRow="0" w:firstColumn="0" w:lastColumn="0" w:oddVBand="0" w:evenVBand="0" w:oddHBand="0" w:evenHBand="0" w:firstRowFirstColumn="0" w:firstRowLastColumn="0" w:lastRowFirstColumn="0" w:lastRowLastColumn="0"/>
            </w:pPr>
            <w:r w:rsidRPr="00A76FF0">
              <w:t>Urban homes increasingly need modern and space-saving furniture, and IKEA's line of products becomes more relevant (IMARC Group, 2024; Grand View Research, 2025).</w:t>
            </w:r>
          </w:p>
        </w:tc>
      </w:tr>
    </w:tbl>
    <w:p w14:paraId="43A62F35" w14:textId="77777777" w:rsidR="00722844" w:rsidRPr="00A76FF0" w:rsidRDefault="00722844" w:rsidP="00AA1EE7">
      <w:pPr>
        <w:pStyle w:val="Heading2"/>
      </w:pPr>
      <w:bookmarkStart w:id="6" w:name="_Toc215223900"/>
      <w:r w:rsidRPr="00A76FF0">
        <w:t>Relevance to Emerging Markets and Brazil</w:t>
      </w:r>
      <w:bookmarkEnd w:id="6"/>
    </w:p>
    <w:p w14:paraId="596DCC8F" w14:textId="21C4B8A1" w:rsidR="00722844" w:rsidRPr="00A76FF0" w:rsidRDefault="00E121D1" w:rsidP="00AA1EE7">
      <w:r w:rsidRPr="00A76FF0">
        <w:t xml:space="preserve">Brazil is both an opportunity and a challenge for IKEA. It has over 200 million people, a median age of 33 years, and over 80 percent urbanization (IBGE, 2025). There is a growing demand for contemporary furniture since the market is expecting consistent growth in the furniture market of Brazil up to 2030 due to an increase in disposable incomes and changing lifestyles (Mordor Intelligence, 2025; Grand View Research, 2025). </w:t>
      </w:r>
      <w:r w:rsidR="006E0BE9" w:rsidRPr="00A76FF0">
        <w:t xml:space="preserve">But the tax and regulatory environment </w:t>
      </w:r>
      <w:proofErr w:type="gramStart"/>
      <w:r w:rsidR="006E0BE9" w:rsidRPr="00A76FF0">
        <w:t>remains</w:t>
      </w:r>
      <w:proofErr w:type="gramEnd"/>
      <w:r w:rsidR="006E0BE9" w:rsidRPr="00A76FF0">
        <w:t xml:space="preserve"> complex, requiring prudent strategic control (PwC, 2024; </w:t>
      </w:r>
      <w:proofErr w:type="spellStart"/>
      <w:r w:rsidR="006E0BE9" w:rsidRPr="00A76FF0">
        <w:t>ApexBrasil</w:t>
      </w:r>
      <w:proofErr w:type="spellEnd"/>
      <w:r w:rsidR="006E0BE9" w:rsidRPr="00A76FF0">
        <w:t>, 2025). IKEA's financial strength, sustainability focus, and adaptive forms allow it to exploit such opportunities without crossing Brazil's institutional limits.</w:t>
      </w:r>
    </w:p>
    <w:p w14:paraId="0B696D83" w14:textId="77777777" w:rsidR="00722844" w:rsidRPr="00A76FF0" w:rsidRDefault="00722844" w:rsidP="00AA1EE7">
      <w:pPr>
        <w:pStyle w:val="Heading1"/>
      </w:pPr>
      <w:bookmarkStart w:id="7" w:name="_Toc215223901"/>
      <w:r w:rsidRPr="00A76FF0">
        <w:t>External Audit – Brazilian Market Analysis</w:t>
      </w:r>
      <w:bookmarkEnd w:id="7"/>
    </w:p>
    <w:p w14:paraId="669AFE06" w14:textId="77777777" w:rsidR="00722844" w:rsidRPr="00A76FF0" w:rsidRDefault="00722844" w:rsidP="00AA1EE7">
      <w:pPr>
        <w:pStyle w:val="Heading2"/>
      </w:pPr>
      <w:bookmarkStart w:id="8" w:name="_Toc215223902"/>
      <w:r w:rsidRPr="00A76FF0">
        <w:t>The Role of the External Environment in Strategy</w:t>
      </w:r>
      <w:bookmarkEnd w:id="8"/>
    </w:p>
    <w:p w14:paraId="7B811FEE" w14:textId="48A6B5EF" w:rsidR="00722844" w:rsidRPr="00A76FF0" w:rsidRDefault="006E0BE9" w:rsidP="00AA1EE7">
      <w:r w:rsidRPr="00A76FF0">
        <w:t xml:space="preserve">Strategic choice is influenced by external influences that provide opportunities and threats. Organisations are required to </w:t>
      </w:r>
      <w:proofErr w:type="spellStart"/>
      <w:r w:rsidRPr="00A76FF0">
        <w:t>analyze</w:t>
      </w:r>
      <w:proofErr w:type="spellEnd"/>
      <w:r w:rsidRPr="00A76FF0">
        <w:t xml:space="preserve"> political, economic, social, technological, environmental, </w:t>
      </w:r>
      <w:r w:rsidRPr="00A76FF0">
        <w:lastRenderedPageBreak/>
        <w:t xml:space="preserve">and legal forces in order to match internal capabilities to external forces (Hitt, Ireland and </w:t>
      </w:r>
      <w:proofErr w:type="spellStart"/>
      <w:r w:rsidRPr="00A76FF0">
        <w:t>Hoskisson</w:t>
      </w:r>
      <w:proofErr w:type="spellEnd"/>
      <w:r w:rsidRPr="00A76FF0">
        <w:t>, 2024). For IKEA, understanding the environment of Brazil is crucial for entry strategy and sustainable existence.</w:t>
      </w:r>
    </w:p>
    <w:p w14:paraId="23B2E520" w14:textId="77777777" w:rsidR="00722844" w:rsidRPr="00A76FF0" w:rsidRDefault="00722844" w:rsidP="00AA1EE7">
      <w:pPr>
        <w:pStyle w:val="Heading2"/>
      </w:pPr>
      <w:bookmarkStart w:id="9" w:name="_Toc215223903"/>
      <w:r w:rsidRPr="00A76FF0">
        <w:t>Macro Environment: PESTEL Analysis</w:t>
      </w:r>
      <w:bookmarkEnd w:id="9"/>
    </w:p>
    <w:tbl>
      <w:tblPr>
        <w:tblStyle w:val="GridTable5Dark-Accent1"/>
        <w:tblW w:w="0" w:type="auto"/>
        <w:tblLook w:val="04A0" w:firstRow="1" w:lastRow="0" w:firstColumn="1" w:lastColumn="0" w:noHBand="0" w:noVBand="1"/>
      </w:tblPr>
      <w:tblGrid>
        <w:gridCol w:w="1931"/>
        <w:gridCol w:w="7085"/>
      </w:tblGrid>
      <w:tr w:rsidR="00686762" w:rsidRPr="00A76FF0" w14:paraId="23C162B3" w14:textId="77777777" w:rsidTr="00247C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10CB340" w14:textId="0826A72D" w:rsidR="00686762" w:rsidRPr="00A76FF0" w:rsidRDefault="00686762" w:rsidP="00AA1EE7">
            <w:pPr>
              <w:spacing w:after="160"/>
            </w:pPr>
            <w:r w:rsidRPr="00A76FF0">
              <w:t>Dimension</w:t>
            </w:r>
          </w:p>
        </w:tc>
        <w:tc>
          <w:tcPr>
            <w:tcW w:w="0" w:type="auto"/>
            <w:hideMark/>
          </w:tcPr>
          <w:p w14:paraId="7F4561AF" w14:textId="5E27CAFE" w:rsidR="00686762" w:rsidRPr="00A76FF0" w:rsidRDefault="00686762" w:rsidP="00AA1EE7">
            <w:pPr>
              <w:spacing w:after="160"/>
              <w:cnfStyle w:val="100000000000" w:firstRow="1" w:lastRow="0" w:firstColumn="0" w:lastColumn="0" w:oddVBand="0" w:evenVBand="0" w:oddHBand="0" w:evenHBand="0" w:firstRowFirstColumn="0" w:firstRowLastColumn="0" w:lastRowFirstColumn="0" w:lastRowLastColumn="0"/>
            </w:pPr>
            <w:r w:rsidRPr="00A76FF0">
              <w:t>Assessment for Brazil</w:t>
            </w:r>
          </w:p>
        </w:tc>
      </w:tr>
      <w:tr w:rsidR="00686762" w:rsidRPr="00A76FF0" w14:paraId="62277909"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CF424B3" w14:textId="12159EE5" w:rsidR="00686762" w:rsidRPr="00A76FF0" w:rsidRDefault="00686762" w:rsidP="00AA1EE7">
            <w:pPr>
              <w:spacing w:after="160"/>
            </w:pPr>
            <w:r w:rsidRPr="00A76FF0">
              <w:t>Political and Regulatory</w:t>
            </w:r>
          </w:p>
        </w:tc>
        <w:tc>
          <w:tcPr>
            <w:tcW w:w="0" w:type="auto"/>
            <w:hideMark/>
          </w:tcPr>
          <w:p w14:paraId="4D30BF4B" w14:textId="3D989240" w:rsidR="00686762" w:rsidRPr="00A76FF0" w:rsidRDefault="006E0BE9" w:rsidP="00AA1EE7">
            <w:pPr>
              <w:spacing w:after="160"/>
              <w:cnfStyle w:val="000000100000" w:firstRow="0" w:lastRow="0" w:firstColumn="0" w:lastColumn="0" w:oddVBand="0" w:evenVBand="0" w:oddHBand="1" w:evenHBand="0" w:firstRowFirstColumn="0" w:firstRowLastColumn="0" w:lastRowFirstColumn="0" w:lastRowLastColumn="0"/>
            </w:pPr>
            <w:r w:rsidRPr="00A76FF0">
              <w:t xml:space="preserve">Brazil has adopted policies aimed at boosting investor confidence, crafted in the format of the </w:t>
            </w:r>
            <w:proofErr w:type="spellStart"/>
            <w:r w:rsidRPr="00A76FF0">
              <w:t>ApexBrasil</w:t>
            </w:r>
            <w:proofErr w:type="spellEnd"/>
            <w:r w:rsidRPr="00A76FF0">
              <w:t xml:space="preserve"> legal certainty guide (</w:t>
            </w:r>
            <w:proofErr w:type="spellStart"/>
            <w:r w:rsidRPr="00A76FF0">
              <w:t>ApexBrasil</w:t>
            </w:r>
            <w:proofErr w:type="spellEnd"/>
            <w:r w:rsidRPr="00A76FF0">
              <w:t>, 2025). Tax policy changes such as Law No. 14754/2023 demystified offshore taxation, although structural complexity is still an entry barrier to new players (Mayer Brown, 2024). There is still regulatory uncertainty that calls for careful planning.</w:t>
            </w:r>
          </w:p>
        </w:tc>
      </w:tr>
      <w:tr w:rsidR="00686762" w:rsidRPr="00A76FF0" w14:paraId="12496B32"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1F5B317A" w14:textId="5D942B69" w:rsidR="00686762" w:rsidRPr="00A76FF0" w:rsidRDefault="00686762" w:rsidP="00AA1EE7">
            <w:pPr>
              <w:spacing w:after="160"/>
            </w:pPr>
            <w:r w:rsidRPr="00A76FF0">
              <w:t>Economic</w:t>
            </w:r>
          </w:p>
        </w:tc>
        <w:tc>
          <w:tcPr>
            <w:tcW w:w="0" w:type="auto"/>
            <w:hideMark/>
          </w:tcPr>
          <w:p w14:paraId="0885DBAF" w14:textId="78E4DB9E" w:rsidR="00686762" w:rsidRPr="00A76FF0" w:rsidRDefault="00A969DA"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Brazil has the largest Latin American economy with GDP growth projected to settle in the aftermath of recent global shocks. Article IV consultation of the IMF indicated robust growth and lowering inflation (IMF, 2024). Banco Central do </w:t>
            </w:r>
            <w:proofErr w:type="spellStart"/>
            <w:r w:rsidRPr="00A76FF0">
              <w:t>Brasil</w:t>
            </w:r>
            <w:proofErr w:type="spellEnd"/>
            <w:r w:rsidRPr="00A76FF0">
              <w:t xml:space="preserve"> (2024) concurred with improved control of inflation, whereas OECD (2024) and World Bank (2025) point to reforms increasing resilience. Retail investment prospects are present but uncertainty regarding exchange rates is risky.</w:t>
            </w:r>
          </w:p>
        </w:tc>
      </w:tr>
      <w:tr w:rsidR="00686762" w:rsidRPr="00A76FF0" w14:paraId="0F2B523C"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5A20D7F" w14:textId="2791B59D" w:rsidR="00686762" w:rsidRPr="00A76FF0" w:rsidRDefault="00686762" w:rsidP="00AA1EE7">
            <w:pPr>
              <w:spacing w:after="160"/>
            </w:pPr>
            <w:r w:rsidRPr="00A76FF0">
              <w:t>Social</w:t>
            </w:r>
          </w:p>
        </w:tc>
        <w:tc>
          <w:tcPr>
            <w:tcW w:w="0" w:type="auto"/>
            <w:hideMark/>
          </w:tcPr>
          <w:p w14:paraId="54EC7AAE" w14:textId="6E695261" w:rsidR="00686762" w:rsidRPr="00A76FF0" w:rsidRDefault="00A969DA" w:rsidP="00AA1EE7">
            <w:pPr>
              <w:spacing w:after="160"/>
              <w:cnfStyle w:val="000000100000" w:firstRow="0" w:lastRow="0" w:firstColumn="0" w:lastColumn="0" w:oddVBand="0" w:evenVBand="0" w:oddHBand="1" w:evenHBand="0" w:firstRowFirstColumn="0" w:firstRowLastColumn="0" w:lastRowFirstColumn="0" w:lastRowLastColumn="0"/>
            </w:pPr>
            <w:r w:rsidRPr="00A76FF0">
              <w:t>Brazil has more than 200 million inhabitants, of which more than 80 percent live in urban areas (IBGE, 2025). The median age of 33 indicates a youth-dominated, consumption-focused population. Consumer research discovers consumers are receptive to international brands but still maintain ethnocentric values that emphasize local preference (Ma, Yang and Yoo, 2020). IKEA therefore must balance global identity with local culturalization.</w:t>
            </w:r>
          </w:p>
        </w:tc>
      </w:tr>
      <w:tr w:rsidR="00686762" w:rsidRPr="00A76FF0" w14:paraId="4B4ED2C3"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0BFE864A" w14:textId="2FB01E65" w:rsidR="00686762" w:rsidRPr="00A76FF0" w:rsidRDefault="00686762" w:rsidP="00AA1EE7">
            <w:pPr>
              <w:spacing w:after="160"/>
            </w:pPr>
            <w:r w:rsidRPr="00A76FF0">
              <w:t>Technological</w:t>
            </w:r>
          </w:p>
        </w:tc>
        <w:tc>
          <w:tcPr>
            <w:tcW w:w="0" w:type="auto"/>
            <w:hideMark/>
          </w:tcPr>
          <w:p w14:paraId="3E728B17" w14:textId="21ADD5F1" w:rsidR="00686762" w:rsidRPr="00A76FF0" w:rsidRDefault="00A969DA"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E commerce is expanding very rapidly, with digitalization driving omnichannel shopping. Veiga (2024) refers to strong expansion of the internet, and Mercado Libre invested 5.8 billion USD in Brazilian operations in 2025, confirming the strength of the digital store market (Mercado Libre, 2025; Reuters, 2025). IKEA has the potential to </w:t>
            </w:r>
            <w:r w:rsidRPr="00A76FF0">
              <w:lastRenderedPageBreak/>
              <w:t>leverage this infrastructure to build brand presence before opening up physical stores.</w:t>
            </w:r>
          </w:p>
        </w:tc>
      </w:tr>
      <w:tr w:rsidR="00686762" w:rsidRPr="00A76FF0" w14:paraId="7CC7E80D"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9F861C7" w14:textId="6977A31F" w:rsidR="00686762" w:rsidRPr="00A76FF0" w:rsidRDefault="00686762" w:rsidP="00AA1EE7">
            <w:pPr>
              <w:spacing w:after="160"/>
            </w:pPr>
            <w:r w:rsidRPr="00A76FF0">
              <w:t>Environmental</w:t>
            </w:r>
          </w:p>
        </w:tc>
        <w:tc>
          <w:tcPr>
            <w:tcW w:w="0" w:type="auto"/>
            <w:hideMark/>
          </w:tcPr>
          <w:p w14:paraId="38CBC817" w14:textId="2D76CCF6" w:rsidR="00686762" w:rsidRPr="00A76FF0" w:rsidRDefault="00A969DA" w:rsidP="00AA1EE7">
            <w:pPr>
              <w:spacing w:after="160"/>
              <w:cnfStyle w:val="000000100000" w:firstRow="0" w:lastRow="0" w:firstColumn="0" w:lastColumn="0" w:oddVBand="0" w:evenVBand="0" w:oddHBand="1" w:evenHBand="0" w:firstRowFirstColumn="0" w:firstRowLastColumn="0" w:lastRowFirstColumn="0" w:lastRowLastColumn="0"/>
            </w:pPr>
            <w:r w:rsidRPr="00A76FF0">
              <w:t>Sustainability becomes increasingly vital in Brazil. OECD (2022) identifies governance structures with ESG practices, while IKEA's FY24 Sustainability Report illustrates conformance with such priorities (IKEA, 2025). Ethical procurement is vital in terms of deforestation and wood importation (</w:t>
            </w:r>
            <w:proofErr w:type="spellStart"/>
            <w:r w:rsidRPr="00A76FF0">
              <w:t>OjoPúblico</w:t>
            </w:r>
            <w:proofErr w:type="spellEnd"/>
            <w:r w:rsidRPr="00A76FF0">
              <w:t>, 2024).</w:t>
            </w:r>
          </w:p>
        </w:tc>
      </w:tr>
      <w:tr w:rsidR="00686762" w:rsidRPr="00A76FF0" w14:paraId="03C74FBC"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1C1E48CA" w14:textId="656C3D0A" w:rsidR="00686762" w:rsidRPr="00A76FF0" w:rsidRDefault="00686762" w:rsidP="00AA1EE7">
            <w:pPr>
              <w:spacing w:after="160"/>
            </w:pPr>
            <w:r w:rsidRPr="00A76FF0">
              <w:t>Legal</w:t>
            </w:r>
          </w:p>
        </w:tc>
        <w:tc>
          <w:tcPr>
            <w:tcW w:w="0" w:type="auto"/>
            <w:hideMark/>
          </w:tcPr>
          <w:p w14:paraId="50DB2FD8" w14:textId="4F729514" w:rsidR="00686762" w:rsidRPr="00A76FF0" w:rsidRDefault="006E0BE9" w:rsidP="00AA1EE7">
            <w:pPr>
              <w:spacing w:after="160"/>
              <w:cnfStyle w:val="000000000000" w:firstRow="0" w:lastRow="0" w:firstColumn="0" w:lastColumn="0" w:oddVBand="0" w:evenVBand="0" w:oddHBand="0" w:evenHBand="0" w:firstRowFirstColumn="0" w:firstRowLastColumn="0" w:lastRowFirstColumn="0" w:lastRowLastColumn="0"/>
            </w:pPr>
            <w:r w:rsidRPr="00A76FF0">
              <w:t>Tax complexity is a major issue. PwC (2024) calls such burdens group taxation, which raise compliance costs. Existing reforms will enhance legal clarity and promote investor confidence, but problems will not evaporate.</w:t>
            </w:r>
          </w:p>
        </w:tc>
      </w:tr>
    </w:tbl>
    <w:p w14:paraId="15136874" w14:textId="77777777" w:rsidR="00722844" w:rsidRPr="00A76FF0" w:rsidRDefault="00722844" w:rsidP="00AA1EE7">
      <w:pPr>
        <w:pStyle w:val="Heading2"/>
      </w:pPr>
      <w:bookmarkStart w:id="10" w:name="_Toc215223904"/>
      <w:r w:rsidRPr="00A76FF0">
        <w:t>Industry Analysis: Porter’s Five Forces</w:t>
      </w:r>
      <w:bookmarkEnd w:id="10"/>
    </w:p>
    <w:tbl>
      <w:tblPr>
        <w:tblStyle w:val="GridTable5Dark-Accent6"/>
        <w:tblW w:w="0" w:type="auto"/>
        <w:tblLook w:val="04A0" w:firstRow="1" w:lastRow="0" w:firstColumn="1" w:lastColumn="0" w:noHBand="0" w:noVBand="1"/>
      </w:tblPr>
      <w:tblGrid>
        <w:gridCol w:w="1792"/>
        <w:gridCol w:w="7224"/>
      </w:tblGrid>
      <w:tr w:rsidR="00722844" w:rsidRPr="00A76FF0" w14:paraId="266E1CA0" w14:textId="77777777" w:rsidTr="00247C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49AE81C" w14:textId="77777777" w:rsidR="00722844" w:rsidRPr="00A76FF0" w:rsidRDefault="00722844" w:rsidP="00AA1EE7">
            <w:pPr>
              <w:spacing w:after="160"/>
            </w:pPr>
            <w:r w:rsidRPr="00A76FF0">
              <w:t>Force</w:t>
            </w:r>
          </w:p>
        </w:tc>
        <w:tc>
          <w:tcPr>
            <w:tcW w:w="0" w:type="auto"/>
            <w:hideMark/>
          </w:tcPr>
          <w:p w14:paraId="65C735F6" w14:textId="77777777" w:rsidR="00722844" w:rsidRPr="00A76FF0" w:rsidRDefault="00722844" w:rsidP="00AA1EE7">
            <w:pPr>
              <w:spacing w:after="160"/>
              <w:cnfStyle w:val="100000000000" w:firstRow="1" w:lastRow="0" w:firstColumn="0" w:lastColumn="0" w:oddVBand="0" w:evenVBand="0" w:oddHBand="0" w:evenHBand="0" w:firstRowFirstColumn="0" w:firstRowLastColumn="0" w:lastRowFirstColumn="0" w:lastRowLastColumn="0"/>
            </w:pPr>
            <w:r w:rsidRPr="00A76FF0">
              <w:t>Assessment for Brazilian Furniture and Retail Industry</w:t>
            </w:r>
          </w:p>
        </w:tc>
      </w:tr>
      <w:tr w:rsidR="00722844" w:rsidRPr="00A76FF0" w14:paraId="52CBBF2E"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4CDC12" w14:textId="77777777" w:rsidR="00722844" w:rsidRPr="00A76FF0" w:rsidRDefault="00722844" w:rsidP="00AA1EE7">
            <w:pPr>
              <w:spacing w:after="160"/>
            </w:pPr>
            <w:r w:rsidRPr="00A76FF0">
              <w:t>Rivalry among Competitors</w:t>
            </w:r>
          </w:p>
        </w:tc>
        <w:tc>
          <w:tcPr>
            <w:tcW w:w="0" w:type="auto"/>
            <w:hideMark/>
          </w:tcPr>
          <w:p w14:paraId="44A39659" w14:textId="03A23F0A" w:rsidR="00722844" w:rsidRPr="00A76FF0" w:rsidRDefault="00A969DA" w:rsidP="00AA1EE7">
            <w:pPr>
              <w:spacing w:after="160"/>
              <w:cnfStyle w:val="000000100000" w:firstRow="0" w:lastRow="0" w:firstColumn="0" w:lastColumn="0" w:oddVBand="0" w:evenVBand="0" w:oddHBand="1" w:evenHBand="0" w:firstRowFirstColumn="0" w:firstRowLastColumn="0" w:lastRowFirstColumn="0" w:lastRowLastColumn="0"/>
            </w:pPr>
            <w:r w:rsidRPr="00A76FF0">
              <w:t xml:space="preserve">Competitor rivalry is high, with local competitors like Mobly and Magazine Luiza vying against </w:t>
            </w:r>
            <w:proofErr w:type="spellStart"/>
            <w:r w:rsidRPr="00A76FF0">
              <w:t>Tok&amp;Stok</w:t>
            </w:r>
            <w:proofErr w:type="spellEnd"/>
            <w:r w:rsidRPr="00A76FF0">
              <w:t xml:space="preserve">. Mobly's 2024 report shows strong sales online, while </w:t>
            </w:r>
            <w:proofErr w:type="spellStart"/>
            <w:r w:rsidRPr="00A76FF0">
              <w:t>Magalu</w:t>
            </w:r>
            <w:proofErr w:type="spellEnd"/>
            <w:r w:rsidRPr="00A76FF0">
              <w:t xml:space="preserve"> develops omnichannel capabilities (Mobly, 2025; </w:t>
            </w:r>
            <w:proofErr w:type="spellStart"/>
            <w:r w:rsidRPr="00A76FF0">
              <w:t>Magalu</w:t>
            </w:r>
            <w:proofErr w:type="spellEnd"/>
            <w:r w:rsidRPr="00A76FF0">
              <w:t xml:space="preserve">, 2025). </w:t>
            </w:r>
            <w:r w:rsidR="001A0535" w:rsidRPr="00A76FF0">
              <w:t>Competitor rivalry will put pressure on IKEA to differentiate based on price, design, and sustainability.</w:t>
            </w:r>
          </w:p>
        </w:tc>
      </w:tr>
      <w:tr w:rsidR="00722844" w:rsidRPr="00A76FF0" w14:paraId="1F29207D"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6D72224C" w14:textId="77777777" w:rsidR="00722844" w:rsidRPr="00A76FF0" w:rsidRDefault="00722844" w:rsidP="00AA1EE7">
            <w:pPr>
              <w:spacing w:after="160"/>
            </w:pPr>
            <w:r w:rsidRPr="00A76FF0">
              <w:t>Threat of New Entrants</w:t>
            </w:r>
          </w:p>
        </w:tc>
        <w:tc>
          <w:tcPr>
            <w:tcW w:w="0" w:type="auto"/>
            <w:hideMark/>
          </w:tcPr>
          <w:p w14:paraId="4E9AAE9A" w14:textId="55DCA2FA" w:rsidR="00722844" w:rsidRPr="00A76FF0" w:rsidRDefault="00A969DA"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Entry barriers are moderate. Investment is attracted by Brazil's large market but repelled by expensive setup, taxation, and logistics complexities (PwC, 2024; </w:t>
            </w:r>
            <w:proofErr w:type="spellStart"/>
            <w:r w:rsidRPr="00A76FF0">
              <w:t>ApexBrasil</w:t>
            </w:r>
            <w:proofErr w:type="spellEnd"/>
            <w:r w:rsidRPr="00A76FF0">
              <w:t xml:space="preserve">, 2025). </w:t>
            </w:r>
            <w:r w:rsidR="00C00060" w:rsidRPr="00A76FF0">
              <w:t>The size of IKEA reduces these barriers, although it would be challenging for small businesses.</w:t>
            </w:r>
          </w:p>
        </w:tc>
      </w:tr>
      <w:tr w:rsidR="00722844" w:rsidRPr="00A76FF0" w14:paraId="6F7D2D9A"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7D02D63" w14:textId="77777777" w:rsidR="00722844" w:rsidRPr="00A76FF0" w:rsidRDefault="00722844" w:rsidP="00AA1EE7">
            <w:pPr>
              <w:spacing w:after="160"/>
            </w:pPr>
            <w:r w:rsidRPr="00A76FF0">
              <w:t>Threat of Substitutes</w:t>
            </w:r>
          </w:p>
        </w:tc>
        <w:tc>
          <w:tcPr>
            <w:tcW w:w="0" w:type="auto"/>
            <w:hideMark/>
          </w:tcPr>
          <w:p w14:paraId="5869D780" w14:textId="0A4EBFE0" w:rsidR="00722844" w:rsidRPr="00A76FF0" w:rsidRDefault="009B4EC8" w:rsidP="00AA1EE7">
            <w:pPr>
              <w:spacing w:after="160"/>
              <w:cnfStyle w:val="000000100000" w:firstRow="0" w:lastRow="0" w:firstColumn="0" w:lastColumn="0" w:oddVBand="0" w:evenVBand="0" w:oddHBand="1" w:evenHBand="0" w:firstRowFirstColumn="0" w:firstRowLastColumn="0" w:lastRowFirstColumn="0" w:lastRowLastColumn="0"/>
            </w:pPr>
            <w:r w:rsidRPr="00A76FF0">
              <w:t>Substitution threat is high since customers are more likely to buy from local woodworkers, workshops, or websites (Sousa et al., 2021). Expansion of digital retailing provides dynamic substitutes, enhancing competition.</w:t>
            </w:r>
          </w:p>
        </w:tc>
      </w:tr>
      <w:tr w:rsidR="00722844" w:rsidRPr="00A76FF0" w14:paraId="3FC9AFF3" w14:textId="77777777" w:rsidTr="00247C92">
        <w:tc>
          <w:tcPr>
            <w:cnfStyle w:val="001000000000" w:firstRow="0" w:lastRow="0" w:firstColumn="1" w:lastColumn="0" w:oddVBand="0" w:evenVBand="0" w:oddHBand="0" w:evenHBand="0" w:firstRowFirstColumn="0" w:firstRowLastColumn="0" w:lastRowFirstColumn="0" w:lastRowLastColumn="0"/>
            <w:tcW w:w="0" w:type="auto"/>
            <w:hideMark/>
          </w:tcPr>
          <w:p w14:paraId="304B6090" w14:textId="77777777" w:rsidR="00722844" w:rsidRPr="00A76FF0" w:rsidRDefault="00722844" w:rsidP="00AA1EE7">
            <w:pPr>
              <w:spacing w:after="160"/>
            </w:pPr>
            <w:r w:rsidRPr="00A76FF0">
              <w:t>Buyer Power</w:t>
            </w:r>
          </w:p>
        </w:tc>
        <w:tc>
          <w:tcPr>
            <w:tcW w:w="0" w:type="auto"/>
            <w:hideMark/>
          </w:tcPr>
          <w:p w14:paraId="56C43247" w14:textId="61553491" w:rsidR="00722844" w:rsidRPr="00A76FF0" w:rsidRDefault="009B4EC8"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Price sensitivity is also extremely high with Brazilian consumers, especially the middle-class target segment targeted by IKEA (IBGE, 2025). Ethnocentrism can impact brand selection but cultural adaptation </w:t>
            </w:r>
            <w:r w:rsidRPr="00A76FF0">
              <w:lastRenderedPageBreak/>
              <w:t>will assist foreign retailers in achieving success (Ma, Yang and Yoo, 2020).</w:t>
            </w:r>
            <w:r w:rsidR="00383BD2" w:rsidRPr="00A76FF0">
              <w:t xml:space="preserve"> Buyer power is moderate due to fast-changing tastes.</w:t>
            </w:r>
          </w:p>
        </w:tc>
      </w:tr>
      <w:tr w:rsidR="00722844" w:rsidRPr="00A76FF0" w14:paraId="50B0D845" w14:textId="77777777" w:rsidTr="00247C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76FD52B" w14:textId="77777777" w:rsidR="00722844" w:rsidRPr="00A76FF0" w:rsidRDefault="00722844" w:rsidP="00AA1EE7">
            <w:pPr>
              <w:spacing w:after="160"/>
            </w:pPr>
            <w:r w:rsidRPr="00A76FF0">
              <w:t>Supplier Power</w:t>
            </w:r>
          </w:p>
        </w:tc>
        <w:tc>
          <w:tcPr>
            <w:tcW w:w="0" w:type="auto"/>
            <w:hideMark/>
          </w:tcPr>
          <w:p w14:paraId="5851AEEE" w14:textId="622ED65B" w:rsidR="00722844" w:rsidRPr="00A76FF0" w:rsidRDefault="00383BD2" w:rsidP="00AA1EE7">
            <w:pPr>
              <w:spacing w:after="160"/>
              <w:cnfStyle w:val="000000100000" w:firstRow="0" w:lastRow="0" w:firstColumn="0" w:lastColumn="0" w:oddVBand="0" w:evenVBand="0" w:oddHBand="1" w:evenHBand="0" w:firstRowFirstColumn="0" w:firstRowLastColumn="0" w:lastRowFirstColumn="0" w:lastRowLastColumn="0"/>
            </w:pPr>
            <w:r w:rsidRPr="00A76FF0">
              <w:t>Supplier power is medium to high, particularly for timber and raw materials. Timber import inspection linked to deforestation increases dependence on certified suppliers (</w:t>
            </w:r>
            <w:proofErr w:type="spellStart"/>
            <w:r w:rsidRPr="00A76FF0">
              <w:t>OjoPúblico</w:t>
            </w:r>
            <w:proofErr w:type="spellEnd"/>
            <w:r w:rsidRPr="00A76FF0">
              <w:t>, 2024). Geographical location high logistics costs emphasize the need for local sourcing partnerships (Prologis Research, 2025).</w:t>
            </w:r>
          </w:p>
        </w:tc>
      </w:tr>
    </w:tbl>
    <w:p w14:paraId="789A2098" w14:textId="77777777" w:rsidR="00722844" w:rsidRPr="00A76FF0" w:rsidRDefault="00722844" w:rsidP="00AA1EE7">
      <w:pPr>
        <w:pStyle w:val="Heading2"/>
      </w:pPr>
      <w:bookmarkStart w:id="11" w:name="_Toc215223905"/>
      <w:r w:rsidRPr="00A76FF0">
        <w:t>Key Issues and Opportunities</w:t>
      </w:r>
      <w:bookmarkEnd w:id="11"/>
    </w:p>
    <w:p w14:paraId="3A7E1879" w14:textId="77777777" w:rsidR="00706567" w:rsidRPr="00A76FF0" w:rsidRDefault="00706567" w:rsidP="00706567">
      <w:r w:rsidRPr="00A76FF0">
        <w:t>The analysis identifies some key problems. Politically, regulatory uncertainty and intricate taxation are barriers to entry, yet reforms are enhancing transparency (</w:t>
      </w:r>
      <w:proofErr w:type="spellStart"/>
      <w:r w:rsidRPr="00A76FF0">
        <w:t>ApexBrasil</w:t>
      </w:r>
      <w:proofErr w:type="spellEnd"/>
      <w:r w:rsidRPr="00A76FF0">
        <w:t xml:space="preserve">, 2025; Mayer Brown, 2024). Economically, the resilience of Brazil and sizeable urban consumer market hold long-term growth opportunities, though exchange rate volatility poses a risk (IMF, 2024; World Bank, 2025). Socially, the young and urban customer base generates high need for contemporary home solutions, but ethnocentrism of consumers means that local cultural tastes need to be included by IKEA (Ma, Yang and Yoo, 2020). Technologically, Brazil's online business environment is expanding rapidly, providing avenues for digital access (Veiga, 2024; Mercado Libre, 2025). Environmentally, sustainable practices are necessary with respect to stringent natural constraints, particularly in forestry sourcing (OECD, 2022; </w:t>
      </w:r>
      <w:proofErr w:type="spellStart"/>
      <w:r w:rsidRPr="00A76FF0">
        <w:t>OjoPúblico</w:t>
      </w:r>
      <w:proofErr w:type="spellEnd"/>
      <w:r w:rsidRPr="00A76FF0">
        <w:t>, 2024). Legally, the complexity of taxation presents cost and risk but reforms suggest betterment (PwC, 2024).</w:t>
      </w:r>
    </w:p>
    <w:p w14:paraId="1F01E629" w14:textId="127D9F92" w:rsidR="00722844" w:rsidRPr="00A76FF0" w:rsidRDefault="00706567" w:rsidP="00706567">
      <w:r w:rsidRPr="00A76FF0">
        <w:t>For IKEA, the external environment brings opportunities of size, expansion over the internet, and congruence with sustainability, but threats on the ground include taxation, supplier availability, and stiff competition. Strategic success will lie in capitalizing on the global strength of IKEA to respond effectively to the complex but promising retail environment in Brazil.</w:t>
      </w:r>
    </w:p>
    <w:p w14:paraId="21BFDAE2" w14:textId="77777777" w:rsidR="00722844" w:rsidRPr="00A76FF0" w:rsidRDefault="00722844" w:rsidP="00AA1EE7">
      <w:pPr>
        <w:pStyle w:val="Heading1"/>
      </w:pPr>
      <w:bookmarkStart w:id="12" w:name="_Toc215223906"/>
      <w:r w:rsidRPr="00A76FF0">
        <w:t>Internal Audit – IKEA Resources and Capabilities</w:t>
      </w:r>
      <w:bookmarkEnd w:id="12"/>
    </w:p>
    <w:p w14:paraId="7CE896F4" w14:textId="7DFC35E0" w:rsidR="00286530" w:rsidRPr="00A76FF0" w:rsidRDefault="0035395E" w:rsidP="00286530">
      <w:r w:rsidRPr="00A76FF0">
        <w:t xml:space="preserve">The internal environment is the organisational in-house structure, resources, culture, and capabilities collectively determining its strategic potential (Hitt, Ireland and </w:t>
      </w:r>
      <w:proofErr w:type="spellStart"/>
      <w:r w:rsidRPr="00A76FF0">
        <w:t>Hoskisson</w:t>
      </w:r>
      <w:proofErr w:type="spellEnd"/>
      <w:r w:rsidRPr="00A76FF0">
        <w:t xml:space="preserve">, 2024). It includes tangible assets such as operating systems and financial resources, and intangible resources such as brand equity, leadership, and innovation. Measurement of the internal environment is necessary to determine sources of sustainable competitive advantage and match organisational strengths with external environment opportunities (Grant, 2021). To IKEA, the </w:t>
      </w:r>
      <w:r w:rsidRPr="00A76FF0">
        <w:lastRenderedPageBreak/>
        <w:t>understanding of the internal environment gives it the basis on which to determine how its global capabilities and distinctive competencies can be harmonized in the Brazilian market in a way that ensures successful international expansion.</w:t>
      </w:r>
    </w:p>
    <w:p w14:paraId="583CC779" w14:textId="77777777" w:rsidR="00722844" w:rsidRPr="00A76FF0" w:rsidRDefault="00722844" w:rsidP="00AA1EE7">
      <w:pPr>
        <w:pStyle w:val="Heading2"/>
      </w:pPr>
      <w:bookmarkStart w:id="13" w:name="_Toc215223907"/>
      <w:r w:rsidRPr="00A76FF0">
        <w:t>Resource Based View</w:t>
      </w:r>
      <w:bookmarkEnd w:id="13"/>
    </w:p>
    <w:p w14:paraId="6E097E36" w14:textId="77777777" w:rsidR="0035395E" w:rsidRPr="00A76FF0" w:rsidRDefault="0035395E" w:rsidP="0035395E">
      <w:r w:rsidRPr="00A76FF0">
        <w:t>Resource Based View posits that companies gain long-term competitive advantage by utilizing distinctive resources and capabilities that are valuable, scarce, hard to replicate, and organized (Grant, 2021). IKEA has a solid foundation of tangible and intangible resources that enable global competitiveness.</w:t>
      </w:r>
    </w:p>
    <w:p w14:paraId="7D3BDDE4" w14:textId="77777777" w:rsidR="0035395E" w:rsidRPr="00A76FF0" w:rsidRDefault="0035395E" w:rsidP="0035395E">
      <w:r w:rsidRPr="00A76FF0">
        <w:t xml:space="preserve">Physical assets have a global supply base with over a thousand suppliers spread across different continents, facilitated by best-located distribution </w:t>
      </w:r>
      <w:proofErr w:type="spellStart"/>
      <w:r w:rsidRPr="00A76FF0">
        <w:t>centers</w:t>
      </w:r>
      <w:proofErr w:type="spellEnd"/>
      <w:r w:rsidRPr="00A76FF0">
        <w:t xml:space="preserve"> (Inter IKEA Group, 2024). It has over 450 stores across over 60 countries, giving geographic reach and economies of scale (IKEA, 2025). It is testified by over EUR 44 billion revenues in 2024, which supports ongoing reinvestment in store growth, digitalisation, and sustainability activities (Inter IKEA Group, 2024; Ingka Group, 2024).</w:t>
      </w:r>
    </w:p>
    <w:p w14:paraId="11CC45B8" w14:textId="7CBC72D4" w:rsidR="00722844" w:rsidRPr="00A76FF0" w:rsidRDefault="0035395E" w:rsidP="0035395E">
      <w:r w:rsidRPr="00A76FF0">
        <w:t xml:space="preserve">Intangible assets are also crucial. IKEA's brand is well recognized across the world as a promise of affordability and Swedish design with a proven consumer trust based on consistent delivery of value propositions (IKEA, 2025). Company culture is focused on cost awareness, sustainability, and innovation that is aligned with long term strategic goals (Hitt, Ireland and </w:t>
      </w:r>
      <w:proofErr w:type="spellStart"/>
      <w:r w:rsidRPr="00A76FF0">
        <w:t>Hoskisson</w:t>
      </w:r>
      <w:proofErr w:type="spellEnd"/>
      <w:r w:rsidRPr="00A76FF0">
        <w:t>, 2024). IKEA also has a high design competence, with over 2,000 new product launches every year, to remain relevant to changing consumer tastes (IKEA, 2025).</w:t>
      </w:r>
    </w:p>
    <w:p w14:paraId="649B4C27" w14:textId="77777777" w:rsidR="00722844" w:rsidRPr="00A76FF0" w:rsidRDefault="00722844" w:rsidP="00AA1EE7">
      <w:pPr>
        <w:pStyle w:val="Heading2"/>
      </w:pPr>
      <w:bookmarkStart w:id="14" w:name="_Toc215223908"/>
      <w:r w:rsidRPr="00A76FF0">
        <w:t>VRIO Analysis</w:t>
      </w:r>
      <w:bookmarkEnd w:id="14"/>
    </w:p>
    <w:p w14:paraId="1A3EE010" w14:textId="738776E8" w:rsidR="00722844" w:rsidRPr="00A76FF0" w:rsidRDefault="00722844" w:rsidP="00AA1EE7">
      <w:r w:rsidRPr="00A76FF0">
        <w:t>The VRIO analysis indicates that IKEA’s most defensible resources include its global supply chain, store network, brand reputation, and sustainability practices. These resources provide the foundation for sustained competitiveness in new markets such as Brazil</w:t>
      </w:r>
      <w:r w:rsidR="00A76FF0">
        <w:t xml:space="preserve"> (Refer to Appendix </w:t>
      </w:r>
      <w:r w:rsidR="001D1A61">
        <w:t>C</w:t>
      </w:r>
      <w:r w:rsidR="00A76FF0">
        <w:t>)</w:t>
      </w:r>
      <w:r w:rsidRPr="00A76FF0">
        <w:t>.</w:t>
      </w:r>
    </w:p>
    <w:p w14:paraId="79267AB5" w14:textId="77777777" w:rsidR="00722844" w:rsidRPr="00A76FF0" w:rsidRDefault="00722844" w:rsidP="00AA1EE7">
      <w:pPr>
        <w:pStyle w:val="Heading2"/>
      </w:pPr>
      <w:bookmarkStart w:id="15" w:name="_Toc215223909"/>
      <w:r w:rsidRPr="00A76FF0">
        <w:t>Value Chain Analysis</w:t>
      </w:r>
      <w:bookmarkEnd w:id="15"/>
    </w:p>
    <w:tbl>
      <w:tblPr>
        <w:tblStyle w:val="GridTable4-Accent4"/>
        <w:tblW w:w="0" w:type="auto"/>
        <w:tblLook w:val="04A0" w:firstRow="1" w:lastRow="0" w:firstColumn="1" w:lastColumn="0" w:noHBand="0" w:noVBand="1"/>
      </w:tblPr>
      <w:tblGrid>
        <w:gridCol w:w="1542"/>
        <w:gridCol w:w="3102"/>
        <w:gridCol w:w="4372"/>
      </w:tblGrid>
      <w:tr w:rsidR="00722844" w:rsidRPr="00A76FF0" w14:paraId="2E008004" w14:textId="77777777" w:rsidTr="00147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43E7B19" w14:textId="77777777" w:rsidR="00722844" w:rsidRPr="00A76FF0" w:rsidRDefault="00722844" w:rsidP="00AA1EE7">
            <w:pPr>
              <w:spacing w:after="160"/>
            </w:pPr>
            <w:r w:rsidRPr="00A76FF0">
              <w:t>Activity</w:t>
            </w:r>
          </w:p>
        </w:tc>
        <w:tc>
          <w:tcPr>
            <w:tcW w:w="0" w:type="auto"/>
            <w:hideMark/>
          </w:tcPr>
          <w:p w14:paraId="7C0545F8" w14:textId="77777777" w:rsidR="00722844" w:rsidRPr="00A76FF0" w:rsidRDefault="00722844" w:rsidP="00AA1EE7">
            <w:pPr>
              <w:spacing w:after="160"/>
              <w:cnfStyle w:val="100000000000" w:firstRow="1" w:lastRow="0" w:firstColumn="0" w:lastColumn="0" w:oddVBand="0" w:evenVBand="0" w:oddHBand="0" w:evenHBand="0" w:firstRowFirstColumn="0" w:firstRowLastColumn="0" w:lastRowFirstColumn="0" w:lastRowLastColumn="0"/>
            </w:pPr>
            <w:r w:rsidRPr="00A76FF0">
              <w:t>IKEA Practice</w:t>
            </w:r>
          </w:p>
        </w:tc>
        <w:tc>
          <w:tcPr>
            <w:tcW w:w="0" w:type="auto"/>
            <w:hideMark/>
          </w:tcPr>
          <w:p w14:paraId="715A3DC4" w14:textId="77777777" w:rsidR="00722844" w:rsidRPr="00A76FF0" w:rsidRDefault="00722844" w:rsidP="00AA1EE7">
            <w:pPr>
              <w:spacing w:after="160"/>
              <w:cnfStyle w:val="100000000000" w:firstRow="1" w:lastRow="0" w:firstColumn="0" w:lastColumn="0" w:oddVBand="0" w:evenVBand="0" w:oddHBand="0" w:evenHBand="0" w:firstRowFirstColumn="0" w:firstRowLastColumn="0" w:lastRowFirstColumn="0" w:lastRowLastColumn="0"/>
            </w:pPr>
            <w:r w:rsidRPr="00A76FF0">
              <w:t>Relevance to Brazil</w:t>
            </w:r>
          </w:p>
        </w:tc>
      </w:tr>
      <w:tr w:rsidR="00B93C18" w:rsidRPr="00A76FF0" w14:paraId="03939A7C"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43BDE03" w14:textId="77777777" w:rsidR="00B93C18" w:rsidRPr="00A76FF0" w:rsidRDefault="00B93C18" w:rsidP="00B93C18">
            <w:pPr>
              <w:spacing w:after="160"/>
            </w:pPr>
            <w:r w:rsidRPr="00A76FF0">
              <w:t>Inbound Logistics</w:t>
            </w:r>
          </w:p>
        </w:tc>
        <w:tc>
          <w:tcPr>
            <w:tcW w:w="0" w:type="auto"/>
            <w:hideMark/>
          </w:tcPr>
          <w:p w14:paraId="67C0FAA5" w14:textId="080D22F4" w:rsidR="00B93C18" w:rsidRPr="00A76FF0" w:rsidRDefault="00B93C18" w:rsidP="00B93C18">
            <w:pPr>
              <w:spacing w:after="160"/>
              <w:cnfStyle w:val="000000100000" w:firstRow="0" w:lastRow="0" w:firstColumn="0" w:lastColumn="0" w:oddVBand="0" w:evenVBand="0" w:oddHBand="1" w:evenHBand="0" w:firstRowFirstColumn="0" w:firstRowLastColumn="0" w:lastRowFirstColumn="0" w:lastRowLastColumn="0"/>
            </w:pPr>
            <w:r w:rsidRPr="00A76FF0">
              <w:t xml:space="preserve">IKEA sources globally from over a thousand suppliers </w:t>
            </w:r>
            <w:r w:rsidRPr="00A76FF0">
              <w:lastRenderedPageBreak/>
              <w:t>using centralised hubs (Inter IKEA Group, 2024).</w:t>
            </w:r>
          </w:p>
        </w:tc>
        <w:tc>
          <w:tcPr>
            <w:tcW w:w="0" w:type="auto"/>
            <w:hideMark/>
          </w:tcPr>
          <w:p w14:paraId="715C78CF" w14:textId="2FA688FE" w:rsidR="00B93C18" w:rsidRPr="00A76FF0" w:rsidRDefault="00B93C18" w:rsidP="00B93C18">
            <w:pPr>
              <w:spacing w:after="160"/>
              <w:cnfStyle w:val="000000100000" w:firstRow="0" w:lastRow="0" w:firstColumn="0" w:lastColumn="0" w:oddVBand="0" w:evenVBand="0" w:oddHBand="1" w:evenHBand="0" w:firstRowFirstColumn="0" w:firstRowLastColumn="0" w:lastRowFirstColumn="0" w:lastRowLastColumn="0"/>
            </w:pPr>
            <w:r w:rsidRPr="00A76FF0">
              <w:lastRenderedPageBreak/>
              <w:t xml:space="preserve">In Brazil, infrastructure and customs challenges require adaptation (PwC, 2024). Increasing local sourcing will lower costs </w:t>
            </w:r>
            <w:r w:rsidRPr="00A76FF0">
              <w:lastRenderedPageBreak/>
              <w:t>and strengthen supply resilience (</w:t>
            </w:r>
            <w:proofErr w:type="spellStart"/>
            <w:r w:rsidRPr="00A76FF0">
              <w:t>OjoPúblico</w:t>
            </w:r>
            <w:proofErr w:type="spellEnd"/>
            <w:r w:rsidRPr="00A76FF0">
              <w:t>, 2024).</w:t>
            </w:r>
          </w:p>
        </w:tc>
      </w:tr>
      <w:tr w:rsidR="00B93C18" w:rsidRPr="00A76FF0" w14:paraId="760B7165" w14:textId="77777777" w:rsidTr="001476E1">
        <w:tc>
          <w:tcPr>
            <w:cnfStyle w:val="001000000000" w:firstRow="0" w:lastRow="0" w:firstColumn="1" w:lastColumn="0" w:oddVBand="0" w:evenVBand="0" w:oddHBand="0" w:evenHBand="0" w:firstRowFirstColumn="0" w:firstRowLastColumn="0" w:lastRowFirstColumn="0" w:lastRowLastColumn="0"/>
            <w:tcW w:w="0" w:type="auto"/>
            <w:hideMark/>
          </w:tcPr>
          <w:p w14:paraId="509A2F22" w14:textId="77777777" w:rsidR="00B93C18" w:rsidRPr="00A76FF0" w:rsidRDefault="00B93C18" w:rsidP="00B93C18">
            <w:pPr>
              <w:spacing w:after="160"/>
            </w:pPr>
            <w:r w:rsidRPr="00A76FF0">
              <w:t>Operations</w:t>
            </w:r>
          </w:p>
        </w:tc>
        <w:tc>
          <w:tcPr>
            <w:tcW w:w="0" w:type="auto"/>
            <w:hideMark/>
          </w:tcPr>
          <w:p w14:paraId="460F0C02" w14:textId="5DCB8759" w:rsidR="00B93C18" w:rsidRPr="00A76FF0" w:rsidRDefault="00B93C18" w:rsidP="00B93C18">
            <w:pPr>
              <w:spacing w:after="160"/>
              <w:cnfStyle w:val="000000000000" w:firstRow="0" w:lastRow="0" w:firstColumn="0" w:lastColumn="0" w:oddVBand="0" w:evenVBand="0" w:oddHBand="0" w:evenHBand="0" w:firstRowFirstColumn="0" w:firstRowLastColumn="0" w:lastRowFirstColumn="0" w:lastRowLastColumn="0"/>
            </w:pPr>
            <w:r w:rsidRPr="00A76FF0">
              <w:t>IKEA applies scale economies and flat-pack production for efficiency (Grant, 2021).</w:t>
            </w:r>
          </w:p>
        </w:tc>
        <w:tc>
          <w:tcPr>
            <w:tcW w:w="0" w:type="auto"/>
            <w:hideMark/>
          </w:tcPr>
          <w:p w14:paraId="4A4C8EB4" w14:textId="76882027" w:rsidR="00B93C18" w:rsidRPr="00A76FF0" w:rsidRDefault="00B93C18" w:rsidP="00B93C18">
            <w:pPr>
              <w:spacing w:after="160"/>
              <w:cnfStyle w:val="000000000000" w:firstRow="0" w:lastRow="0" w:firstColumn="0" w:lastColumn="0" w:oddVBand="0" w:evenVBand="0" w:oddHBand="0" w:evenHBand="0" w:firstRowFirstColumn="0" w:firstRowLastColumn="0" w:lastRowFirstColumn="0" w:lastRowLastColumn="0"/>
            </w:pPr>
            <w:r w:rsidRPr="00A76FF0">
              <w:t xml:space="preserve">Affordable operations will support low prices for Brazil’s cost-conscious middle class despite taxation complexity (IBGE, 2025; </w:t>
            </w:r>
            <w:proofErr w:type="spellStart"/>
            <w:r w:rsidRPr="00A76FF0">
              <w:t>ApexBrasil</w:t>
            </w:r>
            <w:proofErr w:type="spellEnd"/>
            <w:r w:rsidRPr="00A76FF0">
              <w:t>, 2025).</w:t>
            </w:r>
          </w:p>
        </w:tc>
      </w:tr>
      <w:tr w:rsidR="00B93C18" w:rsidRPr="00A76FF0" w14:paraId="249E11FB"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00A2003" w14:textId="77777777" w:rsidR="00B93C18" w:rsidRPr="00A76FF0" w:rsidRDefault="00B93C18" w:rsidP="00B93C18">
            <w:pPr>
              <w:spacing w:after="160"/>
            </w:pPr>
            <w:r w:rsidRPr="00A76FF0">
              <w:t>Outbound Logistics</w:t>
            </w:r>
          </w:p>
        </w:tc>
        <w:tc>
          <w:tcPr>
            <w:tcW w:w="0" w:type="auto"/>
            <w:hideMark/>
          </w:tcPr>
          <w:p w14:paraId="0F7AD15C" w14:textId="2EC697C6" w:rsidR="00B93C18" w:rsidRPr="00A76FF0" w:rsidRDefault="00B93C18" w:rsidP="00B93C18">
            <w:pPr>
              <w:spacing w:after="160"/>
              <w:cnfStyle w:val="000000100000" w:firstRow="0" w:lastRow="0" w:firstColumn="0" w:lastColumn="0" w:oddVBand="0" w:evenVBand="0" w:oddHBand="1" w:evenHBand="0" w:firstRowFirstColumn="0" w:firstRowLastColumn="0" w:lastRowFirstColumn="0" w:lastRowLastColumn="0"/>
            </w:pPr>
            <w:r w:rsidRPr="00A76FF0">
              <w:t>Distribution integrates warehousing and digital logistics systems (Ingka Group, 2024).</w:t>
            </w:r>
          </w:p>
        </w:tc>
        <w:tc>
          <w:tcPr>
            <w:tcW w:w="0" w:type="auto"/>
            <w:hideMark/>
          </w:tcPr>
          <w:p w14:paraId="75BE67B9" w14:textId="4A8E4E0E" w:rsidR="00B93C18" w:rsidRPr="00A76FF0" w:rsidRDefault="00B93C18" w:rsidP="00B93C18">
            <w:pPr>
              <w:spacing w:after="160"/>
              <w:cnfStyle w:val="000000100000" w:firstRow="0" w:lastRow="0" w:firstColumn="0" w:lastColumn="0" w:oddVBand="0" w:evenVBand="0" w:oddHBand="1" w:evenHBand="0" w:firstRowFirstColumn="0" w:firstRowLastColumn="0" w:lastRowFirstColumn="0" w:lastRowLastColumn="0"/>
            </w:pPr>
            <w:r w:rsidRPr="00A76FF0">
              <w:t>Brazil’s vast geography necessitates regional hubs to sustain delivery efficiency (Prologis Research, 2025).</w:t>
            </w:r>
          </w:p>
        </w:tc>
      </w:tr>
      <w:tr w:rsidR="00B93C18" w:rsidRPr="00A76FF0" w14:paraId="6473A2D9" w14:textId="77777777" w:rsidTr="001476E1">
        <w:tc>
          <w:tcPr>
            <w:cnfStyle w:val="001000000000" w:firstRow="0" w:lastRow="0" w:firstColumn="1" w:lastColumn="0" w:oddVBand="0" w:evenVBand="0" w:oddHBand="0" w:evenHBand="0" w:firstRowFirstColumn="0" w:firstRowLastColumn="0" w:lastRowFirstColumn="0" w:lastRowLastColumn="0"/>
            <w:tcW w:w="0" w:type="auto"/>
            <w:hideMark/>
          </w:tcPr>
          <w:p w14:paraId="5F2481B4" w14:textId="77777777" w:rsidR="00B93C18" w:rsidRPr="00A76FF0" w:rsidRDefault="00B93C18" w:rsidP="00B93C18">
            <w:pPr>
              <w:spacing w:after="160"/>
            </w:pPr>
            <w:r w:rsidRPr="00A76FF0">
              <w:t>Marketing and Sales</w:t>
            </w:r>
          </w:p>
        </w:tc>
        <w:tc>
          <w:tcPr>
            <w:tcW w:w="0" w:type="auto"/>
            <w:hideMark/>
          </w:tcPr>
          <w:p w14:paraId="1690C716" w14:textId="74EF45D7" w:rsidR="00B93C18" w:rsidRPr="00A76FF0" w:rsidRDefault="00B93C18" w:rsidP="00B93C18">
            <w:pPr>
              <w:spacing w:after="160"/>
              <w:cnfStyle w:val="000000000000" w:firstRow="0" w:lastRow="0" w:firstColumn="0" w:lastColumn="0" w:oddVBand="0" w:evenVBand="0" w:oddHBand="0" w:evenHBand="0" w:firstRowFirstColumn="0" w:firstRowLastColumn="0" w:lastRowFirstColumn="0" w:lastRowLastColumn="0"/>
            </w:pPr>
            <w:r w:rsidRPr="00A76FF0">
              <w:t>IKEA promotes affordability, design, and sustainability through digital platforms (IKEA, 2025).</w:t>
            </w:r>
          </w:p>
        </w:tc>
        <w:tc>
          <w:tcPr>
            <w:tcW w:w="0" w:type="auto"/>
            <w:hideMark/>
          </w:tcPr>
          <w:p w14:paraId="4B3251A9" w14:textId="224DC5E5" w:rsidR="00B93C18" w:rsidRPr="00A76FF0" w:rsidRDefault="00B93C18" w:rsidP="00B93C18">
            <w:pPr>
              <w:spacing w:after="160"/>
              <w:cnfStyle w:val="000000000000" w:firstRow="0" w:lastRow="0" w:firstColumn="0" w:lastColumn="0" w:oddVBand="0" w:evenVBand="0" w:oddHBand="0" w:evenHBand="0" w:firstRowFirstColumn="0" w:firstRowLastColumn="0" w:lastRowFirstColumn="0" w:lastRowLastColumn="0"/>
            </w:pPr>
            <w:r w:rsidRPr="00A76FF0">
              <w:t>Messaging should adapt to Brazilian cultural preferences while appealing to value-driven consumers (Ma, Yang and Yoo, 2020).</w:t>
            </w:r>
          </w:p>
        </w:tc>
      </w:tr>
      <w:tr w:rsidR="00B93C18" w:rsidRPr="00A76FF0" w14:paraId="25841D1E"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3B5299" w14:textId="77777777" w:rsidR="00B93C18" w:rsidRPr="00A76FF0" w:rsidRDefault="00B93C18" w:rsidP="00B93C18">
            <w:pPr>
              <w:spacing w:after="160"/>
            </w:pPr>
            <w:r w:rsidRPr="00A76FF0">
              <w:t>Service</w:t>
            </w:r>
          </w:p>
        </w:tc>
        <w:tc>
          <w:tcPr>
            <w:tcW w:w="0" w:type="auto"/>
            <w:hideMark/>
          </w:tcPr>
          <w:p w14:paraId="55DC8369" w14:textId="4A67B1E3" w:rsidR="00B93C18" w:rsidRPr="00A76FF0" w:rsidRDefault="00B93C18" w:rsidP="00B93C18">
            <w:pPr>
              <w:spacing w:after="160"/>
              <w:cnfStyle w:val="000000100000" w:firstRow="0" w:lastRow="0" w:firstColumn="0" w:lastColumn="0" w:oddVBand="0" w:evenVBand="0" w:oddHBand="1" w:evenHBand="0" w:firstRowFirstColumn="0" w:firstRowLastColumn="0" w:lastRowFirstColumn="0" w:lastRowLastColumn="0"/>
            </w:pPr>
            <w:r w:rsidRPr="00A76FF0">
              <w:t>IKEA emphasises self-service supported by guides and return policies (Ingka Group, 2024).</w:t>
            </w:r>
          </w:p>
        </w:tc>
        <w:tc>
          <w:tcPr>
            <w:tcW w:w="0" w:type="auto"/>
            <w:hideMark/>
          </w:tcPr>
          <w:p w14:paraId="07AA2618" w14:textId="7985F15B" w:rsidR="00B93C18" w:rsidRPr="00A76FF0" w:rsidRDefault="00B93C18" w:rsidP="00B93C18">
            <w:pPr>
              <w:spacing w:after="160"/>
              <w:cnfStyle w:val="000000100000" w:firstRow="0" w:lastRow="0" w:firstColumn="0" w:lastColumn="0" w:oddVBand="0" w:evenVBand="0" w:oddHBand="1" w:evenHBand="0" w:firstRowFirstColumn="0" w:firstRowLastColumn="0" w:lastRowFirstColumn="0" w:lastRowLastColumn="0"/>
            </w:pPr>
            <w:r w:rsidRPr="00A76FF0">
              <w:t>High service expectations in Brazil require expanded delivery and assembly options (Sousa et al., 2021).</w:t>
            </w:r>
          </w:p>
        </w:tc>
      </w:tr>
    </w:tbl>
    <w:p w14:paraId="23EC29DF" w14:textId="77777777" w:rsidR="00722844" w:rsidRPr="00A76FF0" w:rsidRDefault="00722844" w:rsidP="00AA1EE7">
      <w:pPr>
        <w:pStyle w:val="Heading2"/>
      </w:pPr>
      <w:bookmarkStart w:id="16" w:name="_Toc215223910"/>
      <w:r w:rsidRPr="00A76FF0">
        <w:t>Linking Strengths to Brazil’s Market</w:t>
      </w:r>
      <w:bookmarkEnd w:id="16"/>
    </w:p>
    <w:p w14:paraId="79789EE8" w14:textId="3728870C" w:rsidR="00722844" w:rsidRPr="00A76FF0" w:rsidRDefault="00722844" w:rsidP="00AA1EE7">
      <w:r w:rsidRPr="00A76FF0">
        <w:t xml:space="preserve">IKEA’s global resources align well with Brazil’s opportunities. The company’s cost leadership and scale directly address Brazil’s large price sensitive middle class (IBGE, 2025). The strong brand reputation and design capabilities support entry into urban markets where demand for modern space saving furniture is growing (Grand View Research, 2025). Sustainability practices also align with increasing regulatory and consumer focus on environmental responsibility in Brazil (OECD, 2022; </w:t>
      </w:r>
      <w:proofErr w:type="spellStart"/>
      <w:r w:rsidRPr="00A76FF0">
        <w:t>Filgueira</w:t>
      </w:r>
      <w:proofErr w:type="spellEnd"/>
      <w:r w:rsidRPr="00A76FF0">
        <w:t xml:space="preserve"> and Norden, 2025).</w:t>
      </w:r>
    </w:p>
    <w:p w14:paraId="23751EA6" w14:textId="77777777" w:rsidR="00722844" w:rsidRPr="00A76FF0" w:rsidRDefault="00722844" w:rsidP="00AA1EE7">
      <w:pPr>
        <w:pStyle w:val="Heading2"/>
      </w:pPr>
      <w:bookmarkStart w:id="17" w:name="_Toc215223911"/>
      <w:r w:rsidRPr="00A76FF0">
        <w:t>Gaps and Challenges</w:t>
      </w:r>
      <w:bookmarkEnd w:id="17"/>
    </w:p>
    <w:p w14:paraId="5F257D3A" w14:textId="65E5C42B" w:rsidR="00722844" w:rsidRPr="00A76FF0" w:rsidRDefault="006D3CDA" w:rsidP="00AA1EE7">
      <w:r w:rsidRPr="00A76FF0">
        <w:t xml:space="preserve">There are challenges to these strengths. The tax system in Brazil is complex and increases compliance costs (PwC, 2024). There may be gaps in logistics infrastructure that could lengthen lead times and supply chain expenses (Prologis Research, 2025). Ethnocentrism on the part of consumers could restrict foreign brand acceptability unless IKEA proves local adaptation (Ma, Yang and Yoo, 2020). Moreover, service expectations in Brazil could </w:t>
      </w:r>
      <w:r w:rsidRPr="00A76FF0">
        <w:lastRenderedPageBreak/>
        <w:t>necessitate more emphasis on home delivery and assembly that breaks from IKEA's conventional self-service standard (Sousa et al., 2021). Closing these gaps will be paramount to sustainable market entry.</w:t>
      </w:r>
    </w:p>
    <w:p w14:paraId="236C2C3D" w14:textId="77777777" w:rsidR="00350319" w:rsidRPr="00A76FF0" w:rsidRDefault="00350319" w:rsidP="00AA1EE7">
      <w:pPr>
        <w:pStyle w:val="Heading1"/>
      </w:pPr>
      <w:bookmarkStart w:id="18" w:name="_Toc215223912"/>
      <w:r w:rsidRPr="00A76FF0">
        <w:t>Strategy Formulation</w:t>
      </w:r>
      <w:bookmarkEnd w:id="18"/>
    </w:p>
    <w:p w14:paraId="07E9DECE" w14:textId="77777777" w:rsidR="00350319" w:rsidRPr="00A76FF0" w:rsidRDefault="00350319" w:rsidP="00AA1EE7">
      <w:pPr>
        <w:pStyle w:val="Heading2"/>
      </w:pPr>
      <w:bookmarkStart w:id="19" w:name="_Toc215223913"/>
      <w:r w:rsidRPr="00A76FF0">
        <w:t>Defining Strategy Formulation</w:t>
      </w:r>
      <w:bookmarkEnd w:id="19"/>
    </w:p>
    <w:p w14:paraId="7243B08F" w14:textId="254228BC" w:rsidR="00350319" w:rsidRPr="00A76FF0" w:rsidRDefault="006D3CDA" w:rsidP="00AA1EE7">
      <w:r w:rsidRPr="00A76FF0">
        <w:t>Strategy formulation is the process of choosing right courses of action for an organisation to attain long term goals by coordinating internal resources and external opportunities (Grant, 2021). Strategy formulation includes examining strategic options, an evaluation of risks, and selecting an optimal route for long term competitiveness. For IKEA, developing strategy in Brazil means combining data from the external audit and internal audit to suggest the most appropriate market entry mode and positioning strategy.</w:t>
      </w:r>
    </w:p>
    <w:p w14:paraId="29D963FF" w14:textId="77777777" w:rsidR="00350319" w:rsidRPr="00A76FF0" w:rsidRDefault="00350319" w:rsidP="00AA1EE7">
      <w:pPr>
        <w:pStyle w:val="Heading2"/>
      </w:pPr>
      <w:bookmarkStart w:id="20" w:name="_Toc215223914"/>
      <w:r w:rsidRPr="00A76FF0">
        <w:t>Strategic Options: Ansoff Matrix</w:t>
      </w:r>
      <w:bookmarkEnd w:id="20"/>
    </w:p>
    <w:p w14:paraId="13DE05D5" w14:textId="23392C66" w:rsidR="00350319" w:rsidRPr="00A76FF0" w:rsidRDefault="004D396D" w:rsidP="00AA1EE7">
      <w:r w:rsidRPr="00A76FF0">
        <w:t>Ansoff Matrix offers four growth strategies: market penetration, product development, market development, and diversification (Johnson and Scholes, 2023). For Brazil, IKEA's options can be discussed as follows.</w:t>
      </w:r>
    </w:p>
    <w:tbl>
      <w:tblPr>
        <w:tblStyle w:val="GridTable4-Accent3"/>
        <w:tblW w:w="0" w:type="auto"/>
        <w:tblLook w:val="04A0" w:firstRow="1" w:lastRow="0" w:firstColumn="1" w:lastColumn="0" w:noHBand="0" w:noVBand="1"/>
      </w:tblPr>
      <w:tblGrid>
        <w:gridCol w:w="1899"/>
        <w:gridCol w:w="7117"/>
      </w:tblGrid>
      <w:tr w:rsidR="00350319" w:rsidRPr="00A76FF0" w14:paraId="4859CC86" w14:textId="77777777" w:rsidTr="00147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79267D6" w14:textId="77777777" w:rsidR="00350319" w:rsidRPr="00A76FF0" w:rsidRDefault="00350319" w:rsidP="00AA1EE7">
            <w:pPr>
              <w:spacing w:after="160"/>
            </w:pPr>
            <w:r w:rsidRPr="00A76FF0">
              <w:t>Strategy</w:t>
            </w:r>
          </w:p>
        </w:tc>
        <w:tc>
          <w:tcPr>
            <w:tcW w:w="0" w:type="auto"/>
            <w:hideMark/>
          </w:tcPr>
          <w:p w14:paraId="56A66411" w14:textId="77777777" w:rsidR="00350319" w:rsidRPr="00A76FF0" w:rsidRDefault="00350319" w:rsidP="00AA1EE7">
            <w:pPr>
              <w:spacing w:after="160"/>
              <w:cnfStyle w:val="100000000000" w:firstRow="1" w:lastRow="0" w:firstColumn="0" w:lastColumn="0" w:oddVBand="0" w:evenVBand="0" w:oddHBand="0" w:evenHBand="0" w:firstRowFirstColumn="0" w:firstRowLastColumn="0" w:lastRowFirstColumn="0" w:lastRowLastColumn="0"/>
            </w:pPr>
            <w:r w:rsidRPr="00A76FF0">
              <w:t>Application for IKEA in Brazil</w:t>
            </w:r>
          </w:p>
        </w:tc>
      </w:tr>
      <w:tr w:rsidR="00350319" w:rsidRPr="00A76FF0" w14:paraId="092E5FC4"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807FD2F" w14:textId="77777777" w:rsidR="00350319" w:rsidRPr="00A76FF0" w:rsidRDefault="00350319" w:rsidP="00AA1EE7">
            <w:pPr>
              <w:spacing w:after="160"/>
            </w:pPr>
            <w:r w:rsidRPr="00A76FF0">
              <w:t>Market Penetration</w:t>
            </w:r>
          </w:p>
        </w:tc>
        <w:tc>
          <w:tcPr>
            <w:tcW w:w="0" w:type="auto"/>
            <w:hideMark/>
          </w:tcPr>
          <w:p w14:paraId="2588B903" w14:textId="4DD0864A" w:rsidR="00350319" w:rsidRPr="00A76FF0" w:rsidRDefault="00670150" w:rsidP="00AA1EE7">
            <w:pPr>
              <w:spacing w:after="160"/>
              <w:cnfStyle w:val="000000100000" w:firstRow="0" w:lastRow="0" w:firstColumn="0" w:lastColumn="0" w:oddVBand="0" w:evenVBand="0" w:oddHBand="1" w:evenHBand="0" w:firstRowFirstColumn="0" w:firstRowLastColumn="0" w:lastRowFirstColumn="0" w:lastRowLastColumn="0"/>
            </w:pPr>
            <w:r w:rsidRPr="00A76FF0">
              <w:t>This is a less applicable strategy since IKEA has not yet entered Brazil, so there is no available market to penetrate deeper.</w:t>
            </w:r>
          </w:p>
        </w:tc>
      </w:tr>
      <w:tr w:rsidR="00350319" w:rsidRPr="00A76FF0" w14:paraId="38D2D8CA" w14:textId="77777777" w:rsidTr="001476E1">
        <w:tc>
          <w:tcPr>
            <w:cnfStyle w:val="001000000000" w:firstRow="0" w:lastRow="0" w:firstColumn="1" w:lastColumn="0" w:oddVBand="0" w:evenVBand="0" w:oddHBand="0" w:evenHBand="0" w:firstRowFirstColumn="0" w:firstRowLastColumn="0" w:lastRowFirstColumn="0" w:lastRowLastColumn="0"/>
            <w:tcW w:w="0" w:type="auto"/>
            <w:hideMark/>
          </w:tcPr>
          <w:p w14:paraId="531C941B" w14:textId="77777777" w:rsidR="00350319" w:rsidRPr="00A76FF0" w:rsidRDefault="00350319" w:rsidP="00AA1EE7">
            <w:pPr>
              <w:spacing w:after="160"/>
            </w:pPr>
            <w:r w:rsidRPr="00A76FF0">
              <w:t>Product Development</w:t>
            </w:r>
          </w:p>
        </w:tc>
        <w:tc>
          <w:tcPr>
            <w:tcW w:w="0" w:type="auto"/>
            <w:hideMark/>
          </w:tcPr>
          <w:p w14:paraId="0A6AA89A" w14:textId="1EE0D019" w:rsidR="00350319" w:rsidRPr="00A76FF0" w:rsidRDefault="00CF194E" w:rsidP="00AA1EE7">
            <w:pPr>
              <w:spacing w:after="160"/>
              <w:cnfStyle w:val="000000000000" w:firstRow="0" w:lastRow="0" w:firstColumn="0" w:lastColumn="0" w:oddVBand="0" w:evenVBand="0" w:oddHBand="0" w:evenHBand="0" w:firstRowFirstColumn="0" w:firstRowLastColumn="0" w:lastRowFirstColumn="0" w:lastRowLastColumn="0"/>
            </w:pPr>
            <w:r w:rsidRPr="00A76FF0">
              <w:t>IKEA can modify its product assortment according to local tastes, for example, by providing furniture appropriate for Brazilian apartment sizes or using locally available materials (Sousa et al., 2021).</w:t>
            </w:r>
          </w:p>
        </w:tc>
      </w:tr>
      <w:tr w:rsidR="00350319" w:rsidRPr="00A76FF0" w14:paraId="469ED20E"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BD383BE" w14:textId="77777777" w:rsidR="00350319" w:rsidRPr="00A76FF0" w:rsidRDefault="00350319" w:rsidP="00AA1EE7">
            <w:pPr>
              <w:spacing w:after="160"/>
            </w:pPr>
            <w:r w:rsidRPr="00A76FF0">
              <w:t>Market Development</w:t>
            </w:r>
          </w:p>
        </w:tc>
        <w:tc>
          <w:tcPr>
            <w:tcW w:w="0" w:type="auto"/>
            <w:hideMark/>
          </w:tcPr>
          <w:p w14:paraId="4C71D901" w14:textId="410E23BB" w:rsidR="00350319" w:rsidRPr="00A76FF0" w:rsidRDefault="00CF194E" w:rsidP="00AA1EE7">
            <w:pPr>
              <w:spacing w:after="160"/>
              <w:cnfStyle w:val="000000100000" w:firstRow="0" w:lastRow="0" w:firstColumn="0" w:lastColumn="0" w:oddVBand="0" w:evenVBand="0" w:oddHBand="1" w:evenHBand="0" w:firstRowFirstColumn="0" w:firstRowLastColumn="0" w:lastRowFirstColumn="0" w:lastRowLastColumn="0"/>
            </w:pPr>
            <w:r w:rsidRPr="00A76FF0">
              <w:t>Foreign entry into Brazil is a traditional market development approach, taking IKEA's current product range to a new geographically dispersed high-growth market (IBGE, 2025; World Bank, 2025).</w:t>
            </w:r>
          </w:p>
        </w:tc>
      </w:tr>
      <w:tr w:rsidR="00350319" w:rsidRPr="00A76FF0" w14:paraId="6D2EDD19" w14:textId="77777777" w:rsidTr="001476E1">
        <w:tc>
          <w:tcPr>
            <w:cnfStyle w:val="001000000000" w:firstRow="0" w:lastRow="0" w:firstColumn="1" w:lastColumn="0" w:oddVBand="0" w:evenVBand="0" w:oddHBand="0" w:evenHBand="0" w:firstRowFirstColumn="0" w:firstRowLastColumn="0" w:lastRowFirstColumn="0" w:lastRowLastColumn="0"/>
            <w:tcW w:w="0" w:type="auto"/>
            <w:hideMark/>
          </w:tcPr>
          <w:p w14:paraId="55ED42FE" w14:textId="77777777" w:rsidR="00350319" w:rsidRPr="00A76FF0" w:rsidRDefault="00350319" w:rsidP="00AA1EE7">
            <w:pPr>
              <w:spacing w:after="160"/>
            </w:pPr>
            <w:r w:rsidRPr="00A76FF0">
              <w:t>Diversification</w:t>
            </w:r>
          </w:p>
        </w:tc>
        <w:tc>
          <w:tcPr>
            <w:tcW w:w="0" w:type="auto"/>
            <w:hideMark/>
          </w:tcPr>
          <w:p w14:paraId="0A2FF74C" w14:textId="6517C55A" w:rsidR="00350319" w:rsidRPr="00A76FF0" w:rsidRDefault="00CF194E" w:rsidP="00AA1EE7">
            <w:pPr>
              <w:spacing w:after="160"/>
              <w:cnfStyle w:val="000000000000" w:firstRow="0" w:lastRow="0" w:firstColumn="0" w:lastColumn="0" w:oddVBand="0" w:evenVBand="0" w:oddHBand="0" w:evenHBand="0" w:firstRowFirstColumn="0" w:firstRowLastColumn="0" w:lastRowFirstColumn="0" w:lastRowLastColumn="0"/>
            </w:pPr>
            <w:r w:rsidRPr="00A76FF0">
              <w:t>IKEA can undertake related diversification by marrying online retail channels with physical flagship stores, thus forming an integrated omnichannel approach in keeping with consumer trends (Veiga, 2024; Iglesias-</w:t>
            </w:r>
            <w:proofErr w:type="spellStart"/>
            <w:r w:rsidRPr="00A76FF0">
              <w:t>Pradas</w:t>
            </w:r>
            <w:proofErr w:type="spellEnd"/>
            <w:r w:rsidRPr="00A76FF0">
              <w:t xml:space="preserve"> and Acquila-Natale, 2023).</w:t>
            </w:r>
          </w:p>
        </w:tc>
      </w:tr>
    </w:tbl>
    <w:p w14:paraId="1F8A8C27" w14:textId="13895927" w:rsidR="00350319" w:rsidRPr="00A76FF0" w:rsidRDefault="00CF194E" w:rsidP="00AA1EE7">
      <w:r w:rsidRPr="00A76FF0">
        <w:t>The analysis suggests that market expansion is the prevalent strategy, supported by selective diversification into digital and physical channels to hasten market entry.</w:t>
      </w:r>
    </w:p>
    <w:p w14:paraId="212F73B6" w14:textId="77777777" w:rsidR="00350319" w:rsidRPr="00A76FF0" w:rsidRDefault="00350319" w:rsidP="00AA1EE7">
      <w:pPr>
        <w:pStyle w:val="Heading2"/>
      </w:pPr>
      <w:bookmarkStart w:id="21" w:name="_Toc215223915"/>
      <w:r w:rsidRPr="00A76FF0">
        <w:lastRenderedPageBreak/>
        <w:t>Evaluation of Entry Modes</w:t>
      </w:r>
      <w:bookmarkEnd w:id="21"/>
    </w:p>
    <w:p w14:paraId="3476C1CB" w14:textId="77777777" w:rsidR="00350319" w:rsidRPr="00A76FF0" w:rsidRDefault="00350319" w:rsidP="00AA1EE7">
      <w:r w:rsidRPr="00A76FF0">
        <w:t>Several entry modes are available for multinational retailers, each with advantages and limitations in the Brazilian context.</w:t>
      </w:r>
    </w:p>
    <w:tbl>
      <w:tblPr>
        <w:tblStyle w:val="GridTable4-Accent1"/>
        <w:tblW w:w="0" w:type="auto"/>
        <w:tblLook w:val="04A0" w:firstRow="1" w:lastRow="0" w:firstColumn="1" w:lastColumn="0" w:noHBand="0" w:noVBand="1"/>
      </w:tblPr>
      <w:tblGrid>
        <w:gridCol w:w="1936"/>
        <w:gridCol w:w="3764"/>
        <w:gridCol w:w="3316"/>
      </w:tblGrid>
      <w:tr w:rsidR="00350319" w:rsidRPr="00A76FF0" w14:paraId="45D228B2" w14:textId="77777777" w:rsidTr="001476E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AF556D2" w14:textId="77777777" w:rsidR="00350319" w:rsidRPr="00A76FF0" w:rsidRDefault="00350319" w:rsidP="00AA1EE7">
            <w:pPr>
              <w:spacing w:after="160"/>
            </w:pPr>
            <w:r w:rsidRPr="00A76FF0">
              <w:t>Entry Mode</w:t>
            </w:r>
          </w:p>
        </w:tc>
        <w:tc>
          <w:tcPr>
            <w:tcW w:w="0" w:type="auto"/>
            <w:hideMark/>
          </w:tcPr>
          <w:p w14:paraId="41109A78" w14:textId="77777777" w:rsidR="00350319" w:rsidRPr="00A76FF0" w:rsidRDefault="00350319" w:rsidP="00AA1EE7">
            <w:pPr>
              <w:spacing w:after="160"/>
              <w:cnfStyle w:val="100000000000" w:firstRow="1" w:lastRow="0" w:firstColumn="0" w:lastColumn="0" w:oddVBand="0" w:evenVBand="0" w:oddHBand="0" w:evenHBand="0" w:firstRowFirstColumn="0" w:firstRowLastColumn="0" w:lastRowFirstColumn="0" w:lastRowLastColumn="0"/>
            </w:pPr>
            <w:r w:rsidRPr="00A76FF0">
              <w:t>Advantages</w:t>
            </w:r>
          </w:p>
        </w:tc>
        <w:tc>
          <w:tcPr>
            <w:tcW w:w="0" w:type="auto"/>
            <w:hideMark/>
          </w:tcPr>
          <w:p w14:paraId="3502C1D0" w14:textId="77777777" w:rsidR="00350319" w:rsidRPr="00A76FF0" w:rsidRDefault="00350319" w:rsidP="00AA1EE7">
            <w:pPr>
              <w:spacing w:after="160"/>
              <w:cnfStyle w:val="100000000000" w:firstRow="1" w:lastRow="0" w:firstColumn="0" w:lastColumn="0" w:oddVBand="0" w:evenVBand="0" w:oddHBand="0" w:evenHBand="0" w:firstRowFirstColumn="0" w:firstRowLastColumn="0" w:lastRowFirstColumn="0" w:lastRowLastColumn="0"/>
            </w:pPr>
            <w:r w:rsidRPr="00A76FF0">
              <w:t>Disadvantages</w:t>
            </w:r>
          </w:p>
        </w:tc>
      </w:tr>
      <w:tr w:rsidR="00E73F21" w:rsidRPr="00A76FF0" w14:paraId="01E080CA"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70103A" w14:textId="77777777" w:rsidR="00E73F21" w:rsidRPr="00A76FF0" w:rsidRDefault="00E73F21" w:rsidP="00E73F21">
            <w:pPr>
              <w:spacing w:after="160"/>
            </w:pPr>
            <w:r w:rsidRPr="00A76FF0">
              <w:t>Wholly Owned Subsidiary (Greenfield Investment)</w:t>
            </w:r>
          </w:p>
        </w:tc>
        <w:tc>
          <w:tcPr>
            <w:tcW w:w="0" w:type="auto"/>
            <w:hideMark/>
          </w:tcPr>
          <w:p w14:paraId="282B5990" w14:textId="706A9609" w:rsidR="00E73F21" w:rsidRPr="00A76FF0" w:rsidRDefault="00E73F21" w:rsidP="00E73F21">
            <w:pPr>
              <w:spacing w:after="160"/>
              <w:cnfStyle w:val="000000100000" w:firstRow="0" w:lastRow="0" w:firstColumn="0" w:lastColumn="0" w:oddVBand="0" w:evenVBand="0" w:oddHBand="1" w:evenHBand="0" w:firstRowFirstColumn="0" w:firstRowLastColumn="0" w:lastRowFirstColumn="0" w:lastRowLastColumn="0"/>
            </w:pPr>
            <w:r w:rsidRPr="00A76FF0">
              <w:t>Provides full control and alignment with IKEA’s global standards. Ensures consistent brand positioning and full profit capture. Suitable for large urban markets such as São Paulo or Rio de Janeiro (IBGE, 2025).</w:t>
            </w:r>
          </w:p>
        </w:tc>
        <w:tc>
          <w:tcPr>
            <w:tcW w:w="0" w:type="auto"/>
            <w:hideMark/>
          </w:tcPr>
          <w:p w14:paraId="2217B0A5" w14:textId="6CBA2891" w:rsidR="00E73F21" w:rsidRPr="00A76FF0" w:rsidRDefault="00E73F21" w:rsidP="00E73F21">
            <w:pPr>
              <w:spacing w:after="160"/>
              <w:cnfStyle w:val="000000100000" w:firstRow="0" w:lastRow="0" w:firstColumn="0" w:lastColumn="0" w:oddVBand="0" w:evenVBand="0" w:oddHBand="1" w:evenHBand="0" w:firstRowFirstColumn="0" w:firstRowLastColumn="0" w:lastRowFirstColumn="0" w:lastRowLastColumn="0"/>
            </w:pPr>
            <w:r w:rsidRPr="00A76FF0">
              <w:t xml:space="preserve">Requires high capital investment and exposes IKEA to political, taxation, and regulatory risks with long setup times (PwC, 2024; </w:t>
            </w:r>
            <w:proofErr w:type="spellStart"/>
            <w:r w:rsidRPr="00A76FF0">
              <w:t>ApexBrasil</w:t>
            </w:r>
            <w:proofErr w:type="spellEnd"/>
            <w:r w:rsidRPr="00A76FF0">
              <w:t>, 2025).</w:t>
            </w:r>
          </w:p>
        </w:tc>
      </w:tr>
      <w:tr w:rsidR="00E73F21" w:rsidRPr="00A76FF0" w14:paraId="14F62E85" w14:textId="77777777" w:rsidTr="001476E1">
        <w:tc>
          <w:tcPr>
            <w:cnfStyle w:val="001000000000" w:firstRow="0" w:lastRow="0" w:firstColumn="1" w:lastColumn="0" w:oddVBand="0" w:evenVBand="0" w:oddHBand="0" w:evenHBand="0" w:firstRowFirstColumn="0" w:firstRowLastColumn="0" w:lastRowFirstColumn="0" w:lastRowLastColumn="0"/>
            <w:tcW w:w="0" w:type="auto"/>
            <w:hideMark/>
          </w:tcPr>
          <w:p w14:paraId="1CB96681" w14:textId="77777777" w:rsidR="00E73F21" w:rsidRPr="00A76FF0" w:rsidRDefault="00E73F21" w:rsidP="00E73F21">
            <w:pPr>
              <w:spacing w:after="160"/>
            </w:pPr>
            <w:r w:rsidRPr="00A76FF0">
              <w:t>Joint Venture with Local Partner</w:t>
            </w:r>
          </w:p>
        </w:tc>
        <w:tc>
          <w:tcPr>
            <w:tcW w:w="0" w:type="auto"/>
            <w:hideMark/>
          </w:tcPr>
          <w:p w14:paraId="0F9E2149" w14:textId="421CBA73" w:rsidR="00E73F21" w:rsidRPr="00A76FF0" w:rsidRDefault="00E73F21" w:rsidP="00E73F21">
            <w:pPr>
              <w:spacing w:after="160"/>
              <w:cnfStyle w:val="000000000000" w:firstRow="0" w:lastRow="0" w:firstColumn="0" w:lastColumn="0" w:oddVBand="0" w:evenVBand="0" w:oddHBand="0" w:evenHBand="0" w:firstRowFirstColumn="0" w:firstRowLastColumn="0" w:lastRowFirstColumn="0" w:lastRowLastColumn="0"/>
            </w:pPr>
            <w:r w:rsidRPr="00A76FF0">
              <w:t>Reduces risk through shared investment and local expertise. Enhances legitimacy among consumers by signalling adaptation to local needs (Ma, Yang and Yoo, 2020).</w:t>
            </w:r>
          </w:p>
        </w:tc>
        <w:tc>
          <w:tcPr>
            <w:tcW w:w="0" w:type="auto"/>
            <w:hideMark/>
          </w:tcPr>
          <w:p w14:paraId="406F9D66" w14:textId="5229B1E3" w:rsidR="00E73F21" w:rsidRPr="00A76FF0" w:rsidRDefault="00E73F21" w:rsidP="00E73F21">
            <w:pPr>
              <w:spacing w:after="160"/>
              <w:cnfStyle w:val="000000000000" w:firstRow="0" w:lastRow="0" w:firstColumn="0" w:lastColumn="0" w:oddVBand="0" w:evenVBand="0" w:oddHBand="0" w:evenHBand="0" w:firstRowFirstColumn="0" w:firstRowLastColumn="0" w:lastRowFirstColumn="0" w:lastRowLastColumn="0"/>
            </w:pPr>
            <w:r w:rsidRPr="00A76FF0">
              <w:t>Profit sharing and potential conflicts in decision-making may arise if strategic goals diverge (</w:t>
            </w:r>
            <w:proofErr w:type="spellStart"/>
            <w:r w:rsidRPr="00A76FF0">
              <w:t>Holtbrügge</w:t>
            </w:r>
            <w:proofErr w:type="spellEnd"/>
            <w:r w:rsidRPr="00A76FF0">
              <w:t xml:space="preserve"> and Baron, 2013; Mayer Brown, 2024).</w:t>
            </w:r>
          </w:p>
        </w:tc>
      </w:tr>
      <w:tr w:rsidR="00E73F21" w:rsidRPr="00A76FF0" w14:paraId="1814B993" w14:textId="77777777" w:rsidTr="001476E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3635D56" w14:textId="77777777" w:rsidR="00E73F21" w:rsidRPr="00A76FF0" w:rsidRDefault="00E73F21" w:rsidP="00E73F21">
            <w:pPr>
              <w:spacing w:after="160"/>
            </w:pPr>
            <w:r w:rsidRPr="00A76FF0">
              <w:t xml:space="preserve">Acquisition (for example </w:t>
            </w:r>
            <w:proofErr w:type="spellStart"/>
            <w:r w:rsidRPr="00A76FF0">
              <w:t>Tok&amp;Stok</w:t>
            </w:r>
            <w:proofErr w:type="spellEnd"/>
            <w:r w:rsidRPr="00A76FF0">
              <w:t>)</w:t>
            </w:r>
          </w:p>
        </w:tc>
        <w:tc>
          <w:tcPr>
            <w:tcW w:w="0" w:type="auto"/>
            <w:hideMark/>
          </w:tcPr>
          <w:p w14:paraId="56008ED9" w14:textId="48E9879A" w:rsidR="00E73F21" w:rsidRPr="00A76FF0" w:rsidRDefault="00E73F21" w:rsidP="00E73F21">
            <w:pPr>
              <w:spacing w:after="160"/>
              <w:cnfStyle w:val="000000100000" w:firstRow="0" w:lastRow="0" w:firstColumn="0" w:lastColumn="0" w:oddVBand="0" w:evenVBand="0" w:oddHBand="1" w:evenHBand="0" w:firstRowFirstColumn="0" w:firstRowLastColumn="0" w:lastRowFirstColumn="0" w:lastRowLastColumn="0"/>
            </w:pPr>
            <w:r w:rsidRPr="00A76FF0">
              <w:t xml:space="preserve">Provides immediate market access, customer base, and established channels. </w:t>
            </w:r>
            <w:proofErr w:type="spellStart"/>
            <w:r w:rsidRPr="00A76FF0">
              <w:t>Tok&amp;Stok’s</w:t>
            </w:r>
            <w:proofErr w:type="spellEnd"/>
            <w:r w:rsidRPr="00A76FF0">
              <w:t xml:space="preserve"> recognised brand could accelerate IKEA’s acceptance (Mobly, 2025; </w:t>
            </w:r>
            <w:proofErr w:type="spellStart"/>
            <w:r w:rsidRPr="00A76FF0">
              <w:t>Magalu</w:t>
            </w:r>
            <w:proofErr w:type="spellEnd"/>
            <w:r w:rsidRPr="00A76FF0">
              <w:t>, 2025).</w:t>
            </w:r>
          </w:p>
        </w:tc>
        <w:tc>
          <w:tcPr>
            <w:tcW w:w="0" w:type="auto"/>
            <w:hideMark/>
          </w:tcPr>
          <w:p w14:paraId="6E74F62B" w14:textId="301B09C9" w:rsidR="00E73F21" w:rsidRPr="00A76FF0" w:rsidRDefault="00E73F21" w:rsidP="00E73F21">
            <w:pPr>
              <w:spacing w:after="160"/>
              <w:cnfStyle w:val="000000100000" w:firstRow="0" w:lastRow="0" w:firstColumn="0" w:lastColumn="0" w:oddVBand="0" w:evenVBand="0" w:oddHBand="1" w:evenHBand="0" w:firstRowFirstColumn="0" w:firstRowLastColumn="0" w:lastRowFirstColumn="0" w:lastRowLastColumn="0"/>
            </w:pPr>
            <w:r w:rsidRPr="00A76FF0">
              <w:t xml:space="preserve">Integration challenges, cultural misalignment, and high acquisition costs may create financial and reputational risks (Hitt, Ireland and </w:t>
            </w:r>
            <w:proofErr w:type="spellStart"/>
            <w:r w:rsidRPr="00A76FF0">
              <w:t>Hoskisson</w:t>
            </w:r>
            <w:proofErr w:type="spellEnd"/>
            <w:r w:rsidRPr="00A76FF0">
              <w:t>, 2024).</w:t>
            </w:r>
          </w:p>
        </w:tc>
      </w:tr>
      <w:tr w:rsidR="00E73F21" w:rsidRPr="00A76FF0" w14:paraId="2AD46284" w14:textId="77777777" w:rsidTr="001476E1">
        <w:tc>
          <w:tcPr>
            <w:cnfStyle w:val="001000000000" w:firstRow="0" w:lastRow="0" w:firstColumn="1" w:lastColumn="0" w:oddVBand="0" w:evenVBand="0" w:oddHBand="0" w:evenHBand="0" w:firstRowFirstColumn="0" w:firstRowLastColumn="0" w:lastRowFirstColumn="0" w:lastRowLastColumn="0"/>
            <w:tcW w:w="0" w:type="auto"/>
            <w:hideMark/>
          </w:tcPr>
          <w:p w14:paraId="6E1FE9E2" w14:textId="77777777" w:rsidR="00E73F21" w:rsidRPr="00A76FF0" w:rsidRDefault="00E73F21" w:rsidP="00E73F21">
            <w:pPr>
              <w:spacing w:after="160"/>
            </w:pPr>
            <w:r w:rsidRPr="00A76FF0">
              <w:t>Franchise or Online-First Model</w:t>
            </w:r>
          </w:p>
        </w:tc>
        <w:tc>
          <w:tcPr>
            <w:tcW w:w="0" w:type="auto"/>
            <w:hideMark/>
          </w:tcPr>
          <w:p w14:paraId="595C66C1" w14:textId="4887FFFD" w:rsidR="00E73F21" w:rsidRPr="00A76FF0" w:rsidRDefault="00E73F21" w:rsidP="00E73F21">
            <w:pPr>
              <w:spacing w:after="160"/>
              <w:cnfStyle w:val="000000000000" w:firstRow="0" w:lastRow="0" w:firstColumn="0" w:lastColumn="0" w:oddVBand="0" w:evenVBand="0" w:oddHBand="0" w:evenHBand="0" w:firstRowFirstColumn="0" w:firstRowLastColumn="0" w:lastRowFirstColumn="0" w:lastRowLastColumn="0"/>
            </w:pPr>
            <w:r w:rsidRPr="00A76FF0">
              <w:t>Minimises financial risk and allows testing of consumer demand before store rollout. Supported by Brazil’s rapidly expanding e-commerce sector (Veiga, 2024; Mercado Libre, 2025).</w:t>
            </w:r>
          </w:p>
        </w:tc>
        <w:tc>
          <w:tcPr>
            <w:tcW w:w="0" w:type="auto"/>
            <w:hideMark/>
          </w:tcPr>
          <w:p w14:paraId="48DEEA6E" w14:textId="1ED359BA" w:rsidR="00E73F21" w:rsidRPr="00A76FF0" w:rsidRDefault="00E73F21" w:rsidP="00E73F21">
            <w:pPr>
              <w:spacing w:after="160"/>
              <w:cnfStyle w:val="000000000000" w:firstRow="0" w:lastRow="0" w:firstColumn="0" w:lastColumn="0" w:oddVBand="0" w:evenVBand="0" w:oddHBand="0" w:evenHBand="0" w:firstRowFirstColumn="0" w:firstRowLastColumn="0" w:lastRowFirstColumn="0" w:lastRowLastColumn="0"/>
            </w:pPr>
            <w:r w:rsidRPr="00A76FF0">
              <w:t>Limits operational control and weakens IKEA’s in-store experiential brand identity (IKEA, 2025).</w:t>
            </w:r>
          </w:p>
        </w:tc>
      </w:tr>
    </w:tbl>
    <w:p w14:paraId="57A7FC32" w14:textId="51BBEC72" w:rsidR="00350319" w:rsidRPr="00A76FF0" w:rsidRDefault="00350319" w:rsidP="00AA1EE7">
      <w:r w:rsidRPr="00A76FF0">
        <w:t>This evaluation indicates that both a joint venture and a phased online entry combined with flagship investment are strategically viable.</w:t>
      </w:r>
    </w:p>
    <w:p w14:paraId="6282E799" w14:textId="77777777" w:rsidR="00350319" w:rsidRPr="00A76FF0" w:rsidRDefault="00350319" w:rsidP="00AA1EE7">
      <w:pPr>
        <w:pStyle w:val="Heading2"/>
      </w:pPr>
      <w:bookmarkStart w:id="22" w:name="_Toc215223916"/>
      <w:r w:rsidRPr="00A76FF0">
        <w:lastRenderedPageBreak/>
        <w:t>Application of Dunning’s OLI Paradigm</w:t>
      </w:r>
      <w:bookmarkEnd w:id="22"/>
    </w:p>
    <w:p w14:paraId="52FBC5D4" w14:textId="77777777" w:rsidR="00350319" w:rsidRPr="00A76FF0" w:rsidRDefault="00350319" w:rsidP="00AA1EE7">
      <w:r w:rsidRPr="00A76FF0">
        <w:t>Dunning’s Eclectic Paradigm argues that internationalisation is determined by ownership, location, and internalisation advantages (Dunning, 1988).</w:t>
      </w:r>
    </w:p>
    <w:p w14:paraId="1FE1296A" w14:textId="77777777" w:rsidR="00350319" w:rsidRPr="00A76FF0" w:rsidRDefault="00350319" w:rsidP="00AA1EE7">
      <w:pPr>
        <w:numPr>
          <w:ilvl w:val="0"/>
          <w:numId w:val="31"/>
        </w:numPr>
      </w:pPr>
      <w:r w:rsidRPr="00A76FF0">
        <w:rPr>
          <w:b/>
          <w:bCs/>
        </w:rPr>
        <w:t>Ownership Advantages</w:t>
      </w:r>
      <w:r w:rsidRPr="00A76FF0">
        <w:t>: IKEA possesses strong brand equity, scale economies, and unique design capabilities (IKEA, 2025; Grant, 2021). These ownership advantages favour entry into Brazil.</w:t>
      </w:r>
    </w:p>
    <w:p w14:paraId="1BFE815B" w14:textId="58E019E2" w:rsidR="00350319" w:rsidRPr="00A76FF0" w:rsidRDefault="00350319" w:rsidP="00AA1EE7">
      <w:pPr>
        <w:numPr>
          <w:ilvl w:val="0"/>
          <w:numId w:val="31"/>
        </w:numPr>
      </w:pPr>
      <w:r w:rsidRPr="00A76FF0">
        <w:rPr>
          <w:b/>
          <w:bCs/>
        </w:rPr>
        <w:t>Location Advantages</w:t>
      </w:r>
      <w:r w:rsidRPr="00A76FF0">
        <w:t xml:space="preserve">: </w:t>
      </w:r>
      <w:r w:rsidR="00AA5A17" w:rsidRPr="00A76FF0">
        <w:t>Brazil has a population of over 200 million with over 80 percent of its population being urban dwellers, generating tremendous demand for budget-friendly home furnishings (IBGE, 2025). Overburdensome taxation and regulatory complexity lower location attractiveness, however (PwC, 2024).</w:t>
      </w:r>
    </w:p>
    <w:p w14:paraId="0DB53C3B" w14:textId="2DBE883E" w:rsidR="00350319" w:rsidRPr="00A76FF0" w:rsidRDefault="00350319" w:rsidP="00AA1EE7">
      <w:pPr>
        <w:numPr>
          <w:ilvl w:val="0"/>
          <w:numId w:val="31"/>
        </w:numPr>
      </w:pPr>
      <w:r w:rsidRPr="00A76FF0">
        <w:rPr>
          <w:b/>
          <w:bCs/>
        </w:rPr>
        <w:t>Internalisation Advantages</w:t>
      </w:r>
      <w:r w:rsidRPr="00A76FF0">
        <w:t xml:space="preserve">: </w:t>
      </w:r>
      <w:r w:rsidR="00337060" w:rsidRPr="00A76FF0">
        <w:t xml:space="preserve">Having control over operations, IKEA is able to guarantee product quality, brand consistency, and compliance with sustainability goals (IKEA, 2025; </w:t>
      </w:r>
      <w:proofErr w:type="spellStart"/>
      <w:r w:rsidR="00337060" w:rsidRPr="00A76FF0">
        <w:t>Filgueira</w:t>
      </w:r>
      <w:proofErr w:type="spellEnd"/>
      <w:r w:rsidR="00337060" w:rsidRPr="00A76FF0">
        <w:t xml:space="preserve"> and Norden, 2025).</w:t>
      </w:r>
    </w:p>
    <w:p w14:paraId="784523C1" w14:textId="1B91FB77" w:rsidR="00350319" w:rsidRPr="00A76FF0" w:rsidRDefault="00337060" w:rsidP="00AA1EE7">
      <w:r w:rsidRPr="00A76FF0">
        <w:t>New views postulate that there are adaptive approaches in emerging markets. Valdés-Llaneza, Sánchez-Lorda and García-Canal (2021) contend that developed and emerging economies have different entry mode decisions, necessitating collaborative forms. Wang and Guedes (2025) also mention that experience and timing decisively impact survival in international markets, validating the use of staged entry into Brazil.</w:t>
      </w:r>
    </w:p>
    <w:p w14:paraId="0F799CE0" w14:textId="77777777" w:rsidR="00350319" w:rsidRPr="00A76FF0" w:rsidRDefault="00350319" w:rsidP="00AA1EE7">
      <w:pPr>
        <w:pStyle w:val="Heading2"/>
      </w:pPr>
      <w:bookmarkStart w:id="23" w:name="_Toc215223917"/>
      <w:r w:rsidRPr="00A76FF0">
        <w:t>Recommended Strategy</w:t>
      </w:r>
      <w:bookmarkEnd w:id="23"/>
    </w:p>
    <w:p w14:paraId="2CB2E1BF" w14:textId="309270ED" w:rsidR="00350319" w:rsidRPr="00A76FF0" w:rsidRDefault="00337060" w:rsidP="00AA1EE7">
      <w:r w:rsidRPr="00A76FF0">
        <w:t>According to the Ansoff Matrix, entry mode analysis, and OLI model, IKEA's preferred strategy is a staged market expansion strategy. This can start with an online-first entry in combination with a joint venture or fully owned flagship store in São Paulo. Online entry will enable IKEA to experiment with consumer liking and develop brand recognition at low cost (Veiga, 2024). A physical flagship will enhance IKEA's brand identity and offer the rich experience synonymous with its brand (IKEA, 2025). The joint venture alternative can decrease initial risk and strengthen legitimacy, but with operations stabilising, fully owned expansion could then be contemplated in other metropolitan areas.</w:t>
      </w:r>
    </w:p>
    <w:p w14:paraId="658B2CA2" w14:textId="77777777" w:rsidR="00350319" w:rsidRPr="00A76FF0" w:rsidRDefault="00350319" w:rsidP="00AA1EE7">
      <w:pPr>
        <w:pStyle w:val="Heading2"/>
      </w:pPr>
      <w:bookmarkStart w:id="24" w:name="_Toc215223918"/>
      <w:r w:rsidRPr="00A76FF0">
        <w:t>Justification with Porter’s Generic Strategies</w:t>
      </w:r>
      <w:bookmarkEnd w:id="24"/>
    </w:p>
    <w:p w14:paraId="5D917DB2" w14:textId="7EAB2A67" w:rsidR="00350319" w:rsidRPr="00A76FF0" w:rsidRDefault="00337060" w:rsidP="00AA1EE7">
      <w:r w:rsidRPr="00A76FF0">
        <w:t xml:space="preserve">Porter's Generic Strategies identify three alternatives: cost leadership, differentiation, and focus (Johnson and Scholes, 2023). IKEA blends low-cost leadership with differentiation elements and develops a hybrid strategy focusing on low price, Scandinavian styling, and sustainability </w:t>
      </w:r>
      <w:r w:rsidRPr="00A76FF0">
        <w:lastRenderedPageBreak/>
        <w:t xml:space="preserve">(Grant, 2021; IKEA, 2025). The positioning is directly aligned with Brazil's vast middle class that is price-sensitive and presents unique product attributes desired by younger, urban residents (IBGE, 2025; Grand View Research, 2025). By going hybrid, IKEA resists competition from domestic retailers such as Mobly and </w:t>
      </w:r>
      <w:proofErr w:type="spellStart"/>
      <w:r w:rsidRPr="00A76FF0">
        <w:t>Magalu</w:t>
      </w:r>
      <w:proofErr w:type="spellEnd"/>
      <w:r w:rsidRPr="00A76FF0">
        <w:t xml:space="preserve"> while drawing consumers who desire affordability along with style.</w:t>
      </w:r>
    </w:p>
    <w:p w14:paraId="05008D79" w14:textId="023B1282" w:rsidR="00A23138" w:rsidRPr="00A76FF0" w:rsidRDefault="00350319" w:rsidP="00AA1EE7">
      <w:pPr>
        <w:pStyle w:val="Heading1"/>
      </w:pPr>
      <w:bookmarkStart w:id="25" w:name="_Toc215223919"/>
      <w:r w:rsidRPr="00A76FF0">
        <w:t>Strategy Implementation</w:t>
      </w:r>
      <w:r w:rsidR="002816AA" w:rsidRPr="00A76FF0">
        <w:t xml:space="preserve"> Process</w:t>
      </w:r>
      <w:bookmarkEnd w:id="25"/>
    </w:p>
    <w:p w14:paraId="44F16F6B" w14:textId="7E904AC2" w:rsidR="002816AA" w:rsidRPr="00A76FF0" w:rsidRDefault="00173F3A" w:rsidP="002816AA">
      <w:r w:rsidRPr="00A76FF0">
        <w:t xml:space="preserve">Effective execution of strategy requires strategic decision-making conceptualised into concrete action and alignment of IKEA's resources, financial capacity, and organisational systems to the opportunities in Brazil. Effective execution is based on alignment of operational, financial, and governance systems that generate strategic results (Hitt, Ireland and </w:t>
      </w:r>
      <w:proofErr w:type="spellStart"/>
      <w:r w:rsidRPr="00A76FF0">
        <w:t>Hoskisson</w:t>
      </w:r>
      <w:proofErr w:type="spellEnd"/>
      <w:r w:rsidRPr="00A76FF0">
        <w:t>, 2024).</w:t>
      </w:r>
    </w:p>
    <w:p w14:paraId="7D4C2C0A" w14:textId="77777777" w:rsidR="002816AA" w:rsidRPr="00A76FF0" w:rsidRDefault="002816AA" w:rsidP="002816AA">
      <w:pPr>
        <w:pStyle w:val="Heading2"/>
      </w:pPr>
      <w:bookmarkStart w:id="26" w:name="_Toc215223920"/>
      <w:r w:rsidRPr="00A76FF0">
        <w:t>Implementing the Strategies – Market, Financial and Internal Alignment</w:t>
      </w:r>
      <w:bookmarkEnd w:id="26"/>
    </w:p>
    <w:p w14:paraId="6E428978" w14:textId="659F9E00" w:rsidR="002816AA" w:rsidRPr="00A76FF0" w:rsidRDefault="001925B4" w:rsidP="002816AA">
      <w:r w:rsidRPr="00A76FF0">
        <w:t>IKEA's entry into Brazil includes market approach alignment, financial capacity, and internal capacity.</w:t>
      </w:r>
    </w:p>
    <w:p w14:paraId="45C43A9F" w14:textId="77777777" w:rsidR="002816AA" w:rsidRPr="00A76FF0" w:rsidRDefault="002816AA" w:rsidP="002816AA">
      <w:pPr>
        <w:rPr>
          <w:b/>
          <w:bCs/>
        </w:rPr>
      </w:pPr>
      <w:r w:rsidRPr="00A76FF0">
        <w:rPr>
          <w:b/>
          <w:bCs/>
        </w:rPr>
        <w:t>Market Implementation:</w:t>
      </w:r>
    </w:p>
    <w:p w14:paraId="09A0BAF5" w14:textId="3D2217B4" w:rsidR="002816AA" w:rsidRPr="00A76FF0" w:rsidRDefault="00154C62" w:rsidP="002816AA">
      <w:r w:rsidRPr="00A76FF0">
        <w:t>IKEA will focus on making its operations and supply chain local. Taxation and logistics infrastructure in Brazil make it costly to be import-dependent (PwC, 2024). Locally sourced timber and production partnerships will be cost-reducing, supply-reliable, and environmentally friendly (</w:t>
      </w:r>
      <w:proofErr w:type="spellStart"/>
      <w:r w:rsidRPr="00A76FF0">
        <w:t>OjoPúblico</w:t>
      </w:r>
      <w:proofErr w:type="spellEnd"/>
      <w:r w:rsidRPr="00A76FF0">
        <w:t>, 2024). Real estate investments will be focused on dense urban retail markets such as São Paulo and Rio de Janeiro, backed by smaller store sizes and pick-up points to enhance accessibility (Veiga, 2024; Prologis Research, 2025).</w:t>
      </w:r>
    </w:p>
    <w:p w14:paraId="0A7DB5C3" w14:textId="77777777" w:rsidR="002816AA" w:rsidRPr="00A76FF0" w:rsidRDefault="002816AA" w:rsidP="002816AA">
      <w:pPr>
        <w:rPr>
          <w:b/>
          <w:bCs/>
        </w:rPr>
      </w:pPr>
      <w:r w:rsidRPr="00A76FF0">
        <w:rPr>
          <w:b/>
          <w:bCs/>
        </w:rPr>
        <w:t>Financial Implementation:</w:t>
      </w:r>
    </w:p>
    <w:p w14:paraId="7630EDF1" w14:textId="175FA139" w:rsidR="002816AA" w:rsidRPr="00A76FF0" w:rsidRDefault="004720D0" w:rsidP="002816AA">
      <w:r w:rsidRPr="00A76FF0">
        <w:t>Strong financial backing of IKEA is facilitated through Inter IKEA Group with reported revenues of more than EUR 44 billion in FY2024 (Inter IKEA Group, 2024). Phased investment is made possible. First, capital would be put in digital entry by engaging with Mercado Libre, and then in building flagship stores and expanding in markets. This phased investment avoids the risks in Brazil's volatile economy (IMF, 2024).</w:t>
      </w:r>
    </w:p>
    <w:p w14:paraId="6A237445" w14:textId="77777777" w:rsidR="002816AA" w:rsidRPr="00A76FF0" w:rsidRDefault="002816AA" w:rsidP="002816AA">
      <w:pPr>
        <w:rPr>
          <w:b/>
          <w:bCs/>
        </w:rPr>
      </w:pPr>
      <w:r w:rsidRPr="00A76FF0">
        <w:rPr>
          <w:b/>
          <w:bCs/>
        </w:rPr>
        <w:t>Internal Implementation:</w:t>
      </w:r>
    </w:p>
    <w:p w14:paraId="021A59AA" w14:textId="7D6FC8DA" w:rsidR="002816AA" w:rsidRPr="00A76FF0" w:rsidRDefault="00741228" w:rsidP="002816AA">
      <w:r w:rsidRPr="00A76FF0">
        <w:t xml:space="preserve">IKEA's cost-conscious and green corporate culture needs to be infused into local operations. Hiring and developing local staff will maintain the IKEA culture while addressing Brazilian service requirements for personalisation and delivery (Sousa et al., 2021). Product development </w:t>
      </w:r>
      <w:r w:rsidRPr="00A76FF0">
        <w:lastRenderedPageBreak/>
        <w:t>will be directed at modular, multi-purpose furniture adaptable for compact urban dwellings (Grand View Research, 2025; Ma, Yang and Yoo, 2020).</w:t>
      </w:r>
    </w:p>
    <w:p w14:paraId="47EE7AAA" w14:textId="77777777" w:rsidR="002816AA" w:rsidRPr="00A76FF0" w:rsidRDefault="002816AA" w:rsidP="002816AA">
      <w:pPr>
        <w:pStyle w:val="Heading2"/>
      </w:pPr>
      <w:bookmarkStart w:id="27" w:name="_Toc215223921"/>
      <w:r w:rsidRPr="00A76FF0">
        <w:t>Restructuring and Reengineering to Attain Objectives</w:t>
      </w:r>
      <w:bookmarkEnd w:id="27"/>
    </w:p>
    <w:p w14:paraId="0D202865" w14:textId="77777777" w:rsidR="00022CED" w:rsidRPr="00A76FF0" w:rsidRDefault="00022CED" w:rsidP="00022CED">
      <w:r w:rsidRPr="00A76FF0">
        <w:t>In order to function effectively in Brazil, IKEA needs to reform aspects of its governance and operational systems. It should embrace a decentralised organisational arrangement that delegates authority to local managers to rapidly adjust while reporting to global standards of sustainability and compliance (Ingka Group, 2024). This provides alignment with IKEA's ethical system of governance as well as following Brazil's regulatory standards (</w:t>
      </w:r>
      <w:proofErr w:type="spellStart"/>
      <w:r w:rsidRPr="00A76FF0">
        <w:t>ApexBrasil</w:t>
      </w:r>
      <w:proofErr w:type="spellEnd"/>
      <w:r w:rsidRPr="00A76FF0">
        <w:t>, 2025).</w:t>
      </w:r>
    </w:p>
    <w:p w14:paraId="4F9BDC66" w14:textId="25BA7180" w:rsidR="00350319" w:rsidRPr="00A76FF0" w:rsidRDefault="00022CED" w:rsidP="00022CED">
      <w:r w:rsidRPr="00A76FF0">
        <w:t>Operational re-engineering will include supply chain re-engineering to introduce regional hubs, intensification of digital sales platforms, and logistics partnership enhancement. Continuous evaluation will ensure that local sourcing objectives such as achieving 30 percent within five years are realized, reducing import tariff and currency exposure risks.</w:t>
      </w:r>
    </w:p>
    <w:p w14:paraId="606A9F68" w14:textId="1A140315" w:rsidR="00350319" w:rsidRPr="00A76FF0" w:rsidRDefault="00350319" w:rsidP="00AA1EE7">
      <w:pPr>
        <w:pStyle w:val="Heading2"/>
      </w:pPr>
      <w:bookmarkStart w:id="28" w:name="_Toc215223922"/>
      <w:r w:rsidRPr="00A76FF0">
        <w:t>Risk Mitigation</w:t>
      </w:r>
      <w:bookmarkEnd w:id="28"/>
    </w:p>
    <w:p w14:paraId="75724A72" w14:textId="7E75C512" w:rsidR="00350319" w:rsidRPr="00A76FF0" w:rsidRDefault="00657F1B" w:rsidP="00AA1EE7">
      <w:r w:rsidRPr="00A76FF0">
        <w:t>The threats come in particularly if IKEA adopts a joint venture or acquisition strategy. Cultural integration issues in various cultures can create tension between collaborators, as shown in studies of retail internationalisation in Brazil (Diallo, 2012). This risk is to be addressed by having definite governance structures and mechanisms for managing conflict. Financial risks due to volatility in exchange rates and regulatory uncertainty can be managed by staging investment and retaining flexible procurement arrangements (IMF, 2024; PwC, 2024). Reputational risks for environmental practices can be managed by open reporting and supplier certification (IKEA, 2025; OECD, 2022).</w:t>
      </w:r>
    </w:p>
    <w:p w14:paraId="64A8B397" w14:textId="77777777" w:rsidR="00FD4893" w:rsidRPr="00A76FF0" w:rsidRDefault="00FD4893" w:rsidP="00AA1EE7">
      <w:pPr>
        <w:pStyle w:val="Heading1"/>
      </w:pPr>
      <w:bookmarkStart w:id="29" w:name="_Toc215223923"/>
      <w:r w:rsidRPr="00A76FF0">
        <w:t>Evaluation and Control</w:t>
      </w:r>
      <w:bookmarkEnd w:id="29"/>
    </w:p>
    <w:p w14:paraId="36FE9195" w14:textId="77777777" w:rsidR="00FD4893" w:rsidRPr="00A76FF0" w:rsidRDefault="00FD4893" w:rsidP="00AA1EE7">
      <w:pPr>
        <w:pStyle w:val="Heading2"/>
      </w:pPr>
      <w:bookmarkStart w:id="30" w:name="_Toc215223924"/>
      <w:r w:rsidRPr="00A76FF0">
        <w:t>Importance of Evaluation and Controls</w:t>
      </w:r>
      <w:bookmarkEnd w:id="30"/>
    </w:p>
    <w:p w14:paraId="79867C73" w14:textId="310CC088" w:rsidR="00FD4893" w:rsidRPr="00A76FF0" w:rsidRDefault="00A95514" w:rsidP="00AA1EE7">
      <w:r w:rsidRPr="00A76FF0">
        <w:t xml:space="preserve">Evaluation and control provide assurance that strategy implementation achieves desired results while minimizing risks. Strong control systems for multinational companies ensure local operations are aligned with worldwide goals and that there is accountability in new markets (Hitt, Ireland and </w:t>
      </w:r>
      <w:proofErr w:type="spellStart"/>
      <w:r w:rsidRPr="00A76FF0">
        <w:t>Hoskisson</w:t>
      </w:r>
      <w:proofErr w:type="spellEnd"/>
      <w:r w:rsidRPr="00A76FF0">
        <w:t xml:space="preserve">, 2024). In the case of IKEA, Brazilian entry involves measures for gauging financial performance, customer satisfaction, operational effectiveness, and organisational learning. Controls will also need to incorporate sustainability objectives, in light of regulation in Brazil as well as consumer demands in Brazil (OECD, 2022; </w:t>
      </w:r>
      <w:proofErr w:type="spellStart"/>
      <w:r w:rsidRPr="00A76FF0">
        <w:t>Filgueira</w:t>
      </w:r>
      <w:proofErr w:type="spellEnd"/>
      <w:r w:rsidRPr="00A76FF0">
        <w:t xml:space="preserve"> and Norden, 2025).</w:t>
      </w:r>
    </w:p>
    <w:p w14:paraId="37613F10" w14:textId="77777777" w:rsidR="00FD4893" w:rsidRPr="00A76FF0" w:rsidRDefault="00FD4893" w:rsidP="00AA1EE7">
      <w:pPr>
        <w:pStyle w:val="Heading2"/>
      </w:pPr>
      <w:bookmarkStart w:id="31" w:name="_Toc215223925"/>
      <w:r w:rsidRPr="00A76FF0">
        <w:lastRenderedPageBreak/>
        <w:t>Balanced Scorecard</w:t>
      </w:r>
      <w:bookmarkEnd w:id="31"/>
    </w:p>
    <w:p w14:paraId="28BD293F" w14:textId="2525D26A" w:rsidR="00FD4893" w:rsidRPr="00A76FF0" w:rsidRDefault="00CA454B" w:rsidP="00AA1EE7">
      <w:r w:rsidRPr="00A76FF0">
        <w:t>The Balanced Scorecard implements performance measurement to transcend the financial returns to include operational effectiveness, customer outcomes, and organisational learning.</w:t>
      </w:r>
    </w:p>
    <w:tbl>
      <w:tblPr>
        <w:tblStyle w:val="GridTable4-Accent6"/>
        <w:tblW w:w="0" w:type="auto"/>
        <w:tblLook w:val="04A0" w:firstRow="1" w:lastRow="0" w:firstColumn="1" w:lastColumn="0" w:noHBand="0" w:noVBand="1"/>
      </w:tblPr>
      <w:tblGrid>
        <w:gridCol w:w="1567"/>
        <w:gridCol w:w="2024"/>
        <w:gridCol w:w="5425"/>
      </w:tblGrid>
      <w:tr w:rsidR="000B6062" w:rsidRPr="00A76FF0" w14:paraId="135BB275" w14:textId="77777777" w:rsidTr="000B606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BE426F5" w14:textId="4EFAF16A" w:rsidR="000B6062" w:rsidRPr="00A76FF0" w:rsidRDefault="000B6062" w:rsidP="00AA1EE7">
            <w:pPr>
              <w:spacing w:after="160"/>
            </w:pPr>
            <w:r w:rsidRPr="00A76FF0">
              <w:t>Perspective</w:t>
            </w:r>
          </w:p>
        </w:tc>
        <w:tc>
          <w:tcPr>
            <w:tcW w:w="0" w:type="auto"/>
            <w:hideMark/>
          </w:tcPr>
          <w:p w14:paraId="7AB7735F" w14:textId="4DC5B43F" w:rsidR="000B6062" w:rsidRPr="00A76FF0" w:rsidRDefault="000B6062" w:rsidP="00AA1EE7">
            <w:pPr>
              <w:spacing w:after="160"/>
              <w:cnfStyle w:val="100000000000" w:firstRow="1" w:lastRow="0" w:firstColumn="0" w:lastColumn="0" w:oddVBand="0" w:evenVBand="0" w:oddHBand="0" w:evenHBand="0" w:firstRowFirstColumn="0" w:firstRowLastColumn="0" w:lastRowFirstColumn="0" w:lastRowLastColumn="0"/>
            </w:pPr>
            <w:r w:rsidRPr="00A76FF0">
              <w:t>Key Metrics</w:t>
            </w:r>
          </w:p>
        </w:tc>
        <w:tc>
          <w:tcPr>
            <w:tcW w:w="0" w:type="auto"/>
            <w:hideMark/>
          </w:tcPr>
          <w:p w14:paraId="6AD1F2C7" w14:textId="1361A6FD" w:rsidR="000B6062" w:rsidRPr="00A76FF0" w:rsidRDefault="000B6062" w:rsidP="00AA1EE7">
            <w:pPr>
              <w:spacing w:after="160"/>
              <w:cnfStyle w:val="100000000000" w:firstRow="1" w:lastRow="0" w:firstColumn="0" w:lastColumn="0" w:oddVBand="0" w:evenVBand="0" w:oddHBand="0" w:evenHBand="0" w:firstRowFirstColumn="0" w:firstRowLastColumn="0" w:lastRowFirstColumn="0" w:lastRowLastColumn="0"/>
            </w:pPr>
            <w:r w:rsidRPr="00A76FF0">
              <w:t>Application to IKEA in Brazil</w:t>
            </w:r>
          </w:p>
        </w:tc>
      </w:tr>
      <w:tr w:rsidR="000B6062" w:rsidRPr="00A76FF0" w14:paraId="198BE024" w14:textId="77777777" w:rsidTr="000B6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FD9F737" w14:textId="27B895A4" w:rsidR="000B6062" w:rsidRPr="00A76FF0" w:rsidRDefault="000B6062" w:rsidP="00AA1EE7">
            <w:pPr>
              <w:spacing w:after="160"/>
            </w:pPr>
            <w:r w:rsidRPr="00A76FF0">
              <w:t>Financial</w:t>
            </w:r>
          </w:p>
        </w:tc>
        <w:tc>
          <w:tcPr>
            <w:tcW w:w="0" w:type="auto"/>
            <w:hideMark/>
          </w:tcPr>
          <w:p w14:paraId="27EDC21D" w14:textId="23A6D504" w:rsidR="000B6062" w:rsidRPr="00A76FF0" w:rsidRDefault="000B6062" w:rsidP="00AA1EE7">
            <w:pPr>
              <w:spacing w:after="160"/>
              <w:cnfStyle w:val="000000100000" w:firstRow="0" w:lastRow="0" w:firstColumn="0" w:lastColumn="0" w:oddVBand="0" w:evenVBand="0" w:oddHBand="1" w:evenHBand="0" w:firstRowFirstColumn="0" w:firstRowLastColumn="0" w:lastRowFirstColumn="0" w:lastRowLastColumn="0"/>
            </w:pPr>
            <w:r w:rsidRPr="00A76FF0">
              <w:t>Sales growth, ROI, EBIT margin</w:t>
            </w:r>
          </w:p>
        </w:tc>
        <w:tc>
          <w:tcPr>
            <w:tcW w:w="0" w:type="auto"/>
            <w:hideMark/>
          </w:tcPr>
          <w:p w14:paraId="673C90CC" w14:textId="1F54C0B6" w:rsidR="000B6062" w:rsidRPr="00A76FF0" w:rsidRDefault="00BD2E49" w:rsidP="00AA1EE7">
            <w:pPr>
              <w:spacing w:after="160"/>
              <w:cnfStyle w:val="000000100000" w:firstRow="0" w:lastRow="0" w:firstColumn="0" w:lastColumn="0" w:oddVBand="0" w:evenVBand="0" w:oddHBand="1" w:evenHBand="0" w:firstRowFirstColumn="0" w:firstRowLastColumn="0" w:lastRowFirstColumn="0" w:lastRowLastColumn="0"/>
            </w:pPr>
            <w:r w:rsidRPr="00A76FF0">
              <w:t>Yearly sales growth can be compared to the 5 percent projection for Brazil's furniture industry (Grand View Research, 2025). ROI and EBIT margins need to be compared to IKEA's international level of approximately 10 percent (Inter IKEA Group, 2024).</w:t>
            </w:r>
          </w:p>
        </w:tc>
      </w:tr>
      <w:tr w:rsidR="000B6062" w:rsidRPr="00A76FF0" w14:paraId="755DDC4E" w14:textId="77777777" w:rsidTr="000B6062">
        <w:tc>
          <w:tcPr>
            <w:cnfStyle w:val="001000000000" w:firstRow="0" w:lastRow="0" w:firstColumn="1" w:lastColumn="0" w:oddVBand="0" w:evenVBand="0" w:oddHBand="0" w:evenHBand="0" w:firstRowFirstColumn="0" w:firstRowLastColumn="0" w:lastRowFirstColumn="0" w:lastRowLastColumn="0"/>
            <w:tcW w:w="0" w:type="auto"/>
            <w:hideMark/>
          </w:tcPr>
          <w:p w14:paraId="26228C7D" w14:textId="0787AE87" w:rsidR="000B6062" w:rsidRPr="00A76FF0" w:rsidRDefault="000B6062" w:rsidP="00AA1EE7">
            <w:pPr>
              <w:spacing w:after="160"/>
            </w:pPr>
            <w:r w:rsidRPr="00A76FF0">
              <w:t>Customer</w:t>
            </w:r>
          </w:p>
        </w:tc>
        <w:tc>
          <w:tcPr>
            <w:tcW w:w="0" w:type="auto"/>
            <w:hideMark/>
          </w:tcPr>
          <w:p w14:paraId="16744EDC" w14:textId="3E15CEC2" w:rsidR="000B6062" w:rsidRPr="00A76FF0" w:rsidRDefault="000B6062" w:rsidP="00AA1EE7">
            <w:pPr>
              <w:spacing w:after="160"/>
              <w:cnfStyle w:val="000000000000" w:firstRow="0" w:lastRow="0" w:firstColumn="0" w:lastColumn="0" w:oddVBand="0" w:evenVBand="0" w:oddHBand="0" w:evenHBand="0" w:firstRowFirstColumn="0" w:firstRowLastColumn="0" w:lastRowFirstColumn="0" w:lastRowLastColumn="0"/>
            </w:pPr>
            <w:r w:rsidRPr="00A76FF0">
              <w:t>Market share, satisfaction index, Net Promoter Score</w:t>
            </w:r>
          </w:p>
        </w:tc>
        <w:tc>
          <w:tcPr>
            <w:tcW w:w="0" w:type="auto"/>
            <w:hideMark/>
          </w:tcPr>
          <w:p w14:paraId="07021149" w14:textId="3DDDE019" w:rsidR="000B6062" w:rsidRPr="00A76FF0" w:rsidRDefault="000B6062"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Market share should be monitored against domestic rivals such as Mobly and </w:t>
            </w:r>
            <w:proofErr w:type="spellStart"/>
            <w:r w:rsidRPr="00A76FF0">
              <w:t>Magalu</w:t>
            </w:r>
            <w:proofErr w:type="spellEnd"/>
            <w:r w:rsidRPr="00A76FF0">
              <w:t xml:space="preserve"> (Mobly, 2025; </w:t>
            </w:r>
            <w:proofErr w:type="spellStart"/>
            <w:r w:rsidRPr="00A76FF0">
              <w:t>Magalu</w:t>
            </w:r>
            <w:proofErr w:type="spellEnd"/>
            <w:r w:rsidRPr="00A76FF0">
              <w:t>, 2025). Customer satisfaction can be assessed through surveys and loyalty programmes (Ingka Group, 2024).</w:t>
            </w:r>
          </w:p>
        </w:tc>
      </w:tr>
      <w:tr w:rsidR="000B6062" w:rsidRPr="00A76FF0" w14:paraId="0F87FA7E" w14:textId="77777777" w:rsidTr="000B606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CD9A4C8" w14:textId="65A4A6B3" w:rsidR="000B6062" w:rsidRPr="00A76FF0" w:rsidRDefault="000B6062" w:rsidP="00AA1EE7">
            <w:pPr>
              <w:spacing w:after="160"/>
            </w:pPr>
            <w:r w:rsidRPr="00A76FF0">
              <w:t>Internal Processes</w:t>
            </w:r>
          </w:p>
        </w:tc>
        <w:tc>
          <w:tcPr>
            <w:tcW w:w="0" w:type="auto"/>
            <w:hideMark/>
          </w:tcPr>
          <w:p w14:paraId="34935DA8" w14:textId="189CA725" w:rsidR="000B6062" w:rsidRPr="00A76FF0" w:rsidRDefault="000B6062" w:rsidP="00AA1EE7">
            <w:pPr>
              <w:spacing w:after="160"/>
              <w:cnfStyle w:val="000000100000" w:firstRow="0" w:lastRow="0" w:firstColumn="0" w:lastColumn="0" w:oddVBand="0" w:evenVBand="0" w:oddHBand="1" w:evenHBand="0" w:firstRowFirstColumn="0" w:firstRowLastColumn="0" w:lastRowFirstColumn="0" w:lastRowLastColumn="0"/>
            </w:pPr>
            <w:r w:rsidRPr="00A76FF0">
              <w:t>Lead times, local sourcing, delivery accuracy</w:t>
            </w:r>
          </w:p>
        </w:tc>
        <w:tc>
          <w:tcPr>
            <w:tcW w:w="0" w:type="auto"/>
            <w:hideMark/>
          </w:tcPr>
          <w:p w14:paraId="147CB712" w14:textId="78BCEF92" w:rsidR="000B6062" w:rsidRPr="00A76FF0" w:rsidRDefault="000A53AE" w:rsidP="00AA1EE7">
            <w:pPr>
              <w:spacing w:after="160"/>
              <w:cnfStyle w:val="000000100000" w:firstRow="0" w:lastRow="0" w:firstColumn="0" w:lastColumn="0" w:oddVBand="0" w:evenVBand="0" w:oddHBand="1" w:evenHBand="0" w:firstRowFirstColumn="0" w:firstRowLastColumn="0" w:lastRowFirstColumn="0" w:lastRowLastColumn="0"/>
            </w:pPr>
            <w:r w:rsidRPr="00A76FF0">
              <w:t>IKEA must aim for 30 percent local sourcing within five years and improve distribution efficiency through regional hubs (</w:t>
            </w:r>
            <w:proofErr w:type="spellStart"/>
            <w:r w:rsidRPr="00A76FF0">
              <w:t>OjoPúblico</w:t>
            </w:r>
            <w:proofErr w:type="spellEnd"/>
            <w:r w:rsidRPr="00A76FF0">
              <w:t>, 2024).</w:t>
            </w:r>
          </w:p>
        </w:tc>
      </w:tr>
      <w:tr w:rsidR="000B6062" w:rsidRPr="00A76FF0" w14:paraId="49EC884B" w14:textId="77777777" w:rsidTr="000B6062">
        <w:tc>
          <w:tcPr>
            <w:cnfStyle w:val="001000000000" w:firstRow="0" w:lastRow="0" w:firstColumn="1" w:lastColumn="0" w:oddVBand="0" w:evenVBand="0" w:oddHBand="0" w:evenHBand="0" w:firstRowFirstColumn="0" w:firstRowLastColumn="0" w:lastRowFirstColumn="0" w:lastRowLastColumn="0"/>
            <w:tcW w:w="0" w:type="auto"/>
            <w:hideMark/>
          </w:tcPr>
          <w:p w14:paraId="6EA17C27" w14:textId="02CE95C9" w:rsidR="000B6062" w:rsidRPr="00A76FF0" w:rsidRDefault="000B6062" w:rsidP="00AA1EE7">
            <w:pPr>
              <w:spacing w:after="160"/>
            </w:pPr>
            <w:r w:rsidRPr="00A76FF0">
              <w:t>Learning and Growth</w:t>
            </w:r>
          </w:p>
        </w:tc>
        <w:tc>
          <w:tcPr>
            <w:tcW w:w="0" w:type="auto"/>
            <w:hideMark/>
          </w:tcPr>
          <w:p w14:paraId="4424CFD7" w14:textId="35CF3AAD" w:rsidR="000B6062" w:rsidRPr="00A76FF0" w:rsidRDefault="000B6062" w:rsidP="00AA1EE7">
            <w:pPr>
              <w:spacing w:after="160"/>
              <w:cnfStyle w:val="000000000000" w:firstRow="0" w:lastRow="0" w:firstColumn="0" w:lastColumn="0" w:oddVBand="0" w:evenVBand="0" w:oddHBand="0" w:evenHBand="0" w:firstRowFirstColumn="0" w:firstRowLastColumn="0" w:lastRowFirstColumn="0" w:lastRowLastColumn="0"/>
            </w:pPr>
            <w:r w:rsidRPr="00A76FF0">
              <w:t>Staff training, retention, digital engagement</w:t>
            </w:r>
          </w:p>
        </w:tc>
        <w:tc>
          <w:tcPr>
            <w:tcW w:w="0" w:type="auto"/>
            <w:hideMark/>
          </w:tcPr>
          <w:p w14:paraId="534645B1" w14:textId="0633B2D1" w:rsidR="000B6062" w:rsidRPr="00A76FF0" w:rsidRDefault="009D1A5B" w:rsidP="00AA1EE7">
            <w:pPr>
              <w:spacing w:after="160"/>
              <w:cnfStyle w:val="000000000000" w:firstRow="0" w:lastRow="0" w:firstColumn="0" w:lastColumn="0" w:oddVBand="0" w:evenVBand="0" w:oddHBand="0" w:evenHBand="0" w:firstRowFirstColumn="0" w:firstRowLastColumn="0" w:lastRowFirstColumn="0" w:lastRowLastColumn="0"/>
            </w:pPr>
            <w:r w:rsidRPr="00A76FF0">
              <w:t>Training hours and employee retention rates will reflect cultural assimilation. Digital metrics such as web sales and app usage are essential within Brazil's growing e-commerce industry (Veiga, 2024; Mercado Libre, 2025).</w:t>
            </w:r>
          </w:p>
        </w:tc>
      </w:tr>
    </w:tbl>
    <w:p w14:paraId="28DAC65B" w14:textId="7630B6D3" w:rsidR="00FD4893" w:rsidRPr="00A76FF0" w:rsidRDefault="00E22368" w:rsidP="00AA1EE7">
      <w:r w:rsidRPr="00A76FF0">
        <w:t>The Balanced Scorecard imposes performance measurement to extend from the financial results to include operational performance, customer outcomes, and organisational learning.</w:t>
      </w:r>
    </w:p>
    <w:p w14:paraId="6BF85FF5" w14:textId="77777777" w:rsidR="00FD4893" w:rsidRPr="00A76FF0" w:rsidRDefault="00FD4893" w:rsidP="00AA1EE7">
      <w:pPr>
        <w:pStyle w:val="Heading2"/>
      </w:pPr>
      <w:bookmarkStart w:id="32" w:name="_Toc215223926"/>
      <w:r w:rsidRPr="00A76FF0">
        <w:t>Triple Bottom Line Integration</w:t>
      </w:r>
      <w:bookmarkEnd w:id="32"/>
    </w:p>
    <w:p w14:paraId="32861E1C" w14:textId="49087E7C" w:rsidR="00FD4893" w:rsidRPr="00A76FF0" w:rsidRDefault="00561191" w:rsidP="00AA1EE7">
      <w:r w:rsidRPr="00A76FF0">
        <w:t>The Triple Bottom Line (TBL) strategy is focused on economic, social, and environmental performance as sustainable performance.</w:t>
      </w:r>
    </w:p>
    <w:tbl>
      <w:tblPr>
        <w:tblStyle w:val="GridTable5Dark-Accent3"/>
        <w:tblW w:w="0" w:type="auto"/>
        <w:tblLook w:val="04A0" w:firstRow="1" w:lastRow="0" w:firstColumn="1" w:lastColumn="0" w:noHBand="0" w:noVBand="1"/>
      </w:tblPr>
      <w:tblGrid>
        <w:gridCol w:w="1759"/>
        <w:gridCol w:w="7257"/>
      </w:tblGrid>
      <w:tr w:rsidR="00FD4893" w:rsidRPr="00A76FF0" w14:paraId="512B4A99" w14:textId="77777777" w:rsidTr="00116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3DE56C" w14:textId="77777777" w:rsidR="00FD4893" w:rsidRPr="00A76FF0" w:rsidRDefault="00FD4893" w:rsidP="00AA1EE7">
            <w:pPr>
              <w:spacing w:after="160"/>
            </w:pPr>
            <w:r w:rsidRPr="00A76FF0">
              <w:t>Dimension</w:t>
            </w:r>
          </w:p>
        </w:tc>
        <w:tc>
          <w:tcPr>
            <w:tcW w:w="0" w:type="auto"/>
            <w:hideMark/>
          </w:tcPr>
          <w:p w14:paraId="0797447E" w14:textId="77777777" w:rsidR="00FD4893" w:rsidRPr="00A76FF0" w:rsidRDefault="00FD4893" w:rsidP="00AA1EE7">
            <w:pPr>
              <w:spacing w:after="160"/>
              <w:cnfStyle w:val="100000000000" w:firstRow="1" w:lastRow="0" w:firstColumn="0" w:lastColumn="0" w:oddVBand="0" w:evenVBand="0" w:oddHBand="0" w:evenHBand="0" w:firstRowFirstColumn="0" w:firstRowLastColumn="0" w:lastRowFirstColumn="0" w:lastRowLastColumn="0"/>
            </w:pPr>
            <w:r w:rsidRPr="00A76FF0">
              <w:t>Application to IKEA in Brazil</w:t>
            </w:r>
          </w:p>
        </w:tc>
      </w:tr>
      <w:tr w:rsidR="000B6062" w:rsidRPr="00A76FF0" w14:paraId="585D4D80" w14:textId="77777777" w:rsidTr="00116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4D9AB99" w14:textId="627CA082" w:rsidR="000B6062" w:rsidRPr="00A76FF0" w:rsidRDefault="000B6062" w:rsidP="00AA1EE7">
            <w:pPr>
              <w:spacing w:after="160"/>
            </w:pPr>
            <w:r w:rsidRPr="00A76FF0">
              <w:lastRenderedPageBreak/>
              <w:t>Economic</w:t>
            </w:r>
          </w:p>
        </w:tc>
        <w:tc>
          <w:tcPr>
            <w:tcW w:w="0" w:type="auto"/>
            <w:hideMark/>
          </w:tcPr>
          <w:p w14:paraId="2D98C228" w14:textId="13A8D0F5" w:rsidR="000B6062" w:rsidRPr="00A76FF0" w:rsidRDefault="006D7B23" w:rsidP="00AA1EE7">
            <w:pPr>
              <w:spacing w:after="160"/>
              <w:cnfStyle w:val="000000100000" w:firstRow="0" w:lastRow="0" w:firstColumn="0" w:lastColumn="0" w:oddVBand="0" w:evenVBand="0" w:oddHBand="1" w:evenHBand="0" w:firstRowFirstColumn="0" w:firstRowLastColumn="0" w:lastRowFirstColumn="0" w:lastRowLastColumn="0"/>
            </w:pPr>
            <w:r w:rsidRPr="00A76FF0">
              <w:t>IKEA will create value in the form of employment, tax paid, and long-term investments (World Bank, 2025; IMF, 2024).</w:t>
            </w:r>
          </w:p>
        </w:tc>
      </w:tr>
      <w:tr w:rsidR="000B6062" w:rsidRPr="00A76FF0" w14:paraId="7A46B246" w14:textId="77777777" w:rsidTr="001162DF">
        <w:tc>
          <w:tcPr>
            <w:cnfStyle w:val="001000000000" w:firstRow="0" w:lastRow="0" w:firstColumn="1" w:lastColumn="0" w:oddVBand="0" w:evenVBand="0" w:oddHBand="0" w:evenHBand="0" w:firstRowFirstColumn="0" w:firstRowLastColumn="0" w:lastRowFirstColumn="0" w:lastRowLastColumn="0"/>
            <w:tcW w:w="0" w:type="auto"/>
            <w:hideMark/>
          </w:tcPr>
          <w:p w14:paraId="0E730098" w14:textId="6AFAB99D" w:rsidR="000B6062" w:rsidRPr="00A76FF0" w:rsidRDefault="000B6062" w:rsidP="00AA1EE7">
            <w:pPr>
              <w:spacing w:after="160"/>
            </w:pPr>
            <w:r w:rsidRPr="00A76FF0">
              <w:t>Environmental</w:t>
            </w:r>
          </w:p>
        </w:tc>
        <w:tc>
          <w:tcPr>
            <w:tcW w:w="0" w:type="auto"/>
            <w:hideMark/>
          </w:tcPr>
          <w:p w14:paraId="6CEA7991" w14:textId="46255729" w:rsidR="000B6062" w:rsidRPr="00A76FF0" w:rsidRDefault="006D7B23"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IKEA's commitment to sustainability includes renewable energy and circular design. Elimination of unsustainable forest sources will be pertinent to Brazil (IKEA, 2025; </w:t>
            </w:r>
            <w:proofErr w:type="spellStart"/>
            <w:r w:rsidRPr="00A76FF0">
              <w:t>OjoPúblico</w:t>
            </w:r>
            <w:proofErr w:type="spellEnd"/>
            <w:r w:rsidRPr="00A76FF0">
              <w:t>, 2024).</w:t>
            </w:r>
          </w:p>
        </w:tc>
      </w:tr>
      <w:tr w:rsidR="000B6062" w:rsidRPr="00A76FF0" w14:paraId="4D3CC33E" w14:textId="77777777" w:rsidTr="00116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532185A" w14:textId="0ED17942" w:rsidR="000B6062" w:rsidRPr="00A76FF0" w:rsidRDefault="000B6062" w:rsidP="00AA1EE7">
            <w:pPr>
              <w:spacing w:after="160"/>
            </w:pPr>
            <w:r w:rsidRPr="00A76FF0">
              <w:t>Social</w:t>
            </w:r>
          </w:p>
        </w:tc>
        <w:tc>
          <w:tcPr>
            <w:tcW w:w="0" w:type="auto"/>
            <w:hideMark/>
          </w:tcPr>
          <w:p w14:paraId="6DDCDDFA" w14:textId="387A3A42" w:rsidR="000B6062" w:rsidRPr="00A76FF0" w:rsidRDefault="006D7B23" w:rsidP="00AA1EE7">
            <w:pPr>
              <w:spacing w:after="160"/>
              <w:cnfStyle w:val="000000100000" w:firstRow="0" w:lastRow="0" w:firstColumn="0" w:lastColumn="0" w:oddVBand="0" w:evenVBand="0" w:oddHBand="1" w:evenHBand="0" w:firstRowFirstColumn="0" w:firstRowLastColumn="0" w:lastRowFirstColumn="0" w:lastRowLastColumn="0"/>
            </w:pPr>
            <w:r w:rsidRPr="00A76FF0">
              <w:t xml:space="preserve">IKEA will provide fair </w:t>
            </w:r>
            <w:proofErr w:type="spellStart"/>
            <w:r w:rsidRPr="00A76FF0">
              <w:t>labor</w:t>
            </w:r>
            <w:proofErr w:type="spellEnd"/>
            <w:r w:rsidRPr="00A76FF0">
              <w:t xml:space="preserve"> and inclusion through employment and training local personnel (</w:t>
            </w:r>
            <w:proofErr w:type="spellStart"/>
            <w:r w:rsidRPr="00A76FF0">
              <w:t>Filgueira</w:t>
            </w:r>
            <w:proofErr w:type="spellEnd"/>
            <w:r w:rsidRPr="00A76FF0">
              <w:t xml:space="preserve"> and Norden, 2025).</w:t>
            </w:r>
          </w:p>
        </w:tc>
      </w:tr>
    </w:tbl>
    <w:p w14:paraId="3C9F48A0" w14:textId="5E18242D" w:rsidR="00FD4893" w:rsidRPr="00A76FF0" w:rsidRDefault="00FD4893" w:rsidP="00AA1EE7">
      <w:r w:rsidRPr="00A76FF0">
        <w:t>Integration of TBL ensures that IKEA’s expansion balances profitability with environmental and social contributions, which is essential in Brazil’s regulatory and consumer context.</w:t>
      </w:r>
    </w:p>
    <w:p w14:paraId="74911702" w14:textId="77777777" w:rsidR="002816AA" w:rsidRPr="00A76FF0" w:rsidRDefault="002816AA" w:rsidP="002816AA">
      <w:pPr>
        <w:pStyle w:val="Heading2"/>
      </w:pPr>
      <w:bookmarkStart w:id="33" w:name="_Toc215223927"/>
      <w:r w:rsidRPr="00A76FF0">
        <w:t>Risk and Sensitivity Analysis</w:t>
      </w:r>
      <w:bookmarkEnd w:id="33"/>
    </w:p>
    <w:p w14:paraId="7D2CA261" w14:textId="516279B5" w:rsidR="002816AA" w:rsidRPr="00A76FF0" w:rsidRDefault="006C69E4" w:rsidP="002816AA">
      <w:r w:rsidRPr="00A76FF0">
        <w:t>Risk analysis supports financial, operational, and reputational risks that will affect performance. The key risks for IKEA are currency exchange rate fluctuations, tax complexity, and supply chain issues (PwC, 2024; IMF, 2024). Sensitivity analysis would be applied to validate the effect of changing the variables. For example, a 15 percent depreciation or a 10 percent logistics cost increase can easily cut profit margins. Ongoing sensitivity analysis enables IKEA to rearrange prices, purchasing, and levels of investment in order to stay financially healthy. Scenario planning needs to be examined every quarter for deviations from intended outcomes so that prompt corrective actions can be initiated.</w:t>
      </w:r>
    </w:p>
    <w:p w14:paraId="261960C8" w14:textId="496E25FF" w:rsidR="002816AA" w:rsidRPr="00A76FF0" w:rsidRDefault="002816AA" w:rsidP="002816AA">
      <w:pPr>
        <w:pStyle w:val="Heading2"/>
      </w:pPr>
      <w:bookmarkStart w:id="34" w:name="_Toc215223928"/>
      <w:r w:rsidRPr="00A76FF0">
        <w:t>Total Quality Management (TQM)</w:t>
      </w:r>
      <w:bookmarkEnd w:id="34"/>
    </w:p>
    <w:p w14:paraId="152EA2CB" w14:textId="24D59E02" w:rsidR="002816AA" w:rsidRPr="00A76FF0" w:rsidRDefault="00C61EC8" w:rsidP="002816AA">
      <w:r w:rsidRPr="00A76FF0">
        <w:t xml:space="preserve">TQM is an outline of continuous improvement in all IKEA operations. It ensures product and service quality by means of supplier audit, employee training, and customer feedback (Hitt, Ireland and </w:t>
      </w:r>
      <w:proofErr w:type="spellStart"/>
      <w:r w:rsidRPr="00A76FF0">
        <w:t>Hoskisson</w:t>
      </w:r>
      <w:proofErr w:type="spellEnd"/>
      <w:r w:rsidRPr="00A76FF0">
        <w:t>, 2024). IKEA must verify accuracy in delivery, assembly satisfaction, and defect rates by means of an internal quality dashboard. Its use guarantees operational efficiency and customer satisfaction are consistent with IKEA's global standards yet responsive to Brazilian needs (</w:t>
      </w:r>
      <w:proofErr w:type="spellStart"/>
      <w:r w:rsidRPr="00A76FF0">
        <w:t>OjoPúblico</w:t>
      </w:r>
      <w:proofErr w:type="spellEnd"/>
      <w:r w:rsidRPr="00A76FF0">
        <w:t>, 2024).</w:t>
      </w:r>
    </w:p>
    <w:p w14:paraId="392804D6" w14:textId="77777777" w:rsidR="002816AA" w:rsidRPr="00A76FF0" w:rsidRDefault="002816AA" w:rsidP="002816AA">
      <w:pPr>
        <w:pStyle w:val="Heading2"/>
      </w:pPr>
      <w:bookmarkStart w:id="35" w:name="_Toc215223929"/>
      <w:r w:rsidRPr="00A76FF0">
        <w:t>Performance Management Systems</w:t>
      </w:r>
      <w:bookmarkEnd w:id="35"/>
    </w:p>
    <w:p w14:paraId="5106EF99" w14:textId="2A25A57A" w:rsidR="003D3841" w:rsidRPr="00A76FF0" w:rsidRDefault="001931B5" w:rsidP="00AA1EE7">
      <w:r w:rsidRPr="00A76FF0">
        <w:t xml:space="preserve">IKEA should unify the Balanced Scorecard and TBL principles within one performance management system. Finance, customer, process, and learning metrics should be monitored at regular intervals by Ingka Group's governance reporting procedures (Ingka Group, 2024). Attendance, productivity, and sustainability compliance should be included in employee KPIs. </w:t>
      </w:r>
      <w:r w:rsidRPr="00A76FF0">
        <w:lastRenderedPageBreak/>
        <w:t xml:space="preserve">Frequent performance appraisal and rewards may </w:t>
      </w:r>
      <w:proofErr w:type="spellStart"/>
      <w:r w:rsidRPr="00A76FF0">
        <w:t>instill</w:t>
      </w:r>
      <w:proofErr w:type="spellEnd"/>
      <w:r w:rsidRPr="00A76FF0">
        <w:t xml:space="preserve"> IKEA's values of innovation, efficiency, and responsibility (Grant, 2021).</w:t>
      </w:r>
    </w:p>
    <w:p w14:paraId="5DC7083D" w14:textId="77777777" w:rsidR="008350C1" w:rsidRPr="00A76FF0" w:rsidRDefault="008350C1" w:rsidP="00AA1EE7">
      <w:pPr>
        <w:pStyle w:val="Heading1"/>
      </w:pPr>
      <w:bookmarkStart w:id="36" w:name="_Toc215223930"/>
      <w:r w:rsidRPr="00A76FF0">
        <w:t>Financial Plan</w:t>
      </w:r>
      <w:bookmarkEnd w:id="36"/>
    </w:p>
    <w:p w14:paraId="180ECDFC" w14:textId="7C651A7C" w:rsidR="00CC72B8" w:rsidRPr="00A76FF0" w:rsidRDefault="00AB705E" w:rsidP="00CC72B8">
      <w:r w:rsidRPr="00A76FF0">
        <w:t>IKEA's expansion into Brazil financial plan enumerates the investment, operating, and profitability projections necessary for successful market entry. The complete financial information, such as the consolidated balance sheet, income statement, cash flow statement, and statement of comprehensive income, is shown in Appendix B (Inter IKEA Group, 2024).</w:t>
      </w:r>
    </w:p>
    <w:p w14:paraId="61E16FF1" w14:textId="77777777" w:rsidR="00CC72B8" w:rsidRPr="00A76FF0" w:rsidRDefault="00CC72B8" w:rsidP="00CC72B8">
      <w:pPr>
        <w:rPr>
          <w:b/>
          <w:bCs/>
        </w:rPr>
      </w:pPr>
      <w:r w:rsidRPr="00A76FF0">
        <w:rPr>
          <w:b/>
          <w:bCs/>
        </w:rPr>
        <w:t>Capital and Operating Expenditure</w:t>
      </w:r>
    </w:p>
    <w:p w14:paraId="6EC77D0B" w14:textId="77777777" w:rsidR="00AB705E" w:rsidRPr="00A76FF0" w:rsidRDefault="00AB705E" w:rsidP="00AB705E">
      <w:r w:rsidRPr="00A76FF0">
        <w:t xml:space="preserve">Strategic growth will necessitate huge capital spending (CAPEX) on the opening of flagship stores, logistics </w:t>
      </w:r>
      <w:proofErr w:type="spellStart"/>
      <w:r w:rsidRPr="00A76FF0">
        <w:t>centers</w:t>
      </w:r>
      <w:proofErr w:type="spellEnd"/>
      <w:r w:rsidRPr="00A76FF0">
        <w:t>, and digital infrastructure. A São Paulo flagship store is estimated to cost between EUR 100 million and EUR 150 million covering land, construction, and interior fit-outs (Prologis Research, 2025). There will be additional investment in warehousing and logistics to cover Brazil's vast geography and urban concentration.</w:t>
      </w:r>
    </w:p>
    <w:p w14:paraId="403B2E60" w14:textId="76150BC0" w:rsidR="00CC72B8" w:rsidRPr="00A76FF0" w:rsidRDefault="00AB705E" w:rsidP="00AB705E">
      <w:r w:rsidRPr="00A76FF0">
        <w:t>Operating expenses (OPEX) will consist of staffing, marketing, and store operations. IKEA will normally have a few hundred employees per large-sized store, and compensation has to comply with Brazilian wage laws. Marketing efforts will be key to creating familiarity among price-conscious but quality-focused consumers who view foreign brands as aspirational (Ma, Yang and Yoo, 2020).</w:t>
      </w:r>
    </w:p>
    <w:p w14:paraId="0C3CAAA2" w14:textId="77777777" w:rsidR="00CC72B8" w:rsidRPr="00A76FF0" w:rsidRDefault="00CC72B8" w:rsidP="00CC72B8">
      <w:pPr>
        <w:rPr>
          <w:b/>
          <w:bCs/>
        </w:rPr>
      </w:pPr>
      <w:r w:rsidRPr="00A76FF0">
        <w:rPr>
          <w:b/>
          <w:bCs/>
        </w:rPr>
        <w:t>Revenue and Profitability Outlook</w:t>
      </w:r>
    </w:p>
    <w:p w14:paraId="078B185C" w14:textId="77777777" w:rsidR="00AB705E" w:rsidRPr="00A76FF0" w:rsidRDefault="00AB705E" w:rsidP="00AB705E">
      <w:r w:rsidRPr="00A76FF0">
        <w:t>The Brazilian furniture market is anticipated to grow steadily up to 2030, driven by middle-class expansion and urbanization (Grand View Research, 2025; Mordor Intelligence, 2025). IKEA may aim for yearly sales growth of approximately 5 percent, in line with domestic retail trends (Reuters, 2025).</w:t>
      </w:r>
    </w:p>
    <w:p w14:paraId="7E32424E" w14:textId="77777777" w:rsidR="00AB705E" w:rsidRPr="00A76FF0" w:rsidRDefault="00AB705E" w:rsidP="00AB705E">
      <w:r w:rsidRPr="00A76FF0">
        <w:t>Based on the FY24 financial reports, Inter IKEA Group registered total assets of EUR 22.47 billion, operating result of EUR 2.34 billion, and net result of EUR 2.20 billion, which points towards strong profitability and liquidity across the globe (Inter IKEA Group, 2024). These figures point towards adequate financial ability to cover initial entry expenses as well as maintain a seven- to ten-year payback period.</w:t>
      </w:r>
    </w:p>
    <w:p w14:paraId="3A017457" w14:textId="6926B613" w:rsidR="008350C1" w:rsidRPr="00A76FF0" w:rsidRDefault="00AB705E" w:rsidP="00AB705E">
      <w:r w:rsidRPr="00A76FF0">
        <w:t xml:space="preserve">IKEA's localisation efficiencies, economies of scale, and reinvestment strategy are set to generate good cash flows when the Brazilian business reaches its maturity. Extensive financials </w:t>
      </w:r>
      <w:r w:rsidRPr="00A76FF0">
        <w:lastRenderedPageBreak/>
        <w:t>shown in Appendix B provide detailed information on cash-flow stability, EBIT margins, and balance-sheet strength behind this foreign expansion.</w:t>
      </w:r>
    </w:p>
    <w:p w14:paraId="64D90F76" w14:textId="77777777" w:rsidR="008350C1" w:rsidRPr="00A76FF0" w:rsidRDefault="008350C1" w:rsidP="00AA1EE7">
      <w:pPr>
        <w:pStyle w:val="Heading2"/>
      </w:pPr>
      <w:bookmarkStart w:id="37" w:name="_Toc215223931"/>
      <w:r w:rsidRPr="00A76FF0">
        <w:t>Break-Even and EBIT Margin Analysis</w:t>
      </w:r>
      <w:bookmarkEnd w:id="37"/>
    </w:p>
    <w:tbl>
      <w:tblPr>
        <w:tblStyle w:val="GridTable4-Accent5"/>
        <w:tblW w:w="0" w:type="auto"/>
        <w:tblLook w:val="04A0" w:firstRow="1" w:lastRow="0" w:firstColumn="1" w:lastColumn="0" w:noHBand="0" w:noVBand="1"/>
      </w:tblPr>
      <w:tblGrid>
        <w:gridCol w:w="1813"/>
        <w:gridCol w:w="7203"/>
      </w:tblGrid>
      <w:tr w:rsidR="008350C1" w:rsidRPr="00A76FF0" w14:paraId="3816F686" w14:textId="77777777" w:rsidTr="001162D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33043F" w14:textId="77777777" w:rsidR="008350C1" w:rsidRPr="00A76FF0" w:rsidRDefault="008350C1" w:rsidP="00AA1EE7">
            <w:pPr>
              <w:spacing w:after="160"/>
            </w:pPr>
            <w:r w:rsidRPr="00A76FF0">
              <w:t>Metric</w:t>
            </w:r>
          </w:p>
        </w:tc>
        <w:tc>
          <w:tcPr>
            <w:tcW w:w="0" w:type="auto"/>
            <w:hideMark/>
          </w:tcPr>
          <w:p w14:paraId="1E36D1AF" w14:textId="77777777" w:rsidR="008350C1" w:rsidRPr="00A76FF0" w:rsidRDefault="008350C1" w:rsidP="00AA1EE7">
            <w:pPr>
              <w:spacing w:after="160"/>
              <w:cnfStyle w:val="100000000000" w:firstRow="1" w:lastRow="0" w:firstColumn="0" w:lastColumn="0" w:oddVBand="0" w:evenVBand="0" w:oddHBand="0" w:evenHBand="0" w:firstRowFirstColumn="0" w:firstRowLastColumn="0" w:lastRowFirstColumn="0" w:lastRowLastColumn="0"/>
            </w:pPr>
            <w:r w:rsidRPr="00A76FF0">
              <w:t>Application for IKEA in Brazil</w:t>
            </w:r>
          </w:p>
        </w:tc>
      </w:tr>
      <w:tr w:rsidR="008350C1" w:rsidRPr="00A76FF0" w14:paraId="02F7B2E9" w14:textId="77777777" w:rsidTr="001162D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FC4540" w14:textId="77777777" w:rsidR="008350C1" w:rsidRPr="00A76FF0" w:rsidRDefault="008350C1" w:rsidP="00AA1EE7">
            <w:pPr>
              <w:spacing w:after="160"/>
            </w:pPr>
            <w:r w:rsidRPr="00A76FF0">
              <w:t>Break-Even Point</w:t>
            </w:r>
          </w:p>
        </w:tc>
        <w:tc>
          <w:tcPr>
            <w:tcW w:w="0" w:type="auto"/>
            <w:hideMark/>
          </w:tcPr>
          <w:p w14:paraId="5FF98888" w14:textId="35DAF3F4" w:rsidR="008350C1" w:rsidRPr="00A76FF0" w:rsidRDefault="00C20A78" w:rsidP="00AA1EE7">
            <w:pPr>
              <w:spacing w:after="160"/>
              <w:cnfStyle w:val="000000100000" w:firstRow="0" w:lastRow="0" w:firstColumn="0" w:lastColumn="0" w:oddVBand="0" w:evenVBand="0" w:oddHBand="1" w:evenHBand="0" w:firstRowFirstColumn="0" w:firstRowLastColumn="0" w:lastRowFirstColumn="0" w:lastRowLastColumn="0"/>
            </w:pPr>
            <w:r w:rsidRPr="00A76FF0">
              <w:t>IKEA has to finance fixed CAPEX of approximately EUR 150 million. On the assumption of average EBIT margins of 10 percent on global operations (Inter IKEA Group, 2024), IKEA would need yearly revenues of EUR 1.5 billion in order to break even within ten years.</w:t>
            </w:r>
          </w:p>
        </w:tc>
      </w:tr>
      <w:tr w:rsidR="008350C1" w:rsidRPr="00A76FF0" w14:paraId="0EC7354A" w14:textId="77777777" w:rsidTr="001162DF">
        <w:tc>
          <w:tcPr>
            <w:cnfStyle w:val="001000000000" w:firstRow="0" w:lastRow="0" w:firstColumn="1" w:lastColumn="0" w:oddVBand="0" w:evenVBand="0" w:oddHBand="0" w:evenHBand="0" w:firstRowFirstColumn="0" w:firstRowLastColumn="0" w:lastRowFirstColumn="0" w:lastRowLastColumn="0"/>
            <w:tcW w:w="0" w:type="auto"/>
            <w:hideMark/>
          </w:tcPr>
          <w:p w14:paraId="73973E87" w14:textId="77777777" w:rsidR="008350C1" w:rsidRPr="00A76FF0" w:rsidRDefault="008350C1" w:rsidP="00AA1EE7">
            <w:pPr>
              <w:spacing w:after="160"/>
            </w:pPr>
            <w:r w:rsidRPr="00A76FF0">
              <w:t>EBIT Margin Comparison</w:t>
            </w:r>
          </w:p>
        </w:tc>
        <w:tc>
          <w:tcPr>
            <w:tcW w:w="0" w:type="auto"/>
            <w:hideMark/>
          </w:tcPr>
          <w:p w14:paraId="0C46AF7E" w14:textId="377AACCF" w:rsidR="008350C1" w:rsidRPr="00A76FF0" w:rsidRDefault="00900310"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A global EBIT margin of approximately 10 percent for IKEA (Inter IKEA Group, 2024) serves as a benchmark. Maintaining equivalent margins in Brazil will be contingent on managing logistics and tax expenses (PwC, 2024; </w:t>
            </w:r>
            <w:proofErr w:type="spellStart"/>
            <w:r w:rsidRPr="00A76FF0">
              <w:t>ApexBrasil</w:t>
            </w:r>
            <w:proofErr w:type="spellEnd"/>
            <w:r w:rsidRPr="00A76FF0">
              <w:t>, 2025).</w:t>
            </w:r>
          </w:p>
        </w:tc>
      </w:tr>
    </w:tbl>
    <w:p w14:paraId="0B541A6C" w14:textId="7C197B96" w:rsidR="008350C1" w:rsidRPr="00A76FF0" w:rsidRDefault="00291D32" w:rsidP="00AA1EE7">
      <w:r w:rsidRPr="00A76FF0">
        <w:t>The financial projection illustrates that although entry is costly in terms of capital, market growth in Brazil coupled with the scale advantages of IKEA create opportunities to profitability within ten years.</w:t>
      </w:r>
    </w:p>
    <w:p w14:paraId="672C26BD" w14:textId="3DDFBC78" w:rsidR="008350C1" w:rsidRPr="00A76FF0" w:rsidRDefault="008350C1" w:rsidP="00AA1EE7">
      <w:pPr>
        <w:pStyle w:val="Heading1"/>
      </w:pPr>
      <w:bookmarkStart w:id="38" w:name="_Toc215223932"/>
      <w:r w:rsidRPr="00A76FF0">
        <w:t>Risk Analysis and Contingency Planning</w:t>
      </w:r>
      <w:bookmarkEnd w:id="38"/>
    </w:p>
    <w:p w14:paraId="5573F63E" w14:textId="3608C7F2" w:rsidR="00946C9F" w:rsidRPr="00A76FF0" w:rsidRDefault="008B57F2" w:rsidP="00AA1EE7">
      <w:r w:rsidRPr="00A76FF0">
        <w:t>IKEA's move to Brazil offers opportunities for growth but is exposed to a high level of risk that requires careful planning.</w:t>
      </w:r>
    </w:p>
    <w:p w14:paraId="265B33C4" w14:textId="77319A0F" w:rsidR="00E96C96" w:rsidRPr="00A76FF0" w:rsidRDefault="00946C9F" w:rsidP="00AA1EE7">
      <w:pPr>
        <w:pStyle w:val="ListParagraph"/>
        <w:numPr>
          <w:ilvl w:val="0"/>
          <w:numId w:val="35"/>
        </w:numPr>
      </w:pPr>
      <w:r w:rsidRPr="00A76FF0">
        <w:rPr>
          <w:b/>
          <w:bCs/>
        </w:rPr>
        <w:t>Political and Economic Risk</w:t>
      </w:r>
      <w:r w:rsidRPr="00A76FF0">
        <w:t xml:space="preserve"> </w:t>
      </w:r>
      <w:r w:rsidR="008B57F2" w:rsidRPr="00A76FF0">
        <w:t>is generated by Brazil's intricate tax and regulatory system, and thus it is a higher compliance cost (PwC, 2024). Import prices and profitability can also be affected by currency fluctuations (IMF, 2024).</w:t>
      </w:r>
    </w:p>
    <w:p w14:paraId="1328C753" w14:textId="3DE28E5E" w:rsidR="00E96C96" w:rsidRPr="00A76FF0" w:rsidRDefault="00946C9F" w:rsidP="00AA1EE7">
      <w:pPr>
        <w:pStyle w:val="ListParagraph"/>
        <w:numPr>
          <w:ilvl w:val="0"/>
          <w:numId w:val="35"/>
        </w:numPr>
      </w:pPr>
      <w:r w:rsidRPr="00A76FF0">
        <w:rPr>
          <w:b/>
          <w:bCs/>
        </w:rPr>
        <w:t>Competitive Retaliation Risk</w:t>
      </w:r>
      <w:r w:rsidRPr="00A76FF0">
        <w:t xml:space="preserve"> </w:t>
      </w:r>
      <w:r w:rsidR="00795DB0" w:rsidRPr="00A76FF0">
        <w:t xml:space="preserve">is posed by incumbent rivals such as Mobly and Magazine Luiza, who can retaliate fiercely with price cuts or promotions (Mobly, 2025; </w:t>
      </w:r>
      <w:proofErr w:type="spellStart"/>
      <w:r w:rsidR="00795DB0" w:rsidRPr="00A76FF0">
        <w:t>Magalu</w:t>
      </w:r>
      <w:proofErr w:type="spellEnd"/>
      <w:r w:rsidR="00795DB0" w:rsidRPr="00A76FF0">
        <w:t>, 2025).</w:t>
      </w:r>
    </w:p>
    <w:p w14:paraId="6992CA7E" w14:textId="5B9C82E8" w:rsidR="00E96C96" w:rsidRPr="00A76FF0" w:rsidRDefault="00946C9F" w:rsidP="00AA1EE7">
      <w:pPr>
        <w:pStyle w:val="ListParagraph"/>
        <w:numPr>
          <w:ilvl w:val="0"/>
          <w:numId w:val="35"/>
        </w:numPr>
      </w:pPr>
      <w:r w:rsidRPr="00A76FF0">
        <w:rPr>
          <w:b/>
          <w:bCs/>
        </w:rPr>
        <w:t>Supply Chain and Logistics Risk</w:t>
      </w:r>
      <w:r w:rsidRPr="00A76FF0">
        <w:t xml:space="preserve"> </w:t>
      </w:r>
      <w:r w:rsidR="00681C57" w:rsidRPr="00A76FF0">
        <w:t>is a warning of infrastructure shortages and high transportation rates. Prologis Research (2025) cites drastic trends in logistics and rent markets that can increase operating expenses for IKEA.</w:t>
      </w:r>
    </w:p>
    <w:p w14:paraId="58F2D180" w14:textId="6FCC5E8B" w:rsidR="00946C9F" w:rsidRPr="00A76FF0" w:rsidRDefault="00946C9F" w:rsidP="00AA1EE7">
      <w:pPr>
        <w:pStyle w:val="ListParagraph"/>
        <w:numPr>
          <w:ilvl w:val="0"/>
          <w:numId w:val="35"/>
        </w:numPr>
      </w:pPr>
      <w:r w:rsidRPr="00A76FF0">
        <w:rPr>
          <w:b/>
          <w:bCs/>
        </w:rPr>
        <w:t>Consumer Acceptance and Cultural Fit</w:t>
      </w:r>
      <w:r w:rsidRPr="00A76FF0">
        <w:t xml:space="preserve"> </w:t>
      </w:r>
      <w:r w:rsidR="00C83D9E" w:rsidRPr="00A76FF0">
        <w:t>is also a challenge. Although Brazilian consumers are open to foreign brands, ethnocentric inclination and customary expectations of personalized service would clash with IKEA's self-service business model (Ma, Yang and Yoo, 2020).</w:t>
      </w:r>
    </w:p>
    <w:p w14:paraId="765BF3C3" w14:textId="77777777" w:rsidR="00946C9F" w:rsidRPr="00A76FF0" w:rsidRDefault="00946C9F" w:rsidP="00AA1EE7">
      <w:pPr>
        <w:pStyle w:val="Heading2"/>
      </w:pPr>
      <w:bookmarkStart w:id="39" w:name="_Toc215223933"/>
      <w:r w:rsidRPr="00A76FF0">
        <w:lastRenderedPageBreak/>
        <w:t>Scenario Planning</w:t>
      </w:r>
      <w:bookmarkEnd w:id="39"/>
    </w:p>
    <w:tbl>
      <w:tblPr>
        <w:tblStyle w:val="GridTable5Dark-Accent5"/>
        <w:tblW w:w="0" w:type="auto"/>
        <w:tblLook w:val="04A0" w:firstRow="1" w:lastRow="0" w:firstColumn="1" w:lastColumn="0" w:noHBand="0" w:noVBand="1"/>
      </w:tblPr>
      <w:tblGrid>
        <w:gridCol w:w="2034"/>
        <w:gridCol w:w="2033"/>
        <w:gridCol w:w="4949"/>
      </w:tblGrid>
      <w:tr w:rsidR="00946C9F" w:rsidRPr="00A76FF0" w14:paraId="22925ADE" w14:textId="77777777" w:rsidTr="00946C9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0A37EFE" w14:textId="77777777" w:rsidR="00946C9F" w:rsidRPr="00A76FF0" w:rsidRDefault="00946C9F" w:rsidP="00AA1EE7">
            <w:pPr>
              <w:spacing w:after="160"/>
            </w:pPr>
            <w:r w:rsidRPr="00A76FF0">
              <w:t>Risk Factor</w:t>
            </w:r>
          </w:p>
        </w:tc>
        <w:tc>
          <w:tcPr>
            <w:tcW w:w="0" w:type="auto"/>
            <w:hideMark/>
          </w:tcPr>
          <w:p w14:paraId="5B4BB98D" w14:textId="77777777" w:rsidR="00946C9F" w:rsidRPr="00A76FF0" w:rsidRDefault="00946C9F" w:rsidP="00AA1EE7">
            <w:pPr>
              <w:spacing w:after="160"/>
              <w:cnfStyle w:val="100000000000" w:firstRow="1" w:lastRow="0" w:firstColumn="0" w:lastColumn="0" w:oddVBand="0" w:evenVBand="0" w:oddHBand="0" w:evenHBand="0" w:firstRowFirstColumn="0" w:firstRowLastColumn="0" w:lastRowFirstColumn="0" w:lastRowLastColumn="0"/>
            </w:pPr>
            <w:r w:rsidRPr="00A76FF0">
              <w:t>Scenario</w:t>
            </w:r>
          </w:p>
        </w:tc>
        <w:tc>
          <w:tcPr>
            <w:tcW w:w="0" w:type="auto"/>
            <w:hideMark/>
          </w:tcPr>
          <w:p w14:paraId="031A49EA" w14:textId="77777777" w:rsidR="00946C9F" w:rsidRPr="00A76FF0" w:rsidRDefault="00946C9F" w:rsidP="00AA1EE7">
            <w:pPr>
              <w:spacing w:after="160"/>
              <w:cnfStyle w:val="100000000000" w:firstRow="1" w:lastRow="0" w:firstColumn="0" w:lastColumn="0" w:oddVBand="0" w:evenVBand="0" w:oddHBand="0" w:evenHBand="0" w:firstRowFirstColumn="0" w:firstRowLastColumn="0" w:lastRowFirstColumn="0" w:lastRowLastColumn="0"/>
            </w:pPr>
            <w:r w:rsidRPr="00A76FF0">
              <w:t>Contingency</w:t>
            </w:r>
          </w:p>
        </w:tc>
      </w:tr>
      <w:tr w:rsidR="00946C9F" w:rsidRPr="00A76FF0" w14:paraId="03075AFA" w14:textId="77777777" w:rsidTr="00946C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3B4CDB7" w14:textId="77777777" w:rsidR="00946C9F" w:rsidRPr="00A76FF0" w:rsidRDefault="00946C9F" w:rsidP="00AA1EE7">
            <w:pPr>
              <w:spacing w:after="160"/>
            </w:pPr>
            <w:r w:rsidRPr="00A76FF0">
              <w:t>Currency depreciation</w:t>
            </w:r>
          </w:p>
        </w:tc>
        <w:tc>
          <w:tcPr>
            <w:tcW w:w="0" w:type="auto"/>
            <w:hideMark/>
          </w:tcPr>
          <w:p w14:paraId="2A44D8DF" w14:textId="77777777" w:rsidR="00946C9F" w:rsidRPr="00A76FF0" w:rsidRDefault="00946C9F" w:rsidP="00AA1EE7">
            <w:pPr>
              <w:spacing w:after="160"/>
              <w:cnfStyle w:val="000000100000" w:firstRow="0" w:lastRow="0" w:firstColumn="0" w:lastColumn="0" w:oddVBand="0" w:evenVBand="0" w:oddHBand="1" w:evenHBand="0" w:firstRowFirstColumn="0" w:firstRowLastColumn="0" w:lastRowFirstColumn="0" w:lastRowLastColumn="0"/>
            </w:pPr>
            <w:r w:rsidRPr="00A76FF0">
              <w:t>Imports rise 15%</w:t>
            </w:r>
          </w:p>
        </w:tc>
        <w:tc>
          <w:tcPr>
            <w:tcW w:w="0" w:type="auto"/>
            <w:hideMark/>
          </w:tcPr>
          <w:p w14:paraId="2E40B25D" w14:textId="77777777" w:rsidR="00946C9F" w:rsidRPr="00A76FF0" w:rsidRDefault="00946C9F" w:rsidP="00AA1EE7">
            <w:pPr>
              <w:spacing w:after="160"/>
              <w:cnfStyle w:val="000000100000" w:firstRow="0" w:lastRow="0" w:firstColumn="0" w:lastColumn="0" w:oddVBand="0" w:evenVBand="0" w:oddHBand="1" w:evenHBand="0" w:firstRowFirstColumn="0" w:firstRowLastColumn="0" w:lastRowFirstColumn="0" w:lastRowLastColumn="0"/>
            </w:pPr>
            <w:r w:rsidRPr="00A76FF0">
              <w:t>Increase local sourcing to 30% in five years (</w:t>
            </w:r>
            <w:proofErr w:type="spellStart"/>
            <w:r w:rsidRPr="00A76FF0">
              <w:t>OjoPúblico</w:t>
            </w:r>
            <w:proofErr w:type="spellEnd"/>
            <w:r w:rsidRPr="00A76FF0">
              <w:t>, 2024).</w:t>
            </w:r>
          </w:p>
        </w:tc>
      </w:tr>
      <w:tr w:rsidR="00946C9F" w:rsidRPr="00A76FF0" w14:paraId="5BACC438" w14:textId="77777777" w:rsidTr="00946C9F">
        <w:tc>
          <w:tcPr>
            <w:cnfStyle w:val="001000000000" w:firstRow="0" w:lastRow="0" w:firstColumn="1" w:lastColumn="0" w:oddVBand="0" w:evenVBand="0" w:oddHBand="0" w:evenHBand="0" w:firstRowFirstColumn="0" w:firstRowLastColumn="0" w:lastRowFirstColumn="0" w:lastRowLastColumn="0"/>
            <w:tcW w:w="0" w:type="auto"/>
            <w:hideMark/>
          </w:tcPr>
          <w:p w14:paraId="4C39DD58" w14:textId="77777777" w:rsidR="00946C9F" w:rsidRPr="00A76FF0" w:rsidRDefault="00946C9F" w:rsidP="00AA1EE7">
            <w:pPr>
              <w:spacing w:after="160"/>
            </w:pPr>
            <w:r w:rsidRPr="00A76FF0">
              <w:t>Regulatory shifts</w:t>
            </w:r>
          </w:p>
        </w:tc>
        <w:tc>
          <w:tcPr>
            <w:tcW w:w="0" w:type="auto"/>
            <w:hideMark/>
          </w:tcPr>
          <w:p w14:paraId="62ED5F79" w14:textId="77777777" w:rsidR="00946C9F" w:rsidRPr="00A76FF0" w:rsidRDefault="00946C9F" w:rsidP="00AA1EE7">
            <w:pPr>
              <w:spacing w:after="160"/>
              <w:cnfStyle w:val="000000000000" w:firstRow="0" w:lastRow="0" w:firstColumn="0" w:lastColumn="0" w:oddVBand="0" w:evenVBand="0" w:oddHBand="0" w:evenHBand="0" w:firstRowFirstColumn="0" w:firstRowLastColumn="0" w:lastRowFirstColumn="0" w:lastRowLastColumn="0"/>
            </w:pPr>
            <w:r w:rsidRPr="00A76FF0">
              <w:t>New taxes imposed</w:t>
            </w:r>
          </w:p>
        </w:tc>
        <w:tc>
          <w:tcPr>
            <w:tcW w:w="0" w:type="auto"/>
            <w:hideMark/>
          </w:tcPr>
          <w:p w14:paraId="47748205" w14:textId="77777777" w:rsidR="00946C9F" w:rsidRPr="00A76FF0" w:rsidRDefault="00946C9F" w:rsidP="00AA1EE7">
            <w:pPr>
              <w:spacing w:after="160"/>
              <w:cnfStyle w:val="000000000000" w:firstRow="0" w:lastRow="0" w:firstColumn="0" w:lastColumn="0" w:oddVBand="0" w:evenVBand="0" w:oddHBand="0" w:evenHBand="0" w:firstRowFirstColumn="0" w:firstRowLastColumn="0" w:lastRowFirstColumn="0" w:lastRowLastColumn="0"/>
            </w:pPr>
            <w:r w:rsidRPr="00A76FF0">
              <w:t xml:space="preserve">Partner with </w:t>
            </w:r>
            <w:proofErr w:type="spellStart"/>
            <w:r w:rsidRPr="00A76FF0">
              <w:t>ApexBrasil</w:t>
            </w:r>
            <w:proofErr w:type="spellEnd"/>
            <w:r w:rsidRPr="00A76FF0">
              <w:t xml:space="preserve"> or use joint venture to share compliance (</w:t>
            </w:r>
            <w:proofErr w:type="spellStart"/>
            <w:r w:rsidRPr="00A76FF0">
              <w:t>ApexBrasil</w:t>
            </w:r>
            <w:proofErr w:type="spellEnd"/>
            <w:r w:rsidRPr="00A76FF0">
              <w:t>, 2025).</w:t>
            </w:r>
          </w:p>
        </w:tc>
      </w:tr>
      <w:tr w:rsidR="00946C9F" w:rsidRPr="00A76FF0" w14:paraId="352864D8" w14:textId="77777777" w:rsidTr="00946C9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F08059" w14:textId="77777777" w:rsidR="00946C9F" w:rsidRPr="00A76FF0" w:rsidRDefault="00946C9F" w:rsidP="00AA1EE7">
            <w:pPr>
              <w:spacing w:after="160"/>
            </w:pPr>
            <w:r w:rsidRPr="00A76FF0">
              <w:t>Competitive retaliation</w:t>
            </w:r>
          </w:p>
        </w:tc>
        <w:tc>
          <w:tcPr>
            <w:tcW w:w="0" w:type="auto"/>
            <w:hideMark/>
          </w:tcPr>
          <w:p w14:paraId="5E788E4D" w14:textId="77777777" w:rsidR="00946C9F" w:rsidRPr="00A76FF0" w:rsidRDefault="00946C9F" w:rsidP="00AA1EE7">
            <w:pPr>
              <w:spacing w:after="160"/>
              <w:cnfStyle w:val="000000100000" w:firstRow="0" w:lastRow="0" w:firstColumn="0" w:lastColumn="0" w:oddVBand="0" w:evenVBand="0" w:oddHBand="1" w:evenHBand="0" w:firstRowFirstColumn="0" w:firstRowLastColumn="0" w:lastRowFirstColumn="0" w:lastRowLastColumn="0"/>
            </w:pPr>
            <w:r w:rsidRPr="00A76FF0">
              <w:t>Rivals reduce prices 10%</w:t>
            </w:r>
          </w:p>
        </w:tc>
        <w:tc>
          <w:tcPr>
            <w:tcW w:w="0" w:type="auto"/>
            <w:hideMark/>
          </w:tcPr>
          <w:p w14:paraId="51F8141C" w14:textId="77777777" w:rsidR="00946C9F" w:rsidRPr="00A76FF0" w:rsidRDefault="00946C9F" w:rsidP="00AA1EE7">
            <w:pPr>
              <w:spacing w:after="160"/>
              <w:cnfStyle w:val="000000100000" w:firstRow="0" w:lastRow="0" w:firstColumn="0" w:lastColumn="0" w:oddVBand="0" w:evenVBand="0" w:oddHBand="1" w:evenHBand="0" w:firstRowFirstColumn="0" w:firstRowLastColumn="0" w:lastRowFirstColumn="0" w:lastRowLastColumn="0"/>
            </w:pPr>
            <w:r w:rsidRPr="00A76FF0">
              <w:t>Strengthen sustainability and modular design differentiation (IKEA, 2025).</w:t>
            </w:r>
          </w:p>
        </w:tc>
      </w:tr>
      <w:tr w:rsidR="00946C9F" w:rsidRPr="00A76FF0" w14:paraId="3AF8B6BA" w14:textId="77777777" w:rsidTr="00946C9F">
        <w:tc>
          <w:tcPr>
            <w:cnfStyle w:val="001000000000" w:firstRow="0" w:lastRow="0" w:firstColumn="1" w:lastColumn="0" w:oddVBand="0" w:evenVBand="0" w:oddHBand="0" w:evenHBand="0" w:firstRowFirstColumn="0" w:firstRowLastColumn="0" w:lastRowFirstColumn="0" w:lastRowLastColumn="0"/>
            <w:tcW w:w="0" w:type="auto"/>
            <w:hideMark/>
          </w:tcPr>
          <w:p w14:paraId="69B170CF" w14:textId="77777777" w:rsidR="00946C9F" w:rsidRPr="00A76FF0" w:rsidRDefault="00946C9F" w:rsidP="00AA1EE7">
            <w:pPr>
              <w:spacing w:after="160"/>
            </w:pPr>
            <w:r w:rsidRPr="00A76FF0">
              <w:t>Cultural rejection</w:t>
            </w:r>
          </w:p>
        </w:tc>
        <w:tc>
          <w:tcPr>
            <w:tcW w:w="0" w:type="auto"/>
            <w:hideMark/>
          </w:tcPr>
          <w:p w14:paraId="574193D5" w14:textId="77777777" w:rsidR="00946C9F" w:rsidRPr="00A76FF0" w:rsidRDefault="00946C9F" w:rsidP="00AA1EE7">
            <w:pPr>
              <w:spacing w:after="160"/>
              <w:cnfStyle w:val="000000000000" w:firstRow="0" w:lastRow="0" w:firstColumn="0" w:lastColumn="0" w:oddVBand="0" w:evenVBand="0" w:oddHBand="0" w:evenHBand="0" w:firstRowFirstColumn="0" w:firstRowLastColumn="0" w:lastRowFirstColumn="0" w:lastRowLastColumn="0"/>
            </w:pPr>
            <w:r w:rsidRPr="00A76FF0">
              <w:t>Low adoption of self-service</w:t>
            </w:r>
          </w:p>
        </w:tc>
        <w:tc>
          <w:tcPr>
            <w:tcW w:w="0" w:type="auto"/>
            <w:hideMark/>
          </w:tcPr>
          <w:p w14:paraId="09D13C08" w14:textId="77777777" w:rsidR="00946C9F" w:rsidRPr="00A76FF0" w:rsidRDefault="00946C9F" w:rsidP="00AA1EE7">
            <w:pPr>
              <w:spacing w:after="160"/>
              <w:cnfStyle w:val="000000000000" w:firstRow="0" w:lastRow="0" w:firstColumn="0" w:lastColumn="0" w:oddVBand="0" w:evenVBand="0" w:oddHBand="0" w:evenHBand="0" w:firstRowFirstColumn="0" w:firstRowLastColumn="0" w:lastRowFirstColumn="0" w:lastRowLastColumn="0"/>
            </w:pPr>
            <w:r w:rsidRPr="00A76FF0">
              <w:t>Expand delivery and assembly services (Sousa et al., 2021).</w:t>
            </w:r>
          </w:p>
        </w:tc>
      </w:tr>
    </w:tbl>
    <w:p w14:paraId="7848D743" w14:textId="2ACADA8B" w:rsidR="008350C1" w:rsidRPr="00A76FF0" w:rsidRDefault="00946C9F" w:rsidP="00AA1EE7">
      <w:r w:rsidRPr="00A76FF0">
        <w:t>IKEA’s resilience will depend on proactive monitoring and adaptive strategies.</w:t>
      </w:r>
    </w:p>
    <w:p w14:paraId="721A36CF" w14:textId="5A089FB3" w:rsidR="008350C1" w:rsidRPr="00A76FF0" w:rsidRDefault="008350C1" w:rsidP="00AA1EE7">
      <w:pPr>
        <w:pStyle w:val="Heading1"/>
      </w:pPr>
      <w:bookmarkStart w:id="40" w:name="_Toc215223934"/>
      <w:r w:rsidRPr="00A76FF0">
        <w:t>Recommendations and Conclusion</w:t>
      </w:r>
      <w:bookmarkEnd w:id="40"/>
    </w:p>
    <w:p w14:paraId="72B58B1F" w14:textId="7821B59A" w:rsidR="008350C1" w:rsidRPr="00A76FF0" w:rsidRDefault="008337E6" w:rsidP="00AA1EE7">
      <w:r w:rsidRPr="00A76FF0">
        <w:t>The research verifies that Brazil presents massive opportunities for IKEA with 200 million-plus inhabitants, urbanization, and estimated growth of the furniture market until 2030 (IBGE, 2025; Grand View Research, 2025). It will need to get past problems of taxation, logistics, and culture to succeed.</w:t>
      </w:r>
    </w:p>
    <w:p w14:paraId="7650AA05" w14:textId="77777777" w:rsidR="008350C1" w:rsidRPr="00A76FF0" w:rsidRDefault="008350C1" w:rsidP="00AA1EE7">
      <w:pPr>
        <w:pStyle w:val="Heading2"/>
      </w:pPr>
      <w:bookmarkStart w:id="41" w:name="_Toc215223935"/>
      <w:r w:rsidRPr="00A76FF0">
        <w:t>Recommended Entry Mode and Strategy</w:t>
      </w:r>
      <w:bookmarkEnd w:id="41"/>
    </w:p>
    <w:p w14:paraId="39A72211" w14:textId="02D52314" w:rsidR="008350C1" w:rsidRPr="00A76FF0" w:rsidRDefault="00B52031" w:rsidP="00AA1EE7">
      <w:r w:rsidRPr="00A76FF0">
        <w:t xml:space="preserve">In order to effectively enter the Brazilian market, IKEA must adopt a phased expansion strategy, starting with an online-first strategy to test consumer </w:t>
      </w:r>
      <w:proofErr w:type="spellStart"/>
      <w:r w:rsidRPr="00A76FF0">
        <w:t>behavior</w:t>
      </w:r>
      <w:proofErr w:type="spellEnd"/>
      <w:r w:rsidRPr="00A76FF0">
        <w:t xml:space="preserve"> and tastes. Such an online pilot can be supplemented with strategic partnerships with veteran e-commerce sites such as Mercado Libre, which invested USD 5.8 billion in Brazil in 2025 (Mercado Libre, 2025). After preliminary market confirmation, IKEA must set up a fully owned flagship store in São Paulo as a brand anchor and then expand operations across main urban areas. For avoiding regulatory intricacies and strengthening local trustworthiness, a joint venture in the first stage is recommended (</w:t>
      </w:r>
      <w:proofErr w:type="spellStart"/>
      <w:r w:rsidRPr="00A76FF0">
        <w:t>Holtbrügge</w:t>
      </w:r>
      <w:proofErr w:type="spellEnd"/>
      <w:r w:rsidRPr="00A76FF0">
        <w:t xml:space="preserve"> and Baron, 2013).</w:t>
      </w:r>
    </w:p>
    <w:p w14:paraId="5BD2BF1D" w14:textId="77777777" w:rsidR="008350C1" w:rsidRPr="00A76FF0" w:rsidRDefault="008350C1" w:rsidP="00AA1EE7">
      <w:r w:rsidRPr="00A76FF0">
        <w:rPr>
          <w:b/>
          <w:bCs/>
        </w:rPr>
        <w:t>Key Recommendations</w:t>
      </w:r>
    </w:p>
    <w:p w14:paraId="3EFAACAD" w14:textId="7BC16356" w:rsidR="008350C1" w:rsidRPr="00A76FF0" w:rsidRDefault="008350C1" w:rsidP="00B36417">
      <w:pPr>
        <w:pStyle w:val="ListParagraph"/>
        <w:numPr>
          <w:ilvl w:val="0"/>
          <w:numId w:val="34"/>
        </w:numPr>
      </w:pPr>
      <w:r w:rsidRPr="00A76FF0">
        <w:rPr>
          <w:b/>
          <w:bCs/>
        </w:rPr>
        <w:t>Localise Supply Chains</w:t>
      </w:r>
      <w:r w:rsidRPr="00A76FF0">
        <w:t xml:space="preserve">: </w:t>
      </w:r>
      <w:r w:rsidR="003C7481" w:rsidRPr="00A76FF0">
        <w:t>Achieve 30% local procurement in five years to lower operational expenses and protect against currency fluctuations (</w:t>
      </w:r>
      <w:proofErr w:type="spellStart"/>
      <w:r w:rsidR="003C7481" w:rsidRPr="00A76FF0">
        <w:t>OjoPúblico</w:t>
      </w:r>
      <w:proofErr w:type="spellEnd"/>
      <w:r w:rsidR="003C7481" w:rsidRPr="00A76FF0">
        <w:t>, 2024).</w:t>
      </w:r>
    </w:p>
    <w:p w14:paraId="31BF4D54" w14:textId="107EB2FE" w:rsidR="008350C1" w:rsidRPr="00A76FF0" w:rsidRDefault="008350C1" w:rsidP="00B36417">
      <w:pPr>
        <w:pStyle w:val="ListParagraph"/>
        <w:numPr>
          <w:ilvl w:val="0"/>
          <w:numId w:val="34"/>
        </w:numPr>
      </w:pPr>
      <w:r w:rsidRPr="00A76FF0">
        <w:rPr>
          <w:b/>
          <w:bCs/>
        </w:rPr>
        <w:t>Strengthen Digital Channels</w:t>
      </w:r>
      <w:r w:rsidRPr="00A76FF0">
        <w:t xml:space="preserve">: </w:t>
      </w:r>
      <w:r w:rsidR="00646F2D" w:rsidRPr="00A76FF0">
        <w:t>Leverage Brazil's surging e-commerce growth by investing in omnichannel capacity and mobile-first engagement (Veiga, 2024).</w:t>
      </w:r>
    </w:p>
    <w:p w14:paraId="13065940" w14:textId="76031E52" w:rsidR="008350C1" w:rsidRPr="00A76FF0" w:rsidRDefault="008350C1" w:rsidP="00B36417">
      <w:pPr>
        <w:pStyle w:val="ListParagraph"/>
        <w:numPr>
          <w:ilvl w:val="0"/>
          <w:numId w:val="34"/>
        </w:numPr>
      </w:pPr>
      <w:r w:rsidRPr="00A76FF0">
        <w:rPr>
          <w:b/>
          <w:bCs/>
        </w:rPr>
        <w:lastRenderedPageBreak/>
        <w:t>Adapt Product and Services</w:t>
      </w:r>
      <w:r w:rsidRPr="00A76FF0">
        <w:t xml:space="preserve">: </w:t>
      </w:r>
      <w:r w:rsidR="00A93432" w:rsidRPr="00A76FF0">
        <w:t>Offer modular furniture and delivery and assembly efficiency that addresses urban lifestyles and cultural sensitivities (Sousa et al., 2021).</w:t>
      </w:r>
    </w:p>
    <w:p w14:paraId="759A9588" w14:textId="45DDA661" w:rsidR="008350C1" w:rsidRPr="00A76FF0" w:rsidRDefault="008350C1" w:rsidP="00AA1EE7">
      <w:pPr>
        <w:numPr>
          <w:ilvl w:val="0"/>
          <w:numId w:val="34"/>
        </w:numPr>
      </w:pPr>
      <w:r w:rsidRPr="00A76FF0">
        <w:rPr>
          <w:b/>
          <w:bCs/>
        </w:rPr>
        <w:t>Embed Sustainability</w:t>
      </w:r>
      <w:r w:rsidRPr="00A76FF0">
        <w:t xml:space="preserve">: </w:t>
      </w:r>
      <w:r w:rsidR="00415EC1" w:rsidRPr="00A76FF0">
        <w:t>Practice timber sourcing transparency and broaden renewable energy measures to meet consumer expectations and regulatory requirements (OECD, 2022; IKEA, 2025).</w:t>
      </w:r>
    </w:p>
    <w:p w14:paraId="359D21C2" w14:textId="77777777" w:rsidR="00946C9F" w:rsidRPr="00A76FF0" w:rsidRDefault="008350C1" w:rsidP="00AA1EE7">
      <w:pPr>
        <w:pStyle w:val="Heading2"/>
      </w:pPr>
      <w:bookmarkStart w:id="42" w:name="_Toc215223936"/>
      <w:r w:rsidRPr="00A76FF0">
        <w:t>Conclusion</w:t>
      </w:r>
      <w:bookmarkEnd w:id="42"/>
    </w:p>
    <w:p w14:paraId="7CA721C7" w14:textId="3F801587" w:rsidR="005B39A5" w:rsidRPr="00A76FF0" w:rsidRDefault="00415EC1" w:rsidP="00AA1EE7">
      <w:r w:rsidRPr="00A76FF0">
        <w:t>By positioning its twin approach of cost leadership and differentiation in line with the changing needs of Brazil's middle-class urbanites, IKEA can create relevant value while remaining committed to making every day a little better (IKEA, 2025). This staged strategy not only cushions the risk of entry but also creates legitimacy and sustainable expansion in South America's largest consumer economy.</w:t>
      </w:r>
      <w:r w:rsidR="005B39A5" w:rsidRPr="00A76FF0">
        <w:br w:type="page"/>
      </w:r>
    </w:p>
    <w:p w14:paraId="51F7A1EC" w14:textId="0311CA2D" w:rsidR="007A6AC1" w:rsidRPr="00A76FF0" w:rsidRDefault="005B39A5" w:rsidP="00AA1EE7">
      <w:pPr>
        <w:pStyle w:val="Heading1"/>
      </w:pPr>
      <w:bookmarkStart w:id="43" w:name="_Toc215223937"/>
      <w:r w:rsidRPr="00A76FF0">
        <w:lastRenderedPageBreak/>
        <w:t>References</w:t>
      </w:r>
      <w:bookmarkEnd w:id="43"/>
    </w:p>
    <w:p w14:paraId="706A4224" w14:textId="77777777" w:rsidR="006F588E" w:rsidRPr="00A76FF0" w:rsidRDefault="006F588E" w:rsidP="002203B0">
      <w:pPr>
        <w:ind w:left="720" w:hanging="720"/>
      </w:pPr>
      <w:r w:rsidRPr="00A76FF0">
        <w:t xml:space="preserve">Alexander, N. and de Lira e Silva, M. (2002) Emerging markets and the internationalisation of retailing: The Brazilian experience, </w:t>
      </w:r>
      <w:r w:rsidRPr="00A76FF0">
        <w:rPr>
          <w:i/>
          <w:iCs/>
        </w:rPr>
        <w:t>International Journal of Retail and Distribution Management</w:t>
      </w:r>
      <w:r w:rsidRPr="00A76FF0">
        <w:t xml:space="preserve">, 30(6), pp. 300–314. </w:t>
      </w:r>
      <w:hyperlink r:id="rId9" w:history="1">
        <w:r w:rsidRPr="00A76FF0">
          <w:rPr>
            <w:rStyle w:val="Hyperlink"/>
          </w:rPr>
          <w:t>https://www.emerald.com/insight/content/doi/10.1108/09590550210429513/full/html</w:t>
        </w:r>
      </w:hyperlink>
      <w:r w:rsidRPr="00A76FF0">
        <w:t xml:space="preserve"> </w:t>
      </w:r>
    </w:p>
    <w:p w14:paraId="3778649A" w14:textId="77777777" w:rsidR="006F588E" w:rsidRPr="00A76FF0" w:rsidRDefault="006F588E" w:rsidP="002203B0">
      <w:pPr>
        <w:ind w:left="720" w:hanging="720"/>
      </w:pPr>
      <w:proofErr w:type="spellStart"/>
      <w:r w:rsidRPr="00A76FF0">
        <w:t>ApexBrasil</w:t>
      </w:r>
      <w:proofErr w:type="spellEnd"/>
      <w:r w:rsidRPr="00A76FF0">
        <w:t xml:space="preserve"> (2025) </w:t>
      </w:r>
      <w:r w:rsidRPr="00A76FF0">
        <w:rPr>
          <w:i/>
          <w:iCs/>
        </w:rPr>
        <w:t>Legal certainty guide for foreign investors in Brazil</w:t>
      </w:r>
      <w:r w:rsidRPr="00A76FF0">
        <w:t xml:space="preserve">. Available at: </w:t>
      </w:r>
      <w:hyperlink r:id="rId10" w:tgtFrame="_new" w:history="1">
        <w:r w:rsidRPr="00A76FF0">
          <w:rPr>
            <w:rStyle w:val="Hyperlink"/>
          </w:rPr>
          <w:t>https://www.apexbrasil.com.br/uploads/AGU%20Cartilha%20sobre%20Seguran%C3%A7a%20Jur%C3%ADdica%20-%20REV%20WEB%20single%20%28002%29.pdf</w:t>
        </w:r>
      </w:hyperlink>
      <w:r w:rsidRPr="00A76FF0">
        <w:t xml:space="preserve"> (Accessed: 25 September 2025).</w:t>
      </w:r>
    </w:p>
    <w:p w14:paraId="20B835CC" w14:textId="77777777" w:rsidR="006F588E" w:rsidRPr="00A76FF0" w:rsidRDefault="006F588E" w:rsidP="002203B0">
      <w:pPr>
        <w:ind w:left="720" w:hanging="720"/>
      </w:pPr>
      <w:r w:rsidRPr="00A76FF0">
        <w:t xml:space="preserve">Banco Central do </w:t>
      </w:r>
      <w:proofErr w:type="spellStart"/>
      <w:r w:rsidRPr="00A76FF0">
        <w:t>Brasil</w:t>
      </w:r>
      <w:proofErr w:type="spellEnd"/>
      <w:r w:rsidRPr="00A76FF0">
        <w:t xml:space="preserve"> (2024) </w:t>
      </w:r>
      <w:r w:rsidRPr="00A76FF0">
        <w:rPr>
          <w:i/>
          <w:iCs/>
        </w:rPr>
        <w:t>Inflation Report</w:t>
      </w:r>
      <w:r w:rsidRPr="00A76FF0">
        <w:t xml:space="preserve">. Available at: </w:t>
      </w:r>
      <w:hyperlink r:id="rId11" w:tgtFrame="_new" w:history="1">
        <w:r w:rsidRPr="00A76FF0">
          <w:rPr>
            <w:rStyle w:val="Hyperlink"/>
          </w:rPr>
          <w:t>https://www.bcb.gov.br/en/publications/inflationreport</w:t>
        </w:r>
      </w:hyperlink>
      <w:r w:rsidRPr="00A76FF0">
        <w:t xml:space="preserve"> (Accessed: 25 September 2025).</w:t>
      </w:r>
    </w:p>
    <w:p w14:paraId="55F4A262" w14:textId="77777777" w:rsidR="006F588E" w:rsidRPr="00A76FF0" w:rsidRDefault="006F588E" w:rsidP="002203B0">
      <w:pPr>
        <w:ind w:left="720" w:hanging="720"/>
      </w:pPr>
      <w:r w:rsidRPr="00A76FF0">
        <w:t xml:space="preserve">Batsakis, G., </w:t>
      </w:r>
      <w:proofErr w:type="spellStart"/>
      <w:r w:rsidRPr="00A76FF0">
        <w:t>Theoharakis</w:t>
      </w:r>
      <w:proofErr w:type="spellEnd"/>
      <w:r w:rsidRPr="00A76FF0">
        <w:t xml:space="preserve">, V., Li, C., and </w:t>
      </w:r>
      <w:proofErr w:type="spellStart"/>
      <w:r w:rsidRPr="00A76FF0">
        <w:t>Konara</w:t>
      </w:r>
      <w:proofErr w:type="spellEnd"/>
      <w:r w:rsidRPr="00A76FF0">
        <w:t xml:space="preserve">, P. (2023). Internationalization and digitalization: Their differing role on grocer and non-grocer retailer performance. </w:t>
      </w:r>
      <w:r w:rsidRPr="00A76FF0">
        <w:rPr>
          <w:i/>
          <w:iCs/>
        </w:rPr>
        <w:t>Journal of Retailing, 99</w:t>
      </w:r>
      <w:r w:rsidRPr="00A76FF0">
        <w:t xml:space="preserve">(3), 400–419. </w:t>
      </w:r>
      <w:hyperlink r:id="rId12" w:history="1">
        <w:r w:rsidRPr="00A76FF0">
          <w:rPr>
            <w:rStyle w:val="Hyperlink"/>
          </w:rPr>
          <w:t>https://doi.org/10.1016/j.jretai.2023.07.005</w:t>
        </w:r>
      </w:hyperlink>
      <w:r w:rsidRPr="00A76FF0">
        <w:t xml:space="preserve"> </w:t>
      </w:r>
    </w:p>
    <w:p w14:paraId="25066A30" w14:textId="77777777" w:rsidR="006F588E" w:rsidRPr="00A76FF0" w:rsidRDefault="006F588E" w:rsidP="002203B0">
      <w:pPr>
        <w:ind w:left="720" w:hanging="720"/>
      </w:pPr>
      <w:proofErr w:type="spellStart"/>
      <w:r w:rsidRPr="00A76FF0">
        <w:t>Brouthers</w:t>
      </w:r>
      <w:proofErr w:type="spellEnd"/>
      <w:r w:rsidRPr="00A76FF0">
        <w:t xml:space="preserve">, K. D. (1996) Dunning’s eclectic theory and the smaller firm. </w:t>
      </w:r>
      <w:r w:rsidRPr="00A76FF0">
        <w:rPr>
          <w:i/>
          <w:iCs/>
        </w:rPr>
        <w:t>International Business Review</w:t>
      </w:r>
      <w:r w:rsidRPr="00A76FF0">
        <w:t xml:space="preserve">, 5(4), pp. 377–394. </w:t>
      </w:r>
      <w:proofErr w:type="spellStart"/>
      <w:r w:rsidRPr="00A76FF0">
        <w:t>doi</w:t>
      </w:r>
      <w:proofErr w:type="spellEnd"/>
      <w:r w:rsidRPr="00A76FF0">
        <w:t>: 10.1016/0969-5931(96)00019-4.</w:t>
      </w:r>
    </w:p>
    <w:p w14:paraId="02246C16" w14:textId="77777777" w:rsidR="006F588E" w:rsidRPr="00A76FF0" w:rsidRDefault="006F588E" w:rsidP="002203B0">
      <w:pPr>
        <w:ind w:left="720" w:hanging="720"/>
      </w:pPr>
      <w:r w:rsidRPr="00A76FF0">
        <w:t xml:space="preserve">Cushman &amp; Wakefield (2024) </w:t>
      </w:r>
      <w:r w:rsidRPr="00A76FF0">
        <w:rPr>
          <w:i/>
          <w:iCs/>
        </w:rPr>
        <w:t xml:space="preserve">Brazil </w:t>
      </w:r>
      <w:proofErr w:type="spellStart"/>
      <w:r w:rsidRPr="00A76FF0">
        <w:rPr>
          <w:i/>
          <w:iCs/>
        </w:rPr>
        <w:t>MarketBeat</w:t>
      </w:r>
      <w:proofErr w:type="spellEnd"/>
      <w:r w:rsidRPr="00A76FF0">
        <w:rPr>
          <w:i/>
          <w:iCs/>
        </w:rPr>
        <w:t xml:space="preserve"> Q4 2024 – Investment &amp; Retail Real Estate Insights</w:t>
      </w:r>
      <w:r w:rsidRPr="00A76FF0">
        <w:t xml:space="preserve">. Available at: </w:t>
      </w:r>
      <w:hyperlink r:id="rId13" w:history="1">
        <w:r w:rsidRPr="00A76FF0">
          <w:rPr>
            <w:rStyle w:val="Hyperlink"/>
          </w:rPr>
          <w:t>https://assets.cushmanwakefield.com/-/media/cw/americas/brazil/insights/marketbeats/mb_q42024_-investments_eng.pdf</w:t>
        </w:r>
      </w:hyperlink>
      <w:r w:rsidRPr="00A76FF0">
        <w:t xml:space="preserve"> (Accessed: 25 September 2025).</w:t>
      </w:r>
    </w:p>
    <w:p w14:paraId="4A5347C2" w14:textId="77777777" w:rsidR="006F588E" w:rsidRPr="00A76FF0" w:rsidRDefault="006F588E" w:rsidP="002203B0">
      <w:pPr>
        <w:ind w:left="720" w:hanging="720"/>
      </w:pPr>
      <w:r w:rsidRPr="00A76FF0">
        <w:t xml:space="preserve">David, F. R. (2022) </w:t>
      </w:r>
      <w:r w:rsidRPr="00A76FF0">
        <w:rPr>
          <w:i/>
          <w:iCs/>
        </w:rPr>
        <w:t>Strategic Management: A Competitive Advantage Approach</w:t>
      </w:r>
      <w:r w:rsidRPr="00A76FF0">
        <w:t xml:space="preserve">. 17th </w:t>
      </w:r>
      <w:proofErr w:type="spellStart"/>
      <w:r w:rsidRPr="00A76FF0">
        <w:t>edn</w:t>
      </w:r>
      <w:proofErr w:type="spellEnd"/>
      <w:r w:rsidRPr="00A76FF0">
        <w:t>. Pearson.</w:t>
      </w:r>
    </w:p>
    <w:p w14:paraId="77F4A70E" w14:textId="77777777" w:rsidR="006F588E" w:rsidRPr="00A76FF0" w:rsidRDefault="006F588E" w:rsidP="002203B0">
      <w:pPr>
        <w:ind w:left="720" w:hanging="720"/>
      </w:pPr>
      <w:r w:rsidRPr="00A76FF0">
        <w:t xml:space="preserve">Diallo, M. F. (2012). Retailers’ internationalization in emerging markets: A comparative study of a French and a local retailer’s key success factors in Brazil. </w:t>
      </w:r>
      <w:r w:rsidRPr="00A76FF0">
        <w:rPr>
          <w:i/>
          <w:iCs/>
        </w:rPr>
        <w:t>International Business Research, 5</w:t>
      </w:r>
      <w:r w:rsidRPr="00A76FF0">
        <w:t xml:space="preserve">(10), 91–106. </w:t>
      </w:r>
      <w:hyperlink r:id="rId14" w:history="1">
        <w:r w:rsidRPr="00A76FF0">
          <w:rPr>
            <w:rStyle w:val="Hyperlink"/>
          </w:rPr>
          <w:t>https://doi.org/10.5539/ibr.v5n10p91</w:t>
        </w:r>
      </w:hyperlink>
      <w:r w:rsidRPr="00A76FF0">
        <w:t xml:space="preserve"> </w:t>
      </w:r>
    </w:p>
    <w:p w14:paraId="7FB9C329" w14:textId="77777777" w:rsidR="006F588E" w:rsidRPr="00A76FF0" w:rsidRDefault="006F588E" w:rsidP="002203B0">
      <w:pPr>
        <w:ind w:left="720" w:hanging="720"/>
      </w:pPr>
      <w:r w:rsidRPr="00A76FF0">
        <w:t xml:space="preserve">Dunning, J. H. (1988) The Eclectic Paradigm of International Production. </w:t>
      </w:r>
      <w:r w:rsidRPr="00A76FF0">
        <w:rPr>
          <w:i/>
          <w:iCs/>
        </w:rPr>
        <w:t>Journal of International Business Studies</w:t>
      </w:r>
      <w:r w:rsidRPr="00A76FF0">
        <w:t xml:space="preserve">, 19(1), pp. 1–31. </w:t>
      </w:r>
      <w:hyperlink r:id="rId15" w:history="1">
        <w:r w:rsidRPr="00A76FF0">
          <w:rPr>
            <w:rStyle w:val="Hyperlink"/>
          </w:rPr>
          <w:t>https://link.springer.com/article/10.1057/palgrave.jibs.8490372</w:t>
        </w:r>
      </w:hyperlink>
      <w:r w:rsidRPr="00A76FF0">
        <w:t xml:space="preserve"> </w:t>
      </w:r>
    </w:p>
    <w:p w14:paraId="1480FE7F" w14:textId="07864AF4" w:rsidR="006F588E" w:rsidRPr="00A76FF0" w:rsidRDefault="006F588E" w:rsidP="002203B0">
      <w:pPr>
        <w:ind w:left="720" w:hanging="720"/>
      </w:pPr>
      <w:proofErr w:type="spellStart"/>
      <w:r w:rsidRPr="00A76FF0">
        <w:lastRenderedPageBreak/>
        <w:t>Filgueira</w:t>
      </w:r>
      <w:proofErr w:type="spellEnd"/>
      <w:r w:rsidRPr="00A76FF0">
        <w:t xml:space="preserve">, A., &amp; Norden, L. (2025) It’s only words? ESG disclosure and corporate sustainability in Brazil. </w:t>
      </w:r>
      <w:r w:rsidRPr="00A76FF0">
        <w:rPr>
          <w:i/>
          <w:iCs/>
        </w:rPr>
        <w:t>International Review of Financial Analysis</w:t>
      </w:r>
      <w:r w:rsidRPr="00A76FF0">
        <w:t xml:space="preserve">. Advance online publication. </w:t>
      </w:r>
      <w:hyperlink r:id="rId16" w:history="1">
        <w:r w:rsidRPr="00A76FF0">
          <w:rPr>
            <w:rStyle w:val="Hyperlink"/>
          </w:rPr>
          <w:t>https://doi.org/10.1016/j.irfa.2025.104633</w:t>
        </w:r>
      </w:hyperlink>
      <w:r w:rsidRPr="00A76FF0">
        <w:t xml:space="preserve"> </w:t>
      </w:r>
    </w:p>
    <w:p w14:paraId="33B018B1" w14:textId="45F61688" w:rsidR="006F588E" w:rsidRPr="00A76FF0" w:rsidRDefault="006F588E" w:rsidP="002203B0">
      <w:pPr>
        <w:ind w:left="720" w:hanging="720"/>
      </w:pPr>
      <w:r w:rsidRPr="00A76FF0">
        <w:t xml:space="preserve">Goel, R. and Garg, S. (2018) </w:t>
      </w:r>
      <w:r w:rsidRPr="00A76FF0">
        <w:rPr>
          <w:i/>
          <w:iCs/>
        </w:rPr>
        <w:t>India as a marketplace: A case study of IKEA</w:t>
      </w:r>
      <w:r w:rsidRPr="00A76FF0">
        <w:t xml:space="preserve">. SSRN. </w:t>
      </w:r>
      <w:hyperlink r:id="rId17" w:history="1">
        <w:r w:rsidRPr="00A76FF0">
          <w:rPr>
            <w:rStyle w:val="Hyperlink"/>
          </w:rPr>
          <w:t>https://doi.org/10.2139/ssrn.329206</w:t>
        </w:r>
      </w:hyperlink>
      <w:r w:rsidRPr="00A76FF0">
        <w:t xml:space="preserve"> </w:t>
      </w:r>
    </w:p>
    <w:p w14:paraId="05B00DE1" w14:textId="77777777" w:rsidR="006F588E" w:rsidRPr="00A76FF0" w:rsidRDefault="006F588E" w:rsidP="002203B0">
      <w:pPr>
        <w:ind w:left="720" w:hanging="720"/>
      </w:pPr>
      <w:r w:rsidRPr="00A76FF0">
        <w:t xml:space="preserve">Grand View Research (2025) </w:t>
      </w:r>
      <w:r w:rsidRPr="00A76FF0">
        <w:rPr>
          <w:i/>
          <w:iCs/>
        </w:rPr>
        <w:t>Brazil Furniture Market Size, Share &amp; Trends Analysis Report, 2021–2030</w:t>
      </w:r>
      <w:r w:rsidRPr="00A76FF0">
        <w:t xml:space="preserve">. Available at: </w:t>
      </w:r>
      <w:hyperlink r:id="rId18" w:tgtFrame="_new" w:history="1">
        <w:r w:rsidRPr="00A76FF0">
          <w:rPr>
            <w:rStyle w:val="Hyperlink"/>
          </w:rPr>
          <w:t>https://www.grandviewresearch.com/horizon/outlook/furniture-market/brazil</w:t>
        </w:r>
      </w:hyperlink>
      <w:r w:rsidRPr="00A76FF0">
        <w:t xml:space="preserve"> (Accessed: 25 September 2025).</w:t>
      </w:r>
    </w:p>
    <w:p w14:paraId="4E112078" w14:textId="77777777" w:rsidR="006F588E" w:rsidRPr="00A76FF0" w:rsidRDefault="006F588E" w:rsidP="002203B0">
      <w:pPr>
        <w:ind w:left="720" w:hanging="720"/>
      </w:pPr>
      <w:r w:rsidRPr="00A76FF0">
        <w:t xml:space="preserve">Grant, R. M. (2021) </w:t>
      </w:r>
      <w:r w:rsidRPr="00A76FF0">
        <w:rPr>
          <w:i/>
          <w:iCs/>
        </w:rPr>
        <w:t>Contemporary Strategy Analysis</w:t>
      </w:r>
      <w:r w:rsidRPr="00A76FF0">
        <w:t xml:space="preserve">. 11th </w:t>
      </w:r>
      <w:proofErr w:type="spellStart"/>
      <w:r w:rsidRPr="00A76FF0">
        <w:t>edn</w:t>
      </w:r>
      <w:proofErr w:type="spellEnd"/>
      <w:r w:rsidRPr="00A76FF0">
        <w:t>. Wiley.</w:t>
      </w:r>
    </w:p>
    <w:p w14:paraId="02176A1F" w14:textId="0CCB3979" w:rsidR="006F588E" w:rsidRPr="00A76FF0" w:rsidRDefault="006F588E" w:rsidP="002203B0">
      <w:pPr>
        <w:ind w:left="720" w:hanging="720"/>
      </w:pPr>
      <w:proofErr w:type="spellStart"/>
      <w:r w:rsidRPr="00A76FF0">
        <w:t>Guercini</w:t>
      </w:r>
      <w:proofErr w:type="spellEnd"/>
      <w:r w:rsidRPr="00A76FF0">
        <w:t xml:space="preserve">, S. and Runfola, A. (2010) Business networks and retail internationalization: A case analysis in the fashion industry. </w:t>
      </w:r>
      <w:r w:rsidRPr="00A76FF0">
        <w:rPr>
          <w:i/>
          <w:iCs/>
        </w:rPr>
        <w:t>Industrial Marketing Management, 39</w:t>
      </w:r>
      <w:r w:rsidRPr="00A76FF0">
        <w:t xml:space="preserve">(6), 908–916. </w:t>
      </w:r>
      <w:hyperlink r:id="rId19" w:history="1">
        <w:r w:rsidRPr="00A76FF0">
          <w:rPr>
            <w:rStyle w:val="Hyperlink"/>
          </w:rPr>
          <w:t>https://doi.org/10.1016/j.indmarman.2010.06.010</w:t>
        </w:r>
      </w:hyperlink>
      <w:r w:rsidRPr="00A76FF0">
        <w:t xml:space="preserve"> </w:t>
      </w:r>
    </w:p>
    <w:p w14:paraId="574EE886" w14:textId="77777777" w:rsidR="006F588E" w:rsidRPr="00A76FF0" w:rsidRDefault="006F588E" w:rsidP="002203B0">
      <w:pPr>
        <w:ind w:left="720" w:hanging="720"/>
      </w:pPr>
      <w:r w:rsidRPr="00A76FF0">
        <w:t xml:space="preserve">Haag, L., Forslund, H. and Jonsson, P. (2019) Supply chain capabilities for internationalisation of retailers. </w:t>
      </w:r>
      <w:r w:rsidRPr="00A76FF0">
        <w:rPr>
          <w:i/>
          <w:iCs/>
        </w:rPr>
        <w:t>International Journal of Physical Distribution &amp; Logistics Management</w:t>
      </w:r>
      <w:r w:rsidRPr="00A76FF0">
        <w:t xml:space="preserve">, 49(5), pp. 536–553. </w:t>
      </w:r>
      <w:hyperlink r:id="rId20" w:history="1">
        <w:r w:rsidRPr="00A76FF0">
          <w:rPr>
            <w:rStyle w:val="Hyperlink"/>
          </w:rPr>
          <w:t>https://www.tandfonline.com/doi/pdf/10.1080/09593969.2019.1598467</w:t>
        </w:r>
      </w:hyperlink>
      <w:r w:rsidRPr="00A76FF0">
        <w:t xml:space="preserve"> </w:t>
      </w:r>
    </w:p>
    <w:p w14:paraId="093B3E8B" w14:textId="77777777" w:rsidR="006F588E" w:rsidRPr="00A76FF0" w:rsidRDefault="006F588E" w:rsidP="002203B0">
      <w:pPr>
        <w:ind w:left="720" w:hanging="720"/>
      </w:pPr>
      <w:r w:rsidRPr="00A76FF0">
        <w:t xml:space="preserve">Hitt, M. A., Ireland, R. D. and </w:t>
      </w:r>
      <w:proofErr w:type="spellStart"/>
      <w:r w:rsidRPr="00A76FF0">
        <w:t>Hoskisson</w:t>
      </w:r>
      <w:proofErr w:type="spellEnd"/>
      <w:r w:rsidRPr="00A76FF0">
        <w:t xml:space="preserve">, R. E. (2024) </w:t>
      </w:r>
      <w:r w:rsidRPr="00A76FF0">
        <w:rPr>
          <w:i/>
          <w:iCs/>
        </w:rPr>
        <w:t>Strategic Management: Competitiveness &amp; Globalization</w:t>
      </w:r>
      <w:r w:rsidRPr="00A76FF0">
        <w:t xml:space="preserve">. 14th </w:t>
      </w:r>
      <w:proofErr w:type="spellStart"/>
      <w:r w:rsidRPr="00A76FF0">
        <w:t>edn</w:t>
      </w:r>
      <w:proofErr w:type="spellEnd"/>
      <w:r w:rsidRPr="00A76FF0">
        <w:t>. Cengage.</w:t>
      </w:r>
    </w:p>
    <w:p w14:paraId="40DB0727" w14:textId="77777777" w:rsidR="006F588E" w:rsidRPr="00A76FF0" w:rsidRDefault="006F588E" w:rsidP="002203B0">
      <w:pPr>
        <w:ind w:left="720" w:hanging="720"/>
      </w:pPr>
      <w:proofErr w:type="spellStart"/>
      <w:r w:rsidRPr="00A76FF0">
        <w:t>Holtbrügge</w:t>
      </w:r>
      <w:proofErr w:type="spellEnd"/>
      <w:r w:rsidRPr="00A76FF0">
        <w:t xml:space="preserve">, D. and Baron, A. (2013) Market entry strategies in emerging markets: An institutional study in the BRIC countries, </w:t>
      </w:r>
      <w:r w:rsidRPr="00A76FF0">
        <w:rPr>
          <w:i/>
          <w:iCs/>
        </w:rPr>
        <w:t>Thunderbird International Business Review</w:t>
      </w:r>
      <w:r w:rsidRPr="00A76FF0">
        <w:t xml:space="preserve">, 55(3), pp. 237–252. </w:t>
      </w:r>
      <w:hyperlink r:id="rId21" w:history="1">
        <w:r w:rsidRPr="00A76FF0">
          <w:rPr>
            <w:rStyle w:val="Hyperlink"/>
          </w:rPr>
          <w:t>https://onlinelibrary.wiley.com/doi/10.1002/tie.21541</w:t>
        </w:r>
      </w:hyperlink>
      <w:r w:rsidRPr="00A76FF0">
        <w:t xml:space="preserve"> </w:t>
      </w:r>
    </w:p>
    <w:p w14:paraId="2DAE46E6" w14:textId="6B68972B" w:rsidR="006F588E" w:rsidRPr="00A76FF0" w:rsidRDefault="006F588E" w:rsidP="002203B0">
      <w:pPr>
        <w:ind w:left="720" w:hanging="720"/>
      </w:pPr>
      <w:r w:rsidRPr="00A76FF0">
        <w:t>Iglesias-</w:t>
      </w:r>
      <w:proofErr w:type="spellStart"/>
      <w:r w:rsidRPr="00A76FF0">
        <w:t>Pradas</w:t>
      </w:r>
      <w:proofErr w:type="spellEnd"/>
      <w:r w:rsidRPr="00A76FF0">
        <w:t xml:space="preserve">, S., &amp; Acquila-Natale, E. (2023) </w:t>
      </w:r>
      <w:r w:rsidRPr="00A76FF0">
        <w:rPr>
          <w:i/>
          <w:iCs/>
        </w:rPr>
        <w:t>The future of e-commerce: Overview and prospects of multichannel and omnichannel retail</w:t>
      </w:r>
      <w:r w:rsidRPr="00A76FF0">
        <w:t xml:space="preserve">. Journal of Theoretical and Applied Electronic Commerce Research, 18(1), 656–667. </w:t>
      </w:r>
      <w:hyperlink r:id="rId22" w:history="1">
        <w:r w:rsidRPr="00A76FF0">
          <w:rPr>
            <w:rStyle w:val="Hyperlink"/>
          </w:rPr>
          <w:t>https://doi.org/10.3390/jtaer18010033</w:t>
        </w:r>
      </w:hyperlink>
      <w:r w:rsidRPr="00A76FF0">
        <w:t xml:space="preserve"> </w:t>
      </w:r>
    </w:p>
    <w:p w14:paraId="11E2B655" w14:textId="77777777" w:rsidR="006F588E" w:rsidRPr="00A76FF0" w:rsidRDefault="006F588E" w:rsidP="002203B0">
      <w:pPr>
        <w:ind w:left="720" w:hanging="720"/>
      </w:pPr>
      <w:r w:rsidRPr="00A76FF0">
        <w:t xml:space="preserve">IKEA (2025) </w:t>
      </w:r>
      <w:r w:rsidRPr="00A76FF0">
        <w:rPr>
          <w:i/>
          <w:iCs/>
        </w:rPr>
        <w:t>IKEA Sustainability Report FY24</w:t>
      </w:r>
      <w:r w:rsidRPr="00A76FF0">
        <w:t xml:space="preserve">. Available at: </w:t>
      </w:r>
      <w:hyperlink r:id="rId23" w:tgtFrame="_new" w:history="1">
        <w:r w:rsidRPr="00A76FF0">
          <w:rPr>
            <w:rStyle w:val="Hyperlink"/>
          </w:rPr>
          <w:t>https://www.ikea.com/global/en/images/IKEA_Sustainability_Report_FY_24_2025_01_27_2c35989733.pdf</w:t>
        </w:r>
      </w:hyperlink>
      <w:r w:rsidRPr="00A76FF0">
        <w:t xml:space="preserve"> (Accessed: 25 September 2025).</w:t>
      </w:r>
    </w:p>
    <w:p w14:paraId="41798703" w14:textId="77777777" w:rsidR="006F588E" w:rsidRPr="00A76FF0" w:rsidRDefault="006F588E" w:rsidP="002203B0">
      <w:pPr>
        <w:ind w:left="720" w:hanging="720"/>
      </w:pPr>
      <w:r w:rsidRPr="00A76FF0">
        <w:lastRenderedPageBreak/>
        <w:t xml:space="preserve">IMARC Group (2024) </w:t>
      </w:r>
      <w:r w:rsidRPr="00A76FF0">
        <w:rPr>
          <w:i/>
          <w:iCs/>
        </w:rPr>
        <w:t>Brazil Furniture Market Report 2024–2033</w:t>
      </w:r>
      <w:r w:rsidRPr="00A76FF0">
        <w:t xml:space="preserve">. Available at: </w:t>
      </w:r>
      <w:hyperlink r:id="rId24" w:tgtFrame="_new" w:history="1">
        <w:r w:rsidRPr="00A76FF0">
          <w:rPr>
            <w:rStyle w:val="Hyperlink"/>
          </w:rPr>
          <w:t>https://www.imarcgroup.com/brazil-furniture-market</w:t>
        </w:r>
      </w:hyperlink>
      <w:r w:rsidRPr="00A76FF0">
        <w:t xml:space="preserve"> (Accessed: 25 September 2025).</w:t>
      </w:r>
    </w:p>
    <w:p w14:paraId="6E3D5767" w14:textId="77777777" w:rsidR="006F588E" w:rsidRPr="00A76FF0" w:rsidRDefault="006F588E" w:rsidP="002203B0">
      <w:pPr>
        <w:ind w:left="720" w:hanging="720"/>
      </w:pPr>
      <w:r w:rsidRPr="00A76FF0">
        <w:t xml:space="preserve">Ingka Group (2024) </w:t>
      </w:r>
      <w:r w:rsidRPr="00A76FF0">
        <w:rPr>
          <w:i/>
          <w:iCs/>
        </w:rPr>
        <w:t>Annual summary and sustainability report FY24</w:t>
      </w:r>
      <w:r w:rsidRPr="00A76FF0">
        <w:t xml:space="preserve">. Available at: </w:t>
      </w:r>
      <w:hyperlink r:id="rId25" w:tgtFrame="_new" w:history="1">
        <w:r w:rsidRPr="00A76FF0">
          <w:rPr>
            <w:rStyle w:val="Hyperlink"/>
          </w:rPr>
          <w:t>https://www.ingka.com/static/ingka-group-annual-report-summary-fy24.pdf</w:t>
        </w:r>
      </w:hyperlink>
      <w:r w:rsidRPr="00A76FF0">
        <w:t xml:space="preserve"> (Accessed: 25 September 2025).</w:t>
      </w:r>
    </w:p>
    <w:p w14:paraId="424EF80A" w14:textId="77777777" w:rsidR="006F588E" w:rsidRPr="00A76FF0" w:rsidRDefault="006F588E" w:rsidP="002203B0">
      <w:pPr>
        <w:ind w:left="720" w:hanging="720"/>
      </w:pPr>
      <w:r w:rsidRPr="00A76FF0">
        <w:t xml:space="preserve">Instituto Brasileiro de Geografia e </w:t>
      </w:r>
      <w:proofErr w:type="spellStart"/>
      <w:r w:rsidRPr="00A76FF0">
        <w:t>Estatística</w:t>
      </w:r>
      <w:proofErr w:type="spellEnd"/>
      <w:r w:rsidRPr="00A76FF0">
        <w:t xml:space="preserve"> (IBGE) (2025) </w:t>
      </w:r>
      <w:r w:rsidRPr="00A76FF0">
        <w:rPr>
          <w:i/>
          <w:iCs/>
        </w:rPr>
        <w:t>Population and demographic statistics</w:t>
      </w:r>
      <w:r w:rsidRPr="00A76FF0">
        <w:t xml:space="preserve">. Available at: </w:t>
      </w:r>
      <w:hyperlink r:id="rId26" w:tgtFrame="_new" w:history="1">
        <w:r w:rsidRPr="00A76FF0">
          <w:rPr>
            <w:rStyle w:val="Hyperlink"/>
          </w:rPr>
          <w:t>https://www.ibge.gov.br/en/</w:t>
        </w:r>
      </w:hyperlink>
      <w:r w:rsidRPr="00A76FF0">
        <w:t xml:space="preserve"> (Accessed: 25 September 2025).</w:t>
      </w:r>
    </w:p>
    <w:p w14:paraId="6A8E6794" w14:textId="77777777" w:rsidR="006F588E" w:rsidRPr="00A76FF0" w:rsidRDefault="006F588E" w:rsidP="002203B0">
      <w:pPr>
        <w:ind w:left="720" w:hanging="720"/>
      </w:pPr>
      <w:r w:rsidRPr="00A76FF0">
        <w:t xml:space="preserve">Inter IKEA Group (2024) </w:t>
      </w:r>
      <w:r w:rsidRPr="00A76FF0">
        <w:rPr>
          <w:i/>
          <w:iCs/>
        </w:rPr>
        <w:t>Financial summary FY24</w:t>
      </w:r>
      <w:r w:rsidRPr="00A76FF0">
        <w:t xml:space="preserve">. Available at: </w:t>
      </w:r>
      <w:hyperlink r:id="rId27" w:tgtFrame="_new" w:history="1">
        <w:r w:rsidRPr="00A76FF0">
          <w:rPr>
            <w:rStyle w:val="Hyperlink"/>
          </w:rPr>
          <w:t>https://www.inter.ikea.com/-/media/interikea/igi/financial-reports/fy24-financial-reports/inter_ikea_group_financial_summary_fy24.pdf</w:t>
        </w:r>
      </w:hyperlink>
      <w:r w:rsidRPr="00A76FF0">
        <w:t xml:space="preserve"> (Accessed: 25 September 2025).</w:t>
      </w:r>
    </w:p>
    <w:p w14:paraId="742891B2" w14:textId="77777777" w:rsidR="006F588E" w:rsidRPr="00A76FF0" w:rsidRDefault="006F588E" w:rsidP="002203B0">
      <w:pPr>
        <w:ind w:left="720" w:hanging="720"/>
      </w:pPr>
      <w:r w:rsidRPr="00A76FF0">
        <w:t xml:space="preserve">Inter IKEA Group (2024) </w:t>
      </w:r>
      <w:r w:rsidRPr="00A76FF0">
        <w:rPr>
          <w:i/>
          <w:iCs/>
        </w:rPr>
        <w:t>IKEA Sustainability Report FY23</w:t>
      </w:r>
      <w:r w:rsidRPr="00A76FF0">
        <w:t xml:space="preserve">. Available at: </w:t>
      </w:r>
      <w:hyperlink r:id="rId28" w:tgtFrame="_new" w:history="1">
        <w:r w:rsidRPr="00A76FF0">
          <w:rPr>
            <w:rStyle w:val="Hyperlink"/>
          </w:rPr>
          <w:t>https://www.ikea.com/global/en/images/IKEA_SUSTAINABILITY_Report_FY_23_20240125_1b190c008f.pdf</w:t>
        </w:r>
      </w:hyperlink>
      <w:r w:rsidRPr="00A76FF0">
        <w:t xml:space="preserve"> (Accessed: 25 September 2025).</w:t>
      </w:r>
    </w:p>
    <w:p w14:paraId="536A604F" w14:textId="77777777" w:rsidR="006F588E" w:rsidRPr="00A76FF0" w:rsidRDefault="006F588E" w:rsidP="002203B0">
      <w:pPr>
        <w:ind w:left="720" w:hanging="720"/>
      </w:pPr>
      <w:r w:rsidRPr="00A76FF0">
        <w:t xml:space="preserve">International Monetary Fund (IMF) (2024) </w:t>
      </w:r>
      <w:r w:rsidRPr="00A76FF0">
        <w:rPr>
          <w:i/>
          <w:iCs/>
        </w:rPr>
        <w:t>Brazil: 2024 Article IV Consultation — Press Release; Staff Report and Statement</w:t>
      </w:r>
      <w:r w:rsidRPr="00A76FF0">
        <w:t xml:space="preserve">. Available at: </w:t>
      </w:r>
      <w:hyperlink r:id="rId29" w:tgtFrame="_new" w:history="1">
        <w:r w:rsidRPr="00A76FF0">
          <w:rPr>
            <w:rStyle w:val="Hyperlink"/>
          </w:rPr>
          <w:t>https://www.imf.org/en/Publications/CR/Issues/2024/07/11/Brazil-2024-Article-IV-Consultation-Press-Release-Staff-Report-and-Statement-by-the-551705</w:t>
        </w:r>
      </w:hyperlink>
      <w:r w:rsidRPr="00A76FF0">
        <w:t xml:space="preserve"> (Accessed: 25 September 2025).</w:t>
      </w:r>
    </w:p>
    <w:p w14:paraId="32FDA046" w14:textId="77777777" w:rsidR="006F588E" w:rsidRPr="00A76FF0" w:rsidRDefault="006F588E" w:rsidP="002203B0">
      <w:pPr>
        <w:ind w:left="720" w:hanging="720"/>
      </w:pPr>
      <w:r w:rsidRPr="00A76FF0">
        <w:t xml:space="preserve">Johnson, G. and Scholes, K. (2023) </w:t>
      </w:r>
      <w:r w:rsidRPr="00A76FF0">
        <w:rPr>
          <w:i/>
          <w:iCs/>
        </w:rPr>
        <w:t>Exploring Strategy</w:t>
      </w:r>
      <w:r w:rsidRPr="00A76FF0">
        <w:t xml:space="preserve">. 13th </w:t>
      </w:r>
      <w:proofErr w:type="spellStart"/>
      <w:r w:rsidRPr="00A76FF0">
        <w:t>edn</w:t>
      </w:r>
      <w:proofErr w:type="spellEnd"/>
      <w:r w:rsidRPr="00A76FF0">
        <w:t>. Pearson.</w:t>
      </w:r>
    </w:p>
    <w:p w14:paraId="46FA74A5" w14:textId="267C4003" w:rsidR="006F588E" w:rsidRPr="00A76FF0" w:rsidRDefault="006F588E" w:rsidP="002203B0">
      <w:pPr>
        <w:ind w:left="720" w:hanging="720"/>
      </w:pPr>
      <w:r w:rsidRPr="00A76FF0">
        <w:t xml:space="preserve">Khan, M. R. and Sarkar, U. (2024) Business leadership in the digital age: IKEA’s story in the retail and consumer sector. </w:t>
      </w:r>
      <w:r w:rsidRPr="00A76FF0">
        <w:rPr>
          <w:i/>
          <w:iCs/>
        </w:rPr>
        <w:t>Green Technologies and Sustainability</w:t>
      </w:r>
      <w:r w:rsidRPr="00A76FF0">
        <w:t xml:space="preserve">. </w:t>
      </w:r>
      <w:hyperlink r:id="rId30" w:history="1">
        <w:r w:rsidRPr="00A76FF0">
          <w:rPr>
            <w:rStyle w:val="Hyperlink"/>
          </w:rPr>
          <w:t>https://doi.org/10.1016/j.grets.2024.100081</w:t>
        </w:r>
      </w:hyperlink>
      <w:r w:rsidRPr="00A76FF0">
        <w:t xml:space="preserve"> </w:t>
      </w:r>
    </w:p>
    <w:p w14:paraId="1159C845" w14:textId="07B08271" w:rsidR="006F588E" w:rsidRPr="00A76FF0" w:rsidRDefault="006F588E" w:rsidP="002203B0">
      <w:pPr>
        <w:ind w:left="720" w:hanging="720"/>
      </w:pPr>
      <w:r w:rsidRPr="00A76FF0">
        <w:t xml:space="preserve">Liu, S., Chakravarty, D. and Beamish, P. W. (2023) An emerging market multinational company's internationalization: From original equipment manufacturer to global brand leader. </w:t>
      </w:r>
      <w:r w:rsidRPr="00A76FF0">
        <w:rPr>
          <w:i/>
          <w:iCs/>
        </w:rPr>
        <w:t>Thunderbird International Business Review, 65</w:t>
      </w:r>
      <w:r w:rsidRPr="00A76FF0">
        <w:t xml:space="preserve">(5), 501–517. </w:t>
      </w:r>
      <w:hyperlink r:id="rId31" w:history="1">
        <w:r w:rsidRPr="00A76FF0">
          <w:rPr>
            <w:rStyle w:val="Hyperlink"/>
          </w:rPr>
          <w:t>https://doi.org/10.1002/tie.22359</w:t>
        </w:r>
      </w:hyperlink>
      <w:r w:rsidRPr="00A76FF0">
        <w:t xml:space="preserve"> </w:t>
      </w:r>
    </w:p>
    <w:p w14:paraId="3C64A8E0" w14:textId="77777777" w:rsidR="006F588E" w:rsidRPr="00A76FF0" w:rsidRDefault="006F588E" w:rsidP="002203B0">
      <w:pPr>
        <w:ind w:left="720" w:hanging="720"/>
      </w:pPr>
      <w:r w:rsidRPr="00A76FF0">
        <w:t xml:space="preserve">Ma, J., Yang, J. and Yoo, B. (2020) The moderating role of personal cultural values on consumer ethnocentrism in developing countries: the case of Brazil and Russia, </w:t>
      </w:r>
      <w:r w:rsidRPr="00A76FF0">
        <w:rPr>
          <w:i/>
          <w:iCs/>
        </w:rPr>
        <w:t xml:space="preserve">Journal </w:t>
      </w:r>
      <w:r w:rsidRPr="00A76FF0">
        <w:rPr>
          <w:i/>
          <w:iCs/>
        </w:rPr>
        <w:lastRenderedPageBreak/>
        <w:t>of Business Research</w:t>
      </w:r>
      <w:r w:rsidRPr="00A76FF0">
        <w:t xml:space="preserve">, 108, pp. 375–389. </w:t>
      </w:r>
      <w:hyperlink r:id="rId32" w:history="1">
        <w:r w:rsidRPr="00A76FF0">
          <w:rPr>
            <w:rStyle w:val="Hyperlink"/>
          </w:rPr>
          <w:t>https://www.sciencedirect.com/science/article/abs/pii/S0148296319307970</w:t>
        </w:r>
      </w:hyperlink>
      <w:r w:rsidRPr="00A76FF0">
        <w:t xml:space="preserve">  </w:t>
      </w:r>
    </w:p>
    <w:p w14:paraId="7CAF80D9" w14:textId="43249E84" w:rsidR="006F588E" w:rsidRPr="00A76FF0" w:rsidRDefault="006F588E" w:rsidP="002203B0">
      <w:pPr>
        <w:ind w:left="720" w:hanging="720"/>
      </w:pPr>
      <w:r w:rsidRPr="00A76FF0">
        <w:t>Magazine Luiza S.A. (</w:t>
      </w:r>
      <w:proofErr w:type="spellStart"/>
      <w:r w:rsidRPr="00A76FF0">
        <w:t>Magalu</w:t>
      </w:r>
      <w:proofErr w:type="spellEnd"/>
      <w:r w:rsidRPr="00A76FF0">
        <w:t xml:space="preserve">) (2025). </w:t>
      </w:r>
      <w:r w:rsidRPr="00A76FF0">
        <w:rPr>
          <w:i/>
          <w:iCs/>
        </w:rPr>
        <w:t>Management Report and Financial Statements 2024</w:t>
      </w:r>
      <w:r w:rsidRPr="00A76FF0">
        <w:t xml:space="preserve">. Available at: </w:t>
      </w:r>
      <w:hyperlink r:id="rId33" w:history="1">
        <w:r w:rsidRPr="00A76FF0">
          <w:rPr>
            <w:rStyle w:val="Hyperlink"/>
          </w:rPr>
          <w:t>https://ri.magazineluiza.com.br/ShowCanal/show.aspx?idCanal=BbuKf7H6X12vxuD6Hytzyw%3D%3D&amp;linguagem=en</w:t>
        </w:r>
      </w:hyperlink>
      <w:r w:rsidRPr="00A76FF0">
        <w:t xml:space="preserve"> </w:t>
      </w:r>
      <w:r w:rsidR="00953F0F" w:rsidRPr="00A76FF0">
        <w:t>(Accessed: 25 September 2025)</w:t>
      </w:r>
      <w:r w:rsidRPr="00A76FF0">
        <w:t>.</w:t>
      </w:r>
    </w:p>
    <w:p w14:paraId="73EEFF1D" w14:textId="77777777" w:rsidR="006F588E" w:rsidRPr="00A76FF0" w:rsidRDefault="006F588E" w:rsidP="002203B0">
      <w:pPr>
        <w:ind w:left="720" w:hanging="720"/>
      </w:pPr>
      <w:r w:rsidRPr="00A76FF0">
        <w:t xml:space="preserve">Mayer Brown (2024) </w:t>
      </w:r>
      <w:r w:rsidRPr="00A76FF0">
        <w:rPr>
          <w:i/>
          <w:iCs/>
        </w:rPr>
        <w:t>Tax Law Highlights — Law No. 14754/2023</w:t>
      </w:r>
      <w:r w:rsidRPr="00A76FF0">
        <w:t xml:space="preserve">. Available at: </w:t>
      </w:r>
      <w:hyperlink r:id="rId34" w:tgtFrame="_new" w:history="1">
        <w:r w:rsidRPr="00A76FF0">
          <w:rPr>
            <w:rStyle w:val="Hyperlink"/>
          </w:rPr>
          <w:t>https://www.mayerbrown.com/en/insights/publications/2024/05/tax-law-highlights-taxation-of-offshore-assets-law-no-1475423</w:t>
        </w:r>
      </w:hyperlink>
      <w:r w:rsidRPr="00A76FF0">
        <w:t xml:space="preserve"> (Accessed: 25 September 2025).</w:t>
      </w:r>
    </w:p>
    <w:p w14:paraId="32BDE629" w14:textId="2D1573E1" w:rsidR="006F588E" w:rsidRPr="00A76FF0" w:rsidRDefault="006F588E" w:rsidP="002203B0">
      <w:pPr>
        <w:ind w:left="720" w:hanging="720"/>
      </w:pPr>
      <w:r w:rsidRPr="00A76FF0">
        <w:t xml:space="preserve">Mercado Libre, Inc. (2025). </w:t>
      </w:r>
      <w:r w:rsidRPr="00A76FF0">
        <w:rPr>
          <w:i/>
          <w:iCs/>
        </w:rPr>
        <w:t>Form 10-K: Annual Report for Fiscal Year Ended December 31, 2024</w:t>
      </w:r>
      <w:r w:rsidRPr="00A76FF0">
        <w:t xml:space="preserve">. Available at: </w:t>
      </w:r>
      <w:hyperlink r:id="rId35" w:history="1">
        <w:r w:rsidRPr="00A76FF0">
          <w:rPr>
            <w:rStyle w:val="Hyperlink"/>
          </w:rPr>
          <w:t>https://investor.mercadolibre.com/sites/mercadolibre/files/mercadolibre/results/mercadoLibre-Q424-sec-show.pdf</w:t>
        </w:r>
      </w:hyperlink>
      <w:r w:rsidRPr="00A76FF0">
        <w:t xml:space="preserve"> </w:t>
      </w:r>
      <w:r w:rsidR="00DC7410" w:rsidRPr="00A76FF0">
        <w:t>(Accessed: 25 September 2025)</w:t>
      </w:r>
      <w:r w:rsidRPr="00A76FF0">
        <w:t>.</w:t>
      </w:r>
    </w:p>
    <w:p w14:paraId="3A3378A7" w14:textId="6B3E2F5C" w:rsidR="006F588E" w:rsidRPr="00A76FF0" w:rsidRDefault="006F588E" w:rsidP="002203B0">
      <w:pPr>
        <w:ind w:left="720" w:hanging="720"/>
      </w:pPr>
      <w:r w:rsidRPr="00A76FF0">
        <w:t xml:space="preserve">Mobly S.A. (2025). </w:t>
      </w:r>
      <w:r w:rsidRPr="00A76FF0">
        <w:rPr>
          <w:i/>
          <w:iCs/>
        </w:rPr>
        <w:t>Annual Report 2024</w:t>
      </w:r>
      <w:r w:rsidRPr="00A76FF0">
        <w:t xml:space="preserve">. [online] Mobly Investor Relations. Available at: </w:t>
      </w:r>
      <w:hyperlink r:id="rId36" w:history="1">
        <w:r w:rsidRPr="00A76FF0">
          <w:rPr>
            <w:rStyle w:val="Hyperlink"/>
          </w:rPr>
          <w:t>https://ir.mobily.link/2024/download-center.html</w:t>
        </w:r>
      </w:hyperlink>
      <w:r w:rsidRPr="00A76FF0">
        <w:t xml:space="preserve"> </w:t>
      </w:r>
      <w:r w:rsidR="00DC7410" w:rsidRPr="00A76FF0">
        <w:t>(Accessed: 25 September 2025)</w:t>
      </w:r>
      <w:r w:rsidRPr="00A76FF0">
        <w:t>.</w:t>
      </w:r>
    </w:p>
    <w:p w14:paraId="63A87CA0" w14:textId="77777777" w:rsidR="006F588E" w:rsidRPr="00A76FF0" w:rsidRDefault="006F588E" w:rsidP="002203B0">
      <w:pPr>
        <w:ind w:left="720" w:hanging="720"/>
      </w:pPr>
      <w:r w:rsidRPr="00A76FF0">
        <w:t xml:space="preserve">Mordor Intelligence (2025) </w:t>
      </w:r>
      <w:r w:rsidRPr="00A76FF0">
        <w:rPr>
          <w:i/>
          <w:iCs/>
        </w:rPr>
        <w:t>Brazil Furniture Market — Growth, Trends, Forecasts (2025–2030)</w:t>
      </w:r>
      <w:r w:rsidRPr="00A76FF0">
        <w:t xml:space="preserve">. Available at: </w:t>
      </w:r>
      <w:hyperlink r:id="rId37" w:tgtFrame="_new" w:history="1">
        <w:r w:rsidRPr="00A76FF0">
          <w:rPr>
            <w:rStyle w:val="Hyperlink"/>
          </w:rPr>
          <w:t>https://www.mordorintelligence.com/industry-reports/brazil-furniture-market</w:t>
        </w:r>
      </w:hyperlink>
      <w:r w:rsidRPr="00A76FF0">
        <w:t xml:space="preserve"> (Accessed: 25 September 2025).</w:t>
      </w:r>
    </w:p>
    <w:p w14:paraId="51C1FDC9" w14:textId="77777777" w:rsidR="006F588E" w:rsidRPr="00A76FF0" w:rsidRDefault="006F588E" w:rsidP="002203B0">
      <w:pPr>
        <w:ind w:left="720" w:hanging="720"/>
      </w:pPr>
      <w:r w:rsidRPr="00A76FF0">
        <w:t xml:space="preserve">OECD (2022) </w:t>
      </w:r>
      <w:r w:rsidRPr="00A76FF0">
        <w:rPr>
          <w:i/>
          <w:iCs/>
        </w:rPr>
        <w:t>Sustainability Policies and Practices for Corporate Governance in Brazil</w:t>
      </w:r>
      <w:r w:rsidRPr="00A76FF0">
        <w:t xml:space="preserve">. Available at: </w:t>
      </w:r>
      <w:hyperlink r:id="rId38" w:tgtFrame="_new" w:history="1">
        <w:r w:rsidRPr="00A76FF0">
          <w:rPr>
            <w:rStyle w:val="Hyperlink"/>
          </w:rPr>
          <w:t>https://www.oecd.org/content/dam/oecd/en/publications/reports/2022/06/sustainability-policies-and-practices-for-corporate-governance-in-brazil_0a6d34d0/a9889ba3-en.pdf</w:t>
        </w:r>
      </w:hyperlink>
      <w:r w:rsidRPr="00A76FF0">
        <w:t xml:space="preserve"> (Accessed: 25 September 2025).</w:t>
      </w:r>
    </w:p>
    <w:p w14:paraId="1A31E4EF" w14:textId="77777777" w:rsidR="006F588E" w:rsidRPr="00A76FF0" w:rsidRDefault="006F588E" w:rsidP="002203B0">
      <w:pPr>
        <w:ind w:left="720" w:hanging="720"/>
      </w:pPr>
      <w:r w:rsidRPr="00A76FF0">
        <w:t xml:space="preserve">OECD (2024) </w:t>
      </w:r>
      <w:r w:rsidRPr="00A76FF0">
        <w:rPr>
          <w:i/>
          <w:iCs/>
        </w:rPr>
        <w:t>Brazil — OECD Economic Outlook &amp; country analysis</w:t>
      </w:r>
      <w:r w:rsidRPr="00A76FF0">
        <w:t xml:space="preserve">. Available at: </w:t>
      </w:r>
      <w:hyperlink r:id="rId39" w:tgtFrame="_new" w:history="1">
        <w:r w:rsidRPr="00A76FF0">
          <w:rPr>
            <w:rStyle w:val="Hyperlink"/>
          </w:rPr>
          <w:t>https://www.oecd.org/en/publications/2024/12/oecd-economic-outlook-volume-2024-issue-2_67bb8fac/full-report/brazil_e26b6824.html</w:t>
        </w:r>
      </w:hyperlink>
      <w:r w:rsidRPr="00A76FF0">
        <w:t xml:space="preserve"> (Accessed: 25 September 2025).</w:t>
      </w:r>
    </w:p>
    <w:p w14:paraId="0728614C" w14:textId="77777777" w:rsidR="006F588E" w:rsidRPr="00A76FF0" w:rsidRDefault="006F588E" w:rsidP="002203B0">
      <w:pPr>
        <w:ind w:left="720" w:hanging="720"/>
      </w:pPr>
      <w:proofErr w:type="spellStart"/>
      <w:r w:rsidRPr="00A76FF0">
        <w:t>OjoPúblico</w:t>
      </w:r>
      <w:proofErr w:type="spellEnd"/>
      <w:r w:rsidRPr="00A76FF0">
        <w:t xml:space="preserve"> (2024) IKEA and Falabella trigger Brazilian timber imports. Available at: </w:t>
      </w:r>
      <w:hyperlink r:id="rId40" w:tgtFrame="_new" w:history="1">
        <w:r w:rsidRPr="00A76FF0">
          <w:rPr>
            <w:rStyle w:val="Hyperlink"/>
          </w:rPr>
          <w:t>https://ojo-publico.com/3804/fears-over-ikeas-arrival-latin-america</w:t>
        </w:r>
      </w:hyperlink>
      <w:r w:rsidRPr="00A76FF0">
        <w:t xml:space="preserve"> (Accessed: 25 September 2025).</w:t>
      </w:r>
    </w:p>
    <w:p w14:paraId="33294420" w14:textId="77777777" w:rsidR="006F588E" w:rsidRPr="00A76FF0" w:rsidRDefault="006F588E" w:rsidP="002203B0">
      <w:pPr>
        <w:ind w:left="720" w:hanging="720"/>
      </w:pPr>
      <w:r w:rsidRPr="00A76FF0">
        <w:lastRenderedPageBreak/>
        <w:t xml:space="preserve">Prologis Research (2025) </w:t>
      </w:r>
      <w:r w:rsidRPr="00A76FF0">
        <w:rPr>
          <w:i/>
          <w:iCs/>
        </w:rPr>
        <w:t>Market rents reset after years of outperformance — Brazil</w:t>
      </w:r>
      <w:r w:rsidRPr="00A76FF0">
        <w:t xml:space="preserve">. Available at: </w:t>
      </w:r>
      <w:hyperlink r:id="rId41" w:tgtFrame="_new" w:history="1">
        <w:r w:rsidRPr="00A76FF0">
          <w:rPr>
            <w:rStyle w:val="Hyperlink"/>
          </w:rPr>
          <w:t>https://www.prologis.com/insights-news/research/2024-market-rents-reset-after-years-outperformance</w:t>
        </w:r>
      </w:hyperlink>
      <w:r w:rsidRPr="00A76FF0">
        <w:t xml:space="preserve"> (Accessed: 25 September 2025).</w:t>
      </w:r>
    </w:p>
    <w:p w14:paraId="51275D36" w14:textId="77777777" w:rsidR="006F588E" w:rsidRPr="00A76FF0" w:rsidRDefault="006F588E" w:rsidP="002203B0">
      <w:pPr>
        <w:ind w:left="720" w:hanging="720"/>
      </w:pPr>
      <w:r w:rsidRPr="00A76FF0">
        <w:t xml:space="preserve">PwC (2024) </w:t>
      </w:r>
      <w:r w:rsidRPr="00A76FF0">
        <w:rPr>
          <w:i/>
          <w:iCs/>
        </w:rPr>
        <w:t>Brazil — Corporate taxation</w:t>
      </w:r>
      <w:r w:rsidRPr="00A76FF0">
        <w:t xml:space="preserve">. Available at: </w:t>
      </w:r>
      <w:hyperlink r:id="rId42" w:tgtFrame="_new" w:history="1">
        <w:r w:rsidRPr="00A76FF0">
          <w:rPr>
            <w:rStyle w:val="Hyperlink"/>
          </w:rPr>
          <w:t>https://taxsummaries.pwc.com/brazil/corporate/group-taxation</w:t>
        </w:r>
      </w:hyperlink>
      <w:r w:rsidRPr="00A76FF0">
        <w:t xml:space="preserve"> (Accessed: 25 September 2025).</w:t>
      </w:r>
    </w:p>
    <w:p w14:paraId="6E2FB56F" w14:textId="2B56853B" w:rsidR="006F588E" w:rsidRPr="00A76FF0" w:rsidRDefault="006F588E" w:rsidP="002203B0">
      <w:pPr>
        <w:ind w:left="720" w:hanging="720"/>
      </w:pPr>
      <w:r w:rsidRPr="00A76FF0">
        <w:t xml:space="preserve">Reuters (2025) </w:t>
      </w:r>
      <w:r w:rsidRPr="00A76FF0">
        <w:rPr>
          <w:i/>
          <w:iCs/>
        </w:rPr>
        <w:t>Brazil retail sales rise 0.5% in February to hit record.</w:t>
      </w:r>
      <w:r w:rsidRPr="00A76FF0">
        <w:t xml:space="preserve"> Available at: </w:t>
      </w:r>
      <w:hyperlink r:id="rId43" w:tgtFrame="_new" w:history="1">
        <w:r w:rsidRPr="00A76FF0">
          <w:rPr>
            <w:rStyle w:val="Hyperlink"/>
          </w:rPr>
          <w:t>https://www.reuters.com/world/americas/brazil-retail-sales-rise-05-february-hit-record-2025-04-09/</w:t>
        </w:r>
      </w:hyperlink>
      <w:r w:rsidRPr="00A76FF0">
        <w:t xml:space="preserve"> (Accessed: 25 September 2025).</w:t>
      </w:r>
    </w:p>
    <w:p w14:paraId="375054D7" w14:textId="77777777" w:rsidR="006F588E" w:rsidRPr="00A76FF0" w:rsidRDefault="006F588E" w:rsidP="002203B0">
      <w:pPr>
        <w:ind w:left="720" w:hanging="720"/>
      </w:pPr>
      <w:r w:rsidRPr="00A76FF0">
        <w:t xml:space="preserve">Reuters (2025) </w:t>
      </w:r>
      <w:proofErr w:type="spellStart"/>
      <w:r w:rsidRPr="00A76FF0">
        <w:rPr>
          <w:i/>
          <w:iCs/>
        </w:rPr>
        <w:t>MercadoLibre</w:t>
      </w:r>
      <w:proofErr w:type="spellEnd"/>
      <w:r w:rsidRPr="00A76FF0">
        <w:rPr>
          <w:i/>
          <w:iCs/>
        </w:rPr>
        <w:t xml:space="preserve"> to invest $5.8 billion in Brazil this year</w:t>
      </w:r>
      <w:r w:rsidRPr="00A76FF0">
        <w:t xml:space="preserve">. Reuters, 7 April 2025. Available at: </w:t>
      </w:r>
      <w:hyperlink r:id="rId44" w:tgtFrame="_new" w:history="1">
        <w:r w:rsidRPr="00A76FF0">
          <w:rPr>
            <w:rStyle w:val="Hyperlink"/>
          </w:rPr>
          <w:t>https://www.reuters.com/business/retail-consumer/mercadolibre-invest-58-billion-brazil-this-year-2025-04-07/</w:t>
        </w:r>
      </w:hyperlink>
      <w:r w:rsidRPr="00A76FF0">
        <w:t xml:space="preserve"> (Accessed: 25 September 2025).</w:t>
      </w:r>
    </w:p>
    <w:p w14:paraId="1FD39D24" w14:textId="77777777" w:rsidR="006F588E" w:rsidRPr="00A76FF0" w:rsidRDefault="006F588E" w:rsidP="002203B0">
      <w:pPr>
        <w:ind w:left="720" w:hanging="720"/>
      </w:pPr>
      <w:r w:rsidRPr="00A76FF0">
        <w:t xml:space="preserve">Simpson, E. M. (1999) A specialty store’s perspective on retail internationalization. </w:t>
      </w:r>
      <w:r w:rsidRPr="00A76FF0">
        <w:rPr>
          <w:i/>
          <w:iCs/>
        </w:rPr>
        <w:t>Journal of Retailing and Consumer Services</w:t>
      </w:r>
      <w:r w:rsidRPr="00A76FF0">
        <w:t xml:space="preserve">, 6(1), pp. 1–8. </w:t>
      </w:r>
      <w:hyperlink r:id="rId45" w:history="1">
        <w:r w:rsidRPr="00A76FF0">
          <w:rPr>
            <w:rStyle w:val="Hyperlink"/>
          </w:rPr>
          <w:t>https://doi.org/10.1016/S0969-6989(98)00022-4</w:t>
        </w:r>
      </w:hyperlink>
      <w:r w:rsidRPr="00A76FF0">
        <w:t xml:space="preserve">. </w:t>
      </w:r>
    </w:p>
    <w:p w14:paraId="14402A2C" w14:textId="77777777" w:rsidR="006F588E" w:rsidRPr="00A76FF0" w:rsidRDefault="006F588E" w:rsidP="002203B0">
      <w:pPr>
        <w:ind w:left="720" w:hanging="720"/>
      </w:pPr>
      <w:r w:rsidRPr="00A76FF0">
        <w:t xml:space="preserve">Sousa, P. R. de, Barbosa, M. W., Oliveira, L. K. de, Resende, P. T. V. de, Rodrigues, R. R., Moura, M. T., &amp; Matoso, D. (2021). </w:t>
      </w:r>
      <w:r w:rsidRPr="00A76FF0">
        <w:rPr>
          <w:i/>
          <w:iCs/>
        </w:rPr>
        <w:t>Challenges, opportunities, and lessons learned: Sustainability in Brazilian omnichannel retail</w:t>
      </w:r>
      <w:r w:rsidRPr="00A76FF0">
        <w:t xml:space="preserve">. Sustainability, 13(2), 666. </w:t>
      </w:r>
      <w:hyperlink r:id="rId46" w:history="1">
        <w:r w:rsidRPr="00A76FF0">
          <w:rPr>
            <w:rStyle w:val="Hyperlink"/>
          </w:rPr>
          <w:t>https://doi.org/10.3390/su13020666</w:t>
        </w:r>
      </w:hyperlink>
      <w:r w:rsidRPr="00A76FF0">
        <w:t xml:space="preserve"> </w:t>
      </w:r>
    </w:p>
    <w:p w14:paraId="7C9EA762" w14:textId="77777777" w:rsidR="006F588E" w:rsidRPr="00A76FF0" w:rsidRDefault="006F588E" w:rsidP="002203B0">
      <w:pPr>
        <w:ind w:left="720" w:hanging="720"/>
      </w:pPr>
      <w:r w:rsidRPr="00A76FF0">
        <w:t xml:space="preserve">Valdés-Llaneza, A., Sánchez-Lorda, P. and García-Canal, E. (2021) Entry mode choice in emerging markets: is there any difference between emerging and developed country </w:t>
      </w:r>
      <w:proofErr w:type="gramStart"/>
      <w:r w:rsidRPr="00A76FF0">
        <w:t>multinationals?,</w:t>
      </w:r>
      <w:proofErr w:type="gramEnd"/>
      <w:r w:rsidRPr="00A76FF0">
        <w:t xml:space="preserve"> </w:t>
      </w:r>
      <w:r w:rsidRPr="00A76FF0">
        <w:rPr>
          <w:i/>
          <w:iCs/>
        </w:rPr>
        <w:t>European Journal of International Management</w:t>
      </w:r>
      <w:r w:rsidRPr="00A76FF0">
        <w:t xml:space="preserve">, (published online 2021). </w:t>
      </w:r>
      <w:hyperlink r:id="rId47" w:history="1">
        <w:r w:rsidRPr="00A76FF0">
          <w:rPr>
            <w:rStyle w:val="Hyperlink"/>
          </w:rPr>
          <w:t>https://www.inderscience.com/info/inarticle.php?artid=115492</w:t>
        </w:r>
      </w:hyperlink>
      <w:r w:rsidRPr="00A76FF0">
        <w:t xml:space="preserve"> </w:t>
      </w:r>
    </w:p>
    <w:p w14:paraId="6D884CCA" w14:textId="77777777" w:rsidR="006F588E" w:rsidRPr="00A76FF0" w:rsidRDefault="006F588E" w:rsidP="002203B0">
      <w:pPr>
        <w:ind w:left="720" w:hanging="720"/>
      </w:pPr>
      <w:r w:rsidRPr="00A76FF0">
        <w:t xml:space="preserve">Veiga, C. P. (2024) </w:t>
      </w:r>
      <w:r w:rsidRPr="00A76FF0">
        <w:rPr>
          <w:i/>
          <w:iCs/>
        </w:rPr>
        <w:t>E-Commerce in Brazil: An In-Depth Analysis of Digital Growth and Strategic Approaches for Online Retail</w:t>
      </w:r>
      <w:r w:rsidRPr="00A76FF0">
        <w:t xml:space="preserve">. </w:t>
      </w:r>
      <w:r w:rsidRPr="00A76FF0">
        <w:rPr>
          <w:i/>
          <w:iCs/>
        </w:rPr>
        <w:t>Journal of Theoretical &amp; Applied Electronic Commerce Research</w:t>
      </w:r>
      <w:r w:rsidRPr="00A76FF0">
        <w:t xml:space="preserve">, 19(2), pp.1572-1593. </w:t>
      </w:r>
      <w:hyperlink r:id="rId48" w:history="1">
        <w:r w:rsidRPr="00A76FF0">
          <w:rPr>
            <w:rStyle w:val="Hyperlink"/>
          </w:rPr>
          <w:t>https://www.mdpi.com/0718-1876/19/2/76</w:t>
        </w:r>
      </w:hyperlink>
      <w:r w:rsidRPr="00A76FF0">
        <w:t>.</w:t>
      </w:r>
    </w:p>
    <w:p w14:paraId="20F6DAB2" w14:textId="77777777" w:rsidR="006F588E" w:rsidRPr="00A76FF0" w:rsidRDefault="006F588E" w:rsidP="002203B0">
      <w:pPr>
        <w:ind w:left="720" w:hanging="720"/>
      </w:pPr>
      <w:r w:rsidRPr="00A76FF0">
        <w:t xml:space="preserve">Wang, W. and Guedes, M. J. (2025). Timing and experience in global markets: </w:t>
      </w:r>
      <w:proofErr w:type="spellStart"/>
      <w:r w:rsidRPr="00A76FF0">
        <w:t>Unraveling</w:t>
      </w:r>
      <w:proofErr w:type="spellEnd"/>
      <w:r w:rsidRPr="00A76FF0">
        <w:t xml:space="preserve"> the impact of </w:t>
      </w:r>
      <w:proofErr w:type="spellStart"/>
      <w:r w:rsidRPr="00A76FF0">
        <w:t>servitization</w:t>
      </w:r>
      <w:proofErr w:type="spellEnd"/>
      <w:r w:rsidRPr="00A76FF0">
        <w:t xml:space="preserve"> on new manufacturing venture survival. </w:t>
      </w:r>
      <w:r w:rsidRPr="00A76FF0">
        <w:rPr>
          <w:i/>
          <w:iCs/>
        </w:rPr>
        <w:t>International Entrepreneurship and Management Journal, 21</w:t>
      </w:r>
      <w:r w:rsidRPr="00A76FF0">
        <w:t xml:space="preserve">, Article 21. </w:t>
      </w:r>
      <w:hyperlink r:id="rId49" w:history="1">
        <w:r w:rsidRPr="00A76FF0">
          <w:rPr>
            <w:rStyle w:val="Hyperlink"/>
          </w:rPr>
          <w:t>https://doi.org/10.1007/s11365-024-01034-9</w:t>
        </w:r>
      </w:hyperlink>
      <w:r w:rsidRPr="00A76FF0">
        <w:t xml:space="preserve"> </w:t>
      </w:r>
    </w:p>
    <w:p w14:paraId="74DDADEB" w14:textId="33987BC4" w:rsidR="00285D07" w:rsidRPr="00A76FF0" w:rsidRDefault="006F588E" w:rsidP="002203B0">
      <w:pPr>
        <w:ind w:left="720" w:hanging="720"/>
      </w:pPr>
      <w:r w:rsidRPr="00A76FF0">
        <w:lastRenderedPageBreak/>
        <w:t xml:space="preserve">World Bank (2025) </w:t>
      </w:r>
      <w:r w:rsidRPr="00A76FF0">
        <w:rPr>
          <w:i/>
          <w:iCs/>
        </w:rPr>
        <w:t>Brazil — Overview</w:t>
      </w:r>
      <w:r w:rsidRPr="00A76FF0">
        <w:t xml:space="preserve">. Available at: </w:t>
      </w:r>
      <w:hyperlink r:id="rId50" w:tgtFrame="_new" w:history="1">
        <w:r w:rsidRPr="00A76FF0">
          <w:rPr>
            <w:rStyle w:val="Hyperlink"/>
          </w:rPr>
          <w:t>https://www.worldbank.org/en/country/brazil/overview</w:t>
        </w:r>
      </w:hyperlink>
      <w:r w:rsidRPr="00A76FF0">
        <w:t xml:space="preserve"> (Accessed: 25 September 2025).</w:t>
      </w:r>
    </w:p>
    <w:p w14:paraId="7BD0DB27" w14:textId="77777777" w:rsidR="00285D07" w:rsidRPr="00A76FF0" w:rsidRDefault="00285D07" w:rsidP="002203B0">
      <w:pPr>
        <w:spacing w:line="259" w:lineRule="auto"/>
        <w:ind w:left="720" w:hanging="720"/>
        <w:jc w:val="left"/>
      </w:pPr>
      <w:r w:rsidRPr="00A76FF0">
        <w:br w:type="page"/>
      </w:r>
    </w:p>
    <w:p w14:paraId="09664602" w14:textId="1E4F5052" w:rsidR="00BC2BC6" w:rsidRPr="00A76FF0" w:rsidRDefault="00285D07" w:rsidP="00285D07">
      <w:pPr>
        <w:pStyle w:val="Heading1"/>
      </w:pPr>
      <w:bookmarkStart w:id="44" w:name="_Toc215223938"/>
      <w:r w:rsidRPr="00A76FF0">
        <w:lastRenderedPageBreak/>
        <w:t>Appendices</w:t>
      </w:r>
      <w:bookmarkEnd w:id="44"/>
    </w:p>
    <w:p w14:paraId="76D85319" w14:textId="3984B8E7" w:rsidR="00346217" w:rsidRPr="00A76FF0" w:rsidRDefault="00346217" w:rsidP="00346217">
      <w:pPr>
        <w:pStyle w:val="Heading2"/>
      </w:pPr>
      <w:bookmarkStart w:id="45" w:name="_Toc215223939"/>
      <w:r w:rsidRPr="00A76FF0">
        <w:rPr>
          <w:rStyle w:val="Strong"/>
          <w:b/>
          <w:bCs w:val="0"/>
        </w:rPr>
        <w:t>Appendix A</w:t>
      </w:r>
      <w:r w:rsidRPr="00A76FF0">
        <w:t xml:space="preserve"> Business Model Canvas</w:t>
      </w:r>
      <w:bookmarkEnd w:id="45"/>
    </w:p>
    <w:tbl>
      <w:tblPr>
        <w:tblStyle w:val="PlainTable5"/>
        <w:tblW w:w="0" w:type="auto"/>
        <w:tblLook w:val="04A0" w:firstRow="1" w:lastRow="0" w:firstColumn="1" w:lastColumn="0" w:noHBand="0" w:noVBand="1"/>
      </w:tblPr>
      <w:tblGrid>
        <w:gridCol w:w="1833"/>
        <w:gridCol w:w="7193"/>
      </w:tblGrid>
      <w:tr w:rsidR="00346217" w:rsidRPr="00A76FF0" w14:paraId="47451C90" w14:textId="77777777" w:rsidTr="00134540">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0" w:type="auto"/>
            <w:hideMark/>
          </w:tcPr>
          <w:p w14:paraId="4C099A7A" w14:textId="77777777" w:rsidR="00346217" w:rsidRPr="00A76FF0" w:rsidRDefault="00346217" w:rsidP="00134540">
            <w:pPr>
              <w:spacing w:after="160"/>
              <w:rPr>
                <w:b/>
                <w:bCs/>
              </w:rPr>
            </w:pPr>
            <w:r w:rsidRPr="00A76FF0">
              <w:rPr>
                <w:b/>
                <w:bCs/>
              </w:rPr>
              <w:t>Element</w:t>
            </w:r>
          </w:p>
        </w:tc>
        <w:tc>
          <w:tcPr>
            <w:tcW w:w="0" w:type="auto"/>
            <w:hideMark/>
          </w:tcPr>
          <w:p w14:paraId="2778258B" w14:textId="77777777" w:rsidR="00346217" w:rsidRPr="00A76FF0" w:rsidRDefault="00346217" w:rsidP="00134540">
            <w:pPr>
              <w:spacing w:after="160"/>
              <w:cnfStyle w:val="100000000000" w:firstRow="1" w:lastRow="0" w:firstColumn="0" w:lastColumn="0" w:oddVBand="0" w:evenVBand="0" w:oddHBand="0" w:evenHBand="0" w:firstRowFirstColumn="0" w:firstRowLastColumn="0" w:lastRowFirstColumn="0" w:lastRowLastColumn="0"/>
              <w:rPr>
                <w:b/>
                <w:bCs/>
              </w:rPr>
            </w:pPr>
            <w:r w:rsidRPr="00A76FF0">
              <w:rPr>
                <w:b/>
                <w:bCs/>
              </w:rPr>
              <w:t>Application at IKEA</w:t>
            </w:r>
          </w:p>
        </w:tc>
      </w:tr>
      <w:tr w:rsidR="00346217" w:rsidRPr="00A76FF0" w14:paraId="1CDC70C8" w14:textId="77777777" w:rsidTr="00134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659CB3" w14:textId="77777777" w:rsidR="00346217" w:rsidRPr="00A76FF0" w:rsidRDefault="00346217" w:rsidP="00134540">
            <w:pPr>
              <w:spacing w:after="160"/>
            </w:pPr>
            <w:r w:rsidRPr="00A76FF0">
              <w:t>Customer Segments</w:t>
            </w:r>
          </w:p>
        </w:tc>
        <w:tc>
          <w:tcPr>
            <w:tcW w:w="0" w:type="auto"/>
            <w:hideMark/>
          </w:tcPr>
          <w:p w14:paraId="72395771" w14:textId="77777777" w:rsidR="00346217" w:rsidRPr="00A76FF0" w:rsidRDefault="00346217" w:rsidP="00134540">
            <w:pPr>
              <w:spacing w:after="160"/>
              <w:cnfStyle w:val="000000100000" w:firstRow="0" w:lastRow="0" w:firstColumn="0" w:lastColumn="0" w:oddVBand="0" w:evenVBand="0" w:oddHBand="1" w:evenHBand="0" w:firstRowFirstColumn="0" w:firstRowLastColumn="0" w:lastRowFirstColumn="0" w:lastRowLastColumn="0"/>
            </w:pPr>
            <w:r w:rsidRPr="00A76FF0">
              <w:t>IKEA serves a global middle class, focusing particularly on urban households and value-oriented consumers in markets such as Brazil (IBGE, 2025; World Bank, 2025).</w:t>
            </w:r>
          </w:p>
        </w:tc>
      </w:tr>
      <w:tr w:rsidR="00346217" w:rsidRPr="00A76FF0" w14:paraId="3EFD9BD2" w14:textId="77777777" w:rsidTr="00134540">
        <w:tc>
          <w:tcPr>
            <w:cnfStyle w:val="001000000000" w:firstRow="0" w:lastRow="0" w:firstColumn="1" w:lastColumn="0" w:oddVBand="0" w:evenVBand="0" w:oddHBand="0" w:evenHBand="0" w:firstRowFirstColumn="0" w:firstRowLastColumn="0" w:lastRowFirstColumn="0" w:lastRowLastColumn="0"/>
            <w:tcW w:w="0" w:type="auto"/>
            <w:hideMark/>
          </w:tcPr>
          <w:p w14:paraId="4FDF5D55" w14:textId="77777777" w:rsidR="00346217" w:rsidRPr="00A76FF0" w:rsidRDefault="00346217" w:rsidP="00134540">
            <w:pPr>
              <w:spacing w:after="160"/>
            </w:pPr>
            <w:r w:rsidRPr="00A76FF0">
              <w:t>Value Proposition</w:t>
            </w:r>
          </w:p>
        </w:tc>
        <w:tc>
          <w:tcPr>
            <w:tcW w:w="0" w:type="auto"/>
            <w:hideMark/>
          </w:tcPr>
          <w:p w14:paraId="470C53F4" w14:textId="77777777" w:rsidR="00346217" w:rsidRPr="00A76FF0" w:rsidRDefault="00346217" w:rsidP="00134540">
            <w:pPr>
              <w:spacing w:after="160"/>
              <w:cnfStyle w:val="000000000000" w:firstRow="0" w:lastRow="0" w:firstColumn="0" w:lastColumn="0" w:oddVBand="0" w:evenVBand="0" w:oddHBand="0" w:evenHBand="0" w:firstRowFirstColumn="0" w:firstRowLastColumn="0" w:lastRowFirstColumn="0" w:lastRowLastColumn="0"/>
            </w:pPr>
            <w:r w:rsidRPr="00A76FF0">
              <w:t>IKEA offers affordable, functional, and sustainable furniture that combines Scandinavian design with flat pack innovation (IKEA, 2025).</w:t>
            </w:r>
          </w:p>
        </w:tc>
      </w:tr>
      <w:tr w:rsidR="00346217" w:rsidRPr="00A76FF0" w14:paraId="1E4D66FD" w14:textId="77777777" w:rsidTr="00134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24F9B83" w14:textId="77777777" w:rsidR="00346217" w:rsidRPr="00A76FF0" w:rsidRDefault="00346217" w:rsidP="00134540">
            <w:pPr>
              <w:spacing w:after="160"/>
            </w:pPr>
            <w:r w:rsidRPr="00A76FF0">
              <w:t>Channels</w:t>
            </w:r>
          </w:p>
        </w:tc>
        <w:tc>
          <w:tcPr>
            <w:tcW w:w="0" w:type="auto"/>
            <w:hideMark/>
          </w:tcPr>
          <w:p w14:paraId="630DAA5C" w14:textId="77777777" w:rsidR="00346217" w:rsidRPr="00A76FF0" w:rsidRDefault="00346217" w:rsidP="00134540">
            <w:pPr>
              <w:spacing w:after="160"/>
              <w:cnfStyle w:val="000000100000" w:firstRow="0" w:lastRow="0" w:firstColumn="0" w:lastColumn="0" w:oddVBand="0" w:evenVBand="0" w:oddHBand="1" w:evenHBand="0" w:firstRowFirstColumn="0" w:firstRowLastColumn="0" w:lastRowFirstColumn="0" w:lastRowLastColumn="0"/>
            </w:pPr>
            <w:r w:rsidRPr="00A76FF0">
              <w:t>IKEA distributes products through large format stores, smaller city stores, e commerce platforms, and mobile applications (Ingka Group, 2024).</w:t>
            </w:r>
          </w:p>
        </w:tc>
      </w:tr>
      <w:tr w:rsidR="00346217" w:rsidRPr="00A76FF0" w14:paraId="4AE0C292" w14:textId="77777777" w:rsidTr="00134540">
        <w:tc>
          <w:tcPr>
            <w:cnfStyle w:val="001000000000" w:firstRow="0" w:lastRow="0" w:firstColumn="1" w:lastColumn="0" w:oddVBand="0" w:evenVBand="0" w:oddHBand="0" w:evenHBand="0" w:firstRowFirstColumn="0" w:firstRowLastColumn="0" w:lastRowFirstColumn="0" w:lastRowLastColumn="0"/>
            <w:tcW w:w="0" w:type="auto"/>
            <w:hideMark/>
          </w:tcPr>
          <w:p w14:paraId="1A74AA0A" w14:textId="77777777" w:rsidR="00346217" w:rsidRPr="00A76FF0" w:rsidRDefault="00346217" w:rsidP="00134540">
            <w:pPr>
              <w:spacing w:after="160"/>
            </w:pPr>
            <w:r w:rsidRPr="00A76FF0">
              <w:t>Customer Relationships</w:t>
            </w:r>
          </w:p>
        </w:tc>
        <w:tc>
          <w:tcPr>
            <w:tcW w:w="0" w:type="auto"/>
            <w:hideMark/>
          </w:tcPr>
          <w:p w14:paraId="08AC08F8" w14:textId="77777777" w:rsidR="00346217" w:rsidRPr="00A76FF0" w:rsidRDefault="00346217" w:rsidP="00134540">
            <w:pPr>
              <w:spacing w:after="160"/>
              <w:cnfStyle w:val="000000000000" w:firstRow="0" w:lastRow="0" w:firstColumn="0" w:lastColumn="0" w:oddVBand="0" w:evenVBand="0" w:oddHBand="0" w:evenHBand="0" w:firstRowFirstColumn="0" w:firstRowLastColumn="0" w:lastRowFirstColumn="0" w:lastRowLastColumn="0"/>
            </w:pPr>
            <w:r w:rsidRPr="00A76FF0">
              <w:t>IKEA builds relationships through self-service models, in store support, loyalty programmes, and digital engagement initiatives (Ingka Group, 2024).</w:t>
            </w:r>
          </w:p>
        </w:tc>
      </w:tr>
      <w:tr w:rsidR="00346217" w:rsidRPr="00A76FF0" w14:paraId="12549F58" w14:textId="77777777" w:rsidTr="00134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B9548E3" w14:textId="77777777" w:rsidR="00346217" w:rsidRPr="00A76FF0" w:rsidRDefault="00346217" w:rsidP="00134540">
            <w:pPr>
              <w:spacing w:after="160"/>
            </w:pPr>
            <w:r w:rsidRPr="00A76FF0">
              <w:t>Revenue Streams</w:t>
            </w:r>
          </w:p>
        </w:tc>
        <w:tc>
          <w:tcPr>
            <w:tcW w:w="0" w:type="auto"/>
            <w:hideMark/>
          </w:tcPr>
          <w:p w14:paraId="1919EAE2" w14:textId="77777777" w:rsidR="00346217" w:rsidRPr="00A76FF0" w:rsidRDefault="00346217" w:rsidP="00134540">
            <w:pPr>
              <w:spacing w:after="160"/>
              <w:cnfStyle w:val="000000100000" w:firstRow="0" w:lastRow="0" w:firstColumn="0" w:lastColumn="0" w:oddVBand="0" w:evenVBand="0" w:oddHBand="1" w:evenHBand="0" w:firstRowFirstColumn="0" w:firstRowLastColumn="0" w:lastRowFirstColumn="0" w:lastRowLastColumn="0"/>
            </w:pPr>
            <w:r w:rsidRPr="00A76FF0">
              <w:t>IKEA generates revenue from furniture sales, home accessories, food retail, and related home services (Inter IKEA Group, 2024).</w:t>
            </w:r>
          </w:p>
        </w:tc>
      </w:tr>
      <w:tr w:rsidR="00346217" w:rsidRPr="00A76FF0" w14:paraId="5DE8ED53" w14:textId="77777777" w:rsidTr="00134540">
        <w:tc>
          <w:tcPr>
            <w:cnfStyle w:val="001000000000" w:firstRow="0" w:lastRow="0" w:firstColumn="1" w:lastColumn="0" w:oddVBand="0" w:evenVBand="0" w:oddHBand="0" w:evenHBand="0" w:firstRowFirstColumn="0" w:firstRowLastColumn="0" w:lastRowFirstColumn="0" w:lastRowLastColumn="0"/>
            <w:tcW w:w="0" w:type="auto"/>
            <w:hideMark/>
          </w:tcPr>
          <w:p w14:paraId="5371B222" w14:textId="77777777" w:rsidR="00346217" w:rsidRPr="00A76FF0" w:rsidRDefault="00346217" w:rsidP="00134540">
            <w:pPr>
              <w:spacing w:after="160"/>
            </w:pPr>
            <w:r w:rsidRPr="00A76FF0">
              <w:t>Key Resources</w:t>
            </w:r>
          </w:p>
        </w:tc>
        <w:tc>
          <w:tcPr>
            <w:tcW w:w="0" w:type="auto"/>
            <w:hideMark/>
          </w:tcPr>
          <w:p w14:paraId="4BCBA0E9" w14:textId="77777777" w:rsidR="00346217" w:rsidRPr="00A76FF0" w:rsidRDefault="00346217" w:rsidP="00134540">
            <w:pPr>
              <w:spacing w:after="160"/>
              <w:cnfStyle w:val="000000000000" w:firstRow="0" w:lastRow="0" w:firstColumn="0" w:lastColumn="0" w:oddVBand="0" w:evenVBand="0" w:oddHBand="0" w:evenHBand="0" w:firstRowFirstColumn="0" w:firstRowLastColumn="0" w:lastRowFirstColumn="0" w:lastRowLastColumn="0"/>
            </w:pPr>
            <w:r w:rsidRPr="00A76FF0">
              <w:t>IKEA relies on brand equity, a global supply chain, economies of scale, and in house design expertise to maintain competitiveness (Grant, 2021).</w:t>
            </w:r>
          </w:p>
        </w:tc>
      </w:tr>
      <w:tr w:rsidR="00346217" w:rsidRPr="00A76FF0" w14:paraId="459B89F3" w14:textId="77777777" w:rsidTr="00134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E56B75" w14:textId="77777777" w:rsidR="00346217" w:rsidRPr="00A76FF0" w:rsidRDefault="00346217" w:rsidP="00134540">
            <w:pPr>
              <w:spacing w:after="160"/>
            </w:pPr>
            <w:r w:rsidRPr="00A76FF0">
              <w:t>Key Activities</w:t>
            </w:r>
          </w:p>
        </w:tc>
        <w:tc>
          <w:tcPr>
            <w:tcW w:w="0" w:type="auto"/>
            <w:hideMark/>
          </w:tcPr>
          <w:p w14:paraId="3B584D55" w14:textId="77777777" w:rsidR="00346217" w:rsidRPr="00A76FF0" w:rsidRDefault="00346217" w:rsidP="00134540">
            <w:pPr>
              <w:spacing w:after="160"/>
              <w:cnfStyle w:val="000000100000" w:firstRow="0" w:lastRow="0" w:firstColumn="0" w:lastColumn="0" w:oddVBand="0" w:evenVBand="0" w:oddHBand="1" w:evenHBand="0" w:firstRowFirstColumn="0" w:firstRowLastColumn="0" w:lastRowFirstColumn="0" w:lastRowLastColumn="0"/>
            </w:pPr>
            <w:r w:rsidRPr="00A76FF0">
              <w:t>IKEA’s core activities include product design, global sourcing, logistics, retail operations, and sustainability programmes (IKEA, 2025).</w:t>
            </w:r>
          </w:p>
        </w:tc>
      </w:tr>
      <w:tr w:rsidR="00346217" w:rsidRPr="00A76FF0" w14:paraId="5132AA95" w14:textId="77777777" w:rsidTr="00134540">
        <w:tc>
          <w:tcPr>
            <w:cnfStyle w:val="001000000000" w:firstRow="0" w:lastRow="0" w:firstColumn="1" w:lastColumn="0" w:oddVBand="0" w:evenVBand="0" w:oddHBand="0" w:evenHBand="0" w:firstRowFirstColumn="0" w:firstRowLastColumn="0" w:lastRowFirstColumn="0" w:lastRowLastColumn="0"/>
            <w:tcW w:w="0" w:type="auto"/>
            <w:hideMark/>
          </w:tcPr>
          <w:p w14:paraId="7B080178" w14:textId="77777777" w:rsidR="00346217" w:rsidRPr="00A76FF0" w:rsidRDefault="00346217" w:rsidP="00134540">
            <w:pPr>
              <w:spacing w:after="160"/>
            </w:pPr>
            <w:r w:rsidRPr="00A76FF0">
              <w:t>Key Partnerships</w:t>
            </w:r>
          </w:p>
        </w:tc>
        <w:tc>
          <w:tcPr>
            <w:tcW w:w="0" w:type="auto"/>
            <w:hideMark/>
          </w:tcPr>
          <w:p w14:paraId="7D2D62C2" w14:textId="77777777" w:rsidR="00346217" w:rsidRPr="00A76FF0" w:rsidRDefault="00346217" w:rsidP="00134540">
            <w:pPr>
              <w:spacing w:after="160"/>
              <w:cnfStyle w:val="000000000000" w:firstRow="0" w:lastRow="0" w:firstColumn="0" w:lastColumn="0" w:oddVBand="0" w:evenVBand="0" w:oddHBand="0" w:evenHBand="0" w:firstRowFirstColumn="0" w:firstRowLastColumn="0" w:lastRowFirstColumn="0" w:lastRowLastColumn="0"/>
            </w:pPr>
            <w:r w:rsidRPr="00A76FF0">
              <w:t>IKEA develops long term partnerships with suppliers, franchisees, and renewable energy collaborators to reinforce stability and growth (Inter IKEA Group, 2024).</w:t>
            </w:r>
          </w:p>
        </w:tc>
      </w:tr>
      <w:tr w:rsidR="00346217" w:rsidRPr="00A76FF0" w14:paraId="106A2F37" w14:textId="77777777" w:rsidTr="00134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C6E495" w14:textId="77777777" w:rsidR="00346217" w:rsidRPr="00A76FF0" w:rsidRDefault="00346217" w:rsidP="00134540">
            <w:pPr>
              <w:spacing w:after="160"/>
            </w:pPr>
            <w:r w:rsidRPr="00A76FF0">
              <w:t>Cost Structure</w:t>
            </w:r>
          </w:p>
        </w:tc>
        <w:tc>
          <w:tcPr>
            <w:tcW w:w="0" w:type="auto"/>
            <w:hideMark/>
          </w:tcPr>
          <w:p w14:paraId="2C3BE26D" w14:textId="77777777" w:rsidR="00346217" w:rsidRPr="00A76FF0" w:rsidRDefault="00346217" w:rsidP="00134540">
            <w:pPr>
              <w:spacing w:after="160"/>
              <w:cnfStyle w:val="000000100000" w:firstRow="0" w:lastRow="0" w:firstColumn="0" w:lastColumn="0" w:oddVBand="0" w:evenVBand="0" w:oddHBand="1" w:evenHBand="0" w:firstRowFirstColumn="0" w:firstRowLastColumn="0" w:lastRowFirstColumn="0" w:lastRowLastColumn="0"/>
            </w:pPr>
            <w:r w:rsidRPr="00A76FF0">
              <w:t xml:space="preserve">IKEA’s costs are dominated by large scale production, distribution centre management, store operations, marketing, and investment in research and development (Hitt, Ireland and </w:t>
            </w:r>
            <w:proofErr w:type="spellStart"/>
            <w:r w:rsidRPr="00A76FF0">
              <w:t>Hoskisson</w:t>
            </w:r>
            <w:proofErr w:type="spellEnd"/>
            <w:r w:rsidRPr="00A76FF0">
              <w:t>, 2024).</w:t>
            </w:r>
          </w:p>
        </w:tc>
      </w:tr>
    </w:tbl>
    <w:p w14:paraId="13520153" w14:textId="77777777" w:rsidR="00346217" w:rsidRPr="00A76FF0" w:rsidRDefault="00346217" w:rsidP="00346217"/>
    <w:p w14:paraId="5FF1D77B" w14:textId="77777777" w:rsidR="00346217" w:rsidRPr="00A76FF0" w:rsidRDefault="00346217">
      <w:pPr>
        <w:spacing w:line="259" w:lineRule="auto"/>
        <w:jc w:val="left"/>
        <w:rPr>
          <w:rFonts w:eastAsiaTheme="majorEastAsia" w:cstheme="majorBidi"/>
          <w:b/>
          <w:color w:val="000000" w:themeColor="text1"/>
          <w:szCs w:val="33"/>
          <w:u w:val="single"/>
        </w:rPr>
      </w:pPr>
      <w:r w:rsidRPr="00A76FF0">
        <w:br w:type="page"/>
      </w:r>
    </w:p>
    <w:p w14:paraId="24C4DBF7" w14:textId="31493137" w:rsidR="00346217" w:rsidRPr="00A76FF0" w:rsidRDefault="00346217" w:rsidP="00346217">
      <w:pPr>
        <w:pStyle w:val="Heading2"/>
      </w:pPr>
      <w:bookmarkStart w:id="46" w:name="_Toc215223940"/>
      <w:r w:rsidRPr="00A76FF0">
        <w:lastRenderedPageBreak/>
        <w:t>Appendix B: Financial Statements – Inter IKEA Group FY24 (Source: Inter IKEA Group, 2024)</w:t>
      </w:r>
      <w:bookmarkEnd w:id="46"/>
    </w:p>
    <w:p w14:paraId="2D713128" w14:textId="1815676D" w:rsidR="00346217" w:rsidRPr="002203B0" w:rsidRDefault="00346217" w:rsidP="002203B0">
      <w:pPr>
        <w:pStyle w:val="Heading3"/>
      </w:pPr>
      <w:bookmarkStart w:id="47" w:name="_Toc215223941"/>
      <w:r w:rsidRPr="002203B0">
        <w:t>B1. Consolidated Balance Sheet as at 31 August 2024</w:t>
      </w:r>
      <w:bookmarkEnd w:id="47"/>
    </w:p>
    <w:p w14:paraId="542FD7E0" w14:textId="41CE5CA4" w:rsidR="00B43F57" w:rsidRPr="00A76FF0" w:rsidRDefault="00B43F57" w:rsidP="00346217">
      <w:pPr>
        <w:jc w:val="center"/>
      </w:pPr>
      <w:r w:rsidRPr="00A76FF0">
        <w:rPr>
          <w:noProof/>
        </w:rPr>
        <w:drawing>
          <wp:inline distT="0" distB="0" distL="0" distR="0" wp14:anchorId="17C052C7" wp14:editId="3020D8CB">
            <wp:extent cx="5319700" cy="4957233"/>
            <wp:effectExtent l="0" t="0" r="0" b="0"/>
            <wp:docPr id="108308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0894" name=""/>
                    <pic:cNvPicPr/>
                  </pic:nvPicPr>
                  <pic:blipFill>
                    <a:blip r:embed="rId51"/>
                    <a:stretch>
                      <a:fillRect/>
                    </a:stretch>
                  </pic:blipFill>
                  <pic:spPr>
                    <a:xfrm>
                      <a:off x="0" y="0"/>
                      <a:ext cx="5335263" cy="4971735"/>
                    </a:xfrm>
                    <a:prstGeom prst="rect">
                      <a:avLst/>
                    </a:prstGeom>
                  </pic:spPr>
                </pic:pic>
              </a:graphicData>
            </a:graphic>
          </wp:inline>
        </w:drawing>
      </w:r>
    </w:p>
    <w:p w14:paraId="6DED4DEB" w14:textId="22418E87" w:rsidR="00346217" w:rsidRPr="00A76FF0" w:rsidRDefault="00346217" w:rsidP="002203B0">
      <w:pPr>
        <w:pStyle w:val="Heading3"/>
      </w:pPr>
      <w:bookmarkStart w:id="48" w:name="_Toc215223942"/>
      <w:r w:rsidRPr="00A76FF0">
        <w:lastRenderedPageBreak/>
        <w:t>B2. Consolidated Profit and Loss Account FY24</w:t>
      </w:r>
      <w:bookmarkEnd w:id="48"/>
    </w:p>
    <w:p w14:paraId="058976D7" w14:textId="5A35F91E" w:rsidR="00B43F57" w:rsidRPr="00A76FF0" w:rsidRDefault="00B43F57" w:rsidP="00346217">
      <w:pPr>
        <w:jc w:val="center"/>
      </w:pPr>
      <w:r w:rsidRPr="00A76FF0">
        <w:rPr>
          <w:noProof/>
        </w:rPr>
        <w:drawing>
          <wp:inline distT="0" distB="0" distL="0" distR="0" wp14:anchorId="63A2C98A" wp14:editId="4D1E42CC">
            <wp:extent cx="4835237" cy="4902200"/>
            <wp:effectExtent l="0" t="0" r="3810" b="0"/>
            <wp:docPr id="9030620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062077" name=""/>
                    <pic:cNvPicPr/>
                  </pic:nvPicPr>
                  <pic:blipFill>
                    <a:blip r:embed="rId52"/>
                    <a:stretch>
                      <a:fillRect/>
                    </a:stretch>
                  </pic:blipFill>
                  <pic:spPr>
                    <a:xfrm>
                      <a:off x="0" y="0"/>
                      <a:ext cx="4854506" cy="4921736"/>
                    </a:xfrm>
                    <a:prstGeom prst="rect">
                      <a:avLst/>
                    </a:prstGeom>
                  </pic:spPr>
                </pic:pic>
              </a:graphicData>
            </a:graphic>
          </wp:inline>
        </w:drawing>
      </w:r>
    </w:p>
    <w:p w14:paraId="57DB6801" w14:textId="13AD17A0" w:rsidR="00346217" w:rsidRPr="00A76FF0" w:rsidRDefault="00346217" w:rsidP="002203B0">
      <w:pPr>
        <w:pStyle w:val="Heading3"/>
      </w:pPr>
      <w:bookmarkStart w:id="49" w:name="_Toc215223943"/>
      <w:r w:rsidRPr="00A76FF0">
        <w:t>B3. Consolidated Cash Flow Statement FY24</w:t>
      </w:r>
      <w:bookmarkEnd w:id="49"/>
    </w:p>
    <w:p w14:paraId="43D5F741" w14:textId="77777777" w:rsidR="00B43F57" w:rsidRPr="00A76FF0" w:rsidRDefault="00B43F57" w:rsidP="00B43F57"/>
    <w:p w14:paraId="52CE9E84" w14:textId="563C81FC" w:rsidR="00B43F57" w:rsidRPr="00A76FF0" w:rsidRDefault="00B43F57" w:rsidP="00346217">
      <w:pPr>
        <w:jc w:val="center"/>
      </w:pPr>
      <w:r w:rsidRPr="00A76FF0">
        <w:rPr>
          <w:noProof/>
        </w:rPr>
        <w:lastRenderedPageBreak/>
        <w:drawing>
          <wp:inline distT="0" distB="0" distL="0" distR="0" wp14:anchorId="6A5392A9" wp14:editId="3B285823">
            <wp:extent cx="4406900" cy="5878668"/>
            <wp:effectExtent l="0" t="0" r="0" b="8255"/>
            <wp:docPr id="4931089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3108916" name=""/>
                    <pic:cNvPicPr/>
                  </pic:nvPicPr>
                  <pic:blipFill>
                    <a:blip r:embed="rId53"/>
                    <a:stretch>
                      <a:fillRect/>
                    </a:stretch>
                  </pic:blipFill>
                  <pic:spPr>
                    <a:xfrm>
                      <a:off x="0" y="0"/>
                      <a:ext cx="4418080" cy="5893581"/>
                    </a:xfrm>
                    <a:prstGeom prst="rect">
                      <a:avLst/>
                    </a:prstGeom>
                  </pic:spPr>
                </pic:pic>
              </a:graphicData>
            </a:graphic>
          </wp:inline>
        </w:drawing>
      </w:r>
    </w:p>
    <w:p w14:paraId="56B1A646" w14:textId="5AABDE23" w:rsidR="00346217" w:rsidRPr="00A76FF0" w:rsidRDefault="00346217" w:rsidP="002203B0">
      <w:pPr>
        <w:pStyle w:val="Heading3"/>
      </w:pPr>
      <w:bookmarkStart w:id="50" w:name="_Toc215223944"/>
      <w:r w:rsidRPr="00A76FF0">
        <w:t>B4. Consolidated Statement of Comprehensive Income FY24</w:t>
      </w:r>
      <w:bookmarkEnd w:id="50"/>
    </w:p>
    <w:p w14:paraId="2D06E14C" w14:textId="04E45714" w:rsidR="00285D07" w:rsidRDefault="00B43F57" w:rsidP="00B43F57">
      <w:r w:rsidRPr="00A76FF0">
        <w:rPr>
          <w:noProof/>
        </w:rPr>
        <w:drawing>
          <wp:inline distT="0" distB="0" distL="0" distR="0" wp14:anchorId="0E8B21C6" wp14:editId="0A9B5A50">
            <wp:extent cx="5106113" cy="2238687"/>
            <wp:effectExtent l="0" t="0" r="0" b="9525"/>
            <wp:docPr id="163690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69042" name=""/>
                    <pic:cNvPicPr/>
                  </pic:nvPicPr>
                  <pic:blipFill>
                    <a:blip r:embed="rId54"/>
                    <a:stretch>
                      <a:fillRect/>
                    </a:stretch>
                  </pic:blipFill>
                  <pic:spPr>
                    <a:xfrm>
                      <a:off x="0" y="0"/>
                      <a:ext cx="5106113" cy="2238687"/>
                    </a:xfrm>
                    <a:prstGeom prst="rect">
                      <a:avLst/>
                    </a:prstGeom>
                  </pic:spPr>
                </pic:pic>
              </a:graphicData>
            </a:graphic>
          </wp:inline>
        </w:drawing>
      </w:r>
    </w:p>
    <w:p w14:paraId="4CEA22F7" w14:textId="088BE3CB" w:rsidR="00143A1D" w:rsidRDefault="00143A1D" w:rsidP="00143A1D">
      <w:pPr>
        <w:pStyle w:val="Heading2"/>
      </w:pPr>
      <w:bookmarkStart w:id="51" w:name="_Toc215223945"/>
      <w:r>
        <w:lastRenderedPageBreak/>
        <w:t>Appendix C</w:t>
      </w:r>
      <w:r w:rsidR="00B46277">
        <w:t xml:space="preserve">: </w:t>
      </w:r>
      <w:r w:rsidR="00B46277" w:rsidRPr="00A76FF0">
        <w:t>VRIO Analysis</w:t>
      </w:r>
      <w:bookmarkEnd w:id="51"/>
    </w:p>
    <w:tbl>
      <w:tblPr>
        <w:tblStyle w:val="GridTable4"/>
        <w:tblW w:w="0" w:type="auto"/>
        <w:tblLook w:val="04A0" w:firstRow="1" w:lastRow="0" w:firstColumn="1" w:lastColumn="0" w:noHBand="0" w:noVBand="1"/>
      </w:tblPr>
      <w:tblGrid>
        <w:gridCol w:w="1701"/>
        <w:gridCol w:w="1387"/>
        <w:gridCol w:w="1469"/>
        <w:gridCol w:w="1380"/>
        <w:gridCol w:w="1566"/>
        <w:gridCol w:w="1513"/>
      </w:tblGrid>
      <w:tr w:rsidR="00143A1D" w:rsidRPr="00A76FF0" w14:paraId="5DAE0AA6" w14:textId="77777777" w:rsidTr="003C21B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D468A78" w14:textId="77777777" w:rsidR="00143A1D" w:rsidRPr="00A76FF0" w:rsidRDefault="00143A1D" w:rsidP="003C21BC">
            <w:pPr>
              <w:spacing w:after="160"/>
              <w:jc w:val="center"/>
            </w:pPr>
            <w:r w:rsidRPr="00A76FF0">
              <w:t>Resource</w:t>
            </w:r>
          </w:p>
        </w:tc>
        <w:tc>
          <w:tcPr>
            <w:tcW w:w="0" w:type="auto"/>
            <w:hideMark/>
          </w:tcPr>
          <w:p w14:paraId="263AFABB" w14:textId="77777777" w:rsidR="00143A1D" w:rsidRPr="00A76FF0" w:rsidRDefault="00143A1D" w:rsidP="003C21BC">
            <w:pPr>
              <w:spacing w:after="160"/>
              <w:jc w:val="center"/>
              <w:cnfStyle w:val="100000000000" w:firstRow="1" w:lastRow="0" w:firstColumn="0" w:lastColumn="0" w:oddVBand="0" w:evenVBand="0" w:oddHBand="0" w:evenHBand="0" w:firstRowFirstColumn="0" w:firstRowLastColumn="0" w:lastRowFirstColumn="0" w:lastRowLastColumn="0"/>
            </w:pPr>
            <w:r w:rsidRPr="00A76FF0">
              <w:t>Valuable</w:t>
            </w:r>
          </w:p>
        </w:tc>
        <w:tc>
          <w:tcPr>
            <w:tcW w:w="0" w:type="auto"/>
            <w:hideMark/>
          </w:tcPr>
          <w:p w14:paraId="3FB1A94E" w14:textId="77777777" w:rsidR="00143A1D" w:rsidRPr="00A76FF0" w:rsidRDefault="00143A1D" w:rsidP="003C21BC">
            <w:pPr>
              <w:spacing w:after="160"/>
              <w:jc w:val="center"/>
              <w:cnfStyle w:val="100000000000" w:firstRow="1" w:lastRow="0" w:firstColumn="0" w:lastColumn="0" w:oddVBand="0" w:evenVBand="0" w:oddHBand="0" w:evenHBand="0" w:firstRowFirstColumn="0" w:firstRowLastColumn="0" w:lastRowFirstColumn="0" w:lastRowLastColumn="0"/>
            </w:pPr>
            <w:r w:rsidRPr="00A76FF0">
              <w:t>Rare</w:t>
            </w:r>
          </w:p>
        </w:tc>
        <w:tc>
          <w:tcPr>
            <w:tcW w:w="0" w:type="auto"/>
            <w:hideMark/>
          </w:tcPr>
          <w:p w14:paraId="1DB8F938" w14:textId="77777777" w:rsidR="00143A1D" w:rsidRPr="00A76FF0" w:rsidRDefault="00143A1D" w:rsidP="003C21BC">
            <w:pPr>
              <w:spacing w:after="160"/>
              <w:jc w:val="center"/>
              <w:cnfStyle w:val="100000000000" w:firstRow="1" w:lastRow="0" w:firstColumn="0" w:lastColumn="0" w:oddVBand="0" w:evenVBand="0" w:oddHBand="0" w:evenHBand="0" w:firstRowFirstColumn="0" w:firstRowLastColumn="0" w:lastRowFirstColumn="0" w:lastRowLastColumn="0"/>
            </w:pPr>
            <w:r w:rsidRPr="00A76FF0">
              <w:t>Inimitable</w:t>
            </w:r>
          </w:p>
        </w:tc>
        <w:tc>
          <w:tcPr>
            <w:tcW w:w="0" w:type="auto"/>
            <w:hideMark/>
          </w:tcPr>
          <w:p w14:paraId="5C3D91B0" w14:textId="77777777" w:rsidR="00143A1D" w:rsidRPr="00A76FF0" w:rsidRDefault="00143A1D" w:rsidP="003C21BC">
            <w:pPr>
              <w:spacing w:after="160"/>
              <w:jc w:val="center"/>
              <w:cnfStyle w:val="100000000000" w:firstRow="1" w:lastRow="0" w:firstColumn="0" w:lastColumn="0" w:oddVBand="0" w:evenVBand="0" w:oddHBand="0" w:evenHBand="0" w:firstRowFirstColumn="0" w:firstRowLastColumn="0" w:lastRowFirstColumn="0" w:lastRowLastColumn="0"/>
            </w:pPr>
            <w:r w:rsidRPr="00A76FF0">
              <w:t>Organised to Exploit</w:t>
            </w:r>
          </w:p>
        </w:tc>
        <w:tc>
          <w:tcPr>
            <w:tcW w:w="0" w:type="auto"/>
            <w:hideMark/>
          </w:tcPr>
          <w:p w14:paraId="410AFD8E" w14:textId="77777777" w:rsidR="00143A1D" w:rsidRPr="00A76FF0" w:rsidRDefault="00143A1D" w:rsidP="003C21BC">
            <w:pPr>
              <w:spacing w:after="160"/>
              <w:jc w:val="center"/>
              <w:cnfStyle w:val="100000000000" w:firstRow="1" w:lastRow="0" w:firstColumn="0" w:lastColumn="0" w:oddVBand="0" w:evenVBand="0" w:oddHBand="0" w:evenHBand="0" w:firstRowFirstColumn="0" w:firstRowLastColumn="0" w:lastRowFirstColumn="0" w:lastRowLastColumn="0"/>
            </w:pPr>
            <w:r w:rsidRPr="00A76FF0">
              <w:t>Competitive Implication</w:t>
            </w:r>
          </w:p>
        </w:tc>
      </w:tr>
      <w:tr w:rsidR="00143A1D" w:rsidRPr="00A76FF0" w14:paraId="4B2091FD" w14:textId="77777777" w:rsidTr="003C21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8DB68E1" w14:textId="77777777" w:rsidR="00143A1D" w:rsidRPr="00A76FF0" w:rsidRDefault="00143A1D" w:rsidP="003C21BC">
            <w:pPr>
              <w:spacing w:after="160"/>
              <w:jc w:val="center"/>
            </w:pPr>
            <w:r w:rsidRPr="00A76FF0">
              <w:t>Global supply chain with 1,000+ suppliers</w:t>
            </w:r>
          </w:p>
        </w:tc>
        <w:tc>
          <w:tcPr>
            <w:tcW w:w="0" w:type="auto"/>
            <w:hideMark/>
          </w:tcPr>
          <w:p w14:paraId="14537321"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supports cost efficiency and scale (Inter IKEA Group, 2024)</w:t>
            </w:r>
          </w:p>
        </w:tc>
        <w:tc>
          <w:tcPr>
            <w:tcW w:w="0" w:type="auto"/>
            <w:hideMark/>
          </w:tcPr>
          <w:p w14:paraId="60748856"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Moderate, as rivals also build supply chains</w:t>
            </w:r>
          </w:p>
        </w:tc>
        <w:tc>
          <w:tcPr>
            <w:tcW w:w="0" w:type="auto"/>
            <w:hideMark/>
          </w:tcPr>
          <w:p w14:paraId="719F32CA"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High, due to long term contracts and trust</w:t>
            </w:r>
          </w:p>
        </w:tc>
        <w:tc>
          <w:tcPr>
            <w:tcW w:w="0" w:type="auto"/>
            <w:hideMark/>
          </w:tcPr>
          <w:p w14:paraId="036C70A3"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coordinated by global logistics systems</w:t>
            </w:r>
          </w:p>
        </w:tc>
        <w:tc>
          <w:tcPr>
            <w:tcW w:w="0" w:type="auto"/>
            <w:hideMark/>
          </w:tcPr>
          <w:p w14:paraId="7229DD6D"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Sustained competitive advantage</w:t>
            </w:r>
          </w:p>
        </w:tc>
      </w:tr>
      <w:tr w:rsidR="00143A1D" w:rsidRPr="00A76FF0" w14:paraId="2CA5F586" w14:textId="77777777" w:rsidTr="003C21BC">
        <w:tc>
          <w:tcPr>
            <w:cnfStyle w:val="001000000000" w:firstRow="0" w:lastRow="0" w:firstColumn="1" w:lastColumn="0" w:oddVBand="0" w:evenVBand="0" w:oddHBand="0" w:evenHBand="0" w:firstRowFirstColumn="0" w:firstRowLastColumn="0" w:lastRowFirstColumn="0" w:lastRowLastColumn="0"/>
            <w:tcW w:w="0" w:type="auto"/>
            <w:hideMark/>
          </w:tcPr>
          <w:p w14:paraId="3B8D6643" w14:textId="77777777" w:rsidR="00143A1D" w:rsidRPr="00A76FF0" w:rsidRDefault="00143A1D" w:rsidP="003C21BC">
            <w:pPr>
              <w:spacing w:after="160"/>
              <w:jc w:val="center"/>
            </w:pPr>
            <w:r w:rsidRPr="00A76FF0">
              <w:t>Global store network of 450+ outlets</w:t>
            </w:r>
          </w:p>
        </w:tc>
        <w:tc>
          <w:tcPr>
            <w:tcW w:w="0" w:type="auto"/>
            <w:hideMark/>
          </w:tcPr>
          <w:p w14:paraId="3A98D987"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Yes, provides scale and brand visibility (IKEA, 2025)</w:t>
            </w:r>
          </w:p>
        </w:tc>
        <w:tc>
          <w:tcPr>
            <w:tcW w:w="0" w:type="auto"/>
            <w:hideMark/>
          </w:tcPr>
          <w:p w14:paraId="14DDEAEF"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Yes, few rivals have equivalent footprint</w:t>
            </w:r>
          </w:p>
        </w:tc>
        <w:tc>
          <w:tcPr>
            <w:tcW w:w="0" w:type="auto"/>
            <w:hideMark/>
          </w:tcPr>
          <w:p w14:paraId="208A92F7"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High, given investment intensity</w:t>
            </w:r>
          </w:p>
        </w:tc>
        <w:tc>
          <w:tcPr>
            <w:tcW w:w="0" w:type="auto"/>
            <w:hideMark/>
          </w:tcPr>
          <w:p w14:paraId="7F34D3C9"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Yes, supported by Ingka Group operations</w:t>
            </w:r>
          </w:p>
        </w:tc>
        <w:tc>
          <w:tcPr>
            <w:tcW w:w="0" w:type="auto"/>
            <w:hideMark/>
          </w:tcPr>
          <w:p w14:paraId="28ADBFDB"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Sustained competitive advantage</w:t>
            </w:r>
          </w:p>
        </w:tc>
      </w:tr>
      <w:tr w:rsidR="00143A1D" w:rsidRPr="00A76FF0" w14:paraId="794D6AAB" w14:textId="77777777" w:rsidTr="003C21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5C8DBA9" w14:textId="77777777" w:rsidR="00143A1D" w:rsidRPr="00A76FF0" w:rsidRDefault="00143A1D" w:rsidP="003C21BC">
            <w:pPr>
              <w:spacing w:after="160"/>
              <w:jc w:val="center"/>
            </w:pPr>
            <w:r w:rsidRPr="00A76FF0">
              <w:t>Strong brand reputation and recognition</w:t>
            </w:r>
          </w:p>
        </w:tc>
        <w:tc>
          <w:tcPr>
            <w:tcW w:w="0" w:type="auto"/>
            <w:hideMark/>
          </w:tcPr>
          <w:p w14:paraId="359FD543"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attracts consumers worldwide (IKEA, 2025)</w:t>
            </w:r>
          </w:p>
        </w:tc>
        <w:tc>
          <w:tcPr>
            <w:tcW w:w="0" w:type="auto"/>
            <w:hideMark/>
          </w:tcPr>
          <w:p w14:paraId="4FC53059"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only a few retailers match it</w:t>
            </w:r>
          </w:p>
        </w:tc>
        <w:tc>
          <w:tcPr>
            <w:tcW w:w="0" w:type="auto"/>
            <w:hideMark/>
          </w:tcPr>
          <w:p w14:paraId="5ADCAB56"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High, as brand equity builds over decades</w:t>
            </w:r>
          </w:p>
        </w:tc>
        <w:tc>
          <w:tcPr>
            <w:tcW w:w="0" w:type="auto"/>
            <w:hideMark/>
          </w:tcPr>
          <w:p w14:paraId="5EA5D663"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reinforced by marketing and design</w:t>
            </w:r>
          </w:p>
        </w:tc>
        <w:tc>
          <w:tcPr>
            <w:tcW w:w="0" w:type="auto"/>
            <w:hideMark/>
          </w:tcPr>
          <w:p w14:paraId="1B1E6D22"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Sustained competitive advantage</w:t>
            </w:r>
          </w:p>
        </w:tc>
      </w:tr>
      <w:tr w:rsidR="00143A1D" w:rsidRPr="00A76FF0" w14:paraId="6C2D8EDF" w14:textId="77777777" w:rsidTr="003C21BC">
        <w:tc>
          <w:tcPr>
            <w:cnfStyle w:val="001000000000" w:firstRow="0" w:lastRow="0" w:firstColumn="1" w:lastColumn="0" w:oddVBand="0" w:evenVBand="0" w:oddHBand="0" w:evenHBand="0" w:firstRowFirstColumn="0" w:firstRowLastColumn="0" w:lastRowFirstColumn="0" w:lastRowLastColumn="0"/>
            <w:tcW w:w="0" w:type="auto"/>
            <w:hideMark/>
          </w:tcPr>
          <w:p w14:paraId="2A02209A" w14:textId="77777777" w:rsidR="00143A1D" w:rsidRPr="00A76FF0" w:rsidRDefault="00143A1D" w:rsidP="003C21BC">
            <w:pPr>
              <w:spacing w:after="160"/>
              <w:jc w:val="center"/>
            </w:pPr>
            <w:r w:rsidRPr="00A76FF0">
              <w:t>Design and product innovation capability</w:t>
            </w:r>
          </w:p>
        </w:tc>
        <w:tc>
          <w:tcPr>
            <w:tcW w:w="0" w:type="auto"/>
            <w:hideMark/>
          </w:tcPr>
          <w:p w14:paraId="2EA97ECD"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Yes, 2,000 new products annually (IKEA, 2025)</w:t>
            </w:r>
          </w:p>
        </w:tc>
        <w:tc>
          <w:tcPr>
            <w:tcW w:w="0" w:type="auto"/>
            <w:hideMark/>
          </w:tcPr>
          <w:p w14:paraId="3772438F"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Moderate, rivals also innovate</w:t>
            </w:r>
          </w:p>
        </w:tc>
        <w:tc>
          <w:tcPr>
            <w:tcW w:w="0" w:type="auto"/>
            <w:hideMark/>
          </w:tcPr>
          <w:p w14:paraId="35968A8F"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Moderate, but scale makes imitation costly</w:t>
            </w:r>
          </w:p>
        </w:tc>
        <w:tc>
          <w:tcPr>
            <w:tcW w:w="0" w:type="auto"/>
            <w:hideMark/>
          </w:tcPr>
          <w:p w14:paraId="6B4E5FF8"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Yes, integrated with R&amp;D and market research</w:t>
            </w:r>
          </w:p>
        </w:tc>
        <w:tc>
          <w:tcPr>
            <w:tcW w:w="0" w:type="auto"/>
            <w:hideMark/>
          </w:tcPr>
          <w:p w14:paraId="38C4ACFF" w14:textId="77777777" w:rsidR="00143A1D" w:rsidRPr="00A76FF0" w:rsidRDefault="00143A1D" w:rsidP="003C21BC">
            <w:pPr>
              <w:spacing w:after="160"/>
              <w:jc w:val="center"/>
              <w:cnfStyle w:val="000000000000" w:firstRow="0" w:lastRow="0" w:firstColumn="0" w:lastColumn="0" w:oddVBand="0" w:evenVBand="0" w:oddHBand="0" w:evenHBand="0" w:firstRowFirstColumn="0" w:firstRowLastColumn="0" w:lastRowFirstColumn="0" w:lastRowLastColumn="0"/>
            </w:pPr>
            <w:r w:rsidRPr="00A76FF0">
              <w:t>Temporary competitive advantage</w:t>
            </w:r>
          </w:p>
        </w:tc>
      </w:tr>
      <w:tr w:rsidR="00143A1D" w:rsidRPr="00A76FF0" w14:paraId="700EE6A7" w14:textId="77777777" w:rsidTr="003C21BC">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CEF1DB" w14:textId="77777777" w:rsidR="00143A1D" w:rsidRPr="00A76FF0" w:rsidRDefault="00143A1D" w:rsidP="003C21BC">
            <w:pPr>
              <w:spacing w:after="160"/>
              <w:jc w:val="center"/>
            </w:pPr>
            <w:r w:rsidRPr="00A76FF0">
              <w:lastRenderedPageBreak/>
              <w:t>Sustainability and circular economy practices</w:t>
            </w:r>
          </w:p>
        </w:tc>
        <w:tc>
          <w:tcPr>
            <w:tcW w:w="0" w:type="auto"/>
            <w:hideMark/>
          </w:tcPr>
          <w:p w14:paraId="60212750"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aligns with consumer and regulatory demand (</w:t>
            </w:r>
            <w:proofErr w:type="spellStart"/>
            <w:r w:rsidRPr="00A76FF0">
              <w:t>Filgueira</w:t>
            </w:r>
            <w:proofErr w:type="spellEnd"/>
            <w:r w:rsidRPr="00A76FF0">
              <w:t xml:space="preserve"> and Norden, 2025)</w:t>
            </w:r>
          </w:p>
        </w:tc>
        <w:tc>
          <w:tcPr>
            <w:tcW w:w="0" w:type="auto"/>
            <w:hideMark/>
          </w:tcPr>
          <w:p w14:paraId="72EE1036"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Increasingly rare in retail markets</w:t>
            </w:r>
          </w:p>
        </w:tc>
        <w:tc>
          <w:tcPr>
            <w:tcW w:w="0" w:type="auto"/>
            <w:hideMark/>
          </w:tcPr>
          <w:p w14:paraId="31F0D3E4"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High, as integration requires deep supply chain alignment</w:t>
            </w:r>
          </w:p>
        </w:tc>
        <w:tc>
          <w:tcPr>
            <w:tcW w:w="0" w:type="auto"/>
            <w:hideMark/>
          </w:tcPr>
          <w:p w14:paraId="7EFD976F"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Yes, sustainability embedded in governance</w:t>
            </w:r>
          </w:p>
        </w:tc>
        <w:tc>
          <w:tcPr>
            <w:tcW w:w="0" w:type="auto"/>
            <w:hideMark/>
          </w:tcPr>
          <w:p w14:paraId="61A773B6" w14:textId="77777777" w:rsidR="00143A1D" w:rsidRPr="00A76FF0" w:rsidRDefault="00143A1D" w:rsidP="003C21BC">
            <w:pPr>
              <w:spacing w:after="160"/>
              <w:jc w:val="center"/>
              <w:cnfStyle w:val="000000100000" w:firstRow="0" w:lastRow="0" w:firstColumn="0" w:lastColumn="0" w:oddVBand="0" w:evenVBand="0" w:oddHBand="1" w:evenHBand="0" w:firstRowFirstColumn="0" w:firstRowLastColumn="0" w:lastRowFirstColumn="0" w:lastRowLastColumn="0"/>
            </w:pPr>
            <w:r w:rsidRPr="00A76FF0">
              <w:t>Sustained competitive advantage</w:t>
            </w:r>
          </w:p>
        </w:tc>
      </w:tr>
    </w:tbl>
    <w:p w14:paraId="534305E8" w14:textId="77777777" w:rsidR="00143A1D" w:rsidRPr="00143A1D" w:rsidRDefault="00143A1D" w:rsidP="00143A1D"/>
    <w:sectPr w:rsidR="00143A1D" w:rsidRPr="00143A1D" w:rsidSect="009E22F5">
      <w:footerReference w:type="default" r:id="rId55"/>
      <w:pgSz w:w="11906" w:h="16838"/>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8CE855" w14:textId="77777777" w:rsidR="00DF7A13" w:rsidRPr="00A76FF0" w:rsidRDefault="00DF7A13" w:rsidP="00B6095D">
      <w:pPr>
        <w:spacing w:after="0" w:line="240" w:lineRule="auto"/>
      </w:pPr>
      <w:r w:rsidRPr="00A76FF0">
        <w:separator/>
      </w:r>
    </w:p>
  </w:endnote>
  <w:endnote w:type="continuationSeparator" w:id="0">
    <w:p w14:paraId="1D9EFF23" w14:textId="77777777" w:rsidR="00DF7A13" w:rsidRPr="00A76FF0" w:rsidRDefault="00DF7A13" w:rsidP="00B6095D">
      <w:pPr>
        <w:spacing w:after="0" w:line="240" w:lineRule="auto"/>
      </w:pPr>
      <w:r w:rsidRPr="00A76FF0">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DengXian Light">
    <w:charset w:val="86"/>
    <w:family w:val="auto"/>
    <w:pitch w:val="variable"/>
    <w:sig w:usb0="A00002BF" w:usb1="38CF7CFA" w:usb2="00000016" w:usb3="00000000" w:csb0="0004000F" w:csb1="00000000"/>
  </w:font>
  <w:font w:name="Angsana New">
    <w:panose1 w:val="02020603050405020304"/>
    <w:charset w:val="DE"/>
    <w:family w:val="roman"/>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2122049"/>
      <w:docPartObj>
        <w:docPartGallery w:val="Page Numbers (Bottom of Page)"/>
        <w:docPartUnique/>
      </w:docPartObj>
    </w:sdtPr>
    <w:sdtContent>
      <w:p w14:paraId="125A4DDF" w14:textId="5DD9BCA1" w:rsidR="009E22F5" w:rsidRPr="00A76FF0" w:rsidRDefault="009E22F5">
        <w:pPr>
          <w:pStyle w:val="Footer"/>
          <w:jc w:val="right"/>
        </w:pPr>
        <w:r w:rsidRPr="00A76FF0">
          <w:fldChar w:fldCharType="begin"/>
        </w:r>
        <w:r w:rsidRPr="00A76FF0">
          <w:instrText xml:space="preserve"> PAGE   \* MERGEFORMAT </w:instrText>
        </w:r>
        <w:r w:rsidRPr="00A76FF0">
          <w:fldChar w:fldCharType="separate"/>
        </w:r>
        <w:r w:rsidRPr="00A76FF0">
          <w:t>2</w:t>
        </w:r>
        <w:r w:rsidRPr="00A76FF0">
          <w:fldChar w:fldCharType="end"/>
        </w:r>
      </w:p>
    </w:sdtContent>
  </w:sdt>
  <w:p w14:paraId="5F82AB1D" w14:textId="77777777" w:rsidR="009E22F5" w:rsidRPr="00A76FF0" w:rsidRDefault="009E22F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65CDDB" w14:textId="77777777" w:rsidR="00DF7A13" w:rsidRPr="00A76FF0" w:rsidRDefault="00DF7A13" w:rsidP="00B6095D">
      <w:pPr>
        <w:spacing w:after="0" w:line="240" w:lineRule="auto"/>
      </w:pPr>
      <w:r w:rsidRPr="00A76FF0">
        <w:separator/>
      </w:r>
    </w:p>
  </w:footnote>
  <w:footnote w:type="continuationSeparator" w:id="0">
    <w:p w14:paraId="6C46DF22" w14:textId="77777777" w:rsidR="00DF7A13" w:rsidRPr="00A76FF0" w:rsidRDefault="00DF7A13" w:rsidP="00B6095D">
      <w:pPr>
        <w:spacing w:after="0" w:line="240" w:lineRule="auto"/>
      </w:pPr>
      <w:r w:rsidRPr="00A76FF0">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FAD"/>
    <w:multiLevelType w:val="multilevel"/>
    <w:tmpl w:val="45F436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1165A9"/>
    <w:multiLevelType w:val="multilevel"/>
    <w:tmpl w:val="7C148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1325A3"/>
    <w:multiLevelType w:val="multilevel"/>
    <w:tmpl w:val="2A464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073AE1"/>
    <w:multiLevelType w:val="multilevel"/>
    <w:tmpl w:val="343431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AB03934"/>
    <w:multiLevelType w:val="multilevel"/>
    <w:tmpl w:val="813A0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5C71E6D"/>
    <w:multiLevelType w:val="multilevel"/>
    <w:tmpl w:val="FD58CC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9795AED"/>
    <w:multiLevelType w:val="multilevel"/>
    <w:tmpl w:val="F89656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AA6041A"/>
    <w:multiLevelType w:val="multilevel"/>
    <w:tmpl w:val="31C49C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F16AE2"/>
    <w:multiLevelType w:val="multilevel"/>
    <w:tmpl w:val="57CA4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042A61"/>
    <w:multiLevelType w:val="multilevel"/>
    <w:tmpl w:val="F6AC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4F5839"/>
    <w:multiLevelType w:val="multilevel"/>
    <w:tmpl w:val="9DE62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A511E40"/>
    <w:multiLevelType w:val="multilevel"/>
    <w:tmpl w:val="61E87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323A99"/>
    <w:multiLevelType w:val="multilevel"/>
    <w:tmpl w:val="2A464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C5D240B"/>
    <w:multiLevelType w:val="multilevel"/>
    <w:tmpl w:val="DC568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EAC44AA"/>
    <w:multiLevelType w:val="multilevel"/>
    <w:tmpl w:val="BC966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2FC2F01"/>
    <w:multiLevelType w:val="multilevel"/>
    <w:tmpl w:val="E7BE0A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68551D3"/>
    <w:multiLevelType w:val="multilevel"/>
    <w:tmpl w:val="BF3863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6E408E9"/>
    <w:multiLevelType w:val="multilevel"/>
    <w:tmpl w:val="E4D2E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371682"/>
    <w:multiLevelType w:val="multilevel"/>
    <w:tmpl w:val="71CC22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B223682"/>
    <w:multiLevelType w:val="multilevel"/>
    <w:tmpl w:val="C4BE6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0C7795"/>
    <w:multiLevelType w:val="multilevel"/>
    <w:tmpl w:val="DE48F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5330612"/>
    <w:multiLevelType w:val="multilevel"/>
    <w:tmpl w:val="0B447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0911980"/>
    <w:multiLevelType w:val="multilevel"/>
    <w:tmpl w:val="CC602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B796960"/>
    <w:multiLevelType w:val="multilevel"/>
    <w:tmpl w:val="BFB8A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C0160E3"/>
    <w:multiLevelType w:val="multilevel"/>
    <w:tmpl w:val="2A464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1C74AF5"/>
    <w:multiLevelType w:val="multilevel"/>
    <w:tmpl w:val="B14657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3F50A17"/>
    <w:multiLevelType w:val="multilevel"/>
    <w:tmpl w:val="2A4641E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76A127A"/>
    <w:multiLevelType w:val="multilevel"/>
    <w:tmpl w:val="1DD8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BFA13B5"/>
    <w:multiLevelType w:val="multilevel"/>
    <w:tmpl w:val="75ACEB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5100C1"/>
    <w:multiLevelType w:val="multilevel"/>
    <w:tmpl w:val="29DAE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0442B7"/>
    <w:multiLevelType w:val="multilevel"/>
    <w:tmpl w:val="2A4641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B0363A3"/>
    <w:multiLevelType w:val="multilevel"/>
    <w:tmpl w:val="3C2CF3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2D2299"/>
    <w:multiLevelType w:val="multilevel"/>
    <w:tmpl w:val="FE5CD8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7F7E5EE7"/>
    <w:multiLevelType w:val="multilevel"/>
    <w:tmpl w:val="19121F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FE25601"/>
    <w:multiLevelType w:val="hybridMultilevel"/>
    <w:tmpl w:val="5276F13C"/>
    <w:lvl w:ilvl="0" w:tplc="B2C4A02C">
      <w:start w:val="1"/>
      <w:numFmt w:val="decimal"/>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753427767">
    <w:abstractNumId w:val="33"/>
  </w:num>
  <w:num w:numId="2" w16cid:durableId="1170606341">
    <w:abstractNumId w:val="4"/>
  </w:num>
  <w:num w:numId="3" w16cid:durableId="1954245378">
    <w:abstractNumId w:val="14"/>
  </w:num>
  <w:num w:numId="4" w16cid:durableId="1794248925">
    <w:abstractNumId w:val="1"/>
  </w:num>
  <w:num w:numId="5" w16cid:durableId="1292859460">
    <w:abstractNumId w:val="6"/>
  </w:num>
  <w:num w:numId="6" w16cid:durableId="1230534109">
    <w:abstractNumId w:val="5"/>
  </w:num>
  <w:num w:numId="7" w16cid:durableId="645821025">
    <w:abstractNumId w:val="0"/>
  </w:num>
  <w:num w:numId="8" w16cid:durableId="1489859473">
    <w:abstractNumId w:val="28"/>
  </w:num>
  <w:num w:numId="9" w16cid:durableId="1997219301">
    <w:abstractNumId w:val="2"/>
  </w:num>
  <w:num w:numId="10" w16cid:durableId="1272054071">
    <w:abstractNumId w:val="15"/>
  </w:num>
  <w:num w:numId="11" w16cid:durableId="1320042561">
    <w:abstractNumId w:val="27"/>
  </w:num>
  <w:num w:numId="12" w16cid:durableId="972102470">
    <w:abstractNumId w:val="13"/>
  </w:num>
  <w:num w:numId="13" w16cid:durableId="1947081865">
    <w:abstractNumId w:val="24"/>
  </w:num>
  <w:num w:numId="14" w16cid:durableId="1044788696">
    <w:abstractNumId w:val="12"/>
  </w:num>
  <w:num w:numId="15" w16cid:durableId="1167599801">
    <w:abstractNumId w:val="26"/>
  </w:num>
  <w:num w:numId="16" w16cid:durableId="1850409077">
    <w:abstractNumId w:val="31"/>
  </w:num>
  <w:num w:numId="17" w16cid:durableId="1272204210">
    <w:abstractNumId w:val="20"/>
  </w:num>
  <w:num w:numId="18" w16cid:durableId="684672240">
    <w:abstractNumId w:val="17"/>
  </w:num>
  <w:num w:numId="19" w16cid:durableId="1508013330">
    <w:abstractNumId w:val="22"/>
  </w:num>
  <w:num w:numId="20" w16cid:durableId="162286884">
    <w:abstractNumId w:val="32"/>
  </w:num>
  <w:num w:numId="21" w16cid:durableId="1581060477">
    <w:abstractNumId w:val="7"/>
  </w:num>
  <w:num w:numId="22" w16cid:durableId="2052921386">
    <w:abstractNumId w:val="10"/>
  </w:num>
  <w:num w:numId="23" w16cid:durableId="1554736232">
    <w:abstractNumId w:val="16"/>
  </w:num>
  <w:num w:numId="24" w16cid:durableId="383599740">
    <w:abstractNumId w:val="18"/>
  </w:num>
  <w:num w:numId="25" w16cid:durableId="1398624201">
    <w:abstractNumId w:val="3"/>
  </w:num>
  <w:num w:numId="26" w16cid:durableId="484131630">
    <w:abstractNumId w:val="11"/>
  </w:num>
  <w:num w:numId="27" w16cid:durableId="2046101285">
    <w:abstractNumId w:val="29"/>
  </w:num>
  <w:num w:numId="28" w16cid:durableId="449476086">
    <w:abstractNumId w:val="19"/>
  </w:num>
  <w:num w:numId="29" w16cid:durableId="1688217205">
    <w:abstractNumId w:val="9"/>
  </w:num>
  <w:num w:numId="30" w16cid:durableId="1463423280">
    <w:abstractNumId w:val="8"/>
  </w:num>
  <w:num w:numId="31" w16cid:durableId="980110017">
    <w:abstractNumId w:val="23"/>
  </w:num>
  <w:num w:numId="32" w16cid:durableId="975336819">
    <w:abstractNumId w:val="25"/>
  </w:num>
  <w:num w:numId="33" w16cid:durableId="1594628804">
    <w:abstractNumId w:val="21"/>
  </w:num>
  <w:num w:numId="34" w16cid:durableId="863789695">
    <w:abstractNumId w:val="30"/>
  </w:num>
  <w:num w:numId="35" w16cid:durableId="466243307">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7cwtTQ3sjA3NbUwMzdT0lEKTi0uzszPAykwrwUAHkBAmCwAAAA="/>
  </w:docVars>
  <w:rsids>
    <w:rsidRoot w:val="00126FCF"/>
    <w:rsid w:val="00011501"/>
    <w:rsid w:val="00015047"/>
    <w:rsid w:val="000207AA"/>
    <w:rsid w:val="00022CED"/>
    <w:rsid w:val="00031180"/>
    <w:rsid w:val="00032365"/>
    <w:rsid w:val="000329A2"/>
    <w:rsid w:val="00035704"/>
    <w:rsid w:val="000643CA"/>
    <w:rsid w:val="00067348"/>
    <w:rsid w:val="0008798D"/>
    <w:rsid w:val="000A53AE"/>
    <w:rsid w:val="000B40FF"/>
    <w:rsid w:val="000B6062"/>
    <w:rsid w:val="000C4C81"/>
    <w:rsid w:val="000C4D81"/>
    <w:rsid w:val="001162DF"/>
    <w:rsid w:val="001217C5"/>
    <w:rsid w:val="00126FCF"/>
    <w:rsid w:val="00130889"/>
    <w:rsid w:val="00137399"/>
    <w:rsid w:val="00143A1D"/>
    <w:rsid w:val="001476E1"/>
    <w:rsid w:val="0015474A"/>
    <w:rsid w:val="00154C62"/>
    <w:rsid w:val="00173F3A"/>
    <w:rsid w:val="001925B4"/>
    <w:rsid w:val="001931B5"/>
    <w:rsid w:val="001A0535"/>
    <w:rsid w:val="001A6D57"/>
    <w:rsid w:val="001B094E"/>
    <w:rsid w:val="001D1A61"/>
    <w:rsid w:val="001E2924"/>
    <w:rsid w:val="002203B0"/>
    <w:rsid w:val="002226FE"/>
    <w:rsid w:val="002264DE"/>
    <w:rsid w:val="00241D94"/>
    <w:rsid w:val="00247C92"/>
    <w:rsid w:val="00255532"/>
    <w:rsid w:val="00274F33"/>
    <w:rsid w:val="002816AA"/>
    <w:rsid w:val="00285D07"/>
    <w:rsid w:val="00286530"/>
    <w:rsid w:val="00291D32"/>
    <w:rsid w:val="002A0200"/>
    <w:rsid w:val="002B1434"/>
    <w:rsid w:val="002B3F6F"/>
    <w:rsid w:val="002D3621"/>
    <w:rsid w:val="002F079B"/>
    <w:rsid w:val="002F2014"/>
    <w:rsid w:val="002F27A9"/>
    <w:rsid w:val="002F32A0"/>
    <w:rsid w:val="00305606"/>
    <w:rsid w:val="00331D5E"/>
    <w:rsid w:val="00337060"/>
    <w:rsid w:val="00346217"/>
    <w:rsid w:val="00350319"/>
    <w:rsid w:val="0035395E"/>
    <w:rsid w:val="00361C4E"/>
    <w:rsid w:val="0036693F"/>
    <w:rsid w:val="00370D1A"/>
    <w:rsid w:val="00383BD2"/>
    <w:rsid w:val="003846BD"/>
    <w:rsid w:val="00392B23"/>
    <w:rsid w:val="003C7481"/>
    <w:rsid w:val="003D3841"/>
    <w:rsid w:val="003F7682"/>
    <w:rsid w:val="0041130C"/>
    <w:rsid w:val="00415EC1"/>
    <w:rsid w:val="0042429E"/>
    <w:rsid w:val="00424783"/>
    <w:rsid w:val="004720D0"/>
    <w:rsid w:val="00482EF4"/>
    <w:rsid w:val="00492702"/>
    <w:rsid w:val="004C1BEE"/>
    <w:rsid w:val="004D38C6"/>
    <w:rsid w:val="004D396D"/>
    <w:rsid w:val="004E28A6"/>
    <w:rsid w:val="00501834"/>
    <w:rsid w:val="00531059"/>
    <w:rsid w:val="005425FC"/>
    <w:rsid w:val="00551567"/>
    <w:rsid w:val="00561191"/>
    <w:rsid w:val="00590E1E"/>
    <w:rsid w:val="005B39A5"/>
    <w:rsid w:val="005B7DE6"/>
    <w:rsid w:val="005C2216"/>
    <w:rsid w:val="005D528A"/>
    <w:rsid w:val="0060001D"/>
    <w:rsid w:val="00615518"/>
    <w:rsid w:val="00615771"/>
    <w:rsid w:val="0064090B"/>
    <w:rsid w:val="00646F2D"/>
    <w:rsid w:val="00657F1B"/>
    <w:rsid w:val="00670150"/>
    <w:rsid w:val="00681C57"/>
    <w:rsid w:val="006839DD"/>
    <w:rsid w:val="00686762"/>
    <w:rsid w:val="0069390F"/>
    <w:rsid w:val="006B33DA"/>
    <w:rsid w:val="006C5719"/>
    <w:rsid w:val="006C69E4"/>
    <w:rsid w:val="006D3CDA"/>
    <w:rsid w:val="006D7B23"/>
    <w:rsid w:val="006E0BE9"/>
    <w:rsid w:val="006F4F61"/>
    <w:rsid w:val="006F588E"/>
    <w:rsid w:val="006F747F"/>
    <w:rsid w:val="00706567"/>
    <w:rsid w:val="00712693"/>
    <w:rsid w:val="00722844"/>
    <w:rsid w:val="00741228"/>
    <w:rsid w:val="007533EE"/>
    <w:rsid w:val="00767012"/>
    <w:rsid w:val="007803C1"/>
    <w:rsid w:val="007836DA"/>
    <w:rsid w:val="0078542C"/>
    <w:rsid w:val="00795DB0"/>
    <w:rsid w:val="007A6AC1"/>
    <w:rsid w:val="007B066D"/>
    <w:rsid w:val="007E5D4D"/>
    <w:rsid w:val="007F383C"/>
    <w:rsid w:val="00804819"/>
    <w:rsid w:val="00806CC8"/>
    <w:rsid w:val="00825967"/>
    <w:rsid w:val="008306FE"/>
    <w:rsid w:val="008337E6"/>
    <w:rsid w:val="008350C1"/>
    <w:rsid w:val="00836CD6"/>
    <w:rsid w:val="00862278"/>
    <w:rsid w:val="00865558"/>
    <w:rsid w:val="00865E08"/>
    <w:rsid w:val="008909FA"/>
    <w:rsid w:val="00892E12"/>
    <w:rsid w:val="00897CE1"/>
    <w:rsid w:val="008B3F79"/>
    <w:rsid w:val="008B461C"/>
    <w:rsid w:val="008B4E71"/>
    <w:rsid w:val="008B57F2"/>
    <w:rsid w:val="008C0A79"/>
    <w:rsid w:val="008E6976"/>
    <w:rsid w:val="00900310"/>
    <w:rsid w:val="00923F38"/>
    <w:rsid w:val="009244C7"/>
    <w:rsid w:val="009402BF"/>
    <w:rsid w:val="00946C9F"/>
    <w:rsid w:val="00953F0F"/>
    <w:rsid w:val="009561FA"/>
    <w:rsid w:val="0095642B"/>
    <w:rsid w:val="00964ADC"/>
    <w:rsid w:val="00966A3D"/>
    <w:rsid w:val="00966D5D"/>
    <w:rsid w:val="009B4EC8"/>
    <w:rsid w:val="009C6E73"/>
    <w:rsid w:val="009C7137"/>
    <w:rsid w:val="009D1A5B"/>
    <w:rsid w:val="009D3199"/>
    <w:rsid w:val="009E22F5"/>
    <w:rsid w:val="00A02658"/>
    <w:rsid w:val="00A11B98"/>
    <w:rsid w:val="00A23138"/>
    <w:rsid w:val="00A24252"/>
    <w:rsid w:val="00A27236"/>
    <w:rsid w:val="00A31D21"/>
    <w:rsid w:val="00A31DFD"/>
    <w:rsid w:val="00A3726A"/>
    <w:rsid w:val="00A55EF6"/>
    <w:rsid w:val="00A76699"/>
    <w:rsid w:val="00A76FF0"/>
    <w:rsid w:val="00A775F5"/>
    <w:rsid w:val="00A85FC7"/>
    <w:rsid w:val="00A90CEC"/>
    <w:rsid w:val="00A92EA6"/>
    <w:rsid w:val="00A93432"/>
    <w:rsid w:val="00A95514"/>
    <w:rsid w:val="00A969DA"/>
    <w:rsid w:val="00AA0332"/>
    <w:rsid w:val="00AA1EE7"/>
    <w:rsid w:val="00AA5A17"/>
    <w:rsid w:val="00AB02A1"/>
    <w:rsid w:val="00AB705E"/>
    <w:rsid w:val="00AD0F86"/>
    <w:rsid w:val="00AE14F8"/>
    <w:rsid w:val="00AF4321"/>
    <w:rsid w:val="00B0068E"/>
    <w:rsid w:val="00B01A60"/>
    <w:rsid w:val="00B06387"/>
    <w:rsid w:val="00B137CA"/>
    <w:rsid w:val="00B14A12"/>
    <w:rsid w:val="00B36417"/>
    <w:rsid w:val="00B43F57"/>
    <w:rsid w:val="00B46277"/>
    <w:rsid w:val="00B50CD9"/>
    <w:rsid w:val="00B52031"/>
    <w:rsid w:val="00B52C62"/>
    <w:rsid w:val="00B6095D"/>
    <w:rsid w:val="00B70C20"/>
    <w:rsid w:val="00B81A28"/>
    <w:rsid w:val="00B83765"/>
    <w:rsid w:val="00B93451"/>
    <w:rsid w:val="00B93C18"/>
    <w:rsid w:val="00B97C27"/>
    <w:rsid w:val="00BA3DDC"/>
    <w:rsid w:val="00BB2B2C"/>
    <w:rsid w:val="00BB414C"/>
    <w:rsid w:val="00BC2BC6"/>
    <w:rsid w:val="00BD13A4"/>
    <w:rsid w:val="00BD2E49"/>
    <w:rsid w:val="00BE32AB"/>
    <w:rsid w:val="00C00060"/>
    <w:rsid w:val="00C13ADB"/>
    <w:rsid w:val="00C20A78"/>
    <w:rsid w:val="00C25647"/>
    <w:rsid w:val="00C31ACA"/>
    <w:rsid w:val="00C5573F"/>
    <w:rsid w:val="00C61EC8"/>
    <w:rsid w:val="00C76F95"/>
    <w:rsid w:val="00C8264F"/>
    <w:rsid w:val="00C83D9E"/>
    <w:rsid w:val="00C91084"/>
    <w:rsid w:val="00CA454B"/>
    <w:rsid w:val="00CC72B8"/>
    <w:rsid w:val="00CD27A1"/>
    <w:rsid w:val="00CD4265"/>
    <w:rsid w:val="00CE635A"/>
    <w:rsid w:val="00CF194E"/>
    <w:rsid w:val="00D1274F"/>
    <w:rsid w:val="00D92334"/>
    <w:rsid w:val="00DA59C7"/>
    <w:rsid w:val="00DA7D7E"/>
    <w:rsid w:val="00DB74BD"/>
    <w:rsid w:val="00DC7410"/>
    <w:rsid w:val="00DD5D19"/>
    <w:rsid w:val="00DE6012"/>
    <w:rsid w:val="00DE6764"/>
    <w:rsid w:val="00DF0D0C"/>
    <w:rsid w:val="00DF7A13"/>
    <w:rsid w:val="00E121D1"/>
    <w:rsid w:val="00E22368"/>
    <w:rsid w:val="00E43639"/>
    <w:rsid w:val="00E73F21"/>
    <w:rsid w:val="00E96C96"/>
    <w:rsid w:val="00EA33B1"/>
    <w:rsid w:val="00F01C2C"/>
    <w:rsid w:val="00F15776"/>
    <w:rsid w:val="00F23B0E"/>
    <w:rsid w:val="00F246D5"/>
    <w:rsid w:val="00F52449"/>
    <w:rsid w:val="00F86C85"/>
    <w:rsid w:val="00F95C72"/>
    <w:rsid w:val="00FB01C5"/>
    <w:rsid w:val="00FC6DEE"/>
    <w:rsid w:val="00FD4893"/>
    <w:rsid w:val="00FE3189"/>
    <w:rsid w:val="00FF0B0E"/>
  </w:rsids>
  <m:mathPr>
    <m:mathFont m:val="Cambria Math"/>
    <m:brkBin m:val="before"/>
    <m:brkBinSub m:val="--"/>
    <m:smallFrac m:val="0"/>
    <m:dispDef/>
    <m:lMargin m:val="0"/>
    <m:rMargin m:val="0"/>
    <m:defJc m:val="centerGroup"/>
    <m:wrapIndent m:val="1440"/>
    <m:intLim m:val="subSup"/>
    <m:naryLim m:val="undOvr"/>
  </m:mathPr>
  <w:themeFontLang w:val="en-IN" w:eastAsia="zh-CN" w:bidi="th-T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11D53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8"/>
        <w:lang w:val="en-IN"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6D5D"/>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B93451"/>
    <w:pPr>
      <w:keepNext/>
      <w:keepLines/>
      <w:spacing w:before="240" w:after="0"/>
      <w:outlineLvl w:val="0"/>
    </w:pPr>
    <w:rPr>
      <w:rFonts w:eastAsiaTheme="majorEastAsia" w:cstheme="majorBidi"/>
      <w:b/>
      <w:color w:val="000000" w:themeColor="text1"/>
      <w:szCs w:val="40"/>
    </w:rPr>
  </w:style>
  <w:style w:type="paragraph" w:styleId="Heading2">
    <w:name w:val="heading 2"/>
    <w:basedOn w:val="Normal"/>
    <w:next w:val="Normal"/>
    <w:link w:val="Heading2Char"/>
    <w:uiPriority w:val="9"/>
    <w:unhideWhenUsed/>
    <w:qFormat/>
    <w:rsid w:val="00966D5D"/>
    <w:pPr>
      <w:keepNext/>
      <w:keepLines/>
      <w:spacing w:before="40" w:after="0"/>
      <w:outlineLvl w:val="1"/>
    </w:pPr>
    <w:rPr>
      <w:rFonts w:eastAsiaTheme="majorEastAsia" w:cstheme="majorBidi"/>
      <w:b/>
      <w:color w:val="000000" w:themeColor="text1"/>
      <w:szCs w:val="33"/>
      <w:u w:val="single"/>
    </w:rPr>
  </w:style>
  <w:style w:type="paragraph" w:styleId="Heading3">
    <w:name w:val="heading 3"/>
    <w:basedOn w:val="Normal"/>
    <w:next w:val="Normal"/>
    <w:link w:val="Heading3Char"/>
    <w:uiPriority w:val="9"/>
    <w:unhideWhenUsed/>
    <w:qFormat/>
    <w:rsid w:val="002203B0"/>
    <w:pPr>
      <w:keepNext/>
      <w:keepLines/>
      <w:spacing w:before="40" w:after="0"/>
      <w:outlineLvl w:val="2"/>
    </w:pPr>
    <w:rPr>
      <w:rFonts w:eastAsiaTheme="majorEastAsia" w:cstheme="majorBidi"/>
      <w:b/>
      <w:color w:val="000000" w:themeColor="text1"/>
      <w:szCs w:val="30"/>
    </w:rPr>
  </w:style>
  <w:style w:type="paragraph" w:styleId="Heading5">
    <w:name w:val="heading 5"/>
    <w:basedOn w:val="Normal"/>
    <w:next w:val="Normal"/>
    <w:link w:val="Heading5Char"/>
    <w:uiPriority w:val="9"/>
    <w:semiHidden/>
    <w:unhideWhenUsed/>
    <w:qFormat/>
    <w:rsid w:val="0041130C"/>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41130C"/>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93451"/>
    <w:rPr>
      <w:rFonts w:ascii="Times New Roman" w:eastAsiaTheme="majorEastAsia" w:hAnsi="Times New Roman" w:cstheme="majorBidi"/>
      <w:b/>
      <w:color w:val="000000" w:themeColor="text1"/>
      <w:sz w:val="24"/>
      <w:szCs w:val="40"/>
    </w:rPr>
  </w:style>
  <w:style w:type="character" w:customStyle="1" w:styleId="Heading2Char">
    <w:name w:val="Heading 2 Char"/>
    <w:basedOn w:val="DefaultParagraphFont"/>
    <w:link w:val="Heading2"/>
    <w:uiPriority w:val="9"/>
    <w:rsid w:val="00966D5D"/>
    <w:rPr>
      <w:rFonts w:ascii="Times New Roman" w:eastAsiaTheme="majorEastAsia" w:hAnsi="Times New Roman" w:cstheme="majorBidi"/>
      <w:b/>
      <w:color w:val="000000" w:themeColor="text1"/>
      <w:sz w:val="24"/>
      <w:szCs w:val="33"/>
      <w:u w:val="single"/>
    </w:rPr>
  </w:style>
  <w:style w:type="paragraph" w:styleId="TOCHeading">
    <w:name w:val="TOC Heading"/>
    <w:basedOn w:val="Heading1"/>
    <w:next w:val="Normal"/>
    <w:uiPriority w:val="39"/>
    <w:unhideWhenUsed/>
    <w:qFormat/>
    <w:rsid w:val="00A76699"/>
    <w:pPr>
      <w:spacing w:line="259" w:lineRule="auto"/>
      <w:jc w:val="left"/>
      <w:outlineLvl w:val="9"/>
    </w:pPr>
    <w:rPr>
      <w:rFonts w:asciiTheme="majorHAnsi" w:hAnsiTheme="majorHAnsi"/>
      <w:color w:val="2F5496" w:themeColor="accent1" w:themeShade="BF"/>
      <w:kern w:val="0"/>
      <w:sz w:val="32"/>
      <w:szCs w:val="32"/>
      <w:lang w:val="en-US" w:bidi="ar-SA"/>
      <w14:ligatures w14:val="none"/>
    </w:rPr>
  </w:style>
  <w:style w:type="paragraph" w:styleId="TOC1">
    <w:name w:val="toc 1"/>
    <w:basedOn w:val="Normal"/>
    <w:next w:val="Normal"/>
    <w:autoRedefine/>
    <w:uiPriority w:val="39"/>
    <w:unhideWhenUsed/>
    <w:rsid w:val="007836DA"/>
    <w:pPr>
      <w:spacing w:after="100"/>
    </w:pPr>
  </w:style>
  <w:style w:type="paragraph" w:styleId="TOC2">
    <w:name w:val="toc 2"/>
    <w:basedOn w:val="Normal"/>
    <w:next w:val="Normal"/>
    <w:autoRedefine/>
    <w:uiPriority w:val="39"/>
    <w:unhideWhenUsed/>
    <w:rsid w:val="007836DA"/>
    <w:pPr>
      <w:spacing w:after="100"/>
      <w:ind w:left="240"/>
    </w:pPr>
  </w:style>
  <w:style w:type="character" w:styleId="Hyperlink">
    <w:name w:val="Hyperlink"/>
    <w:basedOn w:val="DefaultParagraphFont"/>
    <w:uiPriority w:val="99"/>
    <w:unhideWhenUsed/>
    <w:rsid w:val="007836DA"/>
    <w:rPr>
      <w:color w:val="0563C1" w:themeColor="hyperlink"/>
      <w:u w:val="single"/>
    </w:rPr>
  </w:style>
  <w:style w:type="character" w:customStyle="1" w:styleId="Heading3Char">
    <w:name w:val="Heading 3 Char"/>
    <w:basedOn w:val="DefaultParagraphFont"/>
    <w:link w:val="Heading3"/>
    <w:uiPriority w:val="9"/>
    <w:rsid w:val="002203B0"/>
    <w:rPr>
      <w:rFonts w:ascii="Times New Roman" w:eastAsiaTheme="majorEastAsia" w:hAnsi="Times New Roman" w:cstheme="majorBidi"/>
      <w:b/>
      <w:color w:val="000000" w:themeColor="text1"/>
      <w:sz w:val="24"/>
      <w:szCs w:val="30"/>
      <w:lang w:val="en-GB"/>
    </w:rPr>
  </w:style>
  <w:style w:type="paragraph" w:styleId="Header">
    <w:name w:val="header"/>
    <w:basedOn w:val="Normal"/>
    <w:link w:val="HeaderChar"/>
    <w:uiPriority w:val="99"/>
    <w:unhideWhenUsed/>
    <w:rsid w:val="00B6095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095D"/>
    <w:rPr>
      <w:rFonts w:ascii="Times New Roman" w:hAnsi="Times New Roman"/>
      <w:sz w:val="24"/>
    </w:rPr>
  </w:style>
  <w:style w:type="paragraph" w:styleId="Footer">
    <w:name w:val="footer"/>
    <w:basedOn w:val="Normal"/>
    <w:link w:val="FooterChar"/>
    <w:uiPriority w:val="99"/>
    <w:unhideWhenUsed/>
    <w:rsid w:val="00B6095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095D"/>
    <w:rPr>
      <w:rFonts w:ascii="Times New Roman" w:hAnsi="Times New Roman"/>
      <w:sz w:val="24"/>
    </w:rPr>
  </w:style>
  <w:style w:type="character" w:customStyle="1" w:styleId="Heading5Char">
    <w:name w:val="Heading 5 Char"/>
    <w:basedOn w:val="DefaultParagraphFont"/>
    <w:link w:val="Heading5"/>
    <w:uiPriority w:val="9"/>
    <w:semiHidden/>
    <w:rsid w:val="0041130C"/>
    <w:rPr>
      <w:rFonts w:asciiTheme="majorHAnsi" w:eastAsiaTheme="majorEastAsia" w:hAnsiTheme="majorHAnsi" w:cstheme="majorBidi"/>
      <w:color w:val="2F5496" w:themeColor="accent1" w:themeShade="BF"/>
      <w:sz w:val="24"/>
    </w:rPr>
  </w:style>
  <w:style w:type="character" w:customStyle="1" w:styleId="Heading6Char">
    <w:name w:val="Heading 6 Char"/>
    <w:basedOn w:val="DefaultParagraphFont"/>
    <w:link w:val="Heading6"/>
    <w:uiPriority w:val="9"/>
    <w:semiHidden/>
    <w:rsid w:val="0041130C"/>
    <w:rPr>
      <w:rFonts w:asciiTheme="majorHAnsi" w:eastAsiaTheme="majorEastAsia" w:hAnsiTheme="majorHAnsi" w:cstheme="majorBidi"/>
      <w:color w:val="1F3763" w:themeColor="accent1" w:themeShade="7F"/>
      <w:sz w:val="24"/>
    </w:rPr>
  </w:style>
  <w:style w:type="character" w:styleId="UnresolvedMention">
    <w:name w:val="Unresolved Mention"/>
    <w:basedOn w:val="DefaultParagraphFont"/>
    <w:uiPriority w:val="99"/>
    <w:semiHidden/>
    <w:unhideWhenUsed/>
    <w:rsid w:val="0041130C"/>
    <w:rPr>
      <w:color w:val="605E5C"/>
      <w:shd w:val="clear" w:color="auto" w:fill="E1DFDD"/>
    </w:rPr>
  </w:style>
  <w:style w:type="paragraph" w:styleId="ListParagraph">
    <w:name w:val="List Paragraph"/>
    <w:basedOn w:val="Normal"/>
    <w:uiPriority w:val="34"/>
    <w:qFormat/>
    <w:rsid w:val="0041130C"/>
    <w:pPr>
      <w:ind w:left="720"/>
      <w:contextualSpacing/>
    </w:pPr>
  </w:style>
  <w:style w:type="character" w:styleId="FollowedHyperlink">
    <w:name w:val="FollowedHyperlink"/>
    <w:basedOn w:val="DefaultParagraphFont"/>
    <w:uiPriority w:val="99"/>
    <w:semiHidden/>
    <w:unhideWhenUsed/>
    <w:rsid w:val="007A6AC1"/>
    <w:rPr>
      <w:color w:val="954F72" w:themeColor="followedHyperlink"/>
      <w:u w:val="single"/>
    </w:rPr>
  </w:style>
  <w:style w:type="table" w:styleId="PlainTable5">
    <w:name w:val="Plain Table 5"/>
    <w:basedOn w:val="TableNormal"/>
    <w:uiPriority w:val="45"/>
    <w:rsid w:val="00B0638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Accent6">
    <w:name w:val="Grid Table 3 Accent 6"/>
    <w:basedOn w:val="TableNormal"/>
    <w:uiPriority w:val="48"/>
    <w:rsid w:val="00247C9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bottom w:val="single" w:sz="4" w:space="0" w:color="A8D08D" w:themeColor="accent6" w:themeTint="99"/>
        </w:tcBorders>
      </w:tcPr>
    </w:tblStylePr>
    <w:tblStylePr w:type="nwCell">
      <w:tblPr/>
      <w:tcPr>
        <w:tcBorders>
          <w:bottom w:val="single" w:sz="4" w:space="0" w:color="A8D08D" w:themeColor="accent6" w:themeTint="99"/>
        </w:tcBorders>
      </w:tcPr>
    </w:tblStylePr>
    <w:tblStylePr w:type="seCell">
      <w:tblPr/>
      <w:tcPr>
        <w:tcBorders>
          <w:top w:val="single" w:sz="4" w:space="0" w:color="A8D08D" w:themeColor="accent6" w:themeTint="99"/>
        </w:tcBorders>
      </w:tcPr>
    </w:tblStylePr>
    <w:tblStylePr w:type="swCell">
      <w:tblPr/>
      <w:tcPr>
        <w:tcBorders>
          <w:top w:val="single" w:sz="4" w:space="0" w:color="A8D08D" w:themeColor="accent6" w:themeTint="99"/>
        </w:tcBorders>
      </w:tcPr>
    </w:tblStylePr>
  </w:style>
  <w:style w:type="table" w:styleId="GridTable5Dark-Accent1">
    <w:name w:val="Grid Table 5 Dark Accent 1"/>
    <w:basedOn w:val="TableNormal"/>
    <w:uiPriority w:val="50"/>
    <w:rsid w:val="00247C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table" w:styleId="GridTable5Dark-Accent6">
    <w:name w:val="Grid Table 5 Dark Accent 6"/>
    <w:basedOn w:val="TableNormal"/>
    <w:uiPriority w:val="50"/>
    <w:rsid w:val="00247C92"/>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4">
    <w:name w:val="Grid Table 4"/>
    <w:basedOn w:val="TableNormal"/>
    <w:uiPriority w:val="49"/>
    <w:rsid w:val="00686762"/>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4">
    <w:name w:val="Grid Table 4 Accent 4"/>
    <w:basedOn w:val="TableNormal"/>
    <w:uiPriority w:val="49"/>
    <w:rsid w:val="001476E1"/>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GridTable4-Accent3">
    <w:name w:val="Grid Table 4 Accent 3"/>
    <w:basedOn w:val="TableNormal"/>
    <w:uiPriority w:val="49"/>
    <w:rsid w:val="001476E1"/>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1">
    <w:name w:val="Grid Table 4 Accent 1"/>
    <w:basedOn w:val="TableNormal"/>
    <w:uiPriority w:val="49"/>
    <w:rsid w:val="001476E1"/>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GridTable4-Accent6">
    <w:name w:val="Grid Table 4 Accent 6"/>
    <w:basedOn w:val="TableNormal"/>
    <w:uiPriority w:val="49"/>
    <w:rsid w:val="000B6062"/>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5Dark-Accent4">
    <w:name w:val="Grid Table 5 Dark Accent 4"/>
    <w:basedOn w:val="TableNormal"/>
    <w:uiPriority w:val="50"/>
    <w:rsid w:val="008E697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5Dark-Accent3">
    <w:name w:val="Grid Table 5 Dark Accent 3"/>
    <w:basedOn w:val="TableNormal"/>
    <w:uiPriority w:val="50"/>
    <w:rsid w:val="001162D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GridTable4-Accent5">
    <w:name w:val="Grid Table 4 Accent 5"/>
    <w:basedOn w:val="TableNormal"/>
    <w:uiPriority w:val="49"/>
    <w:rsid w:val="001162DF"/>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5Dark-Accent5">
    <w:name w:val="Grid Table 5 Dark Accent 5"/>
    <w:basedOn w:val="TableNormal"/>
    <w:uiPriority w:val="50"/>
    <w:rsid w:val="00946C9F"/>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character" w:styleId="CommentReference">
    <w:name w:val="annotation reference"/>
    <w:basedOn w:val="DefaultParagraphFont"/>
    <w:uiPriority w:val="99"/>
    <w:semiHidden/>
    <w:unhideWhenUsed/>
    <w:rsid w:val="007E5D4D"/>
    <w:rPr>
      <w:sz w:val="16"/>
      <w:szCs w:val="16"/>
    </w:rPr>
  </w:style>
  <w:style w:type="paragraph" w:styleId="CommentText">
    <w:name w:val="annotation text"/>
    <w:basedOn w:val="Normal"/>
    <w:link w:val="CommentTextChar"/>
    <w:uiPriority w:val="99"/>
    <w:unhideWhenUsed/>
    <w:rsid w:val="007E5D4D"/>
    <w:pPr>
      <w:spacing w:line="240" w:lineRule="auto"/>
    </w:pPr>
    <w:rPr>
      <w:sz w:val="20"/>
      <w:szCs w:val="25"/>
    </w:rPr>
  </w:style>
  <w:style w:type="character" w:customStyle="1" w:styleId="CommentTextChar">
    <w:name w:val="Comment Text Char"/>
    <w:basedOn w:val="DefaultParagraphFont"/>
    <w:link w:val="CommentText"/>
    <w:uiPriority w:val="99"/>
    <w:rsid w:val="007E5D4D"/>
    <w:rPr>
      <w:rFonts w:ascii="Times New Roman" w:hAnsi="Times New Roman"/>
      <w:sz w:val="20"/>
      <w:szCs w:val="25"/>
    </w:rPr>
  </w:style>
  <w:style w:type="paragraph" w:styleId="CommentSubject">
    <w:name w:val="annotation subject"/>
    <w:basedOn w:val="CommentText"/>
    <w:next w:val="CommentText"/>
    <w:link w:val="CommentSubjectChar"/>
    <w:uiPriority w:val="99"/>
    <w:semiHidden/>
    <w:unhideWhenUsed/>
    <w:rsid w:val="007E5D4D"/>
    <w:rPr>
      <w:b/>
      <w:bCs/>
    </w:rPr>
  </w:style>
  <w:style w:type="character" w:customStyle="1" w:styleId="CommentSubjectChar">
    <w:name w:val="Comment Subject Char"/>
    <w:basedOn w:val="CommentTextChar"/>
    <w:link w:val="CommentSubject"/>
    <w:uiPriority w:val="99"/>
    <w:semiHidden/>
    <w:rsid w:val="007E5D4D"/>
    <w:rPr>
      <w:rFonts w:ascii="Times New Roman" w:hAnsi="Times New Roman"/>
      <w:b/>
      <w:bCs/>
      <w:sz w:val="20"/>
      <w:szCs w:val="25"/>
    </w:rPr>
  </w:style>
  <w:style w:type="character" w:styleId="Strong">
    <w:name w:val="Strong"/>
    <w:basedOn w:val="DefaultParagraphFont"/>
    <w:uiPriority w:val="22"/>
    <w:qFormat/>
    <w:rsid w:val="00346217"/>
    <w:rPr>
      <w:b/>
      <w:bCs/>
    </w:rPr>
  </w:style>
  <w:style w:type="paragraph" w:styleId="TOC3">
    <w:name w:val="toc 3"/>
    <w:basedOn w:val="Normal"/>
    <w:next w:val="Normal"/>
    <w:autoRedefine/>
    <w:uiPriority w:val="39"/>
    <w:unhideWhenUsed/>
    <w:rsid w:val="002203B0"/>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7940996">
      <w:bodyDiv w:val="1"/>
      <w:marLeft w:val="0"/>
      <w:marRight w:val="0"/>
      <w:marTop w:val="0"/>
      <w:marBottom w:val="0"/>
      <w:divBdr>
        <w:top w:val="none" w:sz="0" w:space="0" w:color="auto"/>
        <w:left w:val="none" w:sz="0" w:space="0" w:color="auto"/>
        <w:bottom w:val="none" w:sz="0" w:space="0" w:color="auto"/>
        <w:right w:val="none" w:sz="0" w:space="0" w:color="auto"/>
      </w:divBdr>
      <w:divsChild>
        <w:div w:id="1821997245">
          <w:marLeft w:val="0"/>
          <w:marRight w:val="0"/>
          <w:marTop w:val="0"/>
          <w:marBottom w:val="0"/>
          <w:divBdr>
            <w:top w:val="none" w:sz="0" w:space="0" w:color="auto"/>
            <w:left w:val="none" w:sz="0" w:space="0" w:color="auto"/>
            <w:bottom w:val="none" w:sz="0" w:space="0" w:color="auto"/>
            <w:right w:val="none" w:sz="0" w:space="0" w:color="auto"/>
          </w:divBdr>
          <w:divsChild>
            <w:div w:id="1355300848">
              <w:marLeft w:val="0"/>
              <w:marRight w:val="0"/>
              <w:marTop w:val="0"/>
              <w:marBottom w:val="0"/>
              <w:divBdr>
                <w:top w:val="none" w:sz="0" w:space="0" w:color="auto"/>
                <w:left w:val="none" w:sz="0" w:space="0" w:color="auto"/>
                <w:bottom w:val="none" w:sz="0" w:space="0" w:color="auto"/>
                <w:right w:val="none" w:sz="0" w:space="0" w:color="auto"/>
              </w:divBdr>
            </w:div>
          </w:divsChild>
        </w:div>
        <w:div w:id="1994986020">
          <w:marLeft w:val="0"/>
          <w:marRight w:val="0"/>
          <w:marTop w:val="0"/>
          <w:marBottom w:val="0"/>
          <w:divBdr>
            <w:top w:val="none" w:sz="0" w:space="0" w:color="auto"/>
            <w:left w:val="none" w:sz="0" w:space="0" w:color="auto"/>
            <w:bottom w:val="none" w:sz="0" w:space="0" w:color="auto"/>
            <w:right w:val="none" w:sz="0" w:space="0" w:color="auto"/>
          </w:divBdr>
          <w:divsChild>
            <w:div w:id="1223710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241376">
      <w:bodyDiv w:val="1"/>
      <w:marLeft w:val="0"/>
      <w:marRight w:val="0"/>
      <w:marTop w:val="0"/>
      <w:marBottom w:val="0"/>
      <w:divBdr>
        <w:top w:val="none" w:sz="0" w:space="0" w:color="auto"/>
        <w:left w:val="none" w:sz="0" w:space="0" w:color="auto"/>
        <w:bottom w:val="none" w:sz="0" w:space="0" w:color="auto"/>
        <w:right w:val="none" w:sz="0" w:space="0" w:color="auto"/>
      </w:divBdr>
      <w:divsChild>
        <w:div w:id="605232394">
          <w:marLeft w:val="0"/>
          <w:marRight w:val="0"/>
          <w:marTop w:val="0"/>
          <w:marBottom w:val="225"/>
          <w:divBdr>
            <w:top w:val="none" w:sz="0" w:space="0" w:color="auto"/>
            <w:left w:val="none" w:sz="0" w:space="0" w:color="auto"/>
            <w:bottom w:val="none" w:sz="0" w:space="0" w:color="auto"/>
            <w:right w:val="none" w:sz="0" w:space="0" w:color="auto"/>
          </w:divBdr>
          <w:divsChild>
            <w:div w:id="1700930513">
              <w:marLeft w:val="0"/>
              <w:marRight w:val="0"/>
              <w:marTop w:val="0"/>
              <w:marBottom w:val="0"/>
              <w:divBdr>
                <w:top w:val="none" w:sz="0" w:space="0" w:color="auto"/>
                <w:left w:val="none" w:sz="0" w:space="0" w:color="auto"/>
                <w:bottom w:val="none" w:sz="0" w:space="0" w:color="auto"/>
                <w:right w:val="none" w:sz="0" w:space="0" w:color="auto"/>
              </w:divBdr>
              <w:divsChild>
                <w:div w:id="700595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486488">
      <w:bodyDiv w:val="1"/>
      <w:marLeft w:val="0"/>
      <w:marRight w:val="0"/>
      <w:marTop w:val="0"/>
      <w:marBottom w:val="0"/>
      <w:divBdr>
        <w:top w:val="none" w:sz="0" w:space="0" w:color="auto"/>
        <w:left w:val="none" w:sz="0" w:space="0" w:color="auto"/>
        <w:bottom w:val="none" w:sz="0" w:space="0" w:color="auto"/>
        <w:right w:val="none" w:sz="0" w:space="0" w:color="auto"/>
      </w:divBdr>
    </w:div>
    <w:div w:id="140008241">
      <w:bodyDiv w:val="1"/>
      <w:marLeft w:val="0"/>
      <w:marRight w:val="0"/>
      <w:marTop w:val="0"/>
      <w:marBottom w:val="0"/>
      <w:divBdr>
        <w:top w:val="none" w:sz="0" w:space="0" w:color="auto"/>
        <w:left w:val="none" w:sz="0" w:space="0" w:color="auto"/>
        <w:bottom w:val="none" w:sz="0" w:space="0" w:color="auto"/>
        <w:right w:val="none" w:sz="0" w:space="0" w:color="auto"/>
      </w:divBdr>
    </w:div>
    <w:div w:id="150827882">
      <w:bodyDiv w:val="1"/>
      <w:marLeft w:val="0"/>
      <w:marRight w:val="0"/>
      <w:marTop w:val="0"/>
      <w:marBottom w:val="0"/>
      <w:divBdr>
        <w:top w:val="none" w:sz="0" w:space="0" w:color="auto"/>
        <w:left w:val="none" w:sz="0" w:space="0" w:color="auto"/>
        <w:bottom w:val="none" w:sz="0" w:space="0" w:color="auto"/>
        <w:right w:val="none" w:sz="0" w:space="0" w:color="auto"/>
      </w:divBdr>
      <w:divsChild>
        <w:div w:id="734204703">
          <w:marLeft w:val="0"/>
          <w:marRight w:val="0"/>
          <w:marTop w:val="0"/>
          <w:marBottom w:val="0"/>
          <w:divBdr>
            <w:top w:val="none" w:sz="0" w:space="0" w:color="auto"/>
            <w:left w:val="none" w:sz="0" w:space="0" w:color="auto"/>
            <w:bottom w:val="none" w:sz="0" w:space="0" w:color="auto"/>
            <w:right w:val="none" w:sz="0" w:space="0" w:color="auto"/>
          </w:divBdr>
          <w:divsChild>
            <w:div w:id="1580215490">
              <w:marLeft w:val="0"/>
              <w:marRight w:val="0"/>
              <w:marTop w:val="0"/>
              <w:marBottom w:val="0"/>
              <w:divBdr>
                <w:top w:val="none" w:sz="0" w:space="0" w:color="auto"/>
                <w:left w:val="none" w:sz="0" w:space="0" w:color="auto"/>
                <w:bottom w:val="none" w:sz="0" w:space="0" w:color="auto"/>
                <w:right w:val="none" w:sz="0" w:space="0" w:color="auto"/>
              </w:divBdr>
              <w:divsChild>
                <w:div w:id="193931579">
                  <w:marLeft w:val="0"/>
                  <w:marRight w:val="0"/>
                  <w:marTop w:val="0"/>
                  <w:marBottom w:val="0"/>
                  <w:divBdr>
                    <w:top w:val="none" w:sz="0" w:space="0" w:color="auto"/>
                    <w:left w:val="none" w:sz="0" w:space="0" w:color="auto"/>
                    <w:bottom w:val="none" w:sz="0" w:space="0" w:color="auto"/>
                    <w:right w:val="none" w:sz="0" w:space="0" w:color="auto"/>
                  </w:divBdr>
                  <w:divsChild>
                    <w:div w:id="1627273854">
                      <w:marLeft w:val="0"/>
                      <w:marRight w:val="0"/>
                      <w:marTop w:val="0"/>
                      <w:marBottom w:val="0"/>
                      <w:divBdr>
                        <w:top w:val="none" w:sz="0" w:space="0" w:color="auto"/>
                        <w:left w:val="none" w:sz="0" w:space="0" w:color="auto"/>
                        <w:bottom w:val="none" w:sz="0" w:space="0" w:color="auto"/>
                        <w:right w:val="none" w:sz="0" w:space="0" w:color="auto"/>
                      </w:divBdr>
                      <w:divsChild>
                        <w:div w:id="846870304">
                          <w:marLeft w:val="0"/>
                          <w:marRight w:val="0"/>
                          <w:marTop w:val="0"/>
                          <w:marBottom w:val="0"/>
                          <w:divBdr>
                            <w:top w:val="none" w:sz="0" w:space="0" w:color="auto"/>
                            <w:left w:val="none" w:sz="0" w:space="0" w:color="auto"/>
                            <w:bottom w:val="none" w:sz="0" w:space="0" w:color="auto"/>
                            <w:right w:val="none" w:sz="0" w:space="0" w:color="auto"/>
                          </w:divBdr>
                          <w:divsChild>
                            <w:div w:id="451559490">
                              <w:marLeft w:val="0"/>
                              <w:marRight w:val="0"/>
                              <w:marTop w:val="0"/>
                              <w:marBottom w:val="0"/>
                              <w:divBdr>
                                <w:top w:val="none" w:sz="0" w:space="0" w:color="auto"/>
                                <w:left w:val="none" w:sz="0" w:space="0" w:color="auto"/>
                                <w:bottom w:val="none" w:sz="0" w:space="0" w:color="auto"/>
                                <w:right w:val="none" w:sz="0" w:space="0" w:color="auto"/>
                              </w:divBdr>
                              <w:divsChild>
                                <w:div w:id="1138107697">
                                  <w:marLeft w:val="0"/>
                                  <w:marRight w:val="0"/>
                                  <w:marTop w:val="0"/>
                                  <w:marBottom w:val="0"/>
                                  <w:divBdr>
                                    <w:top w:val="none" w:sz="0" w:space="0" w:color="auto"/>
                                    <w:left w:val="none" w:sz="0" w:space="0" w:color="auto"/>
                                    <w:bottom w:val="none" w:sz="0" w:space="0" w:color="auto"/>
                                    <w:right w:val="none" w:sz="0" w:space="0" w:color="auto"/>
                                  </w:divBdr>
                                  <w:divsChild>
                                    <w:div w:id="391344041">
                                      <w:marLeft w:val="0"/>
                                      <w:marRight w:val="0"/>
                                      <w:marTop w:val="0"/>
                                      <w:marBottom w:val="0"/>
                                      <w:divBdr>
                                        <w:top w:val="none" w:sz="0" w:space="0" w:color="auto"/>
                                        <w:left w:val="none" w:sz="0" w:space="0" w:color="auto"/>
                                        <w:bottom w:val="none" w:sz="0" w:space="0" w:color="auto"/>
                                        <w:right w:val="none" w:sz="0" w:space="0" w:color="auto"/>
                                      </w:divBdr>
                                    </w:div>
                                  </w:divsChild>
                                </w:div>
                                <w:div w:id="354577988">
                                  <w:marLeft w:val="0"/>
                                  <w:marRight w:val="0"/>
                                  <w:marTop w:val="0"/>
                                  <w:marBottom w:val="0"/>
                                  <w:divBdr>
                                    <w:top w:val="none" w:sz="0" w:space="0" w:color="auto"/>
                                    <w:left w:val="none" w:sz="0" w:space="0" w:color="auto"/>
                                    <w:bottom w:val="none" w:sz="0" w:space="0" w:color="auto"/>
                                    <w:right w:val="none" w:sz="0" w:space="0" w:color="auto"/>
                                  </w:divBdr>
                                  <w:divsChild>
                                    <w:div w:id="207751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47327004">
          <w:marLeft w:val="0"/>
          <w:marRight w:val="0"/>
          <w:marTop w:val="0"/>
          <w:marBottom w:val="0"/>
          <w:divBdr>
            <w:top w:val="none" w:sz="0" w:space="0" w:color="auto"/>
            <w:left w:val="none" w:sz="0" w:space="0" w:color="auto"/>
            <w:bottom w:val="none" w:sz="0" w:space="0" w:color="auto"/>
            <w:right w:val="none" w:sz="0" w:space="0" w:color="auto"/>
          </w:divBdr>
          <w:divsChild>
            <w:div w:id="242496967">
              <w:marLeft w:val="0"/>
              <w:marRight w:val="0"/>
              <w:marTop w:val="0"/>
              <w:marBottom w:val="0"/>
              <w:divBdr>
                <w:top w:val="none" w:sz="0" w:space="0" w:color="auto"/>
                <w:left w:val="none" w:sz="0" w:space="0" w:color="auto"/>
                <w:bottom w:val="none" w:sz="0" w:space="0" w:color="auto"/>
                <w:right w:val="none" w:sz="0" w:space="0" w:color="auto"/>
              </w:divBdr>
              <w:divsChild>
                <w:div w:id="1404454660">
                  <w:marLeft w:val="0"/>
                  <w:marRight w:val="0"/>
                  <w:marTop w:val="0"/>
                  <w:marBottom w:val="0"/>
                  <w:divBdr>
                    <w:top w:val="none" w:sz="0" w:space="0" w:color="auto"/>
                    <w:left w:val="none" w:sz="0" w:space="0" w:color="auto"/>
                    <w:bottom w:val="none" w:sz="0" w:space="0" w:color="auto"/>
                    <w:right w:val="none" w:sz="0" w:space="0" w:color="auto"/>
                  </w:divBdr>
                  <w:divsChild>
                    <w:div w:id="609241502">
                      <w:marLeft w:val="0"/>
                      <w:marRight w:val="0"/>
                      <w:marTop w:val="0"/>
                      <w:marBottom w:val="0"/>
                      <w:divBdr>
                        <w:top w:val="none" w:sz="0" w:space="0" w:color="auto"/>
                        <w:left w:val="none" w:sz="0" w:space="0" w:color="auto"/>
                        <w:bottom w:val="none" w:sz="0" w:space="0" w:color="auto"/>
                        <w:right w:val="none" w:sz="0" w:space="0" w:color="auto"/>
                      </w:divBdr>
                      <w:divsChild>
                        <w:div w:id="1342706627">
                          <w:marLeft w:val="0"/>
                          <w:marRight w:val="0"/>
                          <w:marTop w:val="0"/>
                          <w:marBottom w:val="0"/>
                          <w:divBdr>
                            <w:top w:val="none" w:sz="0" w:space="0" w:color="auto"/>
                            <w:left w:val="none" w:sz="0" w:space="0" w:color="auto"/>
                            <w:bottom w:val="none" w:sz="0" w:space="0" w:color="auto"/>
                            <w:right w:val="none" w:sz="0" w:space="0" w:color="auto"/>
                          </w:divBdr>
                          <w:divsChild>
                            <w:div w:id="902057998">
                              <w:marLeft w:val="0"/>
                              <w:marRight w:val="0"/>
                              <w:marTop w:val="0"/>
                              <w:marBottom w:val="0"/>
                              <w:divBdr>
                                <w:top w:val="none" w:sz="0" w:space="0" w:color="auto"/>
                                <w:left w:val="none" w:sz="0" w:space="0" w:color="auto"/>
                                <w:bottom w:val="none" w:sz="0" w:space="0" w:color="auto"/>
                                <w:right w:val="none" w:sz="0" w:space="0" w:color="auto"/>
                              </w:divBdr>
                              <w:divsChild>
                                <w:div w:id="349650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4201517">
          <w:marLeft w:val="0"/>
          <w:marRight w:val="0"/>
          <w:marTop w:val="0"/>
          <w:marBottom w:val="0"/>
          <w:divBdr>
            <w:top w:val="none" w:sz="0" w:space="0" w:color="auto"/>
            <w:left w:val="none" w:sz="0" w:space="0" w:color="auto"/>
            <w:bottom w:val="none" w:sz="0" w:space="0" w:color="auto"/>
            <w:right w:val="none" w:sz="0" w:space="0" w:color="auto"/>
          </w:divBdr>
          <w:divsChild>
            <w:div w:id="1235779121">
              <w:marLeft w:val="0"/>
              <w:marRight w:val="0"/>
              <w:marTop w:val="0"/>
              <w:marBottom w:val="0"/>
              <w:divBdr>
                <w:top w:val="none" w:sz="0" w:space="0" w:color="auto"/>
                <w:left w:val="none" w:sz="0" w:space="0" w:color="auto"/>
                <w:bottom w:val="none" w:sz="0" w:space="0" w:color="auto"/>
                <w:right w:val="none" w:sz="0" w:space="0" w:color="auto"/>
              </w:divBdr>
              <w:divsChild>
                <w:div w:id="1017779153">
                  <w:marLeft w:val="0"/>
                  <w:marRight w:val="0"/>
                  <w:marTop w:val="0"/>
                  <w:marBottom w:val="0"/>
                  <w:divBdr>
                    <w:top w:val="none" w:sz="0" w:space="0" w:color="auto"/>
                    <w:left w:val="none" w:sz="0" w:space="0" w:color="auto"/>
                    <w:bottom w:val="none" w:sz="0" w:space="0" w:color="auto"/>
                    <w:right w:val="none" w:sz="0" w:space="0" w:color="auto"/>
                  </w:divBdr>
                  <w:divsChild>
                    <w:div w:id="367880344">
                      <w:marLeft w:val="0"/>
                      <w:marRight w:val="0"/>
                      <w:marTop w:val="0"/>
                      <w:marBottom w:val="0"/>
                      <w:divBdr>
                        <w:top w:val="none" w:sz="0" w:space="0" w:color="auto"/>
                        <w:left w:val="none" w:sz="0" w:space="0" w:color="auto"/>
                        <w:bottom w:val="none" w:sz="0" w:space="0" w:color="auto"/>
                        <w:right w:val="none" w:sz="0" w:space="0" w:color="auto"/>
                      </w:divBdr>
                      <w:divsChild>
                        <w:div w:id="1060250690">
                          <w:marLeft w:val="0"/>
                          <w:marRight w:val="0"/>
                          <w:marTop w:val="0"/>
                          <w:marBottom w:val="0"/>
                          <w:divBdr>
                            <w:top w:val="none" w:sz="0" w:space="0" w:color="auto"/>
                            <w:left w:val="none" w:sz="0" w:space="0" w:color="auto"/>
                            <w:bottom w:val="none" w:sz="0" w:space="0" w:color="auto"/>
                            <w:right w:val="none" w:sz="0" w:space="0" w:color="auto"/>
                          </w:divBdr>
                          <w:divsChild>
                            <w:div w:id="1113210335">
                              <w:marLeft w:val="0"/>
                              <w:marRight w:val="0"/>
                              <w:marTop w:val="0"/>
                              <w:marBottom w:val="0"/>
                              <w:divBdr>
                                <w:top w:val="none" w:sz="0" w:space="0" w:color="auto"/>
                                <w:left w:val="none" w:sz="0" w:space="0" w:color="auto"/>
                                <w:bottom w:val="none" w:sz="0" w:space="0" w:color="auto"/>
                                <w:right w:val="none" w:sz="0" w:space="0" w:color="auto"/>
                              </w:divBdr>
                              <w:divsChild>
                                <w:div w:id="93981071">
                                  <w:marLeft w:val="0"/>
                                  <w:marRight w:val="0"/>
                                  <w:marTop w:val="0"/>
                                  <w:marBottom w:val="0"/>
                                  <w:divBdr>
                                    <w:top w:val="none" w:sz="0" w:space="0" w:color="auto"/>
                                    <w:left w:val="none" w:sz="0" w:space="0" w:color="auto"/>
                                    <w:bottom w:val="none" w:sz="0" w:space="0" w:color="auto"/>
                                    <w:right w:val="none" w:sz="0" w:space="0" w:color="auto"/>
                                  </w:divBdr>
                                  <w:divsChild>
                                    <w:div w:id="22283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66232">
      <w:bodyDiv w:val="1"/>
      <w:marLeft w:val="0"/>
      <w:marRight w:val="0"/>
      <w:marTop w:val="0"/>
      <w:marBottom w:val="0"/>
      <w:divBdr>
        <w:top w:val="none" w:sz="0" w:space="0" w:color="auto"/>
        <w:left w:val="none" w:sz="0" w:space="0" w:color="auto"/>
        <w:bottom w:val="none" w:sz="0" w:space="0" w:color="auto"/>
        <w:right w:val="none" w:sz="0" w:space="0" w:color="auto"/>
      </w:divBdr>
    </w:div>
    <w:div w:id="184566484">
      <w:bodyDiv w:val="1"/>
      <w:marLeft w:val="0"/>
      <w:marRight w:val="0"/>
      <w:marTop w:val="0"/>
      <w:marBottom w:val="0"/>
      <w:divBdr>
        <w:top w:val="none" w:sz="0" w:space="0" w:color="auto"/>
        <w:left w:val="none" w:sz="0" w:space="0" w:color="auto"/>
        <w:bottom w:val="none" w:sz="0" w:space="0" w:color="auto"/>
        <w:right w:val="none" w:sz="0" w:space="0" w:color="auto"/>
      </w:divBdr>
    </w:div>
    <w:div w:id="211624846">
      <w:bodyDiv w:val="1"/>
      <w:marLeft w:val="0"/>
      <w:marRight w:val="0"/>
      <w:marTop w:val="0"/>
      <w:marBottom w:val="0"/>
      <w:divBdr>
        <w:top w:val="none" w:sz="0" w:space="0" w:color="auto"/>
        <w:left w:val="none" w:sz="0" w:space="0" w:color="auto"/>
        <w:bottom w:val="none" w:sz="0" w:space="0" w:color="auto"/>
        <w:right w:val="none" w:sz="0" w:space="0" w:color="auto"/>
      </w:divBdr>
      <w:divsChild>
        <w:div w:id="2093769045">
          <w:marLeft w:val="0"/>
          <w:marRight w:val="0"/>
          <w:marTop w:val="0"/>
          <w:marBottom w:val="0"/>
          <w:divBdr>
            <w:top w:val="none" w:sz="0" w:space="0" w:color="auto"/>
            <w:left w:val="none" w:sz="0" w:space="0" w:color="auto"/>
            <w:bottom w:val="none" w:sz="0" w:space="0" w:color="auto"/>
            <w:right w:val="none" w:sz="0" w:space="0" w:color="auto"/>
          </w:divBdr>
          <w:divsChild>
            <w:div w:id="1702778722">
              <w:marLeft w:val="0"/>
              <w:marRight w:val="0"/>
              <w:marTop w:val="0"/>
              <w:marBottom w:val="0"/>
              <w:divBdr>
                <w:top w:val="none" w:sz="0" w:space="0" w:color="auto"/>
                <w:left w:val="none" w:sz="0" w:space="0" w:color="auto"/>
                <w:bottom w:val="none" w:sz="0" w:space="0" w:color="auto"/>
                <w:right w:val="none" w:sz="0" w:space="0" w:color="auto"/>
              </w:divBdr>
              <w:divsChild>
                <w:div w:id="1092092727">
                  <w:marLeft w:val="0"/>
                  <w:marRight w:val="0"/>
                  <w:marTop w:val="0"/>
                  <w:marBottom w:val="0"/>
                  <w:divBdr>
                    <w:top w:val="none" w:sz="0" w:space="0" w:color="auto"/>
                    <w:left w:val="none" w:sz="0" w:space="0" w:color="auto"/>
                    <w:bottom w:val="none" w:sz="0" w:space="0" w:color="auto"/>
                    <w:right w:val="none" w:sz="0" w:space="0" w:color="auto"/>
                  </w:divBdr>
                  <w:divsChild>
                    <w:div w:id="5066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739051">
      <w:bodyDiv w:val="1"/>
      <w:marLeft w:val="0"/>
      <w:marRight w:val="0"/>
      <w:marTop w:val="0"/>
      <w:marBottom w:val="0"/>
      <w:divBdr>
        <w:top w:val="none" w:sz="0" w:space="0" w:color="auto"/>
        <w:left w:val="none" w:sz="0" w:space="0" w:color="auto"/>
        <w:bottom w:val="none" w:sz="0" w:space="0" w:color="auto"/>
        <w:right w:val="none" w:sz="0" w:space="0" w:color="auto"/>
      </w:divBdr>
    </w:div>
    <w:div w:id="214507367">
      <w:bodyDiv w:val="1"/>
      <w:marLeft w:val="0"/>
      <w:marRight w:val="0"/>
      <w:marTop w:val="0"/>
      <w:marBottom w:val="0"/>
      <w:divBdr>
        <w:top w:val="none" w:sz="0" w:space="0" w:color="auto"/>
        <w:left w:val="none" w:sz="0" w:space="0" w:color="auto"/>
        <w:bottom w:val="none" w:sz="0" w:space="0" w:color="auto"/>
        <w:right w:val="none" w:sz="0" w:space="0" w:color="auto"/>
      </w:divBdr>
    </w:div>
    <w:div w:id="249777960">
      <w:bodyDiv w:val="1"/>
      <w:marLeft w:val="0"/>
      <w:marRight w:val="0"/>
      <w:marTop w:val="0"/>
      <w:marBottom w:val="0"/>
      <w:divBdr>
        <w:top w:val="none" w:sz="0" w:space="0" w:color="auto"/>
        <w:left w:val="none" w:sz="0" w:space="0" w:color="auto"/>
        <w:bottom w:val="none" w:sz="0" w:space="0" w:color="auto"/>
        <w:right w:val="none" w:sz="0" w:space="0" w:color="auto"/>
      </w:divBdr>
    </w:div>
    <w:div w:id="252325741">
      <w:bodyDiv w:val="1"/>
      <w:marLeft w:val="0"/>
      <w:marRight w:val="0"/>
      <w:marTop w:val="0"/>
      <w:marBottom w:val="0"/>
      <w:divBdr>
        <w:top w:val="none" w:sz="0" w:space="0" w:color="auto"/>
        <w:left w:val="none" w:sz="0" w:space="0" w:color="auto"/>
        <w:bottom w:val="none" w:sz="0" w:space="0" w:color="auto"/>
        <w:right w:val="none" w:sz="0" w:space="0" w:color="auto"/>
      </w:divBdr>
    </w:div>
    <w:div w:id="257716522">
      <w:bodyDiv w:val="1"/>
      <w:marLeft w:val="0"/>
      <w:marRight w:val="0"/>
      <w:marTop w:val="0"/>
      <w:marBottom w:val="0"/>
      <w:divBdr>
        <w:top w:val="none" w:sz="0" w:space="0" w:color="auto"/>
        <w:left w:val="none" w:sz="0" w:space="0" w:color="auto"/>
        <w:bottom w:val="none" w:sz="0" w:space="0" w:color="auto"/>
        <w:right w:val="none" w:sz="0" w:space="0" w:color="auto"/>
      </w:divBdr>
    </w:div>
    <w:div w:id="258102356">
      <w:bodyDiv w:val="1"/>
      <w:marLeft w:val="0"/>
      <w:marRight w:val="0"/>
      <w:marTop w:val="0"/>
      <w:marBottom w:val="0"/>
      <w:divBdr>
        <w:top w:val="none" w:sz="0" w:space="0" w:color="auto"/>
        <w:left w:val="none" w:sz="0" w:space="0" w:color="auto"/>
        <w:bottom w:val="none" w:sz="0" w:space="0" w:color="auto"/>
        <w:right w:val="none" w:sz="0" w:space="0" w:color="auto"/>
      </w:divBdr>
    </w:div>
    <w:div w:id="258173453">
      <w:bodyDiv w:val="1"/>
      <w:marLeft w:val="0"/>
      <w:marRight w:val="0"/>
      <w:marTop w:val="0"/>
      <w:marBottom w:val="0"/>
      <w:divBdr>
        <w:top w:val="none" w:sz="0" w:space="0" w:color="auto"/>
        <w:left w:val="none" w:sz="0" w:space="0" w:color="auto"/>
        <w:bottom w:val="none" w:sz="0" w:space="0" w:color="auto"/>
        <w:right w:val="none" w:sz="0" w:space="0" w:color="auto"/>
      </w:divBdr>
      <w:divsChild>
        <w:div w:id="2052874798">
          <w:marLeft w:val="0"/>
          <w:marRight w:val="0"/>
          <w:marTop w:val="0"/>
          <w:marBottom w:val="0"/>
          <w:divBdr>
            <w:top w:val="none" w:sz="0" w:space="0" w:color="auto"/>
            <w:left w:val="none" w:sz="0" w:space="0" w:color="auto"/>
            <w:bottom w:val="none" w:sz="0" w:space="0" w:color="auto"/>
            <w:right w:val="none" w:sz="0" w:space="0" w:color="auto"/>
          </w:divBdr>
          <w:divsChild>
            <w:div w:id="272397914">
              <w:marLeft w:val="0"/>
              <w:marRight w:val="0"/>
              <w:marTop w:val="0"/>
              <w:marBottom w:val="0"/>
              <w:divBdr>
                <w:top w:val="none" w:sz="0" w:space="0" w:color="auto"/>
                <w:left w:val="none" w:sz="0" w:space="0" w:color="auto"/>
                <w:bottom w:val="none" w:sz="0" w:space="0" w:color="auto"/>
                <w:right w:val="none" w:sz="0" w:space="0" w:color="auto"/>
              </w:divBdr>
              <w:divsChild>
                <w:div w:id="588199006">
                  <w:marLeft w:val="0"/>
                  <w:marRight w:val="0"/>
                  <w:marTop w:val="0"/>
                  <w:marBottom w:val="0"/>
                  <w:divBdr>
                    <w:top w:val="none" w:sz="0" w:space="0" w:color="auto"/>
                    <w:left w:val="none" w:sz="0" w:space="0" w:color="auto"/>
                    <w:bottom w:val="none" w:sz="0" w:space="0" w:color="auto"/>
                    <w:right w:val="none" w:sz="0" w:space="0" w:color="auto"/>
                  </w:divBdr>
                  <w:divsChild>
                    <w:div w:id="1672220967">
                      <w:marLeft w:val="0"/>
                      <w:marRight w:val="0"/>
                      <w:marTop w:val="0"/>
                      <w:marBottom w:val="0"/>
                      <w:divBdr>
                        <w:top w:val="none" w:sz="0" w:space="0" w:color="auto"/>
                        <w:left w:val="none" w:sz="0" w:space="0" w:color="auto"/>
                        <w:bottom w:val="none" w:sz="0" w:space="0" w:color="auto"/>
                        <w:right w:val="none" w:sz="0" w:space="0" w:color="auto"/>
                      </w:divBdr>
                      <w:divsChild>
                        <w:div w:id="707266373">
                          <w:marLeft w:val="0"/>
                          <w:marRight w:val="0"/>
                          <w:marTop w:val="0"/>
                          <w:marBottom w:val="0"/>
                          <w:divBdr>
                            <w:top w:val="none" w:sz="0" w:space="0" w:color="auto"/>
                            <w:left w:val="none" w:sz="0" w:space="0" w:color="auto"/>
                            <w:bottom w:val="none" w:sz="0" w:space="0" w:color="auto"/>
                            <w:right w:val="none" w:sz="0" w:space="0" w:color="auto"/>
                          </w:divBdr>
                          <w:divsChild>
                            <w:div w:id="646907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0468610">
          <w:marLeft w:val="0"/>
          <w:marRight w:val="0"/>
          <w:marTop w:val="0"/>
          <w:marBottom w:val="0"/>
          <w:divBdr>
            <w:top w:val="none" w:sz="0" w:space="0" w:color="auto"/>
            <w:left w:val="none" w:sz="0" w:space="0" w:color="auto"/>
            <w:bottom w:val="none" w:sz="0" w:space="0" w:color="auto"/>
            <w:right w:val="none" w:sz="0" w:space="0" w:color="auto"/>
          </w:divBdr>
          <w:divsChild>
            <w:div w:id="780494890">
              <w:marLeft w:val="0"/>
              <w:marRight w:val="0"/>
              <w:marTop w:val="0"/>
              <w:marBottom w:val="0"/>
              <w:divBdr>
                <w:top w:val="none" w:sz="0" w:space="0" w:color="auto"/>
                <w:left w:val="none" w:sz="0" w:space="0" w:color="auto"/>
                <w:bottom w:val="none" w:sz="0" w:space="0" w:color="auto"/>
                <w:right w:val="none" w:sz="0" w:space="0" w:color="auto"/>
              </w:divBdr>
              <w:divsChild>
                <w:div w:id="157115433">
                  <w:marLeft w:val="0"/>
                  <w:marRight w:val="0"/>
                  <w:marTop w:val="0"/>
                  <w:marBottom w:val="0"/>
                  <w:divBdr>
                    <w:top w:val="none" w:sz="0" w:space="0" w:color="auto"/>
                    <w:left w:val="none" w:sz="0" w:space="0" w:color="auto"/>
                    <w:bottom w:val="none" w:sz="0" w:space="0" w:color="auto"/>
                    <w:right w:val="none" w:sz="0" w:space="0" w:color="auto"/>
                  </w:divBdr>
                  <w:divsChild>
                    <w:div w:id="581258956">
                      <w:marLeft w:val="0"/>
                      <w:marRight w:val="0"/>
                      <w:marTop w:val="0"/>
                      <w:marBottom w:val="0"/>
                      <w:divBdr>
                        <w:top w:val="none" w:sz="0" w:space="0" w:color="auto"/>
                        <w:left w:val="none" w:sz="0" w:space="0" w:color="auto"/>
                        <w:bottom w:val="none" w:sz="0" w:space="0" w:color="auto"/>
                        <w:right w:val="none" w:sz="0" w:space="0" w:color="auto"/>
                      </w:divBdr>
                      <w:divsChild>
                        <w:div w:id="670643264">
                          <w:marLeft w:val="0"/>
                          <w:marRight w:val="0"/>
                          <w:marTop w:val="0"/>
                          <w:marBottom w:val="0"/>
                          <w:divBdr>
                            <w:top w:val="none" w:sz="0" w:space="0" w:color="auto"/>
                            <w:left w:val="none" w:sz="0" w:space="0" w:color="auto"/>
                            <w:bottom w:val="none" w:sz="0" w:space="0" w:color="auto"/>
                            <w:right w:val="none" w:sz="0" w:space="0" w:color="auto"/>
                          </w:divBdr>
                          <w:divsChild>
                            <w:div w:id="402488783">
                              <w:marLeft w:val="0"/>
                              <w:marRight w:val="0"/>
                              <w:marTop w:val="0"/>
                              <w:marBottom w:val="0"/>
                              <w:divBdr>
                                <w:top w:val="none" w:sz="0" w:space="0" w:color="auto"/>
                                <w:left w:val="none" w:sz="0" w:space="0" w:color="auto"/>
                                <w:bottom w:val="none" w:sz="0" w:space="0" w:color="auto"/>
                                <w:right w:val="none" w:sz="0" w:space="0" w:color="auto"/>
                              </w:divBdr>
                              <w:divsChild>
                                <w:div w:id="67129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8893335">
          <w:marLeft w:val="0"/>
          <w:marRight w:val="0"/>
          <w:marTop w:val="0"/>
          <w:marBottom w:val="0"/>
          <w:divBdr>
            <w:top w:val="none" w:sz="0" w:space="0" w:color="auto"/>
            <w:left w:val="none" w:sz="0" w:space="0" w:color="auto"/>
            <w:bottom w:val="none" w:sz="0" w:space="0" w:color="auto"/>
            <w:right w:val="none" w:sz="0" w:space="0" w:color="auto"/>
          </w:divBdr>
          <w:divsChild>
            <w:div w:id="1856185948">
              <w:marLeft w:val="0"/>
              <w:marRight w:val="0"/>
              <w:marTop w:val="0"/>
              <w:marBottom w:val="0"/>
              <w:divBdr>
                <w:top w:val="none" w:sz="0" w:space="0" w:color="auto"/>
                <w:left w:val="none" w:sz="0" w:space="0" w:color="auto"/>
                <w:bottom w:val="none" w:sz="0" w:space="0" w:color="auto"/>
                <w:right w:val="none" w:sz="0" w:space="0" w:color="auto"/>
              </w:divBdr>
              <w:divsChild>
                <w:div w:id="882327896">
                  <w:marLeft w:val="0"/>
                  <w:marRight w:val="0"/>
                  <w:marTop w:val="0"/>
                  <w:marBottom w:val="0"/>
                  <w:divBdr>
                    <w:top w:val="none" w:sz="0" w:space="0" w:color="auto"/>
                    <w:left w:val="none" w:sz="0" w:space="0" w:color="auto"/>
                    <w:bottom w:val="none" w:sz="0" w:space="0" w:color="auto"/>
                    <w:right w:val="none" w:sz="0" w:space="0" w:color="auto"/>
                  </w:divBdr>
                  <w:divsChild>
                    <w:div w:id="881866917">
                      <w:marLeft w:val="0"/>
                      <w:marRight w:val="0"/>
                      <w:marTop w:val="0"/>
                      <w:marBottom w:val="0"/>
                      <w:divBdr>
                        <w:top w:val="none" w:sz="0" w:space="0" w:color="auto"/>
                        <w:left w:val="none" w:sz="0" w:space="0" w:color="auto"/>
                        <w:bottom w:val="none" w:sz="0" w:space="0" w:color="auto"/>
                        <w:right w:val="none" w:sz="0" w:space="0" w:color="auto"/>
                      </w:divBdr>
                      <w:divsChild>
                        <w:div w:id="846752623">
                          <w:marLeft w:val="0"/>
                          <w:marRight w:val="0"/>
                          <w:marTop w:val="0"/>
                          <w:marBottom w:val="0"/>
                          <w:divBdr>
                            <w:top w:val="none" w:sz="0" w:space="0" w:color="auto"/>
                            <w:left w:val="none" w:sz="0" w:space="0" w:color="auto"/>
                            <w:bottom w:val="none" w:sz="0" w:space="0" w:color="auto"/>
                            <w:right w:val="none" w:sz="0" w:space="0" w:color="auto"/>
                          </w:divBdr>
                          <w:divsChild>
                            <w:div w:id="1215313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6798407">
          <w:marLeft w:val="0"/>
          <w:marRight w:val="0"/>
          <w:marTop w:val="0"/>
          <w:marBottom w:val="0"/>
          <w:divBdr>
            <w:top w:val="none" w:sz="0" w:space="0" w:color="auto"/>
            <w:left w:val="none" w:sz="0" w:space="0" w:color="auto"/>
            <w:bottom w:val="none" w:sz="0" w:space="0" w:color="auto"/>
            <w:right w:val="none" w:sz="0" w:space="0" w:color="auto"/>
          </w:divBdr>
          <w:divsChild>
            <w:div w:id="1156260522">
              <w:marLeft w:val="0"/>
              <w:marRight w:val="0"/>
              <w:marTop w:val="0"/>
              <w:marBottom w:val="0"/>
              <w:divBdr>
                <w:top w:val="none" w:sz="0" w:space="0" w:color="auto"/>
                <w:left w:val="none" w:sz="0" w:space="0" w:color="auto"/>
                <w:bottom w:val="none" w:sz="0" w:space="0" w:color="auto"/>
                <w:right w:val="none" w:sz="0" w:space="0" w:color="auto"/>
              </w:divBdr>
              <w:divsChild>
                <w:div w:id="1748459241">
                  <w:marLeft w:val="0"/>
                  <w:marRight w:val="0"/>
                  <w:marTop w:val="0"/>
                  <w:marBottom w:val="0"/>
                  <w:divBdr>
                    <w:top w:val="none" w:sz="0" w:space="0" w:color="auto"/>
                    <w:left w:val="none" w:sz="0" w:space="0" w:color="auto"/>
                    <w:bottom w:val="none" w:sz="0" w:space="0" w:color="auto"/>
                    <w:right w:val="none" w:sz="0" w:space="0" w:color="auto"/>
                  </w:divBdr>
                  <w:divsChild>
                    <w:div w:id="1455756245">
                      <w:marLeft w:val="0"/>
                      <w:marRight w:val="0"/>
                      <w:marTop w:val="0"/>
                      <w:marBottom w:val="0"/>
                      <w:divBdr>
                        <w:top w:val="none" w:sz="0" w:space="0" w:color="auto"/>
                        <w:left w:val="none" w:sz="0" w:space="0" w:color="auto"/>
                        <w:bottom w:val="none" w:sz="0" w:space="0" w:color="auto"/>
                        <w:right w:val="none" w:sz="0" w:space="0" w:color="auto"/>
                      </w:divBdr>
                      <w:divsChild>
                        <w:div w:id="1909027797">
                          <w:marLeft w:val="0"/>
                          <w:marRight w:val="0"/>
                          <w:marTop w:val="0"/>
                          <w:marBottom w:val="0"/>
                          <w:divBdr>
                            <w:top w:val="none" w:sz="0" w:space="0" w:color="auto"/>
                            <w:left w:val="none" w:sz="0" w:space="0" w:color="auto"/>
                            <w:bottom w:val="none" w:sz="0" w:space="0" w:color="auto"/>
                            <w:right w:val="none" w:sz="0" w:space="0" w:color="auto"/>
                          </w:divBdr>
                          <w:divsChild>
                            <w:div w:id="165874952">
                              <w:marLeft w:val="0"/>
                              <w:marRight w:val="0"/>
                              <w:marTop w:val="0"/>
                              <w:marBottom w:val="0"/>
                              <w:divBdr>
                                <w:top w:val="none" w:sz="0" w:space="0" w:color="auto"/>
                                <w:left w:val="none" w:sz="0" w:space="0" w:color="auto"/>
                                <w:bottom w:val="none" w:sz="0" w:space="0" w:color="auto"/>
                                <w:right w:val="none" w:sz="0" w:space="0" w:color="auto"/>
                              </w:divBdr>
                              <w:divsChild>
                                <w:div w:id="262298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4398972">
          <w:marLeft w:val="0"/>
          <w:marRight w:val="0"/>
          <w:marTop w:val="0"/>
          <w:marBottom w:val="0"/>
          <w:divBdr>
            <w:top w:val="none" w:sz="0" w:space="0" w:color="auto"/>
            <w:left w:val="none" w:sz="0" w:space="0" w:color="auto"/>
            <w:bottom w:val="none" w:sz="0" w:space="0" w:color="auto"/>
            <w:right w:val="none" w:sz="0" w:space="0" w:color="auto"/>
          </w:divBdr>
          <w:divsChild>
            <w:div w:id="1589921748">
              <w:marLeft w:val="0"/>
              <w:marRight w:val="0"/>
              <w:marTop w:val="0"/>
              <w:marBottom w:val="0"/>
              <w:divBdr>
                <w:top w:val="none" w:sz="0" w:space="0" w:color="auto"/>
                <w:left w:val="none" w:sz="0" w:space="0" w:color="auto"/>
                <w:bottom w:val="none" w:sz="0" w:space="0" w:color="auto"/>
                <w:right w:val="none" w:sz="0" w:space="0" w:color="auto"/>
              </w:divBdr>
              <w:divsChild>
                <w:div w:id="1148133564">
                  <w:marLeft w:val="0"/>
                  <w:marRight w:val="0"/>
                  <w:marTop w:val="0"/>
                  <w:marBottom w:val="0"/>
                  <w:divBdr>
                    <w:top w:val="none" w:sz="0" w:space="0" w:color="auto"/>
                    <w:left w:val="none" w:sz="0" w:space="0" w:color="auto"/>
                    <w:bottom w:val="none" w:sz="0" w:space="0" w:color="auto"/>
                    <w:right w:val="none" w:sz="0" w:space="0" w:color="auto"/>
                  </w:divBdr>
                  <w:divsChild>
                    <w:div w:id="2108454482">
                      <w:marLeft w:val="0"/>
                      <w:marRight w:val="0"/>
                      <w:marTop w:val="0"/>
                      <w:marBottom w:val="0"/>
                      <w:divBdr>
                        <w:top w:val="none" w:sz="0" w:space="0" w:color="auto"/>
                        <w:left w:val="none" w:sz="0" w:space="0" w:color="auto"/>
                        <w:bottom w:val="none" w:sz="0" w:space="0" w:color="auto"/>
                        <w:right w:val="none" w:sz="0" w:space="0" w:color="auto"/>
                      </w:divBdr>
                      <w:divsChild>
                        <w:div w:id="2099784093">
                          <w:marLeft w:val="0"/>
                          <w:marRight w:val="0"/>
                          <w:marTop w:val="0"/>
                          <w:marBottom w:val="0"/>
                          <w:divBdr>
                            <w:top w:val="none" w:sz="0" w:space="0" w:color="auto"/>
                            <w:left w:val="none" w:sz="0" w:space="0" w:color="auto"/>
                            <w:bottom w:val="none" w:sz="0" w:space="0" w:color="auto"/>
                            <w:right w:val="none" w:sz="0" w:space="0" w:color="auto"/>
                          </w:divBdr>
                          <w:divsChild>
                            <w:div w:id="1407721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82267571">
      <w:bodyDiv w:val="1"/>
      <w:marLeft w:val="0"/>
      <w:marRight w:val="0"/>
      <w:marTop w:val="0"/>
      <w:marBottom w:val="0"/>
      <w:divBdr>
        <w:top w:val="none" w:sz="0" w:space="0" w:color="auto"/>
        <w:left w:val="none" w:sz="0" w:space="0" w:color="auto"/>
        <w:bottom w:val="none" w:sz="0" w:space="0" w:color="auto"/>
        <w:right w:val="none" w:sz="0" w:space="0" w:color="auto"/>
      </w:divBdr>
    </w:div>
    <w:div w:id="324742514">
      <w:bodyDiv w:val="1"/>
      <w:marLeft w:val="0"/>
      <w:marRight w:val="0"/>
      <w:marTop w:val="0"/>
      <w:marBottom w:val="0"/>
      <w:divBdr>
        <w:top w:val="none" w:sz="0" w:space="0" w:color="auto"/>
        <w:left w:val="none" w:sz="0" w:space="0" w:color="auto"/>
        <w:bottom w:val="none" w:sz="0" w:space="0" w:color="auto"/>
        <w:right w:val="none" w:sz="0" w:space="0" w:color="auto"/>
      </w:divBdr>
    </w:div>
    <w:div w:id="349531167">
      <w:bodyDiv w:val="1"/>
      <w:marLeft w:val="0"/>
      <w:marRight w:val="0"/>
      <w:marTop w:val="0"/>
      <w:marBottom w:val="0"/>
      <w:divBdr>
        <w:top w:val="none" w:sz="0" w:space="0" w:color="auto"/>
        <w:left w:val="none" w:sz="0" w:space="0" w:color="auto"/>
        <w:bottom w:val="none" w:sz="0" w:space="0" w:color="auto"/>
        <w:right w:val="none" w:sz="0" w:space="0" w:color="auto"/>
      </w:divBdr>
    </w:div>
    <w:div w:id="409428559">
      <w:bodyDiv w:val="1"/>
      <w:marLeft w:val="0"/>
      <w:marRight w:val="0"/>
      <w:marTop w:val="0"/>
      <w:marBottom w:val="0"/>
      <w:divBdr>
        <w:top w:val="none" w:sz="0" w:space="0" w:color="auto"/>
        <w:left w:val="none" w:sz="0" w:space="0" w:color="auto"/>
        <w:bottom w:val="none" w:sz="0" w:space="0" w:color="auto"/>
        <w:right w:val="none" w:sz="0" w:space="0" w:color="auto"/>
      </w:divBdr>
    </w:div>
    <w:div w:id="492455984">
      <w:bodyDiv w:val="1"/>
      <w:marLeft w:val="0"/>
      <w:marRight w:val="0"/>
      <w:marTop w:val="0"/>
      <w:marBottom w:val="0"/>
      <w:divBdr>
        <w:top w:val="none" w:sz="0" w:space="0" w:color="auto"/>
        <w:left w:val="none" w:sz="0" w:space="0" w:color="auto"/>
        <w:bottom w:val="none" w:sz="0" w:space="0" w:color="auto"/>
        <w:right w:val="none" w:sz="0" w:space="0" w:color="auto"/>
      </w:divBdr>
    </w:div>
    <w:div w:id="520123086">
      <w:bodyDiv w:val="1"/>
      <w:marLeft w:val="0"/>
      <w:marRight w:val="0"/>
      <w:marTop w:val="0"/>
      <w:marBottom w:val="0"/>
      <w:divBdr>
        <w:top w:val="none" w:sz="0" w:space="0" w:color="auto"/>
        <w:left w:val="none" w:sz="0" w:space="0" w:color="auto"/>
        <w:bottom w:val="none" w:sz="0" w:space="0" w:color="auto"/>
        <w:right w:val="none" w:sz="0" w:space="0" w:color="auto"/>
      </w:divBdr>
    </w:div>
    <w:div w:id="532041420">
      <w:bodyDiv w:val="1"/>
      <w:marLeft w:val="0"/>
      <w:marRight w:val="0"/>
      <w:marTop w:val="0"/>
      <w:marBottom w:val="0"/>
      <w:divBdr>
        <w:top w:val="none" w:sz="0" w:space="0" w:color="auto"/>
        <w:left w:val="none" w:sz="0" w:space="0" w:color="auto"/>
        <w:bottom w:val="none" w:sz="0" w:space="0" w:color="auto"/>
        <w:right w:val="none" w:sz="0" w:space="0" w:color="auto"/>
      </w:divBdr>
    </w:div>
    <w:div w:id="561644382">
      <w:bodyDiv w:val="1"/>
      <w:marLeft w:val="0"/>
      <w:marRight w:val="0"/>
      <w:marTop w:val="0"/>
      <w:marBottom w:val="0"/>
      <w:divBdr>
        <w:top w:val="none" w:sz="0" w:space="0" w:color="auto"/>
        <w:left w:val="none" w:sz="0" w:space="0" w:color="auto"/>
        <w:bottom w:val="none" w:sz="0" w:space="0" w:color="auto"/>
        <w:right w:val="none" w:sz="0" w:space="0" w:color="auto"/>
      </w:divBdr>
    </w:div>
    <w:div w:id="563879607">
      <w:bodyDiv w:val="1"/>
      <w:marLeft w:val="0"/>
      <w:marRight w:val="0"/>
      <w:marTop w:val="0"/>
      <w:marBottom w:val="0"/>
      <w:divBdr>
        <w:top w:val="none" w:sz="0" w:space="0" w:color="auto"/>
        <w:left w:val="none" w:sz="0" w:space="0" w:color="auto"/>
        <w:bottom w:val="none" w:sz="0" w:space="0" w:color="auto"/>
        <w:right w:val="none" w:sz="0" w:space="0" w:color="auto"/>
      </w:divBdr>
      <w:divsChild>
        <w:div w:id="1163474431">
          <w:marLeft w:val="0"/>
          <w:marRight w:val="0"/>
          <w:marTop w:val="0"/>
          <w:marBottom w:val="0"/>
          <w:divBdr>
            <w:top w:val="none" w:sz="0" w:space="0" w:color="auto"/>
            <w:left w:val="none" w:sz="0" w:space="0" w:color="auto"/>
            <w:bottom w:val="none" w:sz="0" w:space="0" w:color="auto"/>
            <w:right w:val="none" w:sz="0" w:space="0" w:color="auto"/>
          </w:divBdr>
          <w:divsChild>
            <w:div w:id="4320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4263488">
      <w:bodyDiv w:val="1"/>
      <w:marLeft w:val="0"/>
      <w:marRight w:val="0"/>
      <w:marTop w:val="0"/>
      <w:marBottom w:val="0"/>
      <w:divBdr>
        <w:top w:val="none" w:sz="0" w:space="0" w:color="auto"/>
        <w:left w:val="none" w:sz="0" w:space="0" w:color="auto"/>
        <w:bottom w:val="none" w:sz="0" w:space="0" w:color="auto"/>
        <w:right w:val="none" w:sz="0" w:space="0" w:color="auto"/>
      </w:divBdr>
    </w:div>
    <w:div w:id="604191911">
      <w:bodyDiv w:val="1"/>
      <w:marLeft w:val="0"/>
      <w:marRight w:val="0"/>
      <w:marTop w:val="0"/>
      <w:marBottom w:val="0"/>
      <w:divBdr>
        <w:top w:val="none" w:sz="0" w:space="0" w:color="auto"/>
        <w:left w:val="none" w:sz="0" w:space="0" w:color="auto"/>
        <w:bottom w:val="none" w:sz="0" w:space="0" w:color="auto"/>
        <w:right w:val="none" w:sz="0" w:space="0" w:color="auto"/>
      </w:divBdr>
      <w:divsChild>
        <w:div w:id="1721052834">
          <w:marLeft w:val="0"/>
          <w:marRight w:val="0"/>
          <w:marTop w:val="0"/>
          <w:marBottom w:val="0"/>
          <w:divBdr>
            <w:top w:val="none" w:sz="0" w:space="0" w:color="auto"/>
            <w:left w:val="none" w:sz="0" w:space="0" w:color="auto"/>
            <w:bottom w:val="none" w:sz="0" w:space="0" w:color="auto"/>
            <w:right w:val="none" w:sz="0" w:space="0" w:color="auto"/>
          </w:divBdr>
          <w:divsChild>
            <w:div w:id="978875209">
              <w:marLeft w:val="0"/>
              <w:marRight w:val="0"/>
              <w:marTop w:val="0"/>
              <w:marBottom w:val="0"/>
              <w:divBdr>
                <w:top w:val="none" w:sz="0" w:space="0" w:color="auto"/>
                <w:left w:val="none" w:sz="0" w:space="0" w:color="auto"/>
                <w:bottom w:val="none" w:sz="0" w:space="0" w:color="auto"/>
                <w:right w:val="none" w:sz="0" w:space="0" w:color="auto"/>
              </w:divBdr>
            </w:div>
          </w:divsChild>
        </w:div>
        <w:div w:id="861091648">
          <w:marLeft w:val="0"/>
          <w:marRight w:val="0"/>
          <w:marTop w:val="0"/>
          <w:marBottom w:val="0"/>
          <w:divBdr>
            <w:top w:val="none" w:sz="0" w:space="0" w:color="auto"/>
            <w:left w:val="none" w:sz="0" w:space="0" w:color="auto"/>
            <w:bottom w:val="none" w:sz="0" w:space="0" w:color="auto"/>
            <w:right w:val="none" w:sz="0" w:space="0" w:color="auto"/>
          </w:divBdr>
          <w:divsChild>
            <w:div w:id="1366982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8335472">
      <w:bodyDiv w:val="1"/>
      <w:marLeft w:val="0"/>
      <w:marRight w:val="0"/>
      <w:marTop w:val="0"/>
      <w:marBottom w:val="0"/>
      <w:divBdr>
        <w:top w:val="none" w:sz="0" w:space="0" w:color="auto"/>
        <w:left w:val="none" w:sz="0" w:space="0" w:color="auto"/>
        <w:bottom w:val="none" w:sz="0" w:space="0" w:color="auto"/>
        <w:right w:val="none" w:sz="0" w:space="0" w:color="auto"/>
      </w:divBdr>
    </w:div>
    <w:div w:id="934096214">
      <w:bodyDiv w:val="1"/>
      <w:marLeft w:val="0"/>
      <w:marRight w:val="0"/>
      <w:marTop w:val="0"/>
      <w:marBottom w:val="0"/>
      <w:divBdr>
        <w:top w:val="none" w:sz="0" w:space="0" w:color="auto"/>
        <w:left w:val="none" w:sz="0" w:space="0" w:color="auto"/>
        <w:bottom w:val="none" w:sz="0" w:space="0" w:color="auto"/>
        <w:right w:val="none" w:sz="0" w:space="0" w:color="auto"/>
      </w:divBdr>
    </w:div>
    <w:div w:id="936133522">
      <w:bodyDiv w:val="1"/>
      <w:marLeft w:val="0"/>
      <w:marRight w:val="0"/>
      <w:marTop w:val="0"/>
      <w:marBottom w:val="0"/>
      <w:divBdr>
        <w:top w:val="none" w:sz="0" w:space="0" w:color="auto"/>
        <w:left w:val="none" w:sz="0" w:space="0" w:color="auto"/>
        <w:bottom w:val="none" w:sz="0" w:space="0" w:color="auto"/>
        <w:right w:val="none" w:sz="0" w:space="0" w:color="auto"/>
      </w:divBdr>
    </w:div>
    <w:div w:id="979771566">
      <w:bodyDiv w:val="1"/>
      <w:marLeft w:val="0"/>
      <w:marRight w:val="0"/>
      <w:marTop w:val="0"/>
      <w:marBottom w:val="0"/>
      <w:divBdr>
        <w:top w:val="none" w:sz="0" w:space="0" w:color="auto"/>
        <w:left w:val="none" w:sz="0" w:space="0" w:color="auto"/>
        <w:bottom w:val="none" w:sz="0" w:space="0" w:color="auto"/>
        <w:right w:val="none" w:sz="0" w:space="0" w:color="auto"/>
      </w:divBdr>
    </w:div>
    <w:div w:id="1024524421">
      <w:bodyDiv w:val="1"/>
      <w:marLeft w:val="0"/>
      <w:marRight w:val="0"/>
      <w:marTop w:val="0"/>
      <w:marBottom w:val="0"/>
      <w:divBdr>
        <w:top w:val="none" w:sz="0" w:space="0" w:color="auto"/>
        <w:left w:val="none" w:sz="0" w:space="0" w:color="auto"/>
        <w:bottom w:val="none" w:sz="0" w:space="0" w:color="auto"/>
        <w:right w:val="none" w:sz="0" w:space="0" w:color="auto"/>
      </w:divBdr>
    </w:div>
    <w:div w:id="1049115023">
      <w:bodyDiv w:val="1"/>
      <w:marLeft w:val="0"/>
      <w:marRight w:val="0"/>
      <w:marTop w:val="0"/>
      <w:marBottom w:val="0"/>
      <w:divBdr>
        <w:top w:val="none" w:sz="0" w:space="0" w:color="auto"/>
        <w:left w:val="none" w:sz="0" w:space="0" w:color="auto"/>
        <w:bottom w:val="none" w:sz="0" w:space="0" w:color="auto"/>
        <w:right w:val="none" w:sz="0" w:space="0" w:color="auto"/>
      </w:divBdr>
    </w:div>
    <w:div w:id="1056079088">
      <w:bodyDiv w:val="1"/>
      <w:marLeft w:val="0"/>
      <w:marRight w:val="0"/>
      <w:marTop w:val="0"/>
      <w:marBottom w:val="0"/>
      <w:divBdr>
        <w:top w:val="none" w:sz="0" w:space="0" w:color="auto"/>
        <w:left w:val="none" w:sz="0" w:space="0" w:color="auto"/>
        <w:bottom w:val="none" w:sz="0" w:space="0" w:color="auto"/>
        <w:right w:val="none" w:sz="0" w:space="0" w:color="auto"/>
      </w:divBdr>
    </w:div>
    <w:div w:id="1059062322">
      <w:bodyDiv w:val="1"/>
      <w:marLeft w:val="0"/>
      <w:marRight w:val="0"/>
      <w:marTop w:val="0"/>
      <w:marBottom w:val="0"/>
      <w:divBdr>
        <w:top w:val="none" w:sz="0" w:space="0" w:color="auto"/>
        <w:left w:val="none" w:sz="0" w:space="0" w:color="auto"/>
        <w:bottom w:val="none" w:sz="0" w:space="0" w:color="auto"/>
        <w:right w:val="none" w:sz="0" w:space="0" w:color="auto"/>
      </w:divBdr>
    </w:div>
    <w:div w:id="1088309221">
      <w:bodyDiv w:val="1"/>
      <w:marLeft w:val="0"/>
      <w:marRight w:val="0"/>
      <w:marTop w:val="0"/>
      <w:marBottom w:val="0"/>
      <w:divBdr>
        <w:top w:val="none" w:sz="0" w:space="0" w:color="auto"/>
        <w:left w:val="none" w:sz="0" w:space="0" w:color="auto"/>
        <w:bottom w:val="none" w:sz="0" w:space="0" w:color="auto"/>
        <w:right w:val="none" w:sz="0" w:space="0" w:color="auto"/>
      </w:divBdr>
    </w:div>
    <w:div w:id="1097597403">
      <w:bodyDiv w:val="1"/>
      <w:marLeft w:val="0"/>
      <w:marRight w:val="0"/>
      <w:marTop w:val="0"/>
      <w:marBottom w:val="0"/>
      <w:divBdr>
        <w:top w:val="none" w:sz="0" w:space="0" w:color="auto"/>
        <w:left w:val="none" w:sz="0" w:space="0" w:color="auto"/>
        <w:bottom w:val="none" w:sz="0" w:space="0" w:color="auto"/>
        <w:right w:val="none" w:sz="0" w:space="0" w:color="auto"/>
      </w:divBdr>
      <w:divsChild>
        <w:div w:id="1744519882">
          <w:marLeft w:val="0"/>
          <w:marRight w:val="0"/>
          <w:marTop w:val="0"/>
          <w:marBottom w:val="0"/>
          <w:divBdr>
            <w:top w:val="none" w:sz="0" w:space="0" w:color="auto"/>
            <w:left w:val="none" w:sz="0" w:space="0" w:color="auto"/>
            <w:bottom w:val="none" w:sz="0" w:space="0" w:color="auto"/>
            <w:right w:val="none" w:sz="0" w:space="0" w:color="auto"/>
          </w:divBdr>
          <w:divsChild>
            <w:div w:id="1401050924">
              <w:marLeft w:val="0"/>
              <w:marRight w:val="0"/>
              <w:marTop w:val="0"/>
              <w:marBottom w:val="0"/>
              <w:divBdr>
                <w:top w:val="none" w:sz="0" w:space="0" w:color="auto"/>
                <w:left w:val="none" w:sz="0" w:space="0" w:color="auto"/>
                <w:bottom w:val="none" w:sz="0" w:space="0" w:color="auto"/>
                <w:right w:val="none" w:sz="0" w:space="0" w:color="auto"/>
              </w:divBdr>
            </w:div>
          </w:divsChild>
        </w:div>
        <w:div w:id="2071878504">
          <w:marLeft w:val="0"/>
          <w:marRight w:val="0"/>
          <w:marTop w:val="0"/>
          <w:marBottom w:val="0"/>
          <w:divBdr>
            <w:top w:val="none" w:sz="0" w:space="0" w:color="auto"/>
            <w:left w:val="none" w:sz="0" w:space="0" w:color="auto"/>
            <w:bottom w:val="none" w:sz="0" w:space="0" w:color="auto"/>
            <w:right w:val="none" w:sz="0" w:space="0" w:color="auto"/>
          </w:divBdr>
          <w:divsChild>
            <w:div w:id="80101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4039936">
      <w:bodyDiv w:val="1"/>
      <w:marLeft w:val="0"/>
      <w:marRight w:val="0"/>
      <w:marTop w:val="0"/>
      <w:marBottom w:val="0"/>
      <w:divBdr>
        <w:top w:val="none" w:sz="0" w:space="0" w:color="auto"/>
        <w:left w:val="none" w:sz="0" w:space="0" w:color="auto"/>
        <w:bottom w:val="none" w:sz="0" w:space="0" w:color="auto"/>
        <w:right w:val="none" w:sz="0" w:space="0" w:color="auto"/>
      </w:divBdr>
    </w:div>
    <w:div w:id="1151942920">
      <w:bodyDiv w:val="1"/>
      <w:marLeft w:val="0"/>
      <w:marRight w:val="0"/>
      <w:marTop w:val="0"/>
      <w:marBottom w:val="0"/>
      <w:divBdr>
        <w:top w:val="none" w:sz="0" w:space="0" w:color="auto"/>
        <w:left w:val="none" w:sz="0" w:space="0" w:color="auto"/>
        <w:bottom w:val="none" w:sz="0" w:space="0" w:color="auto"/>
        <w:right w:val="none" w:sz="0" w:space="0" w:color="auto"/>
      </w:divBdr>
    </w:div>
    <w:div w:id="1217858781">
      <w:bodyDiv w:val="1"/>
      <w:marLeft w:val="0"/>
      <w:marRight w:val="0"/>
      <w:marTop w:val="0"/>
      <w:marBottom w:val="0"/>
      <w:divBdr>
        <w:top w:val="none" w:sz="0" w:space="0" w:color="auto"/>
        <w:left w:val="none" w:sz="0" w:space="0" w:color="auto"/>
        <w:bottom w:val="none" w:sz="0" w:space="0" w:color="auto"/>
        <w:right w:val="none" w:sz="0" w:space="0" w:color="auto"/>
      </w:divBdr>
    </w:div>
    <w:div w:id="1308777488">
      <w:bodyDiv w:val="1"/>
      <w:marLeft w:val="0"/>
      <w:marRight w:val="0"/>
      <w:marTop w:val="0"/>
      <w:marBottom w:val="0"/>
      <w:divBdr>
        <w:top w:val="none" w:sz="0" w:space="0" w:color="auto"/>
        <w:left w:val="none" w:sz="0" w:space="0" w:color="auto"/>
        <w:bottom w:val="none" w:sz="0" w:space="0" w:color="auto"/>
        <w:right w:val="none" w:sz="0" w:space="0" w:color="auto"/>
      </w:divBdr>
    </w:div>
    <w:div w:id="1318067914">
      <w:bodyDiv w:val="1"/>
      <w:marLeft w:val="0"/>
      <w:marRight w:val="0"/>
      <w:marTop w:val="0"/>
      <w:marBottom w:val="0"/>
      <w:divBdr>
        <w:top w:val="none" w:sz="0" w:space="0" w:color="auto"/>
        <w:left w:val="none" w:sz="0" w:space="0" w:color="auto"/>
        <w:bottom w:val="none" w:sz="0" w:space="0" w:color="auto"/>
        <w:right w:val="none" w:sz="0" w:space="0" w:color="auto"/>
      </w:divBdr>
    </w:div>
    <w:div w:id="1338266314">
      <w:bodyDiv w:val="1"/>
      <w:marLeft w:val="0"/>
      <w:marRight w:val="0"/>
      <w:marTop w:val="0"/>
      <w:marBottom w:val="0"/>
      <w:divBdr>
        <w:top w:val="none" w:sz="0" w:space="0" w:color="auto"/>
        <w:left w:val="none" w:sz="0" w:space="0" w:color="auto"/>
        <w:bottom w:val="none" w:sz="0" w:space="0" w:color="auto"/>
        <w:right w:val="none" w:sz="0" w:space="0" w:color="auto"/>
      </w:divBdr>
      <w:divsChild>
        <w:div w:id="1911230023">
          <w:marLeft w:val="0"/>
          <w:marRight w:val="0"/>
          <w:marTop w:val="0"/>
          <w:marBottom w:val="0"/>
          <w:divBdr>
            <w:top w:val="none" w:sz="0" w:space="0" w:color="auto"/>
            <w:left w:val="none" w:sz="0" w:space="0" w:color="auto"/>
            <w:bottom w:val="none" w:sz="0" w:space="0" w:color="auto"/>
            <w:right w:val="none" w:sz="0" w:space="0" w:color="auto"/>
          </w:divBdr>
          <w:divsChild>
            <w:div w:id="2020887290">
              <w:marLeft w:val="0"/>
              <w:marRight w:val="0"/>
              <w:marTop w:val="0"/>
              <w:marBottom w:val="0"/>
              <w:divBdr>
                <w:top w:val="none" w:sz="0" w:space="0" w:color="auto"/>
                <w:left w:val="none" w:sz="0" w:space="0" w:color="auto"/>
                <w:bottom w:val="none" w:sz="0" w:space="0" w:color="auto"/>
                <w:right w:val="none" w:sz="0" w:space="0" w:color="auto"/>
              </w:divBdr>
              <w:divsChild>
                <w:div w:id="1744637856">
                  <w:marLeft w:val="0"/>
                  <w:marRight w:val="0"/>
                  <w:marTop w:val="0"/>
                  <w:marBottom w:val="0"/>
                  <w:divBdr>
                    <w:top w:val="none" w:sz="0" w:space="0" w:color="auto"/>
                    <w:left w:val="none" w:sz="0" w:space="0" w:color="auto"/>
                    <w:bottom w:val="none" w:sz="0" w:space="0" w:color="auto"/>
                    <w:right w:val="none" w:sz="0" w:space="0" w:color="auto"/>
                  </w:divBdr>
                  <w:divsChild>
                    <w:div w:id="811143318">
                      <w:marLeft w:val="0"/>
                      <w:marRight w:val="0"/>
                      <w:marTop w:val="0"/>
                      <w:marBottom w:val="0"/>
                      <w:divBdr>
                        <w:top w:val="none" w:sz="0" w:space="0" w:color="auto"/>
                        <w:left w:val="none" w:sz="0" w:space="0" w:color="auto"/>
                        <w:bottom w:val="none" w:sz="0" w:space="0" w:color="auto"/>
                        <w:right w:val="none" w:sz="0" w:space="0" w:color="auto"/>
                      </w:divBdr>
                      <w:divsChild>
                        <w:div w:id="67389259">
                          <w:marLeft w:val="0"/>
                          <w:marRight w:val="0"/>
                          <w:marTop w:val="0"/>
                          <w:marBottom w:val="0"/>
                          <w:divBdr>
                            <w:top w:val="none" w:sz="0" w:space="0" w:color="auto"/>
                            <w:left w:val="none" w:sz="0" w:space="0" w:color="auto"/>
                            <w:bottom w:val="none" w:sz="0" w:space="0" w:color="auto"/>
                            <w:right w:val="none" w:sz="0" w:space="0" w:color="auto"/>
                          </w:divBdr>
                          <w:divsChild>
                            <w:div w:id="1496071676">
                              <w:marLeft w:val="0"/>
                              <w:marRight w:val="0"/>
                              <w:marTop w:val="0"/>
                              <w:marBottom w:val="0"/>
                              <w:divBdr>
                                <w:top w:val="none" w:sz="0" w:space="0" w:color="auto"/>
                                <w:left w:val="none" w:sz="0" w:space="0" w:color="auto"/>
                                <w:bottom w:val="none" w:sz="0" w:space="0" w:color="auto"/>
                                <w:right w:val="none" w:sz="0" w:space="0" w:color="auto"/>
                              </w:divBdr>
                              <w:divsChild>
                                <w:div w:id="686324296">
                                  <w:marLeft w:val="0"/>
                                  <w:marRight w:val="0"/>
                                  <w:marTop w:val="0"/>
                                  <w:marBottom w:val="0"/>
                                  <w:divBdr>
                                    <w:top w:val="none" w:sz="0" w:space="0" w:color="auto"/>
                                    <w:left w:val="none" w:sz="0" w:space="0" w:color="auto"/>
                                    <w:bottom w:val="none" w:sz="0" w:space="0" w:color="auto"/>
                                    <w:right w:val="none" w:sz="0" w:space="0" w:color="auto"/>
                                  </w:divBdr>
                                  <w:divsChild>
                                    <w:div w:id="917397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36933659">
          <w:marLeft w:val="0"/>
          <w:marRight w:val="0"/>
          <w:marTop w:val="0"/>
          <w:marBottom w:val="0"/>
          <w:divBdr>
            <w:top w:val="none" w:sz="0" w:space="0" w:color="auto"/>
            <w:left w:val="none" w:sz="0" w:space="0" w:color="auto"/>
            <w:bottom w:val="none" w:sz="0" w:space="0" w:color="auto"/>
            <w:right w:val="none" w:sz="0" w:space="0" w:color="auto"/>
          </w:divBdr>
          <w:divsChild>
            <w:div w:id="646932896">
              <w:marLeft w:val="0"/>
              <w:marRight w:val="0"/>
              <w:marTop w:val="0"/>
              <w:marBottom w:val="0"/>
              <w:divBdr>
                <w:top w:val="none" w:sz="0" w:space="0" w:color="auto"/>
                <w:left w:val="none" w:sz="0" w:space="0" w:color="auto"/>
                <w:bottom w:val="none" w:sz="0" w:space="0" w:color="auto"/>
                <w:right w:val="none" w:sz="0" w:space="0" w:color="auto"/>
              </w:divBdr>
              <w:divsChild>
                <w:div w:id="2024086608">
                  <w:marLeft w:val="0"/>
                  <w:marRight w:val="0"/>
                  <w:marTop w:val="0"/>
                  <w:marBottom w:val="0"/>
                  <w:divBdr>
                    <w:top w:val="none" w:sz="0" w:space="0" w:color="auto"/>
                    <w:left w:val="none" w:sz="0" w:space="0" w:color="auto"/>
                    <w:bottom w:val="none" w:sz="0" w:space="0" w:color="auto"/>
                    <w:right w:val="none" w:sz="0" w:space="0" w:color="auto"/>
                  </w:divBdr>
                  <w:divsChild>
                    <w:div w:id="107312756">
                      <w:marLeft w:val="0"/>
                      <w:marRight w:val="0"/>
                      <w:marTop w:val="0"/>
                      <w:marBottom w:val="0"/>
                      <w:divBdr>
                        <w:top w:val="none" w:sz="0" w:space="0" w:color="auto"/>
                        <w:left w:val="none" w:sz="0" w:space="0" w:color="auto"/>
                        <w:bottom w:val="none" w:sz="0" w:space="0" w:color="auto"/>
                        <w:right w:val="none" w:sz="0" w:space="0" w:color="auto"/>
                      </w:divBdr>
                      <w:divsChild>
                        <w:div w:id="1846093930">
                          <w:marLeft w:val="0"/>
                          <w:marRight w:val="0"/>
                          <w:marTop w:val="0"/>
                          <w:marBottom w:val="0"/>
                          <w:divBdr>
                            <w:top w:val="none" w:sz="0" w:space="0" w:color="auto"/>
                            <w:left w:val="none" w:sz="0" w:space="0" w:color="auto"/>
                            <w:bottom w:val="none" w:sz="0" w:space="0" w:color="auto"/>
                            <w:right w:val="none" w:sz="0" w:space="0" w:color="auto"/>
                          </w:divBdr>
                          <w:divsChild>
                            <w:div w:id="226301246">
                              <w:marLeft w:val="0"/>
                              <w:marRight w:val="0"/>
                              <w:marTop w:val="0"/>
                              <w:marBottom w:val="0"/>
                              <w:divBdr>
                                <w:top w:val="none" w:sz="0" w:space="0" w:color="auto"/>
                                <w:left w:val="none" w:sz="0" w:space="0" w:color="auto"/>
                                <w:bottom w:val="none" w:sz="0" w:space="0" w:color="auto"/>
                                <w:right w:val="none" w:sz="0" w:space="0" w:color="auto"/>
                              </w:divBdr>
                              <w:divsChild>
                                <w:div w:id="1264142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7136658">
          <w:marLeft w:val="0"/>
          <w:marRight w:val="0"/>
          <w:marTop w:val="0"/>
          <w:marBottom w:val="0"/>
          <w:divBdr>
            <w:top w:val="none" w:sz="0" w:space="0" w:color="auto"/>
            <w:left w:val="none" w:sz="0" w:space="0" w:color="auto"/>
            <w:bottom w:val="none" w:sz="0" w:space="0" w:color="auto"/>
            <w:right w:val="none" w:sz="0" w:space="0" w:color="auto"/>
          </w:divBdr>
          <w:divsChild>
            <w:div w:id="14775166">
              <w:marLeft w:val="0"/>
              <w:marRight w:val="0"/>
              <w:marTop w:val="0"/>
              <w:marBottom w:val="0"/>
              <w:divBdr>
                <w:top w:val="none" w:sz="0" w:space="0" w:color="auto"/>
                <w:left w:val="none" w:sz="0" w:space="0" w:color="auto"/>
                <w:bottom w:val="none" w:sz="0" w:space="0" w:color="auto"/>
                <w:right w:val="none" w:sz="0" w:space="0" w:color="auto"/>
              </w:divBdr>
              <w:divsChild>
                <w:div w:id="1232697129">
                  <w:marLeft w:val="0"/>
                  <w:marRight w:val="0"/>
                  <w:marTop w:val="0"/>
                  <w:marBottom w:val="0"/>
                  <w:divBdr>
                    <w:top w:val="none" w:sz="0" w:space="0" w:color="auto"/>
                    <w:left w:val="none" w:sz="0" w:space="0" w:color="auto"/>
                    <w:bottom w:val="none" w:sz="0" w:space="0" w:color="auto"/>
                    <w:right w:val="none" w:sz="0" w:space="0" w:color="auto"/>
                  </w:divBdr>
                  <w:divsChild>
                    <w:div w:id="1359695072">
                      <w:marLeft w:val="0"/>
                      <w:marRight w:val="0"/>
                      <w:marTop w:val="0"/>
                      <w:marBottom w:val="0"/>
                      <w:divBdr>
                        <w:top w:val="none" w:sz="0" w:space="0" w:color="auto"/>
                        <w:left w:val="none" w:sz="0" w:space="0" w:color="auto"/>
                        <w:bottom w:val="none" w:sz="0" w:space="0" w:color="auto"/>
                        <w:right w:val="none" w:sz="0" w:space="0" w:color="auto"/>
                      </w:divBdr>
                      <w:divsChild>
                        <w:div w:id="1411852813">
                          <w:marLeft w:val="0"/>
                          <w:marRight w:val="0"/>
                          <w:marTop w:val="0"/>
                          <w:marBottom w:val="0"/>
                          <w:divBdr>
                            <w:top w:val="none" w:sz="0" w:space="0" w:color="auto"/>
                            <w:left w:val="none" w:sz="0" w:space="0" w:color="auto"/>
                            <w:bottom w:val="none" w:sz="0" w:space="0" w:color="auto"/>
                            <w:right w:val="none" w:sz="0" w:space="0" w:color="auto"/>
                          </w:divBdr>
                          <w:divsChild>
                            <w:div w:id="1755123592">
                              <w:marLeft w:val="0"/>
                              <w:marRight w:val="0"/>
                              <w:marTop w:val="0"/>
                              <w:marBottom w:val="0"/>
                              <w:divBdr>
                                <w:top w:val="none" w:sz="0" w:space="0" w:color="auto"/>
                                <w:left w:val="none" w:sz="0" w:space="0" w:color="auto"/>
                                <w:bottom w:val="none" w:sz="0" w:space="0" w:color="auto"/>
                                <w:right w:val="none" w:sz="0" w:space="0" w:color="auto"/>
                              </w:divBdr>
                              <w:divsChild>
                                <w:div w:id="2086107805">
                                  <w:marLeft w:val="0"/>
                                  <w:marRight w:val="0"/>
                                  <w:marTop w:val="0"/>
                                  <w:marBottom w:val="0"/>
                                  <w:divBdr>
                                    <w:top w:val="none" w:sz="0" w:space="0" w:color="auto"/>
                                    <w:left w:val="none" w:sz="0" w:space="0" w:color="auto"/>
                                    <w:bottom w:val="none" w:sz="0" w:space="0" w:color="auto"/>
                                    <w:right w:val="none" w:sz="0" w:space="0" w:color="auto"/>
                                  </w:divBdr>
                                  <w:divsChild>
                                    <w:div w:id="952906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09569299">
          <w:marLeft w:val="0"/>
          <w:marRight w:val="0"/>
          <w:marTop w:val="0"/>
          <w:marBottom w:val="0"/>
          <w:divBdr>
            <w:top w:val="none" w:sz="0" w:space="0" w:color="auto"/>
            <w:left w:val="none" w:sz="0" w:space="0" w:color="auto"/>
            <w:bottom w:val="none" w:sz="0" w:space="0" w:color="auto"/>
            <w:right w:val="none" w:sz="0" w:space="0" w:color="auto"/>
          </w:divBdr>
          <w:divsChild>
            <w:div w:id="1029792135">
              <w:marLeft w:val="0"/>
              <w:marRight w:val="0"/>
              <w:marTop w:val="0"/>
              <w:marBottom w:val="0"/>
              <w:divBdr>
                <w:top w:val="none" w:sz="0" w:space="0" w:color="auto"/>
                <w:left w:val="none" w:sz="0" w:space="0" w:color="auto"/>
                <w:bottom w:val="none" w:sz="0" w:space="0" w:color="auto"/>
                <w:right w:val="none" w:sz="0" w:space="0" w:color="auto"/>
              </w:divBdr>
              <w:divsChild>
                <w:div w:id="1025670571">
                  <w:marLeft w:val="0"/>
                  <w:marRight w:val="0"/>
                  <w:marTop w:val="0"/>
                  <w:marBottom w:val="0"/>
                  <w:divBdr>
                    <w:top w:val="none" w:sz="0" w:space="0" w:color="auto"/>
                    <w:left w:val="none" w:sz="0" w:space="0" w:color="auto"/>
                    <w:bottom w:val="none" w:sz="0" w:space="0" w:color="auto"/>
                    <w:right w:val="none" w:sz="0" w:space="0" w:color="auto"/>
                  </w:divBdr>
                  <w:divsChild>
                    <w:div w:id="2073695709">
                      <w:marLeft w:val="0"/>
                      <w:marRight w:val="0"/>
                      <w:marTop w:val="0"/>
                      <w:marBottom w:val="0"/>
                      <w:divBdr>
                        <w:top w:val="none" w:sz="0" w:space="0" w:color="auto"/>
                        <w:left w:val="none" w:sz="0" w:space="0" w:color="auto"/>
                        <w:bottom w:val="none" w:sz="0" w:space="0" w:color="auto"/>
                        <w:right w:val="none" w:sz="0" w:space="0" w:color="auto"/>
                      </w:divBdr>
                      <w:divsChild>
                        <w:div w:id="1861506407">
                          <w:marLeft w:val="0"/>
                          <w:marRight w:val="0"/>
                          <w:marTop w:val="0"/>
                          <w:marBottom w:val="0"/>
                          <w:divBdr>
                            <w:top w:val="none" w:sz="0" w:space="0" w:color="auto"/>
                            <w:left w:val="none" w:sz="0" w:space="0" w:color="auto"/>
                            <w:bottom w:val="none" w:sz="0" w:space="0" w:color="auto"/>
                            <w:right w:val="none" w:sz="0" w:space="0" w:color="auto"/>
                          </w:divBdr>
                          <w:divsChild>
                            <w:div w:id="1509294206">
                              <w:marLeft w:val="0"/>
                              <w:marRight w:val="0"/>
                              <w:marTop w:val="0"/>
                              <w:marBottom w:val="0"/>
                              <w:divBdr>
                                <w:top w:val="none" w:sz="0" w:space="0" w:color="auto"/>
                                <w:left w:val="none" w:sz="0" w:space="0" w:color="auto"/>
                                <w:bottom w:val="none" w:sz="0" w:space="0" w:color="auto"/>
                                <w:right w:val="none" w:sz="0" w:space="0" w:color="auto"/>
                              </w:divBdr>
                              <w:divsChild>
                                <w:div w:id="5026247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9048793">
          <w:marLeft w:val="0"/>
          <w:marRight w:val="0"/>
          <w:marTop w:val="0"/>
          <w:marBottom w:val="0"/>
          <w:divBdr>
            <w:top w:val="none" w:sz="0" w:space="0" w:color="auto"/>
            <w:left w:val="none" w:sz="0" w:space="0" w:color="auto"/>
            <w:bottom w:val="none" w:sz="0" w:space="0" w:color="auto"/>
            <w:right w:val="none" w:sz="0" w:space="0" w:color="auto"/>
          </w:divBdr>
          <w:divsChild>
            <w:div w:id="1287201594">
              <w:marLeft w:val="0"/>
              <w:marRight w:val="0"/>
              <w:marTop w:val="0"/>
              <w:marBottom w:val="0"/>
              <w:divBdr>
                <w:top w:val="none" w:sz="0" w:space="0" w:color="auto"/>
                <w:left w:val="none" w:sz="0" w:space="0" w:color="auto"/>
                <w:bottom w:val="none" w:sz="0" w:space="0" w:color="auto"/>
                <w:right w:val="none" w:sz="0" w:space="0" w:color="auto"/>
              </w:divBdr>
              <w:divsChild>
                <w:div w:id="1671639632">
                  <w:marLeft w:val="0"/>
                  <w:marRight w:val="0"/>
                  <w:marTop w:val="0"/>
                  <w:marBottom w:val="0"/>
                  <w:divBdr>
                    <w:top w:val="none" w:sz="0" w:space="0" w:color="auto"/>
                    <w:left w:val="none" w:sz="0" w:space="0" w:color="auto"/>
                    <w:bottom w:val="none" w:sz="0" w:space="0" w:color="auto"/>
                    <w:right w:val="none" w:sz="0" w:space="0" w:color="auto"/>
                  </w:divBdr>
                  <w:divsChild>
                    <w:div w:id="1746300021">
                      <w:marLeft w:val="0"/>
                      <w:marRight w:val="0"/>
                      <w:marTop w:val="0"/>
                      <w:marBottom w:val="0"/>
                      <w:divBdr>
                        <w:top w:val="none" w:sz="0" w:space="0" w:color="auto"/>
                        <w:left w:val="none" w:sz="0" w:space="0" w:color="auto"/>
                        <w:bottom w:val="none" w:sz="0" w:space="0" w:color="auto"/>
                        <w:right w:val="none" w:sz="0" w:space="0" w:color="auto"/>
                      </w:divBdr>
                      <w:divsChild>
                        <w:div w:id="1113287727">
                          <w:marLeft w:val="0"/>
                          <w:marRight w:val="0"/>
                          <w:marTop w:val="0"/>
                          <w:marBottom w:val="0"/>
                          <w:divBdr>
                            <w:top w:val="none" w:sz="0" w:space="0" w:color="auto"/>
                            <w:left w:val="none" w:sz="0" w:space="0" w:color="auto"/>
                            <w:bottom w:val="none" w:sz="0" w:space="0" w:color="auto"/>
                            <w:right w:val="none" w:sz="0" w:space="0" w:color="auto"/>
                          </w:divBdr>
                          <w:divsChild>
                            <w:div w:id="3481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7024367">
      <w:bodyDiv w:val="1"/>
      <w:marLeft w:val="0"/>
      <w:marRight w:val="0"/>
      <w:marTop w:val="0"/>
      <w:marBottom w:val="0"/>
      <w:divBdr>
        <w:top w:val="none" w:sz="0" w:space="0" w:color="auto"/>
        <w:left w:val="none" w:sz="0" w:space="0" w:color="auto"/>
        <w:bottom w:val="none" w:sz="0" w:space="0" w:color="auto"/>
        <w:right w:val="none" w:sz="0" w:space="0" w:color="auto"/>
      </w:divBdr>
    </w:div>
    <w:div w:id="1477145711">
      <w:bodyDiv w:val="1"/>
      <w:marLeft w:val="0"/>
      <w:marRight w:val="0"/>
      <w:marTop w:val="0"/>
      <w:marBottom w:val="0"/>
      <w:divBdr>
        <w:top w:val="none" w:sz="0" w:space="0" w:color="auto"/>
        <w:left w:val="none" w:sz="0" w:space="0" w:color="auto"/>
        <w:bottom w:val="none" w:sz="0" w:space="0" w:color="auto"/>
        <w:right w:val="none" w:sz="0" w:space="0" w:color="auto"/>
      </w:divBdr>
    </w:div>
    <w:div w:id="1524050690">
      <w:bodyDiv w:val="1"/>
      <w:marLeft w:val="0"/>
      <w:marRight w:val="0"/>
      <w:marTop w:val="0"/>
      <w:marBottom w:val="0"/>
      <w:divBdr>
        <w:top w:val="none" w:sz="0" w:space="0" w:color="auto"/>
        <w:left w:val="none" w:sz="0" w:space="0" w:color="auto"/>
        <w:bottom w:val="none" w:sz="0" w:space="0" w:color="auto"/>
        <w:right w:val="none" w:sz="0" w:space="0" w:color="auto"/>
      </w:divBdr>
    </w:div>
    <w:div w:id="1527786455">
      <w:bodyDiv w:val="1"/>
      <w:marLeft w:val="0"/>
      <w:marRight w:val="0"/>
      <w:marTop w:val="0"/>
      <w:marBottom w:val="0"/>
      <w:divBdr>
        <w:top w:val="none" w:sz="0" w:space="0" w:color="auto"/>
        <w:left w:val="none" w:sz="0" w:space="0" w:color="auto"/>
        <w:bottom w:val="none" w:sz="0" w:space="0" w:color="auto"/>
        <w:right w:val="none" w:sz="0" w:space="0" w:color="auto"/>
      </w:divBdr>
    </w:div>
    <w:div w:id="1536430530">
      <w:bodyDiv w:val="1"/>
      <w:marLeft w:val="0"/>
      <w:marRight w:val="0"/>
      <w:marTop w:val="0"/>
      <w:marBottom w:val="0"/>
      <w:divBdr>
        <w:top w:val="none" w:sz="0" w:space="0" w:color="auto"/>
        <w:left w:val="none" w:sz="0" w:space="0" w:color="auto"/>
        <w:bottom w:val="none" w:sz="0" w:space="0" w:color="auto"/>
        <w:right w:val="none" w:sz="0" w:space="0" w:color="auto"/>
      </w:divBdr>
    </w:div>
    <w:div w:id="1537543038">
      <w:bodyDiv w:val="1"/>
      <w:marLeft w:val="0"/>
      <w:marRight w:val="0"/>
      <w:marTop w:val="0"/>
      <w:marBottom w:val="0"/>
      <w:divBdr>
        <w:top w:val="none" w:sz="0" w:space="0" w:color="auto"/>
        <w:left w:val="none" w:sz="0" w:space="0" w:color="auto"/>
        <w:bottom w:val="none" w:sz="0" w:space="0" w:color="auto"/>
        <w:right w:val="none" w:sz="0" w:space="0" w:color="auto"/>
      </w:divBdr>
    </w:div>
    <w:div w:id="1551066998">
      <w:bodyDiv w:val="1"/>
      <w:marLeft w:val="0"/>
      <w:marRight w:val="0"/>
      <w:marTop w:val="0"/>
      <w:marBottom w:val="0"/>
      <w:divBdr>
        <w:top w:val="none" w:sz="0" w:space="0" w:color="auto"/>
        <w:left w:val="none" w:sz="0" w:space="0" w:color="auto"/>
        <w:bottom w:val="none" w:sz="0" w:space="0" w:color="auto"/>
        <w:right w:val="none" w:sz="0" w:space="0" w:color="auto"/>
      </w:divBdr>
    </w:div>
    <w:div w:id="1635594919">
      <w:bodyDiv w:val="1"/>
      <w:marLeft w:val="0"/>
      <w:marRight w:val="0"/>
      <w:marTop w:val="0"/>
      <w:marBottom w:val="0"/>
      <w:divBdr>
        <w:top w:val="none" w:sz="0" w:space="0" w:color="auto"/>
        <w:left w:val="none" w:sz="0" w:space="0" w:color="auto"/>
        <w:bottom w:val="none" w:sz="0" w:space="0" w:color="auto"/>
        <w:right w:val="none" w:sz="0" w:space="0" w:color="auto"/>
      </w:divBdr>
    </w:div>
    <w:div w:id="1774007257">
      <w:bodyDiv w:val="1"/>
      <w:marLeft w:val="0"/>
      <w:marRight w:val="0"/>
      <w:marTop w:val="0"/>
      <w:marBottom w:val="0"/>
      <w:divBdr>
        <w:top w:val="none" w:sz="0" w:space="0" w:color="auto"/>
        <w:left w:val="none" w:sz="0" w:space="0" w:color="auto"/>
        <w:bottom w:val="none" w:sz="0" w:space="0" w:color="auto"/>
        <w:right w:val="none" w:sz="0" w:space="0" w:color="auto"/>
      </w:divBdr>
    </w:div>
    <w:div w:id="1817607844">
      <w:bodyDiv w:val="1"/>
      <w:marLeft w:val="0"/>
      <w:marRight w:val="0"/>
      <w:marTop w:val="0"/>
      <w:marBottom w:val="0"/>
      <w:divBdr>
        <w:top w:val="none" w:sz="0" w:space="0" w:color="auto"/>
        <w:left w:val="none" w:sz="0" w:space="0" w:color="auto"/>
        <w:bottom w:val="none" w:sz="0" w:space="0" w:color="auto"/>
        <w:right w:val="none" w:sz="0" w:space="0" w:color="auto"/>
      </w:divBdr>
    </w:div>
    <w:div w:id="1863588694">
      <w:bodyDiv w:val="1"/>
      <w:marLeft w:val="0"/>
      <w:marRight w:val="0"/>
      <w:marTop w:val="0"/>
      <w:marBottom w:val="0"/>
      <w:divBdr>
        <w:top w:val="none" w:sz="0" w:space="0" w:color="auto"/>
        <w:left w:val="none" w:sz="0" w:space="0" w:color="auto"/>
        <w:bottom w:val="none" w:sz="0" w:space="0" w:color="auto"/>
        <w:right w:val="none" w:sz="0" w:space="0" w:color="auto"/>
      </w:divBdr>
    </w:div>
    <w:div w:id="1871992478">
      <w:bodyDiv w:val="1"/>
      <w:marLeft w:val="0"/>
      <w:marRight w:val="0"/>
      <w:marTop w:val="0"/>
      <w:marBottom w:val="0"/>
      <w:divBdr>
        <w:top w:val="none" w:sz="0" w:space="0" w:color="auto"/>
        <w:left w:val="none" w:sz="0" w:space="0" w:color="auto"/>
        <w:bottom w:val="none" w:sz="0" w:space="0" w:color="auto"/>
        <w:right w:val="none" w:sz="0" w:space="0" w:color="auto"/>
      </w:divBdr>
    </w:div>
    <w:div w:id="1896620855">
      <w:bodyDiv w:val="1"/>
      <w:marLeft w:val="0"/>
      <w:marRight w:val="0"/>
      <w:marTop w:val="0"/>
      <w:marBottom w:val="0"/>
      <w:divBdr>
        <w:top w:val="none" w:sz="0" w:space="0" w:color="auto"/>
        <w:left w:val="none" w:sz="0" w:space="0" w:color="auto"/>
        <w:bottom w:val="none" w:sz="0" w:space="0" w:color="auto"/>
        <w:right w:val="none" w:sz="0" w:space="0" w:color="auto"/>
      </w:divBdr>
    </w:div>
    <w:div w:id="1904607306">
      <w:bodyDiv w:val="1"/>
      <w:marLeft w:val="0"/>
      <w:marRight w:val="0"/>
      <w:marTop w:val="0"/>
      <w:marBottom w:val="0"/>
      <w:divBdr>
        <w:top w:val="none" w:sz="0" w:space="0" w:color="auto"/>
        <w:left w:val="none" w:sz="0" w:space="0" w:color="auto"/>
        <w:bottom w:val="none" w:sz="0" w:space="0" w:color="auto"/>
        <w:right w:val="none" w:sz="0" w:space="0" w:color="auto"/>
      </w:divBdr>
    </w:div>
    <w:div w:id="1990010025">
      <w:bodyDiv w:val="1"/>
      <w:marLeft w:val="0"/>
      <w:marRight w:val="0"/>
      <w:marTop w:val="0"/>
      <w:marBottom w:val="0"/>
      <w:divBdr>
        <w:top w:val="none" w:sz="0" w:space="0" w:color="auto"/>
        <w:left w:val="none" w:sz="0" w:space="0" w:color="auto"/>
        <w:bottom w:val="none" w:sz="0" w:space="0" w:color="auto"/>
        <w:right w:val="none" w:sz="0" w:space="0" w:color="auto"/>
      </w:divBdr>
    </w:div>
    <w:div w:id="1997761748">
      <w:bodyDiv w:val="1"/>
      <w:marLeft w:val="0"/>
      <w:marRight w:val="0"/>
      <w:marTop w:val="0"/>
      <w:marBottom w:val="0"/>
      <w:divBdr>
        <w:top w:val="none" w:sz="0" w:space="0" w:color="auto"/>
        <w:left w:val="none" w:sz="0" w:space="0" w:color="auto"/>
        <w:bottom w:val="none" w:sz="0" w:space="0" w:color="auto"/>
        <w:right w:val="none" w:sz="0" w:space="0" w:color="auto"/>
      </w:divBdr>
    </w:div>
    <w:div w:id="2025787931">
      <w:bodyDiv w:val="1"/>
      <w:marLeft w:val="0"/>
      <w:marRight w:val="0"/>
      <w:marTop w:val="0"/>
      <w:marBottom w:val="0"/>
      <w:divBdr>
        <w:top w:val="none" w:sz="0" w:space="0" w:color="auto"/>
        <w:left w:val="none" w:sz="0" w:space="0" w:color="auto"/>
        <w:bottom w:val="none" w:sz="0" w:space="0" w:color="auto"/>
        <w:right w:val="none" w:sz="0" w:space="0" w:color="auto"/>
      </w:divBdr>
      <w:divsChild>
        <w:div w:id="2107001209">
          <w:marLeft w:val="0"/>
          <w:marRight w:val="0"/>
          <w:marTop w:val="0"/>
          <w:marBottom w:val="0"/>
          <w:divBdr>
            <w:top w:val="none" w:sz="0" w:space="0" w:color="auto"/>
            <w:left w:val="none" w:sz="0" w:space="0" w:color="auto"/>
            <w:bottom w:val="none" w:sz="0" w:space="0" w:color="auto"/>
            <w:right w:val="none" w:sz="0" w:space="0" w:color="auto"/>
          </w:divBdr>
          <w:divsChild>
            <w:div w:id="791169126">
              <w:marLeft w:val="0"/>
              <w:marRight w:val="0"/>
              <w:marTop w:val="0"/>
              <w:marBottom w:val="0"/>
              <w:divBdr>
                <w:top w:val="none" w:sz="0" w:space="0" w:color="auto"/>
                <w:left w:val="none" w:sz="0" w:space="0" w:color="auto"/>
                <w:bottom w:val="none" w:sz="0" w:space="0" w:color="auto"/>
                <w:right w:val="none" w:sz="0" w:space="0" w:color="auto"/>
              </w:divBdr>
            </w:div>
          </w:divsChild>
        </w:div>
        <w:div w:id="1848403745">
          <w:marLeft w:val="0"/>
          <w:marRight w:val="0"/>
          <w:marTop w:val="0"/>
          <w:marBottom w:val="0"/>
          <w:divBdr>
            <w:top w:val="none" w:sz="0" w:space="0" w:color="auto"/>
            <w:left w:val="none" w:sz="0" w:space="0" w:color="auto"/>
            <w:bottom w:val="none" w:sz="0" w:space="0" w:color="auto"/>
            <w:right w:val="none" w:sz="0" w:space="0" w:color="auto"/>
          </w:divBdr>
          <w:divsChild>
            <w:div w:id="143867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05216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cushmanwakefield.com/-/media/cw/americas/brazil/insights/marketbeats/mb_q42024_-investments_eng.pdf" TargetMode="External"/><Relationship Id="rId18" Type="http://schemas.openxmlformats.org/officeDocument/2006/relationships/hyperlink" Target="https://www.grandviewresearch.com/horizon/outlook/furniture-market/brazil?utm_source=chatgpt.com" TargetMode="External"/><Relationship Id="rId26" Type="http://schemas.openxmlformats.org/officeDocument/2006/relationships/hyperlink" Target="https://www.ibge.gov.br/en/?utm_source=chatgpt.com" TargetMode="External"/><Relationship Id="rId39" Type="http://schemas.openxmlformats.org/officeDocument/2006/relationships/hyperlink" Target="https://www.oecd.org/en/publications/2024/12/oecd-economic-outlook-volume-2024-issue-2_67bb8fac/full-report/brazil_e26b6824.html?utm_source=chatgpt.com" TargetMode="External"/><Relationship Id="rId21" Type="http://schemas.openxmlformats.org/officeDocument/2006/relationships/hyperlink" Target="https://onlinelibrary.wiley.com/doi/10.1002/tie.21541" TargetMode="External"/><Relationship Id="rId34" Type="http://schemas.openxmlformats.org/officeDocument/2006/relationships/hyperlink" Target="https://www.mayerbrown.com/en/insights/publications/2024/05/tax-law-highlights-taxation-of-offshore-assets-law-no-1475423?utm_source=chatgpt.com" TargetMode="External"/><Relationship Id="rId42" Type="http://schemas.openxmlformats.org/officeDocument/2006/relationships/hyperlink" Target="https://taxsummaries.pwc.com/brazil/corporate/group-taxation?utm_source=chatgpt.com" TargetMode="External"/><Relationship Id="rId47" Type="http://schemas.openxmlformats.org/officeDocument/2006/relationships/hyperlink" Target="https://www.inderscience.com/info/inarticle.php?artid=115492" TargetMode="External"/><Relationship Id="rId50" Type="http://schemas.openxmlformats.org/officeDocument/2006/relationships/hyperlink" Target="https://www.worldbank.org/en/country/brazil/overview?utm_source=chatgpt.com" TargetMode="External"/><Relationship Id="rId55"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doi.org/10.1016/j.irfa.2025.104633" TargetMode="External"/><Relationship Id="rId29" Type="http://schemas.openxmlformats.org/officeDocument/2006/relationships/hyperlink" Target="https://www.imf.org/en/Publications/CR/Issues/2024/07/11/Brazil-2024-Article-IV-Consultation-Press-Release-Staff-Report-and-Statement-by-the-551705?utm_source=chatgpt.com" TargetMode="External"/><Relationship Id="rId11" Type="http://schemas.openxmlformats.org/officeDocument/2006/relationships/hyperlink" Target="https://www.bcb.gov.br/en/publications/inflationreport?utm_source=chatgpt.com" TargetMode="External"/><Relationship Id="rId24" Type="http://schemas.openxmlformats.org/officeDocument/2006/relationships/hyperlink" Target="https://www.imarcgroup.com/brazil-furniture-market?utm_source=chatgpt.com" TargetMode="External"/><Relationship Id="rId32" Type="http://schemas.openxmlformats.org/officeDocument/2006/relationships/hyperlink" Target="https://www.sciencedirect.com/science/article/abs/pii/S0148296319307970" TargetMode="External"/><Relationship Id="rId37" Type="http://schemas.openxmlformats.org/officeDocument/2006/relationships/hyperlink" Target="https://www.mordorintelligence.com/industry-reports/brazil-furniture-market?utm_source=chatgpt.com" TargetMode="External"/><Relationship Id="rId40" Type="http://schemas.openxmlformats.org/officeDocument/2006/relationships/hyperlink" Target="https://ojo-publico.com/3804/fears-over-ikeas-arrival-latin-america?utm_source=chatgpt.com" TargetMode="External"/><Relationship Id="rId45" Type="http://schemas.openxmlformats.org/officeDocument/2006/relationships/hyperlink" Target="https://doi.org/10.1016/S0969-6989(98)00022-4" TargetMode="External"/><Relationship Id="rId53" Type="http://schemas.openxmlformats.org/officeDocument/2006/relationships/image" Target="media/image4.png"/><Relationship Id="rId5" Type="http://schemas.openxmlformats.org/officeDocument/2006/relationships/webSettings" Target="webSettings.xml"/><Relationship Id="rId19" Type="http://schemas.openxmlformats.org/officeDocument/2006/relationships/hyperlink" Target="https://doi.org/10.1016/j.indmarman.2010.06.010" TargetMode="External"/><Relationship Id="rId4" Type="http://schemas.openxmlformats.org/officeDocument/2006/relationships/settings" Target="settings.xml"/><Relationship Id="rId9" Type="http://schemas.openxmlformats.org/officeDocument/2006/relationships/hyperlink" Target="https://www.emerald.com/insight/content/doi/10.1108/09590550210429513/full/html" TargetMode="External"/><Relationship Id="rId14" Type="http://schemas.openxmlformats.org/officeDocument/2006/relationships/hyperlink" Target="https://doi.org/10.5539/ibr.v5n10p91" TargetMode="External"/><Relationship Id="rId22" Type="http://schemas.openxmlformats.org/officeDocument/2006/relationships/hyperlink" Target="https://doi.org/10.3390/jtaer18010033" TargetMode="External"/><Relationship Id="rId27" Type="http://schemas.openxmlformats.org/officeDocument/2006/relationships/hyperlink" Target="https://www.inter.ikea.com/-/media/interikea/igi/financial-reports/fy24-financial-reports/inter_ikea_group_financial_summary_fy24.pdf" TargetMode="External"/><Relationship Id="rId30" Type="http://schemas.openxmlformats.org/officeDocument/2006/relationships/hyperlink" Target="https://doi.org/10.1016/j.grets.2024.100081" TargetMode="External"/><Relationship Id="rId35" Type="http://schemas.openxmlformats.org/officeDocument/2006/relationships/hyperlink" Target="https://investor.mercadolibre.com/sites/mercadolibre/files/mercadolibre/results/mercadoLibre-Q424-sec-show.pdf" TargetMode="External"/><Relationship Id="rId43" Type="http://schemas.openxmlformats.org/officeDocument/2006/relationships/hyperlink" Target="https://www.reuters.com/world/americas/brazil-retail-sales-rise-05-february-hit-record-2025-04-09/?utm_source=chatgpt.com" TargetMode="External"/><Relationship Id="rId48" Type="http://schemas.openxmlformats.org/officeDocument/2006/relationships/hyperlink" Target="https://www.mdpi.com/0718-1876/19/2/76" TargetMode="External"/><Relationship Id="rId56" Type="http://schemas.openxmlformats.org/officeDocument/2006/relationships/fontTable" Target="fontTable.xml"/><Relationship Id="rId8" Type="http://schemas.openxmlformats.org/officeDocument/2006/relationships/image" Target="media/image1.jpeg"/><Relationship Id="rId51" Type="http://schemas.openxmlformats.org/officeDocument/2006/relationships/image" Target="media/image2.png"/><Relationship Id="rId3" Type="http://schemas.openxmlformats.org/officeDocument/2006/relationships/styles" Target="styles.xml"/><Relationship Id="rId12" Type="http://schemas.openxmlformats.org/officeDocument/2006/relationships/hyperlink" Target="https://doi.org/10.1016/j.jretai.2023.07.005" TargetMode="External"/><Relationship Id="rId17" Type="http://schemas.openxmlformats.org/officeDocument/2006/relationships/hyperlink" Target="https://doi.org/10.2139/ssrn.329206" TargetMode="External"/><Relationship Id="rId25" Type="http://schemas.openxmlformats.org/officeDocument/2006/relationships/hyperlink" Target="https://www.ingka.com/static/ingka-group-annual-report-summary-fy24.pdf?utm_source=chatgpt.com" TargetMode="External"/><Relationship Id="rId33" Type="http://schemas.openxmlformats.org/officeDocument/2006/relationships/hyperlink" Target="https://ri.magazineluiza.com.br/ShowCanal/show.aspx?idCanal=BbuKf7H6X12vxuD6Hytzyw%3D%3D&amp;linguagem=en" TargetMode="External"/><Relationship Id="rId38" Type="http://schemas.openxmlformats.org/officeDocument/2006/relationships/hyperlink" Target="https://www.oecd.org/content/dam/oecd/en/publications/reports/2022/06/sustainability-policies-and-practices-for-corporate-governance-in-brazil_0a6d34d0/a9889ba3-en.pdf?utm_source=chatgpt.com" TargetMode="External"/><Relationship Id="rId46" Type="http://schemas.openxmlformats.org/officeDocument/2006/relationships/hyperlink" Target="https://doi.org/10.3390/su13020666" TargetMode="External"/><Relationship Id="rId20" Type="http://schemas.openxmlformats.org/officeDocument/2006/relationships/hyperlink" Target="https://www.tandfonline.com/doi/pdf/10.1080/09593969.2019.1598467" TargetMode="External"/><Relationship Id="rId41" Type="http://schemas.openxmlformats.org/officeDocument/2006/relationships/hyperlink" Target="https://www.prologis.com/insights-news/research/2024-market-rents-reset-after-years-outperformance?utm_source=chatgpt.com" TargetMode="External"/><Relationship Id="rId54"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article/10.1057/palgrave.jibs.8490372" TargetMode="External"/><Relationship Id="rId23" Type="http://schemas.openxmlformats.org/officeDocument/2006/relationships/hyperlink" Target="https://www.ikea.com/global/en/images/IKEA_Sustainability_Report_FY_24_2025_01_27_2c35989733.pdf?utm_source=chatgpt.com" TargetMode="External"/><Relationship Id="rId28" Type="http://schemas.openxmlformats.org/officeDocument/2006/relationships/hyperlink" Target="https://www.ikea.com/global/en/images/IKEA_SUSTAINABILITY_Report_FY_23_20240125_1b190c008f.pdf?utm_source=chatgpt.com" TargetMode="External"/><Relationship Id="rId36" Type="http://schemas.openxmlformats.org/officeDocument/2006/relationships/hyperlink" Target="https://ir.mobily.link/2024/download-center.html" TargetMode="External"/><Relationship Id="rId49" Type="http://schemas.openxmlformats.org/officeDocument/2006/relationships/hyperlink" Target="https://doi.org/10.1007/s11365-024-01034-9" TargetMode="External"/><Relationship Id="rId57" Type="http://schemas.openxmlformats.org/officeDocument/2006/relationships/theme" Target="theme/theme1.xml"/><Relationship Id="rId10" Type="http://schemas.openxmlformats.org/officeDocument/2006/relationships/hyperlink" Target="https://www.apexbrasil.com.br/uploads/AGU%20Cartilha%20sobre%20Seguran%C3%A7a%20Jur%C3%ADdica%20-%20REV%20WEB%20single%20%28002%29.pdf?utm_source=chatgpt.com" TargetMode="External"/><Relationship Id="rId31" Type="http://schemas.openxmlformats.org/officeDocument/2006/relationships/hyperlink" Target="https://doi.org/10.1002/tie.22359" TargetMode="External"/><Relationship Id="rId44" Type="http://schemas.openxmlformats.org/officeDocument/2006/relationships/hyperlink" Target="https://www.reuters.com/business/retail-consumer/mercadolibre-invest-58-billion-brazil-this-year-2025-04-07/?utm_source=chatgpt.com" TargetMode="External"/><Relationship Id="rId52"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F2AE4A-EC5D-4F60-908B-9FD598916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35</Pages>
  <Words>9494</Words>
  <Characters>54121</Characters>
  <Application>Microsoft Office Word</Application>
  <DocSecurity>0</DocSecurity>
  <Lines>451</Lines>
  <Paragraphs>126</Paragraphs>
  <ScaleCrop>false</ScaleCrop>
  <Company/>
  <LinksUpToDate>false</LinksUpToDate>
  <CharactersWithSpaces>63489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2025-11-28T06:36:00Z</dcterms:created>
  <dcterms:modified xsi:type="dcterms:W3CDTF">2025-11-28T06:36:00Z</dcterms:modified>
</cp:coreProperties>
</file>