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687085DF">
      <w:pPr>
        <w:pStyle w:val="style0"/>
        <w:spacing w:before="200" w:lineRule="auto" w:line="360"/>
        <w:jc w:val="center"/>
        <w:rPr>
          <w:rFonts w:ascii="Times New Roman" w:cs="Times New Roman" w:eastAsia="Times New Roman" w:hAnsi="Times New Roman"/>
          <w:b/>
          <w:bCs/>
          <w:sz w:val="24"/>
          <w:szCs w:val="24"/>
        </w:rPr>
      </w:pPr>
      <w:r>
        <w:rPr>
          <w:noProof/>
        </w:rPr>
        <w:drawing>
          <wp:anchor distT="0" distB="0" distL="114300" distR="114300" simplePos="false" relativeHeight="2" behindDoc="false" locked="false" layoutInCell="true" allowOverlap="true">
            <wp:simplePos x="0" y="0"/>
            <wp:positionH relativeFrom="column">
              <wp:posOffset>1543050</wp:posOffset>
            </wp:positionH>
            <wp:positionV relativeFrom="paragraph">
              <wp:posOffset>0</wp:posOffset>
            </wp:positionV>
            <wp:extent cx="2357438" cy="942975"/>
            <wp:effectExtent l="0" t="0" r="0" b="0"/>
            <wp:wrapSquare wrapText="bothSides"/>
            <wp:docPr id="1026" name="image1.png" descr="Discover University of Wales Trinity Saint David"/>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2" cstate="print"/>
                    <a:srcRect l="0" t="0" r="0" b="0"/>
                    <a:stretch/>
                  </pic:blipFill>
                  <pic:spPr>
                    <a:xfrm rot="0">
                      <a:off x="0" y="0"/>
                      <a:ext cx="2357438" cy="942975"/>
                    </a:xfrm>
                    <a:prstGeom prst="rect"/>
                    <a:ln cmpd="sng" cap="flat" w="9525">
                      <a:solidFill>
                        <a:srgbClr val="000000"/>
                      </a:solidFill>
                      <a:prstDash val="solid"/>
                      <a:round/>
                      <a:headEnd/>
                      <a:tailEnd/>
                    </a:ln>
                  </pic:spPr>
                </pic:pic>
              </a:graphicData>
            </a:graphic>
          </wp:anchor>
        </w:drawing>
      </w:r>
    </w:p>
    <w:p w14:paraId="3FCCA776">
      <w:pPr>
        <w:pStyle w:val="style0"/>
        <w:spacing w:before="200" w:lineRule="auto" w:line="360"/>
        <w:jc w:val="center"/>
        <w:rPr>
          <w:rFonts w:ascii="Times New Roman" w:cs="Times New Roman" w:eastAsia="Times New Roman" w:hAnsi="Times New Roman"/>
          <w:b/>
          <w:bCs/>
          <w:sz w:val="24"/>
          <w:szCs w:val="24"/>
        </w:rPr>
      </w:pPr>
    </w:p>
    <w:p w14:paraId="29411F7A">
      <w:pPr>
        <w:pStyle w:val="style0"/>
        <w:spacing w:before="200" w:lineRule="auto" w:line="360"/>
        <w:jc w:val="center"/>
        <w:rPr>
          <w:rFonts w:ascii="Times New Roman" w:cs="Times New Roman" w:eastAsia="Times New Roman" w:hAnsi="Times New Roman"/>
          <w:b/>
          <w:bCs/>
          <w:sz w:val="24"/>
          <w:szCs w:val="24"/>
        </w:rPr>
      </w:pPr>
    </w:p>
    <w:p w14:paraId="42615B58">
      <w:pPr>
        <w:pStyle w:val="style0"/>
        <w:spacing w:before="200" w:lineRule="auto" w:line="360"/>
        <w:jc w:val="center"/>
        <w:rPr>
          <w:rFonts w:ascii="Times New Roman" w:cs="Times New Roman" w:eastAsia="Times New Roman" w:hAnsi="Times New Roman"/>
          <w:b/>
          <w:bCs/>
          <w:sz w:val="32"/>
          <w:szCs w:val="32"/>
        </w:rPr>
      </w:pPr>
    </w:p>
    <w:p w14:paraId="2BFA1882">
      <w:pPr>
        <w:pStyle w:val="style0"/>
        <w:spacing w:before="200" w:lineRule="auto" w:line="360"/>
        <w:jc w:val="center"/>
        <w:rPr>
          <w:rFonts w:ascii="Times New Roman" w:cs="Times New Roman" w:eastAsia="Times New Roman" w:hAnsi="Times New Roman"/>
          <w:b/>
          <w:bCs/>
          <w:sz w:val="32"/>
          <w:szCs w:val="32"/>
        </w:rPr>
      </w:pPr>
    </w:p>
    <w:p w14:paraId="348B0F64">
      <w:pPr>
        <w:pStyle w:val="style0"/>
        <w:spacing w:before="200" w:lineRule="auto" w:line="360"/>
        <w:jc w:val="center"/>
        <w:rPr>
          <w:rFonts w:ascii="Times New Roman" w:cs="Times New Roman" w:eastAsia="Times New Roman" w:hAnsi="Times New Roman"/>
          <w:b/>
          <w:bCs/>
          <w:sz w:val="32"/>
          <w:szCs w:val="32"/>
        </w:rPr>
      </w:pPr>
      <w:r>
        <w:rPr>
          <w:rFonts w:ascii="Times New Roman" w:cs="Times New Roman" w:eastAsia="Times New Roman" w:hAnsi="Times New Roman"/>
          <w:b/>
          <w:bCs/>
          <w:sz w:val="32"/>
          <w:szCs w:val="32"/>
        </w:rPr>
        <w:t>PROGRAMME: MASTER OF BUSINESS ADMINISTRATION</w:t>
      </w:r>
    </w:p>
    <w:p w14:paraId="55DA32D6">
      <w:pPr>
        <w:pStyle w:val="style0"/>
        <w:spacing w:before="200" w:lineRule="auto" w:line="360"/>
        <w:jc w:val="center"/>
        <w:rPr>
          <w:rFonts w:ascii="Times New Roman" w:cs="Times New Roman" w:eastAsia="Times New Roman" w:hAnsi="Times New Roman"/>
          <w:b/>
          <w:bCs/>
          <w:sz w:val="32"/>
          <w:szCs w:val="32"/>
        </w:rPr>
      </w:pPr>
      <w:r>
        <w:rPr>
          <w:rFonts w:ascii="Times New Roman" w:cs="Times New Roman" w:eastAsia="Times New Roman" w:hAnsi="Times New Roman"/>
          <w:b/>
          <w:bCs/>
          <w:sz w:val="32"/>
          <w:szCs w:val="32"/>
        </w:rPr>
        <w:t>MODULE: HUMAN CAPITAL MANAGEMENT</w:t>
      </w:r>
    </w:p>
    <w:p w14:paraId="2EDD2ED5">
      <w:pPr>
        <w:pStyle w:val="style0"/>
        <w:spacing w:before="200" w:lineRule="auto" w:line="360"/>
        <w:jc w:val="center"/>
        <w:rPr>
          <w:rFonts w:ascii="Times New Roman" w:cs="Times New Roman" w:eastAsia="Times New Roman" w:hAnsi="Times New Roman"/>
          <w:b/>
          <w:bCs/>
          <w:sz w:val="32"/>
          <w:szCs w:val="32"/>
        </w:rPr>
      </w:pPr>
      <w:r>
        <w:rPr>
          <w:rFonts w:ascii="Times New Roman" w:cs="Times New Roman" w:eastAsia="Times New Roman" w:hAnsi="Times New Roman"/>
          <w:b/>
          <w:bCs/>
          <w:sz w:val="32"/>
          <w:szCs w:val="32"/>
        </w:rPr>
        <w:t>MODULE CODE: LCMB7023</w:t>
      </w:r>
    </w:p>
    <w:p w14:paraId="765A7B37">
      <w:pPr>
        <w:pStyle w:val="style0"/>
        <w:spacing w:before="200" w:lineRule="auto" w:line="360"/>
        <w:jc w:val="center"/>
        <w:rPr>
          <w:rFonts w:ascii="Times New Roman" w:cs="Times New Roman" w:eastAsia="Times New Roman" w:hAnsi="Times New Roman"/>
          <w:b/>
          <w:bCs/>
          <w:sz w:val="32"/>
          <w:szCs w:val="32"/>
          <w:lang w:val="en-US"/>
        </w:rPr>
      </w:pPr>
      <w:r>
        <w:rPr>
          <w:rFonts w:ascii="Times New Roman" w:cs="Times New Roman" w:eastAsia="Times New Roman" w:hAnsi="Times New Roman"/>
          <w:b/>
          <w:bCs/>
          <w:sz w:val="32"/>
          <w:szCs w:val="32"/>
        </w:rPr>
        <w:t xml:space="preserve">STUDENT </w:t>
      </w:r>
      <w:r>
        <w:rPr>
          <w:rFonts w:ascii="Times New Roman" w:cs="Times New Roman" w:eastAsia="Times New Roman" w:hAnsi="Times New Roman"/>
          <w:b/>
          <w:bCs/>
          <w:sz w:val="32"/>
          <w:szCs w:val="32"/>
          <w:lang w:val="en-US"/>
        </w:rPr>
        <w:t xml:space="preserve">NAME: ROHIT KUMAR YADAV </w:t>
      </w:r>
    </w:p>
    <w:p w14:paraId="CBE838E5">
      <w:pPr>
        <w:pStyle w:val="style0"/>
        <w:spacing w:before="200" w:lineRule="auto" w:line="360"/>
        <w:jc w:val="center"/>
        <w:rPr>
          <w:rFonts w:ascii="Times New Roman" w:cs="Times New Roman" w:eastAsia="Times New Roman" w:hAnsi="Times New Roman"/>
          <w:b/>
          <w:bCs/>
          <w:sz w:val="32"/>
          <w:szCs w:val="32"/>
        </w:rPr>
      </w:pPr>
      <w:r>
        <w:rPr>
          <w:rFonts w:ascii="Times New Roman" w:cs="Times New Roman" w:eastAsia="Times New Roman" w:hAnsi="Times New Roman"/>
          <w:b/>
          <w:bCs/>
          <w:sz w:val="32"/>
          <w:szCs w:val="32"/>
          <w:lang w:val="en-US"/>
        </w:rPr>
        <w:t>STUDENT ID: 2608512</w:t>
      </w:r>
    </w:p>
    <w:p w14:paraId="169FA3FF">
      <w:pPr>
        <w:pStyle w:val="style0"/>
        <w:spacing w:before="200" w:lineRule="auto" w:line="360"/>
        <w:jc w:val="center"/>
        <w:rPr>
          <w:rFonts w:ascii="Times New Roman" w:cs="Times New Roman" w:eastAsia="Times New Roman" w:hAnsi="Times New Roman"/>
          <w:b/>
          <w:bCs/>
          <w:sz w:val="32"/>
          <w:szCs w:val="32"/>
        </w:rPr>
      </w:pPr>
      <w:r>
        <w:rPr>
          <w:rFonts w:ascii="Times New Roman" w:cs="Times New Roman" w:eastAsia="Times New Roman" w:hAnsi="Times New Roman"/>
          <w:b/>
          <w:bCs/>
          <w:sz w:val="32"/>
          <w:szCs w:val="32"/>
        </w:rPr>
        <w:t>LECTURER: GLADIUS KULOTHUNGAN (LONDON) ENO MAYCOCK (BIRMINGHAM)</w:t>
      </w:r>
    </w:p>
    <w:p w14:paraId="05632370">
      <w:pPr>
        <w:pStyle w:val="style0"/>
        <w:rPr>
          <w:rFonts w:ascii="Times New Roman" w:cs="Times New Roman" w:eastAsia="Times New Roman" w:hAnsi="Times New Roman"/>
          <w:b/>
          <w:bCs/>
          <w:sz w:val="32"/>
          <w:szCs w:val="32"/>
        </w:rPr>
      </w:pPr>
      <w:r>
        <w:br w:type="page"/>
      </w:r>
    </w:p>
    <w:p w14:paraId="47534333">
      <w:pPr>
        <w:pStyle w:val="style0"/>
        <w:keepNext/>
        <w:keepLines/>
        <w:pBdr>
          <w:left w:val="nil"/>
          <w:right w:val="nil"/>
          <w:top w:val="nil"/>
          <w:bottom w:val="nil"/>
          <w:between w:val="nil"/>
        </w:pBdr>
        <w:spacing w:before="240" w:lineRule="auto" w:line="360"/>
        <w:jc w:val="center"/>
        <w:rPr>
          <w:rFonts w:ascii="Times New Roman" w:cs="Times New Roman" w:eastAsia="Times New Roman" w:hAnsi="Times New Roman"/>
          <w:b/>
          <w:bCs/>
          <w:color w:val="000000"/>
          <w:sz w:val="28"/>
          <w:szCs w:val="28"/>
        </w:rPr>
      </w:pPr>
      <w:r>
        <w:rPr>
          <w:rFonts w:ascii="Times New Roman" w:cs="Times New Roman" w:eastAsia="Times New Roman" w:hAnsi="Times New Roman"/>
          <w:b/>
          <w:bCs/>
          <w:color w:val="000000"/>
          <w:sz w:val="28"/>
          <w:szCs w:val="28"/>
        </w:rPr>
        <w:t>Table of Contents</w:t>
      </w:r>
    </w:p>
    <w:p w14:paraId="6045C841">
      <w:pPr>
        <w:pStyle w:val="style0"/>
        <w:pBdr>
          <w:left w:val="nil"/>
          <w:right w:val="nil"/>
          <w:top w:val="nil"/>
          <w:bottom w:val="nil"/>
          <w:between w:val="nil"/>
        </w:pBdr>
        <w:tabs>
          <w:tab w:val="right" w:leader="dot" w:pos="9016"/>
        </w:tabs>
        <w:spacing w:after="100" w:lineRule="auto" w:line="360"/>
        <w:jc w:val="both"/>
        <w:rPr>
          <w:rFonts w:ascii="Times New Roman" w:cs="Times New Roman" w:eastAsia="Times New Roman" w:hAnsi="Times New Roman"/>
          <w:color w:val="000000"/>
          <w:sz w:val="24"/>
          <w:szCs w:val="24"/>
        </w:rPr>
      </w:pPr>
      <w:r>
        <w:rPr/>
        <w:fldChar w:fldCharType="begin"/>
      </w:r>
      <w:r>
        <w:instrText xml:space="preserve"> TOC \h \u \z \t "Heading 1,1,Heading 2,2,Heading 3,3,"</w:instrText>
      </w:r>
      <w:r>
        <w:rPr/>
        <w:fldChar w:fldCharType="separate"/>
      </w:r>
      <w:r>
        <w:rPr/>
        <w:fldChar w:fldCharType="begin"/>
      </w:r>
      <w:r>
        <w:instrText xml:space="preserve"> HYPERLINK \l "_heading=h.jun9ywd7wwpw" </w:instrText>
      </w:r>
      <w:r>
        <w:rPr/>
        <w:fldChar w:fldCharType="separate"/>
      </w:r>
      <w:r>
        <w:rPr>
          <w:rFonts w:ascii="Times New Roman" w:cs="Times New Roman" w:eastAsia="Times New Roman" w:hAnsi="Times New Roman"/>
          <w:color w:val="000000"/>
          <w:sz w:val="24"/>
          <w:szCs w:val="24"/>
        </w:rPr>
        <w:t>TASK A: Designing Innovative Working Practices</w:t>
      </w:r>
      <w:r>
        <w:rPr>
          <w:rFonts w:ascii="Times New Roman" w:cs="Times New Roman" w:eastAsia="Times New Roman" w:hAnsi="Times New Roman"/>
          <w:color w:val="000000"/>
          <w:sz w:val="24"/>
          <w:szCs w:val="24"/>
        </w:rPr>
        <w:tab/>
      </w:r>
      <w:r>
        <w:rPr>
          <w:rFonts w:ascii="Times New Roman" w:cs="Times New Roman" w:eastAsia="Times New Roman" w:hAnsi="Times New Roman"/>
          <w:color w:val="000000"/>
          <w:sz w:val="24"/>
          <w:szCs w:val="24"/>
        </w:rPr>
        <w:t>3</w:t>
      </w:r>
      <w:r>
        <w:rPr/>
        <w:fldChar w:fldCharType="end"/>
      </w:r>
    </w:p>
    <w:p w14:paraId="70203F73">
      <w:pPr>
        <w:pStyle w:val="style0"/>
        <w:pBdr>
          <w:left w:val="nil"/>
          <w:right w:val="nil"/>
          <w:top w:val="nil"/>
          <w:bottom w:val="nil"/>
          <w:between w:val="nil"/>
        </w:pBdr>
        <w:tabs>
          <w:tab w:val="right" w:leader="dot" w:pos="9016"/>
        </w:tabs>
        <w:spacing w:after="100" w:lineRule="auto" w:line="360"/>
        <w:ind w:left="220"/>
        <w:jc w:val="both"/>
        <w:rPr>
          <w:rFonts w:ascii="Times New Roman" w:cs="Times New Roman" w:eastAsia="Times New Roman" w:hAnsi="Times New Roman"/>
          <w:color w:val="000000"/>
          <w:sz w:val="24"/>
          <w:szCs w:val="24"/>
        </w:rPr>
      </w:pPr>
      <w:r>
        <w:rPr/>
        <w:fldChar w:fldCharType="begin"/>
      </w:r>
      <w:r>
        <w:instrText xml:space="preserve"> HYPERLINK \l "_heading=h.2f55spilvdee" </w:instrText>
      </w:r>
      <w:r>
        <w:rPr/>
        <w:fldChar w:fldCharType="separate"/>
      </w:r>
      <w:r>
        <w:rPr>
          <w:rFonts w:ascii="Times New Roman" w:cs="Times New Roman" w:eastAsia="Times New Roman" w:hAnsi="Times New Roman"/>
          <w:color w:val="000000"/>
          <w:sz w:val="24"/>
          <w:szCs w:val="24"/>
        </w:rPr>
        <w:t>1.1 Theoretical Evaluation: Traditional vs. Contemporary Work Design</w:t>
      </w:r>
      <w:r>
        <w:rPr>
          <w:rFonts w:ascii="Times New Roman" w:cs="Times New Roman" w:eastAsia="Times New Roman" w:hAnsi="Times New Roman"/>
          <w:color w:val="000000"/>
          <w:sz w:val="24"/>
          <w:szCs w:val="24"/>
        </w:rPr>
        <w:tab/>
      </w:r>
      <w:r>
        <w:rPr>
          <w:rFonts w:ascii="Times New Roman" w:cs="Times New Roman" w:eastAsia="Times New Roman" w:hAnsi="Times New Roman"/>
          <w:color w:val="000000"/>
          <w:sz w:val="24"/>
          <w:szCs w:val="24"/>
        </w:rPr>
        <w:t>3</w:t>
      </w:r>
      <w:r>
        <w:rPr/>
        <w:fldChar w:fldCharType="end"/>
      </w:r>
    </w:p>
    <w:p w14:paraId="202F16D1">
      <w:pPr>
        <w:pStyle w:val="style0"/>
        <w:pBdr>
          <w:left w:val="nil"/>
          <w:right w:val="nil"/>
          <w:top w:val="nil"/>
          <w:bottom w:val="nil"/>
          <w:between w:val="nil"/>
        </w:pBdr>
        <w:tabs>
          <w:tab w:val="right" w:leader="dot" w:pos="9016"/>
        </w:tabs>
        <w:spacing w:after="100" w:lineRule="auto" w:line="360"/>
        <w:ind w:left="440"/>
        <w:jc w:val="both"/>
        <w:rPr>
          <w:rFonts w:ascii="Times New Roman" w:cs="Times New Roman" w:eastAsia="Times New Roman" w:hAnsi="Times New Roman"/>
          <w:color w:val="000000"/>
          <w:sz w:val="24"/>
          <w:szCs w:val="24"/>
        </w:rPr>
      </w:pPr>
      <w:r>
        <w:rPr/>
        <w:fldChar w:fldCharType="begin"/>
      </w:r>
      <w:r>
        <w:instrText xml:space="preserve"> HYPERLINK \l "_heading=h.sg0wuqlohjxw" </w:instrText>
      </w:r>
      <w:r>
        <w:rPr/>
        <w:fldChar w:fldCharType="separate"/>
      </w:r>
      <w:r>
        <w:rPr>
          <w:rFonts w:ascii="Times New Roman" w:cs="Times New Roman" w:eastAsia="Times New Roman" w:hAnsi="Times New Roman"/>
          <w:color w:val="000000"/>
          <w:sz w:val="24"/>
          <w:szCs w:val="24"/>
        </w:rPr>
        <w:t>1.1.1 Limitations of Traditional Hierarchical Work Models</w:t>
      </w:r>
      <w:r>
        <w:rPr>
          <w:rFonts w:ascii="Times New Roman" w:cs="Times New Roman" w:eastAsia="Times New Roman" w:hAnsi="Times New Roman"/>
          <w:color w:val="000000"/>
          <w:sz w:val="24"/>
          <w:szCs w:val="24"/>
        </w:rPr>
        <w:tab/>
      </w:r>
      <w:r>
        <w:rPr>
          <w:rFonts w:ascii="Times New Roman" w:cs="Times New Roman" w:eastAsia="Times New Roman" w:hAnsi="Times New Roman"/>
          <w:color w:val="000000"/>
          <w:sz w:val="24"/>
          <w:szCs w:val="24"/>
        </w:rPr>
        <w:t>3</w:t>
      </w:r>
      <w:r>
        <w:rPr/>
        <w:fldChar w:fldCharType="end"/>
      </w:r>
    </w:p>
    <w:p w14:paraId="498B031A">
      <w:pPr>
        <w:pStyle w:val="style0"/>
        <w:pBdr>
          <w:left w:val="nil"/>
          <w:right w:val="nil"/>
          <w:top w:val="nil"/>
          <w:bottom w:val="nil"/>
          <w:between w:val="nil"/>
        </w:pBdr>
        <w:tabs>
          <w:tab w:val="right" w:leader="dot" w:pos="9016"/>
        </w:tabs>
        <w:spacing w:after="100" w:lineRule="auto" w:line="360"/>
        <w:ind w:left="440"/>
        <w:jc w:val="both"/>
        <w:rPr>
          <w:rFonts w:ascii="Times New Roman" w:cs="Times New Roman" w:eastAsia="Times New Roman" w:hAnsi="Times New Roman"/>
          <w:color w:val="000000"/>
          <w:sz w:val="24"/>
          <w:szCs w:val="24"/>
        </w:rPr>
      </w:pPr>
      <w:r>
        <w:rPr/>
        <w:fldChar w:fldCharType="begin"/>
      </w:r>
      <w:r>
        <w:instrText xml:space="preserve"> HYPERLINK \l "_heading=h.imwwx5t8im7p" </w:instrText>
      </w:r>
      <w:r>
        <w:rPr/>
        <w:fldChar w:fldCharType="separate"/>
      </w:r>
      <w:r>
        <w:rPr>
          <w:rFonts w:ascii="Times New Roman" w:cs="Times New Roman" w:eastAsia="Times New Roman" w:hAnsi="Times New Roman"/>
          <w:color w:val="000000"/>
          <w:sz w:val="24"/>
          <w:szCs w:val="24"/>
        </w:rPr>
        <w:t>1.1.2 High-Performance Work Systems (HPWS) &amp; High-Involvement Work Systems (HIWS)</w:t>
      </w:r>
      <w:r>
        <w:rPr>
          <w:rFonts w:ascii="Times New Roman" w:cs="Times New Roman" w:eastAsia="Times New Roman" w:hAnsi="Times New Roman"/>
          <w:color w:val="000000"/>
          <w:sz w:val="24"/>
          <w:szCs w:val="24"/>
        </w:rPr>
        <w:tab/>
      </w:r>
      <w:r>
        <w:rPr>
          <w:rFonts w:ascii="Times New Roman" w:cs="Times New Roman" w:eastAsia="Times New Roman" w:hAnsi="Times New Roman"/>
          <w:color w:val="000000"/>
          <w:sz w:val="24"/>
          <w:szCs w:val="24"/>
        </w:rPr>
        <w:t>4</w:t>
      </w:r>
      <w:r>
        <w:rPr/>
        <w:fldChar w:fldCharType="end"/>
      </w:r>
    </w:p>
    <w:p w14:paraId="7502D89B">
      <w:pPr>
        <w:pStyle w:val="style0"/>
        <w:pBdr>
          <w:left w:val="nil"/>
          <w:right w:val="nil"/>
          <w:top w:val="nil"/>
          <w:bottom w:val="nil"/>
          <w:between w:val="nil"/>
        </w:pBdr>
        <w:tabs>
          <w:tab w:val="right" w:leader="dot" w:pos="9016"/>
        </w:tabs>
        <w:spacing w:after="100" w:lineRule="auto" w:line="360"/>
        <w:ind w:left="440"/>
        <w:jc w:val="both"/>
        <w:rPr>
          <w:rFonts w:ascii="Times New Roman" w:cs="Times New Roman" w:eastAsia="Times New Roman" w:hAnsi="Times New Roman"/>
          <w:color w:val="000000"/>
          <w:sz w:val="24"/>
          <w:szCs w:val="24"/>
        </w:rPr>
      </w:pPr>
      <w:r>
        <w:rPr/>
        <w:fldChar w:fldCharType="begin"/>
      </w:r>
      <w:r>
        <w:instrText xml:space="preserve"> HYPERLINK \l "_heading=h.nsl8l765y1ea" </w:instrText>
      </w:r>
      <w:r>
        <w:rPr/>
        <w:fldChar w:fldCharType="separate"/>
      </w:r>
      <w:r>
        <w:rPr>
          <w:rFonts w:ascii="Times New Roman" w:cs="Times New Roman" w:eastAsia="Times New Roman" w:hAnsi="Times New Roman"/>
          <w:color w:val="000000"/>
          <w:sz w:val="24"/>
          <w:szCs w:val="24"/>
        </w:rPr>
        <w:t>1.1.3 Sociotechnical Systems Theory &amp; Hybrid/Flexible Models</w:t>
      </w:r>
      <w:r>
        <w:rPr>
          <w:rFonts w:ascii="Times New Roman" w:cs="Times New Roman" w:eastAsia="Times New Roman" w:hAnsi="Times New Roman"/>
          <w:color w:val="000000"/>
          <w:sz w:val="24"/>
          <w:szCs w:val="24"/>
        </w:rPr>
        <w:tab/>
      </w:r>
      <w:r>
        <w:rPr>
          <w:rFonts w:ascii="Times New Roman" w:cs="Times New Roman" w:eastAsia="Times New Roman" w:hAnsi="Times New Roman"/>
          <w:color w:val="000000"/>
          <w:sz w:val="24"/>
          <w:szCs w:val="24"/>
        </w:rPr>
        <w:t>4</w:t>
      </w:r>
      <w:r>
        <w:rPr/>
        <w:fldChar w:fldCharType="end"/>
      </w:r>
    </w:p>
    <w:p w14:paraId="093C9C30">
      <w:pPr>
        <w:pStyle w:val="style0"/>
        <w:pBdr>
          <w:left w:val="nil"/>
          <w:right w:val="nil"/>
          <w:top w:val="nil"/>
          <w:bottom w:val="nil"/>
          <w:between w:val="nil"/>
        </w:pBdr>
        <w:tabs>
          <w:tab w:val="right" w:leader="dot" w:pos="9016"/>
        </w:tabs>
        <w:spacing w:after="100" w:lineRule="auto" w:line="360"/>
        <w:ind w:left="220"/>
        <w:jc w:val="both"/>
        <w:rPr>
          <w:rFonts w:ascii="Times New Roman" w:cs="Times New Roman" w:eastAsia="Times New Roman" w:hAnsi="Times New Roman"/>
          <w:color w:val="000000"/>
          <w:sz w:val="24"/>
          <w:szCs w:val="24"/>
        </w:rPr>
      </w:pPr>
      <w:r>
        <w:rPr/>
        <w:fldChar w:fldCharType="begin"/>
      </w:r>
      <w:r>
        <w:instrText xml:space="preserve"> HYPERLINK \l "_heading=h.fmcjuok976cz" </w:instrText>
      </w:r>
      <w:r>
        <w:rPr/>
        <w:fldChar w:fldCharType="separate"/>
      </w:r>
      <w:r>
        <w:rPr>
          <w:rFonts w:ascii="Times New Roman" w:cs="Times New Roman" w:eastAsia="Times New Roman" w:hAnsi="Times New Roman"/>
          <w:color w:val="000000"/>
          <w:sz w:val="24"/>
          <w:szCs w:val="24"/>
        </w:rPr>
        <w:t>1.2 Strategic Recommendations for NexSpace Health Systems</w:t>
      </w:r>
      <w:r>
        <w:rPr>
          <w:rFonts w:ascii="Times New Roman" w:cs="Times New Roman" w:eastAsia="Times New Roman" w:hAnsi="Times New Roman"/>
          <w:color w:val="000000"/>
          <w:sz w:val="24"/>
          <w:szCs w:val="24"/>
        </w:rPr>
        <w:tab/>
      </w:r>
      <w:r>
        <w:rPr>
          <w:rFonts w:ascii="Times New Roman" w:cs="Times New Roman" w:eastAsia="Times New Roman" w:hAnsi="Times New Roman"/>
          <w:color w:val="000000"/>
          <w:sz w:val="24"/>
          <w:szCs w:val="24"/>
        </w:rPr>
        <w:t>5</w:t>
      </w:r>
      <w:r>
        <w:rPr/>
        <w:fldChar w:fldCharType="end"/>
      </w:r>
    </w:p>
    <w:p w14:paraId="754083DF">
      <w:pPr>
        <w:pStyle w:val="style0"/>
        <w:pBdr>
          <w:left w:val="nil"/>
          <w:right w:val="nil"/>
          <w:top w:val="nil"/>
          <w:bottom w:val="nil"/>
          <w:between w:val="nil"/>
        </w:pBdr>
        <w:tabs>
          <w:tab w:val="right" w:leader="dot" w:pos="9016"/>
        </w:tabs>
        <w:spacing w:after="100" w:lineRule="auto" w:line="360"/>
        <w:ind w:left="440"/>
        <w:jc w:val="both"/>
        <w:rPr>
          <w:rFonts w:ascii="Times New Roman" w:cs="Times New Roman" w:eastAsia="Times New Roman" w:hAnsi="Times New Roman"/>
          <w:color w:val="000000"/>
          <w:sz w:val="24"/>
          <w:szCs w:val="24"/>
        </w:rPr>
      </w:pPr>
      <w:r>
        <w:rPr/>
        <w:fldChar w:fldCharType="begin"/>
      </w:r>
      <w:r>
        <w:instrText xml:space="preserve"> HYPERLINK \l "_heading=h.8euvt9au74xy" </w:instrText>
      </w:r>
      <w:r>
        <w:rPr/>
        <w:fldChar w:fldCharType="separate"/>
      </w:r>
      <w:r>
        <w:rPr>
          <w:rFonts w:ascii="Times New Roman" w:cs="Times New Roman" w:eastAsia="Times New Roman" w:hAnsi="Times New Roman"/>
          <w:color w:val="000000"/>
          <w:sz w:val="24"/>
          <w:szCs w:val="24"/>
        </w:rPr>
        <w:t>1.2.1 Agile Project Teams &amp; Employee Autonomy</w:t>
      </w:r>
      <w:r>
        <w:rPr>
          <w:rFonts w:ascii="Times New Roman" w:cs="Times New Roman" w:eastAsia="Times New Roman" w:hAnsi="Times New Roman"/>
          <w:color w:val="000000"/>
          <w:sz w:val="24"/>
          <w:szCs w:val="24"/>
        </w:rPr>
        <w:tab/>
      </w:r>
      <w:r>
        <w:rPr>
          <w:rFonts w:ascii="Times New Roman" w:cs="Times New Roman" w:eastAsia="Times New Roman" w:hAnsi="Times New Roman"/>
          <w:color w:val="000000"/>
          <w:sz w:val="24"/>
          <w:szCs w:val="24"/>
        </w:rPr>
        <w:t>5</w:t>
      </w:r>
      <w:r>
        <w:rPr/>
        <w:fldChar w:fldCharType="end"/>
      </w:r>
    </w:p>
    <w:p w14:paraId="4710092F">
      <w:pPr>
        <w:pStyle w:val="style0"/>
        <w:pBdr>
          <w:left w:val="nil"/>
          <w:right w:val="nil"/>
          <w:top w:val="nil"/>
          <w:bottom w:val="nil"/>
          <w:between w:val="nil"/>
        </w:pBdr>
        <w:tabs>
          <w:tab w:val="right" w:leader="dot" w:pos="9016"/>
        </w:tabs>
        <w:spacing w:after="100" w:lineRule="auto" w:line="360"/>
        <w:ind w:left="440"/>
        <w:jc w:val="both"/>
        <w:rPr>
          <w:rFonts w:ascii="Times New Roman" w:cs="Times New Roman" w:eastAsia="Times New Roman" w:hAnsi="Times New Roman"/>
          <w:color w:val="000000"/>
          <w:sz w:val="24"/>
          <w:szCs w:val="24"/>
        </w:rPr>
      </w:pPr>
      <w:r>
        <w:rPr/>
        <w:fldChar w:fldCharType="begin"/>
      </w:r>
      <w:r>
        <w:instrText xml:space="preserve"> HYPERLINK \l "_heading=h.d9u3iu3km3h4" </w:instrText>
      </w:r>
      <w:r>
        <w:rPr/>
        <w:fldChar w:fldCharType="separate"/>
      </w:r>
      <w:r>
        <w:rPr>
          <w:rFonts w:ascii="Times New Roman" w:cs="Times New Roman" w:eastAsia="Times New Roman" w:hAnsi="Times New Roman"/>
          <w:color w:val="000000"/>
          <w:sz w:val="24"/>
          <w:szCs w:val="24"/>
        </w:rPr>
        <w:t>1.2.2 Redesigning Hybrid &amp; Flexible Working Frameworks</w:t>
      </w:r>
      <w:r>
        <w:rPr>
          <w:rFonts w:ascii="Times New Roman" w:cs="Times New Roman" w:eastAsia="Times New Roman" w:hAnsi="Times New Roman"/>
          <w:color w:val="000000"/>
          <w:sz w:val="24"/>
          <w:szCs w:val="24"/>
        </w:rPr>
        <w:tab/>
      </w:r>
      <w:r>
        <w:rPr>
          <w:rFonts w:ascii="Times New Roman" w:cs="Times New Roman" w:eastAsia="Times New Roman" w:hAnsi="Times New Roman"/>
          <w:color w:val="000000"/>
          <w:sz w:val="24"/>
          <w:szCs w:val="24"/>
        </w:rPr>
        <w:t>6</w:t>
      </w:r>
      <w:r>
        <w:rPr/>
        <w:fldChar w:fldCharType="end"/>
      </w:r>
    </w:p>
    <w:p w14:paraId="4D3D1DA0">
      <w:pPr>
        <w:pStyle w:val="style0"/>
        <w:pBdr>
          <w:left w:val="nil"/>
          <w:right w:val="nil"/>
          <w:top w:val="nil"/>
          <w:bottom w:val="nil"/>
          <w:between w:val="nil"/>
        </w:pBdr>
        <w:tabs>
          <w:tab w:val="right" w:leader="dot" w:pos="9016"/>
        </w:tabs>
        <w:spacing w:after="100" w:lineRule="auto" w:line="360"/>
        <w:ind w:left="440"/>
        <w:jc w:val="both"/>
        <w:rPr>
          <w:rFonts w:ascii="Times New Roman" w:cs="Times New Roman" w:eastAsia="Times New Roman" w:hAnsi="Times New Roman"/>
          <w:color w:val="000000"/>
          <w:sz w:val="24"/>
          <w:szCs w:val="24"/>
        </w:rPr>
      </w:pPr>
      <w:r>
        <w:rPr/>
        <w:fldChar w:fldCharType="begin"/>
      </w:r>
      <w:r>
        <w:instrText xml:space="preserve"> HYPERLINK \l "_heading=h.t1pci8cca89r" </w:instrText>
      </w:r>
      <w:r>
        <w:rPr/>
        <w:fldChar w:fldCharType="separate"/>
      </w:r>
      <w:r>
        <w:rPr>
          <w:rFonts w:ascii="Times New Roman" w:cs="Times New Roman" w:eastAsia="Times New Roman" w:hAnsi="Times New Roman"/>
          <w:color w:val="000000"/>
          <w:sz w:val="24"/>
          <w:szCs w:val="24"/>
        </w:rPr>
        <w:t>1.2.3 Digital Collaboration Infrastructure</w:t>
      </w:r>
      <w:r>
        <w:rPr>
          <w:rFonts w:ascii="Times New Roman" w:cs="Times New Roman" w:eastAsia="Times New Roman" w:hAnsi="Times New Roman"/>
          <w:color w:val="000000"/>
          <w:sz w:val="24"/>
          <w:szCs w:val="24"/>
        </w:rPr>
        <w:tab/>
      </w:r>
      <w:r>
        <w:rPr>
          <w:rFonts w:ascii="Times New Roman" w:cs="Times New Roman" w:eastAsia="Times New Roman" w:hAnsi="Times New Roman"/>
          <w:color w:val="000000"/>
          <w:sz w:val="24"/>
          <w:szCs w:val="24"/>
        </w:rPr>
        <w:t>6</w:t>
      </w:r>
      <w:r>
        <w:rPr/>
        <w:fldChar w:fldCharType="end"/>
      </w:r>
    </w:p>
    <w:p w14:paraId="3CA65CE4">
      <w:pPr>
        <w:pStyle w:val="style0"/>
        <w:pBdr>
          <w:left w:val="nil"/>
          <w:right w:val="nil"/>
          <w:top w:val="nil"/>
          <w:bottom w:val="nil"/>
          <w:between w:val="nil"/>
        </w:pBdr>
        <w:tabs>
          <w:tab w:val="right" w:leader="dot" w:pos="9016"/>
        </w:tabs>
        <w:spacing w:after="100" w:lineRule="auto" w:line="360"/>
        <w:ind w:left="220"/>
        <w:jc w:val="both"/>
        <w:rPr>
          <w:rFonts w:ascii="Times New Roman" w:cs="Times New Roman" w:eastAsia="Times New Roman" w:hAnsi="Times New Roman"/>
          <w:color w:val="000000"/>
          <w:sz w:val="24"/>
          <w:szCs w:val="24"/>
        </w:rPr>
      </w:pPr>
      <w:r>
        <w:rPr/>
        <w:fldChar w:fldCharType="begin"/>
      </w:r>
      <w:r>
        <w:instrText xml:space="preserve"> HYPERLINK \l "_heading=h.5bfciw568zdv" </w:instrText>
      </w:r>
      <w:r>
        <w:rPr/>
        <w:fldChar w:fldCharType="separate"/>
      </w:r>
      <w:r>
        <w:rPr>
          <w:rFonts w:ascii="Times New Roman" w:cs="Times New Roman" w:eastAsia="Times New Roman" w:hAnsi="Times New Roman"/>
          <w:color w:val="000000"/>
          <w:sz w:val="24"/>
          <w:szCs w:val="24"/>
        </w:rPr>
        <w:t>1.3 Performance Justification &amp; Strategic Alignment</w:t>
      </w:r>
      <w:r>
        <w:rPr>
          <w:rFonts w:ascii="Times New Roman" w:cs="Times New Roman" w:eastAsia="Times New Roman" w:hAnsi="Times New Roman"/>
          <w:color w:val="000000"/>
          <w:sz w:val="24"/>
          <w:szCs w:val="24"/>
        </w:rPr>
        <w:tab/>
      </w:r>
      <w:r>
        <w:rPr>
          <w:rFonts w:ascii="Times New Roman" w:cs="Times New Roman" w:eastAsia="Times New Roman" w:hAnsi="Times New Roman"/>
          <w:color w:val="000000"/>
          <w:sz w:val="24"/>
          <w:szCs w:val="24"/>
        </w:rPr>
        <w:t>6</w:t>
      </w:r>
      <w:r>
        <w:rPr/>
        <w:fldChar w:fldCharType="end"/>
      </w:r>
    </w:p>
    <w:p w14:paraId="55466188">
      <w:pPr>
        <w:pStyle w:val="style0"/>
        <w:pBdr>
          <w:left w:val="nil"/>
          <w:right w:val="nil"/>
          <w:top w:val="nil"/>
          <w:bottom w:val="nil"/>
          <w:between w:val="nil"/>
        </w:pBdr>
        <w:tabs>
          <w:tab w:val="right" w:leader="dot" w:pos="9016"/>
        </w:tabs>
        <w:spacing w:after="100" w:lineRule="auto" w:line="360"/>
        <w:jc w:val="both"/>
        <w:rPr>
          <w:rFonts w:ascii="Times New Roman" w:cs="Times New Roman" w:eastAsia="Times New Roman" w:hAnsi="Times New Roman"/>
          <w:color w:val="000000"/>
          <w:sz w:val="24"/>
          <w:szCs w:val="24"/>
        </w:rPr>
      </w:pPr>
      <w:r>
        <w:rPr/>
        <w:fldChar w:fldCharType="begin"/>
      </w:r>
      <w:r>
        <w:instrText xml:space="preserve"> HYPERLINK \l "_heading=h.wbxcpn31b0u3" </w:instrText>
      </w:r>
      <w:r>
        <w:rPr/>
        <w:fldChar w:fldCharType="separate"/>
      </w:r>
      <w:r>
        <w:rPr>
          <w:rFonts w:ascii="Times New Roman" w:cs="Times New Roman" w:eastAsia="Times New Roman" w:hAnsi="Times New Roman"/>
          <w:color w:val="000000"/>
          <w:sz w:val="24"/>
          <w:szCs w:val="24"/>
        </w:rPr>
        <w:t>TASK B: Breeding an Environment Where Talent May Grow</w:t>
      </w:r>
      <w:r>
        <w:rPr>
          <w:rFonts w:ascii="Times New Roman" w:cs="Times New Roman" w:eastAsia="Times New Roman" w:hAnsi="Times New Roman"/>
          <w:color w:val="000000"/>
          <w:sz w:val="24"/>
          <w:szCs w:val="24"/>
        </w:rPr>
        <w:tab/>
      </w:r>
      <w:r>
        <w:rPr>
          <w:rFonts w:ascii="Times New Roman" w:cs="Times New Roman" w:eastAsia="Times New Roman" w:hAnsi="Times New Roman"/>
          <w:color w:val="000000"/>
          <w:sz w:val="24"/>
          <w:szCs w:val="24"/>
        </w:rPr>
        <w:t>7</w:t>
      </w:r>
      <w:r>
        <w:rPr/>
        <w:fldChar w:fldCharType="end"/>
      </w:r>
    </w:p>
    <w:p w14:paraId="08187BEC">
      <w:pPr>
        <w:pStyle w:val="style0"/>
        <w:pBdr>
          <w:left w:val="nil"/>
          <w:right w:val="nil"/>
          <w:top w:val="nil"/>
          <w:bottom w:val="nil"/>
          <w:between w:val="nil"/>
        </w:pBdr>
        <w:tabs>
          <w:tab w:val="right" w:leader="dot" w:pos="9016"/>
        </w:tabs>
        <w:spacing w:after="100" w:lineRule="auto" w:line="360"/>
        <w:ind w:left="220"/>
        <w:jc w:val="both"/>
        <w:rPr>
          <w:rFonts w:ascii="Times New Roman" w:cs="Times New Roman" w:eastAsia="Times New Roman" w:hAnsi="Times New Roman"/>
          <w:color w:val="000000"/>
          <w:sz w:val="24"/>
          <w:szCs w:val="24"/>
        </w:rPr>
      </w:pPr>
      <w:r>
        <w:rPr/>
        <w:fldChar w:fldCharType="begin"/>
      </w:r>
      <w:r>
        <w:instrText xml:space="preserve"> HYPERLINK \l "_heading=h.g1eh0cn5jwrb" </w:instrText>
      </w:r>
      <w:r>
        <w:rPr/>
        <w:fldChar w:fldCharType="separate"/>
      </w:r>
      <w:r>
        <w:rPr>
          <w:rFonts w:ascii="Times New Roman" w:cs="Times New Roman" w:eastAsia="Times New Roman" w:hAnsi="Times New Roman"/>
          <w:color w:val="000000"/>
          <w:sz w:val="24"/>
          <w:szCs w:val="24"/>
        </w:rPr>
        <w:t>2.1 Theoretical Frameworks for Talent Flourishing</w:t>
      </w:r>
      <w:r>
        <w:rPr>
          <w:rFonts w:ascii="Times New Roman" w:cs="Times New Roman" w:eastAsia="Times New Roman" w:hAnsi="Times New Roman"/>
          <w:color w:val="000000"/>
          <w:sz w:val="24"/>
          <w:szCs w:val="24"/>
        </w:rPr>
        <w:tab/>
      </w:r>
      <w:r>
        <w:rPr>
          <w:rFonts w:ascii="Times New Roman" w:cs="Times New Roman" w:eastAsia="Times New Roman" w:hAnsi="Times New Roman"/>
          <w:color w:val="000000"/>
          <w:sz w:val="24"/>
          <w:szCs w:val="24"/>
        </w:rPr>
        <w:t>7</w:t>
      </w:r>
      <w:r>
        <w:rPr/>
        <w:fldChar w:fldCharType="end"/>
      </w:r>
    </w:p>
    <w:p w14:paraId="2E56B439">
      <w:pPr>
        <w:pStyle w:val="style0"/>
        <w:pBdr>
          <w:left w:val="nil"/>
          <w:right w:val="nil"/>
          <w:top w:val="nil"/>
          <w:bottom w:val="nil"/>
          <w:between w:val="nil"/>
        </w:pBdr>
        <w:tabs>
          <w:tab w:val="right" w:leader="dot" w:pos="9016"/>
        </w:tabs>
        <w:spacing w:after="100" w:lineRule="auto" w:line="360"/>
        <w:ind w:left="440"/>
        <w:jc w:val="both"/>
        <w:rPr>
          <w:rFonts w:ascii="Times New Roman" w:cs="Times New Roman" w:eastAsia="Times New Roman" w:hAnsi="Times New Roman"/>
          <w:color w:val="000000"/>
          <w:sz w:val="24"/>
          <w:szCs w:val="24"/>
        </w:rPr>
      </w:pPr>
      <w:r>
        <w:rPr/>
        <w:fldChar w:fldCharType="begin"/>
      </w:r>
      <w:r>
        <w:instrText xml:space="preserve"> HYPERLINK \l "_heading=h.chwubsig5xhk" </w:instrText>
      </w:r>
      <w:r>
        <w:rPr/>
        <w:fldChar w:fldCharType="separate"/>
      </w:r>
      <w:r>
        <w:rPr>
          <w:rFonts w:ascii="Times New Roman" w:cs="Times New Roman" w:eastAsia="Times New Roman" w:hAnsi="Times New Roman"/>
          <w:color w:val="000000"/>
          <w:sz w:val="24"/>
          <w:szCs w:val="24"/>
        </w:rPr>
        <w:t>2.1.1 Senge’s Learning Organisation &amp; Dweck’s Growth Mindset</w:t>
      </w:r>
      <w:r>
        <w:rPr>
          <w:rFonts w:ascii="Times New Roman" w:cs="Times New Roman" w:eastAsia="Times New Roman" w:hAnsi="Times New Roman"/>
          <w:color w:val="000000"/>
          <w:sz w:val="24"/>
          <w:szCs w:val="24"/>
        </w:rPr>
        <w:tab/>
      </w:r>
      <w:r>
        <w:rPr>
          <w:rFonts w:ascii="Times New Roman" w:cs="Times New Roman" w:eastAsia="Times New Roman" w:hAnsi="Times New Roman"/>
          <w:color w:val="000000"/>
          <w:sz w:val="24"/>
          <w:szCs w:val="24"/>
        </w:rPr>
        <w:t>7</w:t>
      </w:r>
      <w:r>
        <w:rPr/>
        <w:fldChar w:fldCharType="end"/>
      </w:r>
    </w:p>
    <w:p w14:paraId="4F4CBDFB">
      <w:pPr>
        <w:pStyle w:val="style0"/>
        <w:pBdr>
          <w:left w:val="nil"/>
          <w:right w:val="nil"/>
          <w:top w:val="nil"/>
          <w:bottom w:val="nil"/>
          <w:between w:val="nil"/>
        </w:pBdr>
        <w:tabs>
          <w:tab w:val="right" w:leader="dot" w:pos="9016"/>
        </w:tabs>
        <w:spacing w:after="100" w:lineRule="auto" w:line="360"/>
        <w:ind w:left="440"/>
        <w:jc w:val="both"/>
        <w:rPr>
          <w:rFonts w:ascii="Times New Roman" w:cs="Times New Roman" w:eastAsia="Times New Roman" w:hAnsi="Times New Roman"/>
          <w:color w:val="000000"/>
          <w:sz w:val="24"/>
          <w:szCs w:val="24"/>
        </w:rPr>
      </w:pPr>
      <w:r>
        <w:rPr/>
        <w:fldChar w:fldCharType="begin"/>
      </w:r>
      <w:r>
        <w:instrText xml:space="preserve"> HYPERLINK \l "_heading=h.g51y5xikf9aw" </w:instrText>
      </w:r>
      <w:r>
        <w:rPr/>
        <w:fldChar w:fldCharType="separate"/>
      </w:r>
      <w:r>
        <w:rPr>
          <w:rFonts w:ascii="Times New Roman" w:cs="Times New Roman" w:eastAsia="Times New Roman" w:hAnsi="Times New Roman"/>
          <w:color w:val="000000"/>
          <w:sz w:val="24"/>
          <w:szCs w:val="24"/>
        </w:rPr>
        <w:t>2.1.2 Edmondson’s Psychological Safety &amp; Self-Determination Theory (SDT)</w:t>
      </w:r>
      <w:r>
        <w:rPr>
          <w:rFonts w:ascii="Times New Roman" w:cs="Times New Roman" w:eastAsia="Times New Roman" w:hAnsi="Times New Roman"/>
          <w:color w:val="000000"/>
          <w:sz w:val="24"/>
          <w:szCs w:val="24"/>
        </w:rPr>
        <w:tab/>
      </w:r>
      <w:r>
        <w:rPr>
          <w:rFonts w:ascii="Times New Roman" w:cs="Times New Roman" w:eastAsia="Times New Roman" w:hAnsi="Times New Roman"/>
          <w:color w:val="000000"/>
          <w:sz w:val="24"/>
          <w:szCs w:val="24"/>
        </w:rPr>
        <w:t>8</w:t>
      </w:r>
      <w:r>
        <w:rPr/>
        <w:fldChar w:fldCharType="end"/>
      </w:r>
    </w:p>
    <w:p w14:paraId="4E2126C4">
      <w:pPr>
        <w:pStyle w:val="style0"/>
        <w:pBdr>
          <w:left w:val="nil"/>
          <w:right w:val="nil"/>
          <w:top w:val="nil"/>
          <w:bottom w:val="nil"/>
          <w:between w:val="nil"/>
        </w:pBdr>
        <w:tabs>
          <w:tab w:val="right" w:leader="dot" w:pos="9016"/>
        </w:tabs>
        <w:spacing w:after="100" w:lineRule="auto" w:line="360"/>
        <w:ind w:left="440"/>
        <w:jc w:val="both"/>
        <w:rPr>
          <w:rFonts w:ascii="Times New Roman" w:cs="Times New Roman" w:eastAsia="Times New Roman" w:hAnsi="Times New Roman"/>
          <w:color w:val="000000"/>
          <w:sz w:val="24"/>
          <w:szCs w:val="24"/>
        </w:rPr>
      </w:pPr>
      <w:r>
        <w:rPr/>
        <w:fldChar w:fldCharType="begin"/>
      </w:r>
      <w:r>
        <w:instrText xml:space="preserve"> HYPERLINK \l "_heading=h.ual03hbblp4a" </w:instrText>
      </w:r>
      <w:r>
        <w:rPr/>
        <w:fldChar w:fldCharType="separate"/>
      </w:r>
      <w:r>
        <w:rPr>
          <w:rFonts w:ascii="Times New Roman" w:cs="Times New Roman" w:eastAsia="Times New Roman" w:hAnsi="Times New Roman"/>
          <w:color w:val="000000"/>
          <w:sz w:val="24"/>
          <w:szCs w:val="24"/>
        </w:rPr>
        <w:t>2.1.3 Job Crafting &amp; Employee Experience (EX) Models</w:t>
      </w:r>
      <w:r>
        <w:rPr>
          <w:rFonts w:ascii="Times New Roman" w:cs="Times New Roman" w:eastAsia="Times New Roman" w:hAnsi="Times New Roman"/>
          <w:color w:val="000000"/>
          <w:sz w:val="24"/>
          <w:szCs w:val="24"/>
        </w:rPr>
        <w:tab/>
      </w:r>
      <w:r>
        <w:rPr>
          <w:rFonts w:ascii="Times New Roman" w:cs="Times New Roman" w:eastAsia="Times New Roman" w:hAnsi="Times New Roman"/>
          <w:color w:val="000000"/>
          <w:sz w:val="24"/>
          <w:szCs w:val="24"/>
        </w:rPr>
        <w:t>9</w:t>
      </w:r>
      <w:r>
        <w:rPr/>
        <w:fldChar w:fldCharType="end"/>
      </w:r>
    </w:p>
    <w:p w14:paraId="68D90C36">
      <w:pPr>
        <w:pStyle w:val="style0"/>
        <w:pBdr>
          <w:left w:val="nil"/>
          <w:right w:val="nil"/>
          <w:top w:val="nil"/>
          <w:bottom w:val="nil"/>
          <w:between w:val="nil"/>
        </w:pBdr>
        <w:tabs>
          <w:tab w:val="right" w:leader="dot" w:pos="9016"/>
        </w:tabs>
        <w:spacing w:after="100" w:lineRule="auto" w:line="360"/>
        <w:ind w:left="220"/>
        <w:jc w:val="both"/>
        <w:rPr>
          <w:rFonts w:ascii="Times New Roman" w:cs="Times New Roman" w:eastAsia="Times New Roman" w:hAnsi="Times New Roman"/>
          <w:color w:val="000000"/>
          <w:sz w:val="24"/>
          <w:szCs w:val="24"/>
        </w:rPr>
      </w:pPr>
      <w:r>
        <w:rPr/>
        <w:fldChar w:fldCharType="begin"/>
      </w:r>
      <w:r>
        <w:instrText xml:space="preserve"> HYPERLINK \l "_heading=h.dc0zoknyfsvk" </w:instrText>
      </w:r>
      <w:r>
        <w:rPr/>
        <w:fldChar w:fldCharType="separate"/>
      </w:r>
      <w:r>
        <w:rPr>
          <w:rFonts w:ascii="Times New Roman" w:cs="Times New Roman" w:eastAsia="Times New Roman" w:hAnsi="Times New Roman"/>
          <w:color w:val="000000"/>
          <w:sz w:val="24"/>
          <w:szCs w:val="24"/>
        </w:rPr>
        <w:t>2.2 Integrated Talent Growth Strategy for NHSX</w:t>
      </w:r>
      <w:r>
        <w:rPr>
          <w:rFonts w:ascii="Times New Roman" w:cs="Times New Roman" w:eastAsia="Times New Roman" w:hAnsi="Times New Roman"/>
          <w:color w:val="000000"/>
          <w:sz w:val="24"/>
          <w:szCs w:val="24"/>
        </w:rPr>
        <w:tab/>
      </w:r>
      <w:r>
        <w:rPr>
          <w:rFonts w:ascii="Times New Roman" w:cs="Times New Roman" w:eastAsia="Times New Roman" w:hAnsi="Times New Roman"/>
          <w:color w:val="000000"/>
          <w:sz w:val="24"/>
          <w:szCs w:val="24"/>
        </w:rPr>
        <w:t>10</w:t>
      </w:r>
      <w:r>
        <w:rPr/>
        <w:fldChar w:fldCharType="end"/>
      </w:r>
    </w:p>
    <w:p w14:paraId="69B659BE">
      <w:pPr>
        <w:pStyle w:val="style0"/>
        <w:pBdr>
          <w:left w:val="nil"/>
          <w:right w:val="nil"/>
          <w:top w:val="nil"/>
          <w:bottom w:val="nil"/>
          <w:between w:val="nil"/>
        </w:pBdr>
        <w:tabs>
          <w:tab w:val="right" w:leader="dot" w:pos="9016"/>
        </w:tabs>
        <w:spacing w:after="100" w:lineRule="auto" w:line="360"/>
        <w:ind w:left="440"/>
        <w:jc w:val="both"/>
        <w:rPr>
          <w:rFonts w:ascii="Times New Roman" w:cs="Times New Roman" w:eastAsia="Times New Roman" w:hAnsi="Times New Roman"/>
          <w:color w:val="000000"/>
          <w:sz w:val="24"/>
          <w:szCs w:val="24"/>
        </w:rPr>
      </w:pPr>
      <w:r>
        <w:rPr/>
        <w:fldChar w:fldCharType="begin"/>
      </w:r>
      <w:r>
        <w:instrText xml:space="preserve"> HYPERLINK \l "_heading=h.oj4tw2vl4g2g" </w:instrText>
      </w:r>
      <w:r>
        <w:rPr/>
        <w:fldChar w:fldCharType="separate"/>
      </w:r>
      <w:r>
        <w:rPr>
          <w:rFonts w:ascii="Times New Roman" w:cs="Times New Roman" w:eastAsia="Times New Roman" w:hAnsi="Times New Roman"/>
          <w:color w:val="000000"/>
          <w:sz w:val="24"/>
          <w:szCs w:val="24"/>
        </w:rPr>
        <w:t>2.2.1 Continuous Learning &amp; AI Capability Ecosystem</w:t>
      </w:r>
      <w:r>
        <w:rPr>
          <w:rFonts w:ascii="Times New Roman" w:cs="Times New Roman" w:eastAsia="Times New Roman" w:hAnsi="Times New Roman"/>
          <w:color w:val="000000"/>
          <w:sz w:val="24"/>
          <w:szCs w:val="24"/>
        </w:rPr>
        <w:tab/>
      </w:r>
      <w:r>
        <w:rPr>
          <w:rFonts w:ascii="Times New Roman" w:cs="Times New Roman" w:eastAsia="Times New Roman" w:hAnsi="Times New Roman"/>
          <w:color w:val="000000"/>
          <w:sz w:val="24"/>
          <w:szCs w:val="24"/>
        </w:rPr>
        <w:t>10</w:t>
      </w:r>
      <w:r>
        <w:rPr/>
        <w:fldChar w:fldCharType="end"/>
      </w:r>
    </w:p>
    <w:p w14:paraId="139DBDF8">
      <w:pPr>
        <w:pStyle w:val="style0"/>
        <w:pBdr>
          <w:left w:val="nil"/>
          <w:right w:val="nil"/>
          <w:top w:val="nil"/>
          <w:bottom w:val="nil"/>
          <w:between w:val="nil"/>
        </w:pBdr>
        <w:tabs>
          <w:tab w:val="right" w:leader="dot" w:pos="9016"/>
        </w:tabs>
        <w:spacing w:after="100" w:lineRule="auto" w:line="360"/>
        <w:ind w:left="440"/>
        <w:jc w:val="both"/>
        <w:rPr>
          <w:rFonts w:ascii="Times New Roman" w:cs="Times New Roman" w:eastAsia="Times New Roman" w:hAnsi="Times New Roman"/>
          <w:color w:val="000000"/>
          <w:sz w:val="24"/>
          <w:szCs w:val="24"/>
        </w:rPr>
      </w:pPr>
      <w:r>
        <w:rPr/>
        <w:fldChar w:fldCharType="begin"/>
      </w:r>
      <w:r>
        <w:instrText xml:space="preserve"> HYPERLINK \l "_heading=h.ezzeyrteqhv9" </w:instrText>
      </w:r>
      <w:r>
        <w:rPr/>
        <w:fldChar w:fldCharType="separate"/>
      </w:r>
      <w:r>
        <w:rPr>
          <w:rFonts w:ascii="Times New Roman" w:cs="Times New Roman" w:eastAsia="Times New Roman" w:hAnsi="Times New Roman"/>
          <w:color w:val="000000"/>
          <w:sz w:val="24"/>
          <w:szCs w:val="24"/>
        </w:rPr>
        <w:t>2.2.2 Fostering Psychological Safety &amp; Wellbeing</w:t>
      </w:r>
      <w:r>
        <w:rPr>
          <w:rFonts w:ascii="Times New Roman" w:cs="Times New Roman" w:eastAsia="Times New Roman" w:hAnsi="Times New Roman"/>
          <w:color w:val="000000"/>
          <w:sz w:val="24"/>
          <w:szCs w:val="24"/>
        </w:rPr>
        <w:tab/>
      </w:r>
      <w:r>
        <w:rPr>
          <w:rFonts w:ascii="Times New Roman" w:cs="Times New Roman" w:eastAsia="Times New Roman" w:hAnsi="Times New Roman"/>
          <w:color w:val="000000"/>
          <w:sz w:val="24"/>
          <w:szCs w:val="24"/>
        </w:rPr>
        <w:t>10</w:t>
      </w:r>
      <w:r>
        <w:rPr/>
        <w:fldChar w:fldCharType="end"/>
      </w:r>
    </w:p>
    <w:p w14:paraId="258D94CF">
      <w:pPr>
        <w:pStyle w:val="style0"/>
        <w:pBdr>
          <w:left w:val="nil"/>
          <w:right w:val="nil"/>
          <w:top w:val="nil"/>
          <w:bottom w:val="nil"/>
          <w:between w:val="nil"/>
        </w:pBdr>
        <w:tabs>
          <w:tab w:val="right" w:leader="dot" w:pos="9016"/>
        </w:tabs>
        <w:spacing w:after="100" w:lineRule="auto" w:line="360"/>
        <w:ind w:left="440"/>
        <w:jc w:val="both"/>
        <w:rPr>
          <w:rFonts w:ascii="Times New Roman" w:cs="Times New Roman" w:eastAsia="Times New Roman" w:hAnsi="Times New Roman"/>
          <w:color w:val="000000"/>
          <w:sz w:val="24"/>
          <w:szCs w:val="24"/>
        </w:rPr>
      </w:pPr>
      <w:r>
        <w:rPr/>
        <w:fldChar w:fldCharType="begin"/>
      </w:r>
      <w:r>
        <w:instrText xml:space="preserve"> HYPERLINK \l "_heading=h.566zjnajfjlf" </w:instrText>
      </w:r>
      <w:r>
        <w:rPr/>
        <w:fldChar w:fldCharType="separate"/>
      </w:r>
      <w:r>
        <w:rPr>
          <w:rFonts w:ascii="Times New Roman" w:cs="Times New Roman" w:eastAsia="Times New Roman" w:hAnsi="Times New Roman"/>
          <w:color w:val="000000"/>
          <w:sz w:val="24"/>
          <w:szCs w:val="24"/>
        </w:rPr>
        <w:t>2.2.3 Global Knowledge-Sharing &amp; Career Pathway Networks</w:t>
      </w:r>
      <w:r>
        <w:rPr>
          <w:rFonts w:ascii="Times New Roman" w:cs="Times New Roman" w:eastAsia="Times New Roman" w:hAnsi="Times New Roman"/>
          <w:color w:val="000000"/>
          <w:sz w:val="24"/>
          <w:szCs w:val="24"/>
        </w:rPr>
        <w:tab/>
      </w:r>
      <w:r>
        <w:rPr>
          <w:rFonts w:ascii="Times New Roman" w:cs="Times New Roman" w:eastAsia="Times New Roman" w:hAnsi="Times New Roman"/>
          <w:color w:val="000000"/>
          <w:sz w:val="24"/>
          <w:szCs w:val="24"/>
        </w:rPr>
        <w:t>11</w:t>
      </w:r>
      <w:r>
        <w:rPr/>
        <w:fldChar w:fldCharType="end"/>
      </w:r>
    </w:p>
    <w:p w14:paraId="43928824">
      <w:pPr>
        <w:pStyle w:val="style0"/>
        <w:pBdr>
          <w:left w:val="nil"/>
          <w:right w:val="nil"/>
          <w:top w:val="nil"/>
          <w:bottom w:val="nil"/>
          <w:between w:val="nil"/>
        </w:pBdr>
        <w:tabs>
          <w:tab w:val="right" w:leader="dot" w:pos="9016"/>
        </w:tabs>
        <w:spacing w:after="100" w:lineRule="auto" w:line="360"/>
        <w:ind w:left="220"/>
        <w:jc w:val="both"/>
        <w:rPr>
          <w:rFonts w:ascii="Times New Roman" w:cs="Times New Roman" w:eastAsia="Times New Roman" w:hAnsi="Times New Roman"/>
          <w:color w:val="000000"/>
          <w:sz w:val="24"/>
          <w:szCs w:val="24"/>
        </w:rPr>
      </w:pPr>
      <w:r>
        <w:rPr/>
        <w:fldChar w:fldCharType="begin"/>
      </w:r>
      <w:r>
        <w:instrText xml:space="preserve"> HYPERLINK \l "_heading=h.upgfifbetcsh" </w:instrText>
      </w:r>
      <w:r>
        <w:rPr/>
        <w:fldChar w:fldCharType="separate"/>
      </w:r>
      <w:r>
        <w:rPr>
          <w:rFonts w:ascii="Times New Roman" w:cs="Times New Roman" w:eastAsia="Times New Roman" w:hAnsi="Times New Roman"/>
          <w:color w:val="000000"/>
          <w:sz w:val="24"/>
          <w:szCs w:val="24"/>
        </w:rPr>
        <w:t>2.3 Evaluation &amp; Long-Term Talent Retention</w:t>
      </w:r>
      <w:r>
        <w:rPr>
          <w:rFonts w:ascii="Times New Roman" w:cs="Times New Roman" w:eastAsia="Times New Roman" w:hAnsi="Times New Roman"/>
          <w:color w:val="000000"/>
          <w:sz w:val="24"/>
          <w:szCs w:val="24"/>
        </w:rPr>
        <w:tab/>
      </w:r>
      <w:r>
        <w:rPr>
          <w:rFonts w:ascii="Times New Roman" w:cs="Times New Roman" w:eastAsia="Times New Roman" w:hAnsi="Times New Roman"/>
          <w:color w:val="000000"/>
          <w:sz w:val="24"/>
          <w:szCs w:val="24"/>
        </w:rPr>
        <w:t>11</w:t>
      </w:r>
      <w:r>
        <w:rPr/>
        <w:fldChar w:fldCharType="end"/>
      </w:r>
    </w:p>
    <w:p w14:paraId="677D96BB">
      <w:pPr>
        <w:pStyle w:val="style0"/>
        <w:pBdr>
          <w:left w:val="nil"/>
          <w:right w:val="nil"/>
          <w:top w:val="nil"/>
          <w:bottom w:val="nil"/>
          <w:between w:val="nil"/>
        </w:pBdr>
        <w:tabs>
          <w:tab w:val="right" w:leader="dot" w:pos="9016"/>
        </w:tabs>
        <w:spacing w:after="100" w:lineRule="auto" w:line="360"/>
        <w:jc w:val="both"/>
        <w:rPr>
          <w:rFonts w:ascii="Times New Roman" w:cs="Times New Roman" w:eastAsia="Times New Roman" w:hAnsi="Times New Roman"/>
          <w:color w:val="000000"/>
          <w:sz w:val="24"/>
          <w:szCs w:val="24"/>
        </w:rPr>
      </w:pPr>
      <w:r>
        <w:rPr/>
        <w:fldChar w:fldCharType="begin"/>
      </w:r>
      <w:r>
        <w:instrText xml:space="preserve"> HYPERLINK \l "_heading=h.7kgbmseccawb" </w:instrText>
      </w:r>
      <w:r>
        <w:rPr/>
        <w:fldChar w:fldCharType="separate"/>
      </w:r>
      <w:r>
        <w:rPr>
          <w:rFonts w:ascii="Times New Roman" w:cs="Times New Roman" w:eastAsia="Times New Roman" w:hAnsi="Times New Roman"/>
          <w:color w:val="000000"/>
          <w:sz w:val="24"/>
          <w:szCs w:val="24"/>
        </w:rPr>
        <w:t>TASK C: Reflective Report</w:t>
      </w:r>
      <w:r>
        <w:rPr>
          <w:rFonts w:ascii="Times New Roman" w:cs="Times New Roman" w:eastAsia="Times New Roman" w:hAnsi="Times New Roman"/>
          <w:color w:val="000000"/>
          <w:sz w:val="24"/>
          <w:szCs w:val="24"/>
        </w:rPr>
        <w:tab/>
      </w:r>
      <w:r>
        <w:rPr>
          <w:rFonts w:ascii="Times New Roman" w:cs="Times New Roman" w:eastAsia="Times New Roman" w:hAnsi="Times New Roman"/>
          <w:color w:val="000000"/>
          <w:sz w:val="24"/>
          <w:szCs w:val="24"/>
        </w:rPr>
        <w:t>12</w:t>
      </w:r>
      <w:r>
        <w:rPr/>
        <w:fldChar w:fldCharType="end"/>
      </w:r>
    </w:p>
    <w:p w14:paraId="580C72FA">
      <w:pPr>
        <w:pStyle w:val="style0"/>
        <w:pBdr>
          <w:left w:val="nil"/>
          <w:right w:val="nil"/>
          <w:top w:val="nil"/>
          <w:bottom w:val="nil"/>
          <w:between w:val="nil"/>
        </w:pBdr>
        <w:tabs>
          <w:tab w:val="right" w:leader="dot" w:pos="9016"/>
        </w:tabs>
        <w:spacing w:after="100" w:lineRule="auto" w:line="360"/>
        <w:ind w:left="220"/>
        <w:jc w:val="both"/>
        <w:rPr>
          <w:rFonts w:ascii="Times New Roman" w:cs="Times New Roman" w:eastAsia="Times New Roman" w:hAnsi="Times New Roman"/>
          <w:color w:val="000000"/>
          <w:sz w:val="24"/>
          <w:szCs w:val="24"/>
        </w:rPr>
      </w:pPr>
      <w:r>
        <w:rPr/>
        <w:fldChar w:fldCharType="begin"/>
      </w:r>
      <w:r>
        <w:instrText xml:space="preserve"> HYPERLINK \l "_heading=h.ud9nggj0iabe" </w:instrText>
      </w:r>
      <w:r>
        <w:rPr/>
        <w:fldChar w:fldCharType="separate"/>
      </w:r>
      <w:r>
        <w:rPr>
          <w:rFonts w:ascii="Times New Roman" w:cs="Times New Roman" w:eastAsia="Times New Roman" w:hAnsi="Times New Roman"/>
          <w:color w:val="000000"/>
          <w:sz w:val="24"/>
          <w:szCs w:val="24"/>
        </w:rPr>
        <w:t>3.1 AI as a Strategic Decision-Support Tool in HRM</w:t>
      </w:r>
      <w:r>
        <w:rPr>
          <w:rFonts w:ascii="Times New Roman" w:cs="Times New Roman" w:eastAsia="Times New Roman" w:hAnsi="Times New Roman"/>
          <w:color w:val="000000"/>
          <w:sz w:val="24"/>
          <w:szCs w:val="24"/>
        </w:rPr>
        <w:tab/>
      </w:r>
      <w:r>
        <w:rPr>
          <w:rFonts w:ascii="Times New Roman" w:cs="Times New Roman" w:eastAsia="Times New Roman" w:hAnsi="Times New Roman"/>
          <w:color w:val="000000"/>
          <w:sz w:val="24"/>
          <w:szCs w:val="24"/>
        </w:rPr>
        <w:t>12</w:t>
      </w:r>
      <w:r>
        <w:rPr/>
        <w:fldChar w:fldCharType="end"/>
      </w:r>
    </w:p>
    <w:p w14:paraId="70A3C200">
      <w:pPr>
        <w:pStyle w:val="style0"/>
        <w:pBdr>
          <w:left w:val="nil"/>
          <w:right w:val="nil"/>
          <w:top w:val="nil"/>
          <w:bottom w:val="nil"/>
          <w:between w:val="nil"/>
        </w:pBdr>
        <w:tabs>
          <w:tab w:val="right" w:leader="dot" w:pos="9016"/>
        </w:tabs>
        <w:spacing w:after="100" w:lineRule="auto" w:line="360"/>
        <w:ind w:left="220"/>
        <w:jc w:val="both"/>
        <w:rPr>
          <w:rFonts w:ascii="Times New Roman" w:cs="Times New Roman" w:eastAsia="Times New Roman" w:hAnsi="Times New Roman"/>
          <w:color w:val="000000"/>
          <w:sz w:val="24"/>
          <w:szCs w:val="24"/>
        </w:rPr>
      </w:pPr>
      <w:r>
        <w:rPr/>
        <w:fldChar w:fldCharType="begin"/>
      </w:r>
      <w:r>
        <w:instrText xml:space="preserve"> HYPERLINK \l "_heading=h.83okhllc9tom" </w:instrText>
      </w:r>
      <w:r>
        <w:rPr/>
        <w:fldChar w:fldCharType="separate"/>
      </w:r>
      <w:r>
        <w:rPr>
          <w:rFonts w:ascii="Times New Roman" w:cs="Times New Roman" w:eastAsia="Times New Roman" w:hAnsi="Times New Roman"/>
          <w:color w:val="000000"/>
          <w:sz w:val="24"/>
          <w:szCs w:val="24"/>
        </w:rPr>
        <w:t>3.2 Reflective Analysis on AI Tool Usage</w:t>
      </w:r>
      <w:r>
        <w:rPr>
          <w:rFonts w:ascii="Times New Roman" w:cs="Times New Roman" w:eastAsia="Times New Roman" w:hAnsi="Times New Roman"/>
          <w:color w:val="000000"/>
          <w:sz w:val="24"/>
          <w:szCs w:val="24"/>
        </w:rPr>
        <w:tab/>
      </w:r>
      <w:r>
        <w:rPr>
          <w:rFonts w:ascii="Times New Roman" w:cs="Times New Roman" w:eastAsia="Times New Roman" w:hAnsi="Times New Roman"/>
          <w:color w:val="000000"/>
          <w:sz w:val="24"/>
          <w:szCs w:val="24"/>
        </w:rPr>
        <w:t>12</w:t>
      </w:r>
      <w:r>
        <w:rPr/>
        <w:fldChar w:fldCharType="end"/>
      </w:r>
    </w:p>
    <w:p w14:paraId="55566A64">
      <w:pPr>
        <w:pStyle w:val="style0"/>
        <w:pBdr>
          <w:left w:val="nil"/>
          <w:right w:val="nil"/>
          <w:top w:val="nil"/>
          <w:bottom w:val="nil"/>
          <w:between w:val="nil"/>
        </w:pBdr>
        <w:tabs>
          <w:tab w:val="right" w:leader="dot" w:pos="9016"/>
        </w:tabs>
        <w:spacing w:after="100" w:lineRule="auto" w:line="360"/>
        <w:ind w:left="440"/>
        <w:jc w:val="both"/>
        <w:rPr>
          <w:rFonts w:ascii="Times New Roman" w:cs="Times New Roman" w:eastAsia="Times New Roman" w:hAnsi="Times New Roman"/>
          <w:color w:val="000000"/>
          <w:sz w:val="24"/>
          <w:szCs w:val="24"/>
        </w:rPr>
      </w:pPr>
      <w:r>
        <w:rPr/>
        <w:fldChar w:fldCharType="begin"/>
      </w:r>
      <w:r>
        <w:instrText xml:space="preserve"> HYPERLINK \l "_heading=h.6qnq4uxjqlu4" </w:instrText>
      </w:r>
      <w:r>
        <w:rPr/>
        <w:fldChar w:fldCharType="separate"/>
      </w:r>
      <w:r>
        <w:rPr>
          <w:rFonts w:ascii="Times New Roman" w:cs="Times New Roman" w:eastAsia="Times New Roman" w:hAnsi="Times New Roman"/>
          <w:color w:val="000000"/>
          <w:sz w:val="24"/>
          <w:szCs w:val="24"/>
        </w:rPr>
        <w:t>3.2.1 Example 1: Research &amp; Synthesis</w:t>
      </w:r>
      <w:r>
        <w:rPr>
          <w:rFonts w:ascii="Times New Roman" w:cs="Times New Roman" w:eastAsia="Times New Roman" w:hAnsi="Times New Roman"/>
          <w:color w:val="000000"/>
          <w:sz w:val="24"/>
          <w:szCs w:val="24"/>
        </w:rPr>
        <w:tab/>
      </w:r>
      <w:r>
        <w:rPr>
          <w:rFonts w:ascii="Times New Roman" w:cs="Times New Roman" w:eastAsia="Times New Roman" w:hAnsi="Times New Roman"/>
          <w:color w:val="000000"/>
          <w:sz w:val="24"/>
          <w:szCs w:val="24"/>
        </w:rPr>
        <w:t>12</w:t>
      </w:r>
      <w:r>
        <w:rPr/>
        <w:fldChar w:fldCharType="end"/>
      </w:r>
    </w:p>
    <w:p w14:paraId="6F3C69D9">
      <w:pPr>
        <w:pStyle w:val="style0"/>
        <w:pBdr>
          <w:left w:val="nil"/>
          <w:right w:val="nil"/>
          <w:top w:val="nil"/>
          <w:bottom w:val="nil"/>
          <w:between w:val="nil"/>
        </w:pBdr>
        <w:tabs>
          <w:tab w:val="right" w:leader="dot" w:pos="9016"/>
        </w:tabs>
        <w:spacing w:after="100" w:lineRule="auto" w:line="360"/>
        <w:ind w:left="440"/>
        <w:jc w:val="both"/>
        <w:rPr>
          <w:rFonts w:ascii="Times New Roman" w:cs="Times New Roman" w:eastAsia="Times New Roman" w:hAnsi="Times New Roman"/>
          <w:color w:val="000000"/>
          <w:sz w:val="24"/>
          <w:szCs w:val="24"/>
        </w:rPr>
      </w:pPr>
      <w:r>
        <w:rPr/>
        <w:fldChar w:fldCharType="begin"/>
      </w:r>
      <w:r>
        <w:instrText xml:space="preserve"> HYPERLINK \l "_heading=h.asy1bbmauynm" </w:instrText>
      </w:r>
      <w:r>
        <w:rPr/>
        <w:fldChar w:fldCharType="separate"/>
      </w:r>
      <w:r>
        <w:rPr>
          <w:rFonts w:ascii="Times New Roman" w:cs="Times New Roman" w:eastAsia="Times New Roman" w:hAnsi="Times New Roman"/>
          <w:color w:val="000000"/>
          <w:sz w:val="24"/>
          <w:szCs w:val="24"/>
        </w:rPr>
        <w:t>3.2.2 Structure &amp; Idea Generation (Report Formatting)</w:t>
      </w:r>
      <w:r>
        <w:rPr>
          <w:rFonts w:ascii="Times New Roman" w:cs="Times New Roman" w:eastAsia="Times New Roman" w:hAnsi="Times New Roman"/>
          <w:color w:val="000000"/>
          <w:sz w:val="24"/>
          <w:szCs w:val="24"/>
        </w:rPr>
        <w:tab/>
      </w:r>
      <w:r>
        <w:rPr>
          <w:rFonts w:ascii="Times New Roman" w:cs="Times New Roman" w:eastAsia="Times New Roman" w:hAnsi="Times New Roman"/>
          <w:color w:val="000000"/>
          <w:sz w:val="24"/>
          <w:szCs w:val="24"/>
        </w:rPr>
        <w:t>13</w:t>
      </w:r>
      <w:r>
        <w:rPr/>
        <w:fldChar w:fldCharType="end"/>
      </w:r>
    </w:p>
    <w:p w14:paraId="7BB59CC5">
      <w:pPr>
        <w:pStyle w:val="style0"/>
        <w:pBdr>
          <w:left w:val="nil"/>
          <w:right w:val="nil"/>
          <w:top w:val="nil"/>
          <w:bottom w:val="nil"/>
          <w:between w:val="nil"/>
        </w:pBdr>
        <w:tabs>
          <w:tab w:val="right" w:leader="dot" w:pos="9016"/>
        </w:tabs>
        <w:spacing w:after="100" w:lineRule="auto" w:line="360"/>
        <w:ind w:left="440"/>
        <w:jc w:val="both"/>
        <w:rPr>
          <w:rFonts w:ascii="Times New Roman" w:cs="Times New Roman" w:eastAsia="Times New Roman" w:hAnsi="Times New Roman"/>
          <w:color w:val="000000"/>
          <w:sz w:val="24"/>
          <w:szCs w:val="24"/>
        </w:rPr>
      </w:pPr>
      <w:r>
        <w:rPr/>
        <w:fldChar w:fldCharType="begin"/>
      </w:r>
      <w:r>
        <w:instrText xml:space="preserve"> HYPERLINK \l "_heading=h.ejrivcszrpwx" </w:instrText>
      </w:r>
      <w:r>
        <w:rPr/>
        <w:fldChar w:fldCharType="separate"/>
      </w:r>
      <w:r>
        <w:rPr>
          <w:rFonts w:ascii="Times New Roman" w:cs="Times New Roman" w:eastAsia="Times New Roman" w:hAnsi="Times New Roman"/>
          <w:color w:val="000000"/>
          <w:sz w:val="24"/>
          <w:szCs w:val="24"/>
        </w:rPr>
        <w:t>3.2.3 Drafting &amp; Refinement Challenge (Contextual Alignment)</w:t>
      </w:r>
      <w:r>
        <w:rPr>
          <w:rFonts w:ascii="Times New Roman" w:cs="Times New Roman" w:eastAsia="Times New Roman" w:hAnsi="Times New Roman"/>
          <w:color w:val="000000"/>
          <w:sz w:val="24"/>
          <w:szCs w:val="24"/>
        </w:rPr>
        <w:tab/>
      </w:r>
      <w:r>
        <w:rPr>
          <w:rFonts w:ascii="Times New Roman" w:cs="Times New Roman" w:eastAsia="Times New Roman" w:hAnsi="Times New Roman"/>
          <w:color w:val="000000"/>
          <w:sz w:val="24"/>
          <w:szCs w:val="24"/>
        </w:rPr>
        <w:t>13</w:t>
      </w:r>
      <w:r>
        <w:rPr/>
        <w:fldChar w:fldCharType="end"/>
      </w:r>
    </w:p>
    <w:p w14:paraId="014C23FC">
      <w:pPr>
        <w:pStyle w:val="style0"/>
        <w:pBdr>
          <w:left w:val="nil"/>
          <w:right w:val="nil"/>
          <w:top w:val="nil"/>
          <w:bottom w:val="nil"/>
          <w:between w:val="nil"/>
        </w:pBdr>
        <w:tabs>
          <w:tab w:val="right" w:leader="dot" w:pos="9016"/>
        </w:tabs>
        <w:spacing w:after="100" w:lineRule="auto" w:line="360"/>
        <w:ind w:left="220"/>
        <w:jc w:val="both"/>
        <w:rPr>
          <w:rFonts w:ascii="Times New Roman" w:cs="Times New Roman" w:eastAsia="Times New Roman" w:hAnsi="Times New Roman"/>
          <w:color w:val="000000"/>
          <w:sz w:val="24"/>
          <w:szCs w:val="24"/>
        </w:rPr>
      </w:pPr>
      <w:r>
        <w:rPr/>
        <w:fldChar w:fldCharType="begin"/>
      </w:r>
      <w:r>
        <w:instrText xml:space="preserve"> HYPERLINK \l "_heading=h.w6o085r30yqi" </w:instrText>
      </w:r>
      <w:r>
        <w:rPr/>
        <w:fldChar w:fldCharType="separate"/>
      </w:r>
      <w:r>
        <w:rPr>
          <w:rFonts w:ascii="Times New Roman" w:cs="Times New Roman" w:eastAsia="Times New Roman" w:hAnsi="Times New Roman"/>
          <w:color w:val="000000"/>
          <w:sz w:val="24"/>
          <w:szCs w:val="24"/>
        </w:rPr>
        <w:t>3.3 Personal Capability Development Plan or Actionable Employability Plan</w:t>
      </w:r>
      <w:r>
        <w:rPr>
          <w:rFonts w:ascii="Times New Roman" w:cs="Times New Roman" w:eastAsia="Times New Roman" w:hAnsi="Times New Roman"/>
          <w:color w:val="000000"/>
          <w:sz w:val="24"/>
          <w:szCs w:val="24"/>
        </w:rPr>
        <w:tab/>
      </w:r>
      <w:r>
        <w:rPr>
          <w:rFonts w:ascii="Times New Roman" w:cs="Times New Roman" w:eastAsia="Times New Roman" w:hAnsi="Times New Roman"/>
          <w:color w:val="000000"/>
          <w:sz w:val="24"/>
          <w:szCs w:val="24"/>
        </w:rPr>
        <w:t>13</w:t>
      </w:r>
      <w:r>
        <w:rPr/>
        <w:fldChar w:fldCharType="end"/>
      </w:r>
    </w:p>
    <w:p w14:paraId="610D3C1C">
      <w:pPr>
        <w:pStyle w:val="style0"/>
        <w:pBdr>
          <w:left w:val="nil"/>
          <w:right w:val="nil"/>
          <w:top w:val="nil"/>
          <w:bottom w:val="nil"/>
          <w:between w:val="nil"/>
        </w:pBdr>
        <w:tabs>
          <w:tab w:val="right" w:leader="dot" w:pos="9016"/>
        </w:tabs>
        <w:spacing w:after="100" w:lineRule="auto" w:line="360"/>
        <w:jc w:val="both"/>
        <w:rPr>
          <w:rFonts w:ascii="Times New Roman" w:cs="Times New Roman" w:eastAsia="Times New Roman" w:hAnsi="Times New Roman"/>
          <w:color w:val="000000"/>
          <w:sz w:val="24"/>
          <w:szCs w:val="24"/>
        </w:rPr>
      </w:pPr>
      <w:r>
        <w:rPr/>
        <w:fldChar w:fldCharType="begin"/>
      </w:r>
      <w:r>
        <w:instrText xml:space="preserve"> HYPERLINK \l "_heading=h.ifyh4d36f2g6" </w:instrText>
      </w:r>
      <w:r>
        <w:rPr/>
        <w:fldChar w:fldCharType="separate"/>
      </w:r>
      <w:r>
        <w:rPr>
          <w:rFonts w:ascii="Times New Roman" w:cs="Times New Roman" w:eastAsia="Times New Roman" w:hAnsi="Times New Roman"/>
          <w:color w:val="000000"/>
          <w:sz w:val="24"/>
          <w:szCs w:val="24"/>
        </w:rPr>
        <w:t>Reference List</w:t>
      </w:r>
      <w:r>
        <w:rPr>
          <w:rFonts w:ascii="Times New Roman" w:cs="Times New Roman" w:eastAsia="Times New Roman" w:hAnsi="Times New Roman"/>
          <w:color w:val="000000"/>
          <w:sz w:val="24"/>
          <w:szCs w:val="24"/>
        </w:rPr>
        <w:tab/>
      </w:r>
      <w:r>
        <w:rPr>
          <w:rFonts w:ascii="Times New Roman" w:cs="Times New Roman" w:eastAsia="Times New Roman" w:hAnsi="Times New Roman"/>
          <w:color w:val="000000"/>
          <w:sz w:val="24"/>
          <w:szCs w:val="24"/>
        </w:rPr>
        <w:t>15</w:t>
      </w:r>
      <w:r>
        <w:rPr/>
        <w:fldChar w:fldCharType="end"/>
      </w:r>
    </w:p>
    <w:p w14:paraId="53C7D58A">
      <w:pPr>
        <w:pStyle w:val="style0"/>
        <w:spacing w:lineRule="auto" w:line="360"/>
        <w:jc w:val="both"/>
        <w:rPr>
          <w:rFonts w:ascii="Times New Roman" w:cs="Times New Roman" w:eastAsia="Times New Roman" w:hAnsi="Times New Roman"/>
          <w:sz w:val="24"/>
          <w:szCs w:val="24"/>
        </w:rPr>
      </w:pPr>
      <w:r>
        <w:rPr/>
        <w:fldChar w:fldCharType="end"/>
      </w:r>
    </w:p>
    <w:p w14:paraId="3457EC7F">
      <w:pPr>
        <w:pStyle w:val="style0"/>
        <w:spacing w:before="200" w:lineRule="auto" w:line="360"/>
        <w:jc w:val="center"/>
        <w:rPr>
          <w:rFonts w:ascii="Times New Roman" w:cs="Times New Roman" w:eastAsia="Times New Roman" w:hAnsi="Times New Roman"/>
          <w:b/>
          <w:bCs/>
          <w:sz w:val="24"/>
          <w:szCs w:val="24"/>
        </w:rPr>
      </w:pPr>
      <w:r>
        <w:br w:type="page"/>
      </w:r>
    </w:p>
    <w:bookmarkStart w:id="0" w:name="_heading=h.jun9ywd7wwpw" w:colFirst="0" w:colLast="0"/>
    <w:bookmarkEnd w:id="0"/>
    <w:p w14:paraId="2C18840D">
      <w:pPr>
        <w:pStyle w:val="style1"/>
        <w:rPr/>
      </w:pPr>
      <w:r>
        <w:t>TASK A: Designing Innovative Working Practices</w:t>
      </w:r>
    </w:p>
    <w:bookmarkStart w:id="1" w:name="_heading=h.2f55spilvdee" w:colFirst="0" w:colLast="0"/>
    <w:bookmarkEnd w:id="1"/>
    <w:p w14:paraId="438EBE3D">
      <w:pPr>
        <w:pStyle w:val="style2"/>
        <w:rPr/>
      </w:pPr>
      <w:r>
        <w:t>1.1 Theoretical Evaluation: Traditional vs. Contemporary Work Design</w:t>
      </w:r>
    </w:p>
    <w:bookmarkStart w:id="2" w:name="_heading=h.sg0wuqlohjxw" w:colFirst="0" w:colLast="0"/>
    <w:bookmarkEnd w:id="2"/>
    <w:p w14:paraId="562509FE">
      <w:pPr>
        <w:pStyle w:val="style3"/>
        <w:rPr/>
      </w:pPr>
      <w:r>
        <w:t>1.1.1 Limitations of Traditional Hierarchical Work Models</w:t>
      </w:r>
    </w:p>
    <w:p w14:paraId="65FD3B53">
      <w:pPr>
        <w:pStyle w:val="style0"/>
        <w:spacing w:before="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Bringing innovative workforce design is the latest corporate structure that allows flexibility and resilience for future opportunities. The implication of “Traditional hierarchical work models” is the modern corporate design enabled by a “top-down decision-making approach” in business models to ensure the best responsibilities for the business (Matriano, 2024, p.1873). The current workforce of NexSpace Health Systems (NHSX) comprises nearly 600 employees across India, the UK and the UAE, with a traditional architecture of business functions. </w:t>
      </w:r>
    </w:p>
    <w:p w14:paraId="3ED9C821">
      <w:pPr>
        <w:pStyle w:val="style0"/>
        <w:spacing w:before="200" w:lineRule="auto" w:line="360"/>
        <w:jc w:val="center"/>
        <w:rPr>
          <w:rFonts w:ascii="Times New Roman" w:cs="Times New Roman" w:eastAsia="Times New Roman" w:hAnsi="Times New Roman"/>
          <w:sz w:val="24"/>
          <w:szCs w:val="24"/>
        </w:rPr>
      </w:pPr>
      <w:r>
        <w:rPr>
          <w:rFonts w:ascii="Times New Roman" w:cs="Times New Roman" w:eastAsia="Times New Roman" w:hAnsi="Times New Roman"/>
          <w:noProof/>
          <w:sz w:val="24"/>
          <w:szCs w:val="24"/>
        </w:rPr>
        <w:drawing>
          <wp:inline distL="0" distT="0" distB="0" distR="0">
            <wp:extent cx="5943600" cy="2870200"/>
            <wp:effectExtent l="38100" t="38100" r="38100" b="38100"/>
            <wp:docPr id="1027" name="image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3" cstate="print"/>
                    <a:srcRect l="0" t="0" r="0" b="0"/>
                    <a:stretch/>
                  </pic:blipFill>
                  <pic:spPr>
                    <a:xfrm rot="0">
                      <a:off x="0" y="0"/>
                      <a:ext cx="5943600" cy="2870200"/>
                    </a:xfrm>
                    <a:prstGeom prst="rect"/>
                    <a:ln cmpd="sng" cap="flat" w="38100">
                      <a:solidFill>
                        <a:srgbClr val="000000"/>
                      </a:solidFill>
                      <a:prstDash val="solid"/>
                      <a:round/>
                      <a:headEnd/>
                      <a:tailEnd/>
                    </a:ln>
                  </pic:spPr>
                </pic:pic>
              </a:graphicData>
            </a:graphic>
          </wp:inline>
        </w:drawing>
      </w:r>
    </w:p>
    <w:p w14:paraId="43DF5FD2">
      <w:pPr>
        <w:pStyle w:val="style0"/>
        <w:spacing w:before="200" w:lineRule="auto" w:line="360"/>
        <w:jc w:val="center"/>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Figure 1: Hierarchical Work Models</w:t>
      </w:r>
    </w:p>
    <w:p w14:paraId="6B6BE037">
      <w:pPr>
        <w:pStyle w:val="style0"/>
        <w:spacing w:before="200"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(Source: Morgeson </w:t>
      </w:r>
      <w:r>
        <w:rPr>
          <w:rFonts w:ascii="Times New Roman" w:cs="Times New Roman" w:eastAsia="Times New Roman" w:hAnsi="Times New Roman"/>
          <w:i/>
          <w:iCs/>
          <w:sz w:val="24"/>
          <w:szCs w:val="24"/>
        </w:rPr>
        <w:t xml:space="preserve">et al., </w:t>
      </w:r>
      <w:r>
        <w:rPr>
          <w:rFonts w:ascii="Times New Roman" w:cs="Times New Roman" w:eastAsia="Times New Roman" w:hAnsi="Times New Roman"/>
          <w:sz w:val="24"/>
          <w:szCs w:val="24"/>
        </w:rPr>
        <w:t>2023, p.1)</w:t>
      </w:r>
    </w:p>
    <w:p w14:paraId="24859186">
      <w:pPr>
        <w:pStyle w:val="style0"/>
        <w:spacing w:before="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The traditional values of this business are highlighted by operational bottlenecks in maintaining the heritage and classical structure. Especially, the digital innovation of this business includes AI-enabled digital health platforms, remote patient monitoring systems, and clinical decision-support technologies (Leino </w:t>
      </w:r>
      <w:r>
        <w:rPr>
          <w:rFonts w:ascii="Times New Roman" w:cs="Times New Roman" w:eastAsia="Times New Roman" w:hAnsi="Times New Roman"/>
          <w:i/>
          <w:iCs/>
          <w:sz w:val="24"/>
          <w:szCs w:val="24"/>
        </w:rPr>
        <w:t xml:space="preserve">et al., </w:t>
      </w:r>
      <w:r>
        <w:rPr>
          <w:rFonts w:ascii="Times New Roman" w:cs="Times New Roman" w:eastAsia="Times New Roman" w:hAnsi="Times New Roman"/>
          <w:sz w:val="24"/>
          <w:szCs w:val="24"/>
        </w:rPr>
        <w:t xml:space="preserve">2022, p.707). </w:t>
      </w:r>
    </w:p>
    <w:bookmarkStart w:id="3" w:name="_heading=h.imwwx5t8im7p" w:colFirst="0" w:colLast="0"/>
    <w:bookmarkEnd w:id="3"/>
    <w:p w14:paraId="332C78C1">
      <w:pPr>
        <w:pStyle w:val="style3"/>
        <w:rPr/>
      </w:pPr>
      <w:r>
        <w:t>1.1.2 High-Performance Work Systems (HPWS) &amp; High-Involvement Work Systems (HIWS)</w:t>
      </w:r>
    </w:p>
    <w:p w14:paraId="4C214AFF">
      <w:pPr>
        <w:pStyle w:val="style0"/>
        <w:spacing w:before="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Implementation of a modern business structure for NHSX the concepts of “High-Performance Work Systems (HPWS)” and “High-Involvement Work Systems (HIWS)” involve an innovative and modern business structure. The role of HPWS and HIWS both removes a command-and-control system, ensuring an empathetic value for employees. The structure of the modern system allows the standards of “employee empowerment, skill enhancement, and participatory decision-making” for a creative and inclusive workplace culture (Elorza </w:t>
      </w:r>
      <w:r>
        <w:rPr>
          <w:rFonts w:ascii="Times New Roman" w:cs="Times New Roman" w:eastAsia="Times New Roman" w:hAnsi="Times New Roman"/>
          <w:i/>
          <w:iCs/>
          <w:sz w:val="24"/>
          <w:szCs w:val="24"/>
        </w:rPr>
        <w:t xml:space="preserve">et al., </w:t>
      </w:r>
      <w:r>
        <w:rPr>
          <w:rFonts w:ascii="Times New Roman" w:cs="Times New Roman" w:eastAsia="Times New Roman" w:hAnsi="Times New Roman"/>
          <w:sz w:val="24"/>
          <w:szCs w:val="24"/>
        </w:rPr>
        <w:t xml:space="preserve">2022, p.782). </w:t>
      </w:r>
    </w:p>
    <w:bookmarkStart w:id="4" w:name="_heading=h.nsl8l765y1ea" w:colFirst="0" w:colLast="0"/>
    <w:bookmarkEnd w:id="4"/>
    <w:p w14:paraId="3446EC08">
      <w:pPr>
        <w:pStyle w:val="style3"/>
        <w:rPr/>
      </w:pPr>
      <w:r>
        <w:t>1.1.3 Sociotechnical Systems Theory &amp; Hybrid/Flexible Models</w:t>
      </w:r>
    </w:p>
    <w:p w14:paraId="1FD9CF1E">
      <w:pPr>
        <w:pStyle w:val="style0"/>
        <w:spacing w:before="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Maintaining a balance to the socio-economic structure of a business, the implications of Sociotechnical Systems (STS) Theory can be a relevant element. Two major variables of this theory categorise the technical system and social system of this business. </w:t>
      </w:r>
    </w:p>
    <w:p w14:paraId="01EB6E12">
      <w:pPr>
        <w:pStyle w:val="style0"/>
        <w:spacing w:before="200" w:lineRule="auto" w:line="360"/>
        <w:jc w:val="center"/>
        <w:rPr>
          <w:rFonts w:ascii="Times New Roman" w:cs="Times New Roman" w:eastAsia="Times New Roman" w:hAnsi="Times New Roman"/>
          <w:sz w:val="24"/>
          <w:szCs w:val="24"/>
        </w:rPr>
      </w:pPr>
      <w:r>
        <w:rPr>
          <w:rFonts w:ascii="Times New Roman" w:cs="Times New Roman" w:eastAsia="Times New Roman" w:hAnsi="Times New Roman"/>
          <w:noProof/>
          <w:sz w:val="24"/>
          <w:szCs w:val="24"/>
        </w:rPr>
        <w:drawing>
          <wp:inline distL="0" distT="0" distB="0" distR="0">
            <wp:extent cx="5138738" cy="3656409"/>
            <wp:effectExtent l="38100" t="38100" r="38100" b="38100"/>
            <wp:docPr id="1028"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4" cstate="print"/>
                    <a:srcRect l="0" t="0" r="0" b="0"/>
                    <a:stretch/>
                  </pic:blipFill>
                  <pic:spPr>
                    <a:xfrm rot="0">
                      <a:off x="0" y="0"/>
                      <a:ext cx="5138738" cy="3656409"/>
                    </a:xfrm>
                    <a:prstGeom prst="rect"/>
                    <a:ln cmpd="sng" cap="flat" w="38100">
                      <a:solidFill>
                        <a:srgbClr val="000000"/>
                      </a:solidFill>
                      <a:prstDash val="solid"/>
                      <a:round/>
                      <a:headEnd/>
                      <a:tailEnd/>
                    </a:ln>
                  </pic:spPr>
                </pic:pic>
              </a:graphicData>
            </a:graphic>
          </wp:inline>
        </w:drawing>
      </w:r>
    </w:p>
    <w:p w14:paraId="3FEA568C">
      <w:pPr>
        <w:pStyle w:val="style0"/>
        <w:spacing w:before="200" w:lineRule="auto" w:line="360"/>
        <w:jc w:val="center"/>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Figure 2: Sociotechnical Systems Theory (STS)</w:t>
      </w:r>
    </w:p>
    <w:p w14:paraId="1C070092">
      <w:pPr>
        <w:pStyle w:val="style0"/>
        <w:spacing w:before="200"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(Source: Kemp </w:t>
      </w:r>
      <w:r>
        <w:rPr>
          <w:rFonts w:ascii="Times New Roman" w:cs="Times New Roman" w:eastAsia="Times New Roman" w:hAnsi="Times New Roman"/>
          <w:i/>
          <w:iCs/>
          <w:sz w:val="24"/>
          <w:szCs w:val="24"/>
        </w:rPr>
        <w:t xml:space="preserve">et al., </w:t>
      </w:r>
      <w:r>
        <w:rPr>
          <w:rFonts w:ascii="Times New Roman" w:cs="Times New Roman" w:eastAsia="Times New Roman" w:hAnsi="Times New Roman"/>
          <w:sz w:val="24"/>
          <w:szCs w:val="24"/>
        </w:rPr>
        <w:t>2024, p.284)</w:t>
      </w:r>
    </w:p>
    <w:p w14:paraId="53ADA500">
      <w:pPr>
        <w:pStyle w:val="style0"/>
        <w:spacing w:before="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After the implementation of NHSX using STS operations, the technical standards allow for software, algorithms, and AI tools. On the other hand, social structure is further reformed through the orientation of organisational culture, human relationships, and communication </w:t>
      </w:r>
      <w:r>
        <w:rPr>
          <w:rFonts w:ascii="Times New Roman" w:cs="Times New Roman" w:eastAsia="Times New Roman" w:hAnsi="Times New Roman"/>
          <w:sz w:val="24"/>
          <w:szCs w:val="24"/>
        </w:rPr>
        <w:t xml:space="preserve">channels of NHSX (Ang </w:t>
      </w:r>
      <w:r>
        <w:rPr>
          <w:rFonts w:ascii="Times New Roman" w:cs="Times New Roman" w:eastAsia="Times New Roman" w:hAnsi="Times New Roman"/>
          <w:i/>
          <w:iCs/>
          <w:sz w:val="24"/>
          <w:szCs w:val="24"/>
        </w:rPr>
        <w:t xml:space="preserve">et al., </w:t>
      </w:r>
      <w:r>
        <w:rPr>
          <w:rFonts w:ascii="Times New Roman" w:cs="Times New Roman" w:eastAsia="Times New Roman" w:hAnsi="Times New Roman"/>
          <w:sz w:val="24"/>
          <w:szCs w:val="24"/>
        </w:rPr>
        <w:t xml:space="preserve">2025, p.1). The role of the STS model allows Hybrid and flexible AI-driven platforms for NHSX to ensure long-term sustainability and values for this business. </w:t>
      </w:r>
    </w:p>
    <w:bookmarkStart w:id="5" w:name="_heading=h.fmcjuok976cz" w:colFirst="0" w:colLast="0"/>
    <w:bookmarkEnd w:id="5"/>
    <w:p w14:paraId="479FC12C">
      <w:pPr>
        <w:pStyle w:val="style2"/>
        <w:rPr/>
      </w:pPr>
      <w:r>
        <w:t xml:space="preserve">1.2 Strategic Recommendations for NexSpace Health Systems </w:t>
      </w:r>
    </w:p>
    <w:p w14:paraId="56C29C76">
      <w:pPr>
        <w:pStyle w:val="style0"/>
        <w:spacing w:before="200" w:lineRule="auto" w:line="360"/>
        <w:jc w:val="both"/>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 xml:space="preserve">The issue at the heart of NHSX isn't hierarchy but often the process of achieving the outcome. There are four weaknesses inherent in the hierarchy that restrict the business: slow decision-making, limited innovation, suppressed creativity and little room for experimentation. The following recommendations are, therefore, intended to address one or more of these four issues, rather than just to eliminate layers of management. </w:t>
      </w:r>
    </w:p>
    <w:bookmarkStart w:id="6" w:name="_heading=h.8euvt9au74xy" w:colFirst="0" w:colLast="0"/>
    <w:bookmarkEnd w:id="6"/>
    <w:p w14:paraId="02F92ECA">
      <w:pPr>
        <w:pStyle w:val="style3"/>
        <w:rPr/>
      </w:pPr>
      <w:r>
        <w:t>1.2.1 Agile Project Teams &amp; Employee Autonomy</w:t>
      </w:r>
    </w:p>
    <w:p w14:paraId="2C84BFA5">
      <w:pPr>
        <w:pStyle w:val="style0"/>
        <w:spacing w:before="200" w:lineRule="auto" w:line="360"/>
        <w:jc w:val="both"/>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To accelerate decision-making and allow experimentation, NHSX must transition from functional teams to Agile cross-functional squads. The teams would consist of software engineers from India, product designers, and regulatory experts from the UK, and clinical account managers from the UAE (Armbruster and Huemann, 2026).</w:t>
      </w:r>
    </w:p>
    <w:tbl>
      <w:tblPr>
        <w:tblStyle w:val="style4106"/>
        <w:tblW w:w="874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845"/>
        <w:gridCol w:w="2475"/>
        <w:gridCol w:w="1935"/>
        <w:gridCol w:w="2490"/>
      </w:tblGrid>
      <w:tr w14:paraId="0824FFD8">
        <w:trPr>
          <w:trHeight w:val="600" w:hRule="atLeast"/>
        </w:trPr>
        <w:tc>
          <w:tcPr>
            <w:tcW w:w="184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7BB8E2A0">
            <w:pPr>
              <w:pStyle w:val="style0"/>
              <w:spacing w:lineRule="auto" w:line="360"/>
              <w:jc w:val="center"/>
              <w:rPr>
                <w:rFonts w:ascii="Times New Roman" w:cs="Times New Roman" w:eastAsia="Times New Roman" w:hAnsi="Times New Roman"/>
                <w:b/>
                <w:bCs/>
                <w:color w:val="ff0000"/>
                <w:sz w:val="24"/>
                <w:szCs w:val="24"/>
              </w:rPr>
            </w:pPr>
            <w:r>
              <w:rPr>
                <w:rFonts w:ascii="Times New Roman" w:cs="Times New Roman" w:eastAsia="Times New Roman" w:hAnsi="Times New Roman"/>
                <w:b/>
                <w:bCs/>
                <w:color w:val="ff0000"/>
                <w:sz w:val="24"/>
                <w:szCs w:val="24"/>
              </w:rPr>
              <w:t>Phase</w:t>
            </w:r>
          </w:p>
        </w:tc>
        <w:tc>
          <w:tcPr>
            <w:tcW w:w="247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7EDB021E">
            <w:pPr>
              <w:pStyle w:val="style0"/>
              <w:spacing w:lineRule="auto" w:line="360"/>
              <w:jc w:val="center"/>
              <w:rPr>
                <w:rFonts w:ascii="Times New Roman" w:cs="Times New Roman" w:eastAsia="Times New Roman" w:hAnsi="Times New Roman"/>
                <w:b/>
                <w:bCs/>
                <w:color w:val="ff0000"/>
                <w:sz w:val="24"/>
                <w:szCs w:val="24"/>
              </w:rPr>
            </w:pPr>
            <w:r>
              <w:rPr>
                <w:rFonts w:ascii="Times New Roman" w:cs="Times New Roman" w:eastAsia="Times New Roman" w:hAnsi="Times New Roman"/>
                <w:b/>
                <w:bCs/>
                <w:color w:val="ff0000"/>
                <w:sz w:val="24"/>
                <w:szCs w:val="24"/>
              </w:rPr>
              <w:t>Action &amp; Operational Focus</w:t>
            </w:r>
          </w:p>
        </w:tc>
        <w:tc>
          <w:tcPr>
            <w:tcW w:w="193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32ED2B9D">
            <w:pPr>
              <w:pStyle w:val="style0"/>
              <w:spacing w:lineRule="auto" w:line="360"/>
              <w:jc w:val="center"/>
              <w:rPr>
                <w:rFonts w:ascii="Times New Roman" w:cs="Times New Roman" w:eastAsia="Times New Roman" w:hAnsi="Times New Roman"/>
                <w:b/>
                <w:bCs/>
                <w:color w:val="ff0000"/>
                <w:sz w:val="24"/>
                <w:szCs w:val="24"/>
              </w:rPr>
            </w:pPr>
            <w:r>
              <w:rPr>
                <w:rFonts w:ascii="Times New Roman" w:cs="Times New Roman" w:eastAsia="Times New Roman" w:hAnsi="Times New Roman"/>
                <w:b/>
                <w:bCs/>
                <w:color w:val="ff0000"/>
                <w:sz w:val="24"/>
                <w:szCs w:val="24"/>
              </w:rPr>
              <w:t>Problem Being Solved</w:t>
            </w:r>
          </w:p>
        </w:tc>
        <w:tc>
          <w:tcPr>
            <w:tcW w:w="249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4FAF0378">
            <w:pPr>
              <w:pStyle w:val="style0"/>
              <w:spacing w:lineRule="auto" w:line="360"/>
              <w:jc w:val="center"/>
              <w:rPr>
                <w:rFonts w:ascii="Times New Roman" w:cs="Times New Roman" w:eastAsia="Times New Roman" w:hAnsi="Times New Roman"/>
                <w:b/>
                <w:bCs/>
                <w:color w:val="ff0000"/>
                <w:sz w:val="24"/>
                <w:szCs w:val="24"/>
              </w:rPr>
            </w:pPr>
            <w:r>
              <w:rPr>
                <w:rFonts w:ascii="Times New Roman" w:cs="Times New Roman" w:eastAsia="Times New Roman" w:hAnsi="Times New Roman"/>
                <w:b/>
                <w:bCs/>
                <w:color w:val="ff0000"/>
                <w:sz w:val="24"/>
                <w:szCs w:val="24"/>
              </w:rPr>
              <w:t>Target Business Impact</w:t>
            </w:r>
          </w:p>
        </w:tc>
      </w:tr>
      <w:tr w14:paraId="27140C89">
        <w:tblPrEx/>
        <w:trPr>
          <w:trHeight w:val="1680" w:hRule="atLeast"/>
        </w:trPr>
        <w:tc>
          <w:tcPr>
            <w:tcW w:w="184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0E77AE81">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Phase 1: Squad Reorganisation</w:t>
            </w:r>
          </w:p>
        </w:tc>
        <w:tc>
          <w:tcPr>
            <w:tcW w:w="247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206E44B6">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Establish 12 cross-functional squads of UK, India and UAE staff with localised decision rights.</w:t>
            </w:r>
          </w:p>
        </w:tc>
        <w:tc>
          <w:tcPr>
            <w:tcW w:w="193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414EB649">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b/>
                <w:bCs/>
                <w:color w:val="ff0000"/>
                <w:sz w:val="24"/>
                <w:szCs w:val="24"/>
              </w:rPr>
              <w:t>Slow decision-making and siloed thinking.</w:t>
            </w:r>
            <w:r>
              <w:rPr>
                <w:rFonts w:ascii="Times New Roman" w:cs="Times New Roman" w:eastAsia="Times New Roman" w:hAnsi="Times New Roman"/>
                <w:color w:val="ff0000"/>
                <w:sz w:val="24"/>
                <w:szCs w:val="24"/>
              </w:rPr>
              <w:t xml:space="preserve"> </w:t>
            </w:r>
          </w:p>
        </w:tc>
        <w:tc>
          <w:tcPr>
            <w:tcW w:w="249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03B3E2E5">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Faster sign-offs, more creative solutions through diverse teams, and ownership of outcomes.</w:t>
            </w:r>
          </w:p>
        </w:tc>
      </w:tr>
      <w:tr w14:paraId="2410AE08">
        <w:tblPrEx/>
        <w:trPr>
          <w:trHeight w:val="1950" w:hRule="atLeast"/>
        </w:trPr>
        <w:tc>
          <w:tcPr>
            <w:tcW w:w="184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4731B717">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Phase 2: Asynchronous Workflow</w:t>
            </w:r>
          </w:p>
        </w:tc>
        <w:tc>
          <w:tcPr>
            <w:tcW w:w="247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5949C698">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Standardise core overlap hours (the “Global Synchronous Window”) and asynchronous project protocols.</w:t>
            </w:r>
          </w:p>
        </w:tc>
        <w:tc>
          <w:tcPr>
            <w:tcW w:w="193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7E549BDE">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b/>
                <w:bCs/>
                <w:color w:val="ff0000"/>
                <w:sz w:val="24"/>
                <w:szCs w:val="24"/>
              </w:rPr>
              <w:t>Time-zone fatigue and stalled collaboration</w:t>
            </w:r>
            <w:r>
              <w:rPr>
                <w:rFonts w:ascii="Times New Roman" w:cs="Times New Roman" w:eastAsia="Times New Roman" w:hAnsi="Times New Roman"/>
                <w:color w:val="ff0000"/>
                <w:sz w:val="24"/>
                <w:szCs w:val="24"/>
              </w:rPr>
              <w:t xml:space="preserve"> across the UK, UAE and India. </w:t>
            </w:r>
          </w:p>
        </w:tc>
        <w:tc>
          <w:tcPr>
            <w:tcW w:w="249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0EEC8E02">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Continuous progress across time zones, better wellbeing, and protected thinking time for creative work.</w:t>
            </w:r>
          </w:p>
        </w:tc>
      </w:tr>
      <w:tr w14:paraId="296A0F23">
        <w:tblPrEx/>
        <w:trPr>
          <w:trHeight w:val="1950" w:hRule="atLeast"/>
        </w:trPr>
        <w:tc>
          <w:tcPr>
            <w:tcW w:w="184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2EF13170">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Phase 3: Digital Integration</w:t>
            </w:r>
          </w:p>
        </w:tc>
        <w:tc>
          <w:tcPr>
            <w:tcW w:w="247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760268EE">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Deploy a unified cloud platform with AI knowledge repositories and shared code and clinical data.</w:t>
            </w:r>
          </w:p>
        </w:tc>
        <w:tc>
          <w:tcPr>
            <w:tcW w:w="193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55806B18">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b/>
                <w:bCs/>
                <w:color w:val="ff0000"/>
                <w:sz w:val="24"/>
                <w:szCs w:val="24"/>
              </w:rPr>
              <w:t>Lost institutional knowledge and no safe space to test ideas.</w:t>
            </w:r>
            <w:r>
              <w:rPr>
                <w:rFonts w:ascii="Times New Roman" w:cs="Times New Roman" w:eastAsia="Times New Roman" w:hAnsi="Times New Roman"/>
                <w:color w:val="ff0000"/>
                <w:sz w:val="24"/>
                <w:szCs w:val="24"/>
              </w:rPr>
              <w:t xml:space="preserve"> </w:t>
            </w:r>
          </w:p>
        </w:tc>
        <w:tc>
          <w:tcPr>
            <w:tcW w:w="249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3A9962A4">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Transparent collaboration, faster prototyping and testing, and reusable knowledge.</w:t>
            </w:r>
          </w:p>
        </w:tc>
      </w:tr>
      <w:tr w14:paraId="68D65293">
        <w:tblPrEx/>
        <w:trPr>
          <w:trHeight w:val="1410" w:hRule="atLeast"/>
        </w:trPr>
        <w:tc>
          <w:tcPr>
            <w:tcW w:w="184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64D37838">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Phase 4 (add): Experimentation Framework</w:t>
            </w:r>
          </w:p>
        </w:tc>
        <w:tc>
          <w:tcPr>
            <w:tcW w:w="247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FB7F9A0">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Introduce sprint retrospectives, an innovation budget and pilot-and-learn reviews.</w:t>
            </w:r>
          </w:p>
        </w:tc>
        <w:tc>
          <w:tcPr>
            <w:tcW w:w="193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6FF03D93">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b/>
                <w:bCs/>
                <w:color w:val="ff0000"/>
                <w:sz w:val="24"/>
                <w:szCs w:val="24"/>
              </w:rPr>
              <w:t>Fear of failure and low experimentation.</w:t>
            </w:r>
          </w:p>
        </w:tc>
        <w:tc>
          <w:tcPr>
            <w:tcW w:w="249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6E77110F">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A steady flow of tested innovations and a learning culture.</w:t>
            </w:r>
          </w:p>
        </w:tc>
      </w:tr>
    </w:tbl>
    <w:p w14:paraId="012AC16D">
      <w:pPr>
        <w:pStyle w:val="style0"/>
        <w:spacing w:before="200" w:lineRule="auto" w:line="360"/>
        <w:jc w:val="center"/>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 xml:space="preserve">Table 1: Roadmap of Agile Strategies and Employee Autonomy Implementation </w:t>
      </w:r>
    </w:p>
    <w:p w14:paraId="604B14EA">
      <w:pPr>
        <w:pStyle w:val="style0"/>
        <w:spacing w:before="200"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(Source: Self-Developed)</w:t>
      </w:r>
    </w:p>
    <w:p w14:paraId="3B6E3631">
      <w:pPr>
        <w:pStyle w:val="style0"/>
        <w:spacing w:before="200" w:lineRule="auto" w:line="360"/>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The regulatory clauses to solve the critical issues are described below:</w:t>
      </w:r>
    </w:p>
    <w:p w14:paraId="0E21CB4C">
      <w:pPr>
        <w:pStyle w:val="style0"/>
        <w:numPr>
          <w:ilvl w:val="0"/>
          <w:numId w:val="1"/>
        </w:numPr>
        <w:spacing w:before="200" w:lineRule="auto" w:line="360"/>
        <w:rPr>
          <w:rFonts w:ascii="Times New Roman" w:cs="Times New Roman" w:eastAsia="Times New Roman" w:hAnsi="Times New Roman"/>
          <w:color w:val="ff0000"/>
          <w:sz w:val="24"/>
          <w:szCs w:val="24"/>
        </w:rPr>
      </w:pPr>
      <w:r>
        <w:rPr>
          <w:rFonts w:ascii="Times New Roman" w:cs="Times New Roman" w:eastAsia="Times New Roman" w:hAnsi="Times New Roman"/>
          <w:b/>
          <w:bCs/>
          <w:color w:val="ff0000"/>
          <w:sz w:val="24"/>
          <w:szCs w:val="24"/>
        </w:rPr>
        <w:t>Decision-Making Rights:</w:t>
      </w:r>
      <w:r>
        <w:rPr>
          <w:rFonts w:ascii="Times New Roman" w:cs="Times New Roman" w:eastAsia="Times New Roman" w:hAnsi="Times New Roman"/>
          <w:color w:val="ff0000"/>
          <w:sz w:val="24"/>
          <w:szCs w:val="24"/>
        </w:rPr>
        <w:t xml:space="preserve"> Decisions are made at the point of expertise and not centralised for review and approval (Bjerre and Leimbach, 2026, p.1).</w:t>
      </w:r>
    </w:p>
    <w:p w14:paraId="4180DFC0">
      <w:pPr>
        <w:pStyle w:val="style0"/>
        <w:numPr>
          <w:ilvl w:val="0"/>
          <w:numId w:val="1"/>
        </w:numPr>
        <w:spacing w:lineRule="auto" w:line="360"/>
        <w:rPr>
          <w:rFonts w:ascii="Times New Roman" w:cs="Times New Roman" w:eastAsia="Times New Roman" w:hAnsi="Times New Roman"/>
          <w:color w:val="ff0000"/>
          <w:sz w:val="24"/>
          <w:szCs w:val="24"/>
        </w:rPr>
      </w:pPr>
      <w:r>
        <w:rPr>
          <w:rFonts w:ascii="Times New Roman" w:cs="Times New Roman" w:eastAsia="Times New Roman" w:hAnsi="Times New Roman"/>
          <w:b/>
          <w:bCs/>
          <w:color w:val="ff0000"/>
          <w:sz w:val="24"/>
          <w:szCs w:val="24"/>
        </w:rPr>
        <w:t>Innovation:</w:t>
      </w:r>
      <w:r>
        <w:rPr>
          <w:rFonts w:ascii="Times New Roman" w:cs="Times New Roman" w:eastAsia="Times New Roman" w:hAnsi="Times New Roman"/>
          <w:color w:val="ff0000"/>
          <w:sz w:val="24"/>
          <w:szCs w:val="24"/>
        </w:rPr>
        <w:t xml:space="preserve"> Two-week sprints mean that ideas can emerge into working builds rapidly, and so innovation is continuous rather than long-term.</w:t>
      </w:r>
    </w:p>
    <w:p w14:paraId="0814AAFC">
      <w:pPr>
        <w:pStyle w:val="style0"/>
        <w:numPr>
          <w:ilvl w:val="0"/>
          <w:numId w:val="1"/>
        </w:numPr>
        <w:spacing w:lineRule="auto" w:line="360"/>
        <w:rPr>
          <w:rFonts w:ascii="Times New Roman" w:cs="Times New Roman" w:eastAsia="Times New Roman" w:hAnsi="Times New Roman"/>
          <w:color w:val="ff0000"/>
          <w:sz w:val="24"/>
          <w:szCs w:val="24"/>
        </w:rPr>
      </w:pPr>
      <w:r>
        <w:rPr>
          <w:rFonts w:ascii="Times New Roman" w:cs="Times New Roman" w:eastAsia="Times New Roman" w:hAnsi="Times New Roman"/>
          <w:b/>
          <w:bCs/>
          <w:color w:val="ff0000"/>
          <w:sz w:val="24"/>
          <w:szCs w:val="24"/>
        </w:rPr>
        <w:t>Creativity:</w:t>
      </w:r>
      <w:r>
        <w:rPr>
          <w:rFonts w:ascii="Times New Roman" w:cs="Times New Roman" w:eastAsia="Times New Roman" w:hAnsi="Times New Roman"/>
          <w:color w:val="ff0000"/>
          <w:sz w:val="24"/>
          <w:szCs w:val="24"/>
        </w:rPr>
        <w:t xml:space="preserve"> Engineers, designers, regulatory and clinical viewpoints in one team lead to the diversity of thought that leads to better solutions.</w:t>
      </w:r>
    </w:p>
    <w:p w14:paraId="1BF03E0C">
      <w:pPr>
        <w:pStyle w:val="style0"/>
        <w:numPr>
          <w:ilvl w:val="0"/>
          <w:numId w:val="1"/>
        </w:numPr>
        <w:spacing w:lineRule="auto" w:line="360"/>
        <w:rPr>
          <w:rFonts w:ascii="Times New Roman" w:cs="Times New Roman" w:eastAsia="Times New Roman" w:hAnsi="Times New Roman"/>
          <w:color w:val="ff0000"/>
          <w:sz w:val="24"/>
          <w:szCs w:val="24"/>
        </w:rPr>
      </w:pPr>
      <w:r>
        <w:rPr>
          <w:rFonts w:ascii="Times New Roman" w:cs="Times New Roman" w:eastAsia="Times New Roman" w:hAnsi="Times New Roman"/>
          <w:b/>
          <w:bCs/>
          <w:color w:val="ff0000"/>
          <w:sz w:val="24"/>
          <w:szCs w:val="24"/>
        </w:rPr>
        <w:t>Experimentation:</w:t>
      </w:r>
      <w:r>
        <w:rPr>
          <w:rFonts w:ascii="Times New Roman" w:cs="Times New Roman" w:eastAsia="Times New Roman" w:hAnsi="Times New Roman"/>
          <w:color w:val="ff0000"/>
          <w:sz w:val="24"/>
          <w:szCs w:val="24"/>
        </w:rPr>
        <w:t xml:space="preserve"> Each squad has a small experimentation budget and conducts short experimentation pilots with sprint reviews. </w:t>
      </w:r>
    </w:p>
    <w:bookmarkStart w:id="7" w:name="_heading=h.d9u3iu3km3h4" w:colFirst="0" w:colLast="0"/>
    <w:bookmarkEnd w:id="7"/>
    <w:p w14:paraId="6A89042F">
      <w:pPr>
        <w:pStyle w:val="style3"/>
        <w:rPr/>
      </w:pPr>
      <w:r>
        <w:t>1.2.2 Redesigning Hybrid &amp; Flexible Working Frameworks</w:t>
      </w:r>
    </w:p>
    <w:p w14:paraId="25727743">
      <w:pPr>
        <w:pStyle w:val="style0"/>
        <w:spacing w:before="200" w:lineRule="auto" w:line="360"/>
        <w:jc w:val="both"/>
        <w:rPr>
          <w:rFonts w:ascii="Times New Roman" w:cs="Times New Roman" w:eastAsia="Times New Roman" w:hAnsi="Times New Roman"/>
          <w:color w:val="ff0000"/>
          <w:sz w:val="24"/>
          <w:szCs w:val="24"/>
        </w:rPr>
      </w:pPr>
      <w:r>
        <w:rPr>
          <w:rFonts w:ascii="Times New Roman" w:cs="Times New Roman" w:eastAsia="Times New Roman" w:hAnsi="Times New Roman"/>
          <w:sz w:val="24"/>
          <w:szCs w:val="24"/>
        </w:rPr>
        <w:t xml:space="preserve">The current hybrid scheduling is not structured and needs to be replaced by a common framework which is based on an asynchronous communication protocol. With different time zones in the UK, UAE and India, having to schedule live virtual meetings after 4 hours can lead to time zone fatigue and decreased productivity. NHSX should consider using the "3+2 Hybrid Model" with a 3-hour "Global Synchronous Window" (11:00 AM to 2:00 PM GMT) (Standahl Johannessen and Karlsen, 2025, p.382). </w:t>
      </w:r>
      <w:r>
        <w:rPr>
          <w:rFonts w:ascii="Times New Roman" w:cs="Times New Roman" w:eastAsia="Times New Roman" w:hAnsi="Times New Roman"/>
          <w:color w:val="ff0000"/>
          <w:sz w:val="24"/>
          <w:szCs w:val="24"/>
        </w:rPr>
        <w:t>This model alleviates time-zone fatigue and a disorganised hybrid workplace. It also safeguards wellbeing and uninterrupted focus time upon which creativity and innovation rely.</w:t>
      </w:r>
    </w:p>
    <w:bookmarkStart w:id="8" w:name="_heading=h.t1pci8cca89r" w:colFirst="0" w:colLast="0"/>
    <w:bookmarkEnd w:id="8"/>
    <w:p w14:paraId="3356064E">
      <w:pPr>
        <w:pStyle w:val="style3"/>
        <w:rPr/>
      </w:pPr>
      <w:r>
        <w:t>1.2.3 Digital Collaboration Infrastructure</w:t>
      </w:r>
    </w:p>
    <w:p w14:paraId="063CA453">
      <w:pPr>
        <w:pStyle w:val="style0"/>
        <w:spacing w:before="200" w:lineRule="auto" w:line="360"/>
        <w:jc w:val="both"/>
        <w:rPr>
          <w:rFonts w:ascii="Times New Roman" w:cs="Times New Roman" w:eastAsia="Times New Roman" w:hAnsi="Times New Roman"/>
          <w:color w:val="ff0000"/>
          <w:sz w:val="24"/>
          <w:szCs w:val="24"/>
        </w:rPr>
      </w:pPr>
      <w:r>
        <w:rPr>
          <w:rFonts w:ascii="Times New Roman" w:cs="Times New Roman" w:eastAsia="Times New Roman" w:hAnsi="Times New Roman"/>
          <w:sz w:val="24"/>
          <w:szCs w:val="24"/>
        </w:rPr>
        <w:t xml:space="preserve">NHSX will need to improve its digital collaboration environment to close the gap between international centres. In addition to this infrastructure, there are automatic documentation tools, real-time code repositories, clinical data repositories, and digital whiteboards that are visible across all sites (Bjerre and Leimbach, 2026, p.1). </w:t>
      </w:r>
      <w:r>
        <w:rPr>
          <w:rFonts w:ascii="Times New Roman" w:cs="Times New Roman" w:eastAsia="Times New Roman" w:hAnsi="Times New Roman"/>
          <w:color w:val="ff0000"/>
          <w:sz w:val="24"/>
          <w:szCs w:val="24"/>
        </w:rPr>
        <w:t xml:space="preserve">This infrastructure addresses the issue of </w:t>
      </w:r>
      <w:r>
        <w:rPr>
          <w:rFonts w:ascii="Times New Roman" w:cs="Times New Roman" w:eastAsia="Times New Roman" w:hAnsi="Times New Roman"/>
          <w:color w:val="ff0000"/>
          <w:sz w:val="24"/>
          <w:szCs w:val="24"/>
        </w:rPr>
        <w:t>disarticulated knowledge between centres. Use of shared repositories and whiteboards enables teams to experiment and innovate as they work on others' ideas without needing permission.</w:t>
      </w:r>
    </w:p>
    <w:bookmarkStart w:id="9" w:name="_heading=h.5bfciw568zdv" w:colFirst="0" w:colLast="0"/>
    <w:bookmarkEnd w:id="9"/>
    <w:p w14:paraId="5F78AA4A">
      <w:pPr>
        <w:pStyle w:val="style2"/>
        <w:rPr/>
      </w:pPr>
      <w:r>
        <w:t>1.3 Performance Justification &amp; Strategic Alignment</w:t>
      </w:r>
    </w:p>
    <w:p w14:paraId="3329C42E">
      <w:pPr>
        <w:pStyle w:val="style0"/>
        <w:spacing w:before="200" w:lineRule="auto" w:line="360"/>
        <w:jc w:val="both"/>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 xml:space="preserve">The four issues NHSX identified – slow decision-making, limited innovation, suppressed creativity and weak experimentation – are all directly tackled by the move to modern working practices. By eliminating the need for rigid approval processes and compressing release timelines, Autonomous Agile squads enhance decision-making (Bjerre and Leimbach, 2026, p.1). </w:t>
      </w:r>
    </w:p>
    <w:tbl>
      <w:tblPr>
        <w:tblStyle w:val="style4107"/>
        <w:tblW w:w="934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950"/>
        <w:gridCol w:w="2235"/>
        <w:gridCol w:w="2340"/>
        <w:gridCol w:w="2820"/>
      </w:tblGrid>
      <w:tr w14:paraId="32072B7A">
        <w:trPr>
          <w:trHeight w:val="561" w:hRule="atLeast"/>
        </w:trPr>
        <w:tc>
          <w:tcPr>
            <w:tcW w:w="195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6457F6BE">
            <w:pPr>
              <w:pStyle w:val="style0"/>
              <w:spacing w:after="160" w:lineRule="auto" w:line="360"/>
              <w:jc w:val="center"/>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Key Performance Area</w:t>
            </w:r>
          </w:p>
        </w:tc>
        <w:tc>
          <w:tcPr>
            <w:tcW w:w="223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1DA1D5A8">
            <w:pPr>
              <w:pStyle w:val="style0"/>
              <w:spacing w:after="160" w:lineRule="auto" w:line="360"/>
              <w:jc w:val="center"/>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Traditional Working Baseline</w:t>
            </w:r>
          </w:p>
        </w:tc>
        <w:tc>
          <w:tcPr>
            <w:tcW w:w="234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648E4075">
            <w:pPr>
              <w:pStyle w:val="style0"/>
              <w:spacing w:after="160" w:lineRule="auto" w:line="360"/>
              <w:jc w:val="center"/>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Target Outcome with Innovative Practices</w:t>
            </w:r>
          </w:p>
        </w:tc>
        <w:tc>
          <w:tcPr>
            <w:tcW w:w="282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404BABB6">
            <w:pPr>
              <w:pStyle w:val="style0"/>
              <w:spacing w:after="160" w:lineRule="auto" w:line="360"/>
              <w:jc w:val="center"/>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Strategic Value for NHSX</w:t>
            </w:r>
          </w:p>
        </w:tc>
      </w:tr>
      <w:tr w14:paraId="77F73638">
        <w:tblPrEx/>
        <w:trPr>
          <w:trHeight w:val="1200" w:hRule="atLeast"/>
        </w:trPr>
        <w:tc>
          <w:tcPr>
            <w:tcW w:w="195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581BB04D">
            <w:pPr>
              <w:pStyle w:val="style0"/>
              <w:spacing w:after="160" w:lineRule="auto" w:line="360"/>
              <w:jc w:val="center"/>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Feature Release Cycle</w:t>
            </w:r>
          </w:p>
        </w:tc>
        <w:tc>
          <w:tcPr>
            <w:tcW w:w="223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394750AA">
            <w:pPr>
              <w:pStyle w:val="style0"/>
              <w:spacing w:after="160"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12 Weeks (Hierarchical sign-offs)</w:t>
            </w:r>
          </w:p>
        </w:tc>
        <w:tc>
          <w:tcPr>
            <w:tcW w:w="234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7FEE69AA">
            <w:pPr>
              <w:pStyle w:val="style0"/>
              <w:spacing w:after="160"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3 Weeks (Autonomous Agile squads)</w:t>
            </w:r>
          </w:p>
        </w:tc>
        <w:tc>
          <w:tcPr>
            <w:tcW w:w="282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78588BC6">
            <w:pPr>
              <w:pStyle w:val="style0"/>
              <w:spacing w:after="160"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Accelerates market response and digital health innovation.</w:t>
            </w:r>
          </w:p>
        </w:tc>
      </w:tr>
      <w:tr w14:paraId="4903B135">
        <w:tblPrEx/>
        <w:trPr>
          <w:trHeight w:val="1455" w:hRule="atLeast"/>
        </w:trPr>
        <w:tc>
          <w:tcPr>
            <w:tcW w:w="195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61E7F5F5">
            <w:pPr>
              <w:pStyle w:val="style0"/>
              <w:spacing w:after="160" w:lineRule="auto" w:line="360"/>
              <w:jc w:val="center"/>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Cross-Border Collaboration</w:t>
            </w:r>
          </w:p>
        </w:tc>
        <w:tc>
          <w:tcPr>
            <w:tcW w:w="223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1AD39C56">
            <w:pPr>
              <w:pStyle w:val="style0"/>
              <w:spacing w:after="160"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28% cross-regional project participation</w:t>
            </w:r>
          </w:p>
        </w:tc>
        <w:tc>
          <w:tcPr>
            <w:tcW w:w="234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43214B09">
            <w:pPr>
              <w:pStyle w:val="style0"/>
              <w:spacing w:after="160"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85% integrated squad involvement</w:t>
            </w:r>
          </w:p>
        </w:tc>
        <w:tc>
          <w:tcPr>
            <w:tcW w:w="282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6F487028">
            <w:pPr>
              <w:pStyle w:val="style0"/>
              <w:spacing w:after="160"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Eliminates international siloing between the UK, India, and UAE.</w:t>
            </w:r>
          </w:p>
        </w:tc>
      </w:tr>
      <w:tr w14:paraId="7F0D68F6">
        <w:tblPrEx/>
        <w:trPr>
          <w:trHeight w:val="1200" w:hRule="atLeast"/>
        </w:trPr>
        <w:tc>
          <w:tcPr>
            <w:tcW w:w="195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2DB20FB4">
            <w:pPr>
              <w:pStyle w:val="style0"/>
              <w:spacing w:after="160" w:lineRule="auto" w:line="360"/>
              <w:jc w:val="center"/>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Employee Wellbeing &amp; Retention</w:t>
            </w:r>
          </w:p>
        </w:tc>
        <w:tc>
          <w:tcPr>
            <w:tcW w:w="223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231130E1">
            <w:pPr>
              <w:pStyle w:val="style0"/>
              <w:spacing w:after="160"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High turnover among top performers</w:t>
            </w:r>
          </w:p>
        </w:tc>
        <w:tc>
          <w:tcPr>
            <w:tcW w:w="234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658CDBF6">
            <w:pPr>
              <w:pStyle w:val="style0"/>
              <w:spacing w:after="160"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Projected 25% reduction in voluntary turnover</w:t>
            </w:r>
          </w:p>
        </w:tc>
        <w:tc>
          <w:tcPr>
            <w:tcW w:w="282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67DF5D5B">
            <w:pPr>
              <w:pStyle w:val="style0"/>
              <w:spacing w:after="160"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Retains top tech and clinical talent across global sites.</w:t>
            </w:r>
          </w:p>
        </w:tc>
      </w:tr>
    </w:tbl>
    <w:p w14:paraId="40809DB4">
      <w:pPr>
        <w:pStyle w:val="style0"/>
        <w:spacing w:before="200" w:lineRule="auto" w:line="360"/>
        <w:jc w:val="center"/>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Table 2: Organisational Performance Matrix</w:t>
      </w:r>
    </w:p>
    <w:p w14:paraId="212ED171">
      <w:pPr>
        <w:pStyle w:val="style0"/>
        <w:spacing w:before="200"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(Source: Self-Developed)</w:t>
      </w:r>
    </w:p>
    <w:bookmarkStart w:id="10" w:name="_heading=h.wbxcpn31b0u3" w:colFirst="0" w:colLast="0"/>
    <w:bookmarkEnd w:id="10"/>
    <w:p w14:paraId="1C25A7BB">
      <w:pPr>
        <w:pStyle w:val="style1"/>
        <w:rPr/>
      </w:pPr>
      <w:r>
        <w:t>TASK B: Breeding an Environment Where Talent May Grow</w:t>
      </w:r>
    </w:p>
    <w:bookmarkStart w:id="11" w:name="_heading=h.g1eh0cn5jwrb" w:colFirst="0" w:colLast="0"/>
    <w:bookmarkEnd w:id="11"/>
    <w:p w14:paraId="6BA075F1">
      <w:pPr>
        <w:pStyle w:val="style2"/>
        <w:rPr/>
      </w:pPr>
      <w:r>
        <w:t>2.1 Theoretical Frameworks for Talent Flourishing</w:t>
      </w:r>
    </w:p>
    <w:bookmarkStart w:id="12" w:name="_heading=h.chwubsig5xhk" w:colFirst="0" w:colLast="0"/>
    <w:bookmarkEnd w:id="12"/>
    <w:p w14:paraId="05D9838F">
      <w:pPr>
        <w:pStyle w:val="style3"/>
        <w:rPr/>
      </w:pPr>
      <w:r>
        <w:t>2.1.1 Senge’s Learning Organisation &amp; Dweck’s Growth Mindset</w:t>
      </w:r>
    </w:p>
    <w:p w14:paraId="0498B2BC">
      <w:pPr>
        <w:pStyle w:val="style0"/>
        <w:spacing w:before="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It seems necessary to shift from being reactive to being proactive when it comes to training; transforming into a continuous learning system is essential to fostering a corporate environment that can nurture high-tech talent. Peter Senge's framework for the Learning Organisation is based on five key disciplines: systems thinking, personal mastery, mental models, shared vision, and team learning (Frederick </w:t>
      </w:r>
      <w:r>
        <w:rPr>
          <w:rFonts w:ascii="Times New Roman" w:cs="Times New Roman" w:eastAsia="Times New Roman" w:hAnsi="Times New Roman"/>
          <w:i/>
          <w:iCs/>
          <w:sz w:val="24"/>
          <w:szCs w:val="24"/>
        </w:rPr>
        <w:t xml:space="preserve">et al., </w:t>
      </w:r>
      <w:r>
        <w:rPr>
          <w:rFonts w:ascii="Times New Roman" w:cs="Times New Roman" w:eastAsia="Times New Roman" w:hAnsi="Times New Roman"/>
          <w:sz w:val="24"/>
          <w:szCs w:val="24"/>
        </w:rPr>
        <w:t xml:space="preserve">2026, p.1). </w:t>
      </w:r>
    </w:p>
    <w:p w14:paraId="710D8918">
      <w:pPr>
        <w:pStyle w:val="style0"/>
        <w:spacing w:before="200" w:lineRule="auto" w:line="360"/>
        <w:jc w:val="center"/>
        <w:rPr>
          <w:rFonts w:ascii="Times New Roman" w:cs="Times New Roman" w:eastAsia="Times New Roman" w:hAnsi="Times New Roman"/>
          <w:sz w:val="24"/>
          <w:szCs w:val="24"/>
        </w:rPr>
      </w:pPr>
      <w:r>
        <w:rPr>
          <w:rFonts w:ascii="Times New Roman" w:cs="Times New Roman" w:eastAsia="Times New Roman" w:hAnsi="Times New Roman"/>
          <w:noProof/>
          <w:sz w:val="24"/>
          <w:szCs w:val="24"/>
        </w:rPr>
        <w:drawing>
          <wp:inline distL="0" distT="0" distB="0" distR="0">
            <wp:extent cx="5943600" cy="3962400"/>
            <wp:effectExtent l="38100" t="38100" r="38100" b="38100"/>
            <wp:docPr id="1029" name="image5.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5" cstate="print"/>
                    <a:srcRect l="0" t="0" r="0" b="0"/>
                    <a:stretch/>
                  </pic:blipFill>
                  <pic:spPr>
                    <a:xfrm rot="0">
                      <a:off x="0" y="0"/>
                      <a:ext cx="5943600" cy="3962400"/>
                    </a:xfrm>
                    <a:prstGeom prst="rect"/>
                    <a:ln cmpd="sng" cap="flat" w="38100">
                      <a:solidFill>
                        <a:srgbClr val="000000"/>
                      </a:solidFill>
                      <a:prstDash val="solid"/>
                      <a:round/>
                      <a:headEnd/>
                      <a:tailEnd/>
                    </a:ln>
                  </pic:spPr>
                </pic:pic>
              </a:graphicData>
            </a:graphic>
          </wp:inline>
        </w:drawing>
      </w:r>
    </w:p>
    <w:p w14:paraId="2F5163C4">
      <w:pPr>
        <w:pStyle w:val="style0"/>
        <w:spacing w:before="200" w:lineRule="auto" w:line="360"/>
        <w:jc w:val="center"/>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Figure 3: Carol Dweck's Growth Mindset theory</w:t>
      </w:r>
    </w:p>
    <w:p w14:paraId="606D2E64">
      <w:pPr>
        <w:pStyle w:val="style0"/>
        <w:spacing w:before="200"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(Source: Growth engineering, 2025, p.1)</w:t>
      </w:r>
    </w:p>
    <w:p w14:paraId="5799AA83">
      <w:pPr>
        <w:pStyle w:val="style0"/>
        <w:spacing w:before="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The theoretical support of Carol Dweck's Growth Mindset theory, which states that human skills and intelligence are malleable and can be learned through hard work, trial and error and positive input. By fostering a growth mindset to overcome these challenges and treat setbacks as opportunities to learn, employees keep experimenting with new AI algorithms, leading to continuous creativity (Rammstedt </w:t>
      </w:r>
      <w:r>
        <w:rPr>
          <w:rFonts w:ascii="Times New Roman" w:cs="Times New Roman" w:eastAsia="Times New Roman" w:hAnsi="Times New Roman"/>
          <w:i/>
          <w:iCs/>
          <w:sz w:val="24"/>
          <w:szCs w:val="24"/>
        </w:rPr>
        <w:t xml:space="preserve">et al., </w:t>
      </w:r>
      <w:r>
        <w:rPr>
          <w:rFonts w:ascii="Times New Roman" w:cs="Times New Roman" w:eastAsia="Times New Roman" w:hAnsi="Times New Roman"/>
          <w:sz w:val="24"/>
          <w:szCs w:val="24"/>
        </w:rPr>
        <w:t>2024, p.84).</w:t>
      </w:r>
    </w:p>
    <w:bookmarkStart w:id="13" w:name="_heading=h.g51y5xikf9aw" w:colFirst="0" w:colLast="0"/>
    <w:bookmarkEnd w:id="13"/>
    <w:p w14:paraId="3D2F4AEB">
      <w:pPr>
        <w:pStyle w:val="style3"/>
        <w:rPr/>
      </w:pPr>
      <w:r>
        <w:t>2.1.2 Edmondson’s Psychological Safety &amp; Self-Determination Theory (SDT)</w:t>
      </w:r>
    </w:p>
    <w:p w14:paraId="5A59DF5A">
      <w:pPr>
        <w:pStyle w:val="style0"/>
        <w:spacing w:before="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Psychological safety, according to Amy Edmondson, is "a collective perception that a team is safe for interpersonal risk taking, that it is safe to ask questions, make mistakes, or share ideas without fear of punishment or embarrassment. </w:t>
      </w:r>
    </w:p>
    <w:p w14:paraId="44DA728F">
      <w:pPr>
        <w:pStyle w:val="style0"/>
        <w:spacing w:before="200" w:lineRule="auto" w:line="360"/>
        <w:jc w:val="center"/>
        <w:rPr>
          <w:rFonts w:ascii="Times New Roman" w:cs="Times New Roman" w:eastAsia="Times New Roman" w:hAnsi="Times New Roman"/>
          <w:sz w:val="24"/>
          <w:szCs w:val="24"/>
        </w:rPr>
      </w:pPr>
      <w:r>
        <w:rPr>
          <w:rFonts w:ascii="Times New Roman" w:cs="Times New Roman" w:eastAsia="Times New Roman" w:hAnsi="Times New Roman"/>
          <w:noProof/>
          <w:sz w:val="24"/>
          <w:szCs w:val="24"/>
        </w:rPr>
        <w:drawing>
          <wp:inline distL="0" distT="0" distB="0" distR="0">
            <wp:extent cx="4806950" cy="3605213"/>
            <wp:effectExtent l="38100" t="38100" r="38100" b="38100"/>
            <wp:docPr id="1030" name="image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6" cstate="print"/>
                    <a:srcRect l="0" t="0" r="0" b="0"/>
                    <a:stretch/>
                  </pic:blipFill>
                  <pic:spPr>
                    <a:xfrm rot="0">
                      <a:off x="0" y="0"/>
                      <a:ext cx="4806950" cy="3605213"/>
                    </a:xfrm>
                    <a:prstGeom prst="rect"/>
                    <a:ln cmpd="sng" cap="flat" w="38100">
                      <a:solidFill>
                        <a:srgbClr val="000000"/>
                      </a:solidFill>
                      <a:prstDash val="solid"/>
                      <a:round/>
                      <a:headEnd/>
                      <a:tailEnd/>
                    </a:ln>
                  </pic:spPr>
                </pic:pic>
              </a:graphicData>
            </a:graphic>
          </wp:inline>
        </w:drawing>
      </w:r>
    </w:p>
    <w:p w14:paraId="0B69C340">
      <w:pPr>
        <w:pStyle w:val="style0"/>
        <w:spacing w:before="200" w:lineRule="auto" w:line="360"/>
        <w:jc w:val="center"/>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Figure 4: Edmondson’s Psychological Safety Model</w:t>
      </w:r>
    </w:p>
    <w:p w14:paraId="737425EB">
      <w:pPr>
        <w:pStyle w:val="style0"/>
        <w:spacing w:before="200"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(Source: Kaizenko, 2025, p.1)</w:t>
      </w:r>
    </w:p>
    <w:p w14:paraId="49DFA700">
      <w:pPr>
        <w:pStyle w:val="style0"/>
        <w:spacing w:before="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In NHSX, a reduction in the prevalence of cross-border working has diminished relationships between employees, and the establishment of psychological safety is crucial to reconnect people and reestablish trust (Edmondson and Bransby, 2023, p.55). This construct is directly linked to the Self-Determination Theory (SDT), which maintains that three basic psychological needs: autonomy, competence, and relatedness are essential for intrinsic motivation and for maintaining high levels of performance over time. International team connections will be restored to strengthen relatedness (Santana </w:t>
      </w:r>
      <w:r>
        <w:rPr>
          <w:rFonts w:ascii="Times New Roman" w:cs="Times New Roman" w:eastAsia="Times New Roman" w:hAnsi="Times New Roman"/>
          <w:i/>
          <w:iCs/>
          <w:sz w:val="24"/>
          <w:szCs w:val="24"/>
        </w:rPr>
        <w:t xml:space="preserve">et al., </w:t>
      </w:r>
      <w:r>
        <w:rPr>
          <w:rFonts w:ascii="Times New Roman" w:cs="Times New Roman" w:eastAsia="Times New Roman" w:hAnsi="Times New Roman"/>
          <w:sz w:val="24"/>
          <w:szCs w:val="24"/>
        </w:rPr>
        <w:t>2025, p.1).</w:t>
      </w:r>
    </w:p>
    <w:bookmarkStart w:id="14" w:name="_heading=h.ual03hbblp4a" w:colFirst="0" w:colLast="0"/>
    <w:bookmarkEnd w:id="14"/>
    <w:p w14:paraId="241683F1">
      <w:pPr>
        <w:pStyle w:val="style3"/>
        <w:rPr/>
      </w:pPr>
      <w:r>
        <w:t>2.1.3 Job Crafting &amp; Employee Experience (EX) Models</w:t>
      </w:r>
    </w:p>
    <w:p w14:paraId="0ED07F55">
      <w:pPr>
        <w:pStyle w:val="style0"/>
        <w:spacing w:before="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Job Crafting Theory, created by Wrzesniewski and Dutton, describes how workers proactively modify their work roles through three processes: task crafting, relational crafting and cognitive crafting (Zhang </w:t>
      </w:r>
      <w:r>
        <w:rPr>
          <w:rFonts w:ascii="Times New Roman" w:cs="Times New Roman" w:eastAsia="Times New Roman" w:hAnsi="Times New Roman"/>
          <w:i/>
          <w:iCs/>
          <w:sz w:val="24"/>
          <w:szCs w:val="24"/>
        </w:rPr>
        <w:t xml:space="preserve">et al., </w:t>
      </w:r>
      <w:r>
        <w:rPr>
          <w:rFonts w:ascii="Times New Roman" w:cs="Times New Roman" w:eastAsia="Times New Roman" w:hAnsi="Times New Roman"/>
          <w:sz w:val="24"/>
          <w:szCs w:val="24"/>
        </w:rPr>
        <w:t xml:space="preserve">2025. p.1). It contributes to the larger concept of the Employee </w:t>
      </w:r>
      <w:r>
        <w:rPr>
          <w:rFonts w:ascii="Times New Roman" w:cs="Times New Roman" w:eastAsia="Times New Roman" w:hAnsi="Times New Roman"/>
          <w:sz w:val="24"/>
          <w:szCs w:val="24"/>
        </w:rPr>
        <w:t xml:space="preserve">Experience (EX), which is all about creating physical, cultural and technological spaces that help employees during the entire phases of their employee journey (Marx </w:t>
      </w:r>
      <w:r>
        <w:rPr>
          <w:rFonts w:ascii="Times New Roman" w:cs="Times New Roman" w:eastAsia="Times New Roman" w:hAnsi="Times New Roman"/>
          <w:i/>
          <w:iCs/>
          <w:sz w:val="24"/>
          <w:szCs w:val="24"/>
        </w:rPr>
        <w:t xml:space="preserve">et al., </w:t>
      </w:r>
      <w:r>
        <w:rPr>
          <w:rFonts w:ascii="Times New Roman" w:cs="Times New Roman" w:eastAsia="Times New Roman" w:hAnsi="Times New Roman"/>
          <w:sz w:val="24"/>
          <w:szCs w:val="24"/>
        </w:rPr>
        <w:t xml:space="preserve">2025, p.2344). </w:t>
      </w:r>
    </w:p>
    <w:bookmarkStart w:id="15" w:name="_heading=h.dc0zoknyfsvk" w:colFirst="0" w:colLast="0"/>
    <w:bookmarkEnd w:id="15"/>
    <w:p w14:paraId="6FB19DFE">
      <w:pPr>
        <w:pStyle w:val="style2"/>
        <w:rPr/>
      </w:pPr>
      <w:r>
        <w:t>2.2 Integrated Talent Growth Strategy for NHSX</w:t>
      </w:r>
    </w:p>
    <w:bookmarkStart w:id="16" w:name="_heading=h.oj4tw2vl4g2g" w:colFirst="0" w:colLast="0"/>
    <w:bookmarkEnd w:id="16"/>
    <w:p w14:paraId="0C07095F">
      <w:pPr>
        <w:pStyle w:val="style3"/>
        <w:rPr/>
      </w:pPr>
      <w:r>
        <w:t>2.2.1 Continuous Learning &amp; AI Capability Ecosystem</w:t>
      </w:r>
    </w:p>
    <w:p w14:paraId="04FF2ACD">
      <w:pPr>
        <w:pStyle w:val="style0"/>
        <w:spacing w:before="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In order to address career development issues and skill enhancement, NHSX needs to create a lifelong learning system with an NHSX internal “AI &amp; HealthTech Academy”. The virtual platform for operating digital healthcare and advanced technical support enables better responsibilities for students in future. 10% of the time will be made available in a weekly schedule to all employees for coursework, personal innovation projects, or inter-departmental projects (Steiber and Ghosh, 2026, p.153). This strategic learning infrastructure is made up of the core elements in the table below.</w:t>
      </w:r>
    </w:p>
    <w:tbl>
      <w:tblPr>
        <w:tblStyle w:val="style4108"/>
        <w:tblW w:w="871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725"/>
        <w:gridCol w:w="2310"/>
        <w:gridCol w:w="2550"/>
        <w:gridCol w:w="2130"/>
      </w:tblGrid>
      <w:tr w14:paraId="332C43F4">
        <w:trPr>
          <w:trHeight w:val="600" w:hRule="atLeast"/>
        </w:trPr>
        <w:tc>
          <w:tcPr>
            <w:tcW w:w="172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4C19B12B">
            <w:pPr>
              <w:pStyle w:val="style0"/>
              <w:spacing w:lineRule="auto" w:line="360"/>
              <w:jc w:val="center"/>
              <w:rPr>
                <w:rFonts w:ascii="Times New Roman" w:cs="Times New Roman" w:eastAsia="Times New Roman" w:hAnsi="Times New Roman"/>
                <w:b/>
                <w:bCs/>
                <w:color w:val="ff0000"/>
                <w:sz w:val="24"/>
                <w:szCs w:val="24"/>
              </w:rPr>
            </w:pPr>
            <w:r>
              <w:rPr>
                <w:rFonts w:ascii="Times New Roman" w:cs="Times New Roman" w:eastAsia="Times New Roman" w:hAnsi="Times New Roman"/>
                <w:b/>
                <w:bCs/>
                <w:color w:val="ff0000"/>
                <w:sz w:val="24"/>
                <w:szCs w:val="24"/>
              </w:rPr>
              <w:t>Strategy Component</w:t>
            </w:r>
          </w:p>
        </w:tc>
        <w:tc>
          <w:tcPr>
            <w:tcW w:w="231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0AEAF64">
            <w:pPr>
              <w:pStyle w:val="style0"/>
              <w:spacing w:lineRule="auto" w:line="360"/>
              <w:jc w:val="center"/>
              <w:rPr>
                <w:rFonts w:ascii="Times New Roman" w:cs="Times New Roman" w:eastAsia="Times New Roman" w:hAnsi="Times New Roman"/>
                <w:b/>
                <w:bCs/>
                <w:color w:val="ff0000"/>
                <w:sz w:val="24"/>
                <w:szCs w:val="24"/>
              </w:rPr>
            </w:pPr>
            <w:r>
              <w:rPr>
                <w:rFonts w:ascii="Times New Roman" w:cs="Times New Roman" w:eastAsia="Times New Roman" w:hAnsi="Times New Roman"/>
                <w:b/>
                <w:bCs/>
                <w:color w:val="ff0000"/>
                <w:sz w:val="24"/>
                <w:szCs w:val="24"/>
              </w:rPr>
              <w:t>Core Operational Activity</w:t>
            </w:r>
          </w:p>
        </w:tc>
        <w:tc>
          <w:tcPr>
            <w:tcW w:w="255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88B50F8">
            <w:pPr>
              <w:pStyle w:val="style0"/>
              <w:spacing w:lineRule="auto" w:line="360"/>
              <w:jc w:val="center"/>
              <w:rPr>
                <w:rFonts w:ascii="Times New Roman" w:cs="Times New Roman" w:eastAsia="Times New Roman" w:hAnsi="Times New Roman"/>
                <w:b/>
                <w:bCs/>
                <w:color w:val="ff0000"/>
                <w:sz w:val="24"/>
                <w:szCs w:val="24"/>
              </w:rPr>
            </w:pPr>
            <w:r>
              <w:rPr>
                <w:rFonts w:ascii="Times New Roman" w:cs="Times New Roman" w:eastAsia="Times New Roman" w:hAnsi="Times New Roman"/>
                <w:b/>
                <w:bCs/>
                <w:color w:val="ff0000"/>
                <w:sz w:val="24"/>
                <w:szCs w:val="24"/>
              </w:rPr>
              <w:t>Problem Being Solved</w:t>
            </w:r>
          </w:p>
        </w:tc>
        <w:tc>
          <w:tcPr>
            <w:tcW w:w="213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33ADF211">
            <w:pPr>
              <w:pStyle w:val="style0"/>
              <w:spacing w:lineRule="auto" w:line="360"/>
              <w:jc w:val="center"/>
              <w:rPr>
                <w:rFonts w:ascii="Times New Roman" w:cs="Times New Roman" w:eastAsia="Times New Roman" w:hAnsi="Times New Roman"/>
                <w:b/>
                <w:bCs/>
                <w:color w:val="ff0000"/>
                <w:sz w:val="24"/>
                <w:szCs w:val="24"/>
              </w:rPr>
            </w:pPr>
            <w:r>
              <w:rPr>
                <w:rFonts w:ascii="Times New Roman" w:cs="Times New Roman" w:eastAsia="Times New Roman" w:hAnsi="Times New Roman"/>
                <w:b/>
                <w:bCs/>
                <w:color w:val="ff0000"/>
                <w:sz w:val="24"/>
                <w:szCs w:val="24"/>
              </w:rPr>
              <w:t>Target Capability Outcome</w:t>
            </w:r>
          </w:p>
        </w:tc>
      </w:tr>
      <w:tr w14:paraId="268CE4C6">
        <w:tblPrEx/>
        <w:trPr>
          <w:trHeight w:val="1410" w:hRule="atLeast"/>
        </w:trPr>
        <w:tc>
          <w:tcPr>
            <w:tcW w:w="172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4437AFF2">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AI &amp; HealthTech Academy</w:t>
            </w:r>
          </w:p>
        </w:tc>
        <w:tc>
          <w:tcPr>
            <w:tcW w:w="231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2765BB9F">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Self-paced modules and certified tracks in AI, data ethics and clinical systems.</w:t>
            </w:r>
          </w:p>
        </w:tc>
        <w:tc>
          <w:tcPr>
            <w:tcW w:w="255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04DB7B09">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b/>
                <w:bCs/>
                <w:color w:val="ff0000"/>
                <w:sz w:val="24"/>
                <w:szCs w:val="24"/>
              </w:rPr>
              <w:t>Limited learning opportunities and skill gaps.</w:t>
            </w:r>
            <w:r>
              <w:rPr>
                <w:rFonts w:ascii="Times New Roman" w:cs="Times New Roman" w:eastAsia="Times New Roman" w:hAnsi="Times New Roman"/>
                <w:color w:val="ff0000"/>
                <w:sz w:val="24"/>
                <w:szCs w:val="24"/>
              </w:rPr>
              <w:t xml:space="preserve"> Staff lack structured routes to build advanced technical skills.</w:t>
            </w:r>
          </w:p>
        </w:tc>
        <w:tc>
          <w:tcPr>
            <w:tcW w:w="213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730BCB8D">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 xml:space="preserve">Closes skill gaps and improves </w:t>
            </w:r>
            <w:r>
              <w:rPr>
                <w:rFonts w:ascii="Times New Roman" w:cs="Times New Roman" w:eastAsia="Times New Roman" w:hAnsi="Times New Roman"/>
                <w:b/>
                <w:bCs/>
                <w:color w:val="ff0000"/>
                <w:sz w:val="24"/>
                <w:szCs w:val="24"/>
              </w:rPr>
              <w:t>performance</w:t>
            </w:r>
            <w:r>
              <w:rPr>
                <w:rFonts w:ascii="Times New Roman" w:cs="Times New Roman" w:eastAsia="Times New Roman" w:hAnsi="Times New Roman"/>
                <w:color w:val="ff0000"/>
                <w:sz w:val="24"/>
                <w:szCs w:val="24"/>
              </w:rPr>
              <w:t xml:space="preserve"> in AI software development.</w:t>
            </w:r>
          </w:p>
        </w:tc>
      </w:tr>
      <w:tr w14:paraId="2779C5DC">
        <w:tblPrEx/>
        <w:trPr>
          <w:trHeight w:val="1410" w:hRule="atLeast"/>
        </w:trPr>
        <w:tc>
          <w:tcPr>
            <w:tcW w:w="172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06313FD9">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Dedicated Learning Time (10%)</w:t>
            </w:r>
          </w:p>
        </w:tc>
        <w:tc>
          <w:tcPr>
            <w:tcW w:w="231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2A6B18FD">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Structured weekly time for research, upskilling and experimentation.</w:t>
            </w:r>
          </w:p>
        </w:tc>
        <w:tc>
          <w:tcPr>
            <w:tcW w:w="255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69AA5B61">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b/>
                <w:bCs/>
                <w:color w:val="ff0000"/>
                <w:sz w:val="24"/>
                <w:szCs w:val="24"/>
              </w:rPr>
              <w:t>Heavy workloads and no time to learn.</w:t>
            </w:r>
            <w:r>
              <w:rPr>
                <w:rFonts w:ascii="Times New Roman" w:cs="Times New Roman" w:eastAsia="Times New Roman" w:hAnsi="Times New Roman"/>
                <w:color w:val="ff0000"/>
                <w:sz w:val="24"/>
                <w:szCs w:val="24"/>
              </w:rPr>
              <w:t xml:space="preserve"> Staff report workload pressure that blocks development, which harms </w:t>
            </w:r>
            <w:r>
              <w:rPr>
                <w:rFonts w:ascii="Times New Roman" w:cs="Times New Roman" w:eastAsia="Times New Roman" w:hAnsi="Times New Roman"/>
                <w:b/>
                <w:bCs/>
                <w:color w:val="ff0000"/>
                <w:sz w:val="24"/>
                <w:szCs w:val="24"/>
              </w:rPr>
              <w:t>wellbeing</w:t>
            </w:r>
            <w:r>
              <w:rPr>
                <w:rFonts w:ascii="Times New Roman" w:cs="Times New Roman" w:eastAsia="Times New Roman" w:hAnsi="Times New Roman"/>
                <w:color w:val="ff0000"/>
                <w:sz w:val="24"/>
                <w:szCs w:val="24"/>
              </w:rPr>
              <w:t>.</w:t>
            </w:r>
          </w:p>
        </w:tc>
        <w:tc>
          <w:tcPr>
            <w:tcW w:w="213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47807E4A">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 xml:space="preserve">Supports a growth mindset, lower burnout and sustained </w:t>
            </w:r>
            <w:r>
              <w:rPr>
                <w:rFonts w:ascii="Times New Roman" w:cs="Times New Roman" w:eastAsia="Times New Roman" w:hAnsi="Times New Roman"/>
                <w:b/>
                <w:bCs/>
                <w:color w:val="ff0000"/>
                <w:sz w:val="24"/>
                <w:szCs w:val="24"/>
              </w:rPr>
              <w:t>performance</w:t>
            </w:r>
            <w:r>
              <w:rPr>
                <w:rFonts w:ascii="Times New Roman" w:cs="Times New Roman" w:eastAsia="Times New Roman" w:hAnsi="Times New Roman"/>
                <w:color w:val="ff0000"/>
                <w:sz w:val="24"/>
                <w:szCs w:val="24"/>
              </w:rPr>
              <w:t>.</w:t>
            </w:r>
          </w:p>
        </w:tc>
      </w:tr>
      <w:tr w14:paraId="16A8C561">
        <w:tblPrEx/>
        <w:trPr>
          <w:trHeight w:val="1410" w:hRule="atLeast"/>
        </w:trPr>
        <w:tc>
          <w:tcPr>
            <w:tcW w:w="172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05A84EC2">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Gig Mobility Marketplace</w:t>
            </w:r>
          </w:p>
        </w:tc>
        <w:tc>
          <w:tcPr>
            <w:tcW w:w="231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24E2270B">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Internal platform matching employees to short-term projects in other regions.</w:t>
            </w:r>
          </w:p>
        </w:tc>
        <w:tc>
          <w:tcPr>
            <w:tcW w:w="255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3009E2D">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b/>
                <w:bCs/>
                <w:color w:val="ff0000"/>
                <w:sz w:val="24"/>
                <w:szCs w:val="24"/>
              </w:rPr>
              <w:t>Lack of career progression.</w:t>
            </w:r>
            <w:r>
              <w:rPr>
                <w:rFonts w:ascii="Times New Roman" w:cs="Times New Roman" w:eastAsia="Times New Roman" w:hAnsi="Times New Roman"/>
                <w:color w:val="ff0000"/>
                <w:sz w:val="24"/>
                <w:szCs w:val="24"/>
              </w:rPr>
              <w:t xml:space="preserve"> High performers leave because they see no growth path.</w:t>
            </w:r>
          </w:p>
        </w:tc>
        <w:tc>
          <w:tcPr>
            <w:tcW w:w="213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9C0DB46">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 xml:space="preserve">Visible </w:t>
            </w:r>
            <w:r>
              <w:rPr>
                <w:rFonts w:ascii="Times New Roman" w:cs="Times New Roman" w:eastAsia="Times New Roman" w:hAnsi="Times New Roman"/>
                <w:b/>
                <w:bCs/>
                <w:color w:val="ff0000"/>
                <w:sz w:val="24"/>
                <w:szCs w:val="24"/>
              </w:rPr>
              <w:t>progression</w:t>
            </w:r>
            <w:r>
              <w:rPr>
                <w:rFonts w:ascii="Times New Roman" w:cs="Times New Roman" w:eastAsia="Times New Roman" w:hAnsi="Times New Roman"/>
                <w:color w:val="ff0000"/>
                <w:sz w:val="24"/>
                <w:szCs w:val="24"/>
              </w:rPr>
              <w:t>, more internal mobility and cross-border knowledge transfer.</w:t>
            </w:r>
          </w:p>
        </w:tc>
      </w:tr>
      <w:tr w14:paraId="415D12F5">
        <w:tblPrEx/>
        <w:trPr>
          <w:trHeight w:val="1140" w:hRule="atLeast"/>
        </w:trPr>
        <w:tc>
          <w:tcPr>
            <w:tcW w:w="172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63A8CF83">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Dual Career Path and Global Peer Mentoring (add)</w:t>
            </w:r>
          </w:p>
        </w:tc>
        <w:tc>
          <w:tcPr>
            <w:tcW w:w="231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5E2DB40C">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 xml:space="preserve">Parallel technical and managerial ladders, </w:t>
            </w:r>
            <w:r>
              <w:rPr>
                <w:rFonts w:ascii="Times New Roman" w:cs="Times New Roman" w:eastAsia="Times New Roman" w:hAnsi="Times New Roman"/>
                <w:color w:val="ff0000"/>
                <w:sz w:val="24"/>
                <w:szCs w:val="24"/>
              </w:rPr>
              <w:t>plus a mentoring network.</w:t>
            </w:r>
          </w:p>
        </w:tc>
        <w:tc>
          <w:tcPr>
            <w:tcW w:w="255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A6119F0">
            <w:pPr>
              <w:pStyle w:val="style0"/>
              <w:spacing w:lineRule="auto" w:line="360"/>
              <w:jc w:val="center"/>
              <w:rPr>
                <w:rFonts w:ascii="Times New Roman" w:cs="Times New Roman" w:eastAsia="Times New Roman" w:hAnsi="Times New Roman"/>
                <w:b/>
                <w:bCs/>
                <w:color w:val="ff0000"/>
                <w:sz w:val="24"/>
                <w:szCs w:val="24"/>
              </w:rPr>
            </w:pPr>
            <w:r>
              <w:rPr>
                <w:rFonts w:ascii="Times New Roman" w:cs="Times New Roman" w:eastAsia="Times New Roman" w:hAnsi="Times New Roman"/>
                <w:b/>
                <w:bCs/>
                <w:color w:val="ff0000"/>
                <w:sz w:val="24"/>
                <w:szCs w:val="24"/>
              </w:rPr>
              <w:t xml:space="preserve">Unclear promotion routes for technical </w:t>
            </w:r>
            <w:r>
              <w:rPr>
                <w:rFonts w:ascii="Times New Roman" w:cs="Times New Roman" w:eastAsia="Times New Roman" w:hAnsi="Times New Roman"/>
                <w:b/>
                <w:bCs/>
                <w:color w:val="ff0000"/>
                <w:sz w:val="24"/>
                <w:szCs w:val="24"/>
              </w:rPr>
              <w:t>specialists, and regional isolation.</w:t>
            </w:r>
          </w:p>
        </w:tc>
        <w:tc>
          <w:tcPr>
            <w:tcW w:w="213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A2CBD0B">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 xml:space="preserve">Fair </w:t>
            </w:r>
            <w:r>
              <w:rPr>
                <w:rFonts w:ascii="Times New Roman" w:cs="Times New Roman" w:eastAsia="Times New Roman" w:hAnsi="Times New Roman"/>
                <w:b/>
                <w:bCs/>
                <w:color w:val="ff0000"/>
                <w:sz w:val="24"/>
                <w:szCs w:val="24"/>
              </w:rPr>
              <w:t>progression</w:t>
            </w:r>
            <w:r>
              <w:rPr>
                <w:rFonts w:ascii="Times New Roman" w:cs="Times New Roman" w:eastAsia="Times New Roman" w:hAnsi="Times New Roman"/>
                <w:color w:val="ff0000"/>
                <w:sz w:val="24"/>
                <w:szCs w:val="24"/>
              </w:rPr>
              <w:t>, relatedness and retention of experts.</w:t>
            </w:r>
          </w:p>
        </w:tc>
      </w:tr>
      <w:tr w14:paraId="4D679A71">
        <w:tblPrEx/>
        <w:trPr>
          <w:trHeight w:val="1410" w:hRule="atLeast"/>
        </w:trPr>
        <w:tc>
          <w:tcPr>
            <w:tcW w:w="172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2AAD112E">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Blameless Post-Mortems and Wellbeing Programme (add)</w:t>
            </w:r>
          </w:p>
        </w:tc>
        <w:tc>
          <w:tcPr>
            <w:tcW w:w="231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4C78D2D3">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Team reviews of failures, manager training, workload ceilings.</w:t>
            </w:r>
          </w:p>
        </w:tc>
        <w:tc>
          <w:tcPr>
            <w:tcW w:w="255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523CBC92">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b/>
                <w:bCs/>
                <w:color w:val="ff0000"/>
                <w:sz w:val="24"/>
                <w:szCs w:val="24"/>
              </w:rPr>
              <w:t>Fear of blame and burnout.</w:t>
            </w:r>
            <w:r>
              <w:rPr>
                <w:rFonts w:ascii="Times New Roman" w:cs="Times New Roman" w:eastAsia="Times New Roman" w:hAnsi="Times New Roman"/>
                <w:color w:val="ff0000"/>
                <w:sz w:val="24"/>
                <w:szCs w:val="24"/>
              </w:rPr>
              <w:t xml:space="preserve"> Both reduce </w:t>
            </w:r>
            <w:r>
              <w:rPr>
                <w:rFonts w:ascii="Times New Roman" w:cs="Times New Roman" w:eastAsia="Times New Roman" w:hAnsi="Times New Roman"/>
                <w:b/>
                <w:bCs/>
                <w:color w:val="ff0000"/>
                <w:sz w:val="24"/>
                <w:szCs w:val="24"/>
              </w:rPr>
              <w:t>wellbeing</w:t>
            </w:r>
            <w:r>
              <w:rPr>
                <w:rFonts w:ascii="Times New Roman" w:cs="Times New Roman" w:eastAsia="Times New Roman" w:hAnsi="Times New Roman"/>
                <w:color w:val="ff0000"/>
                <w:sz w:val="24"/>
                <w:szCs w:val="24"/>
              </w:rPr>
              <w:t xml:space="preserve"> and willingness to take risks.</w:t>
            </w:r>
          </w:p>
        </w:tc>
        <w:tc>
          <w:tcPr>
            <w:tcW w:w="213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7F1B17A9">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 xml:space="preserve">Higher psychological safety and healthier </w:t>
            </w:r>
            <w:r>
              <w:rPr>
                <w:rFonts w:ascii="Times New Roman" w:cs="Times New Roman" w:eastAsia="Times New Roman" w:hAnsi="Times New Roman"/>
                <w:b/>
                <w:bCs/>
                <w:color w:val="ff0000"/>
                <w:sz w:val="24"/>
                <w:szCs w:val="24"/>
              </w:rPr>
              <w:t>performance</w:t>
            </w:r>
            <w:r>
              <w:rPr>
                <w:rFonts w:ascii="Times New Roman" w:cs="Times New Roman" w:eastAsia="Times New Roman" w:hAnsi="Times New Roman"/>
                <w:color w:val="ff0000"/>
                <w:sz w:val="24"/>
                <w:szCs w:val="24"/>
              </w:rPr>
              <w:t>.</w:t>
            </w:r>
          </w:p>
        </w:tc>
      </w:tr>
    </w:tbl>
    <w:p w14:paraId="1A9CB832">
      <w:pPr>
        <w:pStyle w:val="style0"/>
        <w:spacing w:before="200" w:lineRule="auto" w:line="360"/>
        <w:jc w:val="center"/>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Table 3: Strategic Components for Business Growth and Development for NHSX</w:t>
      </w:r>
    </w:p>
    <w:p w14:paraId="09531329">
      <w:pPr>
        <w:pStyle w:val="style0"/>
        <w:spacing w:before="200"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(Source: Self-Developed)</w:t>
      </w:r>
    </w:p>
    <w:bookmarkStart w:id="17" w:name="_heading=h.ezzeyrteqhv9" w:colFirst="0" w:colLast="0"/>
    <w:bookmarkEnd w:id="17"/>
    <w:p w14:paraId="5312B9D3">
      <w:pPr>
        <w:pStyle w:val="style3"/>
        <w:rPr/>
      </w:pPr>
      <w:r>
        <w:t>2.2.2 Fostering Psychological Safety &amp; Wellbeing</w:t>
      </w:r>
    </w:p>
    <w:p w14:paraId="106FBAC2">
      <w:pPr>
        <w:pStyle w:val="style0"/>
        <w:spacing w:before="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NHSX leadership needs to shift from command and control to put in place empathetic leadership methods to balance high aspirations and staff wellbeing. Individuals from all over the UK, India and UAE will be obligated to complete training focusing on the key areas of active listening, constructive feedback and identifying symptoms of burnout. NHSX will be rolling out what it calls "Blameless Post-Mortems" for software deployments and clinical pilots which do not achieve targets (Purohit, 2025, p.35). </w:t>
      </w:r>
    </w:p>
    <w:bookmarkStart w:id="18" w:name="_heading=h.566zjnajfjlf" w:colFirst="0" w:colLast="0"/>
    <w:bookmarkEnd w:id="18"/>
    <w:p w14:paraId="295C558E">
      <w:pPr>
        <w:pStyle w:val="style3"/>
        <w:rPr/>
      </w:pPr>
      <w:r>
        <w:t>2.2.3 Global Knowledge-Sharing &amp; Career Pathway Networks</w:t>
      </w:r>
    </w:p>
    <w:p w14:paraId="564B0173">
      <w:pPr>
        <w:pStyle w:val="style0"/>
        <w:spacing w:before="200" w:lineRule="auto" w:line="360"/>
        <w:jc w:val="both"/>
        <w:rPr>
          <w:rFonts w:ascii="Times New Roman" w:cs="Times New Roman" w:eastAsia="Times New Roman" w:hAnsi="Times New Roman"/>
          <w:color w:val="ff0000"/>
          <w:sz w:val="24"/>
          <w:szCs w:val="24"/>
        </w:rPr>
      </w:pPr>
      <w:r>
        <w:rPr>
          <w:rFonts w:ascii="Times New Roman" w:cs="Times New Roman" w:eastAsia="Times New Roman" w:hAnsi="Times New Roman"/>
          <w:sz w:val="24"/>
          <w:szCs w:val="24"/>
        </w:rPr>
        <w:t xml:space="preserve">NHSX needs to move away from the conventional career ladder and establish a dual career path model that is clear, with equal opportunities for both technical contributors and managerial leaders. NHSX will create a 'Global Peer Mentoring Network' of senior engineers and managers. </w:t>
      </w:r>
      <w:r>
        <w:rPr>
          <w:rFonts w:ascii="Times New Roman" w:cs="Times New Roman" w:eastAsia="Times New Roman" w:hAnsi="Times New Roman"/>
          <w:color w:val="ff0000"/>
          <w:sz w:val="24"/>
          <w:szCs w:val="24"/>
        </w:rPr>
        <w:t>These solutions address four interrelated challenges: lack of progression (dual career paths and the talent marketplace), limited learning opportunities (the AI &amp; HealthTech Academy and 10% learning time), poor wellbeing (psychological safety and workload limits) and weak performance (skills growth and a blame-free learning culture).</w:t>
      </w:r>
    </w:p>
    <w:bookmarkStart w:id="19" w:name="_heading=h.upgfifbetcsh" w:colFirst="0" w:colLast="0"/>
    <w:bookmarkEnd w:id="19"/>
    <w:p w14:paraId="168382F4">
      <w:pPr>
        <w:pStyle w:val="style2"/>
        <w:rPr/>
      </w:pPr>
      <w:r>
        <w:t>2.3 Evaluation &amp; Long-Term Talent Retention</w:t>
      </w:r>
    </w:p>
    <w:p w14:paraId="4E438CE0">
      <w:pPr>
        <w:pStyle w:val="style0"/>
        <w:spacing w:before="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This integrated talent ecosystem directly tackles NHSX's strategic challenges, enhancing retention and innovation metrics of products. In doing so, NHSX creates a culture within the workplace in which talent can flourish for years to come through meeting the fundamental psychological needs of autonomy, competence and relatedness (Saadallah, 2025, p.325). </w:t>
      </w:r>
    </w:p>
    <w:tbl>
      <w:tblPr>
        <w:tblStyle w:val="style4109"/>
        <w:tblW w:w="927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665"/>
        <w:gridCol w:w="1170"/>
        <w:gridCol w:w="795"/>
        <w:gridCol w:w="2790"/>
        <w:gridCol w:w="2850"/>
      </w:tblGrid>
      <w:tr w14:paraId="4B70979A">
        <w:trPr>
          <w:trHeight w:val="600" w:hRule="atLeast"/>
        </w:trPr>
        <w:tc>
          <w:tcPr>
            <w:tcW w:w="166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0805D19">
            <w:pPr>
              <w:pStyle w:val="style0"/>
              <w:spacing w:lineRule="auto" w:line="360"/>
              <w:jc w:val="center"/>
              <w:rPr>
                <w:rFonts w:ascii="Times New Roman" w:cs="Times New Roman" w:eastAsia="Times New Roman" w:hAnsi="Times New Roman"/>
                <w:b/>
                <w:bCs/>
                <w:color w:val="ff0000"/>
                <w:sz w:val="24"/>
                <w:szCs w:val="24"/>
              </w:rPr>
            </w:pPr>
            <w:r>
              <w:rPr>
                <w:rFonts w:ascii="Times New Roman" w:cs="Times New Roman" w:eastAsia="Times New Roman" w:hAnsi="Times New Roman"/>
                <w:b/>
                <w:bCs/>
                <w:color w:val="ff0000"/>
                <w:sz w:val="24"/>
                <w:szCs w:val="24"/>
              </w:rPr>
              <w:t>Talent Outcome Area</w:t>
            </w:r>
          </w:p>
        </w:tc>
        <w:tc>
          <w:tcPr>
            <w:tcW w:w="117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278034E4">
            <w:pPr>
              <w:pStyle w:val="style0"/>
              <w:spacing w:lineRule="auto" w:line="360"/>
              <w:jc w:val="center"/>
              <w:rPr>
                <w:rFonts w:ascii="Times New Roman" w:cs="Times New Roman" w:eastAsia="Times New Roman" w:hAnsi="Times New Roman"/>
                <w:b/>
                <w:bCs/>
                <w:color w:val="ff0000"/>
                <w:sz w:val="24"/>
                <w:szCs w:val="24"/>
              </w:rPr>
            </w:pPr>
            <w:r>
              <w:rPr>
                <w:rFonts w:ascii="Times New Roman" w:cs="Times New Roman" w:eastAsia="Times New Roman" w:hAnsi="Times New Roman"/>
                <w:b/>
                <w:bCs/>
                <w:color w:val="ff0000"/>
                <w:sz w:val="24"/>
                <w:szCs w:val="24"/>
              </w:rPr>
              <w:t>Current Baseline</w:t>
            </w:r>
          </w:p>
        </w:tc>
        <w:tc>
          <w:tcPr>
            <w:tcW w:w="79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7C79DA21">
            <w:pPr>
              <w:pStyle w:val="style0"/>
              <w:spacing w:lineRule="auto" w:line="360"/>
              <w:jc w:val="center"/>
              <w:rPr>
                <w:rFonts w:ascii="Times New Roman" w:cs="Times New Roman" w:eastAsia="Times New Roman" w:hAnsi="Times New Roman"/>
                <w:b/>
                <w:bCs/>
                <w:color w:val="ff0000"/>
                <w:sz w:val="24"/>
                <w:szCs w:val="24"/>
              </w:rPr>
            </w:pPr>
            <w:r>
              <w:rPr>
                <w:rFonts w:ascii="Times New Roman" w:cs="Times New Roman" w:eastAsia="Times New Roman" w:hAnsi="Times New Roman"/>
                <w:b/>
                <w:bCs/>
                <w:color w:val="ff0000"/>
                <w:sz w:val="24"/>
                <w:szCs w:val="24"/>
              </w:rPr>
              <w:t>Target</w:t>
            </w:r>
          </w:p>
        </w:tc>
        <w:tc>
          <w:tcPr>
            <w:tcW w:w="279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69B212E1">
            <w:pPr>
              <w:pStyle w:val="style0"/>
              <w:spacing w:lineRule="auto" w:line="360"/>
              <w:jc w:val="center"/>
              <w:rPr>
                <w:rFonts w:ascii="Times New Roman" w:cs="Times New Roman" w:eastAsia="Times New Roman" w:hAnsi="Times New Roman"/>
                <w:b/>
                <w:bCs/>
                <w:color w:val="ff0000"/>
                <w:sz w:val="24"/>
                <w:szCs w:val="24"/>
              </w:rPr>
            </w:pPr>
            <w:r>
              <w:rPr>
                <w:rFonts w:ascii="Times New Roman" w:cs="Times New Roman" w:eastAsia="Times New Roman" w:hAnsi="Times New Roman"/>
                <w:b/>
                <w:bCs/>
                <w:color w:val="ff0000"/>
                <w:sz w:val="24"/>
                <w:szCs w:val="24"/>
              </w:rPr>
              <w:t>Problem Addressed</w:t>
            </w:r>
          </w:p>
        </w:tc>
        <w:tc>
          <w:tcPr>
            <w:tcW w:w="285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6F8B3B58">
            <w:pPr>
              <w:pStyle w:val="style0"/>
              <w:spacing w:lineRule="auto" w:line="360"/>
              <w:jc w:val="center"/>
              <w:rPr>
                <w:rFonts w:ascii="Times New Roman" w:cs="Times New Roman" w:eastAsia="Times New Roman" w:hAnsi="Times New Roman"/>
                <w:b/>
                <w:bCs/>
                <w:color w:val="ff0000"/>
                <w:sz w:val="24"/>
                <w:szCs w:val="24"/>
              </w:rPr>
            </w:pPr>
            <w:r>
              <w:rPr>
                <w:rFonts w:ascii="Times New Roman" w:cs="Times New Roman" w:eastAsia="Times New Roman" w:hAnsi="Times New Roman"/>
                <w:b/>
                <w:bCs/>
                <w:color w:val="ff0000"/>
                <w:sz w:val="24"/>
                <w:szCs w:val="24"/>
              </w:rPr>
              <w:t>Strategic Value</w:t>
            </w:r>
          </w:p>
        </w:tc>
      </w:tr>
      <w:tr w14:paraId="4E9F09C1">
        <w:tblPrEx/>
        <w:trPr>
          <w:trHeight w:val="600" w:hRule="atLeast"/>
        </w:trPr>
        <w:tc>
          <w:tcPr>
            <w:tcW w:w="166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3974D9DE">
            <w:pPr>
              <w:pStyle w:val="style0"/>
              <w:spacing w:before="200"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High-Performer Retention</w:t>
            </w:r>
          </w:p>
        </w:tc>
        <w:tc>
          <w:tcPr>
            <w:tcW w:w="117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52D6FB34">
            <w:pPr>
              <w:pStyle w:val="style0"/>
              <w:spacing w:before="200"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72%</w:t>
            </w:r>
          </w:p>
        </w:tc>
        <w:tc>
          <w:tcPr>
            <w:tcW w:w="79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C6FE6C4">
            <w:pPr>
              <w:pStyle w:val="style0"/>
              <w:spacing w:before="200"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90%</w:t>
            </w:r>
          </w:p>
        </w:tc>
        <w:tc>
          <w:tcPr>
            <w:tcW w:w="279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0BF49DC3">
            <w:pPr>
              <w:pStyle w:val="style0"/>
              <w:spacing w:before="200"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b/>
                <w:bCs/>
                <w:color w:val="ff0000"/>
                <w:sz w:val="24"/>
                <w:szCs w:val="24"/>
              </w:rPr>
              <w:t>Progression:</w:t>
            </w:r>
            <w:r>
              <w:rPr>
                <w:rFonts w:ascii="Times New Roman" w:cs="Times New Roman" w:eastAsia="Times New Roman" w:hAnsi="Times New Roman"/>
                <w:color w:val="ff0000"/>
                <w:sz w:val="24"/>
                <w:szCs w:val="24"/>
              </w:rPr>
              <w:t xml:space="preserve"> top staff leave for lack of growth.</w:t>
            </w:r>
          </w:p>
        </w:tc>
        <w:tc>
          <w:tcPr>
            <w:tcW w:w="285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4254E9ED">
            <w:pPr>
              <w:pStyle w:val="style0"/>
              <w:spacing w:before="200"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Secures key AI and clinical expertise.</w:t>
            </w:r>
          </w:p>
        </w:tc>
      </w:tr>
      <w:tr w14:paraId="12D35F8F">
        <w:tblPrEx/>
        <w:trPr>
          <w:trHeight w:val="1140" w:hRule="atLeast"/>
        </w:trPr>
        <w:tc>
          <w:tcPr>
            <w:tcW w:w="166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46461717">
            <w:pPr>
              <w:pStyle w:val="style0"/>
              <w:spacing w:before="200"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Internal Mobility Rate</w:t>
            </w:r>
          </w:p>
        </w:tc>
        <w:tc>
          <w:tcPr>
            <w:tcW w:w="117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09F0AF5E">
            <w:pPr>
              <w:pStyle w:val="style0"/>
              <w:spacing w:before="200"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8%</w:t>
            </w:r>
          </w:p>
        </w:tc>
        <w:tc>
          <w:tcPr>
            <w:tcW w:w="79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71844CBD">
            <w:pPr>
              <w:pStyle w:val="style0"/>
              <w:spacing w:before="200"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25%</w:t>
            </w:r>
          </w:p>
        </w:tc>
        <w:tc>
          <w:tcPr>
            <w:tcW w:w="279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7B80D336">
            <w:pPr>
              <w:pStyle w:val="style0"/>
              <w:spacing w:before="200"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b/>
                <w:bCs/>
                <w:color w:val="ff0000"/>
                <w:sz w:val="24"/>
                <w:szCs w:val="24"/>
              </w:rPr>
              <w:t>Progression and learning opportunities:</w:t>
            </w:r>
            <w:r>
              <w:rPr>
                <w:rFonts w:ascii="Times New Roman" w:cs="Times New Roman" w:eastAsia="Times New Roman" w:hAnsi="Times New Roman"/>
                <w:color w:val="ff0000"/>
                <w:sz w:val="24"/>
                <w:szCs w:val="24"/>
              </w:rPr>
              <w:t xml:space="preserve"> limited movement across teams and regions.</w:t>
            </w:r>
          </w:p>
        </w:tc>
        <w:tc>
          <w:tcPr>
            <w:tcW w:w="285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833B5D5">
            <w:pPr>
              <w:pStyle w:val="style0"/>
              <w:spacing w:before="200"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Better career satisfaction and fewer silos.</w:t>
            </w:r>
          </w:p>
        </w:tc>
      </w:tr>
      <w:tr w14:paraId="24CD5404">
        <w:tblPrEx/>
        <w:trPr>
          <w:trHeight w:val="870" w:hRule="atLeast"/>
        </w:trPr>
        <w:tc>
          <w:tcPr>
            <w:tcW w:w="166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5205A6BF">
            <w:pPr>
              <w:pStyle w:val="style0"/>
              <w:spacing w:before="200"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Psychological Safety Index</w:t>
            </w:r>
          </w:p>
        </w:tc>
        <w:tc>
          <w:tcPr>
            <w:tcW w:w="117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3DDAD743">
            <w:pPr>
              <w:pStyle w:val="style0"/>
              <w:spacing w:before="200"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48%</w:t>
            </w:r>
          </w:p>
        </w:tc>
        <w:tc>
          <w:tcPr>
            <w:tcW w:w="79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0F80F212">
            <w:pPr>
              <w:pStyle w:val="style0"/>
              <w:spacing w:before="200"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80%+</w:t>
            </w:r>
          </w:p>
        </w:tc>
        <w:tc>
          <w:tcPr>
            <w:tcW w:w="279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60D35003">
            <w:pPr>
              <w:pStyle w:val="style0"/>
              <w:spacing w:before="200"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b/>
                <w:bCs/>
                <w:color w:val="ff0000"/>
                <w:sz w:val="24"/>
                <w:szCs w:val="24"/>
              </w:rPr>
              <w:t>Wellbeing:</w:t>
            </w:r>
            <w:r>
              <w:rPr>
                <w:rFonts w:ascii="Times New Roman" w:cs="Times New Roman" w:eastAsia="Times New Roman" w:hAnsi="Times New Roman"/>
                <w:color w:val="ff0000"/>
                <w:sz w:val="24"/>
                <w:szCs w:val="24"/>
              </w:rPr>
              <w:t xml:space="preserve"> fear of blame and low trust across borders.</w:t>
            </w:r>
          </w:p>
        </w:tc>
        <w:tc>
          <w:tcPr>
            <w:tcW w:w="285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25B17B20">
            <w:pPr>
              <w:pStyle w:val="style0"/>
              <w:spacing w:before="200"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An open culture that supports safe experimentation.</w:t>
            </w:r>
          </w:p>
        </w:tc>
      </w:tr>
      <w:tr w14:paraId="6F23C724">
        <w:tblPrEx/>
        <w:trPr>
          <w:trHeight w:val="870" w:hRule="atLeast"/>
        </w:trPr>
        <w:tc>
          <w:tcPr>
            <w:tcW w:w="166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741CEBAD">
            <w:pPr>
              <w:pStyle w:val="style0"/>
              <w:spacing w:before="200"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(add) Learning Participation</w:t>
            </w:r>
          </w:p>
        </w:tc>
        <w:tc>
          <w:tcPr>
            <w:tcW w:w="117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48A3DF7">
            <w:pPr>
              <w:pStyle w:val="style0"/>
              <w:spacing w:before="200"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Add baseline from case</w:t>
            </w:r>
          </w:p>
        </w:tc>
        <w:tc>
          <w:tcPr>
            <w:tcW w:w="79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677F8C9">
            <w:pPr>
              <w:pStyle w:val="style0"/>
              <w:spacing w:before="200"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Add target</w:t>
            </w:r>
          </w:p>
        </w:tc>
        <w:tc>
          <w:tcPr>
            <w:tcW w:w="279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38FF883">
            <w:pPr>
              <w:pStyle w:val="style0"/>
              <w:spacing w:before="200"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b/>
                <w:bCs/>
                <w:color w:val="ff0000"/>
                <w:sz w:val="24"/>
                <w:szCs w:val="24"/>
              </w:rPr>
              <w:t>Learning opportunities and performance:</w:t>
            </w:r>
            <w:r>
              <w:rPr>
                <w:rFonts w:ascii="Times New Roman" w:cs="Times New Roman" w:eastAsia="Times New Roman" w:hAnsi="Times New Roman"/>
                <w:color w:val="ff0000"/>
                <w:sz w:val="24"/>
                <w:szCs w:val="24"/>
              </w:rPr>
              <w:t xml:space="preserve"> skill gaps.</w:t>
            </w:r>
          </w:p>
        </w:tc>
        <w:tc>
          <w:tcPr>
            <w:tcW w:w="285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53D63A1">
            <w:pPr>
              <w:pStyle w:val="style0"/>
              <w:spacing w:before="200"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Stronger capability and productivity.</w:t>
            </w:r>
          </w:p>
        </w:tc>
      </w:tr>
    </w:tbl>
    <w:p w14:paraId="4A9B9DFF">
      <w:pPr>
        <w:pStyle w:val="style0"/>
        <w:spacing w:before="200" w:lineRule="auto" w:line="360"/>
        <w:jc w:val="center"/>
        <w:rPr>
          <w:rFonts w:ascii="Times New Roman" w:cs="Times New Roman" w:eastAsia="Times New Roman" w:hAnsi="Times New Roman"/>
          <w:b/>
          <w:bCs/>
          <w:color w:val="ff0000"/>
          <w:sz w:val="24"/>
          <w:szCs w:val="24"/>
        </w:rPr>
      </w:pPr>
      <w:r>
        <w:rPr>
          <w:rFonts w:ascii="Times New Roman" w:cs="Times New Roman" w:eastAsia="Times New Roman" w:hAnsi="Times New Roman"/>
          <w:b/>
          <w:bCs/>
          <w:color w:val="ff0000"/>
          <w:sz w:val="24"/>
          <w:szCs w:val="24"/>
        </w:rPr>
        <w:t>Table 4: Talent Strategic Outcome Analysis for NHSX</w:t>
      </w:r>
    </w:p>
    <w:p w14:paraId="4F092B75">
      <w:pPr>
        <w:pStyle w:val="style0"/>
        <w:spacing w:before="200"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(Source: Self-Developed)</w:t>
      </w:r>
    </w:p>
    <w:bookmarkStart w:id="20" w:name="_heading=h.7kgbmseccawb" w:colFirst="0" w:colLast="0"/>
    <w:bookmarkEnd w:id="20"/>
    <w:p w14:paraId="2DD50FF5">
      <w:pPr>
        <w:pStyle w:val="style1"/>
        <w:rPr/>
      </w:pPr>
      <w:r>
        <w:t>TASK C: Reflective Report</w:t>
      </w:r>
    </w:p>
    <w:bookmarkStart w:id="21" w:name="_heading=h.ud9nggj0iabe" w:colFirst="0" w:colLast="0"/>
    <w:bookmarkEnd w:id="21"/>
    <w:p w14:paraId="61D1E56C">
      <w:pPr>
        <w:pStyle w:val="style2"/>
        <w:rPr/>
      </w:pPr>
      <w:r>
        <w:t>3.1 AI as a Strategic Decision-Support Tool in HRM</w:t>
      </w:r>
    </w:p>
    <w:p w14:paraId="4C5B3BA5">
      <w:pPr>
        <w:pStyle w:val="style0"/>
        <w:spacing w:before="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Utilisation of AI as a humanised tool in business management empowers analytical power and accuracy as well as talent management. The use of AI-based database work has been combined with early predictive analytics and balancing a better transformation with business. The responsibilities of AI practices involve managing a vast employee and customer database with easy computation and analytics. The forecast of sales values and profitability analysis can be easily derived through the evaluation of AI-based operational analysis (Setyawan </w:t>
      </w:r>
      <w:r>
        <w:rPr>
          <w:rFonts w:ascii="Times New Roman" w:cs="Times New Roman" w:eastAsia="Times New Roman" w:hAnsi="Times New Roman"/>
          <w:i/>
          <w:iCs/>
          <w:sz w:val="24"/>
          <w:szCs w:val="24"/>
        </w:rPr>
        <w:t xml:space="preserve">et al., </w:t>
      </w:r>
      <w:r>
        <w:rPr>
          <w:rFonts w:ascii="Times New Roman" w:cs="Times New Roman" w:eastAsia="Times New Roman" w:hAnsi="Times New Roman"/>
          <w:sz w:val="24"/>
          <w:szCs w:val="24"/>
        </w:rPr>
        <w:t xml:space="preserve">2024, p.252). </w:t>
      </w:r>
    </w:p>
    <w:bookmarkStart w:id="22" w:name="_heading=h.83okhllc9tom" w:colFirst="0" w:colLast="0"/>
    <w:bookmarkEnd w:id="22"/>
    <w:p w14:paraId="630C19DB">
      <w:pPr>
        <w:pStyle w:val="style2"/>
        <w:rPr/>
      </w:pPr>
      <w:r>
        <w:t>3.2 Reflective Analysis on AI Tool Usage</w:t>
      </w:r>
    </w:p>
    <w:bookmarkStart w:id="23" w:name="_heading=h.6qnq4uxjqlu4" w:colFirst="0" w:colLast="0"/>
    <w:bookmarkEnd w:id="23"/>
    <w:p w14:paraId="6248DC7E">
      <w:pPr>
        <w:pStyle w:val="style3"/>
        <w:rPr/>
      </w:pPr>
      <w:r>
        <w:t>3.2.1 Example 1: Research &amp; Synthesis</w:t>
      </w:r>
    </w:p>
    <w:p w14:paraId="203FCA3B">
      <w:pPr>
        <w:pStyle w:val="style0"/>
        <w:spacing w:before="200" w:lineRule="auto" w:line="360"/>
        <w:jc w:val="both"/>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Description &amp; Feelings:</w:t>
      </w:r>
    </w:p>
    <w:p w14:paraId="4A3E07F5">
      <w:pPr>
        <w:pStyle w:val="style0"/>
        <w:spacing w:before="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I think the use of AI in academic work is the best way to ensure in-depth research in a minimal timeline. Also, I feel AI can generate higher performance with minimal effort, especially in search-based tasks.</w:t>
      </w:r>
    </w:p>
    <w:p w14:paraId="48C429A1">
      <w:pPr>
        <w:pStyle w:val="style0"/>
        <w:spacing w:before="200" w:lineRule="auto" w:line="360"/>
        <w:jc w:val="both"/>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Evaluation &amp; Analysis:</w:t>
      </w:r>
    </w:p>
    <w:p w14:paraId="287DE759">
      <w:pPr>
        <w:pStyle w:val="style0"/>
        <w:spacing w:before="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In my evaluation, AI evaluates complicated contexts and easily identifies the structural issues in academic tasks. However, some of the resources it finds are outdated and vague as well. </w:t>
      </w:r>
    </w:p>
    <w:p w14:paraId="0120FD5B">
      <w:pPr>
        <w:pStyle w:val="style0"/>
        <w:spacing w:before="200" w:lineRule="auto" w:line="360"/>
        <w:jc w:val="both"/>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Conclusion &amp; Action Plan:</w:t>
      </w:r>
    </w:p>
    <w:p w14:paraId="69A42C20">
      <w:pPr>
        <w:pStyle w:val="style0"/>
        <w:spacing w:before="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The content generated using an AI tool is completely different from articles which avoid illegal transcription or copyright issues in academic work. </w:t>
      </w:r>
    </w:p>
    <w:bookmarkStart w:id="24" w:name="_heading=h.asy1bbmauynm" w:colFirst="0" w:colLast="0"/>
    <w:bookmarkEnd w:id="24"/>
    <w:p w14:paraId="5A3DBDF0">
      <w:pPr>
        <w:pStyle w:val="style3"/>
        <w:rPr/>
      </w:pPr>
      <w:r>
        <w:t>3.2.2 Structure &amp; Idea Generation (Report Formatting)</w:t>
      </w:r>
    </w:p>
    <w:p w14:paraId="0DAC7E3A">
      <w:pPr>
        <w:pStyle w:val="style0"/>
        <w:spacing w:before="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In a descriptive review, I think of the structural options for short-term writing, like essays and reports. The structural guidance, as well as writing assistance, can be extremely relevant to topics and research work. It feels great to create new ideas and conceptualisation of article-based reviews quickly are the best values identified through these AI tools. </w:t>
      </w:r>
    </w:p>
    <w:bookmarkStart w:id="25" w:name="_heading=h.ejrivcszrpwx" w:colFirst="0" w:colLast="0"/>
    <w:bookmarkEnd w:id="25"/>
    <w:p w14:paraId="2D7328F9">
      <w:pPr>
        <w:pStyle w:val="style3"/>
        <w:rPr/>
      </w:pPr>
      <w:r>
        <w:t>3.2.3 Drafting &amp; Refinement Challenge (Contextual Alignment)</w:t>
      </w:r>
    </w:p>
    <w:p w14:paraId="35F7B13F">
      <w:pPr>
        <w:pStyle w:val="style0"/>
        <w:spacing w:before="20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Especially for the academic assignment, the draft work will be easily contextualised through the refinement work and opportunities in this segment. However, generating a general advice rather than exquisite research outcomes, the AI tool further provides majorly with contextual alignment well. I think, despite having drawbacks, AI must be used under mentors' instruction and AI regulations for new idea generation and creative structure work.</w:t>
      </w:r>
    </w:p>
    <w:bookmarkStart w:id="26" w:name="_heading=h.w6o085r30yqi" w:colFirst="0" w:colLast="0"/>
    <w:bookmarkEnd w:id="26"/>
    <w:p w14:paraId="7A57A117">
      <w:pPr>
        <w:pStyle w:val="style2"/>
        <w:rPr/>
      </w:pPr>
      <w:r>
        <w:t>3.3 Personal Capability Development Plan or Actionable Employability Plan</w:t>
      </w:r>
    </w:p>
    <w:tbl>
      <w:tblPr>
        <w:tblStyle w:val="style4110"/>
        <w:tblW w:w="930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935"/>
        <w:gridCol w:w="2085"/>
        <w:gridCol w:w="2670"/>
        <w:gridCol w:w="2610"/>
      </w:tblGrid>
      <w:tr w14:paraId="2B86FFB6">
        <w:trPr>
          <w:trHeight w:val="627" w:hRule="atLeast"/>
        </w:trPr>
        <w:tc>
          <w:tcPr>
            <w:tcW w:w="193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ECBDC14">
            <w:pPr>
              <w:pStyle w:val="style0"/>
              <w:spacing w:after="160" w:lineRule="auto" w:line="240"/>
              <w:jc w:val="center"/>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Development Goal &amp; Skill</w:t>
            </w:r>
          </w:p>
        </w:tc>
        <w:tc>
          <w:tcPr>
            <w:tcW w:w="208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3DC6B452">
            <w:pPr>
              <w:pStyle w:val="style0"/>
              <w:spacing w:after="160" w:lineRule="auto" w:line="240"/>
              <w:jc w:val="center"/>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Target Competency Area</w:t>
            </w:r>
          </w:p>
        </w:tc>
        <w:tc>
          <w:tcPr>
            <w:tcW w:w="267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B008B74">
            <w:pPr>
              <w:pStyle w:val="style0"/>
              <w:spacing w:after="160" w:lineRule="auto" w:line="240"/>
              <w:jc w:val="center"/>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Specific Action Steps</w:t>
            </w:r>
          </w:p>
        </w:tc>
        <w:tc>
          <w:tcPr>
            <w:tcW w:w="261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2EF29691">
            <w:pPr>
              <w:pStyle w:val="style0"/>
              <w:spacing w:after="160" w:lineRule="auto" w:line="240"/>
              <w:jc w:val="center"/>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Timeline &amp; Success Metric</w:t>
            </w:r>
          </w:p>
        </w:tc>
      </w:tr>
      <w:tr w14:paraId="55024F03">
        <w:tblPrEx/>
        <w:trPr>
          <w:trHeight w:val="2124" w:hRule="atLeast"/>
        </w:trPr>
        <w:tc>
          <w:tcPr>
            <w:tcW w:w="193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750CA415">
            <w:pPr>
              <w:pStyle w:val="style0"/>
              <w:spacing w:after="160" w:lineRule="auto" w:line="360"/>
              <w:jc w:val="center"/>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People Analytics &amp; Ethical AI Governance</w:t>
            </w:r>
          </w:p>
        </w:tc>
        <w:tc>
          <w:tcPr>
            <w:tcW w:w="208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FFB7F6">
            <w:pPr>
              <w:pStyle w:val="style0"/>
              <w:spacing w:after="160"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Strategic decision-making and data-driven HR practices.</w:t>
            </w:r>
          </w:p>
        </w:tc>
        <w:tc>
          <w:tcPr>
            <w:tcW w:w="267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6D41156E">
            <w:pPr>
              <w:pStyle w:val="style0"/>
              <w:spacing w:after="160"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Complete an accredited course in HR Data Analytics and Ethical AI Governance.</w:t>
            </w:r>
          </w:p>
        </w:tc>
        <w:tc>
          <w:tcPr>
            <w:tcW w:w="261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74E01E96">
            <w:pPr>
              <w:pStyle w:val="style0"/>
              <w:spacing w:after="160" w:lineRule="auto" w:line="360"/>
              <w:jc w:val="center"/>
              <w:rPr>
                <w:rFonts w:ascii="Times New Roman" w:cs="Times New Roman" w:eastAsia="Times New Roman" w:hAnsi="Times New Roman"/>
                <w:sz w:val="24"/>
                <w:szCs w:val="24"/>
              </w:rPr>
            </w:pPr>
            <w:r>
              <w:rPr>
                <w:rFonts w:ascii="Times New Roman" w:cs="Times New Roman" w:eastAsia="Times New Roman" w:hAnsi="Times New Roman"/>
                <w:b/>
                <w:bCs/>
                <w:sz w:val="24"/>
                <w:szCs w:val="24"/>
              </w:rPr>
              <w:t>Months 1–3:</w:t>
            </w:r>
            <w:r>
              <w:rPr>
                <w:rFonts w:ascii="Times New Roman" w:cs="Times New Roman" w:eastAsia="Times New Roman" w:hAnsi="Times New Roman"/>
                <w:sz w:val="24"/>
                <w:szCs w:val="24"/>
              </w:rPr>
              <w:t xml:space="preserve"> Attain certification; demonstrate proficiency in data auditing.</w:t>
            </w:r>
          </w:p>
        </w:tc>
      </w:tr>
      <w:tr w14:paraId="02E95B3F">
        <w:tblPrEx/>
        <w:trPr>
          <w:trHeight w:val="1605" w:hRule="atLeast"/>
        </w:trPr>
        <w:tc>
          <w:tcPr>
            <w:tcW w:w="193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549DFCEE">
            <w:pPr>
              <w:pStyle w:val="style0"/>
              <w:spacing w:after="160" w:lineRule="auto" w:line="360"/>
              <w:jc w:val="center"/>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Cross-Cultural HR &amp; Agile Leadership</w:t>
            </w:r>
          </w:p>
        </w:tc>
        <w:tc>
          <w:tcPr>
            <w:tcW w:w="208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4BFD244E">
            <w:pPr>
              <w:pStyle w:val="style0"/>
              <w:spacing w:after="160"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Managing international teams and hybrid operations.</w:t>
            </w:r>
          </w:p>
        </w:tc>
        <w:tc>
          <w:tcPr>
            <w:tcW w:w="267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4966A91D">
            <w:pPr>
              <w:pStyle w:val="style0"/>
              <w:spacing w:after="160"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Participate in cross-regional virtual workshops and study international labour frameworks.</w:t>
            </w:r>
          </w:p>
        </w:tc>
        <w:tc>
          <w:tcPr>
            <w:tcW w:w="261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272A324">
            <w:pPr>
              <w:pStyle w:val="style0"/>
              <w:spacing w:after="160" w:lineRule="auto" w:line="360"/>
              <w:jc w:val="center"/>
              <w:rPr>
                <w:rFonts w:ascii="Times New Roman" w:cs="Times New Roman" w:eastAsia="Times New Roman" w:hAnsi="Times New Roman"/>
                <w:sz w:val="24"/>
                <w:szCs w:val="24"/>
              </w:rPr>
            </w:pPr>
            <w:r>
              <w:rPr>
                <w:rFonts w:ascii="Times New Roman" w:cs="Times New Roman" w:eastAsia="Times New Roman" w:hAnsi="Times New Roman"/>
                <w:b/>
                <w:bCs/>
                <w:sz w:val="24"/>
                <w:szCs w:val="24"/>
              </w:rPr>
              <w:t>Months 4–6:</w:t>
            </w:r>
            <w:r>
              <w:rPr>
                <w:rFonts w:ascii="Times New Roman" w:cs="Times New Roman" w:eastAsia="Times New Roman" w:hAnsi="Times New Roman"/>
                <w:sz w:val="24"/>
                <w:szCs w:val="24"/>
              </w:rPr>
              <w:t xml:space="preserve"> Design and run an asynchronous project trial successfully.</w:t>
            </w:r>
          </w:p>
        </w:tc>
      </w:tr>
      <w:tr w14:paraId="1C3DDE41">
        <w:tblPrEx/>
        <w:trPr>
          <w:trHeight w:val="1605" w:hRule="atLeast"/>
        </w:trPr>
        <w:tc>
          <w:tcPr>
            <w:tcW w:w="193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4D5E3816">
            <w:pPr>
              <w:pStyle w:val="style0"/>
              <w:spacing w:after="160" w:lineRule="auto" w:line="360"/>
              <w:jc w:val="center"/>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Strategic Talent Management</w:t>
            </w:r>
          </w:p>
        </w:tc>
        <w:tc>
          <w:tcPr>
            <w:tcW w:w="208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329A774F">
            <w:pPr>
              <w:pStyle w:val="style0"/>
              <w:spacing w:after="160"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Designing psychological safety and EX frameworks.</w:t>
            </w:r>
          </w:p>
        </w:tc>
        <w:tc>
          <w:tcPr>
            <w:tcW w:w="267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6ADFE34B">
            <w:pPr>
              <w:pStyle w:val="style0"/>
              <w:spacing w:after="160"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Lead a team project using Job Crafting principles and psychological safety practices.</w:t>
            </w:r>
          </w:p>
        </w:tc>
        <w:tc>
          <w:tcPr>
            <w:tcW w:w="261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2A1FAD08">
            <w:pPr>
              <w:pStyle w:val="style0"/>
              <w:spacing w:after="160" w:lineRule="auto" w:line="360"/>
              <w:jc w:val="center"/>
              <w:rPr>
                <w:rFonts w:ascii="Times New Roman" w:cs="Times New Roman" w:eastAsia="Times New Roman" w:hAnsi="Times New Roman"/>
                <w:sz w:val="24"/>
                <w:szCs w:val="24"/>
              </w:rPr>
            </w:pPr>
            <w:r>
              <w:rPr>
                <w:rFonts w:ascii="Times New Roman" w:cs="Times New Roman" w:eastAsia="Times New Roman" w:hAnsi="Times New Roman"/>
                <w:b/>
                <w:bCs/>
                <w:sz w:val="24"/>
                <w:szCs w:val="24"/>
              </w:rPr>
              <w:t>Months 7–12:</w:t>
            </w:r>
            <w:r>
              <w:rPr>
                <w:rFonts w:ascii="Times New Roman" w:cs="Times New Roman" w:eastAsia="Times New Roman" w:hAnsi="Times New Roman"/>
                <w:sz w:val="24"/>
                <w:szCs w:val="24"/>
              </w:rPr>
              <w:t xml:space="preserve"> Achieve a 15% increase in team satisfaction and collaboration scores.</w:t>
            </w:r>
          </w:p>
        </w:tc>
      </w:tr>
    </w:tbl>
    <w:p w14:paraId="0C842EFF">
      <w:pPr>
        <w:pStyle w:val="style0"/>
        <w:spacing w:before="200" w:lineRule="auto" w:line="360"/>
        <w:jc w:val="center"/>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Table 5: Action Plan for Employability and Career Growth</w:t>
      </w:r>
    </w:p>
    <w:p w14:paraId="460B95C6">
      <w:pPr>
        <w:pStyle w:val="style0"/>
        <w:spacing w:before="200"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(Source: Self-Developed)</w:t>
      </w:r>
    </w:p>
    <w:p w14:paraId="457D9C0E">
      <w:pPr>
        <w:pStyle w:val="style0"/>
        <w:rPr>
          <w:rFonts w:ascii="Times New Roman" w:cs="Times New Roman" w:eastAsia="Times New Roman" w:hAnsi="Times New Roman"/>
          <w:sz w:val="24"/>
          <w:szCs w:val="24"/>
        </w:rPr>
      </w:pPr>
      <w:r>
        <w:br w:type="page"/>
      </w:r>
    </w:p>
    <w:bookmarkStart w:id="27" w:name="_heading=h.ifyh4d36f2g6" w:colFirst="0" w:colLast="0"/>
    <w:bookmarkEnd w:id="27"/>
    <w:p w14:paraId="7ED897BA">
      <w:pPr>
        <w:pStyle w:val="style1"/>
        <w:rPr/>
      </w:pPr>
      <w:r>
        <w:t>Reference List</w:t>
      </w:r>
    </w:p>
    <w:p w14:paraId="5641C82F">
      <w:pPr>
        <w:pStyle w:val="style0"/>
        <w:spacing w:before="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Ang, K. C., Sankaran, S., and Liu, D. (2025). Advancing sociotechnical systems theory: New principles for human-robot team design and development. </w:t>
      </w:r>
      <w:r>
        <w:rPr>
          <w:rFonts w:ascii="Times New Roman" w:cs="Times New Roman" w:eastAsia="Times New Roman" w:hAnsi="Times New Roman"/>
          <w:i/>
          <w:iCs/>
          <w:sz w:val="24"/>
          <w:szCs w:val="24"/>
        </w:rPr>
        <w:t>Applied Ergonomics</w:t>
      </w:r>
      <w:r>
        <w:rPr>
          <w:rFonts w:ascii="Times New Roman" w:cs="Times New Roman" w:eastAsia="Times New Roman" w:hAnsi="Times New Roman"/>
          <w:sz w:val="24"/>
          <w:szCs w:val="24"/>
        </w:rPr>
        <w:t xml:space="preserve">, </w:t>
      </w:r>
      <w:r>
        <w:rPr>
          <w:rFonts w:ascii="Times New Roman" w:cs="Times New Roman" w:eastAsia="Times New Roman" w:hAnsi="Times New Roman"/>
          <w:i/>
          <w:iCs/>
          <w:sz w:val="24"/>
          <w:szCs w:val="24"/>
        </w:rPr>
        <w:t>129</w:t>
      </w:r>
      <w:r>
        <w:rPr>
          <w:rFonts w:ascii="Times New Roman" w:cs="Times New Roman" w:eastAsia="Times New Roman" w:hAnsi="Times New Roman"/>
          <w:sz w:val="24"/>
          <w:szCs w:val="24"/>
        </w:rPr>
        <w:t>, 104604.</w:t>
      </w:r>
    </w:p>
    <w:p w14:paraId="34A9989A">
      <w:pPr>
        <w:pStyle w:val="style0"/>
        <w:spacing w:before="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Armbruster, J., and Huemann, M. (2026). How Individuals Experience Autonomy in Agile Project Teams. </w:t>
      </w:r>
      <w:r>
        <w:rPr>
          <w:rFonts w:ascii="Times New Roman" w:cs="Times New Roman" w:eastAsia="Times New Roman" w:hAnsi="Times New Roman"/>
          <w:i/>
          <w:iCs/>
          <w:sz w:val="24"/>
          <w:szCs w:val="24"/>
        </w:rPr>
        <w:t>Project Management Journal</w:t>
      </w:r>
      <w:r>
        <w:rPr>
          <w:rFonts w:ascii="Times New Roman" w:cs="Times New Roman" w:eastAsia="Times New Roman" w:hAnsi="Times New Roman"/>
          <w:sz w:val="24"/>
          <w:szCs w:val="24"/>
        </w:rPr>
        <w:t>, 87569728261460660.</w:t>
      </w:r>
    </w:p>
    <w:p w14:paraId="69502A81">
      <w:pPr>
        <w:pStyle w:val="style0"/>
        <w:spacing w:before="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Bjerre, S., and Leimbach, T. (2026). Understanding multilevel paradoxes in agile projects: between autonomy and control in self-managing teams. </w:t>
      </w:r>
      <w:r>
        <w:rPr>
          <w:rFonts w:ascii="Times New Roman" w:cs="Times New Roman" w:eastAsia="Times New Roman" w:hAnsi="Times New Roman"/>
          <w:i/>
          <w:iCs/>
          <w:sz w:val="24"/>
          <w:szCs w:val="24"/>
        </w:rPr>
        <w:t>Project Leadership and Society</w:t>
      </w:r>
      <w:r>
        <w:rPr>
          <w:rFonts w:ascii="Times New Roman" w:cs="Times New Roman" w:eastAsia="Times New Roman" w:hAnsi="Times New Roman"/>
          <w:sz w:val="24"/>
          <w:szCs w:val="24"/>
        </w:rPr>
        <w:t>, 100213.</w:t>
      </w:r>
    </w:p>
    <w:p w14:paraId="437B798B">
      <w:pPr>
        <w:pStyle w:val="style0"/>
        <w:spacing w:before="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Edmondson, A. C., and Bransby, D. P. (2023). Psychological safety comes of age: Observed themes in an established literature. </w:t>
      </w:r>
      <w:r>
        <w:rPr>
          <w:rFonts w:ascii="Times New Roman" w:cs="Times New Roman" w:eastAsia="Times New Roman" w:hAnsi="Times New Roman"/>
          <w:i/>
          <w:iCs/>
          <w:sz w:val="24"/>
          <w:szCs w:val="24"/>
        </w:rPr>
        <w:t>Annual review of organizational psychology and organizational behavior</w:t>
      </w:r>
      <w:r>
        <w:rPr>
          <w:rFonts w:ascii="Times New Roman" w:cs="Times New Roman" w:eastAsia="Times New Roman" w:hAnsi="Times New Roman"/>
          <w:sz w:val="24"/>
          <w:szCs w:val="24"/>
        </w:rPr>
        <w:t xml:space="preserve">, </w:t>
      </w:r>
      <w:r>
        <w:rPr>
          <w:rFonts w:ascii="Times New Roman" w:cs="Times New Roman" w:eastAsia="Times New Roman" w:hAnsi="Times New Roman"/>
          <w:i/>
          <w:iCs/>
          <w:sz w:val="24"/>
          <w:szCs w:val="24"/>
        </w:rPr>
        <w:t>10</w:t>
      </w:r>
      <w:r>
        <w:rPr>
          <w:rFonts w:ascii="Times New Roman" w:cs="Times New Roman" w:eastAsia="Times New Roman" w:hAnsi="Times New Roman"/>
          <w:sz w:val="24"/>
          <w:szCs w:val="24"/>
        </w:rPr>
        <w:t>(1), 55-78.</w:t>
      </w:r>
    </w:p>
    <w:p w14:paraId="72F2ABCD">
      <w:pPr>
        <w:pStyle w:val="style0"/>
        <w:spacing w:before="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Elorza, U., Garmendia, A., Kilroy, S., Van de Voorde, K., and Van Beurden, J. (2022). The effect of high involvement work systems on organisational performance and employee well‐being in a Spanish industrial context. </w:t>
      </w:r>
      <w:r>
        <w:rPr>
          <w:rFonts w:ascii="Times New Roman" w:cs="Times New Roman" w:eastAsia="Times New Roman" w:hAnsi="Times New Roman"/>
          <w:i/>
          <w:iCs/>
          <w:sz w:val="24"/>
          <w:szCs w:val="24"/>
        </w:rPr>
        <w:t>Human Resource Management Journal</w:t>
      </w:r>
      <w:r>
        <w:rPr>
          <w:rFonts w:ascii="Times New Roman" w:cs="Times New Roman" w:eastAsia="Times New Roman" w:hAnsi="Times New Roman"/>
          <w:sz w:val="24"/>
          <w:szCs w:val="24"/>
        </w:rPr>
        <w:t xml:space="preserve">, </w:t>
      </w:r>
      <w:r>
        <w:rPr>
          <w:rFonts w:ascii="Times New Roman" w:cs="Times New Roman" w:eastAsia="Times New Roman" w:hAnsi="Times New Roman"/>
          <w:i/>
          <w:iCs/>
          <w:sz w:val="24"/>
          <w:szCs w:val="24"/>
        </w:rPr>
        <w:t>32</w:t>
      </w:r>
      <w:r>
        <w:rPr>
          <w:rFonts w:ascii="Times New Roman" w:cs="Times New Roman" w:eastAsia="Times New Roman" w:hAnsi="Times New Roman"/>
          <w:sz w:val="24"/>
          <w:szCs w:val="24"/>
        </w:rPr>
        <w:t>(4), 782-798.</w:t>
      </w:r>
    </w:p>
    <w:p w14:paraId="62B5BD4C">
      <w:pPr>
        <w:pStyle w:val="style0"/>
        <w:spacing w:before="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Frederick, K. D., Lewis, L. S., Larson, S., Cooley, J., Cleven, A. J., Dawson, S., ... and Williams, C. A. (2026). Dweck’s Growth Mindset Theory in Health Professions Education: A Bibliometric Review. </w:t>
      </w:r>
      <w:r>
        <w:rPr>
          <w:rFonts w:ascii="Times New Roman" w:cs="Times New Roman" w:eastAsia="Times New Roman" w:hAnsi="Times New Roman"/>
          <w:i/>
          <w:iCs/>
          <w:sz w:val="24"/>
          <w:szCs w:val="24"/>
        </w:rPr>
        <w:t>Medical Science Educator</w:t>
      </w:r>
      <w:r>
        <w:rPr>
          <w:rFonts w:ascii="Times New Roman" w:cs="Times New Roman" w:eastAsia="Times New Roman" w:hAnsi="Times New Roman"/>
          <w:sz w:val="24"/>
          <w:szCs w:val="24"/>
        </w:rPr>
        <w:t>, 1-9.</w:t>
      </w:r>
    </w:p>
    <w:p w14:paraId="712C071D">
      <w:pPr>
        <w:pStyle w:val="style0"/>
        <w:spacing w:before="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Growthengineering, (2025), What Is a Growth Mindset? Dweck’s Theory, Research &amp; How to Develop One, [Online] Available at: </w:t>
      </w:r>
      <w:r>
        <w:rPr/>
        <w:fldChar w:fldCharType="begin"/>
      </w:r>
      <w:r>
        <w:instrText xml:space="preserve"> HYPERLINK "https://www.growthengineering.co.uk/growth-mindset/" </w:instrText>
      </w:r>
      <w:r>
        <w:rPr/>
        <w:fldChar w:fldCharType="separate"/>
      </w:r>
      <w:r>
        <w:rPr>
          <w:rFonts w:ascii="Times New Roman" w:cs="Times New Roman" w:eastAsia="Times New Roman" w:hAnsi="Times New Roman"/>
          <w:color w:val="0000ff"/>
          <w:sz w:val="24"/>
          <w:szCs w:val="24"/>
          <w:u w:val="single"/>
        </w:rPr>
        <w:t>https://www.growthengineering.co.uk/growth-mindset/</w:t>
      </w:r>
      <w:r>
        <w:rPr/>
        <w:fldChar w:fldCharType="end"/>
      </w:r>
      <w:r>
        <w:rPr>
          <w:rFonts w:ascii="Times New Roman" w:cs="Times New Roman" w:eastAsia="Times New Roman" w:hAnsi="Times New Roman"/>
          <w:sz w:val="24"/>
          <w:szCs w:val="24"/>
        </w:rPr>
        <w:t xml:space="preserve"> [Accessed on: 09/10/2026]</w:t>
      </w:r>
    </w:p>
    <w:p w14:paraId="4119E310">
      <w:pPr>
        <w:pStyle w:val="style0"/>
        <w:spacing w:before="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Kaizenko, (2025), Amy Edmondson’s Psychological Safety: Leadership Guide to Team Innovation, [Online] Available at: </w:t>
      </w:r>
      <w:r>
        <w:rPr/>
        <w:fldChar w:fldCharType="begin"/>
      </w:r>
      <w:r>
        <w:instrText xml:space="preserve"> HYPERLINK "https://www.kaizenko.com/amy-edmondsons-psychological-safety-leadership-guide-to-team-innovation/" </w:instrText>
      </w:r>
      <w:r>
        <w:rPr/>
        <w:fldChar w:fldCharType="separate"/>
      </w:r>
      <w:r>
        <w:rPr>
          <w:rFonts w:ascii="Times New Roman" w:cs="Times New Roman" w:eastAsia="Times New Roman" w:hAnsi="Times New Roman"/>
          <w:color w:val="0000ff"/>
          <w:sz w:val="24"/>
          <w:szCs w:val="24"/>
          <w:u w:val="single"/>
        </w:rPr>
        <w:t>https://www.kaizenko.com/amy-edmondsons-psychological-safety-leadership-guide-to-team-innovation/</w:t>
      </w:r>
      <w:r>
        <w:rPr/>
        <w:fldChar w:fldCharType="end"/>
      </w:r>
      <w:r>
        <w:rPr>
          <w:rFonts w:ascii="Times New Roman" w:cs="Times New Roman" w:eastAsia="Times New Roman" w:hAnsi="Times New Roman"/>
          <w:sz w:val="24"/>
          <w:szCs w:val="24"/>
        </w:rPr>
        <w:t xml:space="preserve"> [Accessed on: 09/10/2026]</w:t>
      </w:r>
    </w:p>
    <w:p w14:paraId="1928BCA6">
      <w:pPr>
        <w:pStyle w:val="style0"/>
        <w:spacing w:before="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Kemp, T., Ayton, J., Butler-Henderson, K., and Lam, M. (2024). Using socio-technical systems theory to study the health information management workforce in Australian acute hospitals. </w:t>
      </w:r>
      <w:r>
        <w:rPr>
          <w:rFonts w:ascii="Times New Roman" w:cs="Times New Roman" w:eastAsia="Times New Roman" w:hAnsi="Times New Roman"/>
          <w:i/>
          <w:iCs/>
          <w:sz w:val="24"/>
          <w:szCs w:val="24"/>
        </w:rPr>
        <w:t>Social Theory &amp; Health</w:t>
      </w:r>
      <w:r>
        <w:rPr>
          <w:rFonts w:ascii="Times New Roman" w:cs="Times New Roman" w:eastAsia="Times New Roman" w:hAnsi="Times New Roman"/>
          <w:sz w:val="24"/>
          <w:szCs w:val="24"/>
        </w:rPr>
        <w:t xml:space="preserve">, </w:t>
      </w:r>
      <w:r>
        <w:rPr>
          <w:rFonts w:ascii="Times New Roman" w:cs="Times New Roman" w:eastAsia="Times New Roman" w:hAnsi="Times New Roman"/>
          <w:i/>
          <w:iCs/>
          <w:sz w:val="24"/>
          <w:szCs w:val="24"/>
        </w:rPr>
        <w:t>22</w:t>
      </w:r>
      <w:r>
        <w:rPr>
          <w:rFonts w:ascii="Times New Roman" w:cs="Times New Roman" w:eastAsia="Times New Roman" w:hAnsi="Times New Roman"/>
          <w:sz w:val="24"/>
          <w:szCs w:val="24"/>
        </w:rPr>
        <w:t>(4), 285-300.</w:t>
      </w:r>
    </w:p>
    <w:p w14:paraId="4AD9EBFE">
      <w:pPr>
        <w:pStyle w:val="style0"/>
        <w:spacing w:before="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Leino, T., Veledar, O., Macher, G., Kniewallner, J., Armengaud, E., and Koivunen, N. (2022, August). Challenging hierarchical structure to boost technical outcomes. In </w:t>
      </w:r>
      <w:r>
        <w:rPr>
          <w:rFonts w:ascii="Times New Roman" w:cs="Times New Roman" w:eastAsia="Times New Roman" w:hAnsi="Times New Roman"/>
          <w:i/>
          <w:iCs/>
          <w:sz w:val="24"/>
          <w:szCs w:val="24"/>
        </w:rPr>
        <w:t xml:space="preserve">European </w:t>
      </w:r>
      <w:r>
        <w:rPr>
          <w:rFonts w:ascii="Times New Roman" w:cs="Times New Roman" w:eastAsia="Times New Roman" w:hAnsi="Times New Roman"/>
          <w:i/>
          <w:iCs/>
          <w:sz w:val="24"/>
          <w:szCs w:val="24"/>
        </w:rPr>
        <w:t>Conference on Software Process Improvement</w:t>
      </w:r>
      <w:r>
        <w:rPr>
          <w:rFonts w:ascii="Times New Roman" w:cs="Times New Roman" w:eastAsia="Times New Roman" w:hAnsi="Times New Roman"/>
          <w:sz w:val="24"/>
          <w:szCs w:val="24"/>
        </w:rPr>
        <w:t xml:space="preserve"> (pp. 707-714). Cham: Springer International Publishing.</w:t>
      </w:r>
    </w:p>
    <w:p w14:paraId="253F5840">
      <w:pPr>
        <w:pStyle w:val="style0"/>
        <w:spacing w:before="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Marx, K., Jacobs, M., and Jonker, C. (2025). Job-crafting amid uncertainty: South African employee experiences during the COVID-19 pandemic. </w:t>
      </w:r>
      <w:r>
        <w:rPr>
          <w:rFonts w:ascii="Times New Roman" w:cs="Times New Roman" w:eastAsia="Times New Roman" w:hAnsi="Times New Roman"/>
          <w:i/>
          <w:iCs/>
          <w:sz w:val="24"/>
          <w:szCs w:val="24"/>
        </w:rPr>
        <w:t>SA Journal of Human Resource Management</w:t>
      </w:r>
      <w:r>
        <w:rPr>
          <w:rFonts w:ascii="Times New Roman" w:cs="Times New Roman" w:eastAsia="Times New Roman" w:hAnsi="Times New Roman"/>
          <w:sz w:val="24"/>
          <w:szCs w:val="24"/>
        </w:rPr>
        <w:t xml:space="preserve">, </w:t>
      </w:r>
      <w:r>
        <w:rPr>
          <w:rFonts w:ascii="Times New Roman" w:cs="Times New Roman" w:eastAsia="Times New Roman" w:hAnsi="Times New Roman"/>
          <w:i/>
          <w:iCs/>
          <w:sz w:val="24"/>
          <w:szCs w:val="24"/>
        </w:rPr>
        <w:t>23</w:t>
      </w:r>
      <w:r>
        <w:rPr>
          <w:rFonts w:ascii="Times New Roman" w:cs="Times New Roman" w:eastAsia="Times New Roman" w:hAnsi="Times New Roman"/>
          <w:sz w:val="24"/>
          <w:szCs w:val="24"/>
        </w:rPr>
        <w:t>, 2844.</w:t>
      </w:r>
    </w:p>
    <w:p w14:paraId="0A295516">
      <w:pPr>
        <w:pStyle w:val="style0"/>
        <w:spacing w:before="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Matriano, M. T. (2024). Organizational Structure, Its Drawbacks and Shortcomings and Overall Impact to Organizational Behavior. </w:t>
      </w:r>
      <w:r>
        <w:rPr>
          <w:rFonts w:ascii="Times New Roman" w:cs="Times New Roman" w:eastAsia="Times New Roman" w:hAnsi="Times New Roman"/>
          <w:i/>
          <w:iCs/>
          <w:sz w:val="24"/>
          <w:szCs w:val="24"/>
        </w:rPr>
        <w:t>Gsj</w:t>
      </w:r>
      <w:r>
        <w:rPr>
          <w:rFonts w:ascii="Times New Roman" w:cs="Times New Roman" w:eastAsia="Times New Roman" w:hAnsi="Times New Roman"/>
          <w:sz w:val="24"/>
          <w:szCs w:val="24"/>
        </w:rPr>
        <w:t xml:space="preserve">, </w:t>
      </w:r>
      <w:r>
        <w:rPr>
          <w:rFonts w:ascii="Times New Roman" w:cs="Times New Roman" w:eastAsia="Times New Roman" w:hAnsi="Times New Roman"/>
          <w:i/>
          <w:iCs/>
          <w:sz w:val="24"/>
          <w:szCs w:val="24"/>
        </w:rPr>
        <w:t>12</w:t>
      </w:r>
      <w:r>
        <w:rPr>
          <w:rFonts w:ascii="Times New Roman" w:cs="Times New Roman" w:eastAsia="Times New Roman" w:hAnsi="Times New Roman"/>
          <w:sz w:val="24"/>
          <w:szCs w:val="24"/>
        </w:rPr>
        <w:t>, 1873-82.</w:t>
      </w:r>
    </w:p>
    <w:p w14:paraId="6EB1EB8E">
      <w:pPr>
        <w:pStyle w:val="style0"/>
        <w:spacing w:before="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Morgeson III, F. V., Hult, G. T. M., Sharma, U., and Fornell, C. (2023). The American customer satisfaction index (ACSI): A sample dataset and description. </w:t>
      </w:r>
      <w:r>
        <w:rPr>
          <w:rFonts w:ascii="Times New Roman" w:cs="Times New Roman" w:eastAsia="Times New Roman" w:hAnsi="Times New Roman"/>
          <w:i/>
          <w:iCs/>
          <w:sz w:val="24"/>
          <w:szCs w:val="24"/>
        </w:rPr>
        <w:t>Data in Brief</w:t>
      </w:r>
      <w:r>
        <w:rPr>
          <w:rFonts w:ascii="Times New Roman" w:cs="Times New Roman" w:eastAsia="Times New Roman" w:hAnsi="Times New Roman"/>
          <w:sz w:val="24"/>
          <w:szCs w:val="24"/>
        </w:rPr>
        <w:t xml:space="preserve">, </w:t>
      </w:r>
      <w:r>
        <w:rPr>
          <w:rFonts w:ascii="Times New Roman" w:cs="Times New Roman" w:eastAsia="Times New Roman" w:hAnsi="Times New Roman"/>
          <w:i/>
          <w:iCs/>
          <w:sz w:val="24"/>
          <w:szCs w:val="24"/>
        </w:rPr>
        <w:t>48</w:t>
      </w:r>
      <w:r>
        <w:rPr>
          <w:rFonts w:ascii="Times New Roman" w:cs="Times New Roman" w:eastAsia="Times New Roman" w:hAnsi="Times New Roman"/>
          <w:sz w:val="24"/>
          <w:szCs w:val="24"/>
        </w:rPr>
        <w:t>, 109123.</w:t>
      </w:r>
      <w:r>
        <w:t xml:space="preserve"> </w:t>
      </w:r>
    </w:p>
    <w:p w14:paraId="3AA69A20">
      <w:pPr>
        <w:pStyle w:val="style0"/>
        <w:spacing w:before="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Purohit, K. (2025). The Adaptive Learning Ecosystem: How Ai Transforms Digital Education Through Continuous Feedback Loops. </w:t>
      </w:r>
      <w:r>
        <w:rPr>
          <w:rFonts w:ascii="Times New Roman" w:cs="Times New Roman" w:eastAsia="Times New Roman" w:hAnsi="Times New Roman"/>
          <w:i/>
          <w:iCs/>
          <w:sz w:val="24"/>
          <w:szCs w:val="24"/>
        </w:rPr>
        <w:t>Ipho-Journal Of Advance Research In Science And Engineering</w:t>
      </w:r>
      <w:r>
        <w:rPr>
          <w:rFonts w:ascii="Times New Roman" w:cs="Times New Roman" w:eastAsia="Times New Roman" w:hAnsi="Times New Roman"/>
          <w:sz w:val="24"/>
          <w:szCs w:val="24"/>
        </w:rPr>
        <w:t xml:space="preserve">, </w:t>
      </w:r>
      <w:r>
        <w:rPr>
          <w:rFonts w:ascii="Times New Roman" w:cs="Times New Roman" w:eastAsia="Times New Roman" w:hAnsi="Times New Roman"/>
          <w:i/>
          <w:iCs/>
          <w:sz w:val="24"/>
          <w:szCs w:val="24"/>
        </w:rPr>
        <w:t>3</w:t>
      </w:r>
      <w:r>
        <w:rPr>
          <w:rFonts w:ascii="Times New Roman" w:cs="Times New Roman" w:eastAsia="Times New Roman" w:hAnsi="Times New Roman"/>
          <w:sz w:val="24"/>
          <w:szCs w:val="24"/>
        </w:rPr>
        <w:t>(12), 35-42.</w:t>
      </w:r>
    </w:p>
    <w:p w14:paraId="24739B10">
      <w:pPr>
        <w:pStyle w:val="style0"/>
        <w:spacing w:before="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Rammstedt, B., Grüning, D. J., and Lechner, C. M. (2024). Measuring growth mindset: Validation of a three-item and a single-item scale in adolescents and adults. </w:t>
      </w:r>
      <w:r>
        <w:rPr>
          <w:rFonts w:ascii="Times New Roman" w:cs="Times New Roman" w:eastAsia="Times New Roman" w:hAnsi="Times New Roman"/>
          <w:i/>
          <w:iCs/>
          <w:sz w:val="24"/>
          <w:szCs w:val="24"/>
        </w:rPr>
        <w:t>European Journal of Psychological Assessment</w:t>
      </w:r>
      <w:r>
        <w:rPr>
          <w:rFonts w:ascii="Times New Roman" w:cs="Times New Roman" w:eastAsia="Times New Roman" w:hAnsi="Times New Roman"/>
          <w:sz w:val="24"/>
          <w:szCs w:val="24"/>
        </w:rPr>
        <w:t xml:space="preserve">, </w:t>
      </w:r>
      <w:r>
        <w:rPr>
          <w:rFonts w:ascii="Times New Roman" w:cs="Times New Roman" w:eastAsia="Times New Roman" w:hAnsi="Times New Roman"/>
          <w:i/>
          <w:iCs/>
          <w:sz w:val="24"/>
          <w:szCs w:val="24"/>
        </w:rPr>
        <w:t>40</w:t>
      </w:r>
      <w:r>
        <w:rPr>
          <w:rFonts w:ascii="Times New Roman" w:cs="Times New Roman" w:eastAsia="Times New Roman" w:hAnsi="Times New Roman"/>
          <w:sz w:val="24"/>
          <w:szCs w:val="24"/>
        </w:rPr>
        <w:t>(1), 84.</w:t>
      </w:r>
    </w:p>
    <w:p w14:paraId="02107BB3">
      <w:pPr>
        <w:pStyle w:val="style0"/>
        <w:spacing w:before="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Saadallah, F. O. (2025). The Impact of Artificial Intelligence on Talent Management and Employee Retention. </w:t>
      </w:r>
      <w:r>
        <w:rPr>
          <w:rFonts w:ascii="Times New Roman" w:cs="Times New Roman" w:eastAsia="Times New Roman" w:hAnsi="Times New Roman"/>
          <w:i/>
          <w:iCs/>
          <w:sz w:val="24"/>
          <w:szCs w:val="24"/>
        </w:rPr>
        <w:t>Rihan Journal for Science Publishing</w:t>
      </w:r>
      <w:r>
        <w:rPr>
          <w:rFonts w:ascii="Times New Roman" w:cs="Times New Roman" w:eastAsia="Times New Roman" w:hAnsi="Times New Roman"/>
          <w:sz w:val="24"/>
          <w:szCs w:val="24"/>
        </w:rPr>
        <w:t>, (59), 325.</w:t>
      </w:r>
    </w:p>
    <w:p w14:paraId="4D662F0F">
      <w:pPr>
        <w:pStyle w:val="style0"/>
        <w:spacing w:before="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Santana, B., Monte, L., de Araújo Silva, B. S., Carneiro, G., Freire, S., Santos, J. A. M., and Mendonça, M. (2025). Psychological safety in software workplaces: A systematic literature review. </w:t>
      </w:r>
      <w:r>
        <w:rPr>
          <w:rFonts w:ascii="Times New Roman" w:cs="Times New Roman" w:eastAsia="Times New Roman" w:hAnsi="Times New Roman"/>
          <w:i/>
          <w:iCs/>
          <w:sz w:val="24"/>
          <w:szCs w:val="24"/>
        </w:rPr>
        <w:t>Information and Software Technology</w:t>
      </w:r>
      <w:r>
        <w:rPr>
          <w:rFonts w:ascii="Times New Roman" w:cs="Times New Roman" w:eastAsia="Times New Roman" w:hAnsi="Times New Roman"/>
          <w:sz w:val="24"/>
          <w:szCs w:val="24"/>
        </w:rPr>
        <w:t>, 107838.</w:t>
      </w:r>
    </w:p>
    <w:p w14:paraId="642832A8">
      <w:pPr>
        <w:pStyle w:val="style0"/>
        <w:spacing w:before="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Setyawan, G. C., Zou, G., Jie, L., Jixiong, C., &amp; Widyatiningtyas, R. (2024). The role of artificial intelligence in talent acquisition and retention. </w:t>
      </w:r>
      <w:r>
        <w:rPr>
          <w:rFonts w:ascii="Times New Roman" w:cs="Times New Roman" w:eastAsia="Times New Roman" w:hAnsi="Times New Roman"/>
          <w:i/>
          <w:iCs/>
          <w:sz w:val="24"/>
          <w:szCs w:val="24"/>
        </w:rPr>
        <w:t>Journal Markcount Finance</w:t>
      </w:r>
      <w:r>
        <w:rPr>
          <w:rFonts w:ascii="Times New Roman" w:cs="Times New Roman" w:eastAsia="Times New Roman" w:hAnsi="Times New Roman"/>
          <w:sz w:val="24"/>
          <w:szCs w:val="24"/>
        </w:rPr>
        <w:t xml:space="preserve">, </w:t>
      </w:r>
      <w:r>
        <w:rPr>
          <w:rFonts w:ascii="Times New Roman" w:cs="Times New Roman" w:eastAsia="Times New Roman" w:hAnsi="Times New Roman"/>
          <w:i/>
          <w:iCs/>
          <w:sz w:val="24"/>
          <w:szCs w:val="24"/>
        </w:rPr>
        <w:t>2</w:t>
      </w:r>
      <w:r>
        <w:rPr>
          <w:rFonts w:ascii="Times New Roman" w:cs="Times New Roman" w:eastAsia="Times New Roman" w:hAnsi="Times New Roman"/>
          <w:sz w:val="24"/>
          <w:szCs w:val="24"/>
        </w:rPr>
        <w:t>(2), 252-262.</w:t>
      </w:r>
    </w:p>
    <w:p w14:paraId="752C5090">
      <w:pPr>
        <w:pStyle w:val="style0"/>
        <w:spacing w:before="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Standahl Johannessen, S., and Karlsen, J. T. (2025). Agile transformation in the energy sector: empowering autonomous teams. </w:t>
      </w:r>
      <w:r>
        <w:rPr>
          <w:rFonts w:ascii="Times New Roman" w:cs="Times New Roman" w:eastAsia="Times New Roman" w:hAnsi="Times New Roman"/>
          <w:i/>
          <w:iCs/>
          <w:sz w:val="24"/>
          <w:szCs w:val="24"/>
        </w:rPr>
        <w:t>International Journal of Energy Sector Management</w:t>
      </w:r>
      <w:r>
        <w:rPr>
          <w:rFonts w:ascii="Times New Roman" w:cs="Times New Roman" w:eastAsia="Times New Roman" w:hAnsi="Times New Roman"/>
          <w:sz w:val="24"/>
          <w:szCs w:val="24"/>
        </w:rPr>
        <w:t xml:space="preserve">, </w:t>
      </w:r>
      <w:r>
        <w:rPr>
          <w:rFonts w:ascii="Times New Roman" w:cs="Times New Roman" w:eastAsia="Times New Roman" w:hAnsi="Times New Roman"/>
          <w:i/>
          <w:iCs/>
          <w:sz w:val="24"/>
          <w:szCs w:val="24"/>
        </w:rPr>
        <w:t>19</w:t>
      </w:r>
      <w:r>
        <w:rPr>
          <w:rFonts w:ascii="Times New Roman" w:cs="Times New Roman" w:eastAsia="Times New Roman" w:hAnsi="Times New Roman"/>
          <w:sz w:val="24"/>
          <w:szCs w:val="24"/>
        </w:rPr>
        <w:t>(2), 389-411.</w:t>
      </w:r>
    </w:p>
    <w:p w14:paraId="401B95FB">
      <w:pPr>
        <w:pStyle w:val="style0"/>
        <w:spacing w:before="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Steiber, A., and Ghosh, S. (2026, January). Dynamic Capabilities in AI-powered Business Ecosystems. In </w:t>
      </w:r>
      <w:r>
        <w:rPr>
          <w:rFonts w:ascii="Times New Roman" w:cs="Times New Roman" w:eastAsia="Times New Roman" w:hAnsi="Times New Roman"/>
          <w:i/>
          <w:iCs/>
          <w:sz w:val="24"/>
          <w:szCs w:val="24"/>
        </w:rPr>
        <w:t>Research and Innovation Forum 2025 Volume 1: Competitiveness, Growth and Well-Being Through Technology, Innovation and Education</w:t>
      </w:r>
      <w:r>
        <w:rPr>
          <w:rFonts w:ascii="Times New Roman" w:cs="Times New Roman" w:eastAsia="Times New Roman" w:hAnsi="Times New Roman"/>
          <w:sz w:val="24"/>
          <w:szCs w:val="24"/>
        </w:rPr>
        <w:t xml:space="preserve"> (Vol. 1, p. 153). Springer Nature.</w:t>
      </w:r>
    </w:p>
    <w:p w14:paraId="7D5586C9">
      <w:pPr>
        <w:pStyle w:val="style0"/>
        <w:spacing w:before="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Zhang, F., Wang, B., Liao, Y., Qian, J., and Parker, S. K. (2025). Job crafting through the lens of exploitation and exploration: A daily diary study on job crafting towards strengths and development. </w:t>
      </w:r>
      <w:r>
        <w:rPr>
          <w:rFonts w:ascii="Times New Roman" w:cs="Times New Roman" w:eastAsia="Times New Roman" w:hAnsi="Times New Roman"/>
          <w:i/>
          <w:iCs/>
          <w:sz w:val="24"/>
          <w:szCs w:val="24"/>
        </w:rPr>
        <w:t>Journal of Occupational and Organizational Psychology</w:t>
      </w:r>
      <w:r>
        <w:rPr>
          <w:rFonts w:ascii="Times New Roman" w:cs="Times New Roman" w:eastAsia="Times New Roman" w:hAnsi="Times New Roman"/>
          <w:sz w:val="24"/>
          <w:szCs w:val="24"/>
        </w:rPr>
        <w:t xml:space="preserve">, </w:t>
      </w:r>
      <w:r>
        <w:rPr>
          <w:rFonts w:ascii="Times New Roman" w:cs="Times New Roman" w:eastAsia="Times New Roman" w:hAnsi="Times New Roman"/>
          <w:i/>
          <w:iCs/>
          <w:sz w:val="24"/>
          <w:szCs w:val="24"/>
        </w:rPr>
        <w:t>98</w:t>
      </w:r>
      <w:r>
        <w:rPr>
          <w:rFonts w:ascii="Times New Roman" w:cs="Times New Roman" w:eastAsia="Times New Roman" w:hAnsi="Times New Roman"/>
          <w:sz w:val="24"/>
          <w:szCs w:val="24"/>
        </w:rPr>
        <w:t>(2), e70029.</w:t>
      </w:r>
    </w:p>
    <w:sectPr>
      <w:footerReference w:type="default" r:id="rId7"/>
      <w:pgSz w:w="11906" w:h="16838"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w:altName w:val="Calibri"/>
    <w:panose1 w:val="020f0502020002030204"/>
    <w:charset w:val="00"/>
    <w:family w:val="swiss"/>
    <w:pitch w:val="variable"/>
    <w:sig w:usb0="E4002EFF" w:usb1="C200247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6730F097">
    <w:pPr>
      <w:pStyle w:val="style0"/>
      <w:pBdr>
        <w:left w:val="nil"/>
        <w:right w:val="nil"/>
        <w:top w:val="nil"/>
        <w:bottom w:val="nil"/>
        <w:between w:val="nil"/>
      </w:pBdr>
      <w:tabs>
        <w:tab w:val="center" w:leader="none" w:pos="4513"/>
        <w:tab w:val="right" w:leader="none" w:pos="9026"/>
      </w:tabs>
      <w:spacing w:lineRule="auto" w:line="240"/>
      <w:jc w:val="right"/>
      <w:rPr>
        <w:rFonts w:ascii="Times New Roman" w:cs="Times New Roman" w:eastAsia="Times New Roman" w:hAnsi="Times New Roman"/>
        <w:color w:val="000000"/>
        <w:sz w:val="20"/>
        <w:szCs w:val="20"/>
      </w:rPr>
    </w:pPr>
    <w:r>
      <w:rPr>
        <w:rFonts w:ascii="Times New Roman" w:cs="Times New Roman" w:eastAsia="Times New Roman" w:hAnsi="Times New Roman"/>
        <w:color w:val="000000"/>
        <w:sz w:val="20"/>
        <w:szCs w:val="20"/>
      </w:rPr>
      <w:fldChar w:fldCharType="begin"/>
    </w:r>
    <w:r>
      <w:rPr>
        <w:rFonts w:ascii="Times New Roman" w:cs="Times New Roman" w:eastAsia="Times New Roman" w:hAnsi="Times New Roman"/>
        <w:color w:val="000000"/>
        <w:sz w:val="20"/>
        <w:szCs w:val="20"/>
      </w:rPr>
      <w:instrText>PAGE</w:instrText>
    </w:r>
    <w:r>
      <w:rPr>
        <w:rFonts w:ascii="Times New Roman" w:cs="Times New Roman" w:eastAsia="Times New Roman" w:hAnsi="Times New Roman"/>
        <w:color w:val="000000"/>
        <w:sz w:val="20"/>
        <w:szCs w:val="20"/>
      </w:rPr>
      <w:fldChar w:fldCharType="separate"/>
    </w:r>
    <w:r>
      <w:rPr>
        <w:rFonts w:ascii="Times New Roman" w:cs="Times New Roman" w:eastAsia="Times New Roman" w:hAnsi="Times New Roman"/>
        <w:noProof/>
        <w:color w:val="000000"/>
        <w:sz w:val="20"/>
        <w:szCs w:val="20"/>
      </w:rPr>
      <w:t>1</w:t>
    </w:r>
    <w:r>
      <w:rPr>
        <w:rFonts w:ascii="Times New Roman" w:cs="Times New Roman" w:eastAsia="Times New Roman" w:hAnsi="Times New Roman"/>
        <w:color w:val="000000"/>
        <w:sz w:val="20"/>
        <w:szCs w:val="20"/>
      </w:rPr>
      <w:fldChar w:fldCharType="end"/>
    </w:r>
  </w:p>
  <w:p w14:paraId="5B8ACFEF">
    <w:pPr>
      <w:pStyle w:val="style0"/>
      <w:pBdr>
        <w:left w:val="nil"/>
        <w:right w:val="nil"/>
        <w:top w:val="nil"/>
        <w:bottom w:val="nil"/>
        <w:between w:val="nil"/>
      </w:pBdr>
      <w:tabs>
        <w:tab w:val="center" w:leader="none" w:pos="4513"/>
        <w:tab w:val="right" w:leader="none" w:pos="9026"/>
      </w:tabs>
      <w:spacing w:lineRule="auto" w:line="240"/>
      <w:rPr>
        <w:color w:val="000000"/>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44F00B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embedTrueTypeFonts/>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2"/>
        <w:szCs w:val="22"/>
        <w:lang w:val="en-GB" w:bidi="ar-SA" w:eastAsia="en-IN"/>
      </w:rPr>
    </w:rPrDefault>
    <w:pPrDefault>
      <w:pPr>
        <w:spacing w:lineRule="auto" w:line="276"/>
      </w:pPr>
    </w:pPrDefault>
  </w:docDefaults>
  <w:style w:type="paragraph" w:default="1" w:styleId="style0">
    <w:name w:val="Normal"/>
    <w:next w:val="style0"/>
    <w:qFormat/>
    <w:pPr/>
  </w:style>
  <w:style w:type="paragraph" w:styleId="style1">
    <w:name w:val="heading 1"/>
    <w:basedOn w:val="style0"/>
    <w:next w:val="style0"/>
    <w:qFormat/>
    <w:uiPriority w:val="9"/>
    <w:pPr>
      <w:spacing w:before="200" w:lineRule="auto" w:line="360"/>
      <w:jc w:val="both"/>
      <w:outlineLvl w:val="0"/>
    </w:pPr>
    <w:rPr>
      <w:rFonts w:ascii="Times New Roman" w:cs="Times New Roman" w:eastAsia="Times New Roman" w:hAnsi="Times New Roman"/>
      <w:b/>
      <w:bCs/>
      <w:sz w:val="28"/>
      <w:szCs w:val="28"/>
    </w:rPr>
  </w:style>
  <w:style w:type="paragraph" w:styleId="style2">
    <w:name w:val="heading 2"/>
    <w:basedOn w:val="style0"/>
    <w:next w:val="style0"/>
    <w:qFormat/>
    <w:uiPriority w:val="9"/>
    <w:pPr>
      <w:spacing w:before="200" w:lineRule="auto" w:line="360"/>
      <w:jc w:val="both"/>
      <w:outlineLvl w:val="1"/>
    </w:pPr>
    <w:rPr>
      <w:rFonts w:ascii="Times New Roman" w:cs="Times New Roman" w:eastAsia="Times New Roman" w:hAnsi="Times New Roman"/>
      <w:b/>
      <w:bCs/>
      <w:sz w:val="26"/>
      <w:szCs w:val="26"/>
    </w:rPr>
  </w:style>
  <w:style w:type="paragraph" w:styleId="style3">
    <w:name w:val="heading 3"/>
    <w:basedOn w:val="style0"/>
    <w:next w:val="style0"/>
    <w:qFormat/>
    <w:uiPriority w:val="9"/>
    <w:pPr>
      <w:spacing w:before="200" w:lineRule="auto" w:line="360"/>
      <w:jc w:val="both"/>
      <w:outlineLvl w:val="2"/>
    </w:pPr>
    <w:rPr>
      <w:rFonts w:ascii="Times New Roman" w:cs="Times New Roman" w:eastAsia="Times New Roman" w:hAnsi="Times New Roman"/>
      <w:b/>
      <w:bCs/>
      <w:sz w:val="24"/>
      <w:szCs w:val="24"/>
    </w:rPr>
  </w:style>
  <w:style w:type="paragraph" w:styleId="style4">
    <w:name w:val="heading 4"/>
    <w:basedOn w:val="style0"/>
    <w:next w:val="style0"/>
    <w:qFormat/>
    <w:uiPriority w:val="9"/>
    <w:pPr>
      <w:keepNext/>
      <w:keepLines/>
      <w:spacing w:before="280" w:after="80"/>
      <w:outlineLvl w:val="3"/>
    </w:pPr>
    <w:rPr>
      <w:color w:val="666666"/>
      <w:sz w:val="24"/>
      <w:szCs w:val="24"/>
    </w:rPr>
  </w:style>
  <w:style w:type="paragraph" w:styleId="style5">
    <w:name w:val="heading 5"/>
    <w:basedOn w:val="style0"/>
    <w:next w:val="style0"/>
    <w:qFormat/>
    <w:uiPriority w:val="9"/>
    <w:pPr>
      <w:keepNext/>
      <w:keepLines/>
      <w:spacing w:before="240" w:after="80"/>
      <w:outlineLvl w:val="4"/>
    </w:pPr>
    <w:rPr>
      <w:color w:val="666666"/>
    </w:rPr>
  </w:style>
  <w:style w:type="paragraph" w:styleId="style6">
    <w:name w:val="heading 6"/>
    <w:basedOn w:val="style0"/>
    <w:next w:val="style0"/>
    <w:qFormat/>
    <w:uiPriority w:val="9"/>
    <w:pPr>
      <w:keepNext/>
      <w:keepLines/>
      <w:spacing w:before="240" w:after="80"/>
      <w:outlineLvl w:val="5"/>
    </w:pPr>
    <w:rPr>
      <w:i/>
      <w:iCs/>
      <w:color w:val="66666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styleId="style62">
    <w:name w:val="Title"/>
    <w:basedOn w:val="style0"/>
    <w:next w:val="style0"/>
    <w:qFormat/>
    <w:uiPriority w:val="10"/>
    <w:pPr>
      <w:keepNext/>
      <w:keepLines/>
      <w:spacing w:after="60"/>
    </w:pPr>
    <w:rPr>
      <w:sz w:val="52"/>
      <w:szCs w:val="52"/>
    </w:rPr>
  </w:style>
  <w:style w:type="table" w:customStyle="1" w:styleId="style4098">
    <w:name w:val="TableNormal"/>
    <w:next w:val="style4098"/>
    <w:pPr/>
    <w:rPr/>
    <w:tblPr>
      <w:tblCellMar>
        <w:top w:w="100" w:type="dxa"/>
        <w:left w:w="100" w:type="dxa"/>
        <w:bottom w:w="100" w:type="dxa"/>
        <w:right w:w="100" w:type="dxa"/>
      </w:tblCellMar>
    </w:tblPr>
    <w:tcPr>
      <w:tcBorders/>
    </w:tcPr>
  </w:style>
  <w:style w:type="table" w:customStyle="1" w:styleId="style4099">
    <w:basedOn w:val="style4098"/>
    <w:next w:val="style4099"/>
    <w:pPr/>
    <w:rPr/>
    <w:tblPr>
      <w:tblStyleRowBandSize w:val="1"/>
      <w:tblStyleColBandSize w:val="1"/>
    </w:tblPr>
    <w:tcPr>
      <w:tcBorders/>
    </w:tcPr>
  </w:style>
  <w:style w:type="table" w:customStyle="1" w:styleId="style4100">
    <w:basedOn w:val="style4098"/>
    <w:next w:val="style4100"/>
    <w:pPr/>
    <w:rPr/>
    <w:tblPr>
      <w:tblStyleRowBandSize w:val="1"/>
      <w:tblStyleColBandSize w:val="1"/>
    </w:tblPr>
    <w:tcPr>
      <w:tcBorders/>
    </w:tcPr>
  </w:style>
  <w:style w:type="table" w:customStyle="1" w:styleId="style4101">
    <w:basedOn w:val="style4098"/>
    <w:next w:val="style4101"/>
    <w:pPr/>
    <w:rPr/>
    <w:tblPr>
      <w:tblStyleRowBandSize w:val="1"/>
      <w:tblStyleColBandSize w:val="1"/>
    </w:tblPr>
    <w:tcPr>
      <w:tcBorders/>
    </w:tcPr>
  </w:style>
  <w:style w:type="table" w:customStyle="1" w:styleId="style4102">
    <w:basedOn w:val="style4098"/>
    <w:next w:val="style4102"/>
    <w:pPr/>
    <w:rPr/>
    <w:tblPr>
      <w:tblStyleRowBandSize w:val="1"/>
      <w:tblStyleColBandSize w:val="1"/>
    </w:tblPr>
    <w:tcPr>
      <w:tcBorders/>
    </w:tcPr>
  </w:style>
  <w:style w:type="table" w:customStyle="1" w:styleId="style4103">
    <w:basedOn w:val="style4098"/>
    <w:next w:val="style4103"/>
    <w:pPr/>
    <w:rPr/>
    <w:tblPr>
      <w:tblStyleRowBandSize w:val="1"/>
      <w:tblStyleColBandSize w:val="1"/>
    </w:tblPr>
    <w:tcPr>
      <w:tcBorders/>
    </w:tcPr>
  </w:style>
  <w:style w:type="character" w:styleId="style85">
    <w:name w:val="Hyperlink"/>
    <w:basedOn w:val="style65"/>
    <w:next w:val="style85"/>
    <w:uiPriority w:val="99"/>
    <w:rPr>
      <w:color w:val="0000ff"/>
      <w:u w:val="single"/>
    </w:rPr>
  </w:style>
  <w:style w:type="paragraph" w:styleId="style31">
    <w:name w:val="header"/>
    <w:basedOn w:val="style0"/>
    <w:next w:val="style31"/>
    <w:link w:val="style4104"/>
    <w:uiPriority w:val="99"/>
    <w:pPr>
      <w:tabs>
        <w:tab w:val="center" w:leader="none" w:pos="4513"/>
        <w:tab w:val="right" w:leader="none" w:pos="9026"/>
      </w:tabs>
      <w:spacing w:lineRule="auto" w:line="240"/>
    </w:pPr>
    <w:rPr/>
  </w:style>
  <w:style w:type="character" w:customStyle="1" w:styleId="style4104">
    <w:name w:val="Header Char_acdee808-79a1-4f66-b887-483b83288efc"/>
    <w:basedOn w:val="style65"/>
    <w:next w:val="style4104"/>
    <w:link w:val="style31"/>
    <w:uiPriority w:val="99"/>
  </w:style>
  <w:style w:type="paragraph" w:styleId="style32">
    <w:name w:val="footer"/>
    <w:basedOn w:val="style0"/>
    <w:next w:val="style32"/>
    <w:link w:val="style4105"/>
    <w:uiPriority w:val="99"/>
    <w:pPr>
      <w:tabs>
        <w:tab w:val="center" w:leader="none" w:pos="4513"/>
        <w:tab w:val="right" w:leader="none" w:pos="9026"/>
      </w:tabs>
      <w:spacing w:lineRule="auto" w:line="240"/>
    </w:pPr>
    <w:rPr/>
  </w:style>
  <w:style w:type="character" w:customStyle="1" w:styleId="style4105">
    <w:name w:val="Footer Char_6a34fe46-7e26-4d46-8268-dd5c1bdc0a98"/>
    <w:basedOn w:val="style65"/>
    <w:next w:val="style4105"/>
    <w:link w:val="style32"/>
    <w:uiPriority w:val="99"/>
  </w:style>
  <w:style w:type="paragraph" w:styleId="style266">
    <w:name w:val="TOC Heading"/>
    <w:basedOn w:val="style1"/>
    <w:next w:val="style0"/>
    <w:qFormat/>
    <w:uiPriority w:val="39"/>
    <w:pPr>
      <w:keepNext/>
      <w:keepLines/>
      <w:spacing w:before="240" w:lineRule="auto" w:line="259"/>
      <w:jc w:val="left"/>
      <w:outlineLvl w:val="9"/>
    </w:pPr>
    <w:rPr>
      <w:rFonts w:ascii="Calibri" w:cs="宋体" w:eastAsia="宋体" w:hAnsi="Calibri"/>
      <w:b w:val="false"/>
      <w:bCs w:val="false"/>
      <w:color w:val="365f91"/>
      <w:sz w:val="32"/>
      <w:szCs w:val="32"/>
      <w:lang w:val="en-US" w:eastAsia="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paragraph" w:styleId="style21">
    <w:name w:val="toc 3"/>
    <w:basedOn w:val="style0"/>
    <w:next w:val="style0"/>
    <w:uiPriority w:val="39"/>
    <w:pPr>
      <w:spacing w:after="100"/>
      <w:ind w:left="440"/>
    </w:pPr>
    <w:rPr/>
  </w:style>
  <w:style w:type="paragraph" w:styleId="style74">
    <w:name w:val="Subtitle"/>
    <w:basedOn w:val="style0"/>
    <w:next w:val="style0"/>
    <w:qFormat/>
    <w:uiPriority w:val="11"/>
    <w:pPr>
      <w:keepNext/>
      <w:keepLines/>
      <w:spacing w:after="320"/>
    </w:pPr>
    <w:rPr>
      <w:color w:val="666666"/>
      <w:sz w:val="30"/>
      <w:szCs w:val="30"/>
    </w:rPr>
  </w:style>
  <w:style w:type="table" w:customStyle="1" w:styleId="style4106">
    <w:basedOn w:val="style105"/>
    <w:next w:val="style4106"/>
    <w:pPr/>
    <w:rPr/>
    <w:tblPr>
      <w:tblStyleRowBandSize w:val="1"/>
      <w:tblStyleColBandSize w:val="1"/>
    </w:tblPr>
    <w:tcPr>
      <w:tcBorders/>
    </w:tcPr>
  </w:style>
  <w:style w:type="table" w:customStyle="1" w:styleId="style4107">
    <w:basedOn w:val="style105"/>
    <w:next w:val="style4107"/>
    <w:pPr/>
    <w:rPr/>
    <w:tblPr>
      <w:tblStyleRowBandSize w:val="1"/>
      <w:tblStyleColBandSize w:val="1"/>
    </w:tblPr>
    <w:tcPr>
      <w:tcBorders/>
    </w:tcPr>
  </w:style>
  <w:style w:type="table" w:customStyle="1" w:styleId="style4108">
    <w:basedOn w:val="style105"/>
    <w:next w:val="style4108"/>
    <w:pPr/>
    <w:rPr/>
    <w:tblPr>
      <w:tblStyleRowBandSize w:val="1"/>
      <w:tblStyleColBandSize w:val="1"/>
    </w:tblPr>
    <w:tcPr>
      <w:tcBorders/>
    </w:tcPr>
  </w:style>
  <w:style w:type="table" w:customStyle="1" w:styleId="style4109">
    <w:basedOn w:val="style105"/>
    <w:next w:val="style4109"/>
    <w:pPr/>
    <w:rPr/>
    <w:tblPr>
      <w:tblStyleRowBandSize w:val="1"/>
      <w:tblStyleColBandSize w:val="1"/>
    </w:tblPr>
    <w:tcPr>
      <w:tcBorders/>
    </w:tcPr>
  </w:style>
  <w:style w:type="table" w:customStyle="1" w:styleId="style4110">
    <w:basedOn w:val="style105"/>
    <w:next w:val="style4110"/>
    <w:pPr/>
    <w:rPr/>
    <w:tblPr>
      <w:tblStyleRowBandSize w:val="1"/>
      <w:tblStyleColBandSize w:val="1"/>
    </w:tblPr>
    <w:tcPr>
      <w:tcBorders/>
    </w:tc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11" Type="http://schemas.openxmlformats.org/officeDocument/2006/relationships/theme" Target="theme/theme1.xml"/><Relationship Id="rId10" Type="http://schemas.openxmlformats.org/officeDocument/2006/relationships/settings" Target="settings.xml"/><Relationship Id="rId12" Type="http://schemas.openxmlformats.org/officeDocument/2006/relationships/customXml" Target="../customXml/item1.xml"/><Relationship Id="rId9" Type="http://schemas.openxmlformats.org/officeDocument/2006/relationships/fontTable" Target="fontTable.xml"/><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footer" Target="footer1.xml"/><Relationship Id="rId8"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BM71jG/wBrLulLdn+qHB5tuatLg==">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Words>3398</Words>
  <Pages>18</Pages>
  <Characters>21019</Characters>
  <Application>WPS Office</Application>
  <DocSecurity>0</DocSecurity>
  <Paragraphs>276</Paragraphs>
  <ScaleCrop>false</ScaleCrop>
  <LinksUpToDate>false</LinksUpToDate>
  <CharactersWithSpaces>24204</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2026-10-09T12:45:00Z</dcterms:created>
  <dc:creator>WPS Office</dc:creator>
  <lastModifiedBy>V2222</lastModifiedBy>
  <dcterms:modified xsi:type="dcterms:W3CDTF">2026-10-14T05:15:46Z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3295a2846eb74d67837e00cdec862882_23</vt:lpwstr>
  </property>
</Properties>
</file>