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5021B"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0AE5287E"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3D71EBC5"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734339AA"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536C22CE"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2A144BA0"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3CECE5E8" w14:textId="768010E0" w:rsidR="003B31F3" w:rsidRPr="00E84E2F" w:rsidRDefault="003B31F3" w:rsidP="00930627">
      <w:pPr>
        <w:spacing w:after="0" w:line="480" w:lineRule="auto"/>
        <w:ind w:firstLine="720"/>
        <w:jc w:val="center"/>
        <w:rPr>
          <w:rFonts w:ascii="Arial" w:eastAsia="Times New Roman" w:hAnsi="Arial" w:cs="Arial"/>
          <w:b/>
          <w:bCs/>
          <w:kern w:val="0"/>
          <w:sz w:val="22"/>
          <w:szCs w:val="22"/>
          <w14:ligatures w14:val="none"/>
        </w:rPr>
      </w:pPr>
      <w:bookmarkStart w:id="0" w:name="_Hlk213795469"/>
      <w:r w:rsidRPr="00E84E2F">
        <w:rPr>
          <w:rFonts w:ascii="Arial" w:eastAsia="Times New Roman" w:hAnsi="Arial" w:cs="Arial"/>
          <w:b/>
          <w:bCs/>
          <w:kern w:val="0"/>
          <w:sz w:val="22"/>
          <w:szCs w:val="22"/>
          <w14:ligatures w14:val="none"/>
        </w:rPr>
        <w:t>A Critical Examination of Autism Spectrum Disorder (ASD) in ICD-11</w:t>
      </w:r>
      <w:bookmarkEnd w:id="0"/>
      <w:r w:rsidRPr="00E84E2F">
        <w:rPr>
          <w:rFonts w:ascii="Arial" w:eastAsia="Times New Roman" w:hAnsi="Arial" w:cs="Arial"/>
          <w:b/>
          <w:bCs/>
          <w:kern w:val="0"/>
          <w:sz w:val="22"/>
          <w:szCs w:val="22"/>
          <w14:ligatures w14:val="none"/>
        </w:rPr>
        <w:t>: Classification, Diagnosis, Treatment, and Emerging Debates</w:t>
      </w:r>
    </w:p>
    <w:p w14:paraId="66B9FBDA" w14:textId="7777777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484BFB14" w14:textId="35BB3472"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p>
    <w:p w14:paraId="62A5EB24" w14:textId="16131158" w:rsidR="004E73C9" w:rsidRDefault="00E84E2F" w:rsidP="00930627">
      <w:pPr>
        <w:spacing w:after="0" w:line="480" w:lineRule="auto"/>
        <w:ind w:firstLine="720"/>
        <w:jc w:val="cente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Maria Costescu</w:t>
      </w:r>
    </w:p>
    <w:p w14:paraId="59B59990"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3FCE0EA9"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4F875209"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61EAE086" w14:textId="7EE702CC" w:rsidR="00E84E2F" w:rsidRDefault="00E84E2F" w:rsidP="00930627">
      <w:pPr>
        <w:spacing w:after="0" w:line="480" w:lineRule="auto"/>
        <w:ind w:firstLine="720"/>
        <w:jc w:val="cente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ID:1913812</w:t>
      </w:r>
    </w:p>
    <w:p w14:paraId="4BCA6F34"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49DEA75B"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140781DF" w14:textId="3037E03B" w:rsidR="00E84E2F" w:rsidRDefault="00E84E2F" w:rsidP="00930627">
      <w:pPr>
        <w:spacing w:after="0" w:line="480" w:lineRule="auto"/>
        <w:ind w:firstLine="720"/>
        <w:jc w:val="cente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BMHP6029(Component </w:t>
      </w:r>
      <w:proofErr w:type="gramStart"/>
      <w:r>
        <w:rPr>
          <w:rFonts w:ascii="Arial" w:eastAsia="Times New Roman" w:hAnsi="Arial" w:cs="Arial"/>
          <w:kern w:val="0"/>
          <w:sz w:val="22"/>
          <w:szCs w:val="22"/>
          <w14:ligatures w14:val="none"/>
        </w:rPr>
        <w:t>2,Written</w:t>
      </w:r>
      <w:proofErr w:type="gramEnd"/>
      <w:r>
        <w:rPr>
          <w:rFonts w:ascii="Arial" w:eastAsia="Times New Roman" w:hAnsi="Arial" w:cs="Arial"/>
          <w:kern w:val="0"/>
          <w:sz w:val="22"/>
          <w:szCs w:val="22"/>
          <w14:ligatures w14:val="none"/>
        </w:rPr>
        <w:t xml:space="preserve"> </w:t>
      </w:r>
      <w:proofErr w:type="gramStart"/>
      <w:r w:rsidR="005138CB">
        <w:rPr>
          <w:rFonts w:ascii="Arial" w:eastAsia="Times New Roman" w:hAnsi="Arial" w:cs="Arial"/>
          <w:kern w:val="0"/>
          <w:sz w:val="22"/>
          <w:szCs w:val="22"/>
          <w14:ligatures w14:val="none"/>
        </w:rPr>
        <w:t xml:space="preserve">Assignment  </w:t>
      </w:r>
      <w:r>
        <w:rPr>
          <w:rFonts w:ascii="Arial" w:eastAsia="Times New Roman" w:hAnsi="Arial" w:cs="Arial"/>
          <w:kern w:val="0"/>
          <w:sz w:val="22"/>
          <w:szCs w:val="22"/>
          <w14:ligatures w14:val="none"/>
        </w:rPr>
        <w:t>Report</w:t>
      </w:r>
      <w:proofErr w:type="gramEnd"/>
      <w:r>
        <w:rPr>
          <w:rFonts w:ascii="Arial" w:eastAsia="Times New Roman" w:hAnsi="Arial" w:cs="Arial"/>
          <w:kern w:val="0"/>
          <w:sz w:val="22"/>
          <w:szCs w:val="22"/>
          <w14:ligatures w14:val="none"/>
        </w:rPr>
        <w:t>)</w:t>
      </w:r>
    </w:p>
    <w:p w14:paraId="09ADBBD5" w14:textId="77777777" w:rsidR="005138CB" w:rsidRDefault="005138CB" w:rsidP="00930627">
      <w:pPr>
        <w:spacing w:after="0" w:line="480" w:lineRule="auto"/>
        <w:ind w:firstLine="720"/>
        <w:jc w:val="center"/>
        <w:rPr>
          <w:rFonts w:ascii="Arial" w:eastAsia="Times New Roman" w:hAnsi="Arial" w:cs="Arial"/>
          <w:kern w:val="0"/>
          <w:sz w:val="22"/>
          <w:szCs w:val="22"/>
          <w14:ligatures w14:val="none"/>
        </w:rPr>
      </w:pPr>
    </w:p>
    <w:p w14:paraId="3D9B7DD7" w14:textId="6496C227" w:rsidR="004E73C9" w:rsidRPr="00E84E2F" w:rsidRDefault="004E73C9" w:rsidP="00930627">
      <w:pPr>
        <w:spacing w:after="0" w:line="480" w:lineRule="auto"/>
        <w:ind w:firstLine="720"/>
        <w:jc w:val="center"/>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Professor</w:t>
      </w:r>
      <w:r w:rsidR="005138CB">
        <w:rPr>
          <w:rFonts w:ascii="Arial" w:eastAsia="Times New Roman" w:hAnsi="Arial" w:cs="Arial"/>
          <w:kern w:val="0"/>
          <w:sz w:val="22"/>
          <w:szCs w:val="22"/>
          <w14:ligatures w14:val="none"/>
        </w:rPr>
        <w:t xml:space="preserve">: </w:t>
      </w:r>
      <w:r w:rsidR="00930627" w:rsidRPr="00E84E2F">
        <w:rPr>
          <w:rFonts w:ascii="Arial" w:eastAsia="Times New Roman" w:hAnsi="Arial" w:cs="Arial"/>
          <w:kern w:val="0"/>
          <w:sz w:val="22"/>
          <w:szCs w:val="22"/>
          <w14:ligatures w14:val="none"/>
        </w:rPr>
        <w:t xml:space="preserve"> </w:t>
      </w:r>
      <w:proofErr w:type="spellStart"/>
      <w:r w:rsidR="005138CB">
        <w:rPr>
          <w:rFonts w:ascii="Arial" w:eastAsia="Times New Roman" w:hAnsi="Arial" w:cs="Arial"/>
          <w:kern w:val="0"/>
          <w:sz w:val="22"/>
          <w:szCs w:val="22"/>
          <w14:ligatures w14:val="none"/>
        </w:rPr>
        <w:t>Keneddy</w:t>
      </w:r>
      <w:proofErr w:type="spellEnd"/>
      <w:r w:rsidR="005138CB">
        <w:rPr>
          <w:rFonts w:ascii="Arial" w:eastAsia="Times New Roman" w:hAnsi="Arial" w:cs="Arial"/>
          <w:kern w:val="0"/>
          <w:sz w:val="22"/>
          <w:szCs w:val="22"/>
          <w14:ligatures w14:val="none"/>
        </w:rPr>
        <w:t xml:space="preserve"> </w:t>
      </w:r>
      <w:proofErr w:type="spellStart"/>
      <w:r w:rsidR="005138CB">
        <w:rPr>
          <w:rFonts w:ascii="Arial" w:eastAsia="Times New Roman" w:hAnsi="Arial" w:cs="Arial"/>
          <w:kern w:val="0"/>
          <w:sz w:val="22"/>
          <w:szCs w:val="22"/>
          <w14:ligatures w14:val="none"/>
        </w:rPr>
        <w:t>Obohwemu</w:t>
      </w:r>
      <w:proofErr w:type="spellEnd"/>
    </w:p>
    <w:p w14:paraId="5F9590C7" w14:textId="221A4CFB" w:rsidR="004E73C9" w:rsidRPr="00E84E2F" w:rsidRDefault="004E73C9" w:rsidP="005138CB">
      <w:pPr>
        <w:spacing w:after="0" w:line="480" w:lineRule="auto"/>
        <w:ind w:firstLine="720"/>
        <w:jc w:val="center"/>
        <w:rPr>
          <w:rFonts w:ascii="Arial" w:eastAsia="Times New Roman" w:hAnsi="Arial" w:cs="Arial"/>
          <w:kern w:val="0"/>
          <w:sz w:val="22"/>
          <w:szCs w:val="22"/>
          <w14:ligatures w14:val="none"/>
        </w:rPr>
      </w:pPr>
    </w:p>
    <w:p w14:paraId="5626979B" w14:textId="77777777" w:rsidR="00930627" w:rsidRPr="00E84E2F" w:rsidRDefault="00930627" w:rsidP="00930627">
      <w:pPr>
        <w:spacing w:after="0" w:line="480" w:lineRule="auto"/>
        <w:ind w:firstLine="720"/>
        <w:jc w:val="center"/>
        <w:outlineLvl w:val="1"/>
        <w:rPr>
          <w:rFonts w:ascii="Arial" w:eastAsia="Times New Roman" w:hAnsi="Arial" w:cs="Arial"/>
          <w:b/>
          <w:bCs/>
          <w:kern w:val="0"/>
          <w:sz w:val="22"/>
          <w:szCs w:val="22"/>
          <w14:ligatures w14:val="none"/>
        </w:rPr>
      </w:pPr>
    </w:p>
    <w:p w14:paraId="5CA74A85" w14:textId="77777777" w:rsidR="00EB234C" w:rsidRPr="00E84E2F" w:rsidRDefault="00EB234C">
      <w:pPr>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br w:type="page"/>
      </w:r>
    </w:p>
    <w:p w14:paraId="47823925" w14:textId="68DC0B38" w:rsidR="003B31F3" w:rsidRPr="00E84E2F" w:rsidRDefault="003B31F3" w:rsidP="00930627">
      <w:pPr>
        <w:spacing w:after="0" w:line="480" w:lineRule="auto"/>
        <w:ind w:firstLine="720"/>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Introduction</w:t>
      </w:r>
    </w:p>
    <w:p w14:paraId="48856737" w14:textId="77777777" w:rsidR="00E84E2F" w:rsidRPr="00E84E2F" w:rsidRDefault="00E84E2F" w:rsidP="00930627">
      <w:pPr>
        <w:spacing w:after="0" w:line="480" w:lineRule="auto"/>
        <w:ind w:firstLine="720"/>
        <w:jc w:val="center"/>
        <w:outlineLvl w:val="1"/>
        <w:rPr>
          <w:rFonts w:ascii="Arial" w:eastAsia="Times New Roman" w:hAnsi="Arial" w:cs="Arial"/>
          <w:b/>
          <w:bCs/>
          <w:kern w:val="0"/>
          <w:sz w:val="22"/>
          <w:szCs w:val="22"/>
          <w14:ligatures w14:val="none"/>
        </w:rPr>
      </w:pPr>
    </w:p>
    <w:p w14:paraId="76A1F949" w14:textId="5CBA93B9" w:rsidR="003909FA" w:rsidRDefault="003909FA" w:rsidP="00E84E2F">
      <w:pPr>
        <w:spacing w:after="0" w:line="480" w:lineRule="auto"/>
        <w:outlineLvl w:val="1"/>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Autism Spectrum Disorder (ASD) is a neurodevelopmental disorder </w:t>
      </w:r>
      <w:r w:rsidR="00FC3918" w:rsidRPr="00E84E2F">
        <w:rPr>
          <w:rFonts w:ascii="Arial" w:eastAsia="Times New Roman" w:hAnsi="Arial" w:cs="Arial"/>
          <w:kern w:val="0"/>
          <w:sz w:val="22"/>
          <w:szCs w:val="22"/>
          <w14:ligatures w14:val="none"/>
        </w:rPr>
        <w:t>associated with unremitting deviations of social communication, limited interests,</w:t>
      </w:r>
      <w:r w:rsidRPr="00E84E2F">
        <w:rPr>
          <w:rFonts w:ascii="Arial" w:eastAsia="Times New Roman" w:hAnsi="Arial" w:cs="Arial"/>
          <w:kern w:val="0"/>
          <w:sz w:val="22"/>
          <w:szCs w:val="22"/>
          <w14:ligatures w14:val="none"/>
        </w:rPr>
        <w:t xml:space="preserve"> and repetitive </w:t>
      </w:r>
      <w:proofErr w:type="spellStart"/>
      <w:r w:rsidRPr="00E84E2F">
        <w:rPr>
          <w:rFonts w:ascii="Arial" w:eastAsia="Times New Roman" w:hAnsi="Arial" w:cs="Arial"/>
          <w:kern w:val="0"/>
          <w:sz w:val="22"/>
          <w:szCs w:val="22"/>
          <w14:ligatures w14:val="none"/>
        </w:rPr>
        <w:t>behaviours</w:t>
      </w:r>
      <w:proofErr w:type="spellEnd"/>
      <w:r w:rsidRPr="00E84E2F">
        <w:rPr>
          <w:rFonts w:ascii="Arial" w:eastAsia="Times New Roman" w:hAnsi="Arial" w:cs="Arial"/>
          <w:kern w:val="0"/>
          <w:sz w:val="22"/>
          <w:szCs w:val="22"/>
          <w14:ligatures w14:val="none"/>
        </w:rPr>
        <w:t xml:space="preserve">. ASD falls under Chapter 6 of the International Classification of Diseases -11th Revision (ICD-11) with the diagnostic code 6A02, a crucial </w:t>
      </w:r>
      <w:r w:rsidR="00FC3918" w:rsidRPr="00E84E2F">
        <w:rPr>
          <w:rFonts w:ascii="Arial" w:eastAsia="Times New Roman" w:hAnsi="Arial" w:cs="Arial"/>
          <w:kern w:val="0"/>
          <w:sz w:val="22"/>
          <w:szCs w:val="22"/>
          <w14:ligatures w14:val="none"/>
        </w:rPr>
        <w:t>adaptation</w:t>
      </w:r>
      <w:r w:rsidRPr="00E84E2F">
        <w:rPr>
          <w:rFonts w:ascii="Arial" w:eastAsia="Times New Roman" w:hAnsi="Arial" w:cs="Arial"/>
          <w:kern w:val="0"/>
          <w:sz w:val="22"/>
          <w:szCs w:val="22"/>
          <w14:ligatures w14:val="none"/>
        </w:rPr>
        <w:t xml:space="preserve"> compared to previous versions of the conceptual framework and operationalization of the disorder (World Health Organization [WHO], 2021). The global importance of ASD is especially significant as its prevalence levels are currently seen as an important social and health issue </w:t>
      </w:r>
      <w:r w:rsidR="00FC3918" w:rsidRPr="00E84E2F">
        <w:rPr>
          <w:rFonts w:ascii="Arial" w:eastAsia="Times New Roman" w:hAnsi="Arial" w:cs="Arial"/>
          <w:kern w:val="0"/>
          <w:sz w:val="22"/>
          <w:szCs w:val="22"/>
          <w14:ligatures w14:val="none"/>
        </w:rPr>
        <w:t>for</w:t>
      </w:r>
      <w:r w:rsidRPr="00E84E2F">
        <w:rPr>
          <w:rFonts w:ascii="Arial" w:eastAsia="Times New Roman" w:hAnsi="Arial" w:cs="Arial"/>
          <w:kern w:val="0"/>
          <w:sz w:val="22"/>
          <w:szCs w:val="22"/>
          <w14:ligatures w14:val="none"/>
        </w:rPr>
        <w:t xml:space="preserve"> the majority, that is, it impacts both people and their supporting environment, and different cultures and economic backgrounds. According to Stein et al. (2020), modifications to ICD-11 mirror the efforts made on the international level to make diagnostic standards respond to current scientific evidence, facilitate clinical usefulness, and minimize ambiguity, particularly in disorders with high levels of heterogeneity, such as ASD. The critical analysis of this report on ASD in the context of ICD-11 starts with its classification and characteristics of diagnosis that are contained in Chapter 6. It goes ahead to discuss present treatment, rehabilitation</w:t>
      </w:r>
      <w:r w:rsidR="00FC3918" w:rsidRPr="00E84E2F">
        <w:rPr>
          <w:rFonts w:ascii="Arial" w:eastAsia="Times New Roman" w:hAnsi="Arial" w:cs="Arial"/>
          <w:kern w:val="0"/>
          <w:sz w:val="22"/>
          <w:szCs w:val="22"/>
          <w14:ligatures w14:val="none"/>
        </w:rPr>
        <w:t>, and support methods,</w:t>
      </w:r>
      <w:r w:rsidRPr="00E84E2F">
        <w:rPr>
          <w:rFonts w:ascii="Arial" w:eastAsia="Times New Roman" w:hAnsi="Arial" w:cs="Arial"/>
          <w:kern w:val="0"/>
          <w:sz w:val="22"/>
          <w:szCs w:val="22"/>
          <w14:ligatures w14:val="none"/>
        </w:rPr>
        <w:t xml:space="preserve"> keeping in mind evidence-based and culturally modifiable practices. The </w:t>
      </w:r>
      <w:proofErr w:type="gramStart"/>
      <w:r w:rsidRPr="00E84E2F">
        <w:rPr>
          <w:rFonts w:ascii="Arial" w:eastAsia="Times New Roman" w:hAnsi="Arial" w:cs="Arial"/>
          <w:kern w:val="0"/>
          <w:sz w:val="22"/>
          <w:szCs w:val="22"/>
          <w14:ligatures w14:val="none"/>
        </w:rPr>
        <w:t>emergent</w:t>
      </w:r>
      <w:proofErr w:type="gramEnd"/>
      <w:r w:rsidRPr="00E84E2F">
        <w:rPr>
          <w:rFonts w:ascii="Arial" w:eastAsia="Times New Roman" w:hAnsi="Arial" w:cs="Arial"/>
          <w:kern w:val="0"/>
          <w:sz w:val="22"/>
          <w:szCs w:val="22"/>
          <w14:ligatures w14:val="none"/>
        </w:rPr>
        <w:t xml:space="preserve"> discussions on </w:t>
      </w:r>
      <w:r w:rsidR="00FC3918" w:rsidRPr="00E84E2F">
        <w:rPr>
          <w:rFonts w:ascii="Arial" w:eastAsia="Times New Roman" w:hAnsi="Arial" w:cs="Arial"/>
          <w:kern w:val="0"/>
          <w:sz w:val="22"/>
          <w:szCs w:val="22"/>
          <w14:ligatures w14:val="none"/>
        </w:rPr>
        <w:t xml:space="preserve">the </w:t>
      </w:r>
      <w:proofErr w:type="spellStart"/>
      <w:r w:rsidRPr="00E84E2F">
        <w:rPr>
          <w:rFonts w:ascii="Arial" w:eastAsia="Times New Roman" w:hAnsi="Arial" w:cs="Arial"/>
          <w:kern w:val="0"/>
          <w:sz w:val="22"/>
          <w:szCs w:val="22"/>
          <w14:ligatures w14:val="none"/>
        </w:rPr>
        <w:t>conceptualisation</w:t>
      </w:r>
      <w:proofErr w:type="spellEnd"/>
      <w:r w:rsidRPr="00E84E2F">
        <w:rPr>
          <w:rFonts w:ascii="Arial" w:eastAsia="Times New Roman" w:hAnsi="Arial" w:cs="Arial"/>
          <w:kern w:val="0"/>
          <w:sz w:val="22"/>
          <w:szCs w:val="22"/>
          <w14:ligatures w14:val="none"/>
        </w:rPr>
        <w:t xml:space="preserve"> of ASD in ICD-11, such as diagnostic thresholds, cross-cultural issues, </w:t>
      </w:r>
      <w:r w:rsidR="00FC3918" w:rsidRPr="00E84E2F">
        <w:rPr>
          <w:rFonts w:ascii="Arial" w:eastAsia="Times New Roman" w:hAnsi="Arial" w:cs="Arial"/>
          <w:kern w:val="0"/>
          <w:sz w:val="22"/>
          <w:szCs w:val="22"/>
          <w14:ligatures w14:val="none"/>
        </w:rPr>
        <w:t xml:space="preserve">and </w:t>
      </w:r>
      <w:r w:rsidRPr="00E84E2F">
        <w:rPr>
          <w:rFonts w:ascii="Arial" w:eastAsia="Times New Roman" w:hAnsi="Arial" w:cs="Arial"/>
          <w:kern w:val="0"/>
          <w:sz w:val="22"/>
          <w:szCs w:val="22"/>
          <w14:ligatures w14:val="none"/>
        </w:rPr>
        <w:t>service access implications, are also brought into the spotlight of the discussion. The report ends by making recommendations that will enhance clinical practice, implementation of policies</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and future research.</w:t>
      </w:r>
    </w:p>
    <w:p w14:paraId="5A446BE4"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31443DDC"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568F4942"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09C81341"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5A5FE1E7" w14:textId="77777777" w:rsidR="005138CB" w:rsidRPr="00E84E2F" w:rsidRDefault="005138CB" w:rsidP="00E84E2F">
      <w:pPr>
        <w:spacing w:after="0" w:line="480" w:lineRule="auto"/>
        <w:outlineLvl w:val="1"/>
        <w:rPr>
          <w:rFonts w:ascii="Arial" w:eastAsia="Times New Roman" w:hAnsi="Arial" w:cs="Arial"/>
          <w:kern w:val="0"/>
          <w:sz w:val="22"/>
          <w:szCs w:val="22"/>
          <w14:ligatures w14:val="none"/>
        </w:rPr>
      </w:pPr>
    </w:p>
    <w:p w14:paraId="5C83C761"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5101F27F" w14:textId="15158BD4" w:rsidR="00497568" w:rsidRPr="00E84E2F" w:rsidRDefault="00497568" w:rsidP="00930627">
      <w:pPr>
        <w:spacing w:after="0" w:line="480" w:lineRule="auto"/>
        <w:ind w:firstLine="720"/>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2. Classification and Diagnosis</w:t>
      </w:r>
    </w:p>
    <w:p w14:paraId="6C841683" w14:textId="77777777" w:rsidR="00E84E2F" w:rsidRPr="00E84E2F" w:rsidRDefault="00E84E2F" w:rsidP="00930627">
      <w:pPr>
        <w:spacing w:after="0" w:line="480" w:lineRule="auto"/>
        <w:ind w:firstLine="720"/>
        <w:jc w:val="center"/>
        <w:outlineLvl w:val="1"/>
        <w:rPr>
          <w:rFonts w:ascii="Arial" w:eastAsia="Times New Roman" w:hAnsi="Arial" w:cs="Arial"/>
          <w:b/>
          <w:bCs/>
          <w:kern w:val="0"/>
          <w:sz w:val="22"/>
          <w:szCs w:val="22"/>
          <w14:ligatures w14:val="none"/>
        </w:rPr>
      </w:pPr>
    </w:p>
    <w:p w14:paraId="52C0DBB6" w14:textId="77777777"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2.1 ICD-11 Classification</w:t>
      </w:r>
    </w:p>
    <w:p w14:paraId="6C1C0BBD"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1E424F68" w14:textId="6E573646" w:rsidR="003909FA" w:rsidRPr="00E84E2F" w:rsidRDefault="003909FA"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Autism spectrum disorder (ASD) is also included in ICD-11 with the diagnostic code 6A02, as the </w:t>
      </w:r>
      <w:proofErr w:type="spellStart"/>
      <w:r w:rsidRPr="00E84E2F">
        <w:rPr>
          <w:rFonts w:ascii="Arial" w:eastAsia="Times New Roman" w:hAnsi="Arial" w:cs="Arial"/>
          <w:kern w:val="0"/>
          <w:sz w:val="22"/>
          <w:szCs w:val="22"/>
          <w14:ligatures w14:val="none"/>
        </w:rPr>
        <w:t>conceptualisation</w:t>
      </w:r>
      <w:proofErr w:type="spellEnd"/>
      <w:r w:rsidRPr="00E84E2F">
        <w:rPr>
          <w:rFonts w:ascii="Arial" w:eastAsia="Times New Roman" w:hAnsi="Arial" w:cs="Arial"/>
          <w:kern w:val="0"/>
          <w:sz w:val="22"/>
          <w:szCs w:val="22"/>
          <w14:ligatures w14:val="none"/>
        </w:rPr>
        <w:t xml:space="preserve"> of a lifespan and </w:t>
      </w:r>
      <w:r w:rsidR="00FC3918" w:rsidRPr="00E84E2F">
        <w:rPr>
          <w:rFonts w:ascii="Arial" w:eastAsia="Times New Roman" w:hAnsi="Arial" w:cs="Arial"/>
          <w:kern w:val="0"/>
          <w:sz w:val="22"/>
          <w:szCs w:val="22"/>
          <w14:ligatures w14:val="none"/>
        </w:rPr>
        <w:t>spectrum-based</w:t>
      </w:r>
      <w:r w:rsidRPr="00E84E2F">
        <w:rPr>
          <w:rFonts w:ascii="Arial" w:eastAsia="Times New Roman" w:hAnsi="Arial" w:cs="Arial"/>
          <w:kern w:val="0"/>
          <w:sz w:val="22"/>
          <w:szCs w:val="22"/>
          <w14:ligatures w14:val="none"/>
        </w:rPr>
        <w:t xml:space="preserve"> diagnostic category that is based quite substantially on conceptual differences between ICD-10 categories. Greaves-Lord et al. (2022) note that the change of the dispersed model to a designation of a unified spectrum corresponds to modern studies in psychology and genetics</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indicating the autism-associated traits to be found along the continuum as opposed to discrete subtypes. This reorganization resulted in the combination of the former diagnoses, which are Asperger syndrome, Childhood Disintegrative Disorder, and Pervasive Developmental Disorder Not Otherwise Specified (PDDNOS), into one category, ASD. According to Kamp-Becker (2024), on the one hand, this consolidation leads to a </w:t>
      </w:r>
      <w:r w:rsidR="00FC3918" w:rsidRPr="00E84E2F">
        <w:rPr>
          <w:rFonts w:ascii="Arial" w:eastAsia="Times New Roman" w:hAnsi="Arial" w:cs="Arial"/>
          <w:kern w:val="0"/>
          <w:sz w:val="22"/>
          <w:szCs w:val="22"/>
          <w14:ligatures w14:val="none"/>
        </w:rPr>
        <w:t>diagnosis of greater consistency and less ambiguity; on the other hand, one may worry about the loss of clinically significant differences, especially in a person who has previously identified themselves with a particular subtype,</w:t>
      </w:r>
      <w:r w:rsidRPr="00E84E2F">
        <w:rPr>
          <w:rFonts w:ascii="Arial" w:eastAsia="Times New Roman" w:hAnsi="Arial" w:cs="Arial"/>
          <w:kern w:val="0"/>
          <w:sz w:val="22"/>
          <w:szCs w:val="22"/>
          <w14:ligatures w14:val="none"/>
        </w:rPr>
        <w:t xml:space="preserve"> such as Asperger.</w:t>
      </w:r>
    </w:p>
    <w:p w14:paraId="45CA239A" w14:textId="74E91582" w:rsidR="003909FA" w:rsidRPr="00E84E2F" w:rsidRDefault="003909FA"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ICD-11 also provides </w:t>
      </w:r>
      <w:r w:rsidR="00FC3918" w:rsidRPr="00E84E2F">
        <w:rPr>
          <w:rFonts w:ascii="Arial" w:eastAsia="Times New Roman" w:hAnsi="Arial" w:cs="Arial"/>
          <w:kern w:val="0"/>
          <w:sz w:val="22"/>
          <w:szCs w:val="22"/>
          <w14:ligatures w14:val="none"/>
        </w:rPr>
        <w:t>more specifications,</w:t>
      </w:r>
      <w:r w:rsidRPr="00E84E2F">
        <w:rPr>
          <w:rFonts w:ascii="Arial" w:eastAsia="Times New Roman" w:hAnsi="Arial" w:cs="Arial"/>
          <w:kern w:val="0"/>
          <w:sz w:val="22"/>
          <w:szCs w:val="22"/>
          <w14:ligatures w14:val="none"/>
        </w:rPr>
        <w:t xml:space="preserve"> such as with or without intellectual impairment and with or without functional language (Greaves-Lord et al., 2022). These specifiers aim to strike a balance between the inclusivity of the spectrum model and the requirement of </w:t>
      </w:r>
      <w:proofErr w:type="spellStart"/>
      <w:r w:rsidRPr="00E84E2F">
        <w:rPr>
          <w:rFonts w:ascii="Arial" w:eastAsia="Times New Roman" w:hAnsi="Arial" w:cs="Arial"/>
          <w:kern w:val="0"/>
          <w:sz w:val="22"/>
          <w:szCs w:val="22"/>
          <w14:ligatures w14:val="none"/>
        </w:rPr>
        <w:t>individualised</w:t>
      </w:r>
      <w:proofErr w:type="spellEnd"/>
      <w:r w:rsidRPr="00E84E2F">
        <w:rPr>
          <w:rFonts w:ascii="Arial" w:eastAsia="Times New Roman" w:hAnsi="Arial" w:cs="Arial"/>
          <w:kern w:val="0"/>
          <w:sz w:val="22"/>
          <w:szCs w:val="22"/>
          <w14:ligatures w14:val="none"/>
        </w:rPr>
        <w:t xml:space="preserve"> clinical description that can inform support, treatment planning</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as well as eligibility to services. The terminology of ICD-11, according to which ASD can be called a disorder that belongs to the neurodevelopmental grouping, is a subject of discussion. According to Kamp-Becker (2024), this </w:t>
      </w:r>
      <w:proofErr w:type="spellStart"/>
      <w:r w:rsidRPr="00E84E2F">
        <w:rPr>
          <w:rFonts w:ascii="Arial" w:eastAsia="Times New Roman" w:hAnsi="Arial" w:cs="Arial"/>
          <w:kern w:val="0"/>
          <w:sz w:val="22"/>
          <w:szCs w:val="22"/>
          <w14:ligatures w14:val="none"/>
        </w:rPr>
        <w:t>clinicalized</w:t>
      </w:r>
      <w:proofErr w:type="spellEnd"/>
      <w:r w:rsidRPr="00E84E2F">
        <w:rPr>
          <w:rFonts w:ascii="Arial" w:eastAsia="Times New Roman" w:hAnsi="Arial" w:cs="Arial"/>
          <w:kern w:val="0"/>
          <w:sz w:val="22"/>
          <w:szCs w:val="22"/>
          <w14:ligatures w14:val="none"/>
        </w:rPr>
        <w:t xml:space="preserve"> language helps in upholding clinical clarity without the intention of staying with binary-deficit-oriented views that are rather conflicting with neurodiversity-oriented approaches. Generally, the ICD-11 classification aspires to be more reliable and cross-culturally applicable, but the openness of its diagnostic categories makes it questionable whether it can be over-</w:t>
      </w:r>
      <w:r w:rsidRPr="00E84E2F">
        <w:rPr>
          <w:rFonts w:ascii="Arial" w:eastAsia="Times New Roman" w:hAnsi="Arial" w:cs="Arial"/>
          <w:kern w:val="0"/>
          <w:sz w:val="22"/>
          <w:szCs w:val="22"/>
          <w14:ligatures w14:val="none"/>
        </w:rPr>
        <w:lastRenderedPageBreak/>
        <w:t>diagnostic. Greaves-Lord et al. (2022) admit that the spectrum model might reflect more varieties of presentations, but this property can lead to diagnostic inflation when the criteria are not implemented strictly in different cultural contexts.</w:t>
      </w:r>
    </w:p>
    <w:p w14:paraId="665AFEC9" w14:textId="77777777" w:rsidR="00E84E2F" w:rsidRPr="00E84E2F" w:rsidRDefault="00E84E2F" w:rsidP="00E84E2F">
      <w:pPr>
        <w:spacing w:after="0" w:line="480" w:lineRule="auto"/>
        <w:outlineLvl w:val="2"/>
        <w:rPr>
          <w:rFonts w:ascii="Arial" w:eastAsia="Times New Roman" w:hAnsi="Arial" w:cs="Arial"/>
          <w:kern w:val="0"/>
          <w:sz w:val="22"/>
          <w:szCs w:val="22"/>
          <w14:ligatures w14:val="none"/>
        </w:rPr>
      </w:pPr>
    </w:p>
    <w:p w14:paraId="1DFD174A" w14:textId="50902AE3"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2.2 Diagnosis Process</w:t>
      </w:r>
    </w:p>
    <w:p w14:paraId="396B538F"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7A2C3B20" w14:textId="31C82890" w:rsidR="00930627" w:rsidRDefault="00930627" w:rsidP="00E84E2F">
      <w:pPr>
        <w:spacing w:after="0" w:line="480" w:lineRule="auto"/>
        <w:outlineLvl w:val="1"/>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ICD-11 ASD diagnosis relies on two fundamental domains, including sustained impairments in interacting and communicating with others and limited or monotonous </w:t>
      </w:r>
      <w:proofErr w:type="spellStart"/>
      <w:r w:rsidRPr="00E84E2F">
        <w:rPr>
          <w:rFonts w:ascii="Arial" w:eastAsia="Times New Roman" w:hAnsi="Arial" w:cs="Arial"/>
          <w:kern w:val="0"/>
          <w:sz w:val="22"/>
          <w:szCs w:val="22"/>
          <w14:ligatures w14:val="none"/>
        </w:rPr>
        <w:t>behaviour</w:t>
      </w:r>
      <w:proofErr w:type="spellEnd"/>
      <w:r w:rsidRPr="00E84E2F">
        <w:rPr>
          <w:rFonts w:ascii="Arial" w:eastAsia="Times New Roman" w:hAnsi="Arial" w:cs="Arial"/>
          <w:kern w:val="0"/>
          <w:sz w:val="22"/>
          <w:szCs w:val="22"/>
          <w14:ligatures w14:val="none"/>
        </w:rPr>
        <w:t xml:space="preserve">, interests, or activities. The assessment usually consists of clinical observation, developmental, and standardized tools, as well as a multidisciplinary team. ICD-11 focuses more on the developmental and contextual interpretation of symptoms, which considers differences based on age and surroundings (Greaves-Lord et al., 2022). </w:t>
      </w:r>
      <w:proofErr w:type="gramStart"/>
      <w:r w:rsidRPr="00E84E2F">
        <w:rPr>
          <w:rFonts w:ascii="Arial" w:eastAsia="Times New Roman" w:hAnsi="Arial" w:cs="Arial"/>
          <w:kern w:val="0"/>
          <w:sz w:val="22"/>
          <w:szCs w:val="22"/>
          <w14:ligatures w14:val="none"/>
        </w:rPr>
        <w:t>Despite the fact that</w:t>
      </w:r>
      <w:proofErr w:type="gramEnd"/>
      <w:r w:rsidRPr="00E84E2F">
        <w:rPr>
          <w:rFonts w:ascii="Arial" w:eastAsia="Times New Roman" w:hAnsi="Arial" w:cs="Arial"/>
          <w:kern w:val="0"/>
          <w:sz w:val="22"/>
          <w:szCs w:val="22"/>
          <w14:ligatures w14:val="none"/>
        </w:rPr>
        <w:t xml:space="preserve"> both the ICD-11 and DSM-5 utilize the spectrum model, their variations have an impact on clinical practice. DSM-5 exhibits greater </w:t>
      </w:r>
      <w:proofErr w:type="spellStart"/>
      <w:r w:rsidRPr="00E84E2F">
        <w:rPr>
          <w:rFonts w:ascii="Arial" w:eastAsia="Times New Roman" w:hAnsi="Arial" w:cs="Arial"/>
          <w:kern w:val="0"/>
          <w:sz w:val="22"/>
          <w:szCs w:val="22"/>
          <w14:ligatures w14:val="none"/>
        </w:rPr>
        <w:t>operationalised</w:t>
      </w:r>
      <w:proofErr w:type="spellEnd"/>
      <w:r w:rsidRPr="00E84E2F">
        <w:rPr>
          <w:rFonts w:ascii="Arial" w:eastAsia="Times New Roman" w:hAnsi="Arial" w:cs="Arial"/>
          <w:kern w:val="0"/>
          <w:sz w:val="22"/>
          <w:szCs w:val="22"/>
          <w14:ligatures w14:val="none"/>
        </w:rPr>
        <w:t xml:space="preserve">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instances, which may be beneficial to research in terms of diagnostic reliability (Kamp-Becker, 2024). By comparison, the more generalized description of ICD-11 gives it increased applicability globally but can create different levels of interpretation across cultural settings. Consecutive problems in terms of age at diagnosis and gender discrimination </w:t>
      </w:r>
      <w:proofErr w:type="gramStart"/>
      <w:r w:rsidRPr="00E84E2F">
        <w:rPr>
          <w:rFonts w:ascii="Arial" w:eastAsia="Times New Roman" w:hAnsi="Arial" w:cs="Arial"/>
          <w:kern w:val="0"/>
          <w:sz w:val="22"/>
          <w:szCs w:val="22"/>
          <w14:ligatures w14:val="none"/>
        </w:rPr>
        <w:t>still persist</w:t>
      </w:r>
      <w:proofErr w:type="gramEnd"/>
      <w:r w:rsidRPr="00E84E2F">
        <w:rPr>
          <w:rFonts w:ascii="Arial" w:eastAsia="Times New Roman" w:hAnsi="Arial" w:cs="Arial"/>
          <w:kern w:val="0"/>
          <w:sz w:val="22"/>
          <w:szCs w:val="22"/>
          <w14:ligatures w14:val="none"/>
        </w:rPr>
        <w:t xml:space="preserve">. There are numerous cases of autistic individuals with no intellectual impairment diagnosed too late because of their insidious manifestation (Lockwood Estrin et al., 2021). There exist significant differences in gender: the diagnostic process is usually more consistent with characteristics that are typically male and results in poorer recognition of autism in females (Cruz et al., 2025). Secondary </w:t>
      </w:r>
      <w:proofErr w:type="gramStart"/>
      <w:r w:rsidRPr="00E84E2F">
        <w:rPr>
          <w:rFonts w:ascii="Arial" w:eastAsia="Times New Roman" w:hAnsi="Arial" w:cs="Arial"/>
          <w:kern w:val="0"/>
          <w:sz w:val="22"/>
          <w:szCs w:val="22"/>
          <w14:ligatures w14:val="none"/>
        </w:rPr>
        <w:t>camouflaging</w:t>
      </w:r>
      <w:proofErr w:type="gramEnd"/>
      <w:r w:rsidRPr="00E84E2F">
        <w:rPr>
          <w:rFonts w:ascii="Arial" w:eastAsia="Times New Roman" w:hAnsi="Arial" w:cs="Arial"/>
          <w:kern w:val="0"/>
          <w:sz w:val="22"/>
          <w:szCs w:val="22"/>
          <w14:ligatures w14:val="none"/>
        </w:rPr>
        <w:t xml:space="preserve"> </w:t>
      </w:r>
      <w:proofErr w:type="spellStart"/>
      <w:r w:rsidRPr="00E84E2F">
        <w:rPr>
          <w:rFonts w:ascii="Arial" w:eastAsia="Times New Roman" w:hAnsi="Arial" w:cs="Arial"/>
          <w:kern w:val="0"/>
          <w:sz w:val="22"/>
          <w:szCs w:val="22"/>
          <w14:ligatures w14:val="none"/>
        </w:rPr>
        <w:t>behaviours</w:t>
      </w:r>
      <w:proofErr w:type="spellEnd"/>
      <w:r w:rsidRPr="00E84E2F">
        <w:rPr>
          <w:rFonts w:ascii="Arial" w:eastAsia="Times New Roman" w:hAnsi="Arial" w:cs="Arial"/>
          <w:kern w:val="0"/>
          <w:sz w:val="22"/>
          <w:szCs w:val="22"/>
          <w14:ligatures w14:val="none"/>
        </w:rPr>
        <w:t xml:space="preserve"> also delay the identification (Lockwood Estrin et al., 2021). Therefore, ICD-11 can be said to be inclusive, but issues of cross-cultural validity and overdiagnosis exist.</w:t>
      </w:r>
    </w:p>
    <w:p w14:paraId="26203503" w14:textId="77777777" w:rsidR="005138CB" w:rsidRPr="00E84E2F" w:rsidRDefault="005138CB" w:rsidP="00E84E2F">
      <w:pPr>
        <w:spacing w:after="0" w:line="480" w:lineRule="auto"/>
        <w:outlineLvl w:val="1"/>
        <w:rPr>
          <w:rFonts w:ascii="Arial" w:eastAsia="Times New Roman" w:hAnsi="Arial" w:cs="Arial"/>
          <w:kern w:val="0"/>
          <w:sz w:val="22"/>
          <w:szCs w:val="22"/>
          <w14:ligatures w14:val="none"/>
        </w:rPr>
      </w:pPr>
    </w:p>
    <w:p w14:paraId="48AECFD8"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60D72C5C" w14:textId="120C3A7B" w:rsidR="00497568" w:rsidRPr="00E84E2F" w:rsidRDefault="00497568" w:rsidP="00930627">
      <w:pPr>
        <w:spacing w:after="0" w:line="480" w:lineRule="auto"/>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3. Treatment and Rehabilitation</w:t>
      </w:r>
    </w:p>
    <w:p w14:paraId="413FEF00" w14:textId="77777777" w:rsidR="00E84E2F" w:rsidRPr="00E84E2F" w:rsidRDefault="00E84E2F" w:rsidP="00930627">
      <w:pPr>
        <w:spacing w:after="0" w:line="480" w:lineRule="auto"/>
        <w:jc w:val="center"/>
        <w:outlineLvl w:val="1"/>
        <w:rPr>
          <w:rFonts w:ascii="Arial" w:eastAsia="Times New Roman" w:hAnsi="Arial" w:cs="Arial"/>
          <w:b/>
          <w:bCs/>
          <w:kern w:val="0"/>
          <w:sz w:val="22"/>
          <w:szCs w:val="22"/>
          <w14:ligatures w14:val="none"/>
        </w:rPr>
      </w:pPr>
    </w:p>
    <w:p w14:paraId="39CDA5DB" w14:textId="1896700E"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3.1 Treatment Approache</w:t>
      </w:r>
      <w:r w:rsidR="00E84E2F" w:rsidRPr="00E84E2F">
        <w:rPr>
          <w:rFonts w:ascii="Arial" w:eastAsia="Times New Roman" w:hAnsi="Arial" w:cs="Arial"/>
          <w:b/>
          <w:bCs/>
          <w:kern w:val="0"/>
          <w:sz w:val="22"/>
          <w:szCs w:val="22"/>
          <w14:ligatures w14:val="none"/>
        </w:rPr>
        <w:t>s</w:t>
      </w:r>
    </w:p>
    <w:p w14:paraId="104235DE"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132ACF32" w14:textId="61F09E20" w:rsidR="00930627" w:rsidRPr="00E84E2F" w:rsidRDefault="00930627"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Autism Spectrum Disorder (ASD) treatment normally incorporates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developmental, psychological, and educational approaches depending on the needs of the patient. Applied </w:t>
      </w:r>
      <w:proofErr w:type="spellStart"/>
      <w:r w:rsidRPr="00E84E2F">
        <w:rPr>
          <w:rFonts w:ascii="Arial" w:eastAsia="Times New Roman" w:hAnsi="Arial" w:cs="Arial"/>
          <w:kern w:val="0"/>
          <w:sz w:val="22"/>
          <w:szCs w:val="22"/>
          <w14:ligatures w14:val="none"/>
        </w:rPr>
        <w:t>Behaviour</w:t>
      </w:r>
      <w:proofErr w:type="spellEnd"/>
      <w:r w:rsidRPr="00E84E2F">
        <w:rPr>
          <w:rFonts w:ascii="Arial" w:eastAsia="Times New Roman" w:hAnsi="Arial" w:cs="Arial"/>
          <w:kern w:val="0"/>
          <w:sz w:val="22"/>
          <w:szCs w:val="22"/>
          <w14:ligatures w14:val="none"/>
        </w:rPr>
        <w:t xml:space="preserve"> Analysis (ABA) is considered among the most prevalent evidence-based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interventions, which revolves around structured reinforcement to develop adaptive </w:t>
      </w:r>
      <w:proofErr w:type="spellStart"/>
      <w:r w:rsidRPr="00E84E2F">
        <w:rPr>
          <w:rFonts w:ascii="Arial" w:eastAsia="Times New Roman" w:hAnsi="Arial" w:cs="Arial"/>
          <w:kern w:val="0"/>
          <w:sz w:val="22"/>
          <w:szCs w:val="22"/>
          <w14:ligatures w14:val="none"/>
        </w:rPr>
        <w:t>behaviours</w:t>
      </w:r>
      <w:proofErr w:type="spellEnd"/>
      <w:r w:rsidRPr="00E84E2F">
        <w:rPr>
          <w:rFonts w:ascii="Arial" w:eastAsia="Times New Roman" w:hAnsi="Arial" w:cs="Arial"/>
          <w:kern w:val="0"/>
          <w:sz w:val="22"/>
          <w:szCs w:val="22"/>
          <w14:ligatures w14:val="none"/>
        </w:rPr>
        <w:t xml:space="preserve"> and is more frequently used throughout the lifespan (Rodriguez et al., 2022). However, the ABA is the subject of debate because it is argued to be rigid and stressful and because of its historical emphasis on normalization. The key developmental helps are those connected to speech and language therapy (improving </w:t>
      </w:r>
      <w:proofErr w:type="gramStart"/>
      <w:r w:rsidRPr="00E84E2F">
        <w:rPr>
          <w:rFonts w:ascii="Arial" w:eastAsia="Times New Roman" w:hAnsi="Arial" w:cs="Arial"/>
          <w:kern w:val="0"/>
          <w:sz w:val="22"/>
          <w:szCs w:val="22"/>
          <w14:ligatures w14:val="none"/>
        </w:rPr>
        <w:t>the pragmatic</w:t>
      </w:r>
      <w:proofErr w:type="gramEnd"/>
      <w:r w:rsidRPr="00E84E2F">
        <w:rPr>
          <w:rFonts w:ascii="Arial" w:eastAsia="Times New Roman" w:hAnsi="Arial" w:cs="Arial"/>
          <w:kern w:val="0"/>
          <w:sz w:val="22"/>
          <w:szCs w:val="22"/>
          <w14:ligatures w14:val="none"/>
        </w:rPr>
        <w:t xml:space="preserve"> and expressive communication) and occupational therapy (focusing on sensory regulation, motor skills, and functioning in everyday life). Training </w:t>
      </w:r>
      <w:proofErr w:type="gramStart"/>
      <w:r w:rsidRPr="00E84E2F">
        <w:rPr>
          <w:rFonts w:ascii="Arial" w:eastAsia="Times New Roman" w:hAnsi="Arial" w:cs="Arial"/>
          <w:kern w:val="0"/>
          <w:sz w:val="22"/>
          <w:szCs w:val="22"/>
          <w14:ligatures w14:val="none"/>
        </w:rPr>
        <w:t>of</w:t>
      </w:r>
      <w:proofErr w:type="gramEnd"/>
      <w:r w:rsidRPr="00E84E2F">
        <w:rPr>
          <w:rFonts w:ascii="Arial" w:eastAsia="Times New Roman" w:hAnsi="Arial" w:cs="Arial"/>
          <w:kern w:val="0"/>
          <w:sz w:val="22"/>
          <w:szCs w:val="22"/>
          <w14:ligatures w14:val="none"/>
        </w:rPr>
        <w:t xml:space="preserve"> social skills also helps in emotional and peer understanding. New strategies involve modified cognitive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therapy (CBT), which is especially useful with comorbid issues of anxiety and emotional management, and the employment of visual and structured methods based on autistic cognition (Mazza et al., 2021). Sensory integration therapy is another form of therapy that is being used, but there is inconsistent evidence base. Pharmacological therapy results in the treatment of co-occurring symptoms instead of the features that are central to ASD.</w:t>
      </w:r>
    </w:p>
    <w:p w14:paraId="7EE7C453" w14:textId="77777777" w:rsidR="00E84E2F" w:rsidRPr="00E84E2F" w:rsidRDefault="00E84E2F" w:rsidP="00E84E2F">
      <w:pPr>
        <w:spacing w:after="0" w:line="480" w:lineRule="auto"/>
        <w:outlineLvl w:val="2"/>
        <w:rPr>
          <w:rFonts w:ascii="Arial" w:eastAsia="Times New Roman" w:hAnsi="Arial" w:cs="Arial"/>
          <w:kern w:val="0"/>
          <w:sz w:val="22"/>
          <w:szCs w:val="22"/>
          <w14:ligatures w14:val="none"/>
        </w:rPr>
      </w:pPr>
    </w:p>
    <w:p w14:paraId="257151DF" w14:textId="58E98F49"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3.2 Rehabilitation and Support</w:t>
      </w:r>
    </w:p>
    <w:p w14:paraId="72D3FB6A"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6B22393C" w14:textId="2A179420" w:rsidR="003909FA" w:rsidRPr="00E84E2F" w:rsidRDefault="003909FA"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ICD-11 also focuses on functional improvement and participation as well as inclusion in society, as opposed to the older idea of pursuing a cure, which is in line with modern disability and neurodiversity views. Rehabilitation then focuses on the improvement of </w:t>
      </w:r>
      <w:r w:rsidR="00FC3918" w:rsidRPr="00E84E2F">
        <w:rPr>
          <w:rFonts w:ascii="Arial" w:eastAsia="Times New Roman" w:hAnsi="Arial" w:cs="Arial"/>
          <w:kern w:val="0"/>
          <w:sz w:val="22"/>
          <w:szCs w:val="22"/>
          <w14:ligatures w14:val="none"/>
        </w:rPr>
        <w:t xml:space="preserve">communication, </w:t>
      </w:r>
      <w:r w:rsidR="00FC3918" w:rsidRPr="00E84E2F">
        <w:rPr>
          <w:rFonts w:ascii="Arial" w:eastAsia="Times New Roman" w:hAnsi="Arial" w:cs="Arial"/>
          <w:kern w:val="0"/>
          <w:sz w:val="22"/>
          <w:szCs w:val="22"/>
          <w14:ligatures w14:val="none"/>
        </w:rPr>
        <w:lastRenderedPageBreak/>
        <w:t>independence, adaptive functioning,</w:t>
      </w:r>
      <w:r w:rsidRPr="00E84E2F">
        <w:rPr>
          <w:rFonts w:ascii="Arial" w:eastAsia="Times New Roman" w:hAnsi="Arial" w:cs="Arial"/>
          <w:kern w:val="0"/>
          <w:sz w:val="22"/>
          <w:szCs w:val="22"/>
          <w14:ligatures w14:val="none"/>
        </w:rPr>
        <w:t xml:space="preserve"> and access to the environment. As shown by Mazza et al. (2021), </w:t>
      </w:r>
      <w:proofErr w:type="spellStart"/>
      <w:r w:rsidRPr="00E84E2F">
        <w:rPr>
          <w:rFonts w:ascii="Arial" w:eastAsia="Times New Roman" w:hAnsi="Arial" w:cs="Arial"/>
          <w:kern w:val="0"/>
          <w:sz w:val="22"/>
          <w:szCs w:val="22"/>
          <w14:ligatures w14:val="none"/>
        </w:rPr>
        <w:t>recognising</w:t>
      </w:r>
      <w:proofErr w:type="spellEnd"/>
      <w:r w:rsidRPr="00E84E2F">
        <w:rPr>
          <w:rFonts w:ascii="Arial" w:eastAsia="Times New Roman" w:hAnsi="Arial" w:cs="Arial"/>
          <w:kern w:val="0"/>
          <w:sz w:val="22"/>
          <w:szCs w:val="22"/>
          <w14:ligatures w14:val="none"/>
        </w:rPr>
        <w:t xml:space="preserve"> the need to identify specific interventions, structured, intensive intervention approaches can enhance the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and social outcomes of adolescents, whereas the intervention effectiveness depends on individual profiles and the intensity of the associated treatment. Rehabilitation involves the use of education. Inclusive education models facilitate differentiated learning settings, one-to-one education plans, and an interprofessional approach of cooperation among educators, therapists, and families. The UK guidelines indicated that early recognition, developmental intervention customized based on the requirements of children with the school and health systems</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are important guidelines to employ in the development of children with intellectual </w:t>
      </w:r>
      <w:r w:rsidR="00FC3918" w:rsidRPr="00E84E2F">
        <w:rPr>
          <w:rFonts w:ascii="Arial" w:eastAsia="Times New Roman" w:hAnsi="Arial" w:cs="Arial"/>
          <w:kern w:val="0"/>
          <w:sz w:val="22"/>
          <w:szCs w:val="22"/>
          <w14:ligatures w14:val="none"/>
        </w:rPr>
        <w:t>disability</w:t>
      </w:r>
      <w:r w:rsidRPr="00E84E2F">
        <w:rPr>
          <w:rFonts w:ascii="Arial" w:eastAsia="Times New Roman" w:hAnsi="Arial" w:cs="Arial"/>
          <w:kern w:val="0"/>
          <w:sz w:val="22"/>
          <w:szCs w:val="22"/>
          <w14:ligatures w14:val="none"/>
        </w:rPr>
        <w:t xml:space="preserve"> (NICE, 2009). On the same note, the NHS autism strategy focuses on person-</w:t>
      </w:r>
      <w:proofErr w:type="spellStart"/>
      <w:r w:rsidRPr="00E84E2F">
        <w:rPr>
          <w:rFonts w:ascii="Arial" w:eastAsia="Times New Roman" w:hAnsi="Arial" w:cs="Arial"/>
          <w:kern w:val="0"/>
          <w:sz w:val="22"/>
          <w:szCs w:val="22"/>
          <w14:ligatures w14:val="none"/>
        </w:rPr>
        <w:t>centred</w:t>
      </w:r>
      <w:proofErr w:type="spellEnd"/>
      <w:r w:rsidRPr="00E84E2F">
        <w:rPr>
          <w:rFonts w:ascii="Arial" w:eastAsia="Times New Roman" w:hAnsi="Arial" w:cs="Arial"/>
          <w:kern w:val="0"/>
          <w:sz w:val="22"/>
          <w:szCs w:val="22"/>
          <w14:ligatures w14:val="none"/>
        </w:rPr>
        <w:t xml:space="preserve"> planning, reasonable accommodation</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and a seamless transition into adulthood. In addition to education, employment plans</w:t>
      </w:r>
      <w:r w:rsidR="00FC3918" w:rsidRPr="00E84E2F">
        <w:rPr>
          <w:rFonts w:ascii="Arial" w:eastAsia="Times New Roman" w:hAnsi="Arial" w:cs="Arial"/>
          <w:kern w:val="0"/>
          <w:sz w:val="22"/>
          <w:szCs w:val="22"/>
          <w14:ligatures w14:val="none"/>
        </w:rPr>
        <w:t xml:space="preserve">, and community rehabilitation, </w:t>
      </w:r>
      <w:proofErr w:type="gramStart"/>
      <w:r w:rsidR="00FC3918" w:rsidRPr="00E84E2F">
        <w:rPr>
          <w:rFonts w:ascii="Arial" w:eastAsia="Times New Roman" w:hAnsi="Arial" w:cs="Arial"/>
          <w:kern w:val="0"/>
          <w:sz w:val="22"/>
          <w:szCs w:val="22"/>
          <w14:ligatures w14:val="none"/>
        </w:rPr>
        <w:t>help</w:t>
      </w:r>
      <w:proofErr w:type="gramEnd"/>
      <w:r w:rsidR="00FC3918" w:rsidRPr="00E84E2F">
        <w:rPr>
          <w:rFonts w:ascii="Arial" w:eastAsia="Times New Roman" w:hAnsi="Arial" w:cs="Arial"/>
          <w:kern w:val="0"/>
          <w:sz w:val="22"/>
          <w:szCs w:val="22"/>
          <w14:ligatures w14:val="none"/>
        </w:rPr>
        <w:t xml:space="preserve"> autistic adults </w:t>
      </w:r>
      <w:r w:rsidRPr="00E84E2F">
        <w:rPr>
          <w:rFonts w:ascii="Arial" w:eastAsia="Times New Roman" w:hAnsi="Arial" w:cs="Arial"/>
          <w:kern w:val="0"/>
          <w:sz w:val="22"/>
          <w:szCs w:val="22"/>
          <w14:ligatures w14:val="none"/>
        </w:rPr>
        <w:t xml:space="preserve">acquire vocational training, communication skills in the workplace, </w:t>
      </w:r>
      <w:r w:rsidR="00FC3918" w:rsidRPr="00E84E2F">
        <w:rPr>
          <w:rFonts w:ascii="Arial" w:eastAsia="Times New Roman" w:hAnsi="Arial" w:cs="Arial"/>
          <w:kern w:val="0"/>
          <w:sz w:val="22"/>
          <w:szCs w:val="22"/>
          <w14:ligatures w14:val="none"/>
        </w:rPr>
        <w:t>and</w:t>
      </w:r>
      <w:r w:rsidRPr="00E84E2F">
        <w:rPr>
          <w:rFonts w:ascii="Arial" w:eastAsia="Times New Roman" w:hAnsi="Arial" w:cs="Arial"/>
          <w:kern w:val="0"/>
          <w:sz w:val="22"/>
          <w:szCs w:val="22"/>
          <w14:ligatures w14:val="none"/>
        </w:rPr>
        <w:t xml:space="preserve"> self-care. These initiatives are also consistent with the centrality of participation in ICD-11, but access differs widely among situations.</w:t>
      </w:r>
    </w:p>
    <w:p w14:paraId="28E0883F" w14:textId="77777777" w:rsidR="00E84E2F" w:rsidRPr="00E84E2F" w:rsidRDefault="00E84E2F" w:rsidP="00E84E2F">
      <w:pPr>
        <w:spacing w:after="0" w:line="480" w:lineRule="auto"/>
        <w:outlineLvl w:val="2"/>
        <w:rPr>
          <w:rFonts w:ascii="Arial" w:eastAsia="Times New Roman" w:hAnsi="Arial" w:cs="Arial"/>
          <w:kern w:val="0"/>
          <w:sz w:val="22"/>
          <w:szCs w:val="22"/>
          <w14:ligatures w14:val="none"/>
        </w:rPr>
      </w:pPr>
    </w:p>
    <w:p w14:paraId="21F673C6" w14:textId="03D05A3B"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3.3 Evaluation</w:t>
      </w:r>
    </w:p>
    <w:p w14:paraId="2D2357C7"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647DDF4B" w14:textId="3435E303" w:rsidR="003909FA" w:rsidRPr="00E84E2F" w:rsidRDefault="003909FA" w:rsidP="00E84E2F">
      <w:pPr>
        <w:spacing w:after="0" w:line="480" w:lineRule="auto"/>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Although numerous interventions are found to have quantifiable advantages</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they do not achieve the same level of effectiveness. One of the examples is ABA, which has strong supporting outcome evidence but is controversial because it relies on compliance-driven procedures and limited interest </w:t>
      </w:r>
      <w:r w:rsidR="00FC3918" w:rsidRPr="00E84E2F">
        <w:rPr>
          <w:rFonts w:ascii="Arial" w:eastAsia="Times New Roman" w:hAnsi="Arial" w:cs="Arial"/>
          <w:kern w:val="0"/>
          <w:sz w:val="22"/>
          <w:szCs w:val="22"/>
          <w14:ligatures w14:val="none"/>
        </w:rPr>
        <w:t>in</w:t>
      </w:r>
      <w:r w:rsidRPr="00E84E2F">
        <w:rPr>
          <w:rFonts w:ascii="Arial" w:eastAsia="Times New Roman" w:hAnsi="Arial" w:cs="Arial"/>
          <w:kern w:val="0"/>
          <w:sz w:val="22"/>
          <w:szCs w:val="22"/>
          <w14:ligatures w14:val="none"/>
        </w:rPr>
        <w:t xml:space="preserve"> autonomy (Rodriguez et al., 2022). Such studies as those conducted by Waldren et al. (2022) underline the study of the heterogeneity of autistic features as a concept of network-analysis research</w:t>
      </w:r>
      <w:r w:rsidR="00FC3918" w:rsidRPr="00E84E2F">
        <w:rPr>
          <w:rFonts w:ascii="Arial" w:eastAsia="Times New Roman" w:hAnsi="Arial" w:cs="Arial"/>
          <w:kern w:val="0"/>
          <w:sz w:val="22"/>
          <w:szCs w:val="22"/>
          <w14:ligatures w14:val="none"/>
        </w:rPr>
        <w:t>, indicating</w:t>
      </w:r>
      <w:r w:rsidRPr="00E84E2F">
        <w:rPr>
          <w:rFonts w:ascii="Arial" w:eastAsia="Times New Roman" w:hAnsi="Arial" w:cs="Arial"/>
          <w:kern w:val="0"/>
          <w:sz w:val="22"/>
          <w:szCs w:val="22"/>
          <w14:ligatures w14:val="none"/>
        </w:rPr>
        <w:t xml:space="preserve"> that interventions need more customization and less global models. Mazza et al. (2021) also note that treatment response varies, which means that not all </w:t>
      </w:r>
      <w:r w:rsidR="00FC3918" w:rsidRPr="00E84E2F">
        <w:rPr>
          <w:rFonts w:ascii="Arial" w:eastAsia="Times New Roman" w:hAnsi="Arial" w:cs="Arial"/>
          <w:kern w:val="0"/>
          <w:sz w:val="22"/>
          <w:szCs w:val="22"/>
          <w14:ligatures w14:val="none"/>
        </w:rPr>
        <w:t xml:space="preserve">individuals would improve with </w:t>
      </w:r>
      <w:r w:rsidRPr="00E84E2F">
        <w:rPr>
          <w:rFonts w:ascii="Arial" w:eastAsia="Times New Roman" w:hAnsi="Arial" w:cs="Arial"/>
          <w:kern w:val="0"/>
          <w:sz w:val="22"/>
          <w:szCs w:val="22"/>
          <w14:ligatures w14:val="none"/>
        </w:rPr>
        <w:t>it.</w:t>
      </w:r>
    </w:p>
    <w:p w14:paraId="29015463" w14:textId="324DF98E" w:rsidR="003B31F3" w:rsidRPr="00E84E2F" w:rsidRDefault="003909FA" w:rsidP="00E84E2F">
      <w:pPr>
        <w:spacing w:after="0" w:line="480" w:lineRule="auto"/>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lastRenderedPageBreak/>
        <w:t xml:space="preserve">The ethical and cultural implications also make the treatment decisions complex. The interventions, which were based on the concept of </w:t>
      </w:r>
      <w:proofErr w:type="spellStart"/>
      <w:r w:rsidRPr="00E84E2F">
        <w:rPr>
          <w:rFonts w:ascii="Arial" w:eastAsia="Times New Roman" w:hAnsi="Arial" w:cs="Arial"/>
          <w:kern w:val="0"/>
          <w:sz w:val="22"/>
          <w:szCs w:val="22"/>
          <w14:ligatures w14:val="none"/>
        </w:rPr>
        <w:t>behavioural</w:t>
      </w:r>
      <w:proofErr w:type="spellEnd"/>
      <w:r w:rsidRPr="00E84E2F">
        <w:rPr>
          <w:rFonts w:ascii="Arial" w:eastAsia="Times New Roman" w:hAnsi="Arial" w:cs="Arial"/>
          <w:kern w:val="0"/>
          <w:sz w:val="22"/>
          <w:szCs w:val="22"/>
          <w14:ligatures w14:val="none"/>
        </w:rPr>
        <w:t xml:space="preserve"> normalization, can confront neurodiversity views that believe in identity, authenticity, and </w:t>
      </w:r>
      <w:r w:rsidR="00FC3918" w:rsidRPr="00E84E2F">
        <w:rPr>
          <w:rFonts w:ascii="Arial" w:eastAsia="Times New Roman" w:hAnsi="Arial" w:cs="Arial"/>
          <w:kern w:val="0"/>
          <w:sz w:val="22"/>
          <w:szCs w:val="22"/>
          <w14:ligatures w14:val="none"/>
        </w:rPr>
        <w:t>personal</w:t>
      </w:r>
      <w:r w:rsidRPr="00E84E2F">
        <w:rPr>
          <w:rFonts w:ascii="Arial" w:eastAsia="Times New Roman" w:hAnsi="Arial" w:cs="Arial"/>
          <w:kern w:val="0"/>
          <w:sz w:val="22"/>
          <w:szCs w:val="22"/>
          <w14:ligatures w14:val="none"/>
        </w:rPr>
        <w:t xml:space="preserve"> choice. Ethical </w:t>
      </w:r>
      <w:proofErr w:type="gramStart"/>
      <w:r w:rsidRPr="00E84E2F">
        <w:rPr>
          <w:rFonts w:ascii="Arial" w:eastAsia="Times New Roman" w:hAnsi="Arial" w:cs="Arial"/>
          <w:kern w:val="0"/>
          <w:sz w:val="22"/>
          <w:szCs w:val="22"/>
          <w14:ligatures w14:val="none"/>
        </w:rPr>
        <w:t>practice then</w:t>
      </w:r>
      <w:proofErr w:type="gramEnd"/>
      <w:r w:rsidRPr="00E84E2F">
        <w:rPr>
          <w:rFonts w:ascii="Arial" w:eastAsia="Times New Roman" w:hAnsi="Arial" w:cs="Arial"/>
          <w:kern w:val="0"/>
          <w:sz w:val="22"/>
          <w:szCs w:val="22"/>
          <w14:ligatures w14:val="none"/>
        </w:rPr>
        <w:t xml:space="preserve"> presupposes a balance between skill development and respect </w:t>
      </w:r>
      <w:r w:rsidR="00FC3918" w:rsidRPr="00E84E2F">
        <w:rPr>
          <w:rFonts w:ascii="Arial" w:eastAsia="Times New Roman" w:hAnsi="Arial" w:cs="Arial"/>
          <w:kern w:val="0"/>
          <w:sz w:val="22"/>
          <w:szCs w:val="22"/>
          <w14:ligatures w14:val="none"/>
        </w:rPr>
        <w:t>for</w:t>
      </w:r>
      <w:r w:rsidRPr="00E84E2F">
        <w:rPr>
          <w:rFonts w:ascii="Arial" w:eastAsia="Times New Roman" w:hAnsi="Arial" w:cs="Arial"/>
          <w:kern w:val="0"/>
          <w:sz w:val="22"/>
          <w:szCs w:val="22"/>
          <w14:ligatures w14:val="none"/>
        </w:rPr>
        <w:t xml:space="preserve"> autonomy</w:t>
      </w:r>
      <w:r w:rsidR="00FC3918"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and the implementation of the culturally responsive action. The treatment should also consider the social determinants of health, since the socioeconomic and cultural contexts influence </w:t>
      </w:r>
      <w:r w:rsidR="00FC3918" w:rsidRPr="00E84E2F">
        <w:rPr>
          <w:rFonts w:ascii="Arial" w:eastAsia="Times New Roman" w:hAnsi="Arial" w:cs="Arial"/>
          <w:kern w:val="0"/>
          <w:sz w:val="22"/>
          <w:szCs w:val="22"/>
          <w14:ligatures w14:val="none"/>
        </w:rPr>
        <w:t>access to</w:t>
      </w:r>
      <w:r w:rsidRPr="00E84E2F">
        <w:rPr>
          <w:rFonts w:ascii="Arial" w:eastAsia="Times New Roman" w:hAnsi="Arial" w:cs="Arial"/>
          <w:kern w:val="0"/>
          <w:sz w:val="22"/>
          <w:szCs w:val="22"/>
          <w14:ligatures w14:val="none"/>
        </w:rPr>
        <w:t xml:space="preserve"> high-quality interventions. In general, there is a need to include multiple approaches, which are treated and rehabilitated as an integrated system, although further critical analysis is needed </w:t>
      </w:r>
      <w:proofErr w:type="gramStart"/>
      <w:r w:rsidRPr="00E84E2F">
        <w:rPr>
          <w:rFonts w:ascii="Arial" w:eastAsia="Times New Roman" w:hAnsi="Arial" w:cs="Arial"/>
          <w:kern w:val="0"/>
          <w:sz w:val="22"/>
          <w:szCs w:val="22"/>
          <w14:ligatures w14:val="none"/>
        </w:rPr>
        <w:t>in order to</w:t>
      </w:r>
      <w:proofErr w:type="gramEnd"/>
      <w:r w:rsidRPr="00E84E2F">
        <w:rPr>
          <w:rFonts w:ascii="Arial" w:eastAsia="Times New Roman" w:hAnsi="Arial" w:cs="Arial"/>
          <w:kern w:val="0"/>
          <w:sz w:val="22"/>
          <w:szCs w:val="22"/>
          <w14:ligatures w14:val="none"/>
        </w:rPr>
        <w:t xml:space="preserve"> maintain interventions based on evidence and being appropriate and responsive to the needs of autistic people.</w:t>
      </w:r>
    </w:p>
    <w:p w14:paraId="3ECFE3A3" w14:textId="77777777" w:rsidR="00E84E2F" w:rsidRPr="00E84E2F" w:rsidRDefault="00E84E2F" w:rsidP="00E84E2F">
      <w:pPr>
        <w:spacing w:after="0" w:line="480" w:lineRule="auto"/>
        <w:rPr>
          <w:rFonts w:ascii="Arial" w:eastAsia="Times New Roman" w:hAnsi="Arial" w:cs="Arial"/>
          <w:kern w:val="0"/>
          <w:sz w:val="22"/>
          <w:szCs w:val="22"/>
          <w14:ligatures w14:val="none"/>
        </w:rPr>
      </w:pPr>
    </w:p>
    <w:p w14:paraId="0765A9D0" w14:textId="77777777" w:rsidR="00497568" w:rsidRPr="00E84E2F" w:rsidRDefault="00497568" w:rsidP="00930627">
      <w:pPr>
        <w:spacing w:after="0" w:line="480" w:lineRule="auto"/>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4. Current Debates and Emerging Issues</w:t>
      </w:r>
    </w:p>
    <w:p w14:paraId="29AEC85A" w14:textId="77777777" w:rsidR="00E84E2F" w:rsidRPr="00E84E2F" w:rsidRDefault="00E84E2F" w:rsidP="00930627">
      <w:pPr>
        <w:spacing w:after="0" w:line="480" w:lineRule="auto"/>
        <w:jc w:val="center"/>
        <w:outlineLvl w:val="1"/>
        <w:rPr>
          <w:rFonts w:ascii="Arial" w:eastAsia="Times New Roman" w:hAnsi="Arial" w:cs="Arial"/>
          <w:b/>
          <w:bCs/>
          <w:kern w:val="0"/>
          <w:sz w:val="22"/>
          <w:szCs w:val="22"/>
          <w14:ligatures w14:val="none"/>
        </w:rPr>
      </w:pPr>
    </w:p>
    <w:p w14:paraId="6230355A" w14:textId="77777777"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4.1 Neurodiversity vs. Medical Model</w:t>
      </w:r>
    </w:p>
    <w:p w14:paraId="14452CE3"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53F9B47C" w14:textId="61BEF19C" w:rsidR="00FC3918" w:rsidRPr="00E84E2F" w:rsidRDefault="00FC3918"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Among the most acute modern controversies, there is the conflict between the neurodiversity paradigm and the conventional medical model that is applied in diagnostic systems like ICD-11. Through neurodiversity, it is believed that autism is not a disorder but a natural difference in human cognition, which contends that most challenges are created by society and not because the individuals are deficient (Pellicano &amp; den Houting, 2022). This paradigm focuses on self-determination, acceptance, and identity. By comparison, ICD-11 puts autism spectrum disorder in its category of neurodevelopmental disorders, which retains more of a framing based on clinical, deficit-focused approaches. Although this classification helps improve clinical utility and access to services, it does not completely match neurodivergent self-advocates who consider a clinical labelling </w:t>
      </w:r>
      <w:proofErr w:type="spellStart"/>
      <w:r w:rsidRPr="00E84E2F">
        <w:rPr>
          <w:rFonts w:ascii="Arial" w:eastAsia="Times New Roman" w:hAnsi="Arial" w:cs="Arial"/>
          <w:kern w:val="0"/>
          <w:sz w:val="22"/>
          <w:szCs w:val="22"/>
          <w14:ligatures w14:val="none"/>
        </w:rPr>
        <w:t>pathologising</w:t>
      </w:r>
      <w:proofErr w:type="spellEnd"/>
      <w:r w:rsidRPr="00E84E2F">
        <w:rPr>
          <w:rFonts w:ascii="Arial" w:eastAsia="Times New Roman" w:hAnsi="Arial" w:cs="Arial"/>
          <w:kern w:val="0"/>
          <w:sz w:val="22"/>
          <w:szCs w:val="22"/>
          <w14:ligatures w14:val="none"/>
        </w:rPr>
        <w:t xml:space="preserve"> of their experience of living (McLennan et al., 2025). Despite more flexible specifiers in the ICD-11 being used to represent individual variability, Pellicano </w:t>
      </w:r>
      <w:r w:rsidRPr="00E84E2F">
        <w:rPr>
          <w:rFonts w:ascii="Arial" w:eastAsia="Times New Roman" w:hAnsi="Arial" w:cs="Arial"/>
          <w:kern w:val="0"/>
          <w:sz w:val="22"/>
          <w:szCs w:val="22"/>
          <w14:ligatures w14:val="none"/>
        </w:rPr>
        <w:lastRenderedPageBreak/>
        <w:t>and den Houting (2022) argue that mainstream autism science continues to insist on the idea of normalization, which implies that the category can only fit neurodiversity-related viewpoints partially.</w:t>
      </w:r>
    </w:p>
    <w:p w14:paraId="3C2CFE8E" w14:textId="77777777" w:rsidR="00E84E2F" w:rsidRPr="00E84E2F" w:rsidRDefault="00E84E2F" w:rsidP="00E84E2F">
      <w:pPr>
        <w:spacing w:after="0" w:line="480" w:lineRule="auto"/>
        <w:outlineLvl w:val="2"/>
        <w:rPr>
          <w:rFonts w:ascii="Arial" w:eastAsia="Times New Roman" w:hAnsi="Arial" w:cs="Arial"/>
          <w:kern w:val="0"/>
          <w:sz w:val="22"/>
          <w:szCs w:val="22"/>
          <w14:ligatures w14:val="none"/>
        </w:rPr>
      </w:pPr>
    </w:p>
    <w:p w14:paraId="17824829" w14:textId="25278CD0"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t>4.2 Reclassification and Social Perspectives</w:t>
      </w:r>
    </w:p>
    <w:p w14:paraId="02285C6B"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17984945" w14:textId="573BED4A" w:rsidR="00FC3918" w:rsidRDefault="00FC3918" w:rsidP="00E84E2F">
      <w:pPr>
        <w:spacing w:after="0" w:line="480" w:lineRule="auto"/>
        <w:outlineLvl w:val="2"/>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Arguments over terms, especially the use of identity and person-first language, identity-first language, such as autistic person or person with autism, encapsulate more profound arguments over autonomy and respect. Being in the neurodiversity movement, many of them choose identity-first language to demonstrate that autism is a part of identity (Stenning &amp; Rosqvist, 2021). ICD-11 reclassification, e.g., the notion of subtypes combined into a single spectrum, has practical and sociocultural impacts. According to McLennan et al. (2025)</w:t>
      </w:r>
      <w:r w:rsidR="00112CD2"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redefining autism impacts not only the limits of diagnosis but also the identity politics since a person might lose the labels that applied to him or her</w:t>
      </w:r>
      <w:r w:rsidR="00BB2E55" w:rsidRPr="00E84E2F">
        <w:rPr>
          <w:rFonts w:ascii="Arial" w:eastAsia="Times New Roman" w:hAnsi="Arial" w:cs="Arial"/>
          <w:kern w:val="0"/>
          <w:sz w:val="22"/>
          <w:szCs w:val="22"/>
          <w14:ligatures w14:val="none"/>
        </w:rPr>
        <w:t>.</w:t>
      </w:r>
      <w:r w:rsidRPr="00E84E2F">
        <w:rPr>
          <w:rFonts w:ascii="Arial" w:eastAsia="Times New Roman" w:hAnsi="Arial" w:cs="Arial"/>
          <w:kern w:val="0"/>
          <w:sz w:val="22"/>
          <w:szCs w:val="22"/>
          <w14:ligatures w14:val="none"/>
        </w:rPr>
        <w:t xml:space="preserve"> Simultaneously, broad diagnostic categories can potentially broaden the availability of support services, but they can also create the risk of over-</w:t>
      </w:r>
      <w:proofErr w:type="spellStart"/>
      <w:r w:rsidRPr="00E84E2F">
        <w:rPr>
          <w:rFonts w:ascii="Arial" w:eastAsia="Times New Roman" w:hAnsi="Arial" w:cs="Arial"/>
          <w:kern w:val="0"/>
          <w:sz w:val="22"/>
          <w:szCs w:val="22"/>
          <w14:ligatures w14:val="none"/>
        </w:rPr>
        <w:t>pathologising</w:t>
      </w:r>
      <w:proofErr w:type="spellEnd"/>
      <w:r w:rsidRPr="00E84E2F">
        <w:rPr>
          <w:rFonts w:ascii="Arial" w:eastAsia="Times New Roman" w:hAnsi="Arial" w:cs="Arial"/>
          <w:kern w:val="0"/>
          <w:sz w:val="22"/>
          <w:szCs w:val="22"/>
          <w14:ligatures w14:val="none"/>
        </w:rPr>
        <w:t xml:space="preserve"> members of a neurodivergent, as opposed to a clinically impaired, person. These problems are exacerbated by </w:t>
      </w:r>
      <w:proofErr w:type="gramStart"/>
      <w:r w:rsidRPr="00E84E2F">
        <w:rPr>
          <w:rFonts w:ascii="Arial" w:eastAsia="Times New Roman" w:hAnsi="Arial" w:cs="Arial"/>
          <w:kern w:val="0"/>
          <w:sz w:val="22"/>
          <w:szCs w:val="22"/>
          <w14:ligatures w14:val="none"/>
        </w:rPr>
        <w:t>the intersectional</w:t>
      </w:r>
      <w:proofErr w:type="gramEnd"/>
      <w:r w:rsidRPr="00E84E2F">
        <w:rPr>
          <w:rFonts w:ascii="Arial" w:eastAsia="Times New Roman" w:hAnsi="Arial" w:cs="Arial"/>
          <w:kern w:val="0"/>
          <w:sz w:val="22"/>
          <w:szCs w:val="22"/>
          <w14:ligatures w14:val="none"/>
        </w:rPr>
        <w:t xml:space="preserve"> factors: gender, ethnicity, and socioeconomic backgrounds. They highlight the fact that autistic individuals in marginalized populations tend to have a higher number of forces that hinder their recognition and support (Pellicano &amp; den Houting, 2022), creating the issue of how reclassification may be combined with existing structural inequities.</w:t>
      </w:r>
    </w:p>
    <w:p w14:paraId="247C3167" w14:textId="77777777" w:rsidR="005138CB" w:rsidRDefault="005138CB" w:rsidP="00E84E2F">
      <w:pPr>
        <w:spacing w:after="0" w:line="480" w:lineRule="auto"/>
        <w:outlineLvl w:val="2"/>
        <w:rPr>
          <w:rFonts w:ascii="Arial" w:eastAsia="Times New Roman" w:hAnsi="Arial" w:cs="Arial"/>
          <w:kern w:val="0"/>
          <w:sz w:val="22"/>
          <w:szCs w:val="22"/>
          <w14:ligatures w14:val="none"/>
        </w:rPr>
      </w:pPr>
    </w:p>
    <w:p w14:paraId="0667F2C3" w14:textId="77777777" w:rsidR="005138CB" w:rsidRDefault="005138CB" w:rsidP="00E84E2F">
      <w:pPr>
        <w:spacing w:after="0" w:line="480" w:lineRule="auto"/>
        <w:outlineLvl w:val="2"/>
        <w:rPr>
          <w:rFonts w:ascii="Arial" w:eastAsia="Times New Roman" w:hAnsi="Arial" w:cs="Arial"/>
          <w:kern w:val="0"/>
          <w:sz w:val="22"/>
          <w:szCs w:val="22"/>
          <w14:ligatures w14:val="none"/>
        </w:rPr>
      </w:pPr>
    </w:p>
    <w:p w14:paraId="07FE57F1" w14:textId="77777777" w:rsidR="005138CB" w:rsidRDefault="005138CB" w:rsidP="00E84E2F">
      <w:pPr>
        <w:spacing w:after="0" w:line="480" w:lineRule="auto"/>
        <w:outlineLvl w:val="2"/>
        <w:rPr>
          <w:rFonts w:ascii="Arial" w:eastAsia="Times New Roman" w:hAnsi="Arial" w:cs="Arial"/>
          <w:kern w:val="0"/>
          <w:sz w:val="22"/>
          <w:szCs w:val="22"/>
          <w14:ligatures w14:val="none"/>
        </w:rPr>
      </w:pPr>
    </w:p>
    <w:p w14:paraId="33357DC4" w14:textId="77777777" w:rsidR="005138CB" w:rsidRPr="00E84E2F" w:rsidRDefault="005138CB" w:rsidP="00E84E2F">
      <w:pPr>
        <w:spacing w:after="0" w:line="480" w:lineRule="auto"/>
        <w:outlineLvl w:val="2"/>
        <w:rPr>
          <w:rFonts w:ascii="Arial" w:eastAsia="Times New Roman" w:hAnsi="Arial" w:cs="Arial"/>
          <w:kern w:val="0"/>
          <w:sz w:val="22"/>
          <w:szCs w:val="22"/>
          <w14:ligatures w14:val="none"/>
        </w:rPr>
      </w:pPr>
    </w:p>
    <w:p w14:paraId="591A5AFF" w14:textId="77777777" w:rsidR="00E84E2F" w:rsidRPr="00E84E2F" w:rsidRDefault="00E84E2F" w:rsidP="00E84E2F">
      <w:pPr>
        <w:spacing w:after="0" w:line="480" w:lineRule="auto"/>
        <w:outlineLvl w:val="2"/>
        <w:rPr>
          <w:rFonts w:ascii="Arial" w:eastAsia="Times New Roman" w:hAnsi="Arial" w:cs="Arial"/>
          <w:kern w:val="0"/>
          <w:sz w:val="22"/>
          <w:szCs w:val="22"/>
          <w14:ligatures w14:val="none"/>
        </w:rPr>
      </w:pPr>
    </w:p>
    <w:p w14:paraId="1839DC6A" w14:textId="7E47E8F1" w:rsidR="00497568" w:rsidRPr="00E84E2F" w:rsidRDefault="00497568" w:rsidP="00930627">
      <w:pPr>
        <w:spacing w:after="0" w:line="480" w:lineRule="auto"/>
        <w:outlineLvl w:val="2"/>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4.3 Impact on Practice and Policy</w:t>
      </w:r>
    </w:p>
    <w:p w14:paraId="25506467" w14:textId="77777777" w:rsidR="00E84E2F" w:rsidRPr="00E84E2F" w:rsidRDefault="00E84E2F" w:rsidP="00930627">
      <w:pPr>
        <w:spacing w:after="0" w:line="480" w:lineRule="auto"/>
        <w:outlineLvl w:val="2"/>
        <w:rPr>
          <w:rFonts w:ascii="Arial" w:eastAsia="Times New Roman" w:hAnsi="Arial" w:cs="Arial"/>
          <w:b/>
          <w:bCs/>
          <w:kern w:val="0"/>
          <w:sz w:val="22"/>
          <w:szCs w:val="22"/>
          <w14:ligatures w14:val="none"/>
        </w:rPr>
      </w:pPr>
    </w:p>
    <w:p w14:paraId="4D0407CE" w14:textId="2592066F" w:rsidR="00FC3918" w:rsidRDefault="00FC3918" w:rsidP="00E84E2F">
      <w:pPr>
        <w:spacing w:after="0" w:line="480" w:lineRule="auto"/>
        <w:outlineLvl w:val="1"/>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These arguments are of importance to practice and policy in the UK and anywhere across the world. Neurodiversity advocacy has been used in supporting inclusive education programs, anti-discrimination laws, and stigma-reduction programs on health awareness. In the UK, notions of neurodiversity are more visible in the policies that focus on reasonable adjustments, inclusive education, and person-focused planning. However, the further application of deficit-based diagnostic systems in ICD-11 influences both access to services and clinical priorities, as well as research funding. Stenning and Rosqvist (2021) state that neurodiversity studies require redirection to participatory and co-produced approaches that are more interested in giving autistic voices a wonderful shot in policymaking. The dilemma currently is seen worldwide to be between systems of clinical classification, which are required to aid in consistent diagnosis and resource distribution, and the current changes to the social perception of autism as cognitive diversity. Until a definitive stand on the issue is reached, policymakers must strike a balance between the desire to have clarity in the diagnosis and upholding the moral imperative to allow neurodivergent identity to exist and ensure true inclusiveness.</w:t>
      </w:r>
    </w:p>
    <w:p w14:paraId="2F6EBC59"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16389AE8"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28C7CE11"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6D67F4AE"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7795673C" w14:textId="77777777" w:rsidR="005138CB" w:rsidRPr="00E84E2F" w:rsidRDefault="005138CB" w:rsidP="00E84E2F">
      <w:pPr>
        <w:spacing w:after="0" w:line="480" w:lineRule="auto"/>
        <w:outlineLvl w:val="1"/>
        <w:rPr>
          <w:rFonts w:ascii="Arial" w:eastAsia="Times New Roman" w:hAnsi="Arial" w:cs="Arial"/>
          <w:kern w:val="0"/>
          <w:sz w:val="22"/>
          <w:szCs w:val="22"/>
          <w14:ligatures w14:val="none"/>
        </w:rPr>
      </w:pPr>
    </w:p>
    <w:p w14:paraId="14415B1E"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0DC6A933"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0BF841BE"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427985B0"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6606A299"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555C8774" w14:textId="3BC08969" w:rsidR="00497568" w:rsidRPr="00E84E2F" w:rsidRDefault="00497568" w:rsidP="00930627">
      <w:pPr>
        <w:spacing w:after="0" w:line="480" w:lineRule="auto"/>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5. Recommendations</w:t>
      </w:r>
    </w:p>
    <w:p w14:paraId="2A5AC586" w14:textId="77777777" w:rsidR="00E84E2F" w:rsidRPr="00E84E2F" w:rsidRDefault="00E84E2F" w:rsidP="00930627">
      <w:pPr>
        <w:spacing w:after="0" w:line="480" w:lineRule="auto"/>
        <w:jc w:val="center"/>
        <w:outlineLvl w:val="1"/>
        <w:rPr>
          <w:rFonts w:ascii="Arial" w:eastAsia="Times New Roman" w:hAnsi="Arial" w:cs="Arial"/>
          <w:b/>
          <w:bCs/>
          <w:kern w:val="0"/>
          <w:sz w:val="22"/>
          <w:szCs w:val="22"/>
          <w14:ligatures w14:val="none"/>
        </w:rPr>
      </w:pPr>
    </w:p>
    <w:p w14:paraId="3304804A" w14:textId="2FF9D1AD" w:rsidR="00FC3918" w:rsidRDefault="00FC3918" w:rsidP="00E84E2F">
      <w:pPr>
        <w:spacing w:after="0" w:line="480" w:lineRule="auto"/>
        <w:outlineLvl w:val="1"/>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The changes to the ASD classification and support in the future may include the incorporation of the aspects of the neurodiversity paradigm into the ICD-11, such as the language that acknowledges strengths along with functional variances. These amendments would ensure that clinical frameworks would align with the self-advocacy of autism and suggest more balanced forms of neurodiversity. Multidisciplinary, developmentally informed, and </w:t>
      </w:r>
      <w:proofErr w:type="gramStart"/>
      <w:r w:rsidRPr="00E84E2F">
        <w:rPr>
          <w:rFonts w:ascii="Arial" w:eastAsia="Times New Roman" w:hAnsi="Arial" w:cs="Arial"/>
          <w:kern w:val="0"/>
          <w:sz w:val="22"/>
          <w:szCs w:val="22"/>
          <w14:ligatures w14:val="none"/>
        </w:rPr>
        <w:t>culturally-sensitive</w:t>
      </w:r>
      <w:proofErr w:type="gramEnd"/>
      <w:r w:rsidRPr="00E84E2F">
        <w:rPr>
          <w:rFonts w:ascii="Arial" w:eastAsia="Times New Roman" w:hAnsi="Arial" w:cs="Arial"/>
          <w:kern w:val="0"/>
          <w:sz w:val="22"/>
          <w:szCs w:val="22"/>
          <w14:ligatures w14:val="none"/>
        </w:rPr>
        <w:t xml:space="preserve"> assessment should be embarked on as the most important asset mechanism of measuring diagnostic practices </w:t>
      </w:r>
      <w:proofErr w:type="gramStart"/>
      <w:r w:rsidRPr="00E84E2F">
        <w:rPr>
          <w:rFonts w:ascii="Arial" w:eastAsia="Times New Roman" w:hAnsi="Arial" w:cs="Arial"/>
          <w:kern w:val="0"/>
          <w:sz w:val="22"/>
          <w:szCs w:val="22"/>
          <w14:ligatures w14:val="none"/>
        </w:rPr>
        <w:t>in order to</w:t>
      </w:r>
      <w:proofErr w:type="gramEnd"/>
      <w:r w:rsidRPr="00E84E2F">
        <w:rPr>
          <w:rFonts w:ascii="Arial" w:eastAsia="Times New Roman" w:hAnsi="Arial" w:cs="Arial"/>
          <w:kern w:val="0"/>
          <w:sz w:val="22"/>
          <w:szCs w:val="22"/>
          <w14:ligatures w14:val="none"/>
        </w:rPr>
        <w:t xml:space="preserve"> </w:t>
      </w:r>
      <w:proofErr w:type="spellStart"/>
      <w:r w:rsidRPr="00E84E2F">
        <w:rPr>
          <w:rFonts w:ascii="Arial" w:eastAsia="Times New Roman" w:hAnsi="Arial" w:cs="Arial"/>
          <w:kern w:val="0"/>
          <w:sz w:val="22"/>
          <w:szCs w:val="22"/>
          <w14:ligatures w14:val="none"/>
        </w:rPr>
        <w:t>minimise</w:t>
      </w:r>
      <w:proofErr w:type="spellEnd"/>
      <w:r w:rsidRPr="00E84E2F">
        <w:rPr>
          <w:rFonts w:ascii="Arial" w:eastAsia="Times New Roman" w:hAnsi="Arial" w:cs="Arial"/>
          <w:kern w:val="0"/>
          <w:sz w:val="22"/>
          <w:szCs w:val="22"/>
          <w14:ligatures w14:val="none"/>
        </w:rPr>
        <w:t xml:space="preserve"> the inequality in the recognition and service access. As per the intervention, person-</w:t>
      </w:r>
      <w:proofErr w:type="spellStart"/>
      <w:r w:rsidRPr="00E84E2F">
        <w:rPr>
          <w:rFonts w:ascii="Arial" w:eastAsia="Times New Roman" w:hAnsi="Arial" w:cs="Arial"/>
          <w:kern w:val="0"/>
          <w:sz w:val="22"/>
          <w:szCs w:val="22"/>
          <w14:ligatures w14:val="none"/>
        </w:rPr>
        <w:t>centred</w:t>
      </w:r>
      <w:proofErr w:type="spellEnd"/>
      <w:r w:rsidRPr="00E84E2F">
        <w:rPr>
          <w:rFonts w:ascii="Arial" w:eastAsia="Times New Roman" w:hAnsi="Arial" w:cs="Arial"/>
          <w:kern w:val="0"/>
          <w:sz w:val="22"/>
          <w:szCs w:val="22"/>
          <w14:ligatures w14:val="none"/>
        </w:rPr>
        <w:t xml:space="preserve"> and adaptable models that will embrace the autistic views are necessary. According to Fletcher-Watson et al. (2019), participatory models reinforce the relevance and ethical presence of autism research and services, which implies that autistic persons should be meaningfully included in decisions that affect their care. Lastly, policy agendas ought to increase long-term policy support in education, employment, and community inclusion to facilitate the empowerment of autistic people throughout </w:t>
      </w:r>
      <w:proofErr w:type="gramStart"/>
      <w:r w:rsidRPr="00E84E2F">
        <w:rPr>
          <w:rFonts w:ascii="Arial" w:eastAsia="Times New Roman" w:hAnsi="Arial" w:cs="Arial"/>
          <w:kern w:val="0"/>
          <w:sz w:val="22"/>
          <w:szCs w:val="22"/>
          <w14:ligatures w14:val="none"/>
        </w:rPr>
        <w:t>the</w:t>
      </w:r>
      <w:proofErr w:type="gramEnd"/>
      <w:r w:rsidRPr="00E84E2F">
        <w:rPr>
          <w:rFonts w:ascii="Arial" w:eastAsia="Times New Roman" w:hAnsi="Arial" w:cs="Arial"/>
          <w:kern w:val="0"/>
          <w:sz w:val="22"/>
          <w:szCs w:val="22"/>
          <w14:ligatures w14:val="none"/>
        </w:rPr>
        <w:t xml:space="preserve"> lifespan and not just when they are in the early intervention or clinical treatment period.</w:t>
      </w:r>
    </w:p>
    <w:p w14:paraId="3D457722"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47A2A5B5"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5343907D"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569F3EB5" w14:textId="77777777" w:rsidR="005138CB" w:rsidRDefault="005138CB" w:rsidP="00E84E2F">
      <w:pPr>
        <w:spacing w:after="0" w:line="480" w:lineRule="auto"/>
        <w:outlineLvl w:val="1"/>
        <w:rPr>
          <w:rFonts w:ascii="Arial" w:eastAsia="Times New Roman" w:hAnsi="Arial" w:cs="Arial"/>
          <w:kern w:val="0"/>
          <w:sz w:val="22"/>
          <w:szCs w:val="22"/>
          <w14:ligatures w14:val="none"/>
        </w:rPr>
      </w:pPr>
    </w:p>
    <w:p w14:paraId="3D361E59" w14:textId="77777777" w:rsidR="005138CB" w:rsidRPr="00E84E2F" w:rsidRDefault="005138CB" w:rsidP="00E84E2F">
      <w:pPr>
        <w:spacing w:after="0" w:line="480" w:lineRule="auto"/>
        <w:outlineLvl w:val="1"/>
        <w:rPr>
          <w:rFonts w:ascii="Arial" w:eastAsia="Times New Roman" w:hAnsi="Arial" w:cs="Arial"/>
          <w:kern w:val="0"/>
          <w:sz w:val="22"/>
          <w:szCs w:val="22"/>
          <w14:ligatures w14:val="none"/>
        </w:rPr>
      </w:pPr>
    </w:p>
    <w:p w14:paraId="70E1EA49"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019D74F5"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620CEB1A"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4C9599C1"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6767CFEA" w14:textId="77777777" w:rsidR="00E84E2F" w:rsidRPr="00E84E2F" w:rsidRDefault="00E84E2F" w:rsidP="00E84E2F">
      <w:pPr>
        <w:spacing w:after="0" w:line="480" w:lineRule="auto"/>
        <w:outlineLvl w:val="1"/>
        <w:rPr>
          <w:rFonts w:ascii="Arial" w:eastAsia="Times New Roman" w:hAnsi="Arial" w:cs="Arial"/>
          <w:kern w:val="0"/>
          <w:sz w:val="22"/>
          <w:szCs w:val="22"/>
          <w14:ligatures w14:val="none"/>
        </w:rPr>
      </w:pPr>
    </w:p>
    <w:p w14:paraId="6FE6AE2D" w14:textId="64644A76" w:rsidR="004E73C9" w:rsidRPr="00E84E2F" w:rsidRDefault="004E73C9" w:rsidP="00930627">
      <w:pPr>
        <w:spacing w:after="0" w:line="480" w:lineRule="auto"/>
        <w:jc w:val="center"/>
        <w:outlineLvl w:val="1"/>
        <w:rPr>
          <w:rFonts w:ascii="Arial" w:eastAsia="Times New Roman" w:hAnsi="Arial" w:cs="Arial"/>
          <w:b/>
          <w:bCs/>
          <w:kern w:val="0"/>
          <w:sz w:val="22"/>
          <w:szCs w:val="22"/>
          <w14:ligatures w14:val="none"/>
        </w:rPr>
      </w:pPr>
      <w:r w:rsidRPr="00E84E2F">
        <w:rPr>
          <w:rFonts w:ascii="Arial" w:eastAsia="Times New Roman" w:hAnsi="Arial" w:cs="Arial"/>
          <w:b/>
          <w:bCs/>
          <w:kern w:val="0"/>
          <w:sz w:val="22"/>
          <w:szCs w:val="22"/>
          <w14:ligatures w14:val="none"/>
        </w:rPr>
        <w:lastRenderedPageBreak/>
        <w:t>6. Conclusion</w:t>
      </w:r>
    </w:p>
    <w:p w14:paraId="5F944942" w14:textId="77777777" w:rsidR="00E84E2F" w:rsidRPr="00E84E2F" w:rsidRDefault="00E84E2F" w:rsidP="00930627">
      <w:pPr>
        <w:spacing w:after="0" w:line="480" w:lineRule="auto"/>
        <w:jc w:val="center"/>
        <w:outlineLvl w:val="1"/>
        <w:rPr>
          <w:rFonts w:ascii="Arial" w:eastAsia="Times New Roman" w:hAnsi="Arial" w:cs="Arial"/>
          <w:b/>
          <w:bCs/>
          <w:kern w:val="0"/>
          <w:sz w:val="22"/>
          <w:szCs w:val="22"/>
          <w14:ligatures w14:val="none"/>
        </w:rPr>
      </w:pPr>
    </w:p>
    <w:p w14:paraId="3E18D104" w14:textId="5388E37B" w:rsidR="00FC3918" w:rsidRPr="00E84E2F" w:rsidRDefault="00FC3918" w:rsidP="00E84E2F">
      <w:pPr>
        <w:spacing w:after="0" w:line="480" w:lineRule="auto"/>
        <w:rPr>
          <w:rFonts w:ascii="Arial" w:eastAsia="Times New Roman" w:hAnsi="Arial" w:cs="Arial"/>
          <w:kern w:val="0"/>
          <w:sz w:val="22"/>
          <w:szCs w:val="22"/>
          <w14:ligatures w14:val="none"/>
        </w:rPr>
      </w:pPr>
      <w:r w:rsidRPr="00E84E2F">
        <w:rPr>
          <w:rFonts w:ascii="Arial" w:eastAsia="Times New Roman" w:hAnsi="Arial" w:cs="Arial"/>
          <w:kern w:val="0"/>
          <w:sz w:val="22"/>
          <w:szCs w:val="22"/>
          <w14:ligatures w14:val="none"/>
        </w:rPr>
        <w:t xml:space="preserve">In general, the ICD-11 variant of autism spectrum disorder is an important step in the direction of the consistency of diagnosis in its entire spectrum. However, it operates within a predominantly </w:t>
      </w:r>
      <w:proofErr w:type="spellStart"/>
      <w:r w:rsidRPr="00E84E2F">
        <w:rPr>
          <w:rFonts w:ascii="Arial" w:eastAsia="Times New Roman" w:hAnsi="Arial" w:cs="Arial"/>
          <w:kern w:val="0"/>
          <w:sz w:val="22"/>
          <w:szCs w:val="22"/>
          <w14:ligatures w14:val="none"/>
        </w:rPr>
        <w:t>medicalised</w:t>
      </w:r>
      <w:proofErr w:type="spellEnd"/>
      <w:r w:rsidRPr="00E84E2F">
        <w:rPr>
          <w:rFonts w:ascii="Arial" w:eastAsia="Times New Roman" w:hAnsi="Arial" w:cs="Arial"/>
          <w:kern w:val="0"/>
          <w:sz w:val="22"/>
          <w:szCs w:val="22"/>
          <w14:ligatures w14:val="none"/>
        </w:rPr>
        <w:t xml:space="preserve"> paradigm. Treatment and rehabilitation practice review reveals a slow yet significant change to more person-</w:t>
      </w:r>
      <w:proofErr w:type="spellStart"/>
      <w:r w:rsidRPr="00E84E2F">
        <w:rPr>
          <w:rFonts w:ascii="Arial" w:eastAsia="Times New Roman" w:hAnsi="Arial" w:cs="Arial"/>
          <w:kern w:val="0"/>
          <w:sz w:val="22"/>
          <w:szCs w:val="22"/>
          <w14:ligatures w14:val="none"/>
        </w:rPr>
        <w:t>centred</w:t>
      </w:r>
      <w:proofErr w:type="spellEnd"/>
      <w:r w:rsidRPr="00E84E2F">
        <w:rPr>
          <w:rFonts w:ascii="Arial" w:eastAsia="Times New Roman" w:hAnsi="Arial" w:cs="Arial"/>
          <w:kern w:val="0"/>
          <w:sz w:val="22"/>
          <w:szCs w:val="22"/>
          <w14:ligatures w14:val="none"/>
        </w:rPr>
        <w:t xml:space="preserve"> practice, which emphasizes functional improvement and participation and inclusion over efforts to cure autism. Simultaneously, the controversies arising in the onset of the neurodiversity movement draw attention to incompatibilities between the clinical vocabulary and the autistic self-advocacy, necessitating its redefinitions based on a more </w:t>
      </w:r>
      <w:proofErr w:type="spellStart"/>
      <w:r w:rsidRPr="00E84E2F">
        <w:rPr>
          <w:rFonts w:ascii="Arial" w:eastAsia="Times New Roman" w:hAnsi="Arial" w:cs="Arial"/>
          <w:kern w:val="0"/>
          <w:sz w:val="22"/>
          <w:szCs w:val="22"/>
          <w14:ligatures w14:val="none"/>
        </w:rPr>
        <w:t>favourable</w:t>
      </w:r>
      <w:proofErr w:type="spellEnd"/>
      <w:r w:rsidRPr="00E84E2F">
        <w:rPr>
          <w:rFonts w:ascii="Arial" w:eastAsia="Times New Roman" w:hAnsi="Arial" w:cs="Arial"/>
          <w:kern w:val="0"/>
          <w:sz w:val="22"/>
          <w:szCs w:val="22"/>
          <w14:ligatures w14:val="none"/>
        </w:rPr>
        <w:t xml:space="preserve"> picture of the strengths, identity, and lived experience. These debates highlight the necessity of future studies that would balance clinical accuracy with ethical, culturally responsive, and participatory interventions. It will be necessary to align the diagnostic systems, interventions, and policies to scientific evidence, as well as neurodivergent viewpoints, to enhance support, decrease disparities, and promote meaningful inclusion at all life levels.</w:t>
      </w:r>
    </w:p>
    <w:p w14:paraId="4A532658" w14:textId="77777777" w:rsidR="00BB2E55" w:rsidRPr="00E84E2F" w:rsidRDefault="00BB2E55">
      <w:pPr>
        <w:rPr>
          <w:rFonts w:ascii="Arial" w:hAnsi="Arial" w:cs="Arial"/>
          <w:b/>
          <w:bCs/>
          <w:sz w:val="22"/>
          <w:szCs w:val="22"/>
        </w:rPr>
      </w:pPr>
      <w:r w:rsidRPr="00E84E2F">
        <w:rPr>
          <w:rFonts w:ascii="Arial" w:hAnsi="Arial" w:cs="Arial"/>
          <w:b/>
          <w:bCs/>
          <w:sz w:val="22"/>
          <w:szCs w:val="22"/>
        </w:rPr>
        <w:br w:type="page"/>
      </w:r>
    </w:p>
    <w:p w14:paraId="05853B30" w14:textId="6F521072" w:rsidR="00DA1496" w:rsidRPr="00E84E2F" w:rsidRDefault="00E84E2F" w:rsidP="00930627">
      <w:pPr>
        <w:spacing w:after="0" w:line="480" w:lineRule="auto"/>
        <w:ind w:firstLine="720"/>
        <w:jc w:val="center"/>
        <w:rPr>
          <w:rFonts w:ascii="Arial" w:hAnsi="Arial" w:cs="Arial"/>
          <w:b/>
          <w:bCs/>
          <w:sz w:val="22"/>
          <w:szCs w:val="22"/>
        </w:rPr>
      </w:pPr>
      <w:r w:rsidRPr="00E84E2F">
        <w:rPr>
          <w:rFonts w:ascii="Arial" w:hAnsi="Arial" w:cs="Arial"/>
          <w:b/>
          <w:bCs/>
          <w:sz w:val="22"/>
          <w:szCs w:val="22"/>
        </w:rPr>
        <w:lastRenderedPageBreak/>
        <w:t>References</w:t>
      </w:r>
    </w:p>
    <w:p w14:paraId="57FBE0E7" w14:textId="77777777" w:rsidR="00E84E2F" w:rsidRPr="00E84E2F" w:rsidRDefault="00E84E2F" w:rsidP="00930627">
      <w:pPr>
        <w:spacing w:after="0" w:line="480" w:lineRule="auto"/>
        <w:ind w:firstLine="720"/>
        <w:jc w:val="center"/>
        <w:rPr>
          <w:rFonts w:ascii="Arial" w:hAnsi="Arial" w:cs="Arial"/>
          <w:b/>
          <w:bCs/>
          <w:sz w:val="22"/>
          <w:szCs w:val="22"/>
        </w:rPr>
      </w:pPr>
    </w:p>
    <w:p w14:paraId="479E24C8" w14:textId="77777777" w:rsidR="00930627" w:rsidRPr="00E84E2F" w:rsidRDefault="00930627" w:rsidP="00930627">
      <w:pPr>
        <w:spacing w:after="0" w:line="480" w:lineRule="auto"/>
        <w:ind w:left="720" w:hanging="720"/>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American Psychiatric Association (2020). </w:t>
      </w:r>
      <w:r w:rsidRPr="00E84E2F">
        <w:rPr>
          <w:rFonts w:ascii="Arial" w:hAnsi="Arial" w:cs="Arial"/>
          <w:i/>
          <w:iCs/>
          <w:color w:val="222222"/>
          <w:sz w:val="22"/>
          <w:szCs w:val="22"/>
          <w:shd w:val="clear" w:color="auto" w:fill="FFFFFF"/>
        </w:rPr>
        <w:t>The American Psychiatric Association practice guideline for the treatment of patients with schizophrenia</w:t>
      </w:r>
      <w:r w:rsidRPr="00E84E2F">
        <w:rPr>
          <w:rFonts w:ascii="Arial" w:hAnsi="Arial" w:cs="Arial"/>
          <w:color w:val="222222"/>
          <w:sz w:val="22"/>
          <w:szCs w:val="22"/>
          <w:shd w:val="clear" w:color="auto" w:fill="FFFFFF"/>
        </w:rPr>
        <w:t>. American Psychiatric Association Publishing.</w:t>
      </w:r>
      <w:r w:rsidRPr="00E84E2F">
        <w:rPr>
          <w:rFonts w:ascii="Arial" w:hAnsi="Arial" w:cs="Arial"/>
          <w:sz w:val="22"/>
          <w:szCs w:val="22"/>
        </w:rPr>
        <w:t xml:space="preserve"> </w:t>
      </w:r>
      <w:hyperlink r:id="rId7" w:history="1">
        <w:r w:rsidRPr="00E84E2F">
          <w:rPr>
            <w:rStyle w:val="Hyperlink"/>
            <w:rFonts w:ascii="Arial" w:hAnsi="Arial" w:cs="Arial"/>
            <w:sz w:val="22"/>
            <w:szCs w:val="22"/>
            <w:shd w:val="clear" w:color="auto" w:fill="FFFFFF"/>
          </w:rPr>
          <w:t>https://shorturl.at/ZKDeX</w:t>
        </w:r>
      </w:hyperlink>
    </w:p>
    <w:p w14:paraId="18F5FAA7" w14:textId="77777777" w:rsidR="00930627" w:rsidRPr="00E84E2F" w:rsidRDefault="00930627" w:rsidP="00930627">
      <w:pPr>
        <w:spacing w:after="0" w:line="480" w:lineRule="auto"/>
        <w:ind w:left="720" w:hanging="720"/>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 xml:space="preserve">Cruz, S., Zubizarreta, S.C.P., Costa, A.D., Araújo, R., Martinho, J., </w:t>
      </w:r>
      <w:proofErr w:type="spellStart"/>
      <w:r w:rsidRPr="00E84E2F">
        <w:rPr>
          <w:rFonts w:ascii="Arial" w:hAnsi="Arial" w:cs="Arial"/>
          <w:color w:val="222222"/>
          <w:sz w:val="22"/>
          <w:szCs w:val="22"/>
          <w:shd w:val="clear" w:color="auto" w:fill="FFFFFF"/>
        </w:rPr>
        <w:t>Tubío-Fungueiriño</w:t>
      </w:r>
      <w:proofErr w:type="spellEnd"/>
      <w:r w:rsidRPr="00E84E2F">
        <w:rPr>
          <w:rFonts w:ascii="Arial" w:hAnsi="Arial" w:cs="Arial"/>
          <w:color w:val="222222"/>
          <w:sz w:val="22"/>
          <w:szCs w:val="22"/>
          <w:shd w:val="clear" w:color="auto" w:fill="FFFFFF"/>
        </w:rPr>
        <w:t>, M., Sampaio, A., Cruz, R., Carracedo, A., &amp; Fernández-Prieto, M. (2025). Is there a bias towards males in the diagnosis of autism? A systematic review and meta-analysis. </w:t>
      </w:r>
      <w:r w:rsidRPr="00E84E2F">
        <w:rPr>
          <w:rFonts w:ascii="Arial" w:hAnsi="Arial" w:cs="Arial"/>
          <w:i/>
          <w:iCs/>
          <w:color w:val="222222"/>
          <w:sz w:val="22"/>
          <w:szCs w:val="22"/>
          <w:shd w:val="clear" w:color="auto" w:fill="FFFFFF"/>
        </w:rPr>
        <w:t>Neuropsychology review</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35</w:t>
      </w:r>
      <w:r w:rsidRPr="00E84E2F">
        <w:rPr>
          <w:rFonts w:ascii="Arial" w:hAnsi="Arial" w:cs="Arial"/>
          <w:color w:val="222222"/>
          <w:sz w:val="22"/>
          <w:szCs w:val="22"/>
          <w:shd w:val="clear" w:color="auto" w:fill="FFFFFF"/>
        </w:rPr>
        <w:t>(1), pp.153–176.</w:t>
      </w:r>
      <w:r w:rsidRPr="00E84E2F">
        <w:rPr>
          <w:rFonts w:ascii="Arial" w:hAnsi="Arial" w:cs="Arial"/>
          <w:sz w:val="22"/>
          <w:szCs w:val="22"/>
        </w:rPr>
        <w:t xml:space="preserve"> </w:t>
      </w:r>
      <w:hyperlink r:id="rId8" w:history="1">
        <w:r w:rsidRPr="00E84E2F">
          <w:rPr>
            <w:rStyle w:val="Hyperlink"/>
            <w:rFonts w:ascii="Arial" w:hAnsi="Arial" w:cs="Arial"/>
            <w:sz w:val="22"/>
            <w:szCs w:val="22"/>
            <w:shd w:val="clear" w:color="auto" w:fill="FFFFFF"/>
          </w:rPr>
          <w:t>https://link.springer.com/content/pdf/10.1007/s11065-023-09630-2.pdf</w:t>
        </w:r>
      </w:hyperlink>
    </w:p>
    <w:p w14:paraId="2F9DA505" w14:textId="77777777" w:rsidR="00930627" w:rsidRPr="00E84E2F" w:rsidRDefault="00930627" w:rsidP="00930627">
      <w:pPr>
        <w:spacing w:after="0" w:line="480" w:lineRule="auto"/>
        <w:ind w:left="720" w:hanging="720"/>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 xml:space="preserve">Fletcher-Watson, S., Adams, J., Brook, K., Charman, T., Crane, L., Cusack, J., </w:t>
      </w:r>
      <w:proofErr w:type="spellStart"/>
      <w:r w:rsidRPr="00E84E2F">
        <w:rPr>
          <w:rFonts w:ascii="Arial" w:hAnsi="Arial" w:cs="Arial"/>
          <w:color w:val="222222"/>
          <w:sz w:val="22"/>
          <w:szCs w:val="22"/>
          <w:shd w:val="clear" w:color="auto" w:fill="FFFFFF"/>
        </w:rPr>
        <w:t>Leekam</w:t>
      </w:r>
      <w:proofErr w:type="spellEnd"/>
      <w:r w:rsidRPr="00E84E2F">
        <w:rPr>
          <w:rFonts w:ascii="Arial" w:hAnsi="Arial" w:cs="Arial"/>
          <w:color w:val="222222"/>
          <w:sz w:val="22"/>
          <w:szCs w:val="22"/>
          <w:shd w:val="clear" w:color="auto" w:fill="FFFFFF"/>
        </w:rPr>
        <w:t>, S., Milton, D., Parr, J.R. &amp; Pellicano, E. (2019). Making the future together: Shaping autism research through meaningful participation. </w:t>
      </w:r>
      <w:r w:rsidRPr="00E84E2F">
        <w:rPr>
          <w:rFonts w:ascii="Arial" w:hAnsi="Arial" w:cs="Arial"/>
          <w:i/>
          <w:iCs/>
          <w:color w:val="222222"/>
          <w:sz w:val="22"/>
          <w:szCs w:val="22"/>
          <w:shd w:val="clear" w:color="auto" w:fill="FFFFFF"/>
        </w:rPr>
        <w:t>Autism</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23</w:t>
      </w:r>
      <w:r w:rsidRPr="00E84E2F">
        <w:rPr>
          <w:rFonts w:ascii="Arial" w:hAnsi="Arial" w:cs="Arial"/>
          <w:color w:val="222222"/>
          <w:sz w:val="22"/>
          <w:szCs w:val="22"/>
          <w:shd w:val="clear" w:color="auto" w:fill="FFFFFF"/>
        </w:rPr>
        <w:t xml:space="preserve">(4), pp.943–953. </w:t>
      </w:r>
      <w:hyperlink r:id="rId9" w:history="1">
        <w:r w:rsidRPr="00E84E2F">
          <w:rPr>
            <w:rStyle w:val="Hyperlink"/>
            <w:rFonts w:ascii="Arial" w:hAnsi="Arial" w:cs="Arial"/>
            <w:sz w:val="22"/>
            <w:szCs w:val="22"/>
            <w:shd w:val="clear" w:color="auto" w:fill="FFFFFF"/>
          </w:rPr>
          <w:t>https://journals.sagepub.com/doi/pdf/10.1177/1362361318786721</w:t>
        </w:r>
      </w:hyperlink>
    </w:p>
    <w:p w14:paraId="4DD08E2D" w14:textId="77777777" w:rsidR="00930627" w:rsidRPr="00E84E2F" w:rsidRDefault="00930627" w:rsidP="00930627">
      <w:pPr>
        <w:spacing w:after="0" w:line="480" w:lineRule="auto"/>
        <w:ind w:left="720" w:hanging="720"/>
        <w:rPr>
          <w:rFonts w:ascii="Arial" w:eastAsia="Times New Roman" w:hAnsi="Arial" w:cs="Arial"/>
          <w:kern w:val="0"/>
          <w:sz w:val="22"/>
          <w:szCs w:val="22"/>
          <w14:ligatures w14:val="none"/>
        </w:rPr>
      </w:pPr>
      <w:r w:rsidRPr="00E84E2F">
        <w:rPr>
          <w:rFonts w:ascii="Arial" w:hAnsi="Arial" w:cs="Arial"/>
          <w:color w:val="222222"/>
          <w:sz w:val="22"/>
          <w:szCs w:val="22"/>
          <w:shd w:val="clear" w:color="auto" w:fill="FFFFFF"/>
        </w:rPr>
        <w:t>Greaves-Lord, K., Skuse, D. &amp; Mandy, W. (2022). Innovations of the ICD-11 in the field of autism spectrum disorder: a psychological approach. </w:t>
      </w:r>
      <w:r w:rsidRPr="00E84E2F">
        <w:rPr>
          <w:rFonts w:ascii="Arial" w:hAnsi="Arial" w:cs="Arial"/>
          <w:i/>
          <w:iCs/>
          <w:color w:val="222222"/>
          <w:sz w:val="22"/>
          <w:szCs w:val="22"/>
          <w:shd w:val="clear" w:color="auto" w:fill="FFFFFF"/>
        </w:rPr>
        <w:t>Clinical psychology in Europe</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4</w:t>
      </w:r>
      <w:r w:rsidRPr="00E84E2F">
        <w:rPr>
          <w:rFonts w:ascii="Arial" w:hAnsi="Arial" w:cs="Arial"/>
          <w:color w:val="222222"/>
          <w:sz w:val="22"/>
          <w:szCs w:val="22"/>
          <w:shd w:val="clear" w:color="auto" w:fill="FFFFFF"/>
        </w:rPr>
        <w:t xml:space="preserve">(Spec Issue), p.e10005. </w:t>
      </w:r>
      <w:hyperlink r:id="rId10" w:history="1">
        <w:r w:rsidRPr="00E84E2F">
          <w:rPr>
            <w:rFonts w:ascii="Arial" w:eastAsia="Times New Roman" w:hAnsi="Arial" w:cs="Arial"/>
            <w:color w:val="0000FF"/>
            <w:kern w:val="0"/>
            <w:sz w:val="22"/>
            <w:szCs w:val="22"/>
            <w:u w:val="single"/>
            <w14:ligatures w14:val="none"/>
          </w:rPr>
          <w:t>https://doi.org/10.32872/cpe.10005</w:t>
        </w:r>
      </w:hyperlink>
    </w:p>
    <w:p w14:paraId="54EB3AA0" w14:textId="77777777" w:rsidR="00930627" w:rsidRPr="00E84E2F" w:rsidRDefault="00930627" w:rsidP="00930627">
      <w:pPr>
        <w:spacing w:after="0" w:line="480" w:lineRule="auto"/>
        <w:ind w:left="720" w:hanging="720"/>
        <w:rPr>
          <w:rFonts w:ascii="Arial" w:eastAsia="Times New Roman" w:hAnsi="Arial" w:cs="Arial"/>
          <w:kern w:val="0"/>
          <w:sz w:val="22"/>
          <w:szCs w:val="22"/>
          <w14:ligatures w14:val="none"/>
        </w:rPr>
      </w:pPr>
      <w:r w:rsidRPr="00E84E2F">
        <w:rPr>
          <w:rFonts w:ascii="Arial" w:hAnsi="Arial" w:cs="Arial"/>
          <w:color w:val="222222"/>
          <w:sz w:val="22"/>
          <w:szCs w:val="22"/>
          <w:shd w:val="clear" w:color="auto" w:fill="FFFFFF"/>
        </w:rPr>
        <w:t>Kamp-Becker, I. (2024). Autism spectrum disorder in ICD-11—a critical reflection of its possible impact on clinical practice and research. </w:t>
      </w:r>
      <w:r w:rsidRPr="00E84E2F">
        <w:rPr>
          <w:rFonts w:ascii="Arial" w:hAnsi="Arial" w:cs="Arial"/>
          <w:i/>
          <w:iCs/>
          <w:color w:val="222222"/>
          <w:sz w:val="22"/>
          <w:szCs w:val="22"/>
          <w:shd w:val="clear" w:color="auto" w:fill="FFFFFF"/>
        </w:rPr>
        <w:t>Molecular Psychiatry</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29</w:t>
      </w:r>
      <w:r w:rsidRPr="00E84E2F">
        <w:rPr>
          <w:rFonts w:ascii="Arial" w:hAnsi="Arial" w:cs="Arial"/>
          <w:color w:val="222222"/>
          <w:sz w:val="22"/>
          <w:szCs w:val="22"/>
          <w:shd w:val="clear" w:color="auto" w:fill="FFFFFF"/>
        </w:rPr>
        <w:t>(3), pp.633–638</w:t>
      </w:r>
      <w:r w:rsidRPr="00E84E2F">
        <w:rPr>
          <w:rFonts w:ascii="Arial" w:eastAsia="Times New Roman" w:hAnsi="Arial" w:cs="Arial"/>
          <w:kern w:val="0"/>
          <w:sz w:val="22"/>
          <w:szCs w:val="22"/>
          <w14:ligatures w14:val="none"/>
        </w:rPr>
        <w:t xml:space="preserve">. </w:t>
      </w:r>
      <w:hyperlink r:id="rId11" w:history="1">
        <w:r w:rsidRPr="00E84E2F">
          <w:rPr>
            <w:rFonts w:ascii="Arial" w:eastAsia="Times New Roman" w:hAnsi="Arial" w:cs="Arial"/>
            <w:color w:val="0000FF"/>
            <w:kern w:val="0"/>
            <w:sz w:val="22"/>
            <w:szCs w:val="22"/>
            <w:u w:val="single"/>
            <w14:ligatures w14:val="none"/>
          </w:rPr>
          <w:t>https://doi.org/10.1038/s41380-023-02354-y</w:t>
        </w:r>
      </w:hyperlink>
    </w:p>
    <w:p w14:paraId="5F34E3A4" w14:textId="77777777" w:rsidR="00930627" w:rsidRPr="00E84E2F" w:rsidRDefault="00930627" w:rsidP="00930627">
      <w:pPr>
        <w:spacing w:after="0" w:line="480" w:lineRule="auto"/>
        <w:ind w:left="720" w:hanging="720"/>
        <w:outlineLvl w:val="2"/>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 xml:space="preserve">Lockwood Estrin, G., Milner, V., Spain, D., </w:t>
      </w:r>
      <w:proofErr w:type="spellStart"/>
      <w:r w:rsidRPr="00E84E2F">
        <w:rPr>
          <w:rFonts w:ascii="Arial" w:hAnsi="Arial" w:cs="Arial"/>
          <w:color w:val="222222"/>
          <w:sz w:val="22"/>
          <w:szCs w:val="22"/>
          <w:shd w:val="clear" w:color="auto" w:fill="FFFFFF"/>
        </w:rPr>
        <w:t>Happé</w:t>
      </w:r>
      <w:proofErr w:type="spellEnd"/>
      <w:r w:rsidRPr="00E84E2F">
        <w:rPr>
          <w:rFonts w:ascii="Arial" w:hAnsi="Arial" w:cs="Arial"/>
          <w:color w:val="222222"/>
          <w:sz w:val="22"/>
          <w:szCs w:val="22"/>
          <w:shd w:val="clear" w:color="auto" w:fill="FFFFFF"/>
        </w:rPr>
        <w:t>, F. &amp; Colvert, E. (2021). Barriers to autism spectrum disorder diagnosis for young women and girls: A systematic review. </w:t>
      </w:r>
      <w:r w:rsidRPr="00E84E2F">
        <w:rPr>
          <w:rFonts w:ascii="Arial" w:hAnsi="Arial" w:cs="Arial"/>
          <w:i/>
          <w:iCs/>
          <w:color w:val="222222"/>
          <w:sz w:val="22"/>
          <w:szCs w:val="22"/>
          <w:shd w:val="clear" w:color="auto" w:fill="FFFFFF"/>
        </w:rPr>
        <w:t>Review journal of autism and developmental disorders</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8</w:t>
      </w:r>
      <w:r w:rsidRPr="00E84E2F">
        <w:rPr>
          <w:rFonts w:ascii="Arial" w:hAnsi="Arial" w:cs="Arial"/>
          <w:color w:val="222222"/>
          <w:sz w:val="22"/>
          <w:szCs w:val="22"/>
          <w:shd w:val="clear" w:color="auto" w:fill="FFFFFF"/>
        </w:rPr>
        <w:t>(4), pp.454–470.</w:t>
      </w:r>
      <w:r w:rsidRPr="00E84E2F">
        <w:rPr>
          <w:rFonts w:ascii="Arial" w:hAnsi="Arial" w:cs="Arial"/>
          <w:sz w:val="22"/>
          <w:szCs w:val="22"/>
        </w:rPr>
        <w:t xml:space="preserve"> </w:t>
      </w:r>
      <w:hyperlink r:id="rId12" w:history="1">
        <w:r w:rsidRPr="00E84E2F">
          <w:rPr>
            <w:rStyle w:val="Hyperlink"/>
            <w:rFonts w:ascii="Arial" w:hAnsi="Arial" w:cs="Arial"/>
            <w:sz w:val="22"/>
            <w:szCs w:val="22"/>
            <w:shd w:val="clear" w:color="auto" w:fill="FFFFFF"/>
          </w:rPr>
          <w:t>https://link.springer.com/content/pdf/10.1007/s40489-020-00225-8.pdf</w:t>
        </w:r>
      </w:hyperlink>
    </w:p>
    <w:p w14:paraId="0B0DEA6A" w14:textId="77777777" w:rsidR="00930627" w:rsidRPr="00E84E2F" w:rsidRDefault="00930627" w:rsidP="00930627">
      <w:pPr>
        <w:spacing w:after="0" w:line="480" w:lineRule="auto"/>
        <w:ind w:left="720" w:hanging="720"/>
        <w:outlineLvl w:val="2"/>
        <w:rPr>
          <w:rFonts w:ascii="Arial" w:eastAsia="Times New Roman" w:hAnsi="Arial" w:cs="Arial"/>
          <w:kern w:val="0"/>
          <w:sz w:val="22"/>
          <w:szCs w:val="22"/>
          <w14:ligatures w14:val="none"/>
        </w:rPr>
      </w:pPr>
      <w:r w:rsidRPr="00E84E2F">
        <w:rPr>
          <w:rFonts w:ascii="Arial" w:hAnsi="Arial" w:cs="Arial"/>
          <w:color w:val="222222"/>
          <w:sz w:val="22"/>
          <w:szCs w:val="22"/>
          <w:shd w:val="clear" w:color="auto" w:fill="FFFFFF"/>
        </w:rPr>
        <w:t xml:space="preserve">Mazza, M., Pino, M.C., Vagnetti, R., </w:t>
      </w:r>
      <w:proofErr w:type="spellStart"/>
      <w:r w:rsidRPr="00E84E2F">
        <w:rPr>
          <w:rFonts w:ascii="Arial" w:hAnsi="Arial" w:cs="Arial"/>
          <w:color w:val="222222"/>
          <w:sz w:val="22"/>
          <w:szCs w:val="22"/>
          <w:shd w:val="clear" w:color="auto" w:fill="FFFFFF"/>
        </w:rPr>
        <w:t>Filocamo</w:t>
      </w:r>
      <w:proofErr w:type="spellEnd"/>
      <w:r w:rsidRPr="00E84E2F">
        <w:rPr>
          <w:rFonts w:ascii="Arial" w:hAnsi="Arial" w:cs="Arial"/>
          <w:color w:val="222222"/>
          <w:sz w:val="22"/>
          <w:szCs w:val="22"/>
          <w:shd w:val="clear" w:color="auto" w:fill="FFFFFF"/>
        </w:rPr>
        <w:t xml:space="preserve">, A., Attanasio, M., Calvarese, A. &amp; Valenti, M. (2021). Intensive intervention for adolescents with autism spectrum disorder: </w:t>
      </w:r>
      <w:r w:rsidRPr="00E84E2F">
        <w:rPr>
          <w:rFonts w:ascii="Arial" w:hAnsi="Arial" w:cs="Arial"/>
          <w:color w:val="222222"/>
          <w:sz w:val="22"/>
          <w:szCs w:val="22"/>
          <w:shd w:val="clear" w:color="auto" w:fill="FFFFFF"/>
        </w:rPr>
        <w:lastRenderedPageBreak/>
        <w:t>Comparison of three rehabilitation treatments. </w:t>
      </w:r>
      <w:r w:rsidRPr="00E84E2F">
        <w:rPr>
          <w:rFonts w:ascii="Arial" w:hAnsi="Arial" w:cs="Arial"/>
          <w:i/>
          <w:iCs/>
          <w:color w:val="222222"/>
          <w:sz w:val="22"/>
          <w:szCs w:val="22"/>
          <w:shd w:val="clear" w:color="auto" w:fill="FFFFFF"/>
        </w:rPr>
        <w:t>International journal of psychiatry in clinical practice</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25</w:t>
      </w:r>
      <w:r w:rsidRPr="00E84E2F">
        <w:rPr>
          <w:rFonts w:ascii="Arial" w:hAnsi="Arial" w:cs="Arial"/>
          <w:color w:val="222222"/>
          <w:sz w:val="22"/>
          <w:szCs w:val="22"/>
          <w:shd w:val="clear" w:color="auto" w:fill="FFFFFF"/>
        </w:rPr>
        <w:t>(1), pp.28–36.</w:t>
      </w:r>
      <w:r w:rsidRPr="00E84E2F">
        <w:rPr>
          <w:rFonts w:ascii="Arial" w:eastAsia="Times New Roman" w:hAnsi="Arial" w:cs="Arial"/>
          <w:b/>
          <w:bCs/>
          <w:kern w:val="0"/>
          <w:sz w:val="22"/>
          <w:szCs w:val="22"/>
          <w14:ligatures w14:val="none"/>
        </w:rPr>
        <w:t xml:space="preserve"> </w:t>
      </w:r>
      <w:hyperlink r:id="rId13" w:history="1">
        <w:r w:rsidRPr="00E84E2F">
          <w:rPr>
            <w:rStyle w:val="Hyperlink"/>
            <w:rFonts w:ascii="Arial" w:eastAsia="Times New Roman" w:hAnsi="Arial" w:cs="Arial"/>
            <w:kern w:val="0"/>
            <w:sz w:val="22"/>
            <w:szCs w:val="22"/>
            <w14:ligatures w14:val="none"/>
          </w:rPr>
          <w:t>https://doi.org/10.1080/13651501.2020.1800042</w:t>
        </w:r>
      </w:hyperlink>
    </w:p>
    <w:p w14:paraId="2FE6A433" w14:textId="77777777" w:rsidR="00930627" w:rsidRPr="00E84E2F" w:rsidRDefault="00930627" w:rsidP="00930627">
      <w:pPr>
        <w:spacing w:after="0" w:line="480" w:lineRule="auto"/>
        <w:ind w:left="720" w:hanging="720"/>
        <w:rPr>
          <w:rFonts w:ascii="Arial" w:eastAsia="Times New Roman" w:hAnsi="Arial" w:cs="Arial"/>
          <w:kern w:val="0"/>
          <w:sz w:val="22"/>
          <w:szCs w:val="22"/>
          <w14:ligatures w14:val="none"/>
        </w:rPr>
      </w:pPr>
      <w:r w:rsidRPr="00E84E2F">
        <w:rPr>
          <w:rFonts w:ascii="Arial" w:hAnsi="Arial" w:cs="Arial"/>
          <w:color w:val="222222"/>
          <w:sz w:val="22"/>
          <w:szCs w:val="22"/>
          <w:shd w:val="clear" w:color="auto" w:fill="FFFFFF"/>
        </w:rPr>
        <w:t>Rodriguez, K.A., Foreman, S., &amp; Davis, K. (2022). Applied behavior analysis: An overview of ABA-based autism services for adults. </w:t>
      </w:r>
      <w:r w:rsidRPr="00E84E2F">
        <w:rPr>
          <w:rFonts w:ascii="Arial" w:hAnsi="Arial" w:cs="Arial"/>
          <w:i/>
          <w:iCs/>
          <w:color w:val="222222"/>
          <w:sz w:val="22"/>
          <w:szCs w:val="22"/>
          <w:shd w:val="clear" w:color="auto" w:fill="FFFFFF"/>
        </w:rPr>
        <w:t>Handbook of Quality of Life for Individuals with Autism Spectrum Disorder</w:t>
      </w:r>
      <w:r w:rsidRPr="00E84E2F">
        <w:rPr>
          <w:rFonts w:ascii="Arial" w:hAnsi="Arial" w:cs="Arial"/>
          <w:color w:val="222222"/>
          <w:sz w:val="22"/>
          <w:szCs w:val="22"/>
          <w:shd w:val="clear" w:color="auto" w:fill="FFFFFF"/>
        </w:rPr>
        <w:t>, pp.237–252.</w:t>
      </w:r>
      <w:r w:rsidRPr="00E84E2F">
        <w:rPr>
          <w:rFonts w:ascii="Arial" w:hAnsi="Arial" w:cs="Arial"/>
          <w:sz w:val="22"/>
          <w:szCs w:val="22"/>
        </w:rPr>
        <w:t xml:space="preserve"> </w:t>
      </w:r>
      <w:hyperlink r:id="rId14" w:anchor="DOI" w:history="1">
        <w:r w:rsidRPr="00E84E2F">
          <w:rPr>
            <w:rStyle w:val="Hyperlink"/>
            <w:rFonts w:ascii="Arial" w:hAnsi="Arial" w:cs="Arial"/>
            <w:sz w:val="22"/>
            <w:szCs w:val="22"/>
            <w:shd w:val="clear" w:color="auto" w:fill="FFFFFF"/>
          </w:rPr>
          <w:t>https://doi.org/10.1007/978-3-030-98507-3_14#DOI</w:t>
        </w:r>
      </w:hyperlink>
    </w:p>
    <w:p w14:paraId="3E35FB24" w14:textId="77777777" w:rsidR="00930627" w:rsidRPr="00E84E2F" w:rsidRDefault="00930627" w:rsidP="00930627">
      <w:pPr>
        <w:spacing w:after="0" w:line="480" w:lineRule="auto"/>
        <w:ind w:left="720" w:hanging="720"/>
        <w:outlineLvl w:val="2"/>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 xml:space="preserve">Stein, D.J., Szatmari, P., Gaebel, W., Berk, M., Vieta, E., </w:t>
      </w:r>
      <w:proofErr w:type="gramStart"/>
      <w:r w:rsidRPr="00E84E2F">
        <w:rPr>
          <w:rFonts w:ascii="Arial" w:hAnsi="Arial" w:cs="Arial"/>
          <w:color w:val="222222"/>
          <w:sz w:val="22"/>
          <w:szCs w:val="22"/>
          <w:shd w:val="clear" w:color="auto" w:fill="FFFFFF"/>
        </w:rPr>
        <w:t>Maj, M.</w:t>
      </w:r>
      <w:proofErr w:type="gramEnd"/>
      <w:r w:rsidRPr="00E84E2F">
        <w:rPr>
          <w:rFonts w:ascii="Arial" w:hAnsi="Arial" w:cs="Arial"/>
          <w:color w:val="222222"/>
          <w:sz w:val="22"/>
          <w:szCs w:val="22"/>
          <w:shd w:val="clear" w:color="auto" w:fill="FFFFFF"/>
        </w:rPr>
        <w:t xml:space="preserve">, De Vries, Y.A., Roest, A.M., De Jonge, P., </w:t>
      </w:r>
      <w:proofErr w:type="spellStart"/>
      <w:r w:rsidRPr="00E84E2F">
        <w:rPr>
          <w:rFonts w:ascii="Arial" w:hAnsi="Arial" w:cs="Arial"/>
          <w:color w:val="222222"/>
          <w:sz w:val="22"/>
          <w:szCs w:val="22"/>
          <w:shd w:val="clear" w:color="auto" w:fill="FFFFFF"/>
        </w:rPr>
        <w:t>Maercker</w:t>
      </w:r>
      <w:proofErr w:type="spellEnd"/>
      <w:r w:rsidRPr="00E84E2F">
        <w:rPr>
          <w:rFonts w:ascii="Arial" w:hAnsi="Arial" w:cs="Arial"/>
          <w:color w:val="222222"/>
          <w:sz w:val="22"/>
          <w:szCs w:val="22"/>
          <w:shd w:val="clear" w:color="auto" w:fill="FFFFFF"/>
        </w:rPr>
        <w:t>, A. and Brewin, C.R., 2020. Mental, behavioral, and neurodevelopmental disorders in the ICD-11: an international perspective on key changes and controversies. </w:t>
      </w:r>
      <w:r w:rsidRPr="00E84E2F">
        <w:rPr>
          <w:rFonts w:ascii="Arial" w:hAnsi="Arial" w:cs="Arial"/>
          <w:i/>
          <w:iCs/>
          <w:color w:val="222222"/>
          <w:sz w:val="22"/>
          <w:szCs w:val="22"/>
          <w:shd w:val="clear" w:color="auto" w:fill="FFFFFF"/>
        </w:rPr>
        <w:t>BMC Medicine</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18</w:t>
      </w:r>
      <w:r w:rsidRPr="00E84E2F">
        <w:rPr>
          <w:rFonts w:ascii="Arial" w:hAnsi="Arial" w:cs="Arial"/>
          <w:color w:val="222222"/>
          <w:sz w:val="22"/>
          <w:szCs w:val="22"/>
          <w:shd w:val="clear" w:color="auto" w:fill="FFFFFF"/>
        </w:rPr>
        <w:t>(1), p.21.</w:t>
      </w:r>
      <w:r w:rsidRPr="00E84E2F">
        <w:rPr>
          <w:rFonts w:ascii="Arial" w:hAnsi="Arial" w:cs="Arial"/>
          <w:sz w:val="22"/>
          <w:szCs w:val="22"/>
        </w:rPr>
        <w:t xml:space="preserve"> </w:t>
      </w:r>
      <w:hyperlink r:id="rId15" w:history="1">
        <w:r w:rsidRPr="00E84E2F">
          <w:rPr>
            <w:rStyle w:val="Hyperlink"/>
            <w:rFonts w:ascii="Arial" w:hAnsi="Arial" w:cs="Arial"/>
            <w:sz w:val="22"/>
            <w:szCs w:val="22"/>
            <w:shd w:val="clear" w:color="auto" w:fill="FFFFFF"/>
          </w:rPr>
          <w:t>https://link.springer.com/content/pdf/10.1186/s12916-020-1495-2.pdf</w:t>
        </w:r>
      </w:hyperlink>
    </w:p>
    <w:p w14:paraId="37F059EA" w14:textId="77777777" w:rsidR="00930627" w:rsidRPr="00E84E2F" w:rsidRDefault="00930627" w:rsidP="00930627">
      <w:pPr>
        <w:spacing w:after="0" w:line="480" w:lineRule="auto"/>
        <w:ind w:left="720" w:hanging="720"/>
        <w:outlineLvl w:val="2"/>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Stenning, A., &amp; Rosqvist, H. B. (2021). Neurodiversity studies: mapping out possibilities of a new critical paradigm. </w:t>
      </w:r>
      <w:r w:rsidRPr="00E84E2F">
        <w:rPr>
          <w:rFonts w:ascii="Arial" w:hAnsi="Arial" w:cs="Arial"/>
          <w:i/>
          <w:iCs/>
          <w:color w:val="222222"/>
          <w:sz w:val="22"/>
          <w:szCs w:val="22"/>
          <w:shd w:val="clear" w:color="auto" w:fill="FFFFFF"/>
        </w:rPr>
        <w:t>Disability &amp; society</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36</w:t>
      </w:r>
      <w:r w:rsidRPr="00E84E2F">
        <w:rPr>
          <w:rFonts w:ascii="Arial" w:hAnsi="Arial" w:cs="Arial"/>
          <w:color w:val="222222"/>
          <w:sz w:val="22"/>
          <w:szCs w:val="22"/>
          <w:shd w:val="clear" w:color="auto" w:fill="FFFFFF"/>
        </w:rPr>
        <w:t>(9), 1532–1537.</w:t>
      </w:r>
      <w:r w:rsidRPr="00E84E2F">
        <w:rPr>
          <w:rFonts w:ascii="Arial" w:hAnsi="Arial" w:cs="Arial"/>
          <w:sz w:val="22"/>
          <w:szCs w:val="22"/>
        </w:rPr>
        <w:t xml:space="preserve"> </w:t>
      </w:r>
      <w:hyperlink r:id="rId16" w:history="1">
        <w:r w:rsidRPr="00E84E2F">
          <w:rPr>
            <w:rStyle w:val="Hyperlink"/>
            <w:rFonts w:ascii="Arial" w:hAnsi="Arial" w:cs="Arial"/>
            <w:sz w:val="22"/>
            <w:szCs w:val="22"/>
            <w:shd w:val="clear" w:color="auto" w:fill="FFFFFF"/>
          </w:rPr>
          <w:t>https://doi.org/10.1080/09687599.2021.1919503</w:t>
        </w:r>
      </w:hyperlink>
    </w:p>
    <w:p w14:paraId="1AB62493" w14:textId="77777777" w:rsidR="00930627" w:rsidRPr="00E84E2F" w:rsidRDefault="00930627" w:rsidP="00930627">
      <w:pPr>
        <w:spacing w:after="0" w:line="480" w:lineRule="auto"/>
        <w:ind w:left="720" w:hanging="720"/>
        <w:rPr>
          <w:rFonts w:ascii="Arial" w:eastAsia="Times New Roman" w:hAnsi="Arial" w:cs="Arial"/>
          <w:kern w:val="0"/>
          <w:sz w:val="22"/>
          <w:szCs w:val="22"/>
          <w14:ligatures w14:val="none"/>
        </w:rPr>
      </w:pPr>
      <w:r w:rsidRPr="00E84E2F">
        <w:rPr>
          <w:rFonts w:ascii="Arial" w:hAnsi="Arial" w:cs="Arial"/>
          <w:color w:val="222222"/>
          <w:sz w:val="22"/>
          <w:szCs w:val="22"/>
          <w:shd w:val="clear" w:color="auto" w:fill="FFFFFF"/>
        </w:rPr>
        <w:t>Waldren, L.H., Livingston, L.A., Leung, F.Y., Shah, P., and Postal, G. (2022). Using network analysis to improve understanding and utility of the 10-item Autism-Spectrum Quotient. </w:t>
      </w:r>
      <w:r w:rsidRPr="00E84E2F">
        <w:rPr>
          <w:rFonts w:ascii="Arial" w:hAnsi="Arial" w:cs="Arial"/>
          <w:i/>
          <w:iCs/>
          <w:color w:val="222222"/>
          <w:sz w:val="22"/>
          <w:szCs w:val="22"/>
          <w:shd w:val="clear" w:color="auto" w:fill="FFFFFF"/>
        </w:rPr>
        <w:t>Experimental Results</w:t>
      </w:r>
      <w:r w:rsidRPr="00E84E2F">
        <w:rPr>
          <w:rFonts w:ascii="Arial" w:hAnsi="Arial" w:cs="Arial"/>
          <w:color w:val="222222"/>
          <w:sz w:val="22"/>
          <w:szCs w:val="22"/>
          <w:shd w:val="clear" w:color="auto" w:fill="FFFFFF"/>
        </w:rPr>
        <w:t>, </w:t>
      </w:r>
      <w:r w:rsidRPr="00E84E2F">
        <w:rPr>
          <w:rFonts w:ascii="Arial" w:hAnsi="Arial" w:cs="Arial"/>
          <w:i/>
          <w:iCs/>
          <w:color w:val="222222"/>
          <w:sz w:val="22"/>
          <w:szCs w:val="22"/>
          <w:shd w:val="clear" w:color="auto" w:fill="FFFFFF"/>
        </w:rPr>
        <w:t>3</w:t>
      </w:r>
      <w:r w:rsidRPr="00E84E2F">
        <w:rPr>
          <w:rFonts w:ascii="Arial" w:hAnsi="Arial" w:cs="Arial"/>
          <w:color w:val="222222"/>
          <w:sz w:val="22"/>
          <w:szCs w:val="22"/>
          <w:shd w:val="clear" w:color="auto" w:fill="FFFFFF"/>
        </w:rPr>
        <w:t>, p. 12.</w:t>
      </w:r>
      <w:r w:rsidRPr="00E84E2F">
        <w:rPr>
          <w:rFonts w:ascii="Arial" w:hAnsi="Arial" w:cs="Arial"/>
          <w:sz w:val="22"/>
          <w:szCs w:val="22"/>
        </w:rPr>
        <w:t xml:space="preserve"> </w:t>
      </w:r>
      <w:hyperlink r:id="rId17" w:history="1">
        <w:r w:rsidRPr="00E84E2F">
          <w:rPr>
            <w:rStyle w:val="Hyperlink"/>
            <w:rFonts w:ascii="Arial" w:hAnsi="Arial" w:cs="Arial"/>
            <w:sz w:val="22"/>
            <w:szCs w:val="22"/>
            <w:shd w:val="clear" w:color="auto" w:fill="FFFFFF"/>
          </w:rPr>
          <w:t>https://doi.org/10.1017/exp.2022.7</w:t>
        </w:r>
      </w:hyperlink>
    </w:p>
    <w:p w14:paraId="58A5E894" w14:textId="77777777" w:rsidR="00930627" w:rsidRPr="00E84E2F" w:rsidRDefault="00930627" w:rsidP="00930627">
      <w:pPr>
        <w:spacing w:after="0" w:line="480" w:lineRule="auto"/>
        <w:ind w:left="720" w:hanging="720"/>
        <w:outlineLvl w:val="2"/>
        <w:rPr>
          <w:rFonts w:ascii="Arial" w:hAnsi="Arial" w:cs="Arial"/>
          <w:color w:val="222222"/>
          <w:sz w:val="22"/>
          <w:szCs w:val="22"/>
          <w:shd w:val="clear" w:color="auto" w:fill="FFFFFF"/>
        </w:rPr>
      </w:pPr>
      <w:r w:rsidRPr="00E84E2F">
        <w:rPr>
          <w:rFonts w:ascii="Arial" w:hAnsi="Arial" w:cs="Arial"/>
          <w:color w:val="222222"/>
          <w:sz w:val="22"/>
          <w:szCs w:val="22"/>
          <w:shd w:val="clear" w:color="auto" w:fill="FFFFFF"/>
        </w:rPr>
        <w:t>World Health Organization (WHO), 2021. </w:t>
      </w:r>
      <w:r w:rsidRPr="00E84E2F">
        <w:rPr>
          <w:rFonts w:ascii="Arial" w:hAnsi="Arial" w:cs="Arial"/>
          <w:i/>
          <w:iCs/>
          <w:color w:val="222222"/>
          <w:sz w:val="22"/>
          <w:szCs w:val="22"/>
          <w:shd w:val="clear" w:color="auto" w:fill="FFFFFF"/>
        </w:rPr>
        <w:t>International Classification of Diseases, 11th Revision (ICD-11). Geneva: WHO; 2018</w:t>
      </w:r>
      <w:r w:rsidRPr="00E84E2F">
        <w:rPr>
          <w:rFonts w:ascii="Arial" w:hAnsi="Arial" w:cs="Arial"/>
          <w:color w:val="222222"/>
          <w:sz w:val="22"/>
          <w:szCs w:val="22"/>
          <w:shd w:val="clear" w:color="auto" w:fill="FFFFFF"/>
        </w:rPr>
        <w:t> [online]</w:t>
      </w:r>
      <w:r w:rsidRPr="00E84E2F">
        <w:rPr>
          <w:rFonts w:ascii="Arial" w:hAnsi="Arial" w:cs="Arial"/>
          <w:sz w:val="22"/>
          <w:szCs w:val="22"/>
        </w:rPr>
        <w:t xml:space="preserve"> </w:t>
      </w:r>
      <w:hyperlink r:id="rId18" w:history="1">
        <w:r w:rsidRPr="00E84E2F">
          <w:rPr>
            <w:rStyle w:val="Hyperlink"/>
            <w:rFonts w:ascii="Arial" w:hAnsi="Arial" w:cs="Arial"/>
            <w:sz w:val="22"/>
            <w:szCs w:val="22"/>
            <w:shd w:val="clear" w:color="auto" w:fill="FFFFFF"/>
          </w:rPr>
          <w:t>https://link.springer.com/content/pdf/10.1186/s12916-020-1495-2.pdf</w:t>
        </w:r>
      </w:hyperlink>
    </w:p>
    <w:sectPr w:rsidR="00930627" w:rsidRPr="00E84E2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F5715" w14:textId="77777777" w:rsidR="00096355" w:rsidRDefault="00096355" w:rsidP="004E73C9">
      <w:pPr>
        <w:spacing w:after="0" w:line="240" w:lineRule="auto"/>
      </w:pPr>
      <w:r>
        <w:separator/>
      </w:r>
    </w:p>
  </w:endnote>
  <w:endnote w:type="continuationSeparator" w:id="0">
    <w:p w14:paraId="63031005" w14:textId="77777777" w:rsidR="00096355" w:rsidRDefault="00096355" w:rsidP="004E7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B03F6" w14:textId="77777777" w:rsidR="00112CD2" w:rsidRDefault="00112C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AF433" w14:textId="77777777" w:rsidR="00112CD2" w:rsidRDefault="00112C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90181" w14:textId="77777777" w:rsidR="00112CD2" w:rsidRDefault="00112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85E50" w14:textId="77777777" w:rsidR="00096355" w:rsidRDefault="00096355" w:rsidP="004E73C9">
      <w:pPr>
        <w:spacing w:after="0" w:line="240" w:lineRule="auto"/>
      </w:pPr>
      <w:r>
        <w:separator/>
      </w:r>
    </w:p>
  </w:footnote>
  <w:footnote w:type="continuationSeparator" w:id="0">
    <w:p w14:paraId="166FC285" w14:textId="77777777" w:rsidR="00096355" w:rsidRDefault="00096355" w:rsidP="004E7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A2728" w14:textId="77777777" w:rsidR="00112CD2" w:rsidRDefault="00112C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102560035"/>
      <w:docPartObj>
        <w:docPartGallery w:val="Page Numbers (Top of Page)"/>
        <w:docPartUnique/>
      </w:docPartObj>
    </w:sdtPr>
    <w:sdtEndPr>
      <w:rPr>
        <w:noProof/>
      </w:rPr>
    </w:sdtEndPr>
    <w:sdtContent>
      <w:p w14:paraId="77C76E84" w14:textId="5B396DFC" w:rsidR="004E73C9" w:rsidRPr="00112CD2" w:rsidRDefault="004E73C9">
        <w:pPr>
          <w:pStyle w:val="Header"/>
          <w:jc w:val="right"/>
          <w:rPr>
            <w:rFonts w:ascii="Times New Roman" w:hAnsi="Times New Roman" w:cs="Times New Roman"/>
          </w:rPr>
        </w:pPr>
        <w:r w:rsidRPr="00112CD2">
          <w:rPr>
            <w:rFonts w:ascii="Times New Roman" w:hAnsi="Times New Roman" w:cs="Times New Roman"/>
          </w:rPr>
          <w:fldChar w:fldCharType="begin"/>
        </w:r>
        <w:r w:rsidRPr="00112CD2">
          <w:rPr>
            <w:rFonts w:ascii="Times New Roman" w:hAnsi="Times New Roman" w:cs="Times New Roman"/>
          </w:rPr>
          <w:instrText xml:space="preserve"> PAGE   \* MERGEFORMAT </w:instrText>
        </w:r>
        <w:r w:rsidRPr="00112CD2">
          <w:rPr>
            <w:rFonts w:ascii="Times New Roman" w:hAnsi="Times New Roman" w:cs="Times New Roman"/>
          </w:rPr>
          <w:fldChar w:fldCharType="separate"/>
        </w:r>
        <w:r w:rsidRPr="00112CD2">
          <w:rPr>
            <w:rFonts w:ascii="Times New Roman" w:hAnsi="Times New Roman" w:cs="Times New Roman"/>
            <w:noProof/>
          </w:rPr>
          <w:t>2</w:t>
        </w:r>
        <w:r w:rsidRPr="00112CD2">
          <w:rPr>
            <w:rFonts w:ascii="Times New Roman" w:hAnsi="Times New Roman" w:cs="Times New Roman"/>
            <w:noProof/>
          </w:rPr>
          <w:fldChar w:fldCharType="end"/>
        </w:r>
      </w:p>
    </w:sdtContent>
  </w:sdt>
  <w:p w14:paraId="1716FE7E" w14:textId="77777777" w:rsidR="004E73C9" w:rsidRPr="00112CD2" w:rsidRDefault="004E73C9">
    <w:pPr>
      <w:pStyle w:val="Header"/>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31A438" w14:textId="77777777" w:rsidR="00112CD2" w:rsidRDefault="00112C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D6488"/>
    <w:multiLevelType w:val="multilevel"/>
    <w:tmpl w:val="E572C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23C4B"/>
    <w:multiLevelType w:val="multilevel"/>
    <w:tmpl w:val="9500A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B34AF6"/>
    <w:multiLevelType w:val="multilevel"/>
    <w:tmpl w:val="E32A4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1910DE"/>
    <w:multiLevelType w:val="multilevel"/>
    <w:tmpl w:val="9710A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9551DB"/>
    <w:multiLevelType w:val="multilevel"/>
    <w:tmpl w:val="0DC0D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2147B3"/>
    <w:multiLevelType w:val="multilevel"/>
    <w:tmpl w:val="E49C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5B4943"/>
    <w:multiLevelType w:val="multilevel"/>
    <w:tmpl w:val="C8E0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4F523F"/>
    <w:multiLevelType w:val="multilevel"/>
    <w:tmpl w:val="0C0C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6B4A34"/>
    <w:multiLevelType w:val="multilevel"/>
    <w:tmpl w:val="E5186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0A4656"/>
    <w:multiLevelType w:val="multilevel"/>
    <w:tmpl w:val="0428B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A2C6B"/>
    <w:multiLevelType w:val="multilevel"/>
    <w:tmpl w:val="8FB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12615D"/>
    <w:multiLevelType w:val="multilevel"/>
    <w:tmpl w:val="0638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D45131"/>
    <w:multiLevelType w:val="multilevel"/>
    <w:tmpl w:val="32DC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BA46E1"/>
    <w:multiLevelType w:val="multilevel"/>
    <w:tmpl w:val="BE1A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00349D"/>
    <w:multiLevelType w:val="multilevel"/>
    <w:tmpl w:val="44446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9478718">
    <w:abstractNumId w:val="4"/>
  </w:num>
  <w:num w:numId="2" w16cid:durableId="208304020">
    <w:abstractNumId w:val="5"/>
  </w:num>
  <w:num w:numId="3" w16cid:durableId="927081082">
    <w:abstractNumId w:val="8"/>
  </w:num>
  <w:num w:numId="4" w16cid:durableId="1295714371">
    <w:abstractNumId w:val="10"/>
  </w:num>
  <w:num w:numId="5" w16cid:durableId="2090031066">
    <w:abstractNumId w:val="3"/>
  </w:num>
  <w:num w:numId="6" w16cid:durableId="1302275224">
    <w:abstractNumId w:val="14"/>
  </w:num>
  <w:num w:numId="7" w16cid:durableId="670959437">
    <w:abstractNumId w:val="0"/>
  </w:num>
  <w:num w:numId="8" w16cid:durableId="152188378">
    <w:abstractNumId w:val="6"/>
  </w:num>
  <w:num w:numId="9" w16cid:durableId="295914934">
    <w:abstractNumId w:val="2"/>
  </w:num>
  <w:num w:numId="10" w16cid:durableId="1960606128">
    <w:abstractNumId w:val="13"/>
  </w:num>
  <w:num w:numId="11" w16cid:durableId="604654401">
    <w:abstractNumId w:val="1"/>
  </w:num>
  <w:num w:numId="12" w16cid:durableId="532306461">
    <w:abstractNumId w:val="7"/>
  </w:num>
  <w:num w:numId="13" w16cid:durableId="339042795">
    <w:abstractNumId w:val="11"/>
  </w:num>
  <w:num w:numId="14" w16cid:durableId="1658682031">
    <w:abstractNumId w:val="9"/>
  </w:num>
  <w:num w:numId="15" w16cid:durableId="1383990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3NTO1NDYwNLYwMzNV0lEKTi0uzszPAykwrAUAOSuH9CwAAAA="/>
  </w:docVars>
  <w:rsids>
    <w:rsidRoot w:val="003B31F3"/>
    <w:rsid w:val="00096355"/>
    <w:rsid w:val="000A2EE2"/>
    <w:rsid w:val="00112CD2"/>
    <w:rsid w:val="001C1A04"/>
    <w:rsid w:val="001C2947"/>
    <w:rsid w:val="0024044B"/>
    <w:rsid w:val="003558F3"/>
    <w:rsid w:val="00365D04"/>
    <w:rsid w:val="003909FA"/>
    <w:rsid w:val="003B31F3"/>
    <w:rsid w:val="00497568"/>
    <w:rsid w:val="004D3A6E"/>
    <w:rsid w:val="004D3B78"/>
    <w:rsid w:val="004E73C9"/>
    <w:rsid w:val="005138CB"/>
    <w:rsid w:val="00530241"/>
    <w:rsid w:val="006A731D"/>
    <w:rsid w:val="006C65C1"/>
    <w:rsid w:val="007441D5"/>
    <w:rsid w:val="007616F1"/>
    <w:rsid w:val="008E4136"/>
    <w:rsid w:val="008F3ED0"/>
    <w:rsid w:val="00930627"/>
    <w:rsid w:val="0097132B"/>
    <w:rsid w:val="00AB236D"/>
    <w:rsid w:val="00BB2E55"/>
    <w:rsid w:val="00BD4944"/>
    <w:rsid w:val="00C7638E"/>
    <w:rsid w:val="00CB09AA"/>
    <w:rsid w:val="00CC4ECE"/>
    <w:rsid w:val="00D74840"/>
    <w:rsid w:val="00DA1496"/>
    <w:rsid w:val="00DC6785"/>
    <w:rsid w:val="00E457DA"/>
    <w:rsid w:val="00E75874"/>
    <w:rsid w:val="00E84E2F"/>
    <w:rsid w:val="00EB234C"/>
    <w:rsid w:val="00FC39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284D7"/>
  <w15:chartTrackingRefBased/>
  <w15:docId w15:val="{6ECD2080-1444-4F19-A437-D6908718C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1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B31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B31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B31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B31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B31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1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1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1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1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B31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B31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B31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B31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B31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1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1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1F3"/>
    <w:rPr>
      <w:rFonts w:eastAsiaTheme="majorEastAsia" w:cstheme="majorBidi"/>
      <w:color w:val="272727" w:themeColor="text1" w:themeTint="D8"/>
    </w:rPr>
  </w:style>
  <w:style w:type="paragraph" w:styleId="Title">
    <w:name w:val="Title"/>
    <w:basedOn w:val="Normal"/>
    <w:next w:val="Normal"/>
    <w:link w:val="TitleChar"/>
    <w:uiPriority w:val="10"/>
    <w:qFormat/>
    <w:rsid w:val="003B31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1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1F3"/>
    <w:pPr>
      <w:spacing w:before="160"/>
      <w:jc w:val="center"/>
    </w:pPr>
    <w:rPr>
      <w:i/>
      <w:iCs/>
      <w:color w:val="404040" w:themeColor="text1" w:themeTint="BF"/>
    </w:rPr>
  </w:style>
  <w:style w:type="character" w:customStyle="1" w:styleId="QuoteChar">
    <w:name w:val="Quote Char"/>
    <w:basedOn w:val="DefaultParagraphFont"/>
    <w:link w:val="Quote"/>
    <w:uiPriority w:val="29"/>
    <w:rsid w:val="003B31F3"/>
    <w:rPr>
      <w:i/>
      <w:iCs/>
      <w:color w:val="404040" w:themeColor="text1" w:themeTint="BF"/>
    </w:rPr>
  </w:style>
  <w:style w:type="paragraph" w:styleId="ListParagraph">
    <w:name w:val="List Paragraph"/>
    <w:basedOn w:val="Normal"/>
    <w:uiPriority w:val="34"/>
    <w:qFormat/>
    <w:rsid w:val="003B31F3"/>
    <w:pPr>
      <w:ind w:left="720"/>
      <w:contextualSpacing/>
    </w:pPr>
  </w:style>
  <w:style w:type="character" w:styleId="IntenseEmphasis">
    <w:name w:val="Intense Emphasis"/>
    <w:basedOn w:val="DefaultParagraphFont"/>
    <w:uiPriority w:val="21"/>
    <w:qFormat/>
    <w:rsid w:val="003B31F3"/>
    <w:rPr>
      <w:i/>
      <w:iCs/>
      <w:color w:val="2F5496" w:themeColor="accent1" w:themeShade="BF"/>
    </w:rPr>
  </w:style>
  <w:style w:type="paragraph" w:styleId="IntenseQuote">
    <w:name w:val="Intense Quote"/>
    <w:basedOn w:val="Normal"/>
    <w:next w:val="Normal"/>
    <w:link w:val="IntenseQuoteChar"/>
    <w:uiPriority w:val="30"/>
    <w:qFormat/>
    <w:rsid w:val="003B31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31F3"/>
    <w:rPr>
      <w:i/>
      <w:iCs/>
      <w:color w:val="2F5496" w:themeColor="accent1" w:themeShade="BF"/>
    </w:rPr>
  </w:style>
  <w:style w:type="character" w:styleId="IntenseReference">
    <w:name w:val="Intense Reference"/>
    <w:basedOn w:val="DefaultParagraphFont"/>
    <w:uiPriority w:val="32"/>
    <w:qFormat/>
    <w:rsid w:val="003B31F3"/>
    <w:rPr>
      <w:b/>
      <w:bCs/>
      <w:smallCaps/>
      <w:color w:val="2F5496" w:themeColor="accent1" w:themeShade="BF"/>
      <w:spacing w:val="5"/>
    </w:rPr>
  </w:style>
  <w:style w:type="character" w:styleId="Hyperlink">
    <w:name w:val="Hyperlink"/>
    <w:basedOn w:val="DefaultParagraphFont"/>
    <w:uiPriority w:val="99"/>
    <w:unhideWhenUsed/>
    <w:rsid w:val="003B31F3"/>
    <w:rPr>
      <w:color w:val="0563C1" w:themeColor="hyperlink"/>
      <w:u w:val="single"/>
    </w:rPr>
  </w:style>
  <w:style w:type="character" w:styleId="UnresolvedMention">
    <w:name w:val="Unresolved Mention"/>
    <w:basedOn w:val="DefaultParagraphFont"/>
    <w:uiPriority w:val="99"/>
    <w:semiHidden/>
    <w:unhideWhenUsed/>
    <w:rsid w:val="003B31F3"/>
    <w:rPr>
      <w:color w:val="605E5C"/>
      <w:shd w:val="clear" w:color="auto" w:fill="E1DFDD"/>
    </w:rPr>
  </w:style>
  <w:style w:type="paragraph" w:styleId="NormalWeb">
    <w:name w:val="Normal (Web)"/>
    <w:basedOn w:val="Normal"/>
    <w:uiPriority w:val="99"/>
    <w:unhideWhenUsed/>
    <w:rsid w:val="00D7484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D74840"/>
    <w:rPr>
      <w:i/>
      <w:iCs/>
    </w:rPr>
  </w:style>
  <w:style w:type="character" w:styleId="Strong">
    <w:name w:val="Strong"/>
    <w:basedOn w:val="DefaultParagraphFont"/>
    <w:uiPriority w:val="22"/>
    <w:qFormat/>
    <w:rsid w:val="00D74840"/>
    <w:rPr>
      <w:b/>
      <w:bCs/>
    </w:rPr>
  </w:style>
  <w:style w:type="paragraph" w:styleId="Header">
    <w:name w:val="header"/>
    <w:basedOn w:val="Normal"/>
    <w:link w:val="HeaderChar"/>
    <w:uiPriority w:val="99"/>
    <w:unhideWhenUsed/>
    <w:rsid w:val="004E73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3C9"/>
  </w:style>
  <w:style w:type="paragraph" w:styleId="Footer">
    <w:name w:val="footer"/>
    <w:basedOn w:val="Normal"/>
    <w:link w:val="FooterChar"/>
    <w:uiPriority w:val="99"/>
    <w:unhideWhenUsed/>
    <w:rsid w:val="004E73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1065-023-09630-2.pdf" TargetMode="External"/><Relationship Id="rId13" Type="http://schemas.openxmlformats.org/officeDocument/2006/relationships/hyperlink" Target="https://doi.org/10.1080/13651501.2020.1800042" TargetMode="External"/><Relationship Id="rId18" Type="http://schemas.openxmlformats.org/officeDocument/2006/relationships/hyperlink" Target="https://link.springer.com/content/pdf/10.1186/s12916-020-1495-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shorturl.at/ZKDeX" TargetMode="External"/><Relationship Id="rId12" Type="http://schemas.openxmlformats.org/officeDocument/2006/relationships/hyperlink" Target="https://link.springer.com/content/pdf/10.1007/s40489-020-00225-8.pdf" TargetMode="External"/><Relationship Id="rId17" Type="http://schemas.openxmlformats.org/officeDocument/2006/relationships/hyperlink" Target="https://doi.org/10.1017/exp.2022.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9687599.2021.1919503"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s41380-023-02354-y"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link.springer.com/content/pdf/10.1186/s12916-020-1495-2.pdf" TargetMode="External"/><Relationship Id="rId23" Type="http://schemas.openxmlformats.org/officeDocument/2006/relationships/header" Target="header3.xml"/><Relationship Id="rId10" Type="http://schemas.openxmlformats.org/officeDocument/2006/relationships/hyperlink" Target="https://doi.org/10.32872/cpe.10005"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journals.sagepub.com/doi/pdf/10.1177/1362361318786721" TargetMode="External"/><Relationship Id="rId14" Type="http://schemas.openxmlformats.org/officeDocument/2006/relationships/hyperlink" Target="https://doi.org/10.1007/978-3-030-98507-3_1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2760</Words>
  <Characters>17670</Characters>
  <Application>Microsoft Office Word</Application>
  <DocSecurity>0</DocSecurity>
  <Lines>319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costescu</cp:lastModifiedBy>
  <cp:revision>2</cp:revision>
  <dcterms:created xsi:type="dcterms:W3CDTF">2025-11-16T09:20:00Z</dcterms:created>
  <dcterms:modified xsi:type="dcterms:W3CDTF">2025-11-16T09:20:00Z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c7ecda9b-f3bd-4f4a-902c-a6daaa86e672</vt:lpwstr>
  </property>
</Properties>
</file>