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F54BFC" w14:textId="5A113E99" w:rsidR="00F81953" w:rsidRDefault="00F81953">
      <w:r>
        <w:rPr>
          <w:noProof/>
        </w:rPr>
        <w:drawing>
          <wp:anchor distT="0" distB="0" distL="114300" distR="114300" simplePos="0" relativeHeight="251658240" behindDoc="0" locked="0" layoutInCell="1" allowOverlap="1" wp14:anchorId="123DB71F" wp14:editId="629B5908">
            <wp:simplePos x="0" y="0"/>
            <wp:positionH relativeFrom="page">
              <wp:align>right</wp:align>
            </wp:positionH>
            <wp:positionV relativeFrom="page">
              <wp:align>top</wp:align>
            </wp:positionV>
            <wp:extent cx="7551420" cy="10673080"/>
            <wp:effectExtent l="0" t="0" r="0" b="0"/>
            <wp:wrapNone/>
            <wp:docPr id="575142645" name="Picture 1" descr="A close-up of a person wearing a safety v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142645" name="Picture 1" descr="A close-up of a person wearing a safety vest&#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7551420" cy="10673080"/>
                    </a:xfrm>
                    <a:prstGeom prst="rect">
                      <a:avLst/>
                    </a:prstGeom>
                  </pic:spPr>
                </pic:pic>
              </a:graphicData>
            </a:graphic>
            <wp14:sizeRelH relativeFrom="margin">
              <wp14:pctWidth>0</wp14:pctWidth>
            </wp14:sizeRelH>
            <wp14:sizeRelV relativeFrom="margin">
              <wp14:pctHeight>0</wp14:pctHeight>
            </wp14:sizeRelV>
          </wp:anchor>
        </w:drawing>
      </w:r>
    </w:p>
    <w:p w14:paraId="1469452E" w14:textId="77777777" w:rsidR="00F81953" w:rsidRDefault="00F81953"/>
    <w:p w14:paraId="1517F411" w14:textId="77777777" w:rsidR="00F81953" w:rsidRDefault="00F81953">
      <w:r>
        <w:br w:type="page"/>
      </w:r>
    </w:p>
    <w:p w14:paraId="3A80B43F" w14:textId="3ACBE58C" w:rsidR="00F81953" w:rsidRPr="004D5EAC" w:rsidRDefault="004D5EAC">
      <w:pPr>
        <w:rPr>
          <w:rFonts w:ascii="Angsana New" w:hAnsi="Angsana New" w:cs="Angsana New"/>
          <w:b/>
          <w:bCs/>
          <w:i/>
          <w:iCs/>
          <w:sz w:val="72"/>
          <w:szCs w:val="72"/>
          <w:u w:val="single"/>
        </w:rPr>
      </w:pPr>
      <w:r w:rsidRPr="004D5EAC">
        <w:rPr>
          <w:i/>
          <w:iCs/>
          <w:noProof/>
          <w:sz w:val="22"/>
          <w:szCs w:val="22"/>
          <w:u w:val="single"/>
        </w:rPr>
        <w:lastRenderedPageBreak/>
        <mc:AlternateContent>
          <mc:Choice Requires="wps">
            <w:drawing>
              <wp:anchor distT="0" distB="0" distL="114300" distR="114300" simplePos="0" relativeHeight="251660288" behindDoc="0" locked="0" layoutInCell="1" allowOverlap="1" wp14:anchorId="21DEA65A" wp14:editId="02F755B2">
                <wp:simplePos x="0" y="0"/>
                <wp:positionH relativeFrom="page">
                  <wp:posOffset>489097</wp:posOffset>
                </wp:positionH>
                <wp:positionV relativeFrom="paragraph">
                  <wp:posOffset>-860558</wp:posOffset>
                </wp:positionV>
                <wp:extent cx="6306206" cy="835025"/>
                <wp:effectExtent l="0" t="0" r="0" b="3175"/>
                <wp:wrapNone/>
                <wp:docPr id="825821249" name="Text Box 3"/>
                <wp:cNvGraphicFramePr/>
                <a:graphic xmlns:a="http://schemas.openxmlformats.org/drawingml/2006/main">
                  <a:graphicData uri="http://schemas.microsoft.com/office/word/2010/wordprocessingShape">
                    <wps:wsp>
                      <wps:cNvSpPr txBox="1"/>
                      <wps:spPr>
                        <a:xfrm>
                          <a:off x="0" y="0"/>
                          <a:ext cx="6306206" cy="835025"/>
                        </a:xfrm>
                        <a:prstGeom prst="rect">
                          <a:avLst/>
                        </a:prstGeom>
                        <a:noFill/>
                        <a:ln w="6350">
                          <a:noFill/>
                        </a:ln>
                      </wps:spPr>
                      <wps:txbx>
                        <w:txbxContent>
                          <w:p w14:paraId="4AB887F8" w14:textId="77777777" w:rsidR="00F81953" w:rsidRPr="004D5EAC" w:rsidRDefault="00F81953" w:rsidP="00F81953">
                            <w:pPr>
                              <w:rPr>
                                <w:rFonts w:asciiTheme="majorHAnsi" w:hAnsiTheme="majorHAnsi"/>
                                <w:i/>
                                <w:iCs/>
                                <w:color w:val="00B0F0"/>
                                <w:sz w:val="28"/>
                                <w:szCs w:val="28"/>
                                <w:u w:val="single"/>
                              </w:rPr>
                            </w:pPr>
                            <w:r w:rsidRPr="004D5EAC">
                              <w:rPr>
                                <w:rFonts w:asciiTheme="majorHAnsi" w:hAnsiTheme="majorHAnsi"/>
                                <w:i/>
                                <w:iCs/>
                                <w:color w:val="00B0F0"/>
                                <w:sz w:val="28"/>
                                <w:szCs w:val="28"/>
                                <w:u w:val="single"/>
                              </w:rPr>
                              <w:t>Bluecinema (2025). Construction site health and safety standards. [online] Pbctoday.co.uk. Available at: https://www.pbctoday.co.uk/news/wp-content/uploads/2023/06/iStock-692172170-scaled.jpg [Accessed 10 May 2025].</w:t>
                            </w:r>
                          </w:p>
                          <w:p w14:paraId="3149E388" w14:textId="77777777" w:rsidR="00F81953" w:rsidRDefault="00F8195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1DEA65A" id="_x0000_t202" coordsize="21600,21600" o:spt="202" path="m,l,21600r21600,l21600,xe">
                <v:stroke joinstyle="miter"/>
                <v:path gradientshapeok="t" o:connecttype="rect"/>
              </v:shapetype>
              <v:shape id="Text Box 3" o:spid="_x0000_s1026" type="#_x0000_t202" style="position:absolute;margin-left:38.5pt;margin-top:-67.75pt;width:496.55pt;height:65.7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" filled="f" stroked="f" strokeweight=".5pt">
                <v:textbox>
                  <w:txbxContent>
                    <w:p w14:paraId="4AB887F8" w14:textId="77777777" w:rsidR="00F81953" w:rsidRPr="004D5EAC" w:rsidRDefault="00F81953" w:rsidP="00F81953">
                      <w:pPr>
                        <w:rPr>
                          <w:rFonts w:asciiTheme="majorHAnsi" w:hAnsiTheme="majorHAnsi"/>
                          <w:i/>
                          <w:iCs/>
                          <w:color w:val="00B0F0"/>
                          <w:sz w:val="28"/>
                          <w:szCs w:val="28"/>
                          <w:u w:val="single"/>
                        </w:rPr>
                      </w:pPr>
                      <w:r w:rsidRPr="004D5EAC">
                        <w:rPr>
                          <w:rFonts w:asciiTheme="majorHAnsi" w:hAnsiTheme="majorHAnsi"/>
                          <w:i/>
                          <w:iCs/>
                          <w:color w:val="00B0F0"/>
                          <w:sz w:val="28"/>
                          <w:szCs w:val="28"/>
                          <w:u w:val="single"/>
                        </w:rPr>
                        <w:t>Bluecinema (2025). Construction site health and safety standards. [online] Pbctoday.co.uk. Available at: https://www.pbctoday.co.uk/news/wp-content/uploads/2023/06/iStock-692172170-scaled.jpg [Accessed 10 May 2025].</w:t>
                      </w:r>
                    </w:p>
                    <w:p w14:paraId="3149E388" w14:textId="77777777" w:rsidR="00F81953" w:rsidRDefault="00F81953"/>
                  </w:txbxContent>
                </v:textbox>
                <w10:wrap anchorx="page"/>
              </v:shape>
            </w:pict>
          </mc:Fallback>
        </mc:AlternateContent>
      </w:r>
      <w:r w:rsidRPr="004D5EAC">
        <w:rPr>
          <w:i/>
          <w:iCs/>
          <w:noProof/>
          <w:sz w:val="22"/>
          <w:szCs w:val="22"/>
          <w:u w:val="single"/>
        </w:rPr>
        <w:drawing>
          <wp:anchor distT="0" distB="0" distL="114300" distR="114300" simplePos="0" relativeHeight="251659264" behindDoc="0" locked="0" layoutInCell="1" allowOverlap="1" wp14:anchorId="297252A4" wp14:editId="75EFCAB3">
            <wp:simplePos x="0" y="0"/>
            <wp:positionH relativeFrom="page">
              <wp:posOffset>4451172</wp:posOffset>
            </wp:positionH>
            <wp:positionV relativeFrom="paragraph">
              <wp:posOffset>190352</wp:posOffset>
            </wp:positionV>
            <wp:extent cx="2508495" cy="1754627"/>
            <wp:effectExtent l="190500" t="190500" r="196850" b="188595"/>
            <wp:wrapNone/>
            <wp:docPr id="225951306" name="Picture 2" descr="Construction site health and safety standar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nstruction site health and safety standard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508495" cy="1754627"/>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r w:rsidR="00F81953" w:rsidRPr="004D5EAC">
        <w:rPr>
          <w:rFonts w:ascii="Angsana New" w:hAnsi="Angsana New" w:cs="Angsana New" w:hint="cs"/>
          <w:b/>
          <w:bCs/>
          <w:i/>
          <w:iCs/>
          <w:sz w:val="72"/>
          <w:szCs w:val="72"/>
          <w:u w:val="single"/>
        </w:rPr>
        <w:t>Contents page</w:t>
      </w:r>
    </w:p>
    <w:p w14:paraId="127BB5A6" w14:textId="027F00EB" w:rsidR="00F81953" w:rsidRDefault="00F81953">
      <w:pPr>
        <w:rPr>
          <w:rFonts w:ascii="Angsana New" w:hAnsi="Angsana New" w:cs="Angsana New"/>
          <w:b/>
          <w:bCs/>
          <w:sz w:val="72"/>
          <w:szCs w:val="72"/>
        </w:rPr>
      </w:pPr>
    </w:p>
    <w:p w14:paraId="54C9E401" w14:textId="412C1785" w:rsidR="000E17C6" w:rsidRDefault="000E17C6" w:rsidP="0021671E">
      <w:pPr>
        <w:rPr>
          <w:rFonts w:ascii="Angsana New" w:hAnsi="Angsana New" w:cs="Angsana New"/>
          <w:b/>
          <w:bCs/>
          <w:sz w:val="44"/>
          <w:szCs w:val="44"/>
        </w:rPr>
      </w:pPr>
      <w:r>
        <w:rPr>
          <w:rFonts w:ascii="Angsana New" w:hAnsi="Angsana New" w:cs="Angsana New"/>
          <w:b/>
          <w:bCs/>
          <w:sz w:val="44"/>
          <w:szCs w:val="44"/>
        </w:rPr>
        <w:t xml:space="preserve">Page </w:t>
      </w:r>
      <w:r w:rsidR="004D5EAC">
        <w:rPr>
          <w:rFonts w:ascii="Angsana New" w:hAnsi="Angsana New" w:cs="Angsana New"/>
          <w:b/>
          <w:bCs/>
          <w:sz w:val="44"/>
          <w:szCs w:val="44"/>
        </w:rPr>
        <w:t>3</w:t>
      </w:r>
      <w:r>
        <w:rPr>
          <w:rFonts w:ascii="Angsana New" w:hAnsi="Angsana New" w:cs="Angsana New"/>
          <w:b/>
          <w:bCs/>
          <w:sz w:val="44"/>
          <w:szCs w:val="44"/>
        </w:rPr>
        <w:t xml:space="preserve">   -     </w:t>
      </w:r>
      <w:r w:rsidRPr="000E17C6">
        <w:rPr>
          <w:rFonts w:ascii="Aharoni" w:hAnsi="Aharoni" w:cs="Aharoni" w:hint="cs"/>
          <w:b/>
          <w:bCs/>
          <w:sz w:val="36"/>
          <w:szCs w:val="36"/>
        </w:rPr>
        <w:t xml:space="preserve"> Scenario</w:t>
      </w:r>
    </w:p>
    <w:p w14:paraId="1C7F9435" w14:textId="77777777" w:rsidR="000E17C6" w:rsidRDefault="000E17C6" w:rsidP="0021671E">
      <w:pPr>
        <w:rPr>
          <w:rFonts w:ascii="Angsana New" w:hAnsi="Angsana New" w:cs="Angsana New"/>
          <w:b/>
          <w:bCs/>
          <w:sz w:val="44"/>
          <w:szCs w:val="44"/>
        </w:rPr>
      </w:pPr>
    </w:p>
    <w:p w14:paraId="710BAFCE" w14:textId="0B04171C" w:rsidR="00F81953" w:rsidRPr="0021671E" w:rsidRDefault="0021671E" w:rsidP="0021671E">
      <w:pPr>
        <w:rPr>
          <w:rFonts w:ascii="Angsana New" w:hAnsi="Angsana New" w:cs="Angsana New"/>
          <w:b/>
          <w:bCs/>
          <w:sz w:val="44"/>
          <w:szCs w:val="44"/>
        </w:rPr>
      </w:pPr>
      <w:r>
        <w:rPr>
          <w:rFonts w:ascii="Angsana New" w:hAnsi="Angsana New" w:cs="Angsana New"/>
          <w:b/>
          <w:bCs/>
          <w:sz w:val="44"/>
          <w:szCs w:val="44"/>
        </w:rPr>
        <w:t>P</w:t>
      </w:r>
      <w:r w:rsidRPr="0021671E">
        <w:rPr>
          <w:rFonts w:ascii="Angsana New" w:hAnsi="Angsana New" w:cs="Angsana New"/>
          <w:b/>
          <w:bCs/>
          <w:sz w:val="44"/>
          <w:szCs w:val="44"/>
        </w:rPr>
        <w:t xml:space="preserve">age </w:t>
      </w:r>
      <w:r w:rsidR="004D5EAC">
        <w:rPr>
          <w:rFonts w:ascii="Angsana New" w:hAnsi="Angsana New" w:cs="Angsana New"/>
          <w:b/>
          <w:bCs/>
          <w:sz w:val="44"/>
          <w:szCs w:val="44"/>
        </w:rPr>
        <w:t>4-5</w:t>
      </w:r>
      <w:r w:rsidRPr="0021671E">
        <w:rPr>
          <w:rFonts w:ascii="Angsana New" w:hAnsi="Angsana New" w:cs="Angsana New"/>
          <w:b/>
          <w:bCs/>
          <w:sz w:val="44"/>
          <w:szCs w:val="44"/>
        </w:rPr>
        <w:t xml:space="preserve">   -   </w:t>
      </w:r>
      <w:r w:rsidR="00BD061D" w:rsidRPr="0021671E">
        <w:rPr>
          <w:rFonts w:ascii="Aharoni" w:hAnsi="Aharoni" w:cs="Aharoni" w:hint="cs"/>
          <w:b/>
          <w:bCs/>
          <w:sz w:val="36"/>
          <w:szCs w:val="36"/>
        </w:rPr>
        <w:t xml:space="preserve">What is the </w:t>
      </w:r>
      <w:r w:rsidR="004D5EAC">
        <w:rPr>
          <w:rFonts w:ascii="Aharoni" w:hAnsi="Aharoni" w:cs="Aharoni"/>
          <w:b/>
          <w:bCs/>
          <w:sz w:val="36"/>
          <w:szCs w:val="36"/>
        </w:rPr>
        <w:t>Building Safety Act,</w:t>
      </w:r>
      <w:r w:rsidR="00BD061D" w:rsidRPr="0021671E">
        <w:rPr>
          <w:rFonts w:ascii="Aharoni" w:hAnsi="Aharoni" w:cs="Aharoni" w:hint="cs"/>
          <w:b/>
          <w:bCs/>
          <w:sz w:val="36"/>
          <w:szCs w:val="36"/>
        </w:rPr>
        <w:t xml:space="preserve"> and what is its impact on this project?</w:t>
      </w:r>
    </w:p>
    <w:p w14:paraId="2B7C60D4" w14:textId="77777777" w:rsidR="0021671E" w:rsidRDefault="0021671E" w:rsidP="0021671E">
      <w:pPr>
        <w:rPr>
          <w:rFonts w:ascii="Angsana New" w:hAnsi="Angsana New" w:cs="Angsana New"/>
          <w:b/>
          <w:bCs/>
          <w:sz w:val="44"/>
          <w:szCs w:val="44"/>
        </w:rPr>
      </w:pPr>
    </w:p>
    <w:p w14:paraId="308C92AC" w14:textId="77777777" w:rsidR="0021671E" w:rsidRDefault="0021671E" w:rsidP="0021671E">
      <w:pPr>
        <w:rPr>
          <w:rFonts w:ascii="Angsana New" w:hAnsi="Angsana New" w:cs="Angsana New"/>
          <w:b/>
          <w:bCs/>
          <w:sz w:val="44"/>
          <w:szCs w:val="44"/>
        </w:rPr>
      </w:pPr>
    </w:p>
    <w:p w14:paraId="63D9B42B" w14:textId="0CA9032E" w:rsidR="00BD061D" w:rsidRPr="0021671E" w:rsidRDefault="0021671E" w:rsidP="0021671E">
      <w:pPr>
        <w:rPr>
          <w:rFonts w:ascii="Angsana New" w:hAnsi="Angsana New" w:cs="Angsana New"/>
          <w:b/>
          <w:bCs/>
          <w:sz w:val="44"/>
          <w:szCs w:val="44"/>
        </w:rPr>
      </w:pPr>
      <w:r>
        <w:rPr>
          <w:rFonts w:ascii="Angsana New" w:hAnsi="Angsana New" w:cs="Angsana New"/>
          <w:b/>
          <w:bCs/>
          <w:sz w:val="44"/>
          <w:szCs w:val="44"/>
        </w:rPr>
        <w:t xml:space="preserve">Page </w:t>
      </w:r>
      <w:r w:rsidR="004D5EAC">
        <w:rPr>
          <w:rFonts w:ascii="Angsana New" w:hAnsi="Angsana New" w:cs="Angsana New"/>
          <w:b/>
          <w:bCs/>
          <w:sz w:val="44"/>
          <w:szCs w:val="44"/>
        </w:rPr>
        <w:t>6-11</w:t>
      </w:r>
      <w:r>
        <w:rPr>
          <w:rFonts w:ascii="Angsana New" w:hAnsi="Angsana New" w:cs="Angsana New"/>
          <w:b/>
          <w:bCs/>
          <w:sz w:val="44"/>
          <w:szCs w:val="44"/>
        </w:rPr>
        <w:t xml:space="preserve">    -    </w:t>
      </w:r>
      <w:r w:rsidR="00BD061D" w:rsidRPr="0021671E">
        <w:rPr>
          <w:rFonts w:ascii="Aharoni" w:hAnsi="Aharoni" w:cs="Aharoni" w:hint="cs"/>
          <w:b/>
          <w:bCs/>
          <w:sz w:val="36"/>
          <w:szCs w:val="36"/>
        </w:rPr>
        <w:t xml:space="preserve">Relevant health and safety regulations </w:t>
      </w:r>
      <w:r w:rsidR="00BD061D" w:rsidRPr="0021671E">
        <w:rPr>
          <w:rFonts w:ascii="Aharoni" w:hAnsi="Aharoni" w:cs="Aharoni" w:hint="cs"/>
          <w:b/>
          <w:bCs/>
          <w:sz w:val="44"/>
          <w:szCs w:val="44"/>
        </w:rPr>
        <w:t>–</w:t>
      </w:r>
      <w:r w:rsidR="00BD061D" w:rsidRPr="0021671E">
        <w:rPr>
          <w:rFonts w:ascii="Angsana New" w:hAnsi="Angsana New" w:cs="Angsana New"/>
          <w:b/>
          <w:bCs/>
          <w:sz w:val="44"/>
          <w:szCs w:val="44"/>
        </w:rPr>
        <w:t xml:space="preserve"> </w:t>
      </w:r>
      <w:r w:rsidR="00BD061D" w:rsidRPr="0021671E">
        <w:rPr>
          <w:rFonts w:ascii="Angsana New" w:hAnsi="Angsana New" w:cs="Angsana New"/>
          <w:b/>
          <w:bCs/>
          <w:sz w:val="36"/>
          <w:szCs w:val="36"/>
        </w:rPr>
        <w:t xml:space="preserve">Health and </w:t>
      </w:r>
      <w:r w:rsidR="004D5EAC">
        <w:rPr>
          <w:rFonts w:ascii="Angsana New" w:hAnsi="Angsana New" w:cs="Angsana New"/>
          <w:b/>
          <w:bCs/>
          <w:sz w:val="36"/>
          <w:szCs w:val="36"/>
        </w:rPr>
        <w:t>Safety</w:t>
      </w:r>
      <w:r w:rsidR="00BD061D" w:rsidRPr="0021671E">
        <w:rPr>
          <w:rFonts w:ascii="Angsana New" w:hAnsi="Angsana New" w:cs="Angsana New"/>
          <w:b/>
          <w:bCs/>
          <w:sz w:val="36"/>
          <w:szCs w:val="36"/>
        </w:rPr>
        <w:t xml:space="preserve"> at </w:t>
      </w:r>
      <w:r w:rsidR="004D5EAC">
        <w:rPr>
          <w:rFonts w:ascii="Angsana New" w:hAnsi="Angsana New" w:cs="Angsana New"/>
          <w:b/>
          <w:bCs/>
          <w:sz w:val="36"/>
          <w:szCs w:val="36"/>
        </w:rPr>
        <w:t>Work Act</w:t>
      </w:r>
      <w:r w:rsidR="00BD061D" w:rsidRPr="0021671E">
        <w:rPr>
          <w:rFonts w:ascii="Angsana New" w:hAnsi="Angsana New" w:cs="Angsana New"/>
          <w:b/>
          <w:bCs/>
          <w:sz w:val="36"/>
          <w:szCs w:val="36"/>
        </w:rPr>
        <w:t xml:space="preserve"> 1974, Construction Design Management </w:t>
      </w:r>
      <w:r w:rsidR="004D5EAC">
        <w:rPr>
          <w:rFonts w:ascii="Angsana New" w:hAnsi="Angsana New" w:cs="Angsana New"/>
          <w:b/>
          <w:bCs/>
          <w:sz w:val="36"/>
          <w:szCs w:val="36"/>
        </w:rPr>
        <w:t>Regulations</w:t>
      </w:r>
      <w:r w:rsidR="00BD061D" w:rsidRPr="0021671E">
        <w:rPr>
          <w:rFonts w:ascii="Angsana New" w:hAnsi="Angsana New" w:cs="Angsana New"/>
          <w:b/>
          <w:bCs/>
          <w:sz w:val="36"/>
          <w:szCs w:val="36"/>
        </w:rPr>
        <w:t xml:space="preserve"> 2015, Management of </w:t>
      </w:r>
      <w:r w:rsidR="004D5EAC">
        <w:rPr>
          <w:rFonts w:ascii="Angsana New" w:hAnsi="Angsana New" w:cs="Angsana New"/>
          <w:b/>
          <w:bCs/>
          <w:sz w:val="36"/>
          <w:szCs w:val="36"/>
        </w:rPr>
        <w:t>Health</w:t>
      </w:r>
      <w:r w:rsidR="00BD061D" w:rsidRPr="0021671E">
        <w:rPr>
          <w:rFonts w:ascii="Angsana New" w:hAnsi="Angsana New" w:cs="Angsana New"/>
          <w:b/>
          <w:bCs/>
          <w:sz w:val="36"/>
          <w:szCs w:val="36"/>
        </w:rPr>
        <w:t xml:space="preserve"> and Safety at Work Regulations 1999, Working at Height Regulations 2005</w:t>
      </w:r>
      <w:r w:rsidR="0012026D" w:rsidRPr="0021671E">
        <w:rPr>
          <w:rFonts w:ascii="Angsana New" w:hAnsi="Angsana New" w:cs="Angsana New"/>
          <w:b/>
          <w:bCs/>
          <w:sz w:val="36"/>
          <w:szCs w:val="36"/>
        </w:rPr>
        <w:t>,</w:t>
      </w:r>
      <w:r w:rsidR="00B37C65" w:rsidRPr="0021671E">
        <w:rPr>
          <w:rFonts w:ascii="Angsana New" w:hAnsi="Angsana New" w:cs="Angsana New"/>
          <w:b/>
          <w:bCs/>
          <w:sz w:val="36"/>
          <w:szCs w:val="36"/>
        </w:rPr>
        <w:t xml:space="preserve"> Personal Protective Equipment </w:t>
      </w:r>
      <w:r w:rsidR="009627F9">
        <w:rPr>
          <w:rFonts w:ascii="Angsana New" w:hAnsi="Angsana New" w:cs="Angsana New"/>
          <w:b/>
          <w:bCs/>
          <w:sz w:val="36"/>
          <w:szCs w:val="36"/>
        </w:rPr>
        <w:t>a</w:t>
      </w:r>
      <w:r w:rsidR="00B37C65" w:rsidRPr="0021671E">
        <w:rPr>
          <w:rFonts w:ascii="Angsana New" w:hAnsi="Angsana New" w:cs="Angsana New"/>
          <w:b/>
          <w:bCs/>
          <w:sz w:val="36"/>
          <w:szCs w:val="36"/>
        </w:rPr>
        <w:t>t Work Regulations 1992, Control of Noise at Work Regulations 2005</w:t>
      </w:r>
    </w:p>
    <w:p w14:paraId="7CD9B224" w14:textId="77777777" w:rsidR="0021671E" w:rsidRDefault="0021671E" w:rsidP="0021671E">
      <w:pPr>
        <w:rPr>
          <w:rFonts w:ascii="Angsana New" w:hAnsi="Angsana New" w:cs="Angsana New"/>
          <w:b/>
          <w:bCs/>
          <w:sz w:val="44"/>
          <w:szCs w:val="44"/>
        </w:rPr>
      </w:pPr>
    </w:p>
    <w:p w14:paraId="466CE0A9" w14:textId="4F5B2037" w:rsidR="000E17C6" w:rsidRDefault="0021671E" w:rsidP="000E17C6">
      <w:pPr>
        <w:rPr>
          <w:rFonts w:ascii="Angsana New" w:hAnsi="Angsana New" w:cs="Angsana New"/>
          <w:b/>
          <w:bCs/>
          <w:sz w:val="44"/>
          <w:szCs w:val="44"/>
        </w:rPr>
      </w:pPr>
      <w:r>
        <w:rPr>
          <w:rFonts w:ascii="Angsana New" w:hAnsi="Angsana New" w:cs="Angsana New"/>
          <w:b/>
          <w:bCs/>
          <w:sz w:val="44"/>
          <w:szCs w:val="44"/>
        </w:rPr>
        <w:t xml:space="preserve">Page </w:t>
      </w:r>
      <w:r w:rsidR="004D5EAC">
        <w:rPr>
          <w:rFonts w:ascii="Angsana New" w:hAnsi="Angsana New" w:cs="Angsana New"/>
          <w:b/>
          <w:bCs/>
          <w:sz w:val="44"/>
          <w:szCs w:val="44"/>
        </w:rPr>
        <w:t>12-13</w:t>
      </w:r>
      <w:r>
        <w:rPr>
          <w:rFonts w:ascii="Angsana New" w:hAnsi="Angsana New" w:cs="Angsana New"/>
          <w:b/>
          <w:bCs/>
          <w:sz w:val="44"/>
          <w:szCs w:val="44"/>
        </w:rPr>
        <w:t xml:space="preserve">    -   </w:t>
      </w:r>
      <w:r w:rsidR="00B37C65" w:rsidRPr="0021671E">
        <w:rPr>
          <w:rFonts w:ascii="Aharoni" w:hAnsi="Aharoni" w:cs="Aharoni" w:hint="cs"/>
          <w:b/>
          <w:bCs/>
          <w:sz w:val="36"/>
          <w:szCs w:val="36"/>
        </w:rPr>
        <w:t>Understanding of CDM regulations</w:t>
      </w:r>
      <w:r w:rsidR="00B37C65" w:rsidRPr="0021671E">
        <w:rPr>
          <w:rFonts w:ascii="Angsana New" w:hAnsi="Angsana New" w:cs="Angsana New"/>
          <w:b/>
          <w:bCs/>
          <w:sz w:val="36"/>
          <w:szCs w:val="36"/>
        </w:rPr>
        <w:t xml:space="preserve"> </w:t>
      </w:r>
      <w:r w:rsidR="00B37C65" w:rsidRPr="0021671E">
        <w:rPr>
          <w:rFonts w:ascii="Angsana New" w:hAnsi="Angsana New" w:cs="Angsana New"/>
          <w:b/>
          <w:bCs/>
          <w:sz w:val="44"/>
          <w:szCs w:val="44"/>
        </w:rPr>
        <w:t xml:space="preserve">– </w:t>
      </w:r>
      <w:r w:rsidR="00B37C65" w:rsidRPr="000E17C6">
        <w:rPr>
          <w:rFonts w:ascii="Angsana New" w:hAnsi="Angsana New" w:cs="Angsana New"/>
          <w:b/>
          <w:bCs/>
          <w:sz w:val="36"/>
          <w:szCs w:val="36"/>
        </w:rPr>
        <w:t xml:space="preserve">responsibilities </w:t>
      </w:r>
    </w:p>
    <w:p w14:paraId="1545B69C" w14:textId="08A8951B" w:rsidR="00BB4108" w:rsidRPr="000E17C6" w:rsidRDefault="00BB4108" w:rsidP="000E17C6">
      <w:pPr>
        <w:rPr>
          <w:rFonts w:ascii="Angsana New" w:hAnsi="Angsana New" w:cs="Angsana New"/>
          <w:b/>
          <w:bCs/>
          <w:sz w:val="44"/>
          <w:szCs w:val="44"/>
        </w:rPr>
      </w:pPr>
      <w:r w:rsidRPr="00BB4108">
        <w:rPr>
          <w:rFonts w:ascii="Angsana New" w:hAnsi="Angsana New" w:cs="Angsana New"/>
          <w:b/>
          <w:bCs/>
          <w:noProof/>
          <w:sz w:val="72"/>
          <w:szCs w:val="72"/>
        </w:rPr>
        <w:lastRenderedPageBreak/>
        <w:drawing>
          <wp:anchor distT="0" distB="0" distL="114300" distR="114300" simplePos="0" relativeHeight="251661312" behindDoc="0" locked="0" layoutInCell="1" allowOverlap="1" wp14:anchorId="4E4259A0" wp14:editId="47184C08">
            <wp:simplePos x="0" y="0"/>
            <wp:positionH relativeFrom="page">
              <wp:posOffset>4083050</wp:posOffset>
            </wp:positionH>
            <wp:positionV relativeFrom="paragraph">
              <wp:posOffset>0</wp:posOffset>
            </wp:positionV>
            <wp:extent cx="3374390" cy="2245995"/>
            <wp:effectExtent l="304800" t="304800" r="321310" b="325755"/>
            <wp:wrapSquare wrapText="bothSides"/>
            <wp:docPr id="5490532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74390" cy="2245995"/>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Pr="00BB4108">
        <w:rPr>
          <w:rFonts w:ascii="Angsana New" w:hAnsi="Angsana New" w:cs="Angsana New"/>
          <w:b/>
          <w:bCs/>
          <w:sz w:val="72"/>
          <w:szCs w:val="72"/>
        </w:rPr>
        <w:t>Scenario</w:t>
      </w:r>
    </w:p>
    <w:p w14:paraId="6CBA5D8D" w14:textId="50B18E78" w:rsidR="00BB4108" w:rsidRPr="000E17C6" w:rsidRDefault="00BB4108" w:rsidP="00BB4108">
      <w:pPr>
        <w:tabs>
          <w:tab w:val="left" w:pos="8342"/>
        </w:tabs>
        <w:rPr>
          <w:rFonts w:ascii="Angsana New" w:hAnsi="Angsana New" w:cs="Angsana New"/>
          <w:b/>
          <w:bCs/>
          <w:sz w:val="144"/>
          <w:szCs w:val="144"/>
        </w:rPr>
      </w:pPr>
      <w:r w:rsidRPr="000E17C6">
        <w:rPr>
          <w:rFonts w:ascii="Arial" w:hAnsi="Arial" w:cs="Arial"/>
          <w:sz w:val="48"/>
          <w:szCs w:val="48"/>
        </w:rPr>
        <w:t xml:space="preserve">You have been appointed as a trainee Health and Safety Officer for UWTSD Construction, a construction company currently planning to build a block of affordable flats on </w:t>
      </w:r>
      <w:r w:rsidR="009627F9" w:rsidRPr="000E17C6">
        <w:rPr>
          <w:rFonts w:ascii="Arial" w:hAnsi="Arial" w:cs="Arial"/>
          <w:sz w:val="48"/>
          <w:szCs w:val="48"/>
        </w:rPr>
        <w:t>Kings Road</w:t>
      </w:r>
      <w:r w:rsidR="009627F9">
        <w:rPr>
          <w:rFonts w:ascii="Arial" w:hAnsi="Arial" w:cs="Arial"/>
          <w:sz w:val="48"/>
          <w:szCs w:val="48"/>
        </w:rPr>
        <w:t>,</w:t>
      </w:r>
      <w:r w:rsidRPr="000E17C6">
        <w:rPr>
          <w:rFonts w:ascii="Arial" w:hAnsi="Arial" w:cs="Arial"/>
          <w:sz w:val="48"/>
          <w:szCs w:val="48"/>
        </w:rPr>
        <w:t xml:space="preserve"> SA1. To test your knowledge of Health and Safety legislation</w:t>
      </w:r>
      <w:r w:rsidR="009627F9">
        <w:rPr>
          <w:rFonts w:ascii="Arial" w:hAnsi="Arial" w:cs="Arial"/>
          <w:sz w:val="48"/>
          <w:szCs w:val="48"/>
        </w:rPr>
        <w:t>s</w:t>
      </w:r>
      <w:r w:rsidRPr="000E17C6">
        <w:rPr>
          <w:rFonts w:ascii="Arial" w:hAnsi="Arial" w:cs="Arial"/>
          <w:sz w:val="48"/>
          <w:szCs w:val="48"/>
        </w:rPr>
        <w:t>, the director has tasked you with creating a report.</w:t>
      </w:r>
    </w:p>
    <w:p w14:paraId="6F13763F" w14:textId="5DD5572F" w:rsidR="00BB4108" w:rsidRDefault="00BB4108">
      <w:pPr>
        <w:rPr>
          <w:rFonts w:ascii="Arial" w:hAnsi="Arial" w:cs="Arial"/>
        </w:rPr>
      </w:pPr>
    </w:p>
    <w:p w14:paraId="7C4E254B" w14:textId="77777777" w:rsidR="0012026D" w:rsidRDefault="0012026D">
      <w:pPr>
        <w:rPr>
          <w:rFonts w:ascii="Arial" w:hAnsi="Arial" w:cs="Arial"/>
        </w:rPr>
      </w:pPr>
    </w:p>
    <w:p w14:paraId="709AEFA0" w14:textId="77777777" w:rsidR="0012026D" w:rsidRDefault="0012026D">
      <w:pPr>
        <w:rPr>
          <w:rFonts w:ascii="Arial" w:hAnsi="Arial" w:cs="Arial"/>
        </w:rPr>
      </w:pPr>
    </w:p>
    <w:p w14:paraId="0DF42CEC" w14:textId="77777777" w:rsidR="0012026D" w:rsidRDefault="0012026D">
      <w:pPr>
        <w:rPr>
          <w:rFonts w:ascii="Arial" w:hAnsi="Arial" w:cs="Arial"/>
        </w:rPr>
      </w:pPr>
    </w:p>
    <w:p w14:paraId="2E7134B2" w14:textId="77777777" w:rsidR="0012026D" w:rsidRDefault="0012026D">
      <w:pPr>
        <w:rPr>
          <w:rFonts w:ascii="Arial" w:hAnsi="Arial" w:cs="Arial"/>
        </w:rPr>
      </w:pPr>
    </w:p>
    <w:p w14:paraId="28EB5379" w14:textId="77777777" w:rsidR="0012026D" w:rsidRDefault="0012026D">
      <w:pPr>
        <w:rPr>
          <w:rFonts w:ascii="Arial" w:hAnsi="Arial" w:cs="Arial"/>
        </w:rPr>
      </w:pPr>
    </w:p>
    <w:p w14:paraId="56BA14CD" w14:textId="77777777" w:rsidR="0012026D" w:rsidRDefault="0012026D">
      <w:pPr>
        <w:rPr>
          <w:rFonts w:ascii="Arial" w:hAnsi="Arial" w:cs="Arial"/>
        </w:rPr>
      </w:pPr>
    </w:p>
    <w:p w14:paraId="1B02992C" w14:textId="77777777" w:rsidR="0012026D" w:rsidRPr="004D5EAC" w:rsidRDefault="0012026D" w:rsidP="0012026D">
      <w:pPr>
        <w:rPr>
          <w:rFonts w:asciiTheme="majorHAnsi" w:hAnsiTheme="majorHAnsi" w:cs="Arial"/>
          <w:i/>
          <w:iCs/>
          <w:color w:val="00B0F0"/>
          <w:sz w:val="32"/>
          <w:szCs w:val="32"/>
          <w:u w:val="single"/>
        </w:rPr>
      </w:pPr>
      <w:r w:rsidRPr="004D5EAC">
        <w:rPr>
          <w:rFonts w:asciiTheme="majorHAnsi" w:hAnsiTheme="majorHAnsi" w:cs="Arial"/>
          <w:i/>
          <w:iCs/>
          <w:color w:val="00B0F0"/>
          <w:sz w:val="32"/>
          <w:szCs w:val="32"/>
          <w:u w:val="single"/>
        </w:rPr>
        <w:t>Youle, R. (2023). Block of 104 ‘affordable’ flats set to be built in Swansea’s SA1. [online] Wales Online. Available at: https://www.walesonline.co.uk/news/wales-news/swansea-property-affordable-housing-sa1-28120201 [Accessed 10 May 2025].</w:t>
      </w:r>
    </w:p>
    <w:p w14:paraId="6FCA30EC" w14:textId="3FC10DDD" w:rsidR="0012026D" w:rsidRPr="004D5EAC" w:rsidRDefault="000E17C6">
      <w:pPr>
        <w:rPr>
          <w:rFonts w:ascii="Angsana New" w:hAnsi="Angsana New" w:cs="Angsana New" w:hint="cs"/>
          <w:b/>
          <w:bCs/>
          <w:sz w:val="44"/>
          <w:szCs w:val="44"/>
        </w:rPr>
      </w:pPr>
      <w:r w:rsidRPr="004D5EAC">
        <w:rPr>
          <w:rFonts w:ascii="Angsana New" w:hAnsi="Angsana New" w:cs="Angsana New" w:hint="cs"/>
          <w:b/>
          <w:bCs/>
          <w:sz w:val="44"/>
          <w:szCs w:val="44"/>
        </w:rPr>
        <w:lastRenderedPageBreak/>
        <w:t xml:space="preserve">What is the </w:t>
      </w:r>
      <w:r w:rsidR="004D5EAC">
        <w:rPr>
          <w:rFonts w:ascii="Angsana New" w:hAnsi="Angsana New" w:cs="Angsana New"/>
          <w:b/>
          <w:bCs/>
          <w:sz w:val="44"/>
          <w:szCs w:val="44"/>
        </w:rPr>
        <w:t>Building Safety Act,</w:t>
      </w:r>
      <w:r w:rsidRPr="004D5EAC">
        <w:rPr>
          <w:rFonts w:ascii="Angsana New" w:hAnsi="Angsana New" w:cs="Angsana New" w:hint="cs"/>
          <w:b/>
          <w:bCs/>
          <w:sz w:val="44"/>
          <w:szCs w:val="44"/>
        </w:rPr>
        <w:t xml:space="preserve"> and its impact on the project</w:t>
      </w:r>
      <w:r w:rsidR="004D5EAC">
        <w:rPr>
          <w:rFonts w:ascii="Angsana New" w:hAnsi="Angsana New" w:cs="Angsana New"/>
          <w:b/>
          <w:bCs/>
          <w:sz w:val="44"/>
          <w:szCs w:val="44"/>
        </w:rPr>
        <w:t>?</w:t>
      </w:r>
    </w:p>
    <w:p w14:paraId="2EEB17FC" w14:textId="323781C2" w:rsidR="000E17C6" w:rsidRDefault="000C77A2">
      <w:pPr>
        <w:rPr>
          <w:rFonts w:ascii="Arial" w:hAnsi="Arial" w:cs="Arial"/>
        </w:rPr>
      </w:pPr>
      <w:r>
        <w:rPr>
          <w:noProof/>
        </w:rPr>
        <w:drawing>
          <wp:anchor distT="0" distB="0" distL="114300" distR="114300" simplePos="0" relativeHeight="251663360" behindDoc="1" locked="0" layoutInCell="1" allowOverlap="1" wp14:anchorId="15AA1063" wp14:editId="271A75EC">
            <wp:simplePos x="0" y="0"/>
            <wp:positionH relativeFrom="column">
              <wp:posOffset>-57150</wp:posOffset>
            </wp:positionH>
            <wp:positionV relativeFrom="paragraph">
              <wp:posOffset>335915</wp:posOffset>
            </wp:positionV>
            <wp:extent cx="2724150" cy="1390650"/>
            <wp:effectExtent l="190500" t="190500" r="190500" b="190500"/>
            <wp:wrapTight wrapText="bothSides">
              <wp:wrapPolygon edited="0">
                <wp:start x="302" y="-2959"/>
                <wp:lineTo x="-1510" y="-2367"/>
                <wp:lineTo x="-1359" y="21600"/>
                <wp:lineTo x="151" y="23671"/>
                <wp:lineTo x="302" y="24263"/>
                <wp:lineTo x="21147" y="24263"/>
                <wp:lineTo x="21298" y="23671"/>
                <wp:lineTo x="22808" y="21600"/>
                <wp:lineTo x="22959" y="2367"/>
                <wp:lineTo x="21298" y="-2071"/>
                <wp:lineTo x="21147" y="-2959"/>
                <wp:lineTo x="302" y="-2959"/>
              </wp:wrapPolygon>
            </wp:wrapTight>
            <wp:docPr id="759837824" name="Picture 3" descr="Image result for the building safety a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the building safety a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24150" cy="1390650"/>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anchor>
        </w:drawing>
      </w:r>
    </w:p>
    <w:p w14:paraId="0DFB2F8C" w14:textId="15532823" w:rsidR="000E17C6" w:rsidRDefault="000E17C6">
      <w:pPr>
        <w:rPr>
          <w:rFonts w:ascii="Arial" w:hAnsi="Arial" w:cs="Arial"/>
        </w:rPr>
      </w:pPr>
      <w:r w:rsidRPr="000E17C6">
        <w:rPr>
          <w:rFonts w:ascii="Arial" w:hAnsi="Arial" w:cs="Arial"/>
        </w:rPr>
        <w:t>The Building Safety Act 2022 constitutes a pivotal legislative measure in the United Kingdom, enacted as a direct response to the Grenfell Tower tragedy of 2017. Its foremost objective is to enhance the safety and accountability of residential buildings, with a particular focus on high-rise and multi-occupancy structures. This legislation signifies a comprehensive overhaul of building safety regulations, instituting new responsibilities, roles, and enforcement mechanisms within the construction and housing industries.</w:t>
      </w:r>
    </w:p>
    <w:p w14:paraId="3C96FB6C" w14:textId="77777777" w:rsidR="000E17C6" w:rsidRDefault="000E17C6">
      <w:pPr>
        <w:rPr>
          <w:rFonts w:ascii="Arial" w:hAnsi="Arial" w:cs="Arial"/>
        </w:rPr>
      </w:pPr>
    </w:p>
    <w:p w14:paraId="1C76C663" w14:textId="77777777" w:rsidR="000E17C6" w:rsidRDefault="000E17C6">
      <w:pPr>
        <w:rPr>
          <w:rFonts w:ascii="Arial" w:hAnsi="Arial" w:cs="Arial"/>
          <w:color w:val="000000"/>
          <w:sz w:val="27"/>
          <w:szCs w:val="27"/>
          <w:shd w:val="clear" w:color="auto" w:fill="F4F5F6"/>
        </w:rPr>
      </w:pPr>
    </w:p>
    <w:p w14:paraId="128FA54B" w14:textId="7A0D7681" w:rsidR="000E17C6" w:rsidRDefault="000E17C6">
      <w:pPr>
        <w:rPr>
          <w:rFonts w:ascii="Arial" w:hAnsi="Arial" w:cs="Arial"/>
        </w:rPr>
      </w:pPr>
      <w:r w:rsidRPr="000E17C6">
        <w:rPr>
          <w:rFonts w:ascii="Arial" w:hAnsi="Arial" w:cs="Arial"/>
        </w:rPr>
        <w:t>A significant aspect of the Act is the establishment of a new Building Safety Regulator (BSR) under the Health and Safety Executive (HSE). The BSR is responsible for ensuring the safety of high-rise residential buildings, which are defined as those reaching 18 metres or seven storeys and higher, throughout their entire lifecycle—from the design and construction phases to occupation and ongoing management. Consequently, construction firms will face enhanced scrutiny and must adhere strictly to gateway processes at critical points: during planning, prior to the commencement of construction, and before the building is occupied.</w:t>
      </w:r>
    </w:p>
    <w:p w14:paraId="2C2008AA" w14:textId="77777777" w:rsidR="000E17C6" w:rsidRDefault="000E17C6">
      <w:pPr>
        <w:rPr>
          <w:rFonts w:ascii="Arial" w:hAnsi="Arial" w:cs="Arial"/>
        </w:rPr>
      </w:pPr>
    </w:p>
    <w:p w14:paraId="67E6B6FD" w14:textId="77777777" w:rsidR="000E17C6" w:rsidRDefault="000E17C6">
      <w:pPr>
        <w:rPr>
          <w:rFonts w:ascii="Arial" w:hAnsi="Arial" w:cs="Arial"/>
        </w:rPr>
      </w:pPr>
    </w:p>
    <w:p w14:paraId="3CCF3DB8" w14:textId="06BFD044" w:rsidR="000E17C6" w:rsidRDefault="000E17C6">
      <w:pPr>
        <w:rPr>
          <w:rFonts w:ascii="Arial" w:hAnsi="Arial" w:cs="Arial"/>
        </w:rPr>
      </w:pPr>
      <w:r w:rsidRPr="000E17C6">
        <w:rPr>
          <w:rFonts w:ascii="Arial" w:hAnsi="Arial" w:cs="Arial"/>
        </w:rPr>
        <w:t>A fundamental aspect of the Act is the establishment of the 'Golden Thread of Information', which pertains to the digital preservation and ongoing revision of all safety-related data concerning buildings. It is now a legal obligation for contractors, designers, and developers to furnish precise records and information that validate the safety and regulatory compliance of a building. While this requirement amplifies the administrative and documentation responsibilities for residential construction projects, it ultimately promotes enduring safety and transparency.</w:t>
      </w:r>
    </w:p>
    <w:p w14:paraId="171F1810" w14:textId="77777777" w:rsidR="000E17C6" w:rsidRDefault="000E17C6">
      <w:pPr>
        <w:rPr>
          <w:rFonts w:ascii="Arial" w:hAnsi="Arial" w:cs="Arial"/>
        </w:rPr>
      </w:pPr>
    </w:p>
    <w:p w14:paraId="319133E0" w14:textId="749EB4EF" w:rsidR="000E17C6" w:rsidRDefault="000E17C6">
      <w:pPr>
        <w:rPr>
          <w:rFonts w:ascii="Arial" w:hAnsi="Arial" w:cs="Arial"/>
        </w:rPr>
      </w:pPr>
      <w:r w:rsidRPr="000E17C6">
        <w:rPr>
          <w:rFonts w:ascii="Arial" w:hAnsi="Arial" w:cs="Arial"/>
        </w:rPr>
        <w:t xml:space="preserve">The legislation also establishes new duty holder positions that reflect those outlined in the CDM Regulations 2015. These positions encompass clients, principal designers, and principal contractors, each with specific responsibilities aimed at effectively managing building safety risks. Failure to comply with these regulations </w:t>
      </w:r>
      <w:r w:rsidRPr="000E17C6">
        <w:rPr>
          <w:rFonts w:ascii="Arial" w:hAnsi="Arial" w:cs="Arial"/>
        </w:rPr>
        <w:lastRenderedPageBreak/>
        <w:t>may result in significant penalties, including criminal prosecution. For workers and health and safety professionals, the legislation raises the bar for expectations concerning competence, training, and the safety culture on construction sites. Construction firms are required to ensure that all individuals involved in the project possess the requisite skills, knowledge, and experience to carry out their responsibilities safely and to the established standards.</w:t>
      </w:r>
    </w:p>
    <w:p w14:paraId="7B1CCCBD" w14:textId="77777777" w:rsidR="00ED321C" w:rsidRDefault="00ED321C">
      <w:pPr>
        <w:rPr>
          <w:rFonts w:ascii="Arial" w:hAnsi="Arial" w:cs="Arial"/>
        </w:rPr>
      </w:pPr>
    </w:p>
    <w:p w14:paraId="381F8DDD" w14:textId="0CDC88BE" w:rsidR="00ED321C" w:rsidRDefault="00ED321C">
      <w:pPr>
        <w:rPr>
          <w:rFonts w:ascii="Arial" w:hAnsi="Arial" w:cs="Arial"/>
        </w:rPr>
      </w:pPr>
      <w:r w:rsidRPr="00ED321C">
        <w:rPr>
          <w:rFonts w:ascii="Arial" w:hAnsi="Arial" w:cs="Arial"/>
        </w:rPr>
        <w:t>In conclusion, the Building Safety Act has instigated a significant cultural transformation within the UK construction sector, particularly concerning residential developments. It underscores the importance of safety, accountability, and quality across the entire lifecycle of a building. For professionals in the construction field, including aspiring health and safety officers, it is crucial to comprehend and implement the tenets of this Act to ensure adherence to regulations, safeguard lives, and foster trust within the industry.</w:t>
      </w:r>
    </w:p>
    <w:p w14:paraId="70CC0C0D" w14:textId="77777777" w:rsidR="00ED321C" w:rsidRDefault="00ED321C">
      <w:pPr>
        <w:rPr>
          <w:rFonts w:ascii="Arial" w:hAnsi="Arial" w:cs="Arial"/>
        </w:rPr>
      </w:pPr>
    </w:p>
    <w:p w14:paraId="4D63BB25" w14:textId="77777777" w:rsidR="00ED321C" w:rsidRPr="004D5EAC" w:rsidRDefault="00ED321C" w:rsidP="00ED321C">
      <w:pPr>
        <w:jc w:val="center"/>
        <w:rPr>
          <w:rFonts w:asciiTheme="majorHAnsi" w:hAnsiTheme="majorHAnsi" w:cs="Arial"/>
          <w:i/>
          <w:iCs/>
          <w:color w:val="00B0F0"/>
          <w:sz w:val="28"/>
          <w:szCs w:val="28"/>
          <w:u w:val="single"/>
        </w:rPr>
      </w:pPr>
      <w:r w:rsidRPr="004D5EAC">
        <w:rPr>
          <w:rFonts w:asciiTheme="majorHAnsi" w:hAnsiTheme="majorHAnsi" w:cs="Arial"/>
          <w:i/>
          <w:iCs/>
          <w:color w:val="00B0F0"/>
          <w:sz w:val="28"/>
          <w:szCs w:val="28"/>
          <w:u w:val="single"/>
        </w:rPr>
        <w:t>GOV.UK (2022). The Building Safety Act. [online] GOV.UK. Available at: https://www.gov.uk/guidance/the-building-safety-act [Accessed 11 May 2025].</w:t>
      </w:r>
    </w:p>
    <w:p w14:paraId="0E2F20D2" w14:textId="77777777" w:rsidR="00ED321C" w:rsidRPr="004D5EAC" w:rsidRDefault="00ED321C" w:rsidP="00ED321C">
      <w:pPr>
        <w:jc w:val="center"/>
        <w:rPr>
          <w:rFonts w:asciiTheme="majorHAnsi" w:hAnsiTheme="majorHAnsi" w:cs="Arial"/>
          <w:i/>
          <w:iCs/>
          <w:color w:val="00B0F0"/>
          <w:sz w:val="28"/>
          <w:szCs w:val="28"/>
          <w:u w:val="single"/>
        </w:rPr>
      </w:pPr>
    </w:p>
    <w:p w14:paraId="6EB1D123" w14:textId="49226809" w:rsidR="00ED321C" w:rsidRDefault="00ED321C" w:rsidP="00ED321C">
      <w:pPr>
        <w:jc w:val="center"/>
        <w:rPr>
          <w:rFonts w:asciiTheme="majorHAnsi" w:hAnsiTheme="majorHAnsi" w:cs="Arial"/>
          <w:i/>
          <w:iCs/>
          <w:color w:val="00B0F0"/>
          <w:sz w:val="28"/>
          <w:szCs w:val="28"/>
          <w:u w:val="single"/>
        </w:rPr>
      </w:pPr>
      <w:r w:rsidRPr="004D5EAC">
        <w:rPr>
          <w:rFonts w:asciiTheme="majorHAnsi" w:hAnsiTheme="majorHAnsi" w:cs="Arial"/>
          <w:i/>
          <w:iCs/>
          <w:color w:val="00B0F0"/>
          <w:sz w:val="28"/>
          <w:szCs w:val="28"/>
          <w:u w:val="single"/>
        </w:rPr>
        <w:t>HSE. Building safety - HSE. [online] www.hse.gov.uk. Available at: https://www.hse.gov.uk/building-safety/ [Accessed 11 May 2025].</w:t>
      </w:r>
    </w:p>
    <w:p w14:paraId="4FB887C5" w14:textId="77777777" w:rsidR="000C77A2" w:rsidRDefault="000C77A2" w:rsidP="00ED321C">
      <w:pPr>
        <w:jc w:val="center"/>
        <w:rPr>
          <w:rFonts w:asciiTheme="majorHAnsi" w:hAnsiTheme="majorHAnsi" w:cs="Arial"/>
          <w:i/>
          <w:iCs/>
          <w:color w:val="00B0F0"/>
          <w:sz w:val="28"/>
          <w:szCs w:val="28"/>
          <w:u w:val="single"/>
        </w:rPr>
      </w:pPr>
    </w:p>
    <w:p w14:paraId="0C0327CA" w14:textId="77777777" w:rsidR="000C77A2" w:rsidRPr="000C77A2" w:rsidRDefault="000C77A2" w:rsidP="000C77A2">
      <w:pPr>
        <w:jc w:val="center"/>
        <w:rPr>
          <w:rFonts w:asciiTheme="majorHAnsi" w:hAnsiTheme="majorHAnsi" w:cs="Arial"/>
          <w:i/>
          <w:iCs/>
          <w:color w:val="00B0F0"/>
          <w:sz w:val="28"/>
          <w:szCs w:val="28"/>
          <w:u w:val="single"/>
        </w:rPr>
      </w:pPr>
      <w:r w:rsidRPr="000C77A2">
        <w:rPr>
          <w:rFonts w:asciiTheme="majorHAnsi" w:hAnsiTheme="majorHAnsi" w:cs="Arial"/>
          <w:i/>
          <w:iCs/>
          <w:color w:val="00B0F0"/>
          <w:sz w:val="28"/>
          <w:szCs w:val="28"/>
          <w:u w:val="single"/>
        </w:rPr>
        <w:t>Graphics, B. (2023). Building Safety Act 2022 – Everything You Need to Know. [online] Hantsfire.gov.uk. Available at: https://www.hantsfire.gov.uk/wp-content/uploads/2023/10/building-safety-act-pic.jpg [Accessed 11 May 2025].</w:t>
      </w:r>
    </w:p>
    <w:p w14:paraId="4E9E1B2C" w14:textId="77777777" w:rsidR="000C77A2" w:rsidRPr="004D5EAC" w:rsidRDefault="000C77A2" w:rsidP="00ED321C">
      <w:pPr>
        <w:jc w:val="center"/>
        <w:rPr>
          <w:rFonts w:asciiTheme="majorHAnsi" w:hAnsiTheme="majorHAnsi" w:cs="Arial"/>
          <w:i/>
          <w:iCs/>
          <w:color w:val="00B0F0"/>
          <w:sz w:val="28"/>
          <w:szCs w:val="28"/>
          <w:u w:val="single"/>
        </w:rPr>
      </w:pPr>
    </w:p>
    <w:p w14:paraId="56408F7C" w14:textId="77777777" w:rsidR="00ED321C" w:rsidRPr="00ED321C" w:rsidRDefault="00ED321C" w:rsidP="00ED321C">
      <w:pPr>
        <w:jc w:val="center"/>
        <w:rPr>
          <w:rFonts w:ascii="Arial" w:hAnsi="Arial" w:cs="Arial"/>
        </w:rPr>
      </w:pPr>
    </w:p>
    <w:p w14:paraId="4D8DCF05" w14:textId="77777777" w:rsidR="00ED321C" w:rsidRDefault="00ED321C">
      <w:pPr>
        <w:rPr>
          <w:rFonts w:ascii="Arial" w:hAnsi="Arial" w:cs="Arial"/>
        </w:rPr>
      </w:pPr>
    </w:p>
    <w:p w14:paraId="60892EF8" w14:textId="6823B737" w:rsidR="00BB4108" w:rsidRDefault="00BB4108">
      <w:pPr>
        <w:rPr>
          <w:rFonts w:ascii="Angsana New" w:hAnsi="Angsana New" w:cs="Angsana New"/>
          <w:b/>
          <w:bCs/>
          <w:sz w:val="44"/>
          <w:szCs w:val="44"/>
        </w:rPr>
      </w:pPr>
    </w:p>
    <w:p w14:paraId="22235C10" w14:textId="77777777" w:rsidR="000E17C6" w:rsidRDefault="000E17C6">
      <w:pPr>
        <w:rPr>
          <w:rFonts w:ascii="Angsana New" w:hAnsi="Angsana New" w:cs="Angsana New"/>
          <w:b/>
          <w:bCs/>
          <w:sz w:val="44"/>
          <w:szCs w:val="44"/>
        </w:rPr>
      </w:pPr>
    </w:p>
    <w:p w14:paraId="2DF7B39E" w14:textId="77777777" w:rsidR="00F00E78" w:rsidRDefault="00F00E78">
      <w:pPr>
        <w:rPr>
          <w:rFonts w:ascii="Angsana New" w:hAnsi="Angsana New" w:cs="Angsana New"/>
          <w:b/>
          <w:bCs/>
          <w:sz w:val="44"/>
          <w:szCs w:val="44"/>
        </w:rPr>
      </w:pPr>
    </w:p>
    <w:p w14:paraId="65DF7927" w14:textId="77777777" w:rsidR="00F00E78" w:rsidRDefault="00F00E78">
      <w:pPr>
        <w:rPr>
          <w:rFonts w:ascii="Angsana New" w:hAnsi="Angsana New" w:cs="Angsana New"/>
          <w:b/>
          <w:bCs/>
          <w:sz w:val="44"/>
          <w:szCs w:val="44"/>
        </w:rPr>
      </w:pPr>
    </w:p>
    <w:p w14:paraId="775C65E7" w14:textId="77777777" w:rsidR="00F00E78" w:rsidRDefault="00F00E78">
      <w:pPr>
        <w:rPr>
          <w:rFonts w:ascii="Angsana New" w:hAnsi="Angsana New" w:cs="Angsana New"/>
          <w:b/>
          <w:bCs/>
          <w:sz w:val="44"/>
          <w:szCs w:val="44"/>
        </w:rPr>
      </w:pPr>
    </w:p>
    <w:p w14:paraId="566F841D" w14:textId="77777777" w:rsidR="00F00E78" w:rsidRDefault="00F00E78">
      <w:pPr>
        <w:rPr>
          <w:rFonts w:ascii="Angsana New" w:hAnsi="Angsana New" w:cs="Angsana New"/>
          <w:b/>
          <w:bCs/>
          <w:sz w:val="44"/>
          <w:szCs w:val="44"/>
        </w:rPr>
      </w:pPr>
    </w:p>
    <w:p w14:paraId="2CAC1855" w14:textId="77777777" w:rsidR="00F00E78" w:rsidRDefault="00F00E78">
      <w:pPr>
        <w:rPr>
          <w:rFonts w:ascii="Angsana New" w:hAnsi="Angsana New" w:cs="Angsana New"/>
          <w:b/>
          <w:bCs/>
          <w:sz w:val="44"/>
          <w:szCs w:val="44"/>
        </w:rPr>
      </w:pPr>
    </w:p>
    <w:p w14:paraId="45B1BB7E" w14:textId="62DC8EDD" w:rsidR="00F00E78" w:rsidRDefault="00F00E78">
      <w:pPr>
        <w:rPr>
          <w:rFonts w:ascii="Angsana New" w:hAnsi="Angsana New" w:cs="Angsana New"/>
          <w:b/>
          <w:bCs/>
          <w:sz w:val="44"/>
          <w:szCs w:val="44"/>
        </w:rPr>
      </w:pPr>
    </w:p>
    <w:p w14:paraId="2238A17E" w14:textId="32381616" w:rsidR="00F00E78" w:rsidRDefault="00E42734">
      <w:pPr>
        <w:rPr>
          <w:rFonts w:ascii="Angsana New" w:hAnsi="Angsana New" w:cs="Angsana New"/>
          <w:b/>
          <w:bCs/>
          <w:sz w:val="44"/>
          <w:szCs w:val="44"/>
        </w:rPr>
      </w:pPr>
      <w:r>
        <w:rPr>
          <w:rFonts w:ascii="Angsana New" w:hAnsi="Angsana New" w:cs="Angsana New"/>
          <w:b/>
          <w:bCs/>
          <w:sz w:val="44"/>
          <w:szCs w:val="44"/>
        </w:rPr>
        <w:t>Health and Safety at Work Act (HASAWA) 1974</w:t>
      </w:r>
    </w:p>
    <w:p w14:paraId="723D5034" w14:textId="040B06F9" w:rsidR="00F00E78" w:rsidRDefault="00F00E78">
      <w:pPr>
        <w:rPr>
          <w:rFonts w:ascii="Angsana New" w:hAnsi="Angsana New" w:cs="Angsana New"/>
          <w:b/>
          <w:bCs/>
          <w:sz w:val="44"/>
          <w:szCs w:val="44"/>
        </w:rPr>
      </w:pPr>
    </w:p>
    <w:p w14:paraId="2C6D0B0E" w14:textId="36173D53" w:rsidR="00F00E78" w:rsidRDefault="005E2679">
      <w:pPr>
        <w:rPr>
          <w:rFonts w:ascii="Angsana New" w:hAnsi="Angsana New" w:cs="Angsana New"/>
          <w:b/>
          <w:bCs/>
          <w:sz w:val="44"/>
          <w:szCs w:val="44"/>
        </w:rPr>
      </w:pPr>
      <w:r>
        <w:rPr>
          <w:noProof/>
        </w:rPr>
        <w:drawing>
          <wp:anchor distT="0" distB="0" distL="114300" distR="114300" simplePos="0" relativeHeight="251664384" behindDoc="1" locked="0" layoutInCell="1" allowOverlap="1" wp14:anchorId="68C1F56C" wp14:editId="498518B6">
            <wp:simplePos x="0" y="0"/>
            <wp:positionH relativeFrom="column">
              <wp:posOffset>3295650</wp:posOffset>
            </wp:positionH>
            <wp:positionV relativeFrom="paragraph">
              <wp:posOffset>457200</wp:posOffset>
            </wp:positionV>
            <wp:extent cx="2332990" cy="3125470"/>
            <wp:effectExtent l="0" t="0" r="0" b="0"/>
            <wp:wrapTight wrapText="bothSides">
              <wp:wrapPolygon edited="0">
                <wp:start x="705" y="0"/>
                <wp:lineTo x="0" y="263"/>
                <wp:lineTo x="0" y="21196"/>
                <wp:lineTo x="529" y="21460"/>
                <wp:lineTo x="705" y="21460"/>
                <wp:lineTo x="20636" y="21460"/>
                <wp:lineTo x="20812" y="21460"/>
                <wp:lineTo x="21341" y="21196"/>
                <wp:lineTo x="21341" y="263"/>
                <wp:lineTo x="20636" y="0"/>
                <wp:lineTo x="705" y="0"/>
              </wp:wrapPolygon>
            </wp:wrapTight>
            <wp:docPr id="85512738" name="Picture 4" descr="Primary legislation – Chris Cah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rimary legislation – Chris Cahil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32990" cy="312547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p>
    <w:p w14:paraId="705E962F" w14:textId="4014D042" w:rsidR="00F00E78" w:rsidRDefault="00E42734">
      <w:pPr>
        <w:rPr>
          <w:rFonts w:ascii="Arial" w:hAnsi="Arial" w:cs="Arial"/>
        </w:rPr>
      </w:pPr>
      <w:r w:rsidRPr="000C77A2">
        <w:rPr>
          <w:rFonts w:ascii="Arial" w:hAnsi="Arial" w:cs="Arial"/>
        </w:rPr>
        <w:t xml:space="preserve">The Health and Safety at Work </w:t>
      </w:r>
      <w:r w:rsidRPr="000C77A2">
        <w:rPr>
          <w:rFonts w:ascii="Arial" w:hAnsi="Arial" w:cs="Arial"/>
        </w:rPr>
        <w:t>A</w:t>
      </w:r>
      <w:r w:rsidRPr="000C77A2">
        <w:rPr>
          <w:rFonts w:ascii="Arial" w:hAnsi="Arial" w:cs="Arial"/>
        </w:rPr>
        <w:t xml:space="preserve">ct 1974 is crucial for safeguarding the </w:t>
      </w:r>
      <w:r w:rsidRPr="000C77A2">
        <w:rPr>
          <w:rFonts w:ascii="Arial" w:hAnsi="Arial" w:cs="Arial"/>
        </w:rPr>
        <w:t>well-being</w:t>
      </w:r>
      <w:r w:rsidRPr="000C77A2">
        <w:rPr>
          <w:rFonts w:ascii="Arial" w:hAnsi="Arial" w:cs="Arial"/>
        </w:rPr>
        <w:t xml:space="preserve"> of employees, contractors, and the general public. This legislation imposes a legal obligation on employers, including those in the construction sector, to ensure the health, safety, and welfare of their workforce and others who may be impacted by their operations. During construction, the primary contractor is required to evaluate potential hazards and implement necessary control measures. This encompasses provid</w:t>
      </w:r>
      <w:r w:rsidR="00477C29">
        <w:rPr>
          <w:rFonts w:ascii="Arial" w:hAnsi="Arial" w:cs="Arial"/>
        </w:rPr>
        <w:t xml:space="preserve">ing </w:t>
      </w:r>
      <w:r w:rsidRPr="000C77A2">
        <w:rPr>
          <w:rFonts w:ascii="Arial" w:hAnsi="Arial" w:cs="Arial"/>
        </w:rPr>
        <w:t>supervision,</w:t>
      </w:r>
      <w:r w:rsidR="00477C29">
        <w:rPr>
          <w:rFonts w:ascii="Arial" w:hAnsi="Arial" w:cs="Arial"/>
        </w:rPr>
        <w:t xml:space="preserve"> suitable training,</w:t>
      </w:r>
      <w:r w:rsidRPr="000C77A2">
        <w:rPr>
          <w:rFonts w:ascii="Arial" w:hAnsi="Arial" w:cs="Arial"/>
        </w:rPr>
        <w:t xml:space="preserve"> and personal protective equipment (PPE), as well as confirming the safety of equipment and machinery. </w:t>
      </w:r>
      <w:r w:rsidR="00477C29" w:rsidRPr="00477C29">
        <w:rPr>
          <w:rFonts w:ascii="Arial" w:hAnsi="Arial" w:cs="Arial"/>
        </w:rPr>
        <w:t>Risk evaluations are essential for activities including working at elevated positions, handling heavy equipment, or dealing with dangerous</w:t>
      </w:r>
      <w:r w:rsidR="00477C29" w:rsidRPr="00477C29">
        <w:rPr>
          <w:rFonts w:ascii="Arial" w:hAnsi="Arial" w:cs="Arial"/>
        </w:rPr>
        <w:t xml:space="preserve"> </w:t>
      </w:r>
      <w:r w:rsidRPr="000C77A2">
        <w:rPr>
          <w:rFonts w:ascii="Arial" w:hAnsi="Arial" w:cs="Arial"/>
        </w:rPr>
        <w:t xml:space="preserve">substances. Furthermore, the Act mandates that employers collaborate with other contractors and stakeholders on-site, sharing safety information and coordinating efforts to avert accidents. Regular inspections and audits of the site should be performed to maintain compliance. Non-compliance with the Health and Safety at Work Act 1974 may lead to legal repercussions, project delays, and risks to individuals. By adhering </w:t>
      </w:r>
      <w:r w:rsidRPr="000C77A2">
        <w:rPr>
          <w:rFonts w:ascii="Arial" w:hAnsi="Arial" w:cs="Arial"/>
        </w:rPr>
        <w:lastRenderedPageBreak/>
        <w:t>to the Act, developers affirm their dedication to fostering a safe working environment and ensuring a legally compliant project.</w:t>
      </w:r>
    </w:p>
    <w:p w14:paraId="2C0EDB34" w14:textId="77777777" w:rsidR="005E2679" w:rsidRDefault="005E2679">
      <w:pPr>
        <w:rPr>
          <w:rFonts w:ascii="Arial" w:hAnsi="Arial" w:cs="Arial"/>
        </w:rPr>
      </w:pPr>
    </w:p>
    <w:p w14:paraId="7779D48F" w14:textId="559F12C4" w:rsidR="005E2679" w:rsidRDefault="005E2679" w:rsidP="005E2679">
      <w:pPr>
        <w:jc w:val="center"/>
        <w:rPr>
          <w:rFonts w:ascii="Arial" w:hAnsi="Arial" w:cs="Arial"/>
          <w:i/>
          <w:iCs/>
          <w:color w:val="00B0F0"/>
          <w:u w:val="single"/>
        </w:rPr>
      </w:pPr>
      <w:r w:rsidRPr="005E2679">
        <w:rPr>
          <w:rFonts w:ascii="Arial" w:hAnsi="Arial" w:cs="Arial"/>
          <w:i/>
          <w:iCs/>
          <w:color w:val="00B0F0"/>
          <w:u w:val="single"/>
        </w:rPr>
        <w:t>Cahill, C. (2024). Primary legislation. [online] Chriscahill.co.uk. Available at: https://chriscahill.co.uk/wp-content/uploads/2012/03/cahill_hsposter-210x300.jpg [Accessed 13 May 2025].</w:t>
      </w:r>
    </w:p>
    <w:p w14:paraId="329626C2" w14:textId="77777777" w:rsidR="005E2679" w:rsidRDefault="005E2679" w:rsidP="005E2679">
      <w:pPr>
        <w:jc w:val="center"/>
        <w:rPr>
          <w:rFonts w:ascii="Arial" w:hAnsi="Arial" w:cs="Arial"/>
          <w:i/>
          <w:iCs/>
          <w:color w:val="00B0F0"/>
          <w:u w:val="single"/>
        </w:rPr>
      </w:pPr>
    </w:p>
    <w:p w14:paraId="0A59D2C8" w14:textId="7888C90E" w:rsidR="005E2679" w:rsidRPr="005E2679" w:rsidRDefault="005E2679" w:rsidP="005E2679">
      <w:pPr>
        <w:jc w:val="center"/>
        <w:rPr>
          <w:rFonts w:ascii="Arial" w:hAnsi="Arial" w:cs="Arial"/>
          <w:i/>
          <w:iCs/>
          <w:color w:val="00B0F0"/>
          <w:u w:val="single"/>
        </w:rPr>
      </w:pPr>
      <w:r w:rsidRPr="005E2679">
        <w:rPr>
          <w:rFonts w:ascii="Arial" w:hAnsi="Arial" w:cs="Arial"/>
          <w:i/>
          <w:iCs/>
          <w:color w:val="00B0F0"/>
          <w:u w:val="single"/>
        </w:rPr>
        <w:t>Gov.uk (2022). Health and Safety at Work etc. Act 1974. [online] www.bing.com. Available at: https://www.bing.com/ck/a? [Accessed 13 May 2025].</w:t>
      </w:r>
    </w:p>
    <w:p w14:paraId="41AC227C" w14:textId="77777777" w:rsidR="005E2679" w:rsidRPr="005E2679" w:rsidRDefault="005E2679" w:rsidP="005E2679">
      <w:pPr>
        <w:jc w:val="center"/>
        <w:rPr>
          <w:rFonts w:ascii="Arial" w:hAnsi="Arial" w:cs="Arial"/>
          <w:i/>
          <w:iCs/>
          <w:color w:val="00B0F0"/>
          <w:u w:val="single"/>
        </w:rPr>
      </w:pPr>
    </w:p>
    <w:p w14:paraId="759027A8" w14:textId="77777777" w:rsidR="005E2679" w:rsidRPr="000C77A2" w:rsidRDefault="005E2679">
      <w:pPr>
        <w:rPr>
          <w:rFonts w:ascii="Arial" w:hAnsi="Arial" w:cs="Arial"/>
        </w:rPr>
      </w:pPr>
    </w:p>
    <w:p w14:paraId="7E2007CF" w14:textId="77777777" w:rsidR="00E42734" w:rsidRDefault="00E42734">
      <w:pPr>
        <w:rPr>
          <w:rFonts w:ascii="Angsana New" w:hAnsi="Angsana New" w:cs="Angsana New"/>
          <w:sz w:val="32"/>
          <w:szCs w:val="32"/>
        </w:rPr>
      </w:pPr>
    </w:p>
    <w:p w14:paraId="65B5ED5B" w14:textId="1A59B49F" w:rsidR="00E42734" w:rsidRPr="004D5EAC" w:rsidRDefault="00E42734">
      <w:pPr>
        <w:rPr>
          <w:rFonts w:ascii="Angsana New" w:hAnsi="Angsana New" w:cs="Angsana New"/>
          <w:b/>
          <w:bCs/>
          <w:sz w:val="44"/>
          <w:szCs w:val="44"/>
        </w:rPr>
      </w:pPr>
      <w:r w:rsidRPr="004D5EAC">
        <w:rPr>
          <w:rFonts w:ascii="Angsana New" w:hAnsi="Angsana New" w:cs="Angsana New"/>
          <w:b/>
          <w:bCs/>
          <w:sz w:val="44"/>
          <w:szCs w:val="44"/>
        </w:rPr>
        <w:t xml:space="preserve">Construction Design Management </w:t>
      </w:r>
      <w:r w:rsidR="005E2679">
        <w:rPr>
          <w:rFonts w:ascii="Angsana New" w:hAnsi="Angsana New" w:cs="Angsana New"/>
          <w:b/>
          <w:bCs/>
          <w:sz w:val="44"/>
          <w:szCs w:val="44"/>
        </w:rPr>
        <w:t>Regulations</w:t>
      </w:r>
      <w:r w:rsidRPr="004D5EAC">
        <w:rPr>
          <w:rFonts w:ascii="Angsana New" w:hAnsi="Angsana New" w:cs="Angsana New"/>
          <w:b/>
          <w:bCs/>
          <w:sz w:val="44"/>
          <w:szCs w:val="44"/>
        </w:rPr>
        <w:t xml:space="preserve"> 2015</w:t>
      </w:r>
    </w:p>
    <w:p w14:paraId="76F08D8C" w14:textId="77777777" w:rsidR="00E42734" w:rsidRDefault="00E42734">
      <w:pPr>
        <w:rPr>
          <w:rFonts w:ascii="Angsana New" w:hAnsi="Angsana New" w:cs="Angsana New"/>
          <w:b/>
          <w:bCs/>
          <w:sz w:val="36"/>
          <w:szCs w:val="36"/>
        </w:rPr>
      </w:pPr>
    </w:p>
    <w:p w14:paraId="39BA7D21" w14:textId="6178199A" w:rsidR="009627F9" w:rsidRPr="000C77A2" w:rsidRDefault="00640086">
      <w:pPr>
        <w:rPr>
          <w:rFonts w:ascii="Arial" w:hAnsi="Arial" w:cs="Arial"/>
        </w:rPr>
      </w:pPr>
      <w:r w:rsidRPr="00640086">
        <w:rPr>
          <w:rFonts w:ascii="Arial" w:hAnsi="Arial" w:cs="Arial"/>
        </w:rPr>
        <w:drawing>
          <wp:anchor distT="0" distB="0" distL="114300" distR="114300" simplePos="0" relativeHeight="251666432" behindDoc="1" locked="0" layoutInCell="1" allowOverlap="1" wp14:anchorId="7BDA3429" wp14:editId="55B1FD4C">
            <wp:simplePos x="0" y="0"/>
            <wp:positionH relativeFrom="margin">
              <wp:posOffset>2254102</wp:posOffset>
            </wp:positionH>
            <wp:positionV relativeFrom="paragraph">
              <wp:posOffset>1178220</wp:posOffset>
            </wp:positionV>
            <wp:extent cx="3667760" cy="2063115"/>
            <wp:effectExtent l="95250" t="95250" r="104140" b="89535"/>
            <wp:wrapTight wrapText="bothSides">
              <wp:wrapPolygon edited="0">
                <wp:start x="-561" y="-997"/>
                <wp:lineTo x="-561" y="22338"/>
                <wp:lineTo x="22101" y="22338"/>
                <wp:lineTo x="22101" y="-997"/>
                <wp:lineTo x="-561" y="-997"/>
              </wp:wrapPolygon>
            </wp:wrapTight>
            <wp:docPr id="810688279" name="Picture 7" descr="What are CDM Regulations 20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What are CDM Regulations 201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667760" cy="206311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sidR="00E42734" w:rsidRPr="000C77A2">
        <w:rPr>
          <w:rFonts w:ascii="Arial" w:hAnsi="Arial" w:cs="Arial"/>
        </w:rPr>
        <w:t xml:space="preserve">In order to construct </w:t>
      </w:r>
      <w:r w:rsidR="00E42734" w:rsidRPr="000C77A2">
        <w:rPr>
          <w:rFonts w:ascii="Arial" w:hAnsi="Arial" w:cs="Arial"/>
        </w:rPr>
        <w:t>this</w:t>
      </w:r>
      <w:r w:rsidR="00E42734" w:rsidRPr="000C77A2">
        <w:rPr>
          <w:rFonts w:ascii="Arial" w:hAnsi="Arial" w:cs="Arial"/>
        </w:rPr>
        <w:t xml:space="preserve"> block of affordable </w:t>
      </w:r>
      <w:r w:rsidR="009627F9" w:rsidRPr="000C77A2">
        <w:rPr>
          <w:rFonts w:ascii="Arial" w:hAnsi="Arial" w:cs="Arial"/>
        </w:rPr>
        <w:t>flats</w:t>
      </w:r>
      <w:r w:rsidR="00E42734" w:rsidRPr="000C77A2">
        <w:rPr>
          <w:rFonts w:ascii="Arial" w:hAnsi="Arial" w:cs="Arial"/>
        </w:rPr>
        <w:t xml:space="preserve">, adherence to the </w:t>
      </w:r>
      <w:r w:rsidR="001E41FE" w:rsidRPr="000C77A2">
        <w:rPr>
          <w:rFonts w:ascii="Arial" w:hAnsi="Arial" w:cs="Arial"/>
        </w:rPr>
        <w:t xml:space="preserve">Construction </w:t>
      </w:r>
      <w:r w:rsidR="001E41FE" w:rsidRPr="00640086">
        <w:rPr>
          <w:rFonts w:ascii="Arial" w:hAnsi="Arial" w:cs="Arial"/>
        </w:rPr>
        <w:t>(</w:t>
      </w:r>
      <w:r w:rsidR="00E42734" w:rsidRPr="000C77A2">
        <w:rPr>
          <w:rFonts w:ascii="Arial" w:hAnsi="Arial" w:cs="Arial"/>
        </w:rPr>
        <w:t xml:space="preserve">Design and Management) Regulations 2015 (CDM 2015) is essential for maintaining health and safety throughout the duration of the project. These regulations govern all construction activities and impose legal responsibilities on clients, designers, and contractors to proactively identify and manage risks from the beginning. Under CDM 2015, the client, typically the housing developer, is required to designate a Principal Designer and a Principal Contractor for the undertaking. The Principal Designer is tasked with overseeing health and safety during the pre-construction phase, ensuring that risks are integrated into the design process, and working collaboratively with the project team to mitigate foreseeable dangers. Meanwhile, the Principal Contractor is responsible for health and safety during the construction phase, which includes developing a Construction Phase Plan, supervising </w:t>
      </w:r>
      <w:r w:rsidR="009627F9" w:rsidRPr="000C77A2">
        <w:rPr>
          <w:rFonts w:ascii="Arial" w:hAnsi="Arial" w:cs="Arial"/>
        </w:rPr>
        <w:t>labourers</w:t>
      </w:r>
      <w:r w:rsidR="00E42734" w:rsidRPr="000C77A2">
        <w:rPr>
          <w:rFonts w:ascii="Arial" w:hAnsi="Arial" w:cs="Arial"/>
        </w:rPr>
        <w:t xml:space="preserve">, and ensuring site safety. </w:t>
      </w:r>
    </w:p>
    <w:p w14:paraId="59DC364A" w14:textId="77777777" w:rsidR="009627F9" w:rsidRPr="000C77A2" w:rsidRDefault="009627F9">
      <w:pPr>
        <w:rPr>
          <w:rFonts w:ascii="Arial" w:hAnsi="Arial" w:cs="Arial"/>
        </w:rPr>
      </w:pPr>
    </w:p>
    <w:p w14:paraId="6E2D8AA2" w14:textId="77777777" w:rsidR="009627F9" w:rsidRPr="000C77A2" w:rsidRDefault="00E42734">
      <w:pPr>
        <w:rPr>
          <w:rFonts w:ascii="Arial" w:hAnsi="Arial" w:cs="Arial"/>
        </w:rPr>
      </w:pPr>
      <w:r w:rsidRPr="000C77A2">
        <w:rPr>
          <w:rFonts w:ascii="Arial" w:hAnsi="Arial" w:cs="Arial"/>
        </w:rPr>
        <w:t xml:space="preserve">Contractors are obligated to provide adequate welfare facilities, guarantee that workers receive appropriate training, and maintain effective communication among all stakeholders. It is imperative that all workers possess the necessary competencies and are aware of the risks associated with their duties. </w:t>
      </w:r>
    </w:p>
    <w:p w14:paraId="13FE2FE9" w14:textId="77777777" w:rsidR="009627F9" w:rsidRPr="000C77A2" w:rsidRDefault="009627F9">
      <w:pPr>
        <w:rPr>
          <w:rFonts w:ascii="Arial" w:hAnsi="Arial" w:cs="Arial"/>
        </w:rPr>
      </w:pPr>
    </w:p>
    <w:p w14:paraId="2D8A739E" w14:textId="642C5678" w:rsidR="00E42734" w:rsidRPr="000C77A2" w:rsidRDefault="00E42734">
      <w:pPr>
        <w:rPr>
          <w:rFonts w:ascii="Arial" w:hAnsi="Arial" w:cs="Arial"/>
        </w:rPr>
      </w:pPr>
      <w:r w:rsidRPr="000C77A2">
        <w:rPr>
          <w:rFonts w:ascii="Arial" w:hAnsi="Arial" w:cs="Arial"/>
        </w:rPr>
        <w:t>Additionally, a health and safety file must be compiled and transferred at the conclusion of the project to facilitate future maintenance. Compliance with CDM 2015 not only fosters a safe working environment but also diminishes the likelihood of accidents and contributes to the successful delivery of a compliant and high-quality block of affordable housing.</w:t>
      </w:r>
    </w:p>
    <w:p w14:paraId="2E8BBE68" w14:textId="77777777" w:rsidR="009627F9" w:rsidRDefault="009627F9">
      <w:pPr>
        <w:rPr>
          <w:rFonts w:ascii="Angsana New" w:hAnsi="Angsana New" w:cs="Angsana New"/>
          <w:sz w:val="32"/>
          <w:szCs w:val="32"/>
        </w:rPr>
      </w:pPr>
    </w:p>
    <w:p w14:paraId="51B4B0E4" w14:textId="77777777" w:rsidR="005E2679" w:rsidRDefault="005E2679" w:rsidP="005E2679">
      <w:pPr>
        <w:jc w:val="center"/>
        <w:rPr>
          <w:rFonts w:ascii="Arial" w:hAnsi="Arial" w:cs="Arial"/>
          <w:i/>
          <w:iCs/>
          <w:color w:val="00B0F0"/>
          <w:u w:val="single"/>
        </w:rPr>
      </w:pPr>
      <w:r w:rsidRPr="005E2679">
        <w:rPr>
          <w:rFonts w:ascii="Arial" w:hAnsi="Arial" w:cs="Arial"/>
          <w:i/>
          <w:iCs/>
          <w:color w:val="00B0F0"/>
          <w:u w:val="single"/>
        </w:rPr>
        <w:t>CITB (2023). Construction (Design and Management) Regulations - CITB. [online] www.citb.co.uk. Available at: https://www.citb.co.uk/about-citb/partnerships-and-initiatives/construction-design-and-management-regulations-2015/cdm-regulations/ [Accessed 13 May 2025].</w:t>
      </w:r>
    </w:p>
    <w:p w14:paraId="276409DD" w14:textId="77777777" w:rsidR="00640086" w:rsidRDefault="00640086" w:rsidP="005E2679">
      <w:pPr>
        <w:jc w:val="center"/>
        <w:rPr>
          <w:rFonts w:ascii="Arial" w:hAnsi="Arial" w:cs="Arial"/>
          <w:i/>
          <w:iCs/>
          <w:color w:val="00B0F0"/>
          <w:u w:val="single"/>
        </w:rPr>
      </w:pPr>
    </w:p>
    <w:p w14:paraId="79B06B16" w14:textId="77777777" w:rsidR="00640086" w:rsidRPr="00640086" w:rsidRDefault="00640086" w:rsidP="00640086">
      <w:pPr>
        <w:jc w:val="center"/>
        <w:rPr>
          <w:rFonts w:ascii="Arial" w:hAnsi="Arial" w:cs="Arial"/>
          <w:i/>
          <w:iCs/>
          <w:color w:val="00B0F0"/>
          <w:u w:val="single"/>
        </w:rPr>
      </w:pPr>
      <w:r w:rsidRPr="00640086">
        <w:rPr>
          <w:rFonts w:ascii="Arial" w:hAnsi="Arial" w:cs="Arial"/>
          <w:i/>
          <w:iCs/>
          <w:color w:val="00B0F0"/>
          <w:u w:val="single"/>
        </w:rPr>
        <w:t>CAD UK (2024). CDM Regulations 2015. [online] CADUK - Construction NVQ Specialists. Available at: https://www.caduk.co.uk/cdm-regulations/ [Accessed 14 May 2025].</w:t>
      </w:r>
    </w:p>
    <w:p w14:paraId="48AE755F" w14:textId="77777777" w:rsidR="00640086" w:rsidRDefault="00640086" w:rsidP="005E2679">
      <w:pPr>
        <w:jc w:val="center"/>
        <w:rPr>
          <w:rFonts w:ascii="Arial" w:hAnsi="Arial" w:cs="Arial"/>
          <w:i/>
          <w:iCs/>
          <w:color w:val="00B0F0"/>
          <w:u w:val="single"/>
        </w:rPr>
      </w:pPr>
    </w:p>
    <w:p w14:paraId="2CE76A47" w14:textId="77777777" w:rsidR="00640086" w:rsidRPr="005E2679" w:rsidRDefault="00640086" w:rsidP="005E2679">
      <w:pPr>
        <w:jc w:val="center"/>
        <w:rPr>
          <w:rFonts w:ascii="Arial" w:hAnsi="Arial" w:cs="Arial"/>
          <w:i/>
          <w:iCs/>
          <w:color w:val="00B0F0"/>
          <w:u w:val="single"/>
        </w:rPr>
      </w:pPr>
    </w:p>
    <w:p w14:paraId="725DFF33" w14:textId="77777777" w:rsidR="005E2679" w:rsidRDefault="005E2679">
      <w:pPr>
        <w:rPr>
          <w:rFonts w:ascii="Angsana New" w:hAnsi="Angsana New" w:cs="Angsana New"/>
          <w:sz w:val="32"/>
          <w:szCs w:val="32"/>
        </w:rPr>
      </w:pPr>
    </w:p>
    <w:p w14:paraId="21E654FE" w14:textId="5010F1AA" w:rsidR="009627F9" w:rsidRPr="004D5EAC" w:rsidRDefault="009627F9">
      <w:pPr>
        <w:rPr>
          <w:rFonts w:ascii="Angsana New" w:hAnsi="Angsana New" w:cs="Angsana New"/>
          <w:sz w:val="40"/>
          <w:szCs w:val="40"/>
        </w:rPr>
      </w:pPr>
      <w:r w:rsidRPr="004D5EAC">
        <w:rPr>
          <w:rFonts w:ascii="Angsana New" w:hAnsi="Angsana New" w:cs="Angsana New"/>
          <w:b/>
          <w:bCs/>
          <w:sz w:val="44"/>
          <w:szCs w:val="44"/>
        </w:rPr>
        <w:t xml:space="preserve">Management of </w:t>
      </w:r>
      <w:r w:rsidR="001E41FE">
        <w:rPr>
          <w:rFonts w:ascii="Angsana New" w:hAnsi="Angsana New" w:cs="Angsana New"/>
          <w:b/>
          <w:bCs/>
          <w:sz w:val="44"/>
          <w:szCs w:val="44"/>
        </w:rPr>
        <w:t>Health</w:t>
      </w:r>
      <w:r w:rsidRPr="004D5EAC">
        <w:rPr>
          <w:rFonts w:ascii="Angsana New" w:hAnsi="Angsana New" w:cs="Angsana New"/>
          <w:b/>
          <w:bCs/>
          <w:sz w:val="44"/>
          <w:szCs w:val="44"/>
        </w:rPr>
        <w:t xml:space="preserve"> and Safety at Work Regulations 1999</w:t>
      </w:r>
    </w:p>
    <w:p w14:paraId="2A8BA54B" w14:textId="77777777" w:rsidR="00483887" w:rsidRPr="000C77A2" w:rsidRDefault="009627F9">
      <w:pPr>
        <w:rPr>
          <w:rFonts w:ascii="Arial" w:hAnsi="Arial" w:cs="Arial"/>
        </w:rPr>
      </w:pPr>
      <w:r w:rsidRPr="000C77A2">
        <w:rPr>
          <w:rFonts w:ascii="Arial" w:hAnsi="Arial" w:cs="Arial"/>
        </w:rPr>
        <w:t xml:space="preserve">The Management of Health and Safety at Work Regulations 1999 </w:t>
      </w:r>
      <w:r w:rsidRPr="000C77A2">
        <w:rPr>
          <w:rFonts w:ascii="Arial" w:hAnsi="Arial" w:cs="Arial"/>
        </w:rPr>
        <w:t xml:space="preserve">set out clear requirements </w:t>
      </w:r>
      <w:r w:rsidRPr="000C77A2">
        <w:rPr>
          <w:rFonts w:ascii="Arial" w:hAnsi="Arial" w:cs="Arial"/>
        </w:rPr>
        <w:t xml:space="preserve">for risk management within the workplace, which must be adhered to rigorously during the construction of </w:t>
      </w:r>
      <w:r w:rsidRPr="000C77A2">
        <w:rPr>
          <w:rFonts w:ascii="Arial" w:hAnsi="Arial" w:cs="Arial"/>
        </w:rPr>
        <w:t>this project</w:t>
      </w:r>
      <w:r w:rsidRPr="000C77A2">
        <w:rPr>
          <w:rFonts w:ascii="Arial" w:hAnsi="Arial" w:cs="Arial"/>
        </w:rPr>
        <w:t>. These regulations impose a legal responsibility on employers and contractors to conduct appropriate and comprehensive risk assessments prior to the commencement of any construction activities.</w:t>
      </w:r>
    </w:p>
    <w:p w14:paraId="1E4ECC98" w14:textId="77777777" w:rsidR="00483887" w:rsidRPr="000C77A2" w:rsidRDefault="00483887">
      <w:pPr>
        <w:rPr>
          <w:rFonts w:ascii="Arial" w:hAnsi="Arial" w:cs="Arial"/>
        </w:rPr>
      </w:pPr>
    </w:p>
    <w:p w14:paraId="0FBD6CF0" w14:textId="3FC7800F" w:rsidR="00483887" w:rsidRPr="000C77A2" w:rsidRDefault="009627F9">
      <w:pPr>
        <w:rPr>
          <w:rFonts w:ascii="Arial" w:hAnsi="Arial" w:cs="Arial"/>
        </w:rPr>
      </w:pPr>
      <w:r w:rsidRPr="000C77A2">
        <w:rPr>
          <w:rFonts w:ascii="Arial" w:hAnsi="Arial" w:cs="Arial"/>
        </w:rPr>
        <w:t xml:space="preserve"> This process guarantees that all potential risks to employees, visitors, and the general public are recognized and effectively managed. During the construction phase, it is imperative for employers to implement control measures aimed at </w:t>
      </w:r>
      <w:r w:rsidRPr="000C77A2">
        <w:rPr>
          <w:rFonts w:ascii="Arial" w:hAnsi="Arial" w:cs="Arial"/>
        </w:rPr>
        <w:lastRenderedPageBreak/>
        <w:t>eliminating or mitigating risks, which may include the establishment of safe work systems, emergency protocols, and sufficient training for personnel. Effective coordination among various contractors is crucial,</w:t>
      </w:r>
      <w:r w:rsidR="00477C29" w:rsidRPr="00477C29">
        <w:rPr>
          <w:rFonts w:ascii="Arial" w:hAnsi="Arial" w:cs="Arial"/>
          <w:color w:val="000000"/>
          <w:sz w:val="27"/>
          <w:szCs w:val="27"/>
          <w:shd w:val="clear" w:color="auto" w:fill="F4F5F6"/>
        </w:rPr>
        <w:t xml:space="preserve"> </w:t>
      </w:r>
      <w:r w:rsidR="00477C29">
        <w:rPr>
          <w:rFonts w:ascii="Arial" w:hAnsi="Arial" w:cs="Arial"/>
        </w:rPr>
        <w:t xml:space="preserve">and a </w:t>
      </w:r>
      <w:r w:rsidR="00477C29" w:rsidRPr="00477C29">
        <w:rPr>
          <w:rFonts w:ascii="Arial" w:hAnsi="Arial" w:cs="Arial"/>
        </w:rPr>
        <w:t>clearly articulated management framework must be developed to guarantee that roles</w:t>
      </w:r>
      <w:r w:rsidR="007613F1">
        <w:rPr>
          <w:rFonts w:ascii="Arial" w:hAnsi="Arial" w:cs="Arial"/>
        </w:rPr>
        <w:t xml:space="preserve"> </w:t>
      </w:r>
      <w:r w:rsidR="00477C29" w:rsidRPr="00477C29">
        <w:rPr>
          <w:rFonts w:ascii="Arial" w:hAnsi="Arial" w:cs="Arial"/>
        </w:rPr>
        <w:t xml:space="preserve">and responsibilities are comprehensively understood and consistently followed during the entire project </w:t>
      </w:r>
      <w:proofErr w:type="gramStart"/>
      <w:r w:rsidR="00477C29" w:rsidRPr="00477C29">
        <w:rPr>
          <w:rFonts w:ascii="Arial" w:hAnsi="Arial" w:cs="Arial"/>
        </w:rPr>
        <w:t>lifecycle.</w:t>
      </w:r>
      <w:r w:rsidRPr="000C77A2">
        <w:rPr>
          <w:rFonts w:ascii="Arial" w:hAnsi="Arial" w:cs="Arial"/>
        </w:rPr>
        <w:t>.</w:t>
      </w:r>
      <w:proofErr w:type="gramEnd"/>
    </w:p>
    <w:p w14:paraId="00A4F57B" w14:textId="77777777" w:rsidR="00483887" w:rsidRPr="000C77A2" w:rsidRDefault="00483887">
      <w:pPr>
        <w:rPr>
          <w:rFonts w:ascii="Arial" w:hAnsi="Arial" w:cs="Arial"/>
        </w:rPr>
      </w:pPr>
    </w:p>
    <w:p w14:paraId="7AE58CB5" w14:textId="7108FB7E" w:rsidR="009627F9" w:rsidRPr="000C77A2" w:rsidRDefault="009627F9">
      <w:pPr>
        <w:rPr>
          <w:rFonts w:ascii="Arial" w:hAnsi="Arial" w:cs="Arial"/>
        </w:rPr>
      </w:pPr>
      <w:r w:rsidRPr="000C77A2">
        <w:rPr>
          <w:rFonts w:ascii="Arial" w:hAnsi="Arial" w:cs="Arial"/>
        </w:rPr>
        <w:t xml:space="preserve"> Furthermore, employers are required to designate qualified individuals to oversee compliance with health and safety regulations, ensuring that all personnel receive the necessary information, guidance, and supervision to perform their tasks safely. Continuous reviews and updates of the risk assessments are essential as the project advances and new hazards are identified.</w:t>
      </w:r>
    </w:p>
    <w:p w14:paraId="39CA5D35" w14:textId="77777777" w:rsidR="00483887" w:rsidRDefault="00483887">
      <w:pPr>
        <w:rPr>
          <w:rFonts w:ascii="Angsana New" w:hAnsi="Angsana New" w:cs="Angsana New"/>
          <w:sz w:val="32"/>
          <w:szCs w:val="32"/>
        </w:rPr>
      </w:pPr>
    </w:p>
    <w:p w14:paraId="3ACDCE79" w14:textId="77777777" w:rsidR="005E2679" w:rsidRPr="005E2679" w:rsidRDefault="005E2679" w:rsidP="005E2679">
      <w:pPr>
        <w:jc w:val="center"/>
        <w:rPr>
          <w:rFonts w:ascii="Angsana New" w:hAnsi="Angsana New" w:cs="Angsana New"/>
          <w:i/>
          <w:iCs/>
          <w:color w:val="00B0F0"/>
          <w:sz w:val="32"/>
          <w:szCs w:val="32"/>
          <w:u w:val="single"/>
        </w:rPr>
      </w:pPr>
      <w:r w:rsidRPr="005E2679">
        <w:rPr>
          <w:rFonts w:ascii="Angsana New" w:hAnsi="Angsana New" w:cs="Angsana New"/>
          <w:i/>
          <w:iCs/>
          <w:color w:val="00B0F0"/>
          <w:sz w:val="32"/>
          <w:szCs w:val="32"/>
          <w:u w:val="single"/>
        </w:rPr>
        <w:t>Paul (2021). Management of Health and Safety at Work Regulations. [online] healthandsafetytoday.co.uk. Available at: https://healthandsafetytoday.co.uk/management-of-health-and-safety-at-work-regulations/ [Accessed 13 May 2025].</w:t>
      </w:r>
    </w:p>
    <w:p w14:paraId="349A66D4" w14:textId="77777777" w:rsidR="005E2679" w:rsidRDefault="005E2679">
      <w:pPr>
        <w:rPr>
          <w:rFonts w:ascii="Angsana New" w:hAnsi="Angsana New" w:cs="Angsana New"/>
          <w:sz w:val="32"/>
          <w:szCs w:val="32"/>
        </w:rPr>
      </w:pPr>
    </w:p>
    <w:p w14:paraId="2F46C5AC" w14:textId="77777777" w:rsidR="00483887" w:rsidRDefault="00483887">
      <w:pPr>
        <w:rPr>
          <w:rFonts w:ascii="Angsana New" w:hAnsi="Angsana New" w:cs="Angsana New"/>
          <w:sz w:val="32"/>
          <w:szCs w:val="32"/>
        </w:rPr>
      </w:pPr>
    </w:p>
    <w:p w14:paraId="09007B93" w14:textId="01298468" w:rsidR="00483887" w:rsidRPr="004D5EAC" w:rsidRDefault="00483887">
      <w:pPr>
        <w:rPr>
          <w:rFonts w:ascii="Angsana New" w:hAnsi="Angsana New" w:cs="Angsana New"/>
          <w:b/>
          <w:bCs/>
          <w:sz w:val="44"/>
          <w:szCs w:val="44"/>
        </w:rPr>
      </w:pPr>
      <w:r w:rsidRPr="004D5EAC">
        <w:rPr>
          <w:rFonts w:ascii="Angsana New" w:hAnsi="Angsana New" w:cs="Angsana New"/>
          <w:b/>
          <w:bCs/>
          <w:sz w:val="44"/>
          <w:szCs w:val="44"/>
        </w:rPr>
        <w:t xml:space="preserve">Working at Height </w:t>
      </w:r>
      <w:r w:rsidR="00711CEC" w:rsidRPr="004D5EAC">
        <w:rPr>
          <w:rFonts w:ascii="Angsana New" w:hAnsi="Angsana New" w:cs="Angsana New"/>
          <w:b/>
          <w:bCs/>
          <w:sz w:val="44"/>
          <w:szCs w:val="44"/>
        </w:rPr>
        <w:t>Regulations</w:t>
      </w:r>
      <w:r w:rsidRPr="004D5EAC">
        <w:rPr>
          <w:rFonts w:ascii="Angsana New" w:hAnsi="Angsana New" w:cs="Angsana New"/>
          <w:b/>
          <w:bCs/>
          <w:sz w:val="44"/>
          <w:szCs w:val="44"/>
        </w:rPr>
        <w:t xml:space="preserve"> 2005</w:t>
      </w:r>
    </w:p>
    <w:p w14:paraId="47C59981" w14:textId="77777777" w:rsidR="00483887" w:rsidRDefault="00483887">
      <w:pPr>
        <w:rPr>
          <w:rFonts w:ascii="Angsana New" w:hAnsi="Angsana New" w:cs="Angsana New"/>
          <w:sz w:val="32"/>
          <w:szCs w:val="32"/>
        </w:rPr>
      </w:pPr>
    </w:p>
    <w:p w14:paraId="1D4E3E84" w14:textId="6A32324B" w:rsidR="00483887" w:rsidRPr="000C77A2" w:rsidRDefault="00483887">
      <w:pPr>
        <w:rPr>
          <w:rFonts w:ascii="Arial" w:hAnsi="Arial" w:cs="Arial"/>
        </w:rPr>
      </w:pPr>
      <w:r w:rsidRPr="000C77A2">
        <w:rPr>
          <w:rFonts w:ascii="Arial" w:hAnsi="Arial" w:cs="Arial"/>
        </w:rPr>
        <w:t>In the construction of</w:t>
      </w:r>
      <w:r w:rsidRPr="000C77A2">
        <w:rPr>
          <w:rFonts w:ascii="Arial" w:hAnsi="Arial" w:cs="Arial"/>
        </w:rPr>
        <w:t xml:space="preserve"> this project in SA1</w:t>
      </w:r>
      <w:r w:rsidRPr="000C77A2">
        <w:rPr>
          <w:rFonts w:ascii="Arial" w:hAnsi="Arial" w:cs="Arial"/>
        </w:rPr>
        <w:t>, adherence to the Working at Height Regulations 2005 is essential to safeguard workers against falls, which are a predominant source of injuries in the industry. The Health and Safety Executive (HSE) reported that falls from height were responsible for 30% of workplace fatalities in the UK during the 2022/23 period, resulting in 40 deaths, predominantly within the construction sector. This underscores the vital necessity of ensuring safe practices when working at height.</w:t>
      </w:r>
    </w:p>
    <w:p w14:paraId="1DCF901A" w14:textId="77777777" w:rsidR="00483887" w:rsidRPr="000C77A2" w:rsidRDefault="00483887">
      <w:pPr>
        <w:rPr>
          <w:rFonts w:ascii="Arial" w:hAnsi="Arial" w:cs="Arial"/>
        </w:rPr>
      </w:pPr>
    </w:p>
    <w:p w14:paraId="7BF87870" w14:textId="5E279148" w:rsidR="00483887" w:rsidRPr="000C77A2" w:rsidRDefault="00483887">
      <w:pPr>
        <w:rPr>
          <w:rFonts w:ascii="Arial" w:hAnsi="Arial" w:cs="Arial"/>
        </w:rPr>
      </w:pPr>
      <w:r w:rsidRPr="000C77A2">
        <w:rPr>
          <w:rFonts w:ascii="Arial" w:hAnsi="Arial" w:cs="Arial"/>
        </w:rPr>
        <w:t xml:space="preserve">Prior to commencing any work at height, it is imperative to perform a thorough risk assessment to identify potential hazards and evaluate whether the task can be avoided or executed </w:t>
      </w:r>
      <w:r w:rsidR="004D5EAC" w:rsidRPr="000C77A2">
        <w:rPr>
          <w:rFonts w:ascii="Arial" w:hAnsi="Arial" w:cs="Arial"/>
        </w:rPr>
        <w:t>more safely</w:t>
      </w:r>
      <w:r w:rsidRPr="000C77A2">
        <w:rPr>
          <w:rFonts w:ascii="Arial" w:hAnsi="Arial" w:cs="Arial"/>
        </w:rPr>
        <w:t xml:space="preserve">. If the task cannot be avoided, </w:t>
      </w:r>
      <w:r w:rsidR="001E41FE">
        <w:rPr>
          <w:rFonts w:ascii="Arial" w:hAnsi="Arial" w:cs="Arial"/>
        </w:rPr>
        <w:t>the work must be</w:t>
      </w:r>
      <w:r w:rsidRPr="000C77A2">
        <w:rPr>
          <w:rFonts w:ascii="Arial" w:hAnsi="Arial" w:cs="Arial"/>
        </w:rPr>
        <w:t xml:space="preserve"> meticulously planned, supervised, and executed with appropriate equipment such as scaffolding, mobile platforms, guardrails, or fall arrest systems. Regular inspections </w:t>
      </w:r>
      <w:r w:rsidRPr="000C77A2">
        <w:rPr>
          <w:rFonts w:ascii="Arial" w:hAnsi="Arial" w:cs="Arial"/>
        </w:rPr>
        <w:lastRenderedPageBreak/>
        <w:t>of all equipment are necessary, as nearly 19% of non-fatal injuries in construction are associated with slips, trips, or falls, frequently due to equipment malfunction or inadequate planning.</w:t>
      </w:r>
    </w:p>
    <w:p w14:paraId="6EB9BBE8" w14:textId="77777777" w:rsidR="00483887" w:rsidRPr="000C77A2" w:rsidRDefault="00483887">
      <w:pPr>
        <w:rPr>
          <w:rFonts w:ascii="Arial" w:hAnsi="Arial" w:cs="Arial"/>
        </w:rPr>
      </w:pPr>
    </w:p>
    <w:p w14:paraId="225E1CDF" w14:textId="4942247A" w:rsidR="00483887" w:rsidRDefault="00483887">
      <w:pPr>
        <w:rPr>
          <w:rFonts w:ascii="Arial" w:hAnsi="Arial" w:cs="Arial"/>
        </w:rPr>
      </w:pPr>
      <w:r w:rsidRPr="000C77A2">
        <w:rPr>
          <w:rFonts w:ascii="Arial" w:hAnsi="Arial" w:cs="Arial"/>
        </w:rPr>
        <w:t xml:space="preserve">Additionally, workers must receive competent training, and clear protocols should be established for accessing and exiting areas with high risk. By adhering to these regulations, construction companies can substantially mitigate risks, safeguard their workforce, and </w:t>
      </w:r>
      <w:r w:rsidRPr="000C77A2">
        <w:rPr>
          <w:rFonts w:ascii="Arial" w:hAnsi="Arial" w:cs="Arial"/>
        </w:rPr>
        <w:t>fulfil</w:t>
      </w:r>
      <w:r w:rsidRPr="000C77A2">
        <w:rPr>
          <w:rFonts w:ascii="Arial" w:hAnsi="Arial" w:cs="Arial"/>
        </w:rPr>
        <w:t xml:space="preserve"> legal requirements, thereby facilitating the successful and safe execution of affordable housing initiatives.</w:t>
      </w:r>
    </w:p>
    <w:p w14:paraId="7A1ABDC3" w14:textId="77777777" w:rsidR="00F6554E" w:rsidRDefault="00F6554E">
      <w:pPr>
        <w:rPr>
          <w:rFonts w:ascii="Arial" w:hAnsi="Arial" w:cs="Arial"/>
        </w:rPr>
      </w:pPr>
    </w:p>
    <w:p w14:paraId="5192CF15" w14:textId="77777777" w:rsidR="00F6554E" w:rsidRPr="00F6554E" w:rsidRDefault="00F6554E" w:rsidP="00F6554E">
      <w:pPr>
        <w:jc w:val="center"/>
        <w:rPr>
          <w:rFonts w:ascii="Arial" w:hAnsi="Arial" w:cs="Arial"/>
          <w:i/>
          <w:iCs/>
          <w:color w:val="00B0F0"/>
          <w:u w:val="single"/>
        </w:rPr>
      </w:pPr>
      <w:r w:rsidRPr="00F6554E">
        <w:rPr>
          <w:rFonts w:ascii="Arial" w:hAnsi="Arial" w:cs="Arial"/>
          <w:i/>
          <w:iCs/>
          <w:color w:val="00B0F0"/>
          <w:u w:val="single"/>
        </w:rPr>
        <w:t>Vickers, J. (2023). A Complete Guide to the Working at Height Regulations 2005. [online] Human Focus. Available at: https://humanfocus.co.uk/blog/a-complete-guide-to-the-working-at-height-regulations-2005/ [Accessed 13 May 2025].</w:t>
      </w:r>
    </w:p>
    <w:p w14:paraId="5BF86209" w14:textId="77777777" w:rsidR="00F6554E" w:rsidRPr="000C77A2" w:rsidRDefault="00F6554E">
      <w:pPr>
        <w:rPr>
          <w:rFonts w:ascii="Arial" w:hAnsi="Arial" w:cs="Arial"/>
        </w:rPr>
      </w:pPr>
    </w:p>
    <w:p w14:paraId="49D0F5FD" w14:textId="77777777" w:rsidR="00483887" w:rsidRDefault="00483887">
      <w:pPr>
        <w:rPr>
          <w:rFonts w:ascii="Angsana New" w:hAnsi="Angsana New" w:cs="Angsana New"/>
          <w:sz w:val="32"/>
          <w:szCs w:val="32"/>
        </w:rPr>
      </w:pPr>
    </w:p>
    <w:p w14:paraId="0B77E02D" w14:textId="18358E43" w:rsidR="00483887" w:rsidRPr="004D5EAC" w:rsidRDefault="00052AE6">
      <w:pPr>
        <w:rPr>
          <w:rFonts w:ascii="Angsana New" w:hAnsi="Angsana New" w:cs="Angsana New"/>
          <w:b/>
          <w:bCs/>
          <w:sz w:val="44"/>
          <w:szCs w:val="44"/>
        </w:rPr>
      </w:pPr>
      <w:r w:rsidRPr="004D5EAC">
        <w:rPr>
          <w:rFonts w:ascii="Angsana New" w:hAnsi="Angsana New" w:cs="Angsana New"/>
          <w:b/>
          <w:bCs/>
          <w:sz w:val="44"/>
          <w:szCs w:val="44"/>
        </w:rPr>
        <w:t>The Personal Protective Equipment at Work Regulations 1992</w:t>
      </w:r>
    </w:p>
    <w:p w14:paraId="2553DFAD" w14:textId="3EF858BD" w:rsidR="00052AE6" w:rsidRDefault="00052AE6">
      <w:pPr>
        <w:rPr>
          <w:rFonts w:ascii="Angsana New" w:hAnsi="Angsana New" w:cs="Angsana New"/>
          <w:sz w:val="32"/>
          <w:szCs w:val="32"/>
        </w:rPr>
      </w:pPr>
    </w:p>
    <w:p w14:paraId="07F6C653" w14:textId="0866F62C" w:rsidR="00052AE6" w:rsidRPr="000C77A2" w:rsidRDefault="00640086">
      <w:pPr>
        <w:rPr>
          <w:rFonts w:ascii="Arial" w:hAnsi="Arial" w:cs="Arial"/>
        </w:rPr>
      </w:pPr>
      <w:r>
        <w:rPr>
          <w:noProof/>
        </w:rPr>
        <w:drawing>
          <wp:anchor distT="0" distB="0" distL="114300" distR="114300" simplePos="0" relativeHeight="251665408" behindDoc="1" locked="0" layoutInCell="1" allowOverlap="1" wp14:anchorId="1B2280E6" wp14:editId="197F1951">
            <wp:simplePos x="0" y="0"/>
            <wp:positionH relativeFrom="column">
              <wp:posOffset>2934586</wp:posOffset>
            </wp:positionH>
            <wp:positionV relativeFrom="paragraph">
              <wp:posOffset>7473</wp:posOffset>
            </wp:positionV>
            <wp:extent cx="2371090" cy="1711960"/>
            <wp:effectExtent l="190500" t="190500" r="181610" b="193040"/>
            <wp:wrapTight wrapText="bothSides">
              <wp:wrapPolygon edited="0">
                <wp:start x="347" y="-2404"/>
                <wp:lineTo x="-1735" y="-1923"/>
                <wp:lineTo x="-1562" y="21392"/>
                <wp:lineTo x="174" y="23315"/>
                <wp:lineTo x="347" y="23795"/>
                <wp:lineTo x="20998" y="23795"/>
                <wp:lineTo x="21172" y="23315"/>
                <wp:lineTo x="22907" y="21392"/>
                <wp:lineTo x="23081" y="1923"/>
                <wp:lineTo x="21172" y="-1682"/>
                <wp:lineTo x="20998" y="-2404"/>
                <wp:lineTo x="347" y="-2404"/>
              </wp:wrapPolygon>
            </wp:wrapTight>
            <wp:docPr id="1397689539" name="Picture 5" descr="Image result for the personal protective equipment 19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the personal protective equipment 199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71090" cy="1711960"/>
                    </a:xfrm>
                    <a:prstGeom prst="rect">
                      <a:avLst/>
                    </a:prstGeom>
                    <a:ln>
                      <a:noFill/>
                    </a:ln>
                    <a:effectLst>
                      <a:outerShdw blurRad="190500" algn="tl" rotWithShape="0">
                        <a:srgbClr val="000000">
                          <a:alpha val="70000"/>
                        </a:srgbClr>
                      </a:outerShdw>
                    </a:effectLst>
                  </pic:spPr>
                </pic:pic>
              </a:graphicData>
            </a:graphic>
          </wp:anchor>
        </w:drawing>
      </w:r>
      <w:r w:rsidR="00052AE6" w:rsidRPr="000C77A2">
        <w:rPr>
          <w:rFonts w:ascii="Arial" w:hAnsi="Arial" w:cs="Arial"/>
        </w:rPr>
        <w:t xml:space="preserve">The 1992 Personal Protective Equipment (PPE) at Work Regulations must be adhered </w:t>
      </w:r>
      <w:r w:rsidR="001E41FE">
        <w:rPr>
          <w:rFonts w:ascii="Arial" w:hAnsi="Arial" w:cs="Arial"/>
        </w:rPr>
        <w:t xml:space="preserve">to </w:t>
      </w:r>
      <w:r w:rsidR="00052AE6" w:rsidRPr="000C77A2">
        <w:rPr>
          <w:rFonts w:ascii="Arial" w:hAnsi="Arial" w:cs="Arial"/>
        </w:rPr>
        <w:t xml:space="preserve">in order </w:t>
      </w:r>
      <w:r w:rsidR="00052AE6" w:rsidRPr="000C77A2">
        <w:rPr>
          <w:rFonts w:ascii="Arial" w:hAnsi="Arial" w:cs="Arial"/>
        </w:rPr>
        <w:t xml:space="preserve">to safeguard workers against potential health and safety hazards. These regulations stipulate that employers are obligated to provide appropriate PPE at no cost to employees when risks cannot be sufficiently mitigated through alternative measures. </w:t>
      </w:r>
    </w:p>
    <w:p w14:paraId="5790B45E" w14:textId="77777777" w:rsidR="00052AE6" w:rsidRPr="000C77A2" w:rsidRDefault="00052AE6">
      <w:pPr>
        <w:rPr>
          <w:rFonts w:ascii="Arial" w:hAnsi="Arial" w:cs="Arial"/>
        </w:rPr>
      </w:pPr>
    </w:p>
    <w:p w14:paraId="5871FA7D" w14:textId="77777777" w:rsidR="00052AE6" w:rsidRPr="000C77A2" w:rsidRDefault="00052AE6">
      <w:pPr>
        <w:rPr>
          <w:rFonts w:ascii="Arial" w:hAnsi="Arial" w:cs="Arial"/>
        </w:rPr>
      </w:pPr>
      <w:r w:rsidRPr="000C77A2">
        <w:rPr>
          <w:rFonts w:ascii="Arial" w:hAnsi="Arial" w:cs="Arial"/>
        </w:rPr>
        <w:t xml:space="preserve">On construction sites, common hazards include falling objects, dust, excessive noise, sharp materials, and exposure to toxic substances. Consequently, suitable PPE may encompass hard hats, high-visibility apparel, steel-toed boots, gloves, eye protection, hearing protection, and respiratory gear. </w:t>
      </w:r>
    </w:p>
    <w:p w14:paraId="46B0A666" w14:textId="77777777" w:rsidR="00052AE6" w:rsidRPr="000C77A2" w:rsidRDefault="00052AE6">
      <w:pPr>
        <w:rPr>
          <w:rFonts w:ascii="Arial" w:hAnsi="Arial" w:cs="Arial"/>
        </w:rPr>
      </w:pPr>
    </w:p>
    <w:p w14:paraId="67B68739" w14:textId="77777777" w:rsidR="00052AE6" w:rsidRPr="000C77A2" w:rsidRDefault="00052AE6">
      <w:pPr>
        <w:rPr>
          <w:rFonts w:ascii="Arial" w:hAnsi="Arial" w:cs="Arial"/>
        </w:rPr>
      </w:pPr>
      <w:r w:rsidRPr="000C77A2">
        <w:rPr>
          <w:rFonts w:ascii="Arial" w:hAnsi="Arial" w:cs="Arial"/>
        </w:rPr>
        <w:lastRenderedPageBreak/>
        <w:t xml:space="preserve">The PPE supplied must undergo thorough assessment, be fit for its intended purpose, and be maintained in optimal condition. Employers are required to ensure that workers receive training on the proper use, storage, and limitations of their PPE. Furthermore, it is their duty to enforce compliance with PPE usage and to conduct regular inspections of the equipment for any signs of damage or wear. </w:t>
      </w:r>
    </w:p>
    <w:p w14:paraId="0991A154" w14:textId="77777777" w:rsidR="00052AE6" w:rsidRPr="000C77A2" w:rsidRDefault="00052AE6">
      <w:pPr>
        <w:rPr>
          <w:rFonts w:ascii="Arial" w:hAnsi="Arial" w:cs="Arial"/>
        </w:rPr>
      </w:pPr>
    </w:p>
    <w:p w14:paraId="5443C070" w14:textId="14B23B22" w:rsidR="00052AE6" w:rsidRPr="000C77A2" w:rsidRDefault="00052AE6">
      <w:pPr>
        <w:rPr>
          <w:rFonts w:ascii="Arial" w:hAnsi="Arial" w:cs="Arial"/>
        </w:rPr>
      </w:pPr>
      <w:r w:rsidRPr="000C77A2">
        <w:rPr>
          <w:rFonts w:ascii="Arial" w:hAnsi="Arial" w:cs="Arial"/>
        </w:rPr>
        <w:t xml:space="preserve">Additionally, PPE must be appropriately fitted to each individual worker to avoid introducing further risks. Adhering to the PPE Regulations is essential for preventing injuries and illnesses on-site, promoting worker well-being, and ensuring that the project complies with legal health and safety standards. Compliance with these regulations is not merely a legal obligation but also a critical component in </w:t>
      </w:r>
      <w:r w:rsidRPr="000C77A2">
        <w:rPr>
          <w:rFonts w:ascii="Arial" w:hAnsi="Arial" w:cs="Arial"/>
        </w:rPr>
        <w:t>ensuring</w:t>
      </w:r>
      <w:r w:rsidRPr="000C77A2">
        <w:rPr>
          <w:rFonts w:ascii="Arial" w:hAnsi="Arial" w:cs="Arial"/>
        </w:rPr>
        <w:t xml:space="preserve"> a safe and efficient working environment throughout the construction process.</w:t>
      </w:r>
    </w:p>
    <w:p w14:paraId="7DADA104" w14:textId="77777777" w:rsidR="00640086" w:rsidRPr="00640086" w:rsidRDefault="00640086" w:rsidP="00640086">
      <w:pPr>
        <w:jc w:val="center"/>
        <w:rPr>
          <w:rFonts w:ascii="Arial" w:hAnsi="Arial" w:cs="Arial"/>
          <w:i/>
          <w:iCs/>
          <w:color w:val="00B0F0"/>
          <w:u w:val="single"/>
        </w:rPr>
      </w:pPr>
      <w:r w:rsidRPr="00640086">
        <w:rPr>
          <w:rFonts w:ascii="Arial" w:hAnsi="Arial" w:cs="Arial"/>
          <w:i/>
          <w:iCs/>
          <w:color w:val="00B0F0"/>
          <w:u w:val="single"/>
        </w:rPr>
        <w:t>Voltimum (2018). Introduction to PPE Regulations (1992). [online] Electrical Apprentice. Available at: https://electricalapprentice.co.uk/introduction-to-ppe-regulations-1992/ [Accessed 12 May 2025].</w:t>
      </w:r>
    </w:p>
    <w:p w14:paraId="2F9912C4" w14:textId="77777777" w:rsidR="00F6554E" w:rsidRDefault="00F6554E" w:rsidP="00F6554E">
      <w:pPr>
        <w:rPr>
          <w:rFonts w:ascii="Angsana New" w:hAnsi="Angsana New" w:cs="Angsana New"/>
          <w:sz w:val="32"/>
          <w:szCs w:val="32"/>
        </w:rPr>
      </w:pPr>
    </w:p>
    <w:p w14:paraId="44797F0F" w14:textId="5443E464" w:rsidR="00F6554E" w:rsidRPr="00F6554E" w:rsidRDefault="00F6554E" w:rsidP="00F6554E">
      <w:pPr>
        <w:jc w:val="center"/>
        <w:rPr>
          <w:rFonts w:ascii="Arial" w:hAnsi="Arial" w:cs="Arial"/>
          <w:i/>
          <w:iCs/>
          <w:color w:val="00B0F0"/>
          <w:u w:val="single"/>
        </w:rPr>
      </w:pPr>
      <w:r w:rsidRPr="00F6554E">
        <w:rPr>
          <w:rFonts w:ascii="Arial" w:hAnsi="Arial" w:cs="Arial"/>
          <w:i/>
          <w:iCs/>
          <w:color w:val="00B0F0"/>
          <w:u w:val="single"/>
        </w:rPr>
        <w:t>HSE (2013). Health and Safety Executive Personal protective equipment (PPE) at work</w:t>
      </w:r>
      <w:r w:rsidR="001E41FE">
        <w:rPr>
          <w:rFonts w:ascii="Arial" w:hAnsi="Arial" w:cs="Arial"/>
          <w:i/>
          <w:iCs/>
          <w:color w:val="00B0F0"/>
          <w:u w:val="single"/>
        </w:rPr>
        <w:t>:</w:t>
      </w:r>
      <w:r w:rsidRPr="00F6554E">
        <w:rPr>
          <w:rFonts w:ascii="Arial" w:hAnsi="Arial" w:cs="Arial"/>
          <w:i/>
          <w:iCs/>
          <w:color w:val="00B0F0"/>
          <w:u w:val="single"/>
        </w:rPr>
        <w:t xml:space="preserve"> A brief guide. [online] Available at: https://cdn.forestresearch.gov.uk/2022/02/ppe_at_work_regulations_1992.pdf [Accessed 13 May 2025].</w:t>
      </w:r>
    </w:p>
    <w:p w14:paraId="4C559CC5" w14:textId="77777777" w:rsidR="00711CEC" w:rsidRDefault="00711CEC">
      <w:pPr>
        <w:rPr>
          <w:rFonts w:ascii="Angsana New" w:hAnsi="Angsana New" w:cs="Angsana New"/>
          <w:sz w:val="32"/>
          <w:szCs w:val="32"/>
        </w:rPr>
      </w:pPr>
    </w:p>
    <w:p w14:paraId="4D236DC0" w14:textId="36859773" w:rsidR="00711CEC" w:rsidRPr="004D5EAC" w:rsidRDefault="00711CEC">
      <w:pPr>
        <w:rPr>
          <w:rFonts w:ascii="Angsana New" w:hAnsi="Angsana New" w:cs="Angsana New"/>
          <w:b/>
          <w:bCs/>
          <w:sz w:val="44"/>
          <w:szCs w:val="44"/>
        </w:rPr>
      </w:pPr>
      <w:r w:rsidRPr="004D5EAC">
        <w:rPr>
          <w:rFonts w:ascii="Angsana New" w:hAnsi="Angsana New" w:cs="Angsana New"/>
          <w:b/>
          <w:bCs/>
          <w:sz w:val="44"/>
          <w:szCs w:val="44"/>
        </w:rPr>
        <w:t>The Control of Noise at Work Regulations</w:t>
      </w:r>
      <w:r w:rsidR="004D5EAC">
        <w:rPr>
          <w:rFonts w:ascii="Angsana New" w:hAnsi="Angsana New" w:cs="Angsana New"/>
          <w:b/>
          <w:bCs/>
          <w:sz w:val="44"/>
          <w:szCs w:val="44"/>
        </w:rPr>
        <w:t xml:space="preserve"> 2005</w:t>
      </w:r>
    </w:p>
    <w:p w14:paraId="34DA8B5C" w14:textId="77777777" w:rsidR="00711CEC" w:rsidRDefault="00711CEC">
      <w:pPr>
        <w:rPr>
          <w:rFonts w:ascii="Angsana New" w:hAnsi="Angsana New" w:cs="Angsana New"/>
          <w:sz w:val="32"/>
          <w:szCs w:val="32"/>
        </w:rPr>
      </w:pPr>
    </w:p>
    <w:p w14:paraId="3B0FEDF8" w14:textId="77777777" w:rsidR="00711CEC" w:rsidRPr="000C77A2" w:rsidRDefault="00711CEC">
      <w:pPr>
        <w:rPr>
          <w:rFonts w:ascii="Arial" w:hAnsi="Arial" w:cs="Arial"/>
        </w:rPr>
      </w:pPr>
      <w:r w:rsidRPr="000C77A2">
        <w:rPr>
          <w:rFonts w:ascii="Arial" w:hAnsi="Arial" w:cs="Arial"/>
        </w:rPr>
        <w:t>The 2005 Control of Noise at Work Regulations play a crucial role in</w:t>
      </w:r>
      <w:r w:rsidRPr="000C77A2">
        <w:rPr>
          <w:rFonts w:ascii="Arial" w:hAnsi="Arial" w:cs="Arial"/>
        </w:rPr>
        <w:t xml:space="preserve"> construction</w:t>
      </w:r>
      <w:r w:rsidRPr="000C77A2">
        <w:rPr>
          <w:rFonts w:ascii="Arial" w:hAnsi="Arial" w:cs="Arial"/>
        </w:rPr>
        <w:t>, particularly in bustling urban areas where existing noise levels are elevated and construction can exacerbate the situation. These regulations are designed to safeguard workers from potential long-term hearing loss due to excessive noise exposure on job sites.</w:t>
      </w:r>
    </w:p>
    <w:p w14:paraId="5E01361E" w14:textId="77777777" w:rsidR="00711CEC" w:rsidRPr="000C77A2" w:rsidRDefault="00711CEC">
      <w:pPr>
        <w:rPr>
          <w:rFonts w:ascii="Arial" w:hAnsi="Arial" w:cs="Arial"/>
        </w:rPr>
      </w:pPr>
    </w:p>
    <w:p w14:paraId="2944D88D" w14:textId="6D2921C3" w:rsidR="00711CEC" w:rsidRPr="000C77A2" w:rsidRDefault="00711CEC">
      <w:pPr>
        <w:rPr>
          <w:rFonts w:ascii="Arial" w:hAnsi="Arial" w:cs="Arial"/>
        </w:rPr>
      </w:pPr>
      <w:r w:rsidRPr="000C77A2">
        <w:rPr>
          <w:rFonts w:ascii="Arial" w:hAnsi="Arial" w:cs="Arial"/>
        </w:rPr>
        <w:t xml:space="preserve"> To adhere to these regulations, the main contractor must conduct a thorough assessment of noise risks present on-site. This involves pinpointing specific tasks or machinery</w:t>
      </w:r>
      <w:r w:rsidRPr="000C77A2">
        <w:rPr>
          <w:rFonts w:ascii="Arial" w:hAnsi="Arial" w:cs="Arial"/>
        </w:rPr>
        <w:t xml:space="preserve">, </w:t>
      </w:r>
      <w:r w:rsidRPr="000C77A2">
        <w:rPr>
          <w:rFonts w:ascii="Arial" w:hAnsi="Arial" w:cs="Arial"/>
        </w:rPr>
        <w:t>like pneumatic drills, heavy equipment, or demolition tools</w:t>
      </w:r>
      <w:r w:rsidRPr="000C77A2">
        <w:rPr>
          <w:rFonts w:ascii="Arial" w:hAnsi="Arial" w:cs="Arial"/>
        </w:rPr>
        <w:t xml:space="preserve">, </w:t>
      </w:r>
      <w:r w:rsidRPr="000C77A2">
        <w:rPr>
          <w:rFonts w:ascii="Arial" w:hAnsi="Arial" w:cs="Arial"/>
        </w:rPr>
        <w:t xml:space="preserve">that could subject workers to dangerous noise levels. If workers are likely to encounter daily or weekly noise levels at or above the lower exposure action value of 80 dB, the </w:t>
      </w:r>
      <w:r w:rsidRPr="000C77A2">
        <w:rPr>
          <w:rFonts w:ascii="Arial" w:hAnsi="Arial" w:cs="Arial"/>
        </w:rPr>
        <w:lastRenderedPageBreak/>
        <w:t xml:space="preserve">contractor is obligated to provide necessary information, guidance, and training regarding the risks and methods to mitigate exposure. </w:t>
      </w:r>
    </w:p>
    <w:p w14:paraId="63CD42E1" w14:textId="77777777" w:rsidR="00711CEC" w:rsidRPr="000C77A2" w:rsidRDefault="00711CEC">
      <w:pPr>
        <w:rPr>
          <w:rFonts w:ascii="Arial" w:hAnsi="Arial" w:cs="Arial"/>
        </w:rPr>
      </w:pPr>
    </w:p>
    <w:p w14:paraId="0F151438" w14:textId="77777777" w:rsidR="00711CEC" w:rsidRPr="000C77A2" w:rsidRDefault="00711CEC">
      <w:pPr>
        <w:rPr>
          <w:rFonts w:ascii="Arial" w:hAnsi="Arial" w:cs="Arial"/>
        </w:rPr>
      </w:pPr>
      <w:r w:rsidRPr="000C77A2">
        <w:rPr>
          <w:rFonts w:ascii="Arial" w:hAnsi="Arial" w:cs="Arial"/>
        </w:rPr>
        <w:t>When noise levels surpass 85 dB, the use of hearing protection becomes compulsory, and designated hearing protection zones must be clearly identified and enforced. Additionally, employers must conduct regular hearing assessments for employees frequently exposed to high noise levels. Implementing engineering controls, such as utilizing quieter machinery, installing noise-reducing barriers, or scheduling loud activities during less disruptive hours, is essential to minimize risk.</w:t>
      </w:r>
    </w:p>
    <w:p w14:paraId="65FDBF8E" w14:textId="77777777" w:rsidR="00711CEC" w:rsidRPr="000C77A2" w:rsidRDefault="00711CEC">
      <w:pPr>
        <w:rPr>
          <w:rFonts w:ascii="Arial" w:hAnsi="Arial" w:cs="Arial"/>
        </w:rPr>
      </w:pPr>
    </w:p>
    <w:p w14:paraId="75BECF6A" w14:textId="2EB8D7EE" w:rsidR="00711CEC" w:rsidRPr="000C77A2" w:rsidRDefault="00711CEC">
      <w:pPr>
        <w:rPr>
          <w:rFonts w:ascii="Arial" w:hAnsi="Arial" w:cs="Arial"/>
        </w:rPr>
      </w:pPr>
      <w:r w:rsidRPr="000C77A2">
        <w:rPr>
          <w:rFonts w:ascii="Arial" w:hAnsi="Arial" w:cs="Arial"/>
        </w:rPr>
        <w:t xml:space="preserve"> In summary, strict compliance with the Control of Noise at Work Regulations not only </w:t>
      </w:r>
      <w:r w:rsidRPr="000C77A2">
        <w:rPr>
          <w:rFonts w:ascii="Arial" w:hAnsi="Arial" w:cs="Arial"/>
        </w:rPr>
        <w:t xml:space="preserve">creates </w:t>
      </w:r>
      <w:r w:rsidRPr="000C77A2">
        <w:rPr>
          <w:rFonts w:ascii="Arial" w:hAnsi="Arial" w:cs="Arial"/>
        </w:rPr>
        <w:t>a safer working environment for construction personnel but also reduces disturbances for nearby residents in urban settings.</w:t>
      </w:r>
    </w:p>
    <w:p w14:paraId="348E9EBA" w14:textId="77777777" w:rsidR="005D7C01" w:rsidRDefault="005D7C01">
      <w:pPr>
        <w:rPr>
          <w:rFonts w:ascii="Angsana New" w:hAnsi="Angsana New" w:cs="Angsana New"/>
          <w:sz w:val="32"/>
          <w:szCs w:val="32"/>
        </w:rPr>
      </w:pPr>
    </w:p>
    <w:p w14:paraId="7473D705" w14:textId="6F435DC9" w:rsidR="005D7C01" w:rsidRDefault="005D7C01">
      <w:pPr>
        <w:rPr>
          <w:rFonts w:ascii="Angsana New" w:hAnsi="Angsana New" w:cs="Angsana New"/>
          <w:sz w:val="32"/>
          <w:szCs w:val="32"/>
        </w:rPr>
      </w:pPr>
    </w:p>
    <w:p w14:paraId="6FD8CD92" w14:textId="401A15DA" w:rsidR="00100846" w:rsidRPr="00100846" w:rsidRDefault="001E41FE" w:rsidP="00100846">
      <w:pPr>
        <w:jc w:val="center"/>
        <w:rPr>
          <w:rFonts w:ascii="Arial" w:hAnsi="Arial" w:cs="Arial"/>
          <w:i/>
          <w:iCs/>
          <w:color w:val="00B0F0"/>
          <w:u w:val="single"/>
        </w:rPr>
      </w:pPr>
      <w:proofErr w:type="spellStart"/>
      <w:r>
        <w:rPr>
          <w:rFonts w:ascii="Arial" w:hAnsi="Arial" w:cs="Arial"/>
          <w:i/>
          <w:iCs/>
          <w:color w:val="00B0F0"/>
          <w:u w:val="single"/>
        </w:rPr>
        <w:t>IDH</w:t>
      </w:r>
      <w:r w:rsidR="00100846" w:rsidRPr="00100846">
        <w:rPr>
          <w:rFonts w:ascii="Arial" w:hAnsi="Arial" w:cs="Arial"/>
          <w:i/>
          <w:iCs/>
          <w:color w:val="00B0F0"/>
          <w:u w:val="single"/>
        </w:rPr>
        <w:t>.agency</w:t>
      </w:r>
      <w:proofErr w:type="spellEnd"/>
      <w:r w:rsidR="00100846" w:rsidRPr="00100846">
        <w:rPr>
          <w:rFonts w:ascii="Arial" w:hAnsi="Arial" w:cs="Arial"/>
          <w:i/>
          <w:iCs/>
          <w:color w:val="00B0F0"/>
          <w:u w:val="single"/>
        </w:rPr>
        <w:t xml:space="preserve"> (2023). Control of noise at work regulations 2005. [online] SVANTEK - Sound and Vibration. Available at: https://svantek.com/uk/academy/control-of-noise-at-work-regulations-2005/ [Accessed 13 May 2025].</w:t>
      </w:r>
    </w:p>
    <w:p w14:paraId="580FD6FE" w14:textId="532AF1A0" w:rsidR="005D7C01" w:rsidRDefault="005D7C01">
      <w:pPr>
        <w:rPr>
          <w:rFonts w:ascii="Angsana New" w:hAnsi="Angsana New" w:cs="Angsana New"/>
          <w:sz w:val="32"/>
          <w:szCs w:val="32"/>
        </w:rPr>
      </w:pPr>
    </w:p>
    <w:p w14:paraId="0BFE0399" w14:textId="10CFF8E7" w:rsidR="005D7C01" w:rsidRDefault="005D7C01">
      <w:pPr>
        <w:rPr>
          <w:rFonts w:ascii="Angsana New" w:hAnsi="Angsana New" w:cs="Angsana New"/>
          <w:sz w:val="32"/>
          <w:szCs w:val="32"/>
        </w:rPr>
      </w:pPr>
    </w:p>
    <w:p w14:paraId="07678BD1" w14:textId="77777777" w:rsidR="004D5EAC" w:rsidRDefault="004D5EAC">
      <w:pPr>
        <w:rPr>
          <w:rFonts w:ascii="Angsana New" w:hAnsi="Angsana New" w:cs="Angsana New"/>
          <w:b/>
          <w:bCs/>
          <w:sz w:val="44"/>
          <w:szCs w:val="44"/>
        </w:rPr>
      </w:pPr>
    </w:p>
    <w:p w14:paraId="7BE55C84" w14:textId="77777777" w:rsidR="004D5EAC" w:rsidRDefault="004D5EAC">
      <w:pPr>
        <w:rPr>
          <w:rFonts w:ascii="Angsana New" w:hAnsi="Angsana New" w:cs="Angsana New"/>
          <w:b/>
          <w:bCs/>
          <w:sz w:val="44"/>
          <w:szCs w:val="44"/>
        </w:rPr>
      </w:pPr>
    </w:p>
    <w:p w14:paraId="113FD037" w14:textId="77777777" w:rsidR="004D5EAC" w:rsidRDefault="004D5EAC">
      <w:pPr>
        <w:rPr>
          <w:rFonts w:ascii="Angsana New" w:hAnsi="Angsana New" w:cs="Angsana New"/>
          <w:b/>
          <w:bCs/>
          <w:sz w:val="44"/>
          <w:szCs w:val="44"/>
        </w:rPr>
      </w:pPr>
    </w:p>
    <w:p w14:paraId="674F3E79" w14:textId="77777777" w:rsidR="004D5EAC" w:rsidRDefault="004D5EAC">
      <w:pPr>
        <w:rPr>
          <w:rFonts w:ascii="Angsana New" w:hAnsi="Angsana New" w:cs="Angsana New"/>
          <w:b/>
          <w:bCs/>
          <w:sz w:val="44"/>
          <w:szCs w:val="44"/>
        </w:rPr>
      </w:pPr>
    </w:p>
    <w:p w14:paraId="7161019C" w14:textId="77777777" w:rsidR="004D5EAC" w:rsidRDefault="004D5EAC">
      <w:pPr>
        <w:rPr>
          <w:rFonts w:ascii="Angsana New" w:hAnsi="Angsana New" w:cs="Angsana New"/>
          <w:b/>
          <w:bCs/>
          <w:sz w:val="44"/>
          <w:szCs w:val="44"/>
        </w:rPr>
      </w:pPr>
    </w:p>
    <w:p w14:paraId="401EA59A" w14:textId="77777777" w:rsidR="004D5EAC" w:rsidRDefault="004D5EAC">
      <w:pPr>
        <w:rPr>
          <w:rFonts w:ascii="Angsana New" w:hAnsi="Angsana New" w:cs="Angsana New"/>
          <w:b/>
          <w:bCs/>
          <w:sz w:val="44"/>
          <w:szCs w:val="44"/>
        </w:rPr>
      </w:pPr>
    </w:p>
    <w:p w14:paraId="6FB372F2" w14:textId="3187C1B2" w:rsidR="005D7C01" w:rsidRPr="004D5EAC" w:rsidRDefault="005D7C01">
      <w:pPr>
        <w:rPr>
          <w:rFonts w:ascii="Angsana New" w:hAnsi="Angsana New" w:cs="Angsana New"/>
          <w:b/>
          <w:bCs/>
          <w:sz w:val="40"/>
          <w:szCs w:val="40"/>
        </w:rPr>
      </w:pPr>
      <w:r w:rsidRPr="004D5EAC">
        <w:rPr>
          <w:rFonts w:ascii="Angsana New" w:hAnsi="Angsana New" w:cs="Angsana New"/>
          <w:b/>
          <w:bCs/>
          <w:sz w:val="44"/>
          <w:szCs w:val="44"/>
        </w:rPr>
        <w:lastRenderedPageBreak/>
        <w:t xml:space="preserve">Understanding the Construction Design Management Regulations (CDM 2015) Regulations </w:t>
      </w:r>
    </w:p>
    <w:p w14:paraId="699A7563" w14:textId="6274B551" w:rsidR="005D7C01" w:rsidRDefault="005D7C01">
      <w:pPr>
        <w:rPr>
          <w:rFonts w:ascii="Angsana New" w:hAnsi="Angsana New" w:cs="Angsana New"/>
          <w:sz w:val="32"/>
          <w:szCs w:val="32"/>
        </w:rPr>
      </w:pPr>
    </w:p>
    <w:p w14:paraId="6F83D159" w14:textId="3BD3A6DA" w:rsidR="005D7C01" w:rsidRPr="000C77A2" w:rsidRDefault="005D7C01">
      <w:pPr>
        <w:rPr>
          <w:rFonts w:ascii="Arial" w:hAnsi="Arial" w:cs="Arial"/>
        </w:rPr>
      </w:pPr>
      <w:r w:rsidRPr="000C77A2">
        <w:rPr>
          <w:rFonts w:ascii="Arial" w:hAnsi="Arial" w:cs="Arial"/>
          <w:noProof/>
          <w:sz w:val="20"/>
          <w:szCs w:val="20"/>
        </w:rPr>
        <w:drawing>
          <wp:anchor distT="0" distB="0" distL="114300" distR="114300" simplePos="0" relativeHeight="251662336" behindDoc="1" locked="0" layoutInCell="1" allowOverlap="1" wp14:anchorId="3027809F" wp14:editId="10226765">
            <wp:simplePos x="0" y="0"/>
            <wp:positionH relativeFrom="column">
              <wp:posOffset>2456091</wp:posOffset>
            </wp:positionH>
            <wp:positionV relativeFrom="paragraph">
              <wp:posOffset>15240</wp:posOffset>
            </wp:positionV>
            <wp:extent cx="3518535" cy="2950210"/>
            <wp:effectExtent l="0" t="0" r="5715" b="2540"/>
            <wp:wrapTight wrapText="bothSides">
              <wp:wrapPolygon edited="0">
                <wp:start x="0" y="0"/>
                <wp:lineTo x="0" y="21479"/>
                <wp:lineTo x="21518" y="21479"/>
                <wp:lineTo x="21518" y="0"/>
                <wp:lineTo x="0" y="0"/>
              </wp:wrapPolygon>
            </wp:wrapTight>
            <wp:docPr id="1799744458" name="Picture 2" descr="A Guide to The Construction (Design and Management) Regulations 20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Guide to The Construction (Design and Management) Regulations 201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518535" cy="29502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6494B" w:rsidRPr="0046494B">
        <w:rPr>
          <w:rFonts w:ascii="Arial" w:hAnsi="Arial" w:cs="Arial"/>
          <w:color w:val="000000"/>
          <w:sz w:val="27"/>
          <w:szCs w:val="27"/>
          <w:shd w:val="clear" w:color="auto" w:fill="F4F5F6"/>
        </w:rPr>
        <w:t xml:space="preserve"> </w:t>
      </w:r>
      <w:r w:rsidR="0046494B" w:rsidRPr="0046494B">
        <w:rPr>
          <w:rFonts w:ascii="Arial" w:hAnsi="Arial" w:cs="Arial"/>
        </w:rPr>
        <w:t>The Construction Design Management Regulations 2015 (CDM 2015) establish particular obligations for all stakeholders engaged in a construction project</w:t>
      </w:r>
      <w:r w:rsidRPr="000C77A2">
        <w:rPr>
          <w:rFonts w:ascii="Arial" w:hAnsi="Arial" w:cs="Arial"/>
        </w:rPr>
        <w:t xml:space="preserve">, from its initial stages to completion, to foster effective risk management and teamwork. Initially, the client holds the primary responsibility for ensuring adequate time, budget, and arrangements are established for health and safety management. This entails that clients must engage qualified designers and contractors, provide them with current pre-construction information, and guarantee the preparation and upkeep of a Health and Safety File. </w:t>
      </w:r>
    </w:p>
    <w:p w14:paraId="28CA4CF8" w14:textId="77777777" w:rsidR="005D7C01" w:rsidRPr="000C77A2" w:rsidRDefault="005D7C01">
      <w:pPr>
        <w:rPr>
          <w:rFonts w:ascii="Arial" w:hAnsi="Arial" w:cs="Arial"/>
        </w:rPr>
      </w:pPr>
    </w:p>
    <w:p w14:paraId="7C9D128E" w14:textId="77777777" w:rsidR="005D7C01" w:rsidRPr="000C77A2" w:rsidRDefault="005D7C01">
      <w:pPr>
        <w:rPr>
          <w:rFonts w:ascii="Arial" w:hAnsi="Arial" w:cs="Arial"/>
        </w:rPr>
      </w:pPr>
      <w:r w:rsidRPr="000C77A2">
        <w:rPr>
          <w:rFonts w:ascii="Arial" w:hAnsi="Arial" w:cs="Arial"/>
        </w:rPr>
        <w:t xml:space="preserve">Designers, including architects, engineers, and other professionals involved in developing the project's technical aspects, are obligated to prioritize health and safety in their work. They must strive to eliminate hazards through design whenever feasible or, if not possible, to minimize and manage risks during the building's construction, use, maintenance, or eventual demolition. Designers are also responsible for communicating any remaining risks to other designers and contractors, ensuring that decisions made at each phase align with practical health and safety measures. </w:t>
      </w:r>
    </w:p>
    <w:p w14:paraId="47DA4EBC" w14:textId="77777777" w:rsidR="005D7C01" w:rsidRPr="000C77A2" w:rsidRDefault="005D7C01">
      <w:pPr>
        <w:rPr>
          <w:rFonts w:ascii="Arial" w:hAnsi="Arial" w:cs="Arial"/>
        </w:rPr>
      </w:pPr>
    </w:p>
    <w:p w14:paraId="57BADDCF" w14:textId="7A7C374D" w:rsidR="005D7C01" w:rsidRPr="000C77A2" w:rsidRDefault="005D7C01">
      <w:pPr>
        <w:rPr>
          <w:rFonts w:ascii="Arial" w:hAnsi="Arial" w:cs="Arial"/>
        </w:rPr>
      </w:pPr>
      <w:r w:rsidRPr="000C77A2">
        <w:rPr>
          <w:rFonts w:ascii="Arial" w:hAnsi="Arial" w:cs="Arial"/>
        </w:rPr>
        <w:t>In projects with multiple contractors,</w:t>
      </w:r>
      <w:r w:rsidR="0046494B" w:rsidRPr="0046494B">
        <w:rPr>
          <w:rFonts w:ascii="Arial" w:hAnsi="Arial" w:cs="Arial"/>
          <w:color w:val="000000"/>
          <w:sz w:val="27"/>
          <w:szCs w:val="27"/>
          <w:shd w:val="clear" w:color="auto" w:fill="F4F5F6"/>
        </w:rPr>
        <w:t xml:space="preserve"> </w:t>
      </w:r>
      <w:r w:rsidR="0046494B">
        <w:rPr>
          <w:rFonts w:ascii="Arial" w:hAnsi="Arial" w:cs="Arial"/>
        </w:rPr>
        <w:t>t</w:t>
      </w:r>
      <w:r w:rsidR="0046494B" w:rsidRPr="0046494B">
        <w:rPr>
          <w:rFonts w:ascii="Arial" w:hAnsi="Arial" w:cs="Arial"/>
        </w:rPr>
        <w:t xml:space="preserve">he client is required to appoint a Principal Designer (PD) to manage health and safety throughout the pre-construction </w:t>
      </w:r>
      <w:proofErr w:type="gramStart"/>
      <w:r w:rsidR="0046494B" w:rsidRPr="0046494B">
        <w:rPr>
          <w:rFonts w:ascii="Arial" w:hAnsi="Arial" w:cs="Arial"/>
        </w:rPr>
        <w:t>phase.</w:t>
      </w:r>
      <w:r w:rsidRPr="000C77A2">
        <w:rPr>
          <w:rFonts w:ascii="Arial" w:hAnsi="Arial" w:cs="Arial"/>
        </w:rPr>
        <w:t>.</w:t>
      </w:r>
      <w:proofErr w:type="gramEnd"/>
      <w:r w:rsidRPr="000C77A2">
        <w:rPr>
          <w:rFonts w:ascii="Arial" w:hAnsi="Arial" w:cs="Arial"/>
        </w:rPr>
        <w:t xml:space="preserve"> The PD's responsibilities include identifying potential risks, incorporating mitigation strategies into designs and specifications, and ensuring compliance with health and safety duties among all designers. </w:t>
      </w:r>
    </w:p>
    <w:p w14:paraId="37F2EE0E" w14:textId="77777777" w:rsidR="005D7C01" w:rsidRPr="000C77A2" w:rsidRDefault="005D7C01">
      <w:pPr>
        <w:rPr>
          <w:rFonts w:ascii="Arial" w:hAnsi="Arial" w:cs="Arial"/>
        </w:rPr>
      </w:pPr>
    </w:p>
    <w:p w14:paraId="4F175248" w14:textId="36DC2E8F" w:rsidR="005D7C01" w:rsidRDefault="005D7C01">
      <w:pPr>
        <w:rPr>
          <w:rFonts w:ascii="Angsana New" w:hAnsi="Angsana New" w:cs="Angsana New"/>
          <w:sz w:val="32"/>
          <w:szCs w:val="32"/>
        </w:rPr>
      </w:pPr>
      <w:r w:rsidRPr="000C77A2">
        <w:rPr>
          <w:rFonts w:ascii="Arial" w:hAnsi="Arial" w:cs="Arial"/>
        </w:rPr>
        <w:lastRenderedPageBreak/>
        <w:t>The PD also assembles the Health and Safety File, which serves as an essential resource for any future work on the building. Likewise, a Principal Contractor (PC) must be appointed for projects involving multiple contractors to effectively plan, manage, and supervise the construction phase. The PC is responsible for creating the Construction Phase Plan, organizing site inductions, managing welfare facilities, and ensuring that all contractors work together under a unified safety framework. Subcontractors and other contractors are then required to plan and carry out their tasks accordingly</w:t>
      </w:r>
      <w:r w:rsidRPr="005D7C01">
        <w:rPr>
          <w:rFonts w:ascii="Angsana New" w:hAnsi="Angsana New" w:cs="Angsana New"/>
          <w:sz w:val="32"/>
          <w:szCs w:val="32"/>
        </w:rPr>
        <w:t>.</w:t>
      </w:r>
    </w:p>
    <w:p w14:paraId="5903C713" w14:textId="77777777" w:rsidR="005D7C01" w:rsidRDefault="005D7C01">
      <w:pPr>
        <w:rPr>
          <w:rFonts w:ascii="Angsana New" w:hAnsi="Angsana New" w:cs="Angsana New"/>
          <w:sz w:val="32"/>
          <w:szCs w:val="32"/>
        </w:rPr>
      </w:pPr>
    </w:p>
    <w:p w14:paraId="6CC92112" w14:textId="77777777" w:rsidR="005D7C01" w:rsidRDefault="005D7C01">
      <w:pPr>
        <w:rPr>
          <w:rFonts w:ascii="Angsana New" w:hAnsi="Angsana New" w:cs="Angsana New"/>
          <w:sz w:val="32"/>
          <w:szCs w:val="32"/>
        </w:rPr>
      </w:pPr>
    </w:p>
    <w:p w14:paraId="4A395458" w14:textId="77777777" w:rsidR="005D7C01" w:rsidRPr="004D5EAC" w:rsidRDefault="005D7C01" w:rsidP="005D7C01">
      <w:pPr>
        <w:jc w:val="center"/>
        <w:rPr>
          <w:rFonts w:asciiTheme="majorHAnsi" w:hAnsiTheme="majorHAnsi" w:cs="Angsana New"/>
          <w:i/>
          <w:iCs/>
          <w:color w:val="00B0F0"/>
          <w:sz w:val="28"/>
          <w:szCs w:val="28"/>
          <w:u w:val="single"/>
        </w:rPr>
      </w:pPr>
      <w:r w:rsidRPr="005D7C01">
        <w:rPr>
          <w:rFonts w:asciiTheme="majorHAnsi" w:hAnsiTheme="majorHAnsi" w:cs="Angsana New"/>
          <w:i/>
          <w:iCs/>
          <w:color w:val="00B0F0"/>
          <w:sz w:val="28"/>
          <w:szCs w:val="28"/>
          <w:u w:val="single"/>
        </w:rPr>
        <w:t>HSE (2015). Construction - Construction Design and Management Regulations 2015. [online] Hse.gov.uk. Available at: https://www.hse.gov.uk/construction/cdm/2015/index.htm [Accessed 12 May 2025].</w:t>
      </w:r>
    </w:p>
    <w:p w14:paraId="70EB848E" w14:textId="77777777" w:rsidR="005D7C01" w:rsidRPr="004D5EAC" w:rsidRDefault="005D7C01" w:rsidP="005D7C01">
      <w:pPr>
        <w:jc w:val="center"/>
        <w:rPr>
          <w:rFonts w:asciiTheme="majorHAnsi" w:hAnsiTheme="majorHAnsi" w:cs="Angsana New"/>
          <w:i/>
          <w:iCs/>
          <w:sz w:val="28"/>
          <w:szCs w:val="28"/>
          <w:u w:val="single"/>
        </w:rPr>
      </w:pPr>
    </w:p>
    <w:p w14:paraId="0047899E" w14:textId="34F26E31" w:rsidR="004D5EAC" w:rsidRPr="004D5EAC" w:rsidRDefault="005D7C01" w:rsidP="004D5EAC">
      <w:pPr>
        <w:jc w:val="center"/>
        <w:rPr>
          <w:rFonts w:asciiTheme="majorHAnsi" w:hAnsiTheme="majorHAnsi" w:cs="Angsana New"/>
          <w:i/>
          <w:iCs/>
          <w:color w:val="00B0F0"/>
          <w:sz w:val="28"/>
          <w:szCs w:val="28"/>
          <w:u w:val="single"/>
        </w:rPr>
      </w:pPr>
      <w:r w:rsidRPr="004D5EAC">
        <w:rPr>
          <w:rFonts w:asciiTheme="majorHAnsi" w:hAnsiTheme="majorHAnsi" w:cs="Angsana New"/>
          <w:i/>
          <w:iCs/>
          <w:color w:val="00B0F0"/>
          <w:sz w:val="28"/>
          <w:szCs w:val="28"/>
          <w:u w:val="single"/>
        </w:rPr>
        <w:t xml:space="preserve">Photo reference- </w:t>
      </w:r>
      <w:r w:rsidR="004D5EAC" w:rsidRPr="004D5EAC">
        <w:rPr>
          <w:rFonts w:asciiTheme="majorHAnsi" w:hAnsiTheme="majorHAnsi" w:cs="Angsana New"/>
          <w:i/>
          <w:iCs/>
          <w:color w:val="00B0F0"/>
          <w:sz w:val="28"/>
          <w:szCs w:val="28"/>
          <w:u w:val="single"/>
        </w:rPr>
        <w:t>Management, W. (2025). Page Restricted. [online] Wamanagement.co.uk. Available at: https://www.wamanagement.co.uk/wp-content/uploads/2023/10/Key-Elements-of-CDM-2015-580x486.png [Accessed 13 May 2025].</w:t>
      </w:r>
    </w:p>
    <w:p w14:paraId="0EE70FD5" w14:textId="6F9DB242" w:rsidR="005D7C01" w:rsidRPr="005D7C01" w:rsidRDefault="005D7C01" w:rsidP="005D7C01">
      <w:pPr>
        <w:jc w:val="center"/>
        <w:rPr>
          <w:rFonts w:ascii="Angsana New" w:hAnsi="Angsana New" w:cs="Angsana New"/>
          <w:sz w:val="32"/>
          <w:szCs w:val="32"/>
        </w:rPr>
      </w:pPr>
    </w:p>
    <w:p w14:paraId="5225C4F9" w14:textId="27EBCBF4" w:rsidR="00442AE5" w:rsidRDefault="00442AE5">
      <w:pPr>
        <w:rPr>
          <w:rFonts w:ascii="Angsana New" w:hAnsi="Angsana New" w:cs="Angsana New"/>
          <w:i/>
          <w:iCs/>
          <w:color w:val="FF0000"/>
          <w:sz w:val="56"/>
          <w:szCs w:val="56"/>
        </w:rPr>
      </w:pPr>
    </w:p>
    <w:p w14:paraId="47CDC920" w14:textId="0FCC78C1" w:rsidR="005D7C01" w:rsidRDefault="007613F1">
      <w:pPr>
        <w:rPr>
          <w:rFonts w:ascii="Angsana New" w:hAnsi="Angsana New" w:cs="Angsana New"/>
          <w:i/>
          <w:iCs/>
          <w:color w:val="000000" w:themeColor="text1"/>
          <w:sz w:val="72"/>
          <w:szCs w:val="72"/>
          <w:u w:val="single"/>
        </w:rPr>
      </w:pPr>
      <w:r w:rsidRPr="007613F1">
        <w:rPr>
          <w:rFonts w:ascii="Angsana New" w:hAnsi="Angsana New" w:cs="Angsana New"/>
          <w:i/>
          <w:iCs/>
          <w:color w:val="000000" w:themeColor="text1"/>
          <w:sz w:val="72"/>
          <w:szCs w:val="72"/>
          <w:u w:val="single"/>
        </w:rPr>
        <w:drawing>
          <wp:anchor distT="0" distB="0" distL="114300" distR="114300" simplePos="0" relativeHeight="251667456" behindDoc="0" locked="0" layoutInCell="1" allowOverlap="1" wp14:anchorId="01D0154E" wp14:editId="77EB245D">
            <wp:simplePos x="0" y="0"/>
            <wp:positionH relativeFrom="margin">
              <wp:posOffset>1233377</wp:posOffset>
            </wp:positionH>
            <wp:positionV relativeFrom="paragraph">
              <wp:posOffset>750496</wp:posOffset>
            </wp:positionV>
            <wp:extent cx="5299989" cy="2576821"/>
            <wp:effectExtent l="0" t="0" r="0" b="0"/>
            <wp:wrapNone/>
            <wp:docPr id="43745851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458516" name="Picture 1" descr="A screenshot of a computer&#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315094" cy="2584165"/>
                    </a:xfrm>
                    <a:prstGeom prst="rect">
                      <a:avLst/>
                    </a:prstGeom>
                  </pic:spPr>
                </pic:pic>
              </a:graphicData>
            </a:graphic>
            <wp14:sizeRelH relativeFrom="margin">
              <wp14:pctWidth>0</wp14:pctWidth>
            </wp14:sizeRelH>
            <wp14:sizeRelV relativeFrom="margin">
              <wp14:pctHeight>0</wp14:pctHeight>
            </wp14:sizeRelV>
          </wp:anchor>
        </w:drawing>
      </w:r>
      <w:hyperlink r:id="rId15" w:history="1">
        <w:r w:rsidR="001E41FE" w:rsidRPr="001E41FE">
          <w:rPr>
            <w:rStyle w:val="Hyperlink"/>
            <w:rFonts w:ascii="Angsana New" w:hAnsi="Angsana New" w:cs="Angsana New"/>
            <w:i/>
            <w:iCs/>
            <w:color w:val="000000" w:themeColor="text1"/>
            <w:sz w:val="72"/>
            <w:szCs w:val="72"/>
            <w:highlight w:val="red"/>
          </w:rPr>
          <w:t>Link to m</w:t>
        </w:r>
        <w:r w:rsidR="001E41FE" w:rsidRPr="001E41FE">
          <w:rPr>
            <w:rStyle w:val="Hyperlink"/>
            <w:rFonts w:ascii="Angsana New" w:hAnsi="Angsana New" w:cs="Angsana New"/>
            <w:i/>
            <w:iCs/>
            <w:color w:val="000000" w:themeColor="text1"/>
            <w:sz w:val="72"/>
            <w:szCs w:val="72"/>
            <w:highlight w:val="red"/>
          </w:rPr>
          <w:t>y</w:t>
        </w:r>
        <w:r w:rsidR="001E41FE" w:rsidRPr="001E41FE">
          <w:rPr>
            <w:rStyle w:val="Hyperlink"/>
            <w:rFonts w:ascii="Angsana New" w:hAnsi="Angsana New" w:cs="Angsana New"/>
            <w:i/>
            <w:iCs/>
            <w:color w:val="000000" w:themeColor="text1"/>
            <w:sz w:val="72"/>
            <w:szCs w:val="72"/>
            <w:highlight w:val="red"/>
          </w:rPr>
          <w:t xml:space="preserve"> Risk </w:t>
        </w:r>
        <w:r w:rsidR="001E41FE" w:rsidRPr="001E41FE">
          <w:rPr>
            <w:rStyle w:val="Hyperlink"/>
            <w:rFonts w:ascii="Angsana New" w:hAnsi="Angsana New" w:cs="Angsana New"/>
            <w:i/>
            <w:iCs/>
            <w:color w:val="000000" w:themeColor="text1"/>
            <w:sz w:val="72"/>
            <w:szCs w:val="72"/>
            <w:highlight w:val="red"/>
          </w:rPr>
          <w:t>A</w:t>
        </w:r>
        <w:r w:rsidR="001E41FE" w:rsidRPr="001E41FE">
          <w:rPr>
            <w:rStyle w:val="Hyperlink"/>
            <w:rFonts w:ascii="Angsana New" w:hAnsi="Angsana New" w:cs="Angsana New"/>
            <w:i/>
            <w:iCs/>
            <w:color w:val="000000" w:themeColor="text1"/>
            <w:sz w:val="72"/>
            <w:szCs w:val="72"/>
            <w:highlight w:val="red"/>
          </w:rPr>
          <w:t>ssessmen</w:t>
        </w:r>
        <w:r w:rsidR="001E41FE" w:rsidRPr="001E41FE">
          <w:rPr>
            <w:rStyle w:val="Hyperlink"/>
            <w:rFonts w:ascii="Angsana New" w:hAnsi="Angsana New" w:cs="Angsana New"/>
            <w:i/>
            <w:iCs/>
            <w:color w:val="000000" w:themeColor="text1"/>
            <w:sz w:val="72"/>
            <w:szCs w:val="72"/>
            <w:highlight w:val="red"/>
          </w:rPr>
          <w:t>t</w:t>
        </w:r>
        <w:r w:rsidR="001E41FE" w:rsidRPr="001E41FE">
          <w:rPr>
            <w:rStyle w:val="Hyperlink"/>
            <w:rFonts w:ascii="Angsana New" w:hAnsi="Angsana New" w:cs="Angsana New"/>
            <w:i/>
            <w:iCs/>
            <w:color w:val="000000" w:themeColor="text1"/>
            <w:sz w:val="72"/>
            <w:szCs w:val="72"/>
            <w:highlight w:val="red"/>
          </w:rPr>
          <w:t xml:space="preserve"> for the Kings Road site, SA1</w:t>
        </w:r>
      </w:hyperlink>
    </w:p>
    <w:p w14:paraId="4D8F2C8E" w14:textId="20C862F8" w:rsidR="007613F1" w:rsidRPr="001E41FE" w:rsidRDefault="007613F1">
      <w:pPr>
        <w:rPr>
          <w:rFonts w:ascii="Angsana New" w:hAnsi="Angsana New" w:cs="Angsana New"/>
          <w:i/>
          <w:iCs/>
          <w:color w:val="000000" w:themeColor="text1"/>
          <w:sz w:val="72"/>
          <w:szCs w:val="72"/>
          <w:u w:val="single"/>
        </w:rPr>
      </w:pPr>
    </w:p>
    <w:sectPr w:rsidR="007613F1" w:rsidRPr="001E41FE" w:rsidSect="004D5E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ngsana New">
    <w:panose1 w:val="02020603050405020304"/>
    <w:charset w:val="DE"/>
    <w:family w:val="roman"/>
    <w:pitch w:val="variable"/>
    <w:sig w:usb0="81000003" w:usb1="00000000" w:usb2="00000000" w:usb3="00000000" w:csb0="00010001" w:csb1="00000000"/>
  </w:font>
  <w:font w:name="Aharoni">
    <w:charset w:val="B1"/>
    <w:family w:val="auto"/>
    <w:pitch w:val="variable"/>
    <w:sig w:usb0="00000803" w:usb1="00000000" w:usb2="00000000" w:usb3="00000000" w:csb0="0000002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E128CE"/>
    <w:multiLevelType w:val="hybridMultilevel"/>
    <w:tmpl w:val="5EE62D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2D6619"/>
    <w:multiLevelType w:val="hybridMultilevel"/>
    <w:tmpl w:val="557A7B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8C6011"/>
    <w:multiLevelType w:val="hybridMultilevel"/>
    <w:tmpl w:val="710E98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9514913"/>
    <w:multiLevelType w:val="hybridMultilevel"/>
    <w:tmpl w:val="9C64163C"/>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829446094">
    <w:abstractNumId w:val="1"/>
  </w:num>
  <w:num w:numId="2" w16cid:durableId="561869176">
    <w:abstractNumId w:val="3"/>
  </w:num>
  <w:num w:numId="3" w16cid:durableId="1332443762">
    <w:abstractNumId w:val="2"/>
  </w:num>
  <w:num w:numId="4" w16cid:durableId="13899626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1953"/>
    <w:rsid w:val="00052AE6"/>
    <w:rsid w:val="000C77A2"/>
    <w:rsid w:val="000E17C6"/>
    <w:rsid w:val="00100846"/>
    <w:rsid w:val="0012026D"/>
    <w:rsid w:val="001E41FE"/>
    <w:rsid w:val="0021671E"/>
    <w:rsid w:val="00442AE5"/>
    <w:rsid w:val="0046494B"/>
    <w:rsid w:val="00477C29"/>
    <w:rsid w:val="00483887"/>
    <w:rsid w:val="004D5EAC"/>
    <w:rsid w:val="00507488"/>
    <w:rsid w:val="005D7C01"/>
    <w:rsid w:val="005E2679"/>
    <w:rsid w:val="00640086"/>
    <w:rsid w:val="00711CEC"/>
    <w:rsid w:val="007613F1"/>
    <w:rsid w:val="00767ADD"/>
    <w:rsid w:val="00936745"/>
    <w:rsid w:val="009627F9"/>
    <w:rsid w:val="00B37C65"/>
    <w:rsid w:val="00BB4108"/>
    <w:rsid w:val="00BD061D"/>
    <w:rsid w:val="00C6244C"/>
    <w:rsid w:val="00E42734"/>
    <w:rsid w:val="00ED321C"/>
    <w:rsid w:val="00F00E78"/>
    <w:rsid w:val="00F63172"/>
    <w:rsid w:val="00F6554E"/>
    <w:rsid w:val="00F819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D9F8CB1"/>
  <w15:chartTrackingRefBased/>
  <w15:docId w15:val="{B47B7ACB-9270-4778-825B-5161C11E1A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195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8195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8195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8195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195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19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19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19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195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195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8195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8195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8195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19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19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19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19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1953"/>
    <w:rPr>
      <w:rFonts w:eastAsiaTheme="majorEastAsia" w:cstheme="majorBidi"/>
      <w:color w:val="272727" w:themeColor="text1" w:themeTint="D8"/>
    </w:rPr>
  </w:style>
  <w:style w:type="paragraph" w:styleId="Title">
    <w:name w:val="Title"/>
    <w:basedOn w:val="Normal"/>
    <w:next w:val="Normal"/>
    <w:link w:val="TitleChar"/>
    <w:uiPriority w:val="10"/>
    <w:qFormat/>
    <w:rsid w:val="00F819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19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19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19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1953"/>
    <w:pPr>
      <w:spacing w:before="160"/>
      <w:jc w:val="center"/>
    </w:pPr>
    <w:rPr>
      <w:i/>
      <w:iCs/>
      <w:color w:val="404040" w:themeColor="text1" w:themeTint="BF"/>
    </w:rPr>
  </w:style>
  <w:style w:type="character" w:customStyle="1" w:styleId="QuoteChar">
    <w:name w:val="Quote Char"/>
    <w:basedOn w:val="DefaultParagraphFont"/>
    <w:link w:val="Quote"/>
    <w:uiPriority w:val="29"/>
    <w:rsid w:val="00F81953"/>
    <w:rPr>
      <w:i/>
      <w:iCs/>
      <w:color w:val="404040" w:themeColor="text1" w:themeTint="BF"/>
    </w:rPr>
  </w:style>
  <w:style w:type="paragraph" w:styleId="ListParagraph">
    <w:name w:val="List Paragraph"/>
    <w:basedOn w:val="Normal"/>
    <w:uiPriority w:val="34"/>
    <w:qFormat/>
    <w:rsid w:val="00F81953"/>
    <w:pPr>
      <w:ind w:left="720"/>
      <w:contextualSpacing/>
    </w:pPr>
  </w:style>
  <w:style w:type="character" w:styleId="IntenseEmphasis">
    <w:name w:val="Intense Emphasis"/>
    <w:basedOn w:val="DefaultParagraphFont"/>
    <w:uiPriority w:val="21"/>
    <w:qFormat/>
    <w:rsid w:val="00F81953"/>
    <w:rPr>
      <w:i/>
      <w:iCs/>
      <w:color w:val="0F4761" w:themeColor="accent1" w:themeShade="BF"/>
    </w:rPr>
  </w:style>
  <w:style w:type="paragraph" w:styleId="IntenseQuote">
    <w:name w:val="Intense Quote"/>
    <w:basedOn w:val="Normal"/>
    <w:next w:val="Normal"/>
    <w:link w:val="IntenseQuoteChar"/>
    <w:uiPriority w:val="30"/>
    <w:qFormat/>
    <w:rsid w:val="00F819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1953"/>
    <w:rPr>
      <w:i/>
      <w:iCs/>
      <w:color w:val="0F4761" w:themeColor="accent1" w:themeShade="BF"/>
    </w:rPr>
  </w:style>
  <w:style w:type="character" w:styleId="IntenseReference">
    <w:name w:val="Intense Reference"/>
    <w:basedOn w:val="DefaultParagraphFont"/>
    <w:uiPriority w:val="32"/>
    <w:qFormat/>
    <w:rsid w:val="00F81953"/>
    <w:rPr>
      <w:b/>
      <w:bCs/>
      <w:smallCaps/>
      <w:color w:val="0F4761" w:themeColor="accent1" w:themeShade="BF"/>
      <w:spacing w:val="5"/>
    </w:rPr>
  </w:style>
  <w:style w:type="paragraph" w:styleId="NormalWeb">
    <w:name w:val="Normal (Web)"/>
    <w:basedOn w:val="Normal"/>
    <w:uiPriority w:val="99"/>
    <w:semiHidden/>
    <w:unhideWhenUsed/>
    <w:rsid w:val="004D5EAC"/>
    <w:rPr>
      <w:rFonts w:ascii="Times New Roman" w:hAnsi="Times New Roman" w:cs="Times New Roman"/>
    </w:rPr>
  </w:style>
  <w:style w:type="character" w:styleId="LineNumber">
    <w:name w:val="line number"/>
    <w:basedOn w:val="DefaultParagraphFont"/>
    <w:uiPriority w:val="99"/>
    <w:semiHidden/>
    <w:unhideWhenUsed/>
    <w:rsid w:val="004D5EAC"/>
  </w:style>
  <w:style w:type="character" w:styleId="Hyperlink">
    <w:name w:val="Hyperlink"/>
    <w:basedOn w:val="DefaultParagraphFont"/>
    <w:uiPriority w:val="99"/>
    <w:unhideWhenUsed/>
    <w:rsid w:val="00442AE5"/>
    <w:rPr>
      <w:color w:val="467886" w:themeColor="hyperlink"/>
      <w:u w:val="single"/>
    </w:rPr>
  </w:style>
  <w:style w:type="character" w:styleId="UnresolvedMention">
    <w:name w:val="Unresolved Mention"/>
    <w:basedOn w:val="DefaultParagraphFont"/>
    <w:uiPriority w:val="99"/>
    <w:semiHidden/>
    <w:unhideWhenUsed/>
    <w:rsid w:val="00442AE5"/>
    <w:rPr>
      <w:color w:val="605E5C"/>
      <w:shd w:val="clear" w:color="auto" w:fill="E1DFDD"/>
    </w:rPr>
  </w:style>
  <w:style w:type="character" w:styleId="FollowedHyperlink">
    <w:name w:val="FollowedHyperlink"/>
    <w:basedOn w:val="DefaultParagraphFont"/>
    <w:uiPriority w:val="99"/>
    <w:semiHidden/>
    <w:unhideWhenUsed/>
    <w:rsid w:val="00442AE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08334">
      <w:bodyDiv w:val="1"/>
      <w:marLeft w:val="0"/>
      <w:marRight w:val="0"/>
      <w:marTop w:val="0"/>
      <w:marBottom w:val="0"/>
      <w:divBdr>
        <w:top w:val="none" w:sz="0" w:space="0" w:color="auto"/>
        <w:left w:val="none" w:sz="0" w:space="0" w:color="auto"/>
        <w:bottom w:val="none" w:sz="0" w:space="0" w:color="auto"/>
        <w:right w:val="none" w:sz="0" w:space="0" w:color="auto"/>
      </w:divBdr>
      <w:divsChild>
        <w:div w:id="925114106">
          <w:marLeft w:val="0"/>
          <w:marRight w:val="0"/>
          <w:marTop w:val="0"/>
          <w:marBottom w:val="0"/>
          <w:divBdr>
            <w:top w:val="none" w:sz="0" w:space="0" w:color="auto"/>
            <w:left w:val="none" w:sz="0" w:space="0" w:color="auto"/>
            <w:bottom w:val="none" w:sz="0" w:space="0" w:color="auto"/>
            <w:right w:val="none" w:sz="0" w:space="0" w:color="auto"/>
          </w:divBdr>
        </w:div>
      </w:divsChild>
    </w:div>
    <w:div w:id="25302828">
      <w:bodyDiv w:val="1"/>
      <w:marLeft w:val="0"/>
      <w:marRight w:val="0"/>
      <w:marTop w:val="0"/>
      <w:marBottom w:val="0"/>
      <w:divBdr>
        <w:top w:val="none" w:sz="0" w:space="0" w:color="auto"/>
        <w:left w:val="none" w:sz="0" w:space="0" w:color="auto"/>
        <w:bottom w:val="none" w:sz="0" w:space="0" w:color="auto"/>
        <w:right w:val="none" w:sz="0" w:space="0" w:color="auto"/>
      </w:divBdr>
      <w:divsChild>
        <w:div w:id="1306857396">
          <w:marLeft w:val="0"/>
          <w:marRight w:val="0"/>
          <w:marTop w:val="0"/>
          <w:marBottom w:val="0"/>
          <w:divBdr>
            <w:top w:val="none" w:sz="0" w:space="0" w:color="auto"/>
            <w:left w:val="none" w:sz="0" w:space="0" w:color="auto"/>
            <w:bottom w:val="none" w:sz="0" w:space="0" w:color="auto"/>
            <w:right w:val="none" w:sz="0" w:space="0" w:color="auto"/>
          </w:divBdr>
        </w:div>
      </w:divsChild>
    </w:div>
    <w:div w:id="112602379">
      <w:bodyDiv w:val="1"/>
      <w:marLeft w:val="0"/>
      <w:marRight w:val="0"/>
      <w:marTop w:val="0"/>
      <w:marBottom w:val="0"/>
      <w:divBdr>
        <w:top w:val="none" w:sz="0" w:space="0" w:color="auto"/>
        <w:left w:val="none" w:sz="0" w:space="0" w:color="auto"/>
        <w:bottom w:val="none" w:sz="0" w:space="0" w:color="auto"/>
        <w:right w:val="none" w:sz="0" w:space="0" w:color="auto"/>
      </w:divBdr>
      <w:divsChild>
        <w:div w:id="1393888143">
          <w:marLeft w:val="0"/>
          <w:marRight w:val="0"/>
          <w:marTop w:val="0"/>
          <w:marBottom w:val="0"/>
          <w:divBdr>
            <w:top w:val="none" w:sz="0" w:space="0" w:color="auto"/>
            <w:left w:val="none" w:sz="0" w:space="0" w:color="auto"/>
            <w:bottom w:val="none" w:sz="0" w:space="0" w:color="auto"/>
            <w:right w:val="none" w:sz="0" w:space="0" w:color="auto"/>
          </w:divBdr>
        </w:div>
      </w:divsChild>
    </w:div>
    <w:div w:id="123159950">
      <w:bodyDiv w:val="1"/>
      <w:marLeft w:val="0"/>
      <w:marRight w:val="0"/>
      <w:marTop w:val="0"/>
      <w:marBottom w:val="0"/>
      <w:divBdr>
        <w:top w:val="none" w:sz="0" w:space="0" w:color="auto"/>
        <w:left w:val="none" w:sz="0" w:space="0" w:color="auto"/>
        <w:bottom w:val="none" w:sz="0" w:space="0" w:color="auto"/>
        <w:right w:val="none" w:sz="0" w:space="0" w:color="auto"/>
      </w:divBdr>
      <w:divsChild>
        <w:div w:id="1268077717">
          <w:marLeft w:val="0"/>
          <w:marRight w:val="0"/>
          <w:marTop w:val="0"/>
          <w:marBottom w:val="0"/>
          <w:divBdr>
            <w:top w:val="none" w:sz="0" w:space="0" w:color="auto"/>
            <w:left w:val="none" w:sz="0" w:space="0" w:color="auto"/>
            <w:bottom w:val="none" w:sz="0" w:space="0" w:color="auto"/>
            <w:right w:val="none" w:sz="0" w:space="0" w:color="auto"/>
          </w:divBdr>
        </w:div>
      </w:divsChild>
    </w:div>
    <w:div w:id="142357792">
      <w:bodyDiv w:val="1"/>
      <w:marLeft w:val="0"/>
      <w:marRight w:val="0"/>
      <w:marTop w:val="0"/>
      <w:marBottom w:val="0"/>
      <w:divBdr>
        <w:top w:val="none" w:sz="0" w:space="0" w:color="auto"/>
        <w:left w:val="none" w:sz="0" w:space="0" w:color="auto"/>
        <w:bottom w:val="none" w:sz="0" w:space="0" w:color="auto"/>
        <w:right w:val="none" w:sz="0" w:space="0" w:color="auto"/>
      </w:divBdr>
    </w:div>
    <w:div w:id="176581420">
      <w:bodyDiv w:val="1"/>
      <w:marLeft w:val="0"/>
      <w:marRight w:val="0"/>
      <w:marTop w:val="0"/>
      <w:marBottom w:val="0"/>
      <w:divBdr>
        <w:top w:val="none" w:sz="0" w:space="0" w:color="auto"/>
        <w:left w:val="none" w:sz="0" w:space="0" w:color="auto"/>
        <w:bottom w:val="none" w:sz="0" w:space="0" w:color="auto"/>
        <w:right w:val="none" w:sz="0" w:space="0" w:color="auto"/>
      </w:divBdr>
      <w:divsChild>
        <w:div w:id="1287350420">
          <w:marLeft w:val="0"/>
          <w:marRight w:val="0"/>
          <w:marTop w:val="0"/>
          <w:marBottom w:val="0"/>
          <w:divBdr>
            <w:top w:val="none" w:sz="0" w:space="0" w:color="auto"/>
            <w:left w:val="none" w:sz="0" w:space="0" w:color="auto"/>
            <w:bottom w:val="none" w:sz="0" w:space="0" w:color="auto"/>
            <w:right w:val="none" w:sz="0" w:space="0" w:color="auto"/>
          </w:divBdr>
        </w:div>
      </w:divsChild>
    </w:div>
    <w:div w:id="256602747">
      <w:bodyDiv w:val="1"/>
      <w:marLeft w:val="0"/>
      <w:marRight w:val="0"/>
      <w:marTop w:val="0"/>
      <w:marBottom w:val="0"/>
      <w:divBdr>
        <w:top w:val="none" w:sz="0" w:space="0" w:color="auto"/>
        <w:left w:val="none" w:sz="0" w:space="0" w:color="auto"/>
        <w:bottom w:val="none" w:sz="0" w:space="0" w:color="auto"/>
        <w:right w:val="none" w:sz="0" w:space="0" w:color="auto"/>
      </w:divBdr>
      <w:divsChild>
        <w:div w:id="1265653333">
          <w:marLeft w:val="0"/>
          <w:marRight w:val="0"/>
          <w:marTop w:val="0"/>
          <w:marBottom w:val="0"/>
          <w:divBdr>
            <w:top w:val="none" w:sz="0" w:space="0" w:color="auto"/>
            <w:left w:val="none" w:sz="0" w:space="0" w:color="auto"/>
            <w:bottom w:val="none" w:sz="0" w:space="0" w:color="auto"/>
            <w:right w:val="none" w:sz="0" w:space="0" w:color="auto"/>
          </w:divBdr>
        </w:div>
      </w:divsChild>
    </w:div>
    <w:div w:id="321811983">
      <w:bodyDiv w:val="1"/>
      <w:marLeft w:val="0"/>
      <w:marRight w:val="0"/>
      <w:marTop w:val="0"/>
      <w:marBottom w:val="0"/>
      <w:divBdr>
        <w:top w:val="none" w:sz="0" w:space="0" w:color="auto"/>
        <w:left w:val="none" w:sz="0" w:space="0" w:color="auto"/>
        <w:bottom w:val="none" w:sz="0" w:space="0" w:color="auto"/>
        <w:right w:val="none" w:sz="0" w:space="0" w:color="auto"/>
      </w:divBdr>
      <w:divsChild>
        <w:div w:id="1642267428">
          <w:marLeft w:val="0"/>
          <w:marRight w:val="0"/>
          <w:marTop w:val="0"/>
          <w:marBottom w:val="0"/>
          <w:divBdr>
            <w:top w:val="none" w:sz="0" w:space="0" w:color="auto"/>
            <w:left w:val="none" w:sz="0" w:space="0" w:color="auto"/>
            <w:bottom w:val="none" w:sz="0" w:space="0" w:color="auto"/>
            <w:right w:val="none" w:sz="0" w:space="0" w:color="auto"/>
          </w:divBdr>
        </w:div>
      </w:divsChild>
    </w:div>
    <w:div w:id="334066392">
      <w:bodyDiv w:val="1"/>
      <w:marLeft w:val="0"/>
      <w:marRight w:val="0"/>
      <w:marTop w:val="0"/>
      <w:marBottom w:val="0"/>
      <w:divBdr>
        <w:top w:val="none" w:sz="0" w:space="0" w:color="auto"/>
        <w:left w:val="none" w:sz="0" w:space="0" w:color="auto"/>
        <w:bottom w:val="none" w:sz="0" w:space="0" w:color="auto"/>
        <w:right w:val="none" w:sz="0" w:space="0" w:color="auto"/>
      </w:divBdr>
      <w:divsChild>
        <w:div w:id="1105349040">
          <w:marLeft w:val="0"/>
          <w:marRight w:val="0"/>
          <w:marTop w:val="0"/>
          <w:marBottom w:val="0"/>
          <w:divBdr>
            <w:top w:val="none" w:sz="0" w:space="0" w:color="auto"/>
            <w:left w:val="none" w:sz="0" w:space="0" w:color="auto"/>
            <w:bottom w:val="none" w:sz="0" w:space="0" w:color="auto"/>
            <w:right w:val="none" w:sz="0" w:space="0" w:color="auto"/>
          </w:divBdr>
        </w:div>
      </w:divsChild>
    </w:div>
    <w:div w:id="350376007">
      <w:bodyDiv w:val="1"/>
      <w:marLeft w:val="0"/>
      <w:marRight w:val="0"/>
      <w:marTop w:val="0"/>
      <w:marBottom w:val="0"/>
      <w:divBdr>
        <w:top w:val="none" w:sz="0" w:space="0" w:color="auto"/>
        <w:left w:val="none" w:sz="0" w:space="0" w:color="auto"/>
        <w:bottom w:val="none" w:sz="0" w:space="0" w:color="auto"/>
        <w:right w:val="none" w:sz="0" w:space="0" w:color="auto"/>
      </w:divBdr>
      <w:divsChild>
        <w:div w:id="2142183497">
          <w:marLeft w:val="0"/>
          <w:marRight w:val="0"/>
          <w:marTop w:val="0"/>
          <w:marBottom w:val="0"/>
          <w:divBdr>
            <w:top w:val="none" w:sz="0" w:space="0" w:color="auto"/>
            <w:left w:val="none" w:sz="0" w:space="0" w:color="auto"/>
            <w:bottom w:val="none" w:sz="0" w:space="0" w:color="auto"/>
            <w:right w:val="none" w:sz="0" w:space="0" w:color="auto"/>
          </w:divBdr>
        </w:div>
      </w:divsChild>
    </w:div>
    <w:div w:id="411969338">
      <w:bodyDiv w:val="1"/>
      <w:marLeft w:val="0"/>
      <w:marRight w:val="0"/>
      <w:marTop w:val="0"/>
      <w:marBottom w:val="0"/>
      <w:divBdr>
        <w:top w:val="none" w:sz="0" w:space="0" w:color="auto"/>
        <w:left w:val="none" w:sz="0" w:space="0" w:color="auto"/>
        <w:bottom w:val="none" w:sz="0" w:space="0" w:color="auto"/>
        <w:right w:val="none" w:sz="0" w:space="0" w:color="auto"/>
      </w:divBdr>
      <w:divsChild>
        <w:div w:id="1321545939">
          <w:marLeft w:val="0"/>
          <w:marRight w:val="0"/>
          <w:marTop w:val="0"/>
          <w:marBottom w:val="0"/>
          <w:divBdr>
            <w:top w:val="none" w:sz="0" w:space="0" w:color="auto"/>
            <w:left w:val="none" w:sz="0" w:space="0" w:color="auto"/>
            <w:bottom w:val="none" w:sz="0" w:space="0" w:color="auto"/>
            <w:right w:val="none" w:sz="0" w:space="0" w:color="auto"/>
          </w:divBdr>
        </w:div>
      </w:divsChild>
    </w:div>
    <w:div w:id="447090359">
      <w:bodyDiv w:val="1"/>
      <w:marLeft w:val="0"/>
      <w:marRight w:val="0"/>
      <w:marTop w:val="0"/>
      <w:marBottom w:val="0"/>
      <w:divBdr>
        <w:top w:val="none" w:sz="0" w:space="0" w:color="auto"/>
        <w:left w:val="none" w:sz="0" w:space="0" w:color="auto"/>
        <w:bottom w:val="none" w:sz="0" w:space="0" w:color="auto"/>
        <w:right w:val="none" w:sz="0" w:space="0" w:color="auto"/>
      </w:divBdr>
      <w:divsChild>
        <w:div w:id="55513290">
          <w:marLeft w:val="0"/>
          <w:marRight w:val="0"/>
          <w:marTop w:val="0"/>
          <w:marBottom w:val="0"/>
          <w:divBdr>
            <w:top w:val="none" w:sz="0" w:space="0" w:color="auto"/>
            <w:left w:val="none" w:sz="0" w:space="0" w:color="auto"/>
            <w:bottom w:val="none" w:sz="0" w:space="0" w:color="auto"/>
            <w:right w:val="none" w:sz="0" w:space="0" w:color="auto"/>
          </w:divBdr>
        </w:div>
      </w:divsChild>
    </w:div>
    <w:div w:id="448934942">
      <w:bodyDiv w:val="1"/>
      <w:marLeft w:val="0"/>
      <w:marRight w:val="0"/>
      <w:marTop w:val="0"/>
      <w:marBottom w:val="0"/>
      <w:divBdr>
        <w:top w:val="none" w:sz="0" w:space="0" w:color="auto"/>
        <w:left w:val="none" w:sz="0" w:space="0" w:color="auto"/>
        <w:bottom w:val="none" w:sz="0" w:space="0" w:color="auto"/>
        <w:right w:val="none" w:sz="0" w:space="0" w:color="auto"/>
      </w:divBdr>
      <w:divsChild>
        <w:div w:id="750544540">
          <w:marLeft w:val="0"/>
          <w:marRight w:val="0"/>
          <w:marTop w:val="0"/>
          <w:marBottom w:val="0"/>
          <w:divBdr>
            <w:top w:val="none" w:sz="0" w:space="0" w:color="auto"/>
            <w:left w:val="none" w:sz="0" w:space="0" w:color="auto"/>
            <w:bottom w:val="none" w:sz="0" w:space="0" w:color="auto"/>
            <w:right w:val="none" w:sz="0" w:space="0" w:color="auto"/>
          </w:divBdr>
        </w:div>
      </w:divsChild>
    </w:div>
    <w:div w:id="542713588">
      <w:bodyDiv w:val="1"/>
      <w:marLeft w:val="0"/>
      <w:marRight w:val="0"/>
      <w:marTop w:val="0"/>
      <w:marBottom w:val="0"/>
      <w:divBdr>
        <w:top w:val="none" w:sz="0" w:space="0" w:color="auto"/>
        <w:left w:val="none" w:sz="0" w:space="0" w:color="auto"/>
        <w:bottom w:val="none" w:sz="0" w:space="0" w:color="auto"/>
        <w:right w:val="none" w:sz="0" w:space="0" w:color="auto"/>
      </w:divBdr>
      <w:divsChild>
        <w:div w:id="641227036">
          <w:marLeft w:val="0"/>
          <w:marRight w:val="0"/>
          <w:marTop w:val="0"/>
          <w:marBottom w:val="0"/>
          <w:divBdr>
            <w:top w:val="none" w:sz="0" w:space="0" w:color="auto"/>
            <w:left w:val="none" w:sz="0" w:space="0" w:color="auto"/>
            <w:bottom w:val="none" w:sz="0" w:space="0" w:color="auto"/>
            <w:right w:val="none" w:sz="0" w:space="0" w:color="auto"/>
          </w:divBdr>
        </w:div>
      </w:divsChild>
    </w:div>
    <w:div w:id="605429903">
      <w:bodyDiv w:val="1"/>
      <w:marLeft w:val="0"/>
      <w:marRight w:val="0"/>
      <w:marTop w:val="0"/>
      <w:marBottom w:val="0"/>
      <w:divBdr>
        <w:top w:val="none" w:sz="0" w:space="0" w:color="auto"/>
        <w:left w:val="none" w:sz="0" w:space="0" w:color="auto"/>
        <w:bottom w:val="none" w:sz="0" w:space="0" w:color="auto"/>
        <w:right w:val="none" w:sz="0" w:space="0" w:color="auto"/>
      </w:divBdr>
      <w:divsChild>
        <w:div w:id="451435761">
          <w:marLeft w:val="0"/>
          <w:marRight w:val="0"/>
          <w:marTop w:val="0"/>
          <w:marBottom w:val="0"/>
          <w:divBdr>
            <w:top w:val="none" w:sz="0" w:space="0" w:color="auto"/>
            <w:left w:val="none" w:sz="0" w:space="0" w:color="auto"/>
            <w:bottom w:val="none" w:sz="0" w:space="0" w:color="auto"/>
            <w:right w:val="none" w:sz="0" w:space="0" w:color="auto"/>
          </w:divBdr>
        </w:div>
      </w:divsChild>
    </w:div>
    <w:div w:id="718743846">
      <w:bodyDiv w:val="1"/>
      <w:marLeft w:val="0"/>
      <w:marRight w:val="0"/>
      <w:marTop w:val="0"/>
      <w:marBottom w:val="0"/>
      <w:divBdr>
        <w:top w:val="none" w:sz="0" w:space="0" w:color="auto"/>
        <w:left w:val="none" w:sz="0" w:space="0" w:color="auto"/>
        <w:bottom w:val="none" w:sz="0" w:space="0" w:color="auto"/>
        <w:right w:val="none" w:sz="0" w:space="0" w:color="auto"/>
      </w:divBdr>
      <w:divsChild>
        <w:div w:id="833028457">
          <w:marLeft w:val="0"/>
          <w:marRight w:val="0"/>
          <w:marTop w:val="0"/>
          <w:marBottom w:val="0"/>
          <w:divBdr>
            <w:top w:val="none" w:sz="0" w:space="0" w:color="auto"/>
            <w:left w:val="none" w:sz="0" w:space="0" w:color="auto"/>
            <w:bottom w:val="none" w:sz="0" w:space="0" w:color="auto"/>
            <w:right w:val="none" w:sz="0" w:space="0" w:color="auto"/>
          </w:divBdr>
        </w:div>
      </w:divsChild>
    </w:div>
    <w:div w:id="772016256">
      <w:bodyDiv w:val="1"/>
      <w:marLeft w:val="0"/>
      <w:marRight w:val="0"/>
      <w:marTop w:val="0"/>
      <w:marBottom w:val="0"/>
      <w:divBdr>
        <w:top w:val="none" w:sz="0" w:space="0" w:color="auto"/>
        <w:left w:val="none" w:sz="0" w:space="0" w:color="auto"/>
        <w:bottom w:val="none" w:sz="0" w:space="0" w:color="auto"/>
        <w:right w:val="none" w:sz="0" w:space="0" w:color="auto"/>
      </w:divBdr>
      <w:divsChild>
        <w:div w:id="53897872">
          <w:marLeft w:val="0"/>
          <w:marRight w:val="0"/>
          <w:marTop w:val="0"/>
          <w:marBottom w:val="0"/>
          <w:divBdr>
            <w:top w:val="none" w:sz="0" w:space="0" w:color="auto"/>
            <w:left w:val="none" w:sz="0" w:space="0" w:color="auto"/>
            <w:bottom w:val="none" w:sz="0" w:space="0" w:color="auto"/>
            <w:right w:val="none" w:sz="0" w:space="0" w:color="auto"/>
          </w:divBdr>
        </w:div>
      </w:divsChild>
    </w:div>
    <w:div w:id="797262876">
      <w:bodyDiv w:val="1"/>
      <w:marLeft w:val="0"/>
      <w:marRight w:val="0"/>
      <w:marTop w:val="0"/>
      <w:marBottom w:val="0"/>
      <w:divBdr>
        <w:top w:val="none" w:sz="0" w:space="0" w:color="auto"/>
        <w:left w:val="none" w:sz="0" w:space="0" w:color="auto"/>
        <w:bottom w:val="none" w:sz="0" w:space="0" w:color="auto"/>
        <w:right w:val="none" w:sz="0" w:space="0" w:color="auto"/>
      </w:divBdr>
      <w:divsChild>
        <w:div w:id="1215890507">
          <w:marLeft w:val="0"/>
          <w:marRight w:val="0"/>
          <w:marTop w:val="0"/>
          <w:marBottom w:val="0"/>
          <w:divBdr>
            <w:top w:val="none" w:sz="0" w:space="0" w:color="auto"/>
            <w:left w:val="none" w:sz="0" w:space="0" w:color="auto"/>
            <w:bottom w:val="none" w:sz="0" w:space="0" w:color="auto"/>
            <w:right w:val="none" w:sz="0" w:space="0" w:color="auto"/>
          </w:divBdr>
        </w:div>
      </w:divsChild>
    </w:div>
    <w:div w:id="805320007">
      <w:bodyDiv w:val="1"/>
      <w:marLeft w:val="0"/>
      <w:marRight w:val="0"/>
      <w:marTop w:val="0"/>
      <w:marBottom w:val="0"/>
      <w:divBdr>
        <w:top w:val="none" w:sz="0" w:space="0" w:color="auto"/>
        <w:left w:val="none" w:sz="0" w:space="0" w:color="auto"/>
        <w:bottom w:val="none" w:sz="0" w:space="0" w:color="auto"/>
        <w:right w:val="none" w:sz="0" w:space="0" w:color="auto"/>
      </w:divBdr>
      <w:divsChild>
        <w:div w:id="1788700020">
          <w:marLeft w:val="0"/>
          <w:marRight w:val="0"/>
          <w:marTop w:val="0"/>
          <w:marBottom w:val="0"/>
          <w:divBdr>
            <w:top w:val="none" w:sz="0" w:space="0" w:color="auto"/>
            <w:left w:val="none" w:sz="0" w:space="0" w:color="auto"/>
            <w:bottom w:val="none" w:sz="0" w:space="0" w:color="auto"/>
            <w:right w:val="none" w:sz="0" w:space="0" w:color="auto"/>
          </w:divBdr>
        </w:div>
      </w:divsChild>
    </w:div>
    <w:div w:id="1064838188">
      <w:bodyDiv w:val="1"/>
      <w:marLeft w:val="0"/>
      <w:marRight w:val="0"/>
      <w:marTop w:val="0"/>
      <w:marBottom w:val="0"/>
      <w:divBdr>
        <w:top w:val="none" w:sz="0" w:space="0" w:color="auto"/>
        <w:left w:val="none" w:sz="0" w:space="0" w:color="auto"/>
        <w:bottom w:val="none" w:sz="0" w:space="0" w:color="auto"/>
        <w:right w:val="none" w:sz="0" w:space="0" w:color="auto"/>
      </w:divBdr>
      <w:divsChild>
        <w:div w:id="10769342">
          <w:marLeft w:val="0"/>
          <w:marRight w:val="0"/>
          <w:marTop w:val="0"/>
          <w:marBottom w:val="0"/>
          <w:divBdr>
            <w:top w:val="none" w:sz="0" w:space="0" w:color="auto"/>
            <w:left w:val="none" w:sz="0" w:space="0" w:color="auto"/>
            <w:bottom w:val="none" w:sz="0" w:space="0" w:color="auto"/>
            <w:right w:val="none" w:sz="0" w:space="0" w:color="auto"/>
          </w:divBdr>
        </w:div>
      </w:divsChild>
    </w:div>
    <w:div w:id="1065421266">
      <w:bodyDiv w:val="1"/>
      <w:marLeft w:val="0"/>
      <w:marRight w:val="0"/>
      <w:marTop w:val="0"/>
      <w:marBottom w:val="0"/>
      <w:divBdr>
        <w:top w:val="none" w:sz="0" w:space="0" w:color="auto"/>
        <w:left w:val="none" w:sz="0" w:space="0" w:color="auto"/>
        <w:bottom w:val="none" w:sz="0" w:space="0" w:color="auto"/>
        <w:right w:val="none" w:sz="0" w:space="0" w:color="auto"/>
      </w:divBdr>
      <w:divsChild>
        <w:div w:id="1232732585">
          <w:marLeft w:val="0"/>
          <w:marRight w:val="0"/>
          <w:marTop w:val="0"/>
          <w:marBottom w:val="0"/>
          <w:divBdr>
            <w:top w:val="none" w:sz="0" w:space="0" w:color="auto"/>
            <w:left w:val="none" w:sz="0" w:space="0" w:color="auto"/>
            <w:bottom w:val="none" w:sz="0" w:space="0" w:color="auto"/>
            <w:right w:val="none" w:sz="0" w:space="0" w:color="auto"/>
          </w:divBdr>
        </w:div>
      </w:divsChild>
    </w:div>
    <w:div w:id="1100225410">
      <w:bodyDiv w:val="1"/>
      <w:marLeft w:val="0"/>
      <w:marRight w:val="0"/>
      <w:marTop w:val="0"/>
      <w:marBottom w:val="0"/>
      <w:divBdr>
        <w:top w:val="none" w:sz="0" w:space="0" w:color="auto"/>
        <w:left w:val="none" w:sz="0" w:space="0" w:color="auto"/>
        <w:bottom w:val="none" w:sz="0" w:space="0" w:color="auto"/>
        <w:right w:val="none" w:sz="0" w:space="0" w:color="auto"/>
      </w:divBdr>
      <w:divsChild>
        <w:div w:id="763646550">
          <w:marLeft w:val="0"/>
          <w:marRight w:val="0"/>
          <w:marTop w:val="0"/>
          <w:marBottom w:val="0"/>
          <w:divBdr>
            <w:top w:val="none" w:sz="0" w:space="0" w:color="auto"/>
            <w:left w:val="none" w:sz="0" w:space="0" w:color="auto"/>
            <w:bottom w:val="none" w:sz="0" w:space="0" w:color="auto"/>
            <w:right w:val="none" w:sz="0" w:space="0" w:color="auto"/>
          </w:divBdr>
        </w:div>
      </w:divsChild>
    </w:div>
    <w:div w:id="1103460046">
      <w:bodyDiv w:val="1"/>
      <w:marLeft w:val="0"/>
      <w:marRight w:val="0"/>
      <w:marTop w:val="0"/>
      <w:marBottom w:val="0"/>
      <w:divBdr>
        <w:top w:val="none" w:sz="0" w:space="0" w:color="auto"/>
        <w:left w:val="none" w:sz="0" w:space="0" w:color="auto"/>
        <w:bottom w:val="none" w:sz="0" w:space="0" w:color="auto"/>
        <w:right w:val="none" w:sz="0" w:space="0" w:color="auto"/>
      </w:divBdr>
      <w:divsChild>
        <w:div w:id="872304957">
          <w:marLeft w:val="0"/>
          <w:marRight w:val="0"/>
          <w:marTop w:val="0"/>
          <w:marBottom w:val="0"/>
          <w:divBdr>
            <w:top w:val="none" w:sz="0" w:space="0" w:color="auto"/>
            <w:left w:val="none" w:sz="0" w:space="0" w:color="auto"/>
            <w:bottom w:val="none" w:sz="0" w:space="0" w:color="auto"/>
            <w:right w:val="none" w:sz="0" w:space="0" w:color="auto"/>
          </w:divBdr>
        </w:div>
      </w:divsChild>
    </w:div>
    <w:div w:id="1136024094">
      <w:bodyDiv w:val="1"/>
      <w:marLeft w:val="0"/>
      <w:marRight w:val="0"/>
      <w:marTop w:val="0"/>
      <w:marBottom w:val="0"/>
      <w:divBdr>
        <w:top w:val="none" w:sz="0" w:space="0" w:color="auto"/>
        <w:left w:val="none" w:sz="0" w:space="0" w:color="auto"/>
        <w:bottom w:val="none" w:sz="0" w:space="0" w:color="auto"/>
        <w:right w:val="none" w:sz="0" w:space="0" w:color="auto"/>
      </w:divBdr>
      <w:divsChild>
        <w:div w:id="870724927">
          <w:marLeft w:val="0"/>
          <w:marRight w:val="0"/>
          <w:marTop w:val="0"/>
          <w:marBottom w:val="0"/>
          <w:divBdr>
            <w:top w:val="none" w:sz="0" w:space="0" w:color="auto"/>
            <w:left w:val="none" w:sz="0" w:space="0" w:color="auto"/>
            <w:bottom w:val="none" w:sz="0" w:space="0" w:color="auto"/>
            <w:right w:val="none" w:sz="0" w:space="0" w:color="auto"/>
          </w:divBdr>
        </w:div>
      </w:divsChild>
    </w:div>
    <w:div w:id="1171484611">
      <w:bodyDiv w:val="1"/>
      <w:marLeft w:val="0"/>
      <w:marRight w:val="0"/>
      <w:marTop w:val="0"/>
      <w:marBottom w:val="0"/>
      <w:divBdr>
        <w:top w:val="none" w:sz="0" w:space="0" w:color="auto"/>
        <w:left w:val="none" w:sz="0" w:space="0" w:color="auto"/>
        <w:bottom w:val="none" w:sz="0" w:space="0" w:color="auto"/>
        <w:right w:val="none" w:sz="0" w:space="0" w:color="auto"/>
      </w:divBdr>
      <w:divsChild>
        <w:div w:id="1566910372">
          <w:marLeft w:val="0"/>
          <w:marRight w:val="0"/>
          <w:marTop w:val="0"/>
          <w:marBottom w:val="0"/>
          <w:divBdr>
            <w:top w:val="none" w:sz="0" w:space="0" w:color="auto"/>
            <w:left w:val="none" w:sz="0" w:space="0" w:color="auto"/>
            <w:bottom w:val="none" w:sz="0" w:space="0" w:color="auto"/>
            <w:right w:val="none" w:sz="0" w:space="0" w:color="auto"/>
          </w:divBdr>
        </w:div>
      </w:divsChild>
    </w:div>
    <w:div w:id="1440174873">
      <w:bodyDiv w:val="1"/>
      <w:marLeft w:val="0"/>
      <w:marRight w:val="0"/>
      <w:marTop w:val="0"/>
      <w:marBottom w:val="0"/>
      <w:divBdr>
        <w:top w:val="none" w:sz="0" w:space="0" w:color="auto"/>
        <w:left w:val="none" w:sz="0" w:space="0" w:color="auto"/>
        <w:bottom w:val="none" w:sz="0" w:space="0" w:color="auto"/>
        <w:right w:val="none" w:sz="0" w:space="0" w:color="auto"/>
      </w:divBdr>
      <w:divsChild>
        <w:div w:id="813301919">
          <w:marLeft w:val="0"/>
          <w:marRight w:val="0"/>
          <w:marTop w:val="0"/>
          <w:marBottom w:val="0"/>
          <w:divBdr>
            <w:top w:val="none" w:sz="0" w:space="0" w:color="auto"/>
            <w:left w:val="none" w:sz="0" w:space="0" w:color="auto"/>
            <w:bottom w:val="none" w:sz="0" w:space="0" w:color="auto"/>
            <w:right w:val="none" w:sz="0" w:space="0" w:color="auto"/>
          </w:divBdr>
        </w:div>
      </w:divsChild>
    </w:div>
    <w:div w:id="1485585198">
      <w:bodyDiv w:val="1"/>
      <w:marLeft w:val="0"/>
      <w:marRight w:val="0"/>
      <w:marTop w:val="0"/>
      <w:marBottom w:val="0"/>
      <w:divBdr>
        <w:top w:val="none" w:sz="0" w:space="0" w:color="auto"/>
        <w:left w:val="none" w:sz="0" w:space="0" w:color="auto"/>
        <w:bottom w:val="none" w:sz="0" w:space="0" w:color="auto"/>
        <w:right w:val="none" w:sz="0" w:space="0" w:color="auto"/>
      </w:divBdr>
      <w:divsChild>
        <w:div w:id="1539392295">
          <w:marLeft w:val="0"/>
          <w:marRight w:val="0"/>
          <w:marTop w:val="0"/>
          <w:marBottom w:val="0"/>
          <w:divBdr>
            <w:top w:val="none" w:sz="0" w:space="0" w:color="auto"/>
            <w:left w:val="none" w:sz="0" w:space="0" w:color="auto"/>
            <w:bottom w:val="none" w:sz="0" w:space="0" w:color="auto"/>
            <w:right w:val="none" w:sz="0" w:space="0" w:color="auto"/>
          </w:divBdr>
        </w:div>
      </w:divsChild>
    </w:div>
    <w:div w:id="1622148250">
      <w:bodyDiv w:val="1"/>
      <w:marLeft w:val="0"/>
      <w:marRight w:val="0"/>
      <w:marTop w:val="0"/>
      <w:marBottom w:val="0"/>
      <w:divBdr>
        <w:top w:val="none" w:sz="0" w:space="0" w:color="auto"/>
        <w:left w:val="none" w:sz="0" w:space="0" w:color="auto"/>
        <w:bottom w:val="none" w:sz="0" w:space="0" w:color="auto"/>
        <w:right w:val="none" w:sz="0" w:space="0" w:color="auto"/>
      </w:divBdr>
      <w:divsChild>
        <w:div w:id="367148813">
          <w:marLeft w:val="0"/>
          <w:marRight w:val="0"/>
          <w:marTop w:val="0"/>
          <w:marBottom w:val="0"/>
          <w:divBdr>
            <w:top w:val="none" w:sz="0" w:space="0" w:color="auto"/>
            <w:left w:val="none" w:sz="0" w:space="0" w:color="auto"/>
            <w:bottom w:val="none" w:sz="0" w:space="0" w:color="auto"/>
            <w:right w:val="none" w:sz="0" w:space="0" w:color="auto"/>
          </w:divBdr>
        </w:div>
      </w:divsChild>
    </w:div>
    <w:div w:id="1675453151">
      <w:bodyDiv w:val="1"/>
      <w:marLeft w:val="0"/>
      <w:marRight w:val="0"/>
      <w:marTop w:val="0"/>
      <w:marBottom w:val="0"/>
      <w:divBdr>
        <w:top w:val="none" w:sz="0" w:space="0" w:color="auto"/>
        <w:left w:val="none" w:sz="0" w:space="0" w:color="auto"/>
        <w:bottom w:val="none" w:sz="0" w:space="0" w:color="auto"/>
        <w:right w:val="none" w:sz="0" w:space="0" w:color="auto"/>
      </w:divBdr>
      <w:divsChild>
        <w:div w:id="1955936349">
          <w:marLeft w:val="0"/>
          <w:marRight w:val="0"/>
          <w:marTop w:val="0"/>
          <w:marBottom w:val="0"/>
          <w:divBdr>
            <w:top w:val="none" w:sz="0" w:space="0" w:color="auto"/>
            <w:left w:val="none" w:sz="0" w:space="0" w:color="auto"/>
            <w:bottom w:val="none" w:sz="0" w:space="0" w:color="auto"/>
            <w:right w:val="none" w:sz="0" w:space="0" w:color="auto"/>
          </w:divBdr>
          <w:divsChild>
            <w:div w:id="506097138">
              <w:marLeft w:val="0"/>
              <w:marRight w:val="0"/>
              <w:marTop w:val="0"/>
              <w:marBottom w:val="0"/>
              <w:divBdr>
                <w:top w:val="none" w:sz="0" w:space="0" w:color="auto"/>
                <w:left w:val="none" w:sz="0" w:space="0" w:color="auto"/>
                <w:bottom w:val="none" w:sz="0" w:space="0" w:color="auto"/>
                <w:right w:val="none" w:sz="0" w:space="0" w:color="auto"/>
              </w:divBdr>
              <w:divsChild>
                <w:div w:id="356589234">
                  <w:marLeft w:val="0"/>
                  <w:marRight w:val="0"/>
                  <w:marTop w:val="0"/>
                  <w:marBottom w:val="0"/>
                  <w:divBdr>
                    <w:top w:val="none" w:sz="0" w:space="0" w:color="auto"/>
                    <w:left w:val="none" w:sz="0" w:space="0" w:color="auto"/>
                    <w:bottom w:val="none" w:sz="0" w:space="0" w:color="auto"/>
                    <w:right w:val="none" w:sz="0" w:space="0" w:color="auto"/>
                  </w:divBdr>
                  <w:divsChild>
                    <w:div w:id="408693343">
                      <w:marLeft w:val="0"/>
                      <w:marRight w:val="0"/>
                      <w:marTop w:val="0"/>
                      <w:marBottom w:val="0"/>
                      <w:divBdr>
                        <w:top w:val="none" w:sz="0" w:space="0" w:color="auto"/>
                        <w:left w:val="none" w:sz="0" w:space="0" w:color="auto"/>
                        <w:bottom w:val="none" w:sz="0" w:space="0" w:color="auto"/>
                        <w:right w:val="none" w:sz="0" w:space="0" w:color="auto"/>
                      </w:divBdr>
                      <w:divsChild>
                        <w:div w:id="866721405">
                          <w:marLeft w:val="0"/>
                          <w:marRight w:val="0"/>
                          <w:marTop w:val="0"/>
                          <w:marBottom w:val="0"/>
                          <w:divBdr>
                            <w:top w:val="none" w:sz="0" w:space="0" w:color="auto"/>
                            <w:left w:val="none" w:sz="0" w:space="0" w:color="auto"/>
                            <w:bottom w:val="none" w:sz="0" w:space="0" w:color="auto"/>
                            <w:right w:val="none" w:sz="0" w:space="0" w:color="auto"/>
                          </w:divBdr>
                          <w:divsChild>
                            <w:div w:id="1085495086">
                              <w:marLeft w:val="0"/>
                              <w:marRight w:val="0"/>
                              <w:marTop w:val="0"/>
                              <w:marBottom w:val="0"/>
                              <w:divBdr>
                                <w:top w:val="none" w:sz="0" w:space="0" w:color="auto"/>
                                <w:left w:val="none" w:sz="0" w:space="0" w:color="auto"/>
                                <w:bottom w:val="none" w:sz="0" w:space="0" w:color="auto"/>
                                <w:right w:val="none" w:sz="0" w:space="0" w:color="auto"/>
                              </w:divBdr>
                              <w:divsChild>
                                <w:div w:id="188378808">
                                  <w:marLeft w:val="0"/>
                                  <w:marRight w:val="0"/>
                                  <w:marTop w:val="0"/>
                                  <w:marBottom w:val="0"/>
                                  <w:divBdr>
                                    <w:top w:val="none" w:sz="0" w:space="0" w:color="auto"/>
                                    <w:left w:val="none" w:sz="0" w:space="0" w:color="auto"/>
                                    <w:bottom w:val="none" w:sz="0" w:space="0" w:color="auto"/>
                                    <w:right w:val="none" w:sz="0" w:space="0" w:color="auto"/>
                                  </w:divBdr>
                                  <w:divsChild>
                                    <w:div w:id="77362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5131420">
                          <w:marLeft w:val="0"/>
                          <w:marRight w:val="0"/>
                          <w:marTop w:val="0"/>
                          <w:marBottom w:val="0"/>
                          <w:divBdr>
                            <w:top w:val="none" w:sz="0" w:space="0" w:color="auto"/>
                            <w:left w:val="none" w:sz="0" w:space="0" w:color="auto"/>
                            <w:bottom w:val="none" w:sz="0" w:space="0" w:color="auto"/>
                            <w:right w:val="none" w:sz="0" w:space="0" w:color="auto"/>
                          </w:divBdr>
                          <w:divsChild>
                            <w:div w:id="535854131">
                              <w:marLeft w:val="0"/>
                              <w:marRight w:val="0"/>
                              <w:marTop w:val="0"/>
                              <w:marBottom w:val="0"/>
                              <w:divBdr>
                                <w:top w:val="none" w:sz="0" w:space="0" w:color="auto"/>
                                <w:left w:val="none" w:sz="0" w:space="0" w:color="auto"/>
                                <w:bottom w:val="none" w:sz="0" w:space="0" w:color="auto"/>
                                <w:right w:val="none" w:sz="0" w:space="0" w:color="auto"/>
                              </w:divBdr>
                              <w:divsChild>
                                <w:div w:id="626397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02778774">
      <w:bodyDiv w:val="1"/>
      <w:marLeft w:val="0"/>
      <w:marRight w:val="0"/>
      <w:marTop w:val="0"/>
      <w:marBottom w:val="0"/>
      <w:divBdr>
        <w:top w:val="none" w:sz="0" w:space="0" w:color="auto"/>
        <w:left w:val="none" w:sz="0" w:space="0" w:color="auto"/>
        <w:bottom w:val="none" w:sz="0" w:space="0" w:color="auto"/>
        <w:right w:val="none" w:sz="0" w:space="0" w:color="auto"/>
      </w:divBdr>
      <w:divsChild>
        <w:div w:id="380179653">
          <w:marLeft w:val="0"/>
          <w:marRight w:val="0"/>
          <w:marTop w:val="0"/>
          <w:marBottom w:val="0"/>
          <w:divBdr>
            <w:top w:val="none" w:sz="0" w:space="0" w:color="auto"/>
            <w:left w:val="none" w:sz="0" w:space="0" w:color="auto"/>
            <w:bottom w:val="none" w:sz="0" w:space="0" w:color="auto"/>
            <w:right w:val="none" w:sz="0" w:space="0" w:color="auto"/>
          </w:divBdr>
        </w:div>
      </w:divsChild>
    </w:div>
    <w:div w:id="1788115870">
      <w:bodyDiv w:val="1"/>
      <w:marLeft w:val="0"/>
      <w:marRight w:val="0"/>
      <w:marTop w:val="0"/>
      <w:marBottom w:val="0"/>
      <w:divBdr>
        <w:top w:val="none" w:sz="0" w:space="0" w:color="auto"/>
        <w:left w:val="none" w:sz="0" w:space="0" w:color="auto"/>
        <w:bottom w:val="none" w:sz="0" w:space="0" w:color="auto"/>
        <w:right w:val="none" w:sz="0" w:space="0" w:color="auto"/>
      </w:divBdr>
      <w:divsChild>
        <w:div w:id="1999261994">
          <w:marLeft w:val="0"/>
          <w:marRight w:val="0"/>
          <w:marTop w:val="0"/>
          <w:marBottom w:val="0"/>
          <w:divBdr>
            <w:top w:val="none" w:sz="0" w:space="0" w:color="auto"/>
            <w:left w:val="none" w:sz="0" w:space="0" w:color="auto"/>
            <w:bottom w:val="none" w:sz="0" w:space="0" w:color="auto"/>
            <w:right w:val="none" w:sz="0" w:space="0" w:color="auto"/>
          </w:divBdr>
        </w:div>
      </w:divsChild>
    </w:div>
    <w:div w:id="1838425126">
      <w:bodyDiv w:val="1"/>
      <w:marLeft w:val="0"/>
      <w:marRight w:val="0"/>
      <w:marTop w:val="0"/>
      <w:marBottom w:val="0"/>
      <w:divBdr>
        <w:top w:val="none" w:sz="0" w:space="0" w:color="auto"/>
        <w:left w:val="none" w:sz="0" w:space="0" w:color="auto"/>
        <w:bottom w:val="none" w:sz="0" w:space="0" w:color="auto"/>
        <w:right w:val="none" w:sz="0" w:space="0" w:color="auto"/>
      </w:divBdr>
    </w:div>
    <w:div w:id="1863469474">
      <w:bodyDiv w:val="1"/>
      <w:marLeft w:val="0"/>
      <w:marRight w:val="0"/>
      <w:marTop w:val="0"/>
      <w:marBottom w:val="0"/>
      <w:divBdr>
        <w:top w:val="none" w:sz="0" w:space="0" w:color="auto"/>
        <w:left w:val="none" w:sz="0" w:space="0" w:color="auto"/>
        <w:bottom w:val="none" w:sz="0" w:space="0" w:color="auto"/>
        <w:right w:val="none" w:sz="0" w:space="0" w:color="auto"/>
      </w:divBdr>
      <w:divsChild>
        <w:div w:id="77602898">
          <w:marLeft w:val="0"/>
          <w:marRight w:val="0"/>
          <w:marTop w:val="0"/>
          <w:marBottom w:val="0"/>
          <w:divBdr>
            <w:top w:val="none" w:sz="0" w:space="0" w:color="auto"/>
            <w:left w:val="none" w:sz="0" w:space="0" w:color="auto"/>
            <w:bottom w:val="none" w:sz="0" w:space="0" w:color="auto"/>
            <w:right w:val="none" w:sz="0" w:space="0" w:color="auto"/>
          </w:divBdr>
        </w:div>
      </w:divsChild>
    </w:div>
    <w:div w:id="1871989074">
      <w:bodyDiv w:val="1"/>
      <w:marLeft w:val="0"/>
      <w:marRight w:val="0"/>
      <w:marTop w:val="0"/>
      <w:marBottom w:val="0"/>
      <w:divBdr>
        <w:top w:val="none" w:sz="0" w:space="0" w:color="auto"/>
        <w:left w:val="none" w:sz="0" w:space="0" w:color="auto"/>
        <w:bottom w:val="none" w:sz="0" w:space="0" w:color="auto"/>
        <w:right w:val="none" w:sz="0" w:space="0" w:color="auto"/>
      </w:divBdr>
      <w:divsChild>
        <w:div w:id="1430352133">
          <w:marLeft w:val="0"/>
          <w:marRight w:val="0"/>
          <w:marTop w:val="0"/>
          <w:marBottom w:val="0"/>
          <w:divBdr>
            <w:top w:val="none" w:sz="0" w:space="0" w:color="auto"/>
            <w:left w:val="none" w:sz="0" w:space="0" w:color="auto"/>
            <w:bottom w:val="none" w:sz="0" w:space="0" w:color="auto"/>
            <w:right w:val="none" w:sz="0" w:space="0" w:color="auto"/>
          </w:divBdr>
        </w:div>
      </w:divsChild>
    </w:div>
    <w:div w:id="1874420828">
      <w:bodyDiv w:val="1"/>
      <w:marLeft w:val="0"/>
      <w:marRight w:val="0"/>
      <w:marTop w:val="0"/>
      <w:marBottom w:val="0"/>
      <w:divBdr>
        <w:top w:val="none" w:sz="0" w:space="0" w:color="auto"/>
        <w:left w:val="none" w:sz="0" w:space="0" w:color="auto"/>
        <w:bottom w:val="none" w:sz="0" w:space="0" w:color="auto"/>
        <w:right w:val="none" w:sz="0" w:space="0" w:color="auto"/>
      </w:divBdr>
      <w:divsChild>
        <w:div w:id="885682590">
          <w:marLeft w:val="0"/>
          <w:marRight w:val="0"/>
          <w:marTop w:val="0"/>
          <w:marBottom w:val="0"/>
          <w:divBdr>
            <w:top w:val="none" w:sz="0" w:space="0" w:color="auto"/>
            <w:left w:val="none" w:sz="0" w:space="0" w:color="auto"/>
            <w:bottom w:val="none" w:sz="0" w:space="0" w:color="auto"/>
            <w:right w:val="none" w:sz="0" w:space="0" w:color="auto"/>
          </w:divBdr>
          <w:divsChild>
            <w:div w:id="1348825591">
              <w:marLeft w:val="0"/>
              <w:marRight w:val="0"/>
              <w:marTop w:val="0"/>
              <w:marBottom w:val="0"/>
              <w:divBdr>
                <w:top w:val="none" w:sz="0" w:space="0" w:color="auto"/>
                <w:left w:val="none" w:sz="0" w:space="0" w:color="auto"/>
                <w:bottom w:val="none" w:sz="0" w:space="0" w:color="auto"/>
                <w:right w:val="none" w:sz="0" w:space="0" w:color="auto"/>
              </w:divBdr>
              <w:divsChild>
                <w:div w:id="1658074832">
                  <w:marLeft w:val="0"/>
                  <w:marRight w:val="0"/>
                  <w:marTop w:val="0"/>
                  <w:marBottom w:val="0"/>
                  <w:divBdr>
                    <w:top w:val="none" w:sz="0" w:space="0" w:color="auto"/>
                    <w:left w:val="none" w:sz="0" w:space="0" w:color="auto"/>
                    <w:bottom w:val="none" w:sz="0" w:space="0" w:color="auto"/>
                    <w:right w:val="none" w:sz="0" w:space="0" w:color="auto"/>
                  </w:divBdr>
                  <w:divsChild>
                    <w:div w:id="270671723">
                      <w:marLeft w:val="0"/>
                      <w:marRight w:val="0"/>
                      <w:marTop w:val="0"/>
                      <w:marBottom w:val="0"/>
                      <w:divBdr>
                        <w:top w:val="none" w:sz="0" w:space="0" w:color="auto"/>
                        <w:left w:val="none" w:sz="0" w:space="0" w:color="auto"/>
                        <w:bottom w:val="none" w:sz="0" w:space="0" w:color="auto"/>
                        <w:right w:val="none" w:sz="0" w:space="0" w:color="auto"/>
                      </w:divBdr>
                      <w:divsChild>
                        <w:div w:id="1120344325">
                          <w:marLeft w:val="0"/>
                          <w:marRight w:val="0"/>
                          <w:marTop w:val="0"/>
                          <w:marBottom w:val="0"/>
                          <w:divBdr>
                            <w:top w:val="none" w:sz="0" w:space="0" w:color="auto"/>
                            <w:left w:val="none" w:sz="0" w:space="0" w:color="auto"/>
                            <w:bottom w:val="none" w:sz="0" w:space="0" w:color="auto"/>
                            <w:right w:val="none" w:sz="0" w:space="0" w:color="auto"/>
                          </w:divBdr>
                          <w:divsChild>
                            <w:div w:id="697001676">
                              <w:marLeft w:val="0"/>
                              <w:marRight w:val="0"/>
                              <w:marTop w:val="0"/>
                              <w:marBottom w:val="0"/>
                              <w:divBdr>
                                <w:top w:val="none" w:sz="0" w:space="0" w:color="auto"/>
                                <w:left w:val="none" w:sz="0" w:space="0" w:color="auto"/>
                                <w:bottom w:val="none" w:sz="0" w:space="0" w:color="auto"/>
                                <w:right w:val="none" w:sz="0" w:space="0" w:color="auto"/>
                              </w:divBdr>
                              <w:divsChild>
                                <w:div w:id="1693725620">
                                  <w:marLeft w:val="0"/>
                                  <w:marRight w:val="0"/>
                                  <w:marTop w:val="0"/>
                                  <w:marBottom w:val="0"/>
                                  <w:divBdr>
                                    <w:top w:val="none" w:sz="0" w:space="0" w:color="auto"/>
                                    <w:left w:val="none" w:sz="0" w:space="0" w:color="auto"/>
                                    <w:bottom w:val="none" w:sz="0" w:space="0" w:color="auto"/>
                                    <w:right w:val="none" w:sz="0" w:space="0" w:color="auto"/>
                                  </w:divBdr>
                                  <w:divsChild>
                                    <w:div w:id="312680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9615408">
                          <w:marLeft w:val="0"/>
                          <w:marRight w:val="0"/>
                          <w:marTop w:val="0"/>
                          <w:marBottom w:val="0"/>
                          <w:divBdr>
                            <w:top w:val="none" w:sz="0" w:space="0" w:color="auto"/>
                            <w:left w:val="none" w:sz="0" w:space="0" w:color="auto"/>
                            <w:bottom w:val="none" w:sz="0" w:space="0" w:color="auto"/>
                            <w:right w:val="none" w:sz="0" w:space="0" w:color="auto"/>
                          </w:divBdr>
                          <w:divsChild>
                            <w:div w:id="1245845492">
                              <w:marLeft w:val="0"/>
                              <w:marRight w:val="0"/>
                              <w:marTop w:val="0"/>
                              <w:marBottom w:val="0"/>
                              <w:divBdr>
                                <w:top w:val="none" w:sz="0" w:space="0" w:color="auto"/>
                                <w:left w:val="none" w:sz="0" w:space="0" w:color="auto"/>
                                <w:bottom w:val="none" w:sz="0" w:space="0" w:color="auto"/>
                                <w:right w:val="none" w:sz="0" w:space="0" w:color="auto"/>
                              </w:divBdr>
                              <w:divsChild>
                                <w:div w:id="1675377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10531536">
      <w:bodyDiv w:val="1"/>
      <w:marLeft w:val="0"/>
      <w:marRight w:val="0"/>
      <w:marTop w:val="0"/>
      <w:marBottom w:val="0"/>
      <w:divBdr>
        <w:top w:val="none" w:sz="0" w:space="0" w:color="auto"/>
        <w:left w:val="none" w:sz="0" w:space="0" w:color="auto"/>
        <w:bottom w:val="none" w:sz="0" w:space="0" w:color="auto"/>
        <w:right w:val="none" w:sz="0" w:space="0" w:color="auto"/>
      </w:divBdr>
      <w:divsChild>
        <w:div w:id="692650788">
          <w:marLeft w:val="0"/>
          <w:marRight w:val="0"/>
          <w:marTop w:val="0"/>
          <w:marBottom w:val="0"/>
          <w:divBdr>
            <w:top w:val="none" w:sz="0" w:space="0" w:color="auto"/>
            <w:left w:val="none" w:sz="0" w:space="0" w:color="auto"/>
            <w:bottom w:val="none" w:sz="0" w:space="0" w:color="auto"/>
            <w:right w:val="none" w:sz="0" w:space="0" w:color="auto"/>
          </w:divBdr>
        </w:div>
      </w:divsChild>
    </w:div>
    <w:div w:id="1999527779">
      <w:bodyDiv w:val="1"/>
      <w:marLeft w:val="0"/>
      <w:marRight w:val="0"/>
      <w:marTop w:val="0"/>
      <w:marBottom w:val="0"/>
      <w:divBdr>
        <w:top w:val="none" w:sz="0" w:space="0" w:color="auto"/>
        <w:left w:val="none" w:sz="0" w:space="0" w:color="auto"/>
        <w:bottom w:val="none" w:sz="0" w:space="0" w:color="auto"/>
        <w:right w:val="none" w:sz="0" w:space="0" w:color="auto"/>
      </w:divBdr>
      <w:divsChild>
        <w:div w:id="2119325054">
          <w:marLeft w:val="0"/>
          <w:marRight w:val="0"/>
          <w:marTop w:val="0"/>
          <w:marBottom w:val="0"/>
          <w:divBdr>
            <w:top w:val="none" w:sz="0" w:space="0" w:color="auto"/>
            <w:left w:val="none" w:sz="0" w:space="0" w:color="auto"/>
            <w:bottom w:val="none" w:sz="0" w:space="0" w:color="auto"/>
            <w:right w:val="none" w:sz="0" w:space="0" w:color="auto"/>
          </w:divBdr>
        </w:div>
      </w:divsChild>
    </w:div>
    <w:div w:id="2059469846">
      <w:bodyDiv w:val="1"/>
      <w:marLeft w:val="0"/>
      <w:marRight w:val="0"/>
      <w:marTop w:val="0"/>
      <w:marBottom w:val="0"/>
      <w:divBdr>
        <w:top w:val="none" w:sz="0" w:space="0" w:color="auto"/>
        <w:left w:val="none" w:sz="0" w:space="0" w:color="auto"/>
        <w:bottom w:val="none" w:sz="0" w:space="0" w:color="auto"/>
        <w:right w:val="none" w:sz="0" w:space="0" w:color="auto"/>
      </w:divBdr>
      <w:divsChild>
        <w:div w:id="9425662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hyperlink" Target="Working%20at%20Height%20Risk-Assessment%2014.5.25%20UWTSD.xlsx" TargetMode="Externa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EF9DFE-8F34-4A20-80C8-D0134F8AC7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14</Pages>
  <Words>2522</Words>
  <Characters>16294</Characters>
  <Application>Microsoft Office Word</Application>
  <DocSecurity>0</DocSecurity>
  <Lines>370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Cory Westermark</dc:creator>
  <cp:keywords/>
  <dc:description/>
  <cp:lastModifiedBy>Cory Westermark</cp:lastModifiedBy>
  <cp:revision>3</cp:revision>
  <dcterms:created xsi:type="dcterms:W3CDTF">2025-05-15T19:19:00Z</dcterms:created>
  <dcterms:modified xsi:type="dcterms:W3CDTF">2025-05-15T19:49:00Z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e992949f-155a-4f20-a9b7-6bc7bf475aa2</vt:lpwstr>
  </property>
</Properties>
</file>