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0D7649" w14:textId="044DD532" w:rsidR="008375B5" w:rsidRPr="00012AF4" w:rsidRDefault="009334D8" w:rsidP="008375B5">
      <w:pPr>
        <w:spacing w:line="360" w:lineRule="auto"/>
      </w:pPr>
      <w:r w:rsidRPr="00012AF4">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Pr="00012AF4" w:rsidRDefault="008375B5" w:rsidP="008375B5">
      <w:pPr>
        <w:spacing w:line="360" w:lineRule="auto"/>
        <w:rPr>
          <w:rStyle w:val="Strong"/>
          <w:rFonts w:ascii="Segoe UI" w:hAnsi="Segoe UI" w:cs="Segoe UI"/>
          <w:color w:val="1D2125"/>
        </w:rPr>
      </w:pPr>
    </w:p>
    <w:p w14:paraId="3D4BDE11" w14:textId="77777777" w:rsidR="008375B5" w:rsidRPr="00012AF4" w:rsidRDefault="008375B5" w:rsidP="008375B5">
      <w:pPr>
        <w:spacing w:line="360" w:lineRule="auto"/>
        <w:rPr>
          <w:rStyle w:val="Strong"/>
          <w:rFonts w:ascii="Arial" w:hAnsi="Arial" w:cs="Arial"/>
          <w:color w:val="1D2125"/>
          <w:sz w:val="36"/>
          <w:szCs w:val="36"/>
        </w:rPr>
      </w:pPr>
    </w:p>
    <w:p w14:paraId="22930AF8" w14:textId="77777777" w:rsidR="008375B5" w:rsidRPr="00012AF4" w:rsidRDefault="008375B5" w:rsidP="008375B5">
      <w:pPr>
        <w:spacing w:line="360" w:lineRule="auto"/>
        <w:jc w:val="center"/>
        <w:rPr>
          <w:rStyle w:val="Strong"/>
          <w:rFonts w:ascii="Arial" w:hAnsi="Arial" w:cs="Arial"/>
          <w:color w:val="1D2125"/>
          <w:sz w:val="36"/>
          <w:szCs w:val="36"/>
        </w:rPr>
      </w:pPr>
    </w:p>
    <w:p w14:paraId="7E1888EF" w14:textId="77777777" w:rsidR="008375B5" w:rsidRPr="00012AF4" w:rsidRDefault="008375B5" w:rsidP="008375B5">
      <w:pPr>
        <w:spacing w:line="360" w:lineRule="auto"/>
        <w:jc w:val="center"/>
        <w:rPr>
          <w:rStyle w:val="Strong"/>
          <w:rFonts w:ascii="Arial" w:hAnsi="Arial" w:cs="Arial"/>
          <w:color w:val="1D2125"/>
          <w:sz w:val="36"/>
          <w:szCs w:val="36"/>
        </w:rPr>
      </w:pPr>
      <w:r w:rsidRPr="00012AF4">
        <w:rPr>
          <w:rStyle w:val="Strong"/>
          <w:rFonts w:ascii="Arial" w:hAnsi="Arial" w:cs="Arial"/>
          <w:color w:val="1D2125"/>
          <w:sz w:val="36"/>
          <w:szCs w:val="36"/>
        </w:rPr>
        <w:t>Digital Transformation in the Health and Care Professions (BMHP6026)</w:t>
      </w:r>
    </w:p>
    <w:p w14:paraId="0E4A258C" w14:textId="77777777" w:rsidR="008375B5" w:rsidRPr="00012AF4" w:rsidRDefault="008375B5" w:rsidP="008375B5">
      <w:pPr>
        <w:spacing w:line="360" w:lineRule="auto"/>
        <w:jc w:val="center"/>
        <w:rPr>
          <w:rStyle w:val="Strong"/>
          <w:rFonts w:ascii="Arial" w:hAnsi="Arial" w:cs="Arial"/>
          <w:color w:val="1D2125"/>
          <w:sz w:val="36"/>
          <w:szCs w:val="36"/>
        </w:rPr>
      </w:pPr>
    </w:p>
    <w:p w14:paraId="4D8F34EA" w14:textId="77777777" w:rsidR="008375B5" w:rsidRPr="00012AF4" w:rsidRDefault="008375B5" w:rsidP="008375B5">
      <w:pPr>
        <w:spacing w:line="360" w:lineRule="auto"/>
        <w:jc w:val="center"/>
        <w:rPr>
          <w:rStyle w:val="Strong"/>
          <w:rFonts w:ascii="Arial" w:hAnsi="Arial" w:cs="Arial"/>
          <w:color w:val="1D2125"/>
          <w:sz w:val="36"/>
          <w:szCs w:val="36"/>
        </w:rPr>
      </w:pPr>
    </w:p>
    <w:p w14:paraId="03B7C5EA" w14:textId="01142EDE" w:rsidR="008375B5" w:rsidRPr="007F60F7" w:rsidRDefault="008375B5" w:rsidP="008375B5">
      <w:pPr>
        <w:spacing w:line="360" w:lineRule="auto"/>
        <w:rPr>
          <w:rStyle w:val="Strong"/>
          <w:rFonts w:ascii="Arial" w:hAnsi="Arial" w:cs="Arial"/>
          <w:b w:val="0"/>
          <w:bCs w:val="0"/>
          <w:color w:val="1D2125"/>
          <w:sz w:val="32"/>
          <w:szCs w:val="32"/>
        </w:rPr>
      </w:pPr>
      <w:r w:rsidRPr="00012AF4">
        <w:rPr>
          <w:rFonts w:ascii="Arial" w:hAnsi="Arial" w:cs="Arial"/>
          <w:b/>
          <w:bCs/>
          <w:color w:val="000000"/>
          <w:sz w:val="32"/>
          <w:szCs w:val="32"/>
        </w:rPr>
        <w:t>Component 1: Written Repor</w:t>
      </w:r>
      <w:r w:rsidR="007F60F7">
        <w:rPr>
          <w:rFonts w:ascii="Arial" w:hAnsi="Arial" w:cs="Arial"/>
          <w:b/>
          <w:bCs/>
          <w:color w:val="000000"/>
          <w:sz w:val="32"/>
          <w:szCs w:val="32"/>
        </w:rPr>
        <w:t>t</w:t>
      </w:r>
    </w:p>
    <w:p w14:paraId="3C3042AD" w14:textId="0661B3E7" w:rsidR="008375B5" w:rsidRPr="00012AF4" w:rsidRDefault="008375B5" w:rsidP="008375B5">
      <w:pPr>
        <w:spacing w:line="360" w:lineRule="auto"/>
        <w:rPr>
          <w:rStyle w:val="Strong"/>
          <w:rFonts w:ascii="Arial" w:hAnsi="Arial" w:cs="Arial"/>
          <w:color w:val="1D2125"/>
          <w:sz w:val="32"/>
          <w:szCs w:val="32"/>
        </w:rPr>
      </w:pPr>
      <w:r w:rsidRPr="00012AF4">
        <w:rPr>
          <w:rStyle w:val="Strong"/>
          <w:rFonts w:ascii="Arial" w:hAnsi="Arial" w:cs="Arial"/>
          <w:color w:val="1D2125"/>
          <w:sz w:val="32"/>
          <w:szCs w:val="32"/>
        </w:rPr>
        <w:t>Student name:</w:t>
      </w:r>
      <w:r w:rsidR="000D0FC2">
        <w:rPr>
          <w:rStyle w:val="Strong"/>
          <w:rFonts w:ascii="Arial" w:hAnsi="Arial" w:cs="Arial"/>
          <w:color w:val="1D2125"/>
          <w:sz w:val="32"/>
          <w:szCs w:val="32"/>
        </w:rPr>
        <w:t xml:space="preserve"> Mabinty Kamara</w:t>
      </w:r>
    </w:p>
    <w:p w14:paraId="227AC82E" w14:textId="6A6AD81E" w:rsidR="008375B5" w:rsidRPr="00012AF4" w:rsidRDefault="008375B5" w:rsidP="008375B5">
      <w:pPr>
        <w:spacing w:line="360" w:lineRule="auto"/>
        <w:rPr>
          <w:rStyle w:val="Strong"/>
          <w:rFonts w:ascii="Arial" w:hAnsi="Arial" w:cs="Arial"/>
          <w:color w:val="1D2125"/>
          <w:sz w:val="32"/>
          <w:szCs w:val="32"/>
        </w:rPr>
      </w:pPr>
      <w:r w:rsidRPr="00012AF4">
        <w:rPr>
          <w:rStyle w:val="Strong"/>
          <w:rFonts w:ascii="Arial" w:hAnsi="Arial" w:cs="Arial"/>
          <w:color w:val="1D2125"/>
          <w:sz w:val="32"/>
          <w:szCs w:val="32"/>
        </w:rPr>
        <w:t>Student number:</w:t>
      </w:r>
      <w:r w:rsidR="000D0FC2">
        <w:rPr>
          <w:rStyle w:val="Strong"/>
          <w:rFonts w:ascii="Arial" w:hAnsi="Arial" w:cs="Arial"/>
          <w:color w:val="1D2125"/>
          <w:sz w:val="32"/>
          <w:szCs w:val="32"/>
        </w:rPr>
        <w:t>2327089</w:t>
      </w:r>
    </w:p>
    <w:p w14:paraId="5B5E64AD" w14:textId="523A226F" w:rsidR="008375B5" w:rsidRPr="00012AF4" w:rsidRDefault="008375B5" w:rsidP="008375B5">
      <w:pPr>
        <w:spacing w:line="360" w:lineRule="auto"/>
        <w:rPr>
          <w:rStyle w:val="Strong"/>
          <w:rFonts w:ascii="Arial" w:hAnsi="Arial" w:cs="Arial"/>
          <w:color w:val="1D2125"/>
          <w:sz w:val="32"/>
          <w:szCs w:val="32"/>
        </w:rPr>
      </w:pPr>
      <w:r w:rsidRPr="00012AF4">
        <w:rPr>
          <w:rStyle w:val="Strong"/>
          <w:rFonts w:ascii="Arial" w:hAnsi="Arial" w:cs="Arial"/>
          <w:color w:val="1D2125"/>
          <w:sz w:val="32"/>
          <w:szCs w:val="32"/>
        </w:rPr>
        <w:t>Lecturer’s name:</w:t>
      </w:r>
      <w:r w:rsidR="007F60F7">
        <w:rPr>
          <w:rStyle w:val="Strong"/>
          <w:rFonts w:ascii="Arial" w:hAnsi="Arial" w:cs="Arial"/>
          <w:color w:val="1D2125"/>
          <w:sz w:val="32"/>
          <w:szCs w:val="32"/>
        </w:rPr>
        <w:t xml:space="preserve"> M</w:t>
      </w:r>
      <w:r w:rsidR="00B433E9">
        <w:rPr>
          <w:rStyle w:val="Strong"/>
          <w:rFonts w:ascii="Arial" w:hAnsi="Arial" w:cs="Arial"/>
          <w:color w:val="1D2125"/>
          <w:sz w:val="32"/>
          <w:szCs w:val="32"/>
        </w:rPr>
        <w:t>uhammed Khan</w:t>
      </w:r>
    </w:p>
    <w:p w14:paraId="4F492421" w14:textId="77777777" w:rsidR="008375B5" w:rsidRPr="00012AF4" w:rsidRDefault="008375B5" w:rsidP="008375B5">
      <w:pPr>
        <w:spacing w:line="360" w:lineRule="auto"/>
        <w:rPr>
          <w:sz w:val="36"/>
          <w:szCs w:val="36"/>
        </w:rPr>
      </w:pPr>
    </w:p>
    <w:p w14:paraId="43FBD350" w14:textId="77777777" w:rsidR="008375B5" w:rsidRPr="00012AF4" w:rsidRDefault="008375B5" w:rsidP="008375B5">
      <w:pPr>
        <w:spacing w:line="360" w:lineRule="auto"/>
        <w:rPr>
          <w:rFonts w:ascii="Arial" w:hAnsi="Arial" w:cs="Arial"/>
          <w:sz w:val="36"/>
          <w:szCs w:val="36"/>
        </w:rPr>
      </w:pPr>
    </w:p>
    <w:p w14:paraId="2EE68F49" w14:textId="77777777" w:rsidR="008375B5" w:rsidRPr="00012AF4" w:rsidRDefault="008375B5" w:rsidP="008375B5">
      <w:pPr>
        <w:spacing w:line="360" w:lineRule="auto"/>
        <w:rPr>
          <w:rFonts w:ascii="Arial" w:hAnsi="Arial" w:cs="Arial"/>
          <w:sz w:val="36"/>
          <w:szCs w:val="36"/>
        </w:rPr>
      </w:pPr>
    </w:p>
    <w:p w14:paraId="5E13BA96" w14:textId="77777777" w:rsidR="008375B5" w:rsidRPr="00012AF4" w:rsidRDefault="008375B5" w:rsidP="008375B5">
      <w:pPr>
        <w:spacing w:line="360" w:lineRule="auto"/>
        <w:rPr>
          <w:rFonts w:ascii="Arial" w:hAnsi="Arial" w:cs="Arial"/>
          <w:sz w:val="36"/>
          <w:szCs w:val="36"/>
        </w:rPr>
      </w:pPr>
    </w:p>
    <w:sdt>
      <w:sdtPr>
        <w:rPr>
          <w:rFonts w:ascii="Aptos" w:eastAsia="Aptos" w:hAnsi="Aptos" w:cs="Times New Roman"/>
          <w:b w:val="0"/>
          <w:color w:val="auto"/>
          <w:kern w:val="2"/>
          <w:sz w:val="24"/>
          <w:szCs w:val="24"/>
          <w:lang w:val="en-GB"/>
        </w:rPr>
        <w:id w:val="912120737"/>
        <w:docPartObj>
          <w:docPartGallery w:val="Table of Contents"/>
          <w:docPartUnique/>
        </w:docPartObj>
      </w:sdtPr>
      <w:sdtEndPr>
        <w:rPr>
          <w:bCs/>
          <w:noProof/>
        </w:rPr>
      </w:sdtEndPr>
      <w:sdtContent>
        <w:p w14:paraId="2728B8D7" w14:textId="39ACE7D0" w:rsidR="007C5D50" w:rsidRPr="007C5D50" w:rsidRDefault="007C5D50">
          <w:pPr>
            <w:pStyle w:val="TOCHeading"/>
            <w:rPr>
              <w:color w:val="auto"/>
            </w:rPr>
          </w:pPr>
          <w:r w:rsidRPr="007C5D50">
            <w:rPr>
              <w:color w:val="auto"/>
            </w:rPr>
            <w:t>Table of Contents</w:t>
          </w:r>
        </w:p>
        <w:p w14:paraId="02CD38E4" w14:textId="26D71B8A" w:rsidR="000F2C3F" w:rsidRDefault="007C5D50">
          <w:pPr>
            <w:pStyle w:val="TOC1"/>
            <w:tabs>
              <w:tab w:val="left" w:pos="440"/>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24984970" w:history="1">
            <w:r w:rsidR="000F2C3F" w:rsidRPr="007C37CE">
              <w:rPr>
                <w:rStyle w:val="Hyperlink"/>
                <w:noProof/>
              </w:rPr>
              <w:t>1.</w:t>
            </w:r>
            <w:r w:rsidR="000F2C3F">
              <w:rPr>
                <w:rFonts w:cstheme="minorBidi"/>
                <w:noProof/>
                <w:kern w:val="2"/>
                <w:sz w:val="24"/>
                <w:szCs w:val="24"/>
                <w:lang w:val="en-GB" w:eastAsia="en-GB"/>
                <w14:ligatures w14:val="standardContextual"/>
              </w:rPr>
              <w:tab/>
            </w:r>
            <w:r w:rsidR="000F2C3F" w:rsidRPr="007C37CE">
              <w:rPr>
                <w:rStyle w:val="Hyperlink"/>
                <w:noProof/>
              </w:rPr>
              <w:t>Introduction</w:t>
            </w:r>
            <w:r w:rsidR="000F2C3F">
              <w:rPr>
                <w:noProof/>
                <w:webHidden/>
              </w:rPr>
              <w:tab/>
            </w:r>
            <w:r w:rsidR="000F2C3F">
              <w:rPr>
                <w:noProof/>
                <w:webHidden/>
              </w:rPr>
              <w:fldChar w:fldCharType="begin"/>
            </w:r>
            <w:r w:rsidR="000F2C3F">
              <w:rPr>
                <w:noProof/>
                <w:webHidden/>
              </w:rPr>
              <w:instrText xml:space="preserve"> PAGEREF _Toc224984970 \h </w:instrText>
            </w:r>
            <w:r w:rsidR="000F2C3F">
              <w:rPr>
                <w:noProof/>
                <w:webHidden/>
              </w:rPr>
            </w:r>
            <w:r w:rsidR="000F2C3F">
              <w:rPr>
                <w:noProof/>
                <w:webHidden/>
              </w:rPr>
              <w:fldChar w:fldCharType="separate"/>
            </w:r>
            <w:r w:rsidR="000F2C3F">
              <w:rPr>
                <w:noProof/>
                <w:webHidden/>
              </w:rPr>
              <w:t>2</w:t>
            </w:r>
            <w:r w:rsidR="000F2C3F">
              <w:rPr>
                <w:noProof/>
                <w:webHidden/>
              </w:rPr>
              <w:fldChar w:fldCharType="end"/>
            </w:r>
          </w:hyperlink>
        </w:p>
        <w:p w14:paraId="160C2A2C" w14:textId="688D4C06" w:rsidR="000F2C3F" w:rsidRDefault="000F2C3F">
          <w:pPr>
            <w:pStyle w:val="TOC1"/>
            <w:tabs>
              <w:tab w:val="left" w:pos="440"/>
              <w:tab w:val="right" w:leader="dot" w:pos="9016"/>
            </w:tabs>
            <w:rPr>
              <w:rFonts w:cstheme="minorBidi"/>
              <w:noProof/>
              <w:kern w:val="2"/>
              <w:sz w:val="24"/>
              <w:szCs w:val="24"/>
              <w:lang w:val="en-GB" w:eastAsia="en-GB"/>
              <w14:ligatures w14:val="standardContextual"/>
            </w:rPr>
          </w:pPr>
          <w:hyperlink w:anchor="_Toc224984971" w:history="1">
            <w:r w:rsidRPr="007C37CE">
              <w:rPr>
                <w:rStyle w:val="Hyperlink"/>
                <w:rFonts w:cs="Arial"/>
                <w:noProof/>
              </w:rPr>
              <w:t>2.</w:t>
            </w:r>
            <w:r>
              <w:rPr>
                <w:rFonts w:cstheme="minorBidi"/>
                <w:noProof/>
                <w:kern w:val="2"/>
                <w:sz w:val="24"/>
                <w:szCs w:val="24"/>
                <w:lang w:val="en-GB" w:eastAsia="en-GB"/>
                <w14:ligatures w14:val="standardContextual"/>
              </w:rPr>
              <w:tab/>
            </w:r>
            <w:r w:rsidRPr="007C37CE">
              <w:rPr>
                <w:rStyle w:val="Hyperlink"/>
                <w:noProof/>
              </w:rPr>
              <w:t>Impact on workforce</w:t>
            </w:r>
            <w:r>
              <w:rPr>
                <w:noProof/>
                <w:webHidden/>
              </w:rPr>
              <w:tab/>
            </w:r>
            <w:r>
              <w:rPr>
                <w:noProof/>
                <w:webHidden/>
              </w:rPr>
              <w:fldChar w:fldCharType="begin"/>
            </w:r>
            <w:r>
              <w:rPr>
                <w:noProof/>
                <w:webHidden/>
              </w:rPr>
              <w:instrText xml:space="preserve"> PAGEREF _Toc224984971 \h </w:instrText>
            </w:r>
            <w:r>
              <w:rPr>
                <w:noProof/>
                <w:webHidden/>
              </w:rPr>
            </w:r>
            <w:r>
              <w:rPr>
                <w:noProof/>
                <w:webHidden/>
              </w:rPr>
              <w:fldChar w:fldCharType="separate"/>
            </w:r>
            <w:r>
              <w:rPr>
                <w:noProof/>
                <w:webHidden/>
              </w:rPr>
              <w:t>3</w:t>
            </w:r>
            <w:r>
              <w:rPr>
                <w:noProof/>
                <w:webHidden/>
              </w:rPr>
              <w:fldChar w:fldCharType="end"/>
            </w:r>
          </w:hyperlink>
        </w:p>
        <w:p w14:paraId="6BBA8BF4" w14:textId="3EC8DC09" w:rsidR="000F2C3F" w:rsidRDefault="000F2C3F">
          <w:pPr>
            <w:pStyle w:val="TOC1"/>
            <w:tabs>
              <w:tab w:val="left" w:pos="440"/>
              <w:tab w:val="right" w:leader="dot" w:pos="9016"/>
            </w:tabs>
            <w:rPr>
              <w:rFonts w:cstheme="minorBidi"/>
              <w:noProof/>
              <w:kern w:val="2"/>
              <w:sz w:val="24"/>
              <w:szCs w:val="24"/>
              <w:lang w:val="en-GB" w:eastAsia="en-GB"/>
              <w14:ligatures w14:val="standardContextual"/>
            </w:rPr>
          </w:pPr>
          <w:hyperlink w:anchor="_Toc224984972" w:history="1">
            <w:r w:rsidRPr="007C37CE">
              <w:rPr>
                <w:rStyle w:val="Hyperlink"/>
                <w:noProof/>
              </w:rPr>
              <w:t>3.</w:t>
            </w:r>
            <w:r>
              <w:rPr>
                <w:rFonts w:cstheme="minorBidi"/>
                <w:noProof/>
                <w:kern w:val="2"/>
                <w:sz w:val="24"/>
                <w:szCs w:val="24"/>
                <w:lang w:val="en-GB" w:eastAsia="en-GB"/>
                <w14:ligatures w14:val="standardContextual"/>
              </w:rPr>
              <w:tab/>
            </w:r>
            <w:r w:rsidRPr="007C37CE">
              <w:rPr>
                <w:rStyle w:val="Hyperlink"/>
                <w:noProof/>
              </w:rPr>
              <w:t>Impact on service delivery</w:t>
            </w:r>
            <w:r>
              <w:rPr>
                <w:noProof/>
                <w:webHidden/>
              </w:rPr>
              <w:tab/>
            </w:r>
            <w:r>
              <w:rPr>
                <w:noProof/>
                <w:webHidden/>
              </w:rPr>
              <w:fldChar w:fldCharType="begin"/>
            </w:r>
            <w:r>
              <w:rPr>
                <w:noProof/>
                <w:webHidden/>
              </w:rPr>
              <w:instrText xml:space="preserve"> PAGEREF _Toc224984972 \h </w:instrText>
            </w:r>
            <w:r>
              <w:rPr>
                <w:noProof/>
                <w:webHidden/>
              </w:rPr>
            </w:r>
            <w:r>
              <w:rPr>
                <w:noProof/>
                <w:webHidden/>
              </w:rPr>
              <w:fldChar w:fldCharType="separate"/>
            </w:r>
            <w:r>
              <w:rPr>
                <w:noProof/>
                <w:webHidden/>
              </w:rPr>
              <w:t>4</w:t>
            </w:r>
            <w:r>
              <w:rPr>
                <w:noProof/>
                <w:webHidden/>
              </w:rPr>
              <w:fldChar w:fldCharType="end"/>
            </w:r>
          </w:hyperlink>
        </w:p>
        <w:p w14:paraId="6E980E23" w14:textId="5E695FFD" w:rsidR="000F2C3F" w:rsidRDefault="000F2C3F">
          <w:pPr>
            <w:pStyle w:val="TOC1"/>
            <w:tabs>
              <w:tab w:val="left" w:pos="440"/>
              <w:tab w:val="right" w:leader="dot" w:pos="9016"/>
            </w:tabs>
            <w:rPr>
              <w:rFonts w:cstheme="minorBidi"/>
              <w:noProof/>
              <w:kern w:val="2"/>
              <w:sz w:val="24"/>
              <w:szCs w:val="24"/>
              <w:lang w:val="en-GB" w:eastAsia="en-GB"/>
              <w14:ligatures w14:val="standardContextual"/>
            </w:rPr>
          </w:pPr>
          <w:hyperlink w:anchor="_Toc224984973" w:history="1">
            <w:r w:rsidRPr="007C37CE">
              <w:rPr>
                <w:rStyle w:val="Hyperlink"/>
                <w:noProof/>
              </w:rPr>
              <w:t>4.</w:t>
            </w:r>
            <w:r>
              <w:rPr>
                <w:rFonts w:cstheme="minorBidi"/>
                <w:noProof/>
                <w:kern w:val="2"/>
                <w:sz w:val="24"/>
                <w:szCs w:val="24"/>
                <w:lang w:val="en-GB" w:eastAsia="en-GB"/>
                <w14:ligatures w14:val="standardContextual"/>
              </w:rPr>
              <w:tab/>
            </w:r>
            <w:r w:rsidRPr="007C37CE">
              <w:rPr>
                <w:rStyle w:val="Hyperlink"/>
                <w:noProof/>
              </w:rPr>
              <w:t>Impact on patients</w:t>
            </w:r>
            <w:r>
              <w:rPr>
                <w:noProof/>
                <w:webHidden/>
              </w:rPr>
              <w:tab/>
            </w:r>
            <w:r>
              <w:rPr>
                <w:noProof/>
                <w:webHidden/>
              </w:rPr>
              <w:fldChar w:fldCharType="begin"/>
            </w:r>
            <w:r>
              <w:rPr>
                <w:noProof/>
                <w:webHidden/>
              </w:rPr>
              <w:instrText xml:space="preserve"> PAGEREF _Toc224984973 \h </w:instrText>
            </w:r>
            <w:r>
              <w:rPr>
                <w:noProof/>
                <w:webHidden/>
              </w:rPr>
            </w:r>
            <w:r>
              <w:rPr>
                <w:noProof/>
                <w:webHidden/>
              </w:rPr>
              <w:fldChar w:fldCharType="separate"/>
            </w:r>
            <w:r>
              <w:rPr>
                <w:noProof/>
                <w:webHidden/>
              </w:rPr>
              <w:t>5</w:t>
            </w:r>
            <w:r>
              <w:rPr>
                <w:noProof/>
                <w:webHidden/>
              </w:rPr>
              <w:fldChar w:fldCharType="end"/>
            </w:r>
          </w:hyperlink>
        </w:p>
        <w:p w14:paraId="5A633E23" w14:textId="60539737" w:rsidR="000F2C3F" w:rsidRDefault="000F2C3F">
          <w:pPr>
            <w:pStyle w:val="TOC1"/>
            <w:tabs>
              <w:tab w:val="left" w:pos="440"/>
              <w:tab w:val="right" w:leader="dot" w:pos="9016"/>
            </w:tabs>
            <w:rPr>
              <w:rFonts w:cstheme="minorBidi"/>
              <w:noProof/>
              <w:kern w:val="2"/>
              <w:sz w:val="24"/>
              <w:szCs w:val="24"/>
              <w:lang w:val="en-GB" w:eastAsia="en-GB"/>
              <w14:ligatures w14:val="standardContextual"/>
            </w:rPr>
          </w:pPr>
          <w:hyperlink w:anchor="_Toc224984974" w:history="1">
            <w:r w:rsidRPr="007C37CE">
              <w:rPr>
                <w:rStyle w:val="Hyperlink"/>
                <w:noProof/>
              </w:rPr>
              <w:t>5.</w:t>
            </w:r>
            <w:r>
              <w:rPr>
                <w:rFonts w:cstheme="minorBidi"/>
                <w:noProof/>
                <w:kern w:val="2"/>
                <w:sz w:val="24"/>
                <w:szCs w:val="24"/>
                <w:lang w:val="en-GB" w:eastAsia="en-GB"/>
                <w14:ligatures w14:val="standardContextual"/>
              </w:rPr>
              <w:tab/>
            </w:r>
            <w:r w:rsidRPr="007C37CE">
              <w:rPr>
                <w:rStyle w:val="Hyperlink"/>
                <w:noProof/>
              </w:rPr>
              <w:t>Impact on community</w:t>
            </w:r>
            <w:r>
              <w:rPr>
                <w:noProof/>
                <w:webHidden/>
              </w:rPr>
              <w:tab/>
            </w:r>
            <w:r>
              <w:rPr>
                <w:noProof/>
                <w:webHidden/>
              </w:rPr>
              <w:fldChar w:fldCharType="begin"/>
            </w:r>
            <w:r>
              <w:rPr>
                <w:noProof/>
                <w:webHidden/>
              </w:rPr>
              <w:instrText xml:space="preserve"> PAGEREF _Toc224984974 \h </w:instrText>
            </w:r>
            <w:r>
              <w:rPr>
                <w:noProof/>
                <w:webHidden/>
              </w:rPr>
            </w:r>
            <w:r>
              <w:rPr>
                <w:noProof/>
                <w:webHidden/>
              </w:rPr>
              <w:fldChar w:fldCharType="separate"/>
            </w:r>
            <w:r>
              <w:rPr>
                <w:noProof/>
                <w:webHidden/>
              </w:rPr>
              <w:t>6</w:t>
            </w:r>
            <w:r>
              <w:rPr>
                <w:noProof/>
                <w:webHidden/>
              </w:rPr>
              <w:fldChar w:fldCharType="end"/>
            </w:r>
          </w:hyperlink>
        </w:p>
        <w:p w14:paraId="2C53B46F" w14:textId="7D1B7C99" w:rsidR="000F2C3F" w:rsidRDefault="000F2C3F">
          <w:pPr>
            <w:pStyle w:val="TOC1"/>
            <w:tabs>
              <w:tab w:val="left" w:pos="440"/>
              <w:tab w:val="right" w:leader="dot" w:pos="9016"/>
            </w:tabs>
            <w:rPr>
              <w:rFonts w:cstheme="minorBidi"/>
              <w:noProof/>
              <w:kern w:val="2"/>
              <w:sz w:val="24"/>
              <w:szCs w:val="24"/>
              <w:lang w:val="en-GB" w:eastAsia="en-GB"/>
              <w14:ligatures w14:val="standardContextual"/>
            </w:rPr>
          </w:pPr>
          <w:hyperlink w:anchor="_Toc224984975" w:history="1">
            <w:r w:rsidRPr="007C37CE">
              <w:rPr>
                <w:rStyle w:val="Hyperlink"/>
                <w:noProof/>
              </w:rPr>
              <w:t>6.</w:t>
            </w:r>
            <w:r>
              <w:rPr>
                <w:rFonts w:cstheme="minorBidi"/>
                <w:noProof/>
                <w:kern w:val="2"/>
                <w:sz w:val="24"/>
                <w:szCs w:val="24"/>
                <w:lang w:val="en-GB" w:eastAsia="en-GB"/>
                <w14:ligatures w14:val="standardContextual"/>
              </w:rPr>
              <w:tab/>
            </w:r>
            <w:r w:rsidRPr="007C37CE">
              <w:rPr>
                <w:rStyle w:val="Hyperlink"/>
                <w:noProof/>
              </w:rPr>
              <w:t>Conclusion</w:t>
            </w:r>
            <w:r>
              <w:rPr>
                <w:noProof/>
                <w:webHidden/>
              </w:rPr>
              <w:tab/>
            </w:r>
            <w:r>
              <w:rPr>
                <w:noProof/>
                <w:webHidden/>
              </w:rPr>
              <w:fldChar w:fldCharType="begin"/>
            </w:r>
            <w:r>
              <w:rPr>
                <w:noProof/>
                <w:webHidden/>
              </w:rPr>
              <w:instrText xml:space="preserve"> PAGEREF _Toc224984975 \h </w:instrText>
            </w:r>
            <w:r>
              <w:rPr>
                <w:noProof/>
                <w:webHidden/>
              </w:rPr>
            </w:r>
            <w:r>
              <w:rPr>
                <w:noProof/>
                <w:webHidden/>
              </w:rPr>
              <w:fldChar w:fldCharType="separate"/>
            </w:r>
            <w:r>
              <w:rPr>
                <w:noProof/>
                <w:webHidden/>
              </w:rPr>
              <w:t>6</w:t>
            </w:r>
            <w:r>
              <w:rPr>
                <w:noProof/>
                <w:webHidden/>
              </w:rPr>
              <w:fldChar w:fldCharType="end"/>
            </w:r>
          </w:hyperlink>
        </w:p>
        <w:p w14:paraId="6047E9CB" w14:textId="223DD97F" w:rsidR="007C5D50" w:rsidRDefault="007C5D50">
          <w:r>
            <w:rPr>
              <w:b/>
              <w:bCs/>
              <w:noProof/>
            </w:rPr>
            <w:fldChar w:fldCharType="end"/>
          </w:r>
        </w:p>
      </w:sdtContent>
    </w:sdt>
    <w:p w14:paraId="6997D827" w14:textId="77777777" w:rsidR="008375B5" w:rsidRPr="00012AF4" w:rsidRDefault="008375B5" w:rsidP="008375B5">
      <w:pPr>
        <w:pStyle w:val="NormalWeb"/>
        <w:spacing w:line="360" w:lineRule="auto"/>
        <w:rPr>
          <w:rFonts w:ascii="Arial" w:hAnsi="Arial" w:cs="Arial"/>
          <w:b/>
          <w:bCs/>
          <w:color w:val="000000"/>
        </w:rPr>
      </w:pPr>
    </w:p>
    <w:p w14:paraId="014C36E6" w14:textId="123E7545" w:rsidR="000F2C3F" w:rsidRDefault="000F2C3F">
      <w:pPr>
        <w:spacing w:after="0" w:line="240" w:lineRule="auto"/>
        <w:rPr>
          <w:rFonts w:ascii="Arial" w:eastAsia="Times New Roman" w:hAnsi="Arial" w:cs="Arial"/>
          <w:b/>
          <w:bCs/>
          <w:color w:val="000000"/>
          <w:kern w:val="0"/>
          <w:lang w:eastAsia="en-GB"/>
        </w:rPr>
      </w:pPr>
      <w:r>
        <w:rPr>
          <w:rFonts w:ascii="Arial" w:hAnsi="Arial" w:cs="Arial"/>
          <w:b/>
          <w:bCs/>
          <w:color w:val="000000"/>
        </w:rPr>
        <w:br w:type="page"/>
      </w:r>
    </w:p>
    <w:p w14:paraId="6D010FBC" w14:textId="1FC85431" w:rsidR="00A9474F" w:rsidRPr="00212A7F" w:rsidRDefault="00A9474F" w:rsidP="00283824">
      <w:pPr>
        <w:pStyle w:val="Heading1"/>
        <w:numPr>
          <w:ilvl w:val="0"/>
          <w:numId w:val="15"/>
        </w:numPr>
      </w:pPr>
      <w:bookmarkStart w:id="0" w:name="_Toc224984970"/>
      <w:r w:rsidRPr="00212A7F">
        <w:lastRenderedPageBreak/>
        <w:t>Introduction</w:t>
      </w:r>
      <w:bookmarkEnd w:id="0"/>
      <w:r w:rsidRPr="00212A7F">
        <w:t> </w:t>
      </w:r>
    </w:p>
    <w:p w14:paraId="42C8B008" w14:textId="77777777" w:rsidR="00222971" w:rsidRPr="00222971" w:rsidRDefault="00222971" w:rsidP="003D23A6">
      <w:pPr>
        <w:spacing w:line="360" w:lineRule="auto"/>
        <w:jc w:val="both"/>
        <w:rPr>
          <w:rFonts w:ascii="Arial" w:hAnsi="Arial" w:cs="Arial"/>
          <w:sz w:val="22"/>
          <w:szCs w:val="22"/>
        </w:rPr>
      </w:pPr>
      <w:r w:rsidRPr="00222971">
        <w:rPr>
          <w:rFonts w:ascii="Arial" w:hAnsi="Arial" w:cs="Arial"/>
          <w:sz w:val="22"/>
          <w:szCs w:val="22"/>
        </w:rPr>
        <w:t>Dementia is a progressive neurocognitive condition characterised by memory impairment, reduced executive functioning and behavioural changes that significantly impact daily living. According to the Alzheimer’s Society (2023), approximately 900,000 people live with dementia in the UK, a figure projected to exceed one million by 2030. A major risk associated with dementia is “wandering” or spatial disorientation, which increases the likelihood of missing person incidents, injury and hospital admission.</w:t>
      </w:r>
    </w:p>
    <w:p w14:paraId="2815F58E" w14:textId="284B7D8F" w:rsidR="00222971" w:rsidRDefault="00222971" w:rsidP="003D23A6">
      <w:pPr>
        <w:spacing w:line="360" w:lineRule="auto"/>
        <w:jc w:val="both"/>
        <w:rPr>
          <w:rFonts w:ascii="Arial" w:hAnsi="Arial" w:cs="Arial"/>
          <w:sz w:val="22"/>
          <w:szCs w:val="22"/>
        </w:rPr>
      </w:pPr>
      <w:r w:rsidRPr="00222971">
        <w:rPr>
          <w:rFonts w:ascii="Arial" w:hAnsi="Arial" w:cs="Arial"/>
          <w:sz w:val="22"/>
          <w:szCs w:val="22"/>
        </w:rPr>
        <w:t>Over the past decade, Global Positioning System (GPS) tracking devices have been increasingly implemented within UK health and social care settings as a digital safeguarding innovation. These devices are typically worn as wristbands, pendants, watches or discreet trackers and use mobile networks to transmit real-time location data to carers, families or monitoring centres. Local authorities and NHS-linked services have adopted GPS technology to promote independent living while reducing safeguarding risks.</w:t>
      </w:r>
    </w:p>
    <w:p w14:paraId="31E0102C" w14:textId="3037C3DA" w:rsidR="00E31C3A" w:rsidRPr="00012AF4" w:rsidRDefault="00222971" w:rsidP="00222971">
      <w:pPr>
        <w:spacing w:line="360" w:lineRule="auto"/>
        <w:jc w:val="both"/>
        <w:rPr>
          <w:rFonts w:ascii="Arial" w:hAnsi="Arial" w:cs="Arial"/>
          <w:sz w:val="22"/>
          <w:szCs w:val="22"/>
        </w:rPr>
      </w:pPr>
      <w:r w:rsidRPr="00012AF4">
        <w:rPr>
          <w:rFonts w:ascii="Arial" w:hAnsi="Arial" w:cs="Arial"/>
          <w:sz w:val="22"/>
          <w:szCs w:val="22"/>
        </w:rPr>
        <w:t>This report critically evaluates the implementation of GPS tracking devices in dementia care within the UK, analysing their impact on the workforce, service delivery, patients and the wider community. Both positive and negative outcomes are examined, with reference to UK legislation, policy and contemporary research.</w:t>
      </w:r>
    </w:p>
    <w:p w14:paraId="602CDF2B" w14:textId="42857236" w:rsidR="00FE41C8" w:rsidRPr="00711EE6" w:rsidRDefault="00C80D0F" w:rsidP="00030E6F">
      <w:pPr>
        <w:pStyle w:val="Heading1"/>
        <w:numPr>
          <w:ilvl w:val="0"/>
          <w:numId w:val="15"/>
        </w:numPr>
        <w:spacing w:after="0" w:line="360" w:lineRule="auto"/>
        <w:jc w:val="both"/>
        <w:rPr>
          <w:rFonts w:cs="Arial"/>
          <w:sz w:val="22"/>
          <w:szCs w:val="22"/>
        </w:rPr>
      </w:pPr>
      <w:bookmarkStart w:id="1" w:name="_Toc224984971"/>
      <w:r w:rsidRPr="00212A7F">
        <w:t xml:space="preserve">Impact on </w:t>
      </w:r>
      <w:r w:rsidR="00222971" w:rsidRPr="00212A7F">
        <w:t>workforce</w:t>
      </w:r>
      <w:bookmarkEnd w:id="1"/>
      <w:r w:rsidRPr="00212A7F">
        <w:t xml:space="preserve"> </w:t>
      </w:r>
    </w:p>
    <w:p w14:paraId="5B9AB13A" w14:textId="2317B94F" w:rsidR="0039570E" w:rsidRPr="0039570E" w:rsidRDefault="0039570E" w:rsidP="0039570E">
      <w:pPr>
        <w:spacing w:after="0" w:line="360" w:lineRule="auto"/>
        <w:jc w:val="both"/>
        <w:rPr>
          <w:rFonts w:ascii="Arial" w:hAnsi="Arial" w:cs="Arial"/>
          <w:sz w:val="22"/>
          <w:szCs w:val="22"/>
        </w:rPr>
      </w:pPr>
      <w:r w:rsidRPr="0039570E">
        <w:rPr>
          <w:rFonts w:ascii="Arial" w:hAnsi="Arial" w:cs="Arial"/>
          <w:sz w:val="22"/>
          <w:szCs w:val="22"/>
        </w:rPr>
        <w:t>The introduction of GPS tracking devices has shifted aspects of dementia care from reactive crisis response to preventative monitoring. Traditionally, when a person with dementia went missing, staff relied on physical searches and police involvement. GPS technology enables real-time location tracking, significantly reducing search time (Robinson et al., 2019).</w:t>
      </w:r>
    </w:p>
    <w:p w14:paraId="588DD642" w14:textId="77777777" w:rsidR="0039570E" w:rsidRPr="0039570E" w:rsidRDefault="0039570E" w:rsidP="002336AF">
      <w:pPr>
        <w:spacing w:after="120" w:line="360" w:lineRule="auto"/>
        <w:rPr>
          <w:rFonts w:ascii="Arial" w:hAnsi="Arial" w:cs="Arial"/>
          <w:sz w:val="22"/>
          <w:szCs w:val="22"/>
        </w:rPr>
      </w:pPr>
      <w:r w:rsidRPr="0039570E">
        <w:rPr>
          <w:rFonts w:ascii="Arial" w:hAnsi="Arial" w:cs="Arial"/>
          <w:sz w:val="22"/>
          <w:szCs w:val="22"/>
        </w:rPr>
        <w:t>This shift requires care professionals to develop digital competencies, including:</w:t>
      </w:r>
    </w:p>
    <w:p w14:paraId="54619A29" w14:textId="77777777" w:rsidR="0039570E" w:rsidRPr="0039570E" w:rsidRDefault="0039570E" w:rsidP="002336AF">
      <w:pPr>
        <w:numPr>
          <w:ilvl w:val="0"/>
          <w:numId w:val="9"/>
        </w:numPr>
        <w:spacing w:line="276" w:lineRule="auto"/>
        <w:rPr>
          <w:rFonts w:ascii="Arial" w:hAnsi="Arial" w:cs="Arial"/>
          <w:sz w:val="22"/>
          <w:szCs w:val="22"/>
        </w:rPr>
      </w:pPr>
      <w:r w:rsidRPr="0039570E">
        <w:rPr>
          <w:rFonts w:ascii="Arial" w:hAnsi="Arial" w:cs="Arial"/>
          <w:sz w:val="22"/>
          <w:szCs w:val="22"/>
        </w:rPr>
        <w:t>Interpreting location data</w:t>
      </w:r>
    </w:p>
    <w:p w14:paraId="3F63FE39" w14:textId="77777777" w:rsidR="0039570E" w:rsidRPr="0039570E" w:rsidRDefault="0039570E" w:rsidP="002336AF">
      <w:pPr>
        <w:numPr>
          <w:ilvl w:val="0"/>
          <w:numId w:val="9"/>
        </w:numPr>
        <w:spacing w:line="276" w:lineRule="auto"/>
        <w:rPr>
          <w:rFonts w:ascii="Arial" w:hAnsi="Arial" w:cs="Arial"/>
          <w:sz w:val="22"/>
          <w:szCs w:val="22"/>
        </w:rPr>
      </w:pPr>
      <w:r w:rsidRPr="0039570E">
        <w:rPr>
          <w:rFonts w:ascii="Arial" w:hAnsi="Arial" w:cs="Arial"/>
          <w:sz w:val="22"/>
          <w:szCs w:val="22"/>
        </w:rPr>
        <w:t>Responding to geo-fence alerts</w:t>
      </w:r>
    </w:p>
    <w:p w14:paraId="7A1C96B0" w14:textId="77777777" w:rsidR="0039570E" w:rsidRPr="0039570E" w:rsidRDefault="0039570E" w:rsidP="002336AF">
      <w:pPr>
        <w:numPr>
          <w:ilvl w:val="0"/>
          <w:numId w:val="9"/>
        </w:numPr>
        <w:spacing w:line="276" w:lineRule="auto"/>
        <w:rPr>
          <w:rFonts w:ascii="Arial" w:hAnsi="Arial" w:cs="Arial"/>
          <w:sz w:val="22"/>
          <w:szCs w:val="22"/>
        </w:rPr>
      </w:pPr>
      <w:r w:rsidRPr="0039570E">
        <w:rPr>
          <w:rFonts w:ascii="Arial" w:hAnsi="Arial" w:cs="Arial"/>
          <w:sz w:val="22"/>
          <w:szCs w:val="22"/>
        </w:rPr>
        <w:t>Managing device charging and maintenance</w:t>
      </w:r>
    </w:p>
    <w:p w14:paraId="35CDD0CE" w14:textId="77777777" w:rsidR="0039570E" w:rsidRPr="0039570E" w:rsidRDefault="0039570E" w:rsidP="002336AF">
      <w:pPr>
        <w:numPr>
          <w:ilvl w:val="0"/>
          <w:numId w:val="9"/>
        </w:numPr>
        <w:spacing w:line="276" w:lineRule="auto"/>
        <w:rPr>
          <w:rFonts w:ascii="Arial" w:hAnsi="Arial" w:cs="Arial"/>
          <w:sz w:val="22"/>
          <w:szCs w:val="22"/>
        </w:rPr>
      </w:pPr>
      <w:r w:rsidRPr="0039570E">
        <w:rPr>
          <w:rFonts w:ascii="Arial" w:hAnsi="Arial" w:cs="Arial"/>
          <w:sz w:val="22"/>
          <w:szCs w:val="22"/>
        </w:rPr>
        <w:t>Understanding data protection responsibilities</w:t>
      </w:r>
    </w:p>
    <w:p w14:paraId="78BF621E" w14:textId="0553B6C5" w:rsidR="00C80D0F" w:rsidRPr="00012AF4" w:rsidRDefault="0039570E" w:rsidP="003D23A6">
      <w:pPr>
        <w:spacing w:after="0" w:line="360" w:lineRule="auto"/>
        <w:jc w:val="both"/>
        <w:rPr>
          <w:rFonts w:ascii="Arial" w:hAnsi="Arial" w:cs="Arial"/>
          <w:sz w:val="22"/>
          <w:szCs w:val="22"/>
        </w:rPr>
      </w:pPr>
      <w:r w:rsidRPr="00012AF4">
        <w:rPr>
          <w:rFonts w:ascii="Arial" w:hAnsi="Arial" w:cs="Arial"/>
          <w:sz w:val="22"/>
          <w:szCs w:val="22"/>
        </w:rPr>
        <w:t>The Topol Review (NHS, 2019) emphasises the growing need for digital literacy within the health and care workforce. GPS implementation, therefore, contributes to staff upskilling but also introduces new responsibilities related to ethical decision-making and consent under the Mental Capacity Act 2005.</w:t>
      </w:r>
    </w:p>
    <w:p w14:paraId="4ABBEA61" w14:textId="77777777" w:rsidR="0039570E" w:rsidRPr="0039570E" w:rsidRDefault="0039570E" w:rsidP="003D23A6">
      <w:pPr>
        <w:spacing w:line="360" w:lineRule="auto"/>
        <w:jc w:val="both"/>
        <w:rPr>
          <w:rFonts w:ascii="Arial" w:hAnsi="Arial" w:cs="Arial"/>
          <w:sz w:val="22"/>
          <w:szCs w:val="22"/>
        </w:rPr>
      </w:pPr>
      <w:r w:rsidRPr="0039570E">
        <w:rPr>
          <w:rFonts w:ascii="Arial" w:hAnsi="Arial" w:cs="Arial"/>
          <w:sz w:val="22"/>
          <w:szCs w:val="22"/>
        </w:rPr>
        <w:t xml:space="preserve">Under the Mental Capacity Act (MCA) 2005, decisions must be made in the person’s best interests if capacity is impaired. GPS use can constitute a restriction of liberty if implemented </w:t>
      </w:r>
      <w:r w:rsidRPr="0039570E">
        <w:rPr>
          <w:rFonts w:ascii="Arial" w:hAnsi="Arial" w:cs="Arial"/>
          <w:sz w:val="22"/>
          <w:szCs w:val="22"/>
        </w:rPr>
        <w:lastRenderedPageBreak/>
        <w:t>without appropriate consent or best-interest assessment. Therefore, staff must understand Deprivation of Liberty Safeguards (DoLS) processes.</w:t>
      </w:r>
    </w:p>
    <w:p w14:paraId="261B6395" w14:textId="4277D6C6" w:rsidR="0039570E" w:rsidRPr="0039570E" w:rsidRDefault="0039570E" w:rsidP="0039570E">
      <w:pPr>
        <w:spacing w:after="0" w:line="360" w:lineRule="auto"/>
        <w:jc w:val="both"/>
        <w:rPr>
          <w:rFonts w:ascii="Arial" w:hAnsi="Arial" w:cs="Arial"/>
          <w:sz w:val="22"/>
          <w:szCs w:val="22"/>
        </w:rPr>
      </w:pPr>
      <w:r w:rsidRPr="0039570E">
        <w:rPr>
          <w:rFonts w:ascii="Arial" w:hAnsi="Arial" w:cs="Arial"/>
          <w:sz w:val="22"/>
          <w:szCs w:val="22"/>
        </w:rPr>
        <w:t xml:space="preserve">While GPS devices may reduce </w:t>
      </w:r>
      <w:r w:rsidRPr="00012AF4">
        <w:rPr>
          <w:rFonts w:ascii="Arial" w:hAnsi="Arial" w:cs="Arial"/>
          <w:sz w:val="22"/>
          <w:szCs w:val="22"/>
        </w:rPr>
        <w:t>the physical workload associated with searching, they increase cognitive and administrative workloads, particularly in documenting consent, reviewing usage,</w:t>
      </w:r>
      <w:r w:rsidRPr="0039570E">
        <w:rPr>
          <w:rFonts w:ascii="Arial" w:hAnsi="Arial" w:cs="Arial"/>
          <w:sz w:val="22"/>
          <w:szCs w:val="22"/>
        </w:rPr>
        <w:t xml:space="preserve"> and managing alerts. There is also a risk of “technological over-reliance,” </w:t>
      </w:r>
      <w:r w:rsidRPr="00012AF4">
        <w:rPr>
          <w:rFonts w:ascii="Arial" w:hAnsi="Arial" w:cs="Arial"/>
          <w:sz w:val="22"/>
          <w:szCs w:val="22"/>
        </w:rPr>
        <w:t>in which staff substitute active suppression for</w:t>
      </w:r>
      <w:r w:rsidRPr="0039570E">
        <w:rPr>
          <w:rFonts w:ascii="Arial" w:hAnsi="Arial" w:cs="Arial"/>
          <w:sz w:val="22"/>
          <w:szCs w:val="22"/>
        </w:rPr>
        <w:t xml:space="preserve"> passive monitoring (Niemeijer et al., 2015).</w:t>
      </w:r>
    </w:p>
    <w:p w14:paraId="5B4F71A9" w14:textId="1DD930F4" w:rsidR="002D13AE" w:rsidRDefault="0039570E" w:rsidP="0039570E">
      <w:pPr>
        <w:spacing w:line="360" w:lineRule="auto"/>
        <w:jc w:val="both"/>
        <w:rPr>
          <w:rFonts w:ascii="Arial" w:hAnsi="Arial" w:cs="Arial"/>
          <w:sz w:val="22"/>
          <w:szCs w:val="22"/>
        </w:rPr>
      </w:pPr>
      <w:r w:rsidRPr="00012AF4">
        <w:rPr>
          <w:rFonts w:ascii="Arial" w:hAnsi="Arial" w:cs="Arial"/>
          <w:sz w:val="22"/>
          <w:szCs w:val="22"/>
        </w:rPr>
        <w:t>Thus, while GPS technology enhances safeguarding efficiency, it simultaneously intensifies professional accountability and digital governance responsibilities.</w:t>
      </w:r>
    </w:p>
    <w:p w14:paraId="1C1CEEDA" w14:textId="2CE79537" w:rsidR="006657DE" w:rsidRPr="00012AF4" w:rsidRDefault="006657DE" w:rsidP="0039570E">
      <w:pPr>
        <w:spacing w:line="360" w:lineRule="auto"/>
        <w:jc w:val="both"/>
        <w:rPr>
          <w:rFonts w:ascii="Arial" w:hAnsi="Arial" w:cs="Arial"/>
          <w:sz w:val="22"/>
          <w:szCs w:val="22"/>
        </w:rPr>
      </w:pPr>
      <w:r w:rsidRPr="006657DE">
        <w:rPr>
          <w:rFonts w:ascii="Arial" w:hAnsi="Arial" w:cs="Arial"/>
          <w:sz w:val="22"/>
          <w:szCs w:val="22"/>
        </w:rPr>
        <w:t>In addition, the integration of GPS technology contributes to a broader cultural shift within the workforce towards digitally mediated care. Professionals are increasingly required to balance technological data with clinical judgement, which can create tension between objective monitoring and subjective understanding of patient behaviour. While GPS data provides measurable insights into movement patterns, it does not capture emotional or psychological states, which remain essential in dementia care. This highlights the limitation of relying solely on digital tools and reinforces the importance of maintaining holistic, person-centred approaches (NHS, 2019). Furthermore, staff may experience increased accountability, as digital records create traceable evidence of decision-making, potentially exposing practitioners to greater scrutiny in safeguarding cases</w:t>
      </w:r>
      <w:r>
        <w:rPr>
          <w:rFonts w:ascii="Arial" w:hAnsi="Arial" w:cs="Arial"/>
          <w:sz w:val="22"/>
          <w:szCs w:val="22"/>
        </w:rPr>
        <w:t>.</w:t>
      </w:r>
    </w:p>
    <w:p w14:paraId="61241919" w14:textId="7926D685" w:rsidR="00C80D0F" w:rsidRPr="00212A7F" w:rsidRDefault="00C80D0F" w:rsidP="00283824">
      <w:pPr>
        <w:pStyle w:val="Heading1"/>
        <w:numPr>
          <w:ilvl w:val="0"/>
          <w:numId w:val="15"/>
        </w:numPr>
      </w:pPr>
      <w:bookmarkStart w:id="2" w:name="_Toc224984972"/>
      <w:r w:rsidRPr="00212A7F">
        <w:t>Impact on service delivery</w:t>
      </w:r>
      <w:bookmarkEnd w:id="2"/>
      <w:r w:rsidRPr="00212A7F">
        <w:t xml:space="preserve"> </w:t>
      </w:r>
    </w:p>
    <w:p w14:paraId="6AA54AC6" w14:textId="642A0A97" w:rsidR="00AA65A0" w:rsidRPr="00AA65A0" w:rsidRDefault="00AA65A0" w:rsidP="003D23A6">
      <w:pPr>
        <w:spacing w:line="360" w:lineRule="auto"/>
        <w:jc w:val="both"/>
        <w:rPr>
          <w:rFonts w:ascii="Arial" w:hAnsi="Arial" w:cs="Arial"/>
          <w:sz w:val="22"/>
          <w:szCs w:val="22"/>
        </w:rPr>
      </w:pPr>
      <w:r w:rsidRPr="00AA65A0">
        <w:rPr>
          <w:rFonts w:ascii="Arial" w:hAnsi="Arial" w:cs="Arial"/>
          <w:sz w:val="22"/>
          <w:szCs w:val="22"/>
        </w:rPr>
        <w:t xml:space="preserve">UK policy increasingly emphasises ageing in place and community-based support (Department of Health and Social Care, 2022). GPS tracking aligns with this objective by enabling individuals to remain at home safely rather than </w:t>
      </w:r>
      <w:r w:rsidRPr="00012AF4">
        <w:rPr>
          <w:rFonts w:ascii="Arial" w:hAnsi="Arial" w:cs="Arial"/>
          <w:sz w:val="22"/>
          <w:szCs w:val="22"/>
        </w:rPr>
        <w:t>prematurely transitioning to</w:t>
      </w:r>
      <w:r w:rsidRPr="00AA65A0">
        <w:rPr>
          <w:rFonts w:ascii="Arial" w:hAnsi="Arial" w:cs="Arial"/>
          <w:sz w:val="22"/>
          <w:szCs w:val="22"/>
        </w:rPr>
        <w:t xml:space="preserve"> residential care.</w:t>
      </w:r>
    </w:p>
    <w:p w14:paraId="4807E596" w14:textId="4C8D1874" w:rsidR="00AA65A0" w:rsidRDefault="00AA65A0" w:rsidP="003D23A6">
      <w:pPr>
        <w:spacing w:line="360" w:lineRule="auto"/>
        <w:jc w:val="both"/>
        <w:rPr>
          <w:rFonts w:ascii="Arial" w:hAnsi="Arial" w:cs="Arial"/>
          <w:sz w:val="22"/>
          <w:szCs w:val="22"/>
        </w:rPr>
      </w:pPr>
      <w:r w:rsidRPr="00AA65A0">
        <w:rPr>
          <w:rFonts w:ascii="Arial" w:hAnsi="Arial" w:cs="Arial"/>
          <w:sz w:val="22"/>
          <w:szCs w:val="22"/>
        </w:rPr>
        <w:t>Studies indicate that assistive technology can delay institutionalisation (Howard et al., 2021). GPS devices reduce emergency service call-outs and hospital admissions related to wandering incidents. Service delivery</w:t>
      </w:r>
      <w:r w:rsidRPr="00012AF4">
        <w:rPr>
          <w:rFonts w:ascii="Arial" w:hAnsi="Arial" w:cs="Arial"/>
          <w:sz w:val="22"/>
          <w:szCs w:val="22"/>
        </w:rPr>
        <w:t>, therefore,</w:t>
      </w:r>
      <w:r w:rsidRPr="00AA65A0">
        <w:rPr>
          <w:rFonts w:ascii="Arial" w:hAnsi="Arial" w:cs="Arial"/>
          <w:sz w:val="22"/>
          <w:szCs w:val="22"/>
        </w:rPr>
        <w:t xml:space="preserve"> shifts from crisis management to risk mitigation.</w:t>
      </w:r>
    </w:p>
    <w:p w14:paraId="25E58619" w14:textId="7BC64510" w:rsidR="003D23A6" w:rsidRPr="003D23A6" w:rsidRDefault="003D23A6" w:rsidP="003D23A6">
      <w:pPr>
        <w:spacing w:line="360" w:lineRule="auto"/>
        <w:jc w:val="both"/>
        <w:rPr>
          <w:rFonts w:ascii="Arial" w:hAnsi="Arial" w:cs="Arial"/>
          <w:sz w:val="22"/>
          <w:szCs w:val="22"/>
        </w:rPr>
      </w:pPr>
      <w:r w:rsidRPr="003D23A6">
        <w:rPr>
          <w:rFonts w:ascii="Arial" w:hAnsi="Arial" w:cs="Arial"/>
          <w:sz w:val="22"/>
          <w:szCs w:val="22"/>
        </w:rPr>
        <w:t>In addition, GPS tracking supports a more proactive</w:t>
      </w:r>
      <w:r>
        <w:rPr>
          <w:rFonts w:ascii="Arial" w:hAnsi="Arial" w:cs="Arial"/>
          <w:sz w:val="22"/>
          <w:szCs w:val="22"/>
        </w:rPr>
        <w:t>, preventive</w:t>
      </w:r>
      <w:r w:rsidRPr="003D23A6">
        <w:rPr>
          <w:rFonts w:ascii="Arial" w:hAnsi="Arial" w:cs="Arial"/>
          <w:sz w:val="22"/>
          <w:szCs w:val="22"/>
        </w:rPr>
        <w:t xml:space="preserve"> model of care delivery. Rather than responding only when an individual is reported missing, care providers can intervene </w:t>
      </w:r>
      <w:r>
        <w:rPr>
          <w:rFonts w:ascii="Arial" w:hAnsi="Arial" w:cs="Arial"/>
          <w:sz w:val="22"/>
          <w:szCs w:val="22"/>
        </w:rPr>
        <w:t xml:space="preserve">earlier </w:t>
      </w:r>
      <w:r w:rsidRPr="003D23A6">
        <w:rPr>
          <w:rFonts w:ascii="Arial" w:hAnsi="Arial" w:cs="Arial"/>
          <w:sz w:val="22"/>
          <w:szCs w:val="22"/>
        </w:rPr>
        <w:t>when a person moves beyond predefined safe boundaries. This early intervention approach reduces the severity of incidents and improves overall safety outcomes (Robinson et al., 2019). It also enables more efficient allocation of resources, as staff time is redirected from emergency responses to planned and preventative care activities.</w:t>
      </w:r>
    </w:p>
    <w:p w14:paraId="715624D3" w14:textId="2E44A997" w:rsidR="003D23A6" w:rsidRPr="003D23A6" w:rsidRDefault="003D23A6" w:rsidP="003D23A6">
      <w:pPr>
        <w:spacing w:line="360" w:lineRule="auto"/>
        <w:jc w:val="both"/>
        <w:rPr>
          <w:rFonts w:ascii="Arial" w:hAnsi="Arial" w:cs="Arial"/>
          <w:sz w:val="22"/>
          <w:szCs w:val="22"/>
        </w:rPr>
      </w:pPr>
      <w:r w:rsidRPr="003D23A6">
        <w:rPr>
          <w:rFonts w:ascii="Arial" w:hAnsi="Arial" w:cs="Arial"/>
          <w:sz w:val="22"/>
          <w:szCs w:val="22"/>
        </w:rPr>
        <w:lastRenderedPageBreak/>
        <w:t xml:space="preserve">Furthermore, GPS-enabled care enhances coordination between different services involved in dementia care. Real-time location data can be shared between family carers, social workers and healthcare professionals, improving communication and continuity of care (Department of Health and Social Care, 2022). This contributes to a more integrated service delivery model, </w:t>
      </w:r>
      <w:r>
        <w:rPr>
          <w:rFonts w:ascii="Arial" w:hAnsi="Arial" w:cs="Arial"/>
          <w:sz w:val="22"/>
          <w:szCs w:val="22"/>
        </w:rPr>
        <w:t>a key objective of digital transformation in</w:t>
      </w:r>
      <w:r w:rsidRPr="003D23A6">
        <w:rPr>
          <w:rFonts w:ascii="Arial" w:hAnsi="Arial" w:cs="Arial"/>
          <w:sz w:val="22"/>
          <w:szCs w:val="22"/>
        </w:rPr>
        <w:t xml:space="preserve"> the UK health and social care system.</w:t>
      </w:r>
    </w:p>
    <w:p w14:paraId="1E9A8538" w14:textId="09A1C397" w:rsidR="00C30C18" w:rsidRDefault="003D23A6" w:rsidP="00B02123">
      <w:pPr>
        <w:spacing w:line="360" w:lineRule="auto"/>
        <w:jc w:val="both"/>
        <w:rPr>
          <w:rFonts w:ascii="Arial" w:hAnsi="Arial" w:cs="Arial"/>
          <w:sz w:val="22"/>
          <w:szCs w:val="22"/>
        </w:rPr>
      </w:pPr>
      <w:r w:rsidRPr="003D23A6">
        <w:rPr>
          <w:rFonts w:ascii="Arial" w:hAnsi="Arial" w:cs="Arial"/>
          <w:sz w:val="22"/>
          <w:szCs w:val="22"/>
        </w:rPr>
        <w:t>However, there are also limitations to consider. Over-reliance on GPS technology may lead to reduced face-to-face monitoring, potentially impacting the quality of relational care provided to individuals with dementia (Niemeijer et al., 2015). In addition, technological issues such as signal loss or device malfunction can disrupt service delivery and create risks if not managed appropriately. Therefore, while GPS tracking improves efficiency and responsiveness, it must be used alongside, rather than as a replacement for, traditional care practices.</w:t>
      </w:r>
    </w:p>
    <w:p w14:paraId="76A4DE06" w14:textId="5BDD010E" w:rsidR="006657DE" w:rsidRPr="006657DE" w:rsidRDefault="006657DE" w:rsidP="00B02123">
      <w:pPr>
        <w:spacing w:line="360" w:lineRule="auto"/>
        <w:jc w:val="both"/>
        <w:rPr>
          <w:rFonts w:ascii="Arial" w:hAnsi="Arial" w:cs="Arial"/>
          <w:sz w:val="22"/>
          <w:szCs w:val="22"/>
        </w:rPr>
      </w:pPr>
      <w:r w:rsidRPr="006657DE">
        <w:rPr>
          <w:rFonts w:ascii="Arial" w:hAnsi="Arial" w:cs="Arial"/>
          <w:sz w:val="22"/>
          <w:szCs w:val="22"/>
        </w:rPr>
        <w:t xml:space="preserve">Another important consideration is the impact of GPS technology on service accessibility and responsiveness. By enabling remote monitoring, services can extend their reach beyond traditional care settings, supporting individuals in rural or hard-to-reach areas where in-person services may be limited. This aligns with broader NHS digital transformation goals </w:t>
      </w:r>
      <w:r>
        <w:rPr>
          <w:rFonts w:ascii="Arial" w:hAnsi="Arial" w:cs="Arial"/>
          <w:sz w:val="22"/>
          <w:szCs w:val="22"/>
        </w:rPr>
        <w:t>to improve accessibility and reduce</w:t>
      </w:r>
      <w:r w:rsidRPr="006657DE">
        <w:rPr>
          <w:rFonts w:ascii="Arial" w:hAnsi="Arial" w:cs="Arial"/>
          <w:sz w:val="22"/>
          <w:szCs w:val="22"/>
        </w:rPr>
        <w:t xml:space="preserve"> geographical inequalities (Department of Health and Social Care, 2022). However, reliance on digital infrastructure means </w:t>
      </w:r>
      <w:r>
        <w:rPr>
          <w:rFonts w:ascii="Arial" w:hAnsi="Arial" w:cs="Arial"/>
          <w:sz w:val="22"/>
          <w:szCs w:val="22"/>
        </w:rPr>
        <w:t>service effectiveness depends on</w:t>
      </w:r>
      <w:r w:rsidRPr="006657DE">
        <w:rPr>
          <w:rFonts w:ascii="Arial" w:hAnsi="Arial" w:cs="Arial"/>
          <w:sz w:val="22"/>
          <w:szCs w:val="22"/>
        </w:rPr>
        <w:t xml:space="preserve"> network availability and technological reliability. In areas with poor connectivity, the benefits of GPS tracking may be significantly reduced, potentially reinforcing existing disparities in service provision.</w:t>
      </w:r>
    </w:p>
    <w:p w14:paraId="46327300" w14:textId="1184D174" w:rsidR="00C80D0F" w:rsidRPr="00212A7F" w:rsidRDefault="00C80D0F" w:rsidP="00283824">
      <w:pPr>
        <w:pStyle w:val="Heading1"/>
        <w:numPr>
          <w:ilvl w:val="0"/>
          <w:numId w:val="15"/>
        </w:numPr>
      </w:pPr>
      <w:bookmarkStart w:id="3" w:name="_Toc224984973"/>
      <w:r w:rsidRPr="00212A7F">
        <w:t>Impact on patients</w:t>
      </w:r>
      <w:bookmarkEnd w:id="3"/>
      <w:r w:rsidRPr="00212A7F">
        <w:t xml:space="preserve"> </w:t>
      </w:r>
    </w:p>
    <w:p w14:paraId="7B433161" w14:textId="77777777" w:rsidR="009E70B2" w:rsidRPr="009E70B2" w:rsidRDefault="009E70B2" w:rsidP="009E70B2">
      <w:pPr>
        <w:spacing w:after="0" w:line="360" w:lineRule="auto"/>
        <w:jc w:val="both"/>
        <w:rPr>
          <w:rFonts w:ascii="Arial" w:hAnsi="Arial" w:cs="Arial"/>
          <w:sz w:val="22"/>
          <w:szCs w:val="22"/>
        </w:rPr>
      </w:pPr>
      <w:r w:rsidRPr="009E70B2">
        <w:rPr>
          <w:rFonts w:ascii="Arial" w:hAnsi="Arial" w:cs="Arial"/>
          <w:sz w:val="22"/>
          <w:szCs w:val="22"/>
        </w:rPr>
        <w:t>One of the primary benefits of GPS tracking is enhanced independence. Individuals with early-to-moderate dementia may continue outdoor activities with reduced restriction. Research suggests that assistive technologies can support dignity and quality of life (Landau et al., 2018).</w:t>
      </w:r>
    </w:p>
    <w:p w14:paraId="5BCA5EFB" w14:textId="77777777" w:rsidR="009E70B2" w:rsidRPr="009E70B2" w:rsidRDefault="009E70B2" w:rsidP="009E70B2">
      <w:pPr>
        <w:spacing w:line="360" w:lineRule="auto"/>
        <w:jc w:val="both"/>
        <w:rPr>
          <w:rFonts w:ascii="Arial" w:hAnsi="Arial" w:cs="Arial"/>
          <w:sz w:val="22"/>
          <w:szCs w:val="22"/>
        </w:rPr>
      </w:pPr>
      <w:r w:rsidRPr="009E70B2">
        <w:rPr>
          <w:rFonts w:ascii="Arial" w:hAnsi="Arial" w:cs="Arial"/>
          <w:sz w:val="22"/>
          <w:szCs w:val="22"/>
        </w:rPr>
        <w:t>Families frequently report reduced anxiety when GPS devices are used, as real-time location access provides reassurance. This psychological benefit can improve relational dynamics between carers and individuals with dementia.</w:t>
      </w:r>
    </w:p>
    <w:p w14:paraId="1830E001" w14:textId="77777777" w:rsidR="009E70B2" w:rsidRPr="009E70B2" w:rsidRDefault="009E70B2" w:rsidP="009E70B2">
      <w:pPr>
        <w:spacing w:after="0" w:line="360" w:lineRule="auto"/>
        <w:jc w:val="both"/>
        <w:rPr>
          <w:rFonts w:ascii="Arial" w:hAnsi="Arial" w:cs="Arial"/>
          <w:sz w:val="22"/>
          <w:szCs w:val="22"/>
        </w:rPr>
      </w:pPr>
      <w:r w:rsidRPr="009E70B2">
        <w:rPr>
          <w:rFonts w:ascii="Arial" w:hAnsi="Arial" w:cs="Arial"/>
          <w:sz w:val="22"/>
          <w:szCs w:val="22"/>
        </w:rPr>
        <w:t>Despite benefits, GPS tracking raises significant ethical concerns. Article 8 of the Human Rights Act 1998 protects the right to private and family life. Continuous location monitoring may infringe upon personal privacy, particularly if implemented without explicit consent.</w:t>
      </w:r>
    </w:p>
    <w:p w14:paraId="260E54D1" w14:textId="77777777" w:rsidR="009E70B2" w:rsidRPr="009E70B2" w:rsidRDefault="009E70B2" w:rsidP="009E70B2">
      <w:pPr>
        <w:spacing w:after="0" w:line="360" w:lineRule="auto"/>
        <w:jc w:val="both"/>
        <w:rPr>
          <w:rFonts w:ascii="Arial" w:hAnsi="Arial" w:cs="Arial"/>
          <w:sz w:val="22"/>
          <w:szCs w:val="22"/>
        </w:rPr>
      </w:pPr>
      <w:r w:rsidRPr="009E70B2">
        <w:rPr>
          <w:rFonts w:ascii="Arial" w:hAnsi="Arial" w:cs="Arial"/>
          <w:sz w:val="22"/>
          <w:szCs w:val="22"/>
        </w:rPr>
        <w:t>The concept of “electronic tagging” can contribute to stigma or feelings of surveillance. Niemeijer et al. (2015) argue that monitoring technologies may undermine person-centred care if used primarily for risk avoidance rather than empowerment.</w:t>
      </w:r>
    </w:p>
    <w:p w14:paraId="18729334" w14:textId="62A09352" w:rsidR="00C80D0F" w:rsidRPr="00012AF4" w:rsidRDefault="009E70B2" w:rsidP="009E70B2">
      <w:pPr>
        <w:spacing w:line="360" w:lineRule="auto"/>
        <w:jc w:val="both"/>
        <w:rPr>
          <w:rFonts w:ascii="Arial" w:hAnsi="Arial" w:cs="Arial"/>
          <w:sz w:val="22"/>
          <w:szCs w:val="22"/>
        </w:rPr>
      </w:pPr>
      <w:r w:rsidRPr="00012AF4">
        <w:rPr>
          <w:rFonts w:ascii="Arial" w:hAnsi="Arial" w:cs="Arial"/>
          <w:sz w:val="22"/>
          <w:szCs w:val="22"/>
        </w:rPr>
        <w:lastRenderedPageBreak/>
        <w:t>Where cognitive decline affects capacity, best-interest decisions must balance safety with liberty. There is potential for misuse if devices are applied to manage organisational risk rather than individual need.</w:t>
      </w:r>
    </w:p>
    <w:p w14:paraId="2F9FAD80" w14:textId="58D5EC27" w:rsidR="009E70B2" w:rsidRPr="009E70B2" w:rsidRDefault="009E70B2" w:rsidP="009E70B2">
      <w:pPr>
        <w:spacing w:after="0" w:line="360" w:lineRule="auto"/>
        <w:jc w:val="both"/>
        <w:rPr>
          <w:rFonts w:ascii="Arial" w:hAnsi="Arial" w:cs="Arial"/>
          <w:sz w:val="22"/>
          <w:szCs w:val="22"/>
        </w:rPr>
      </w:pPr>
      <w:r w:rsidRPr="009E70B2">
        <w:rPr>
          <w:rFonts w:ascii="Arial" w:hAnsi="Arial" w:cs="Arial"/>
          <w:sz w:val="22"/>
          <w:szCs w:val="22"/>
        </w:rPr>
        <w:t xml:space="preserve">Not all individuals have equal access to reliable mobile networks, particularly in rural </w:t>
      </w:r>
      <w:r w:rsidRPr="00012AF4">
        <w:rPr>
          <w:rFonts w:ascii="Arial" w:hAnsi="Arial" w:cs="Arial"/>
          <w:sz w:val="22"/>
          <w:szCs w:val="22"/>
        </w:rPr>
        <w:t>areas of the UK</w:t>
      </w:r>
      <w:r w:rsidRPr="009E70B2">
        <w:rPr>
          <w:rFonts w:ascii="Arial" w:hAnsi="Arial" w:cs="Arial"/>
          <w:sz w:val="22"/>
          <w:szCs w:val="22"/>
        </w:rPr>
        <w:t>. Device functionality is dependent on signal strength and battery life. A false sense of security may arise if families assume constant protection despite technical limitations.</w:t>
      </w:r>
    </w:p>
    <w:p w14:paraId="7E5DCC78" w14:textId="0651C290" w:rsidR="00C30C18" w:rsidRDefault="009E70B2" w:rsidP="009E70B2">
      <w:pPr>
        <w:spacing w:line="360" w:lineRule="auto"/>
        <w:jc w:val="both"/>
        <w:rPr>
          <w:rFonts w:ascii="Arial" w:hAnsi="Arial" w:cs="Arial"/>
          <w:sz w:val="22"/>
          <w:szCs w:val="22"/>
        </w:rPr>
      </w:pPr>
      <w:r w:rsidRPr="00012AF4">
        <w:rPr>
          <w:rFonts w:ascii="Arial" w:hAnsi="Arial" w:cs="Arial"/>
          <w:sz w:val="22"/>
          <w:szCs w:val="22"/>
        </w:rPr>
        <w:t>Thus, GPS technology can both empower and restrict, depending on implementation and ethical governance.</w:t>
      </w:r>
    </w:p>
    <w:p w14:paraId="3FB4A91F" w14:textId="2E6B79FB" w:rsidR="006657DE" w:rsidRPr="00012AF4" w:rsidRDefault="006657DE" w:rsidP="009E70B2">
      <w:pPr>
        <w:spacing w:line="360" w:lineRule="auto"/>
        <w:jc w:val="both"/>
        <w:rPr>
          <w:rFonts w:ascii="Arial" w:hAnsi="Arial" w:cs="Arial"/>
          <w:sz w:val="22"/>
          <w:szCs w:val="22"/>
        </w:rPr>
      </w:pPr>
      <w:r w:rsidRPr="006657DE">
        <w:rPr>
          <w:rFonts w:ascii="Arial" w:hAnsi="Arial" w:cs="Arial"/>
          <w:sz w:val="22"/>
          <w:szCs w:val="22"/>
        </w:rPr>
        <w:t xml:space="preserve">Moreover, the psychological impact of GPS tracking on individuals with dementia should not be overlooked. While some individuals may feel reassured by </w:t>
      </w:r>
      <w:r>
        <w:rPr>
          <w:rFonts w:ascii="Arial" w:hAnsi="Arial" w:cs="Arial"/>
          <w:sz w:val="22"/>
          <w:szCs w:val="22"/>
        </w:rPr>
        <w:t>safety measures, others may experience confusion or distress if they are unaware they are</w:t>
      </w:r>
      <w:r w:rsidRPr="006657DE">
        <w:rPr>
          <w:rFonts w:ascii="Arial" w:hAnsi="Arial" w:cs="Arial"/>
          <w:sz w:val="22"/>
          <w:szCs w:val="22"/>
        </w:rPr>
        <w:t xml:space="preserve"> being monitored. This is particularly relevant in later stages of dementia, where understanding of the device’s purpose may be limited. Consequently, the introduction of GPS technology must be carefully managed to ensure that it does not inadvertently contribute to anxiety or loss of dignity. This reinforces the need for continuous assessment and adaptation of care strategies as the condition progresses (Landau et al., 2018)</w:t>
      </w:r>
      <w:r>
        <w:rPr>
          <w:rFonts w:ascii="Arial" w:hAnsi="Arial" w:cs="Arial"/>
          <w:sz w:val="22"/>
          <w:szCs w:val="22"/>
        </w:rPr>
        <w:t>.</w:t>
      </w:r>
    </w:p>
    <w:p w14:paraId="75ED4894" w14:textId="19414C2A" w:rsidR="00C80D0F" w:rsidRPr="00212A7F" w:rsidRDefault="00C80D0F" w:rsidP="00283824">
      <w:pPr>
        <w:pStyle w:val="Heading1"/>
        <w:numPr>
          <w:ilvl w:val="0"/>
          <w:numId w:val="15"/>
        </w:numPr>
      </w:pPr>
      <w:bookmarkStart w:id="4" w:name="_Toc224984974"/>
      <w:r w:rsidRPr="00212A7F">
        <w:t>Impact on community</w:t>
      </w:r>
      <w:bookmarkEnd w:id="4"/>
      <w:r w:rsidRPr="00212A7F">
        <w:t xml:space="preserve"> </w:t>
      </w:r>
    </w:p>
    <w:p w14:paraId="09FC326E" w14:textId="77777777" w:rsidR="009E70B2" w:rsidRPr="009E70B2" w:rsidRDefault="009E70B2" w:rsidP="009E70B2">
      <w:pPr>
        <w:spacing w:after="0" w:line="360" w:lineRule="auto"/>
        <w:jc w:val="both"/>
        <w:rPr>
          <w:rFonts w:ascii="Arial" w:hAnsi="Arial" w:cs="Arial"/>
          <w:sz w:val="22"/>
          <w:szCs w:val="22"/>
        </w:rPr>
      </w:pPr>
      <w:r w:rsidRPr="009E70B2">
        <w:rPr>
          <w:rFonts w:ascii="Arial" w:hAnsi="Arial" w:cs="Arial"/>
          <w:sz w:val="22"/>
          <w:szCs w:val="22"/>
        </w:rPr>
        <w:t>GPS tracking increases family participation in care. Relatives may receive alerts and assist in locating individuals, creating a model of shared safeguarding responsibility. This aligns with co-production principles emphasised in UK social care policy.</w:t>
      </w:r>
    </w:p>
    <w:p w14:paraId="2B275ADD" w14:textId="7BCEFF1E" w:rsidR="009E70B2" w:rsidRPr="009E70B2" w:rsidRDefault="009E70B2" w:rsidP="009E70B2">
      <w:pPr>
        <w:spacing w:line="360" w:lineRule="auto"/>
        <w:jc w:val="both"/>
        <w:rPr>
          <w:rFonts w:ascii="Arial" w:hAnsi="Arial" w:cs="Arial"/>
          <w:sz w:val="22"/>
          <w:szCs w:val="22"/>
        </w:rPr>
      </w:pPr>
      <w:r w:rsidRPr="009E70B2">
        <w:rPr>
          <w:rFonts w:ascii="Arial" w:hAnsi="Arial" w:cs="Arial"/>
          <w:sz w:val="22"/>
          <w:szCs w:val="22"/>
        </w:rPr>
        <w:t xml:space="preserve">However, this may shift </w:t>
      </w:r>
      <w:r w:rsidRPr="00012AF4">
        <w:rPr>
          <w:rFonts w:ascii="Arial" w:hAnsi="Arial" w:cs="Arial"/>
          <w:sz w:val="22"/>
          <w:szCs w:val="22"/>
        </w:rPr>
        <w:t xml:space="preserve">the </w:t>
      </w:r>
      <w:r w:rsidRPr="009E70B2">
        <w:rPr>
          <w:rFonts w:ascii="Arial" w:hAnsi="Arial" w:cs="Arial"/>
          <w:sz w:val="22"/>
          <w:szCs w:val="22"/>
        </w:rPr>
        <w:t>burden onto families, particularly if monitoring responsibilities are unclear. Emotional labour associated with constant tracking may increase carer stress.</w:t>
      </w:r>
    </w:p>
    <w:p w14:paraId="3D152A5D" w14:textId="77777777" w:rsidR="00B02123" w:rsidRPr="00B02123" w:rsidRDefault="00B02123" w:rsidP="00B02123">
      <w:pPr>
        <w:spacing w:after="0" w:line="360" w:lineRule="auto"/>
        <w:jc w:val="both"/>
        <w:rPr>
          <w:rFonts w:ascii="Arial" w:hAnsi="Arial" w:cs="Arial"/>
          <w:sz w:val="22"/>
          <w:szCs w:val="22"/>
        </w:rPr>
      </w:pPr>
      <w:r w:rsidRPr="00B02123">
        <w:rPr>
          <w:rFonts w:ascii="Arial" w:hAnsi="Arial" w:cs="Arial"/>
          <w:sz w:val="22"/>
          <w:szCs w:val="22"/>
        </w:rPr>
        <w:t>In addition, GPS tracking has broader implications for public health and community safety. Missing person incidents involving individuals with dementia often require significant police and emergency service involvement. The use of GPS devices can reduce the frequency and duration of such incidents, thereby decreasing demand on public services and associated costs (National Police Chiefs’ Council, 2022). This contributes to more efficient use of community resources and supports wider public safety strategies.</w:t>
      </w:r>
    </w:p>
    <w:p w14:paraId="7006FBE3" w14:textId="77777777" w:rsidR="00B02123" w:rsidRPr="00B02123" w:rsidRDefault="00B02123" w:rsidP="00B02123">
      <w:pPr>
        <w:spacing w:after="0" w:line="360" w:lineRule="auto"/>
        <w:jc w:val="both"/>
        <w:rPr>
          <w:rFonts w:ascii="Arial" w:hAnsi="Arial" w:cs="Arial"/>
          <w:sz w:val="22"/>
          <w:szCs w:val="22"/>
        </w:rPr>
      </w:pPr>
      <w:r w:rsidRPr="00B02123">
        <w:rPr>
          <w:rFonts w:ascii="Arial" w:hAnsi="Arial" w:cs="Arial"/>
          <w:sz w:val="22"/>
          <w:szCs w:val="22"/>
        </w:rPr>
        <w:t>From a community perspective, GPS technology can also promote greater awareness and understanding of dementia. As digital tools become more visible in everyday care, communities may become more engaged in supporting individuals living with dementia, contributing to the development of dementia-friendly environments. However, there is also a risk that the use of tracking technologies may normalise surveillance practices, raising ethical concerns about privacy and autonomy at a societal level (Niemeijer et al., 2015).</w:t>
      </w:r>
    </w:p>
    <w:p w14:paraId="06BBA97B" w14:textId="1FDAD0E1" w:rsidR="00221A54" w:rsidRPr="00B02123" w:rsidRDefault="00B02123" w:rsidP="00221A54">
      <w:pPr>
        <w:spacing w:after="0" w:line="360" w:lineRule="auto"/>
        <w:jc w:val="both"/>
        <w:rPr>
          <w:rFonts w:ascii="Arial" w:hAnsi="Arial" w:cs="Arial"/>
          <w:sz w:val="22"/>
          <w:szCs w:val="22"/>
        </w:rPr>
      </w:pPr>
      <w:r w:rsidRPr="00B02123">
        <w:rPr>
          <w:rFonts w:ascii="Arial" w:hAnsi="Arial" w:cs="Arial"/>
          <w:sz w:val="22"/>
          <w:szCs w:val="22"/>
        </w:rPr>
        <w:lastRenderedPageBreak/>
        <w:t>Furthermore, disparities in access to GPS technology can impact communities differently. Variations in funding across local authorities may result in unequal access to assistive technologies, creating a ‘postcode lottery’ in dementia care provision (Department of Health and Social Care, 2022). This can widen existing health inequalities, particularly in underserved or rural communities where access to both technology and support services may be limited</w:t>
      </w:r>
      <w:r>
        <w:rPr>
          <w:rFonts w:ascii="Arial" w:hAnsi="Arial" w:cs="Arial"/>
          <w:sz w:val="22"/>
          <w:szCs w:val="22"/>
        </w:rPr>
        <w:t>.</w:t>
      </w:r>
    </w:p>
    <w:p w14:paraId="0C5078D7" w14:textId="0B2CD7F6" w:rsidR="00C80D0F" w:rsidRPr="00212A7F" w:rsidRDefault="00C80D0F" w:rsidP="00283824">
      <w:pPr>
        <w:pStyle w:val="Heading1"/>
        <w:numPr>
          <w:ilvl w:val="0"/>
          <w:numId w:val="15"/>
        </w:numPr>
      </w:pPr>
      <w:bookmarkStart w:id="5" w:name="_Toc224984975"/>
      <w:r w:rsidRPr="00212A7F">
        <w:t>Conclusion</w:t>
      </w:r>
      <w:bookmarkEnd w:id="5"/>
    </w:p>
    <w:p w14:paraId="057F6B7C" w14:textId="050A05DA" w:rsidR="00D22092" w:rsidRPr="00D22092" w:rsidRDefault="00D22092" w:rsidP="00D22092">
      <w:pPr>
        <w:spacing w:after="0" w:line="360" w:lineRule="auto"/>
        <w:jc w:val="both"/>
        <w:rPr>
          <w:rFonts w:ascii="Arial" w:hAnsi="Arial" w:cs="Arial"/>
          <w:sz w:val="22"/>
          <w:szCs w:val="22"/>
        </w:rPr>
      </w:pPr>
      <w:r w:rsidRPr="00D22092">
        <w:rPr>
          <w:rFonts w:ascii="Arial" w:hAnsi="Arial" w:cs="Arial"/>
          <w:sz w:val="22"/>
          <w:szCs w:val="22"/>
        </w:rPr>
        <w:t xml:space="preserve">GPS tracking devices represent a significant digital transformation in UK dementia care over the past decade. They align with national policy objectives </w:t>
      </w:r>
      <w:r>
        <w:rPr>
          <w:rFonts w:ascii="Arial" w:hAnsi="Arial" w:cs="Arial"/>
          <w:sz w:val="22"/>
          <w:szCs w:val="22"/>
        </w:rPr>
        <w:t>that promote community-based, preventive care and have demonstrable benefits in reducing missing-person</w:t>
      </w:r>
      <w:r w:rsidRPr="00D22092">
        <w:rPr>
          <w:rFonts w:ascii="Arial" w:hAnsi="Arial" w:cs="Arial"/>
          <w:sz w:val="22"/>
          <w:szCs w:val="22"/>
        </w:rPr>
        <w:t xml:space="preserve"> incidents and supporting independence.</w:t>
      </w:r>
    </w:p>
    <w:p w14:paraId="044B2B6C" w14:textId="77777777" w:rsidR="00D22092" w:rsidRPr="00D22092" w:rsidRDefault="00D22092" w:rsidP="00D22092">
      <w:pPr>
        <w:spacing w:after="0" w:line="360" w:lineRule="auto"/>
        <w:jc w:val="both"/>
        <w:rPr>
          <w:rFonts w:ascii="Arial" w:hAnsi="Arial" w:cs="Arial"/>
          <w:sz w:val="22"/>
          <w:szCs w:val="22"/>
        </w:rPr>
      </w:pPr>
      <w:r w:rsidRPr="00D22092">
        <w:rPr>
          <w:rFonts w:ascii="Arial" w:hAnsi="Arial" w:cs="Arial"/>
          <w:sz w:val="22"/>
          <w:szCs w:val="22"/>
        </w:rPr>
        <w:t>However, their implementation raises complex ethical, legal and professional challenges. Tensions between autonomy and safeguarding remain central. While the technology enhances workforce efficiency and community safety, it requires robust governance to prevent surveillance culture and digital over-reliance.</w:t>
      </w:r>
    </w:p>
    <w:p w14:paraId="2AF8D7C9" w14:textId="4C337F18" w:rsidR="003E34BB" w:rsidRDefault="00D22092" w:rsidP="00D22092">
      <w:pPr>
        <w:spacing w:line="360" w:lineRule="auto"/>
        <w:jc w:val="both"/>
        <w:rPr>
          <w:rFonts w:ascii="Arial" w:hAnsi="Arial" w:cs="Arial"/>
          <w:sz w:val="22"/>
          <w:szCs w:val="22"/>
        </w:rPr>
      </w:pPr>
      <w:r w:rsidRPr="00D22092">
        <w:rPr>
          <w:rFonts w:ascii="Arial" w:hAnsi="Arial" w:cs="Arial"/>
          <w:sz w:val="22"/>
          <w:szCs w:val="22"/>
        </w:rPr>
        <w:t>Ultimately, GPS tracking in dementia care is neither inherently liberating nor restrictive. Its value depends on ethical application, professional competence and person-centred integration within broader health and social care systems</w:t>
      </w:r>
      <w:r>
        <w:rPr>
          <w:rFonts w:ascii="Arial" w:hAnsi="Arial" w:cs="Arial"/>
          <w:sz w:val="22"/>
          <w:szCs w:val="22"/>
        </w:rPr>
        <w:t>.</w:t>
      </w:r>
    </w:p>
    <w:p w14:paraId="37D82F0B" w14:textId="77777777" w:rsidR="003E34BB" w:rsidRDefault="003E34BB" w:rsidP="00D22092">
      <w:pPr>
        <w:spacing w:line="360" w:lineRule="auto"/>
        <w:jc w:val="both"/>
        <w:rPr>
          <w:rFonts w:ascii="Arial" w:hAnsi="Arial" w:cs="Arial"/>
          <w:sz w:val="22"/>
          <w:szCs w:val="22"/>
        </w:rPr>
      </w:pPr>
    </w:p>
    <w:p w14:paraId="63857A30" w14:textId="77777777" w:rsidR="008375B5" w:rsidRDefault="008375B5" w:rsidP="008375B5">
      <w:pPr>
        <w:spacing w:line="360" w:lineRule="auto"/>
        <w:rPr>
          <w:rFonts w:ascii="Arial" w:hAnsi="Arial" w:cs="Arial"/>
          <w:b/>
          <w:bCs/>
          <w:sz w:val="28"/>
          <w:szCs w:val="28"/>
        </w:rPr>
      </w:pPr>
      <w:r w:rsidRPr="00012AF4">
        <w:rPr>
          <w:rFonts w:ascii="Arial" w:hAnsi="Arial" w:cs="Arial"/>
          <w:b/>
          <w:bCs/>
          <w:sz w:val="28"/>
          <w:szCs w:val="28"/>
        </w:rPr>
        <w:t>References</w:t>
      </w:r>
    </w:p>
    <w:p w14:paraId="341C1FC0" w14:textId="77777777" w:rsidR="000C5B5E" w:rsidRPr="000C5B5E" w:rsidRDefault="000C5B5E" w:rsidP="000C5B5E">
      <w:pPr>
        <w:numPr>
          <w:ilvl w:val="0"/>
          <w:numId w:val="14"/>
        </w:numPr>
        <w:spacing w:line="360" w:lineRule="auto"/>
        <w:rPr>
          <w:rFonts w:ascii="Arial" w:hAnsi="Arial" w:cs="Arial"/>
          <w:sz w:val="22"/>
          <w:szCs w:val="22"/>
        </w:rPr>
      </w:pPr>
      <w:r w:rsidRPr="000C5B5E">
        <w:rPr>
          <w:rFonts w:ascii="Arial" w:hAnsi="Arial" w:cs="Arial"/>
          <w:sz w:val="22"/>
          <w:szCs w:val="22"/>
        </w:rPr>
        <w:t xml:space="preserve">Alzheimer’s Society (2023) </w:t>
      </w:r>
      <w:r w:rsidRPr="000C5B5E">
        <w:rPr>
          <w:rFonts w:ascii="Arial" w:hAnsi="Arial" w:cs="Arial"/>
          <w:i/>
          <w:iCs/>
          <w:sz w:val="22"/>
          <w:szCs w:val="22"/>
        </w:rPr>
        <w:t>Dementia UK: Update</w:t>
      </w:r>
      <w:r w:rsidRPr="000C5B5E">
        <w:rPr>
          <w:rFonts w:ascii="Arial" w:hAnsi="Arial" w:cs="Arial"/>
          <w:sz w:val="22"/>
          <w:szCs w:val="22"/>
        </w:rPr>
        <w:t>. London: Alzheimer’s Society.</w:t>
      </w:r>
    </w:p>
    <w:p w14:paraId="35FAE0F1" w14:textId="77777777" w:rsidR="000C5B5E" w:rsidRPr="000C5B5E" w:rsidRDefault="000C5B5E" w:rsidP="000C5B5E">
      <w:pPr>
        <w:numPr>
          <w:ilvl w:val="0"/>
          <w:numId w:val="14"/>
        </w:numPr>
        <w:spacing w:line="360" w:lineRule="auto"/>
        <w:rPr>
          <w:rFonts w:ascii="Arial" w:hAnsi="Arial" w:cs="Arial"/>
          <w:sz w:val="22"/>
          <w:szCs w:val="22"/>
        </w:rPr>
      </w:pPr>
      <w:r w:rsidRPr="000C5B5E">
        <w:rPr>
          <w:rFonts w:ascii="Arial" w:hAnsi="Arial" w:cs="Arial"/>
          <w:sz w:val="22"/>
          <w:szCs w:val="22"/>
        </w:rPr>
        <w:t xml:space="preserve">Department of Health and Social Care (2022) </w:t>
      </w:r>
      <w:r w:rsidRPr="000C5B5E">
        <w:rPr>
          <w:rFonts w:ascii="Arial" w:hAnsi="Arial" w:cs="Arial"/>
          <w:i/>
          <w:iCs/>
          <w:sz w:val="22"/>
          <w:szCs w:val="22"/>
        </w:rPr>
        <w:t>People at the Heart of Care: Adult Social Care Reform White Paper</w:t>
      </w:r>
      <w:r w:rsidRPr="000C5B5E">
        <w:rPr>
          <w:rFonts w:ascii="Arial" w:hAnsi="Arial" w:cs="Arial"/>
          <w:sz w:val="22"/>
          <w:szCs w:val="22"/>
        </w:rPr>
        <w:t>. London: DHSC.</w:t>
      </w:r>
    </w:p>
    <w:p w14:paraId="74944F5F" w14:textId="77777777" w:rsidR="000C5B5E" w:rsidRPr="000C5B5E" w:rsidRDefault="000C5B5E" w:rsidP="000C5B5E">
      <w:pPr>
        <w:numPr>
          <w:ilvl w:val="0"/>
          <w:numId w:val="14"/>
        </w:numPr>
        <w:spacing w:line="360" w:lineRule="auto"/>
        <w:rPr>
          <w:rFonts w:ascii="Arial" w:hAnsi="Arial" w:cs="Arial"/>
          <w:sz w:val="22"/>
          <w:szCs w:val="22"/>
        </w:rPr>
      </w:pPr>
      <w:r w:rsidRPr="000C5B5E">
        <w:rPr>
          <w:rFonts w:ascii="Arial" w:hAnsi="Arial" w:cs="Arial"/>
          <w:sz w:val="22"/>
          <w:szCs w:val="22"/>
        </w:rPr>
        <w:t xml:space="preserve">Howard, R. et al. (2021) ‘Assistive technology and dementia care outcomes’, </w:t>
      </w:r>
      <w:r w:rsidRPr="000C5B5E">
        <w:rPr>
          <w:rFonts w:ascii="Arial" w:hAnsi="Arial" w:cs="Arial"/>
          <w:i/>
          <w:iCs/>
          <w:sz w:val="22"/>
          <w:szCs w:val="22"/>
        </w:rPr>
        <w:t>Age and Ageing</w:t>
      </w:r>
      <w:r w:rsidRPr="000C5B5E">
        <w:rPr>
          <w:rFonts w:ascii="Arial" w:hAnsi="Arial" w:cs="Arial"/>
          <w:sz w:val="22"/>
          <w:szCs w:val="22"/>
        </w:rPr>
        <w:t>, 50(3), pp. 789–795.</w:t>
      </w:r>
    </w:p>
    <w:p w14:paraId="78B5D6D6" w14:textId="77777777" w:rsidR="000C5B5E" w:rsidRPr="000C5B5E" w:rsidRDefault="000C5B5E" w:rsidP="000C5B5E">
      <w:pPr>
        <w:numPr>
          <w:ilvl w:val="0"/>
          <w:numId w:val="14"/>
        </w:numPr>
        <w:spacing w:line="360" w:lineRule="auto"/>
        <w:rPr>
          <w:rFonts w:ascii="Arial" w:hAnsi="Arial" w:cs="Arial"/>
          <w:sz w:val="22"/>
          <w:szCs w:val="22"/>
        </w:rPr>
      </w:pPr>
      <w:r w:rsidRPr="000C5B5E">
        <w:rPr>
          <w:rFonts w:ascii="Arial" w:hAnsi="Arial" w:cs="Arial"/>
          <w:sz w:val="22"/>
          <w:szCs w:val="22"/>
        </w:rPr>
        <w:t>Human Rights Act 1998.</w:t>
      </w:r>
    </w:p>
    <w:p w14:paraId="72FFBC29" w14:textId="77777777" w:rsidR="000C5B5E" w:rsidRPr="000C5B5E" w:rsidRDefault="000C5B5E" w:rsidP="000C5B5E">
      <w:pPr>
        <w:numPr>
          <w:ilvl w:val="0"/>
          <w:numId w:val="14"/>
        </w:numPr>
        <w:spacing w:line="360" w:lineRule="auto"/>
        <w:rPr>
          <w:rFonts w:ascii="Arial" w:hAnsi="Arial" w:cs="Arial"/>
          <w:sz w:val="22"/>
          <w:szCs w:val="22"/>
        </w:rPr>
      </w:pPr>
      <w:r w:rsidRPr="000C5B5E">
        <w:rPr>
          <w:rFonts w:ascii="Arial" w:hAnsi="Arial" w:cs="Arial"/>
          <w:sz w:val="22"/>
          <w:szCs w:val="22"/>
        </w:rPr>
        <w:t xml:space="preserve">Landau, R., Werner, S. and Auslander, G. (2018) ‘Families’ and professional caregivers’ views of using advanced tracking technologies for people with dementia’, </w:t>
      </w:r>
      <w:r w:rsidRPr="000C5B5E">
        <w:rPr>
          <w:rFonts w:ascii="Arial" w:hAnsi="Arial" w:cs="Arial"/>
          <w:i/>
          <w:iCs/>
          <w:sz w:val="22"/>
          <w:szCs w:val="22"/>
        </w:rPr>
        <w:t>Qualitative Health Research</w:t>
      </w:r>
      <w:r w:rsidRPr="000C5B5E">
        <w:rPr>
          <w:rFonts w:ascii="Arial" w:hAnsi="Arial" w:cs="Arial"/>
          <w:sz w:val="22"/>
          <w:szCs w:val="22"/>
        </w:rPr>
        <w:t>, 28(3), pp. 459–469.</w:t>
      </w:r>
    </w:p>
    <w:p w14:paraId="57E26ACD" w14:textId="77777777" w:rsidR="000C5B5E" w:rsidRPr="000C5B5E" w:rsidRDefault="000C5B5E" w:rsidP="000C5B5E">
      <w:pPr>
        <w:numPr>
          <w:ilvl w:val="0"/>
          <w:numId w:val="14"/>
        </w:numPr>
        <w:spacing w:line="360" w:lineRule="auto"/>
        <w:rPr>
          <w:rFonts w:ascii="Arial" w:hAnsi="Arial" w:cs="Arial"/>
          <w:sz w:val="22"/>
          <w:szCs w:val="22"/>
        </w:rPr>
      </w:pPr>
      <w:r w:rsidRPr="000C5B5E">
        <w:rPr>
          <w:rFonts w:ascii="Arial" w:hAnsi="Arial" w:cs="Arial"/>
          <w:sz w:val="22"/>
          <w:szCs w:val="22"/>
        </w:rPr>
        <w:t>Mental Capacity Act 2005.</w:t>
      </w:r>
    </w:p>
    <w:p w14:paraId="242828B2" w14:textId="77777777" w:rsidR="000C5B5E" w:rsidRPr="000C5B5E" w:rsidRDefault="000C5B5E" w:rsidP="000C5B5E">
      <w:pPr>
        <w:numPr>
          <w:ilvl w:val="0"/>
          <w:numId w:val="14"/>
        </w:numPr>
        <w:spacing w:line="360" w:lineRule="auto"/>
        <w:rPr>
          <w:rFonts w:ascii="Arial" w:hAnsi="Arial" w:cs="Arial"/>
          <w:sz w:val="22"/>
          <w:szCs w:val="22"/>
        </w:rPr>
      </w:pPr>
      <w:r w:rsidRPr="000C5B5E">
        <w:rPr>
          <w:rFonts w:ascii="Arial" w:hAnsi="Arial" w:cs="Arial"/>
          <w:sz w:val="22"/>
          <w:szCs w:val="22"/>
        </w:rPr>
        <w:t xml:space="preserve">NHS (2019) </w:t>
      </w:r>
      <w:r w:rsidRPr="000C5B5E">
        <w:rPr>
          <w:rFonts w:ascii="Arial" w:hAnsi="Arial" w:cs="Arial"/>
          <w:i/>
          <w:iCs/>
          <w:sz w:val="22"/>
          <w:szCs w:val="22"/>
        </w:rPr>
        <w:t>The Topol Review: Preparing the Healthcare Workforce to Deliver the Digital Future</w:t>
      </w:r>
      <w:r w:rsidRPr="000C5B5E">
        <w:rPr>
          <w:rFonts w:ascii="Arial" w:hAnsi="Arial" w:cs="Arial"/>
          <w:sz w:val="22"/>
          <w:szCs w:val="22"/>
        </w:rPr>
        <w:t>. London: NHS England.</w:t>
      </w:r>
    </w:p>
    <w:p w14:paraId="33ADEF8F" w14:textId="77777777" w:rsidR="000C5B5E" w:rsidRPr="000C5B5E" w:rsidRDefault="000C5B5E" w:rsidP="000C5B5E">
      <w:pPr>
        <w:numPr>
          <w:ilvl w:val="0"/>
          <w:numId w:val="14"/>
        </w:numPr>
        <w:spacing w:line="360" w:lineRule="auto"/>
        <w:rPr>
          <w:rFonts w:ascii="Arial" w:hAnsi="Arial" w:cs="Arial"/>
          <w:sz w:val="22"/>
          <w:szCs w:val="22"/>
        </w:rPr>
      </w:pPr>
      <w:r w:rsidRPr="000C5B5E">
        <w:rPr>
          <w:rFonts w:ascii="Arial" w:hAnsi="Arial" w:cs="Arial"/>
          <w:sz w:val="22"/>
          <w:szCs w:val="22"/>
        </w:rPr>
        <w:lastRenderedPageBreak/>
        <w:t xml:space="preserve">Niemeijer, A. et al. (2015) ‘Ethical considerations of surveillance technologies in dementia care’, </w:t>
      </w:r>
      <w:r w:rsidRPr="000C5B5E">
        <w:rPr>
          <w:rFonts w:ascii="Arial" w:hAnsi="Arial" w:cs="Arial"/>
          <w:i/>
          <w:iCs/>
          <w:sz w:val="22"/>
          <w:szCs w:val="22"/>
        </w:rPr>
        <w:t>Nursing Ethics</w:t>
      </w:r>
      <w:r w:rsidRPr="000C5B5E">
        <w:rPr>
          <w:rFonts w:ascii="Arial" w:hAnsi="Arial" w:cs="Arial"/>
          <w:sz w:val="22"/>
          <w:szCs w:val="22"/>
        </w:rPr>
        <w:t>, 22(3), pp. 307–320.</w:t>
      </w:r>
    </w:p>
    <w:p w14:paraId="32CC11F3" w14:textId="77777777" w:rsidR="000C5B5E" w:rsidRPr="000C5B5E" w:rsidRDefault="000C5B5E" w:rsidP="000C5B5E">
      <w:pPr>
        <w:numPr>
          <w:ilvl w:val="0"/>
          <w:numId w:val="14"/>
        </w:numPr>
        <w:spacing w:line="360" w:lineRule="auto"/>
        <w:rPr>
          <w:rFonts w:ascii="Arial" w:hAnsi="Arial" w:cs="Arial"/>
          <w:sz w:val="22"/>
          <w:szCs w:val="22"/>
        </w:rPr>
      </w:pPr>
      <w:r w:rsidRPr="000C5B5E">
        <w:rPr>
          <w:rFonts w:ascii="Arial" w:hAnsi="Arial" w:cs="Arial"/>
          <w:sz w:val="22"/>
          <w:szCs w:val="22"/>
        </w:rPr>
        <w:t xml:space="preserve">Robinson, L. et al. (2019) ‘Assistive technology for dementia: A systematic review’, </w:t>
      </w:r>
      <w:r w:rsidRPr="000C5B5E">
        <w:rPr>
          <w:rFonts w:ascii="Arial" w:hAnsi="Arial" w:cs="Arial"/>
          <w:i/>
          <w:iCs/>
          <w:sz w:val="22"/>
          <w:szCs w:val="22"/>
        </w:rPr>
        <w:t>International Journal of Geriatric Psychiatry</w:t>
      </w:r>
      <w:r w:rsidRPr="000C5B5E">
        <w:rPr>
          <w:rFonts w:ascii="Arial" w:hAnsi="Arial" w:cs="Arial"/>
          <w:sz w:val="22"/>
          <w:szCs w:val="22"/>
        </w:rPr>
        <w:t>, 34(4), pp. 510–523.</w:t>
      </w:r>
    </w:p>
    <w:p w14:paraId="59D95850" w14:textId="77777777" w:rsidR="000C5B5E" w:rsidRPr="000C5B5E" w:rsidRDefault="000C5B5E" w:rsidP="000C5B5E">
      <w:pPr>
        <w:numPr>
          <w:ilvl w:val="0"/>
          <w:numId w:val="14"/>
        </w:numPr>
        <w:spacing w:line="360" w:lineRule="auto"/>
        <w:rPr>
          <w:rFonts w:ascii="Arial" w:hAnsi="Arial" w:cs="Arial"/>
          <w:sz w:val="22"/>
          <w:szCs w:val="22"/>
        </w:rPr>
      </w:pPr>
      <w:r w:rsidRPr="000C5B5E">
        <w:rPr>
          <w:rFonts w:ascii="Arial" w:hAnsi="Arial" w:cs="Arial"/>
          <w:sz w:val="22"/>
          <w:szCs w:val="22"/>
        </w:rPr>
        <w:t>UK GDPR (2018).</w:t>
      </w:r>
    </w:p>
    <w:p w14:paraId="5B68C296" w14:textId="4A83DFE5" w:rsidR="000C5B5E" w:rsidRPr="000C5B5E" w:rsidRDefault="000C5B5E" w:rsidP="008375B5">
      <w:pPr>
        <w:numPr>
          <w:ilvl w:val="0"/>
          <w:numId w:val="14"/>
        </w:numPr>
        <w:spacing w:line="360" w:lineRule="auto"/>
        <w:rPr>
          <w:rFonts w:ascii="Arial" w:hAnsi="Arial" w:cs="Arial"/>
          <w:sz w:val="22"/>
          <w:szCs w:val="22"/>
        </w:rPr>
      </w:pPr>
      <w:r w:rsidRPr="000C5B5E">
        <w:rPr>
          <w:rFonts w:ascii="Arial" w:hAnsi="Arial" w:cs="Arial"/>
          <w:sz w:val="22"/>
          <w:szCs w:val="22"/>
        </w:rPr>
        <w:t xml:space="preserve">National Police Chiefs’ Council (2022) </w:t>
      </w:r>
      <w:r w:rsidRPr="000C5B5E">
        <w:rPr>
          <w:rFonts w:ascii="Arial" w:hAnsi="Arial" w:cs="Arial"/>
          <w:i/>
          <w:iCs/>
          <w:sz w:val="22"/>
          <w:szCs w:val="22"/>
        </w:rPr>
        <w:t>Missing Persons Data Report</w:t>
      </w:r>
      <w:r w:rsidRPr="000C5B5E">
        <w:rPr>
          <w:rFonts w:ascii="Arial" w:hAnsi="Arial" w:cs="Arial"/>
          <w:sz w:val="22"/>
          <w:szCs w:val="22"/>
        </w:rPr>
        <w:t>. London: NPCC.</w:t>
      </w:r>
    </w:p>
    <w:sectPr w:rsidR="000C5B5E" w:rsidRPr="000C5B5E" w:rsidSect="008375B5">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67CB6C" w14:textId="77777777" w:rsidR="005401FF" w:rsidRDefault="005401FF" w:rsidP="008375B5">
      <w:pPr>
        <w:spacing w:after="0" w:line="240" w:lineRule="auto"/>
      </w:pPr>
      <w:r>
        <w:separator/>
      </w:r>
    </w:p>
  </w:endnote>
  <w:endnote w:type="continuationSeparator" w:id="0">
    <w:p w14:paraId="7D1C99F5" w14:textId="77777777" w:rsidR="005401FF" w:rsidRDefault="005401FF"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6821384"/>
      <w:docPartObj>
        <w:docPartGallery w:val="Page Numbers (Bottom of Page)"/>
        <w:docPartUnique/>
      </w:docPartObj>
    </w:sdtPr>
    <w:sdtContent>
      <w:p w14:paraId="39092AB1" w14:textId="5E18D84F" w:rsidR="003D23A6" w:rsidRDefault="003D23A6">
        <w:pPr>
          <w:pStyle w:val="Footer"/>
          <w:jc w:val="right"/>
        </w:pPr>
        <w:r>
          <w:fldChar w:fldCharType="begin"/>
        </w:r>
        <w:r>
          <w:instrText>PAGE   \* MERGEFORMAT</w:instrText>
        </w:r>
        <w:r>
          <w:fldChar w:fldCharType="separate"/>
        </w:r>
        <w:r>
          <w:t>2</w:t>
        </w:r>
        <w:r>
          <w:fldChar w:fldCharType="end"/>
        </w:r>
      </w:p>
    </w:sdtContent>
  </w:sdt>
  <w:p w14:paraId="07B6721E"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D595CF" w14:textId="77777777" w:rsidR="005401FF" w:rsidRDefault="005401FF" w:rsidP="008375B5">
      <w:pPr>
        <w:spacing w:after="0" w:line="240" w:lineRule="auto"/>
      </w:pPr>
      <w:r>
        <w:separator/>
      </w:r>
    </w:p>
  </w:footnote>
  <w:footnote w:type="continuationSeparator" w:id="0">
    <w:p w14:paraId="605024E3" w14:textId="77777777" w:rsidR="005401FF" w:rsidRDefault="005401FF"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848DE"/>
    <w:multiLevelType w:val="hybridMultilevel"/>
    <w:tmpl w:val="634266C8"/>
    <w:lvl w:ilvl="0" w:tplc="6AE08572">
      <w:start w:val="1"/>
      <w:numFmt w:val="decimal"/>
      <w:lvlText w:val="%1."/>
      <w:lvlJc w:val="left"/>
      <w:pPr>
        <w:tabs>
          <w:tab w:val="num" w:pos="720"/>
        </w:tabs>
        <w:ind w:left="720" w:hanging="360"/>
      </w:pPr>
    </w:lvl>
    <w:lvl w:ilvl="1" w:tplc="F9980462" w:tentative="1">
      <w:start w:val="1"/>
      <w:numFmt w:val="decimal"/>
      <w:lvlText w:val="%2."/>
      <w:lvlJc w:val="left"/>
      <w:pPr>
        <w:tabs>
          <w:tab w:val="num" w:pos="1440"/>
        </w:tabs>
        <w:ind w:left="1440" w:hanging="360"/>
      </w:pPr>
    </w:lvl>
    <w:lvl w:ilvl="2" w:tplc="5EFC78AE" w:tentative="1">
      <w:start w:val="1"/>
      <w:numFmt w:val="decimal"/>
      <w:lvlText w:val="%3."/>
      <w:lvlJc w:val="left"/>
      <w:pPr>
        <w:tabs>
          <w:tab w:val="num" w:pos="2160"/>
        </w:tabs>
        <w:ind w:left="2160" w:hanging="360"/>
      </w:pPr>
    </w:lvl>
    <w:lvl w:ilvl="3" w:tplc="218A0302" w:tentative="1">
      <w:start w:val="1"/>
      <w:numFmt w:val="decimal"/>
      <w:lvlText w:val="%4."/>
      <w:lvlJc w:val="left"/>
      <w:pPr>
        <w:tabs>
          <w:tab w:val="num" w:pos="2880"/>
        </w:tabs>
        <w:ind w:left="2880" w:hanging="360"/>
      </w:pPr>
    </w:lvl>
    <w:lvl w:ilvl="4" w:tplc="D8C6B78C" w:tentative="1">
      <w:start w:val="1"/>
      <w:numFmt w:val="decimal"/>
      <w:lvlText w:val="%5."/>
      <w:lvlJc w:val="left"/>
      <w:pPr>
        <w:tabs>
          <w:tab w:val="num" w:pos="3600"/>
        </w:tabs>
        <w:ind w:left="3600" w:hanging="360"/>
      </w:pPr>
    </w:lvl>
    <w:lvl w:ilvl="5" w:tplc="0EEA84DE" w:tentative="1">
      <w:start w:val="1"/>
      <w:numFmt w:val="decimal"/>
      <w:lvlText w:val="%6."/>
      <w:lvlJc w:val="left"/>
      <w:pPr>
        <w:tabs>
          <w:tab w:val="num" w:pos="4320"/>
        </w:tabs>
        <w:ind w:left="4320" w:hanging="360"/>
      </w:pPr>
    </w:lvl>
    <w:lvl w:ilvl="6" w:tplc="A9300C72" w:tentative="1">
      <w:start w:val="1"/>
      <w:numFmt w:val="decimal"/>
      <w:lvlText w:val="%7."/>
      <w:lvlJc w:val="left"/>
      <w:pPr>
        <w:tabs>
          <w:tab w:val="num" w:pos="5040"/>
        </w:tabs>
        <w:ind w:left="5040" w:hanging="360"/>
      </w:pPr>
    </w:lvl>
    <w:lvl w:ilvl="7" w:tplc="F2B6BECA" w:tentative="1">
      <w:start w:val="1"/>
      <w:numFmt w:val="decimal"/>
      <w:lvlText w:val="%8."/>
      <w:lvlJc w:val="left"/>
      <w:pPr>
        <w:tabs>
          <w:tab w:val="num" w:pos="5760"/>
        </w:tabs>
        <w:ind w:left="5760" w:hanging="360"/>
      </w:pPr>
    </w:lvl>
    <w:lvl w:ilvl="8" w:tplc="C7B617C0" w:tentative="1">
      <w:start w:val="1"/>
      <w:numFmt w:val="decimal"/>
      <w:lvlText w:val="%9."/>
      <w:lvlJc w:val="left"/>
      <w:pPr>
        <w:tabs>
          <w:tab w:val="num" w:pos="6480"/>
        </w:tabs>
        <w:ind w:left="6480" w:hanging="360"/>
      </w:pPr>
    </w:lvl>
  </w:abstractNum>
  <w:abstractNum w:abstractNumId="1"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380373"/>
    <w:multiLevelType w:val="hybridMultilevel"/>
    <w:tmpl w:val="A84A902E"/>
    <w:lvl w:ilvl="0" w:tplc="AA88BE3A">
      <w:start w:val="1"/>
      <w:numFmt w:val="lowerLetter"/>
      <w:lvlText w:val="%1."/>
      <w:lvlJc w:val="left"/>
      <w:pPr>
        <w:tabs>
          <w:tab w:val="num" w:pos="720"/>
        </w:tabs>
        <w:ind w:left="720" w:hanging="360"/>
      </w:pPr>
      <w:rPr>
        <w:b/>
        <w:bCs/>
      </w:rPr>
    </w:lvl>
    <w:lvl w:ilvl="1" w:tplc="F95E2E30">
      <w:start w:val="1"/>
      <w:numFmt w:val="lowerRoman"/>
      <w:lvlText w:val="%2."/>
      <w:lvlJc w:val="right"/>
      <w:pPr>
        <w:tabs>
          <w:tab w:val="num" w:pos="1440"/>
        </w:tabs>
        <w:ind w:left="1440" w:hanging="360"/>
      </w:pPr>
    </w:lvl>
    <w:lvl w:ilvl="2" w:tplc="4B6028C8" w:tentative="1">
      <w:start w:val="1"/>
      <w:numFmt w:val="decimal"/>
      <w:lvlText w:val="%3."/>
      <w:lvlJc w:val="left"/>
      <w:pPr>
        <w:tabs>
          <w:tab w:val="num" w:pos="2160"/>
        </w:tabs>
        <w:ind w:left="2160" w:hanging="360"/>
      </w:pPr>
    </w:lvl>
    <w:lvl w:ilvl="3" w:tplc="E7205A72" w:tentative="1">
      <w:start w:val="1"/>
      <w:numFmt w:val="decimal"/>
      <w:lvlText w:val="%4."/>
      <w:lvlJc w:val="left"/>
      <w:pPr>
        <w:tabs>
          <w:tab w:val="num" w:pos="2880"/>
        </w:tabs>
        <w:ind w:left="2880" w:hanging="360"/>
      </w:pPr>
    </w:lvl>
    <w:lvl w:ilvl="4" w:tplc="24761E1C" w:tentative="1">
      <w:start w:val="1"/>
      <w:numFmt w:val="decimal"/>
      <w:lvlText w:val="%5."/>
      <w:lvlJc w:val="left"/>
      <w:pPr>
        <w:tabs>
          <w:tab w:val="num" w:pos="3600"/>
        </w:tabs>
        <w:ind w:left="3600" w:hanging="360"/>
      </w:pPr>
    </w:lvl>
    <w:lvl w:ilvl="5" w:tplc="5CE66872" w:tentative="1">
      <w:start w:val="1"/>
      <w:numFmt w:val="decimal"/>
      <w:lvlText w:val="%6."/>
      <w:lvlJc w:val="left"/>
      <w:pPr>
        <w:tabs>
          <w:tab w:val="num" w:pos="4320"/>
        </w:tabs>
        <w:ind w:left="4320" w:hanging="360"/>
      </w:pPr>
    </w:lvl>
    <w:lvl w:ilvl="6" w:tplc="62501DE8" w:tentative="1">
      <w:start w:val="1"/>
      <w:numFmt w:val="decimal"/>
      <w:lvlText w:val="%7."/>
      <w:lvlJc w:val="left"/>
      <w:pPr>
        <w:tabs>
          <w:tab w:val="num" w:pos="5040"/>
        </w:tabs>
        <w:ind w:left="5040" w:hanging="360"/>
      </w:pPr>
    </w:lvl>
    <w:lvl w:ilvl="7" w:tplc="A2A8A670" w:tentative="1">
      <w:start w:val="1"/>
      <w:numFmt w:val="decimal"/>
      <w:lvlText w:val="%8."/>
      <w:lvlJc w:val="left"/>
      <w:pPr>
        <w:tabs>
          <w:tab w:val="num" w:pos="5760"/>
        </w:tabs>
        <w:ind w:left="5760" w:hanging="360"/>
      </w:pPr>
    </w:lvl>
    <w:lvl w:ilvl="8" w:tplc="8CD2CC18" w:tentative="1">
      <w:start w:val="1"/>
      <w:numFmt w:val="decimal"/>
      <w:lvlText w:val="%9."/>
      <w:lvlJc w:val="left"/>
      <w:pPr>
        <w:tabs>
          <w:tab w:val="num" w:pos="6480"/>
        </w:tabs>
        <w:ind w:left="6480" w:hanging="360"/>
      </w:pPr>
    </w:lvl>
  </w:abstractNum>
  <w:abstractNum w:abstractNumId="5"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7549C5"/>
    <w:multiLevelType w:val="multilevel"/>
    <w:tmpl w:val="AF38960A"/>
    <w:lvl w:ilvl="0">
      <w:start w:val="1"/>
      <w:numFmt w:val="decimal"/>
      <w:lvlText w:val="%1."/>
      <w:lvlJc w:val="left"/>
      <w:pPr>
        <w:ind w:left="720" w:hanging="360"/>
      </w:pPr>
      <w:rPr>
        <w:rFonts w:hint="default"/>
        <w:b/>
      </w:rPr>
    </w:lvl>
    <w:lvl w:ilvl="1">
      <w:start w:val="1"/>
      <w:numFmt w:val="decimal"/>
      <w:isLgl/>
      <w:lvlText w:val="%1.%2."/>
      <w:lvlJc w:val="left"/>
      <w:pPr>
        <w:ind w:left="1080" w:hanging="72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440" w:hanging="108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2160" w:hanging="1800"/>
      </w:pPr>
      <w:rPr>
        <w:rFonts w:hint="default"/>
        <w:b/>
      </w:rPr>
    </w:lvl>
    <w:lvl w:ilvl="8">
      <w:start w:val="1"/>
      <w:numFmt w:val="decimal"/>
      <w:isLgl/>
      <w:lvlText w:val="%1.%2.%3.%4.%5.%6.%7.%8.%9."/>
      <w:lvlJc w:val="left"/>
      <w:pPr>
        <w:ind w:left="2160" w:hanging="1800"/>
      </w:pPr>
      <w:rPr>
        <w:rFonts w:hint="default"/>
        <w:b/>
      </w:rPr>
    </w:lvl>
  </w:abstractNum>
  <w:abstractNum w:abstractNumId="7"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CDF1ADB"/>
    <w:multiLevelType w:val="hybridMultilevel"/>
    <w:tmpl w:val="DEA26D48"/>
    <w:lvl w:ilvl="0" w:tplc="BE5EBE54">
      <w:start w:val="1"/>
      <w:numFmt w:val="bullet"/>
      <w:lvlText w:val="•"/>
      <w:lvlJc w:val="left"/>
      <w:pPr>
        <w:tabs>
          <w:tab w:val="num" w:pos="720"/>
        </w:tabs>
        <w:ind w:left="720" w:hanging="360"/>
      </w:pPr>
      <w:rPr>
        <w:rFonts w:ascii="Arial" w:hAnsi="Arial" w:hint="default"/>
      </w:rPr>
    </w:lvl>
    <w:lvl w:ilvl="1" w:tplc="1BCA6AE6" w:tentative="1">
      <w:start w:val="1"/>
      <w:numFmt w:val="bullet"/>
      <w:lvlText w:val="•"/>
      <w:lvlJc w:val="left"/>
      <w:pPr>
        <w:tabs>
          <w:tab w:val="num" w:pos="1440"/>
        </w:tabs>
        <w:ind w:left="1440" w:hanging="360"/>
      </w:pPr>
      <w:rPr>
        <w:rFonts w:ascii="Arial" w:hAnsi="Arial" w:hint="default"/>
      </w:rPr>
    </w:lvl>
    <w:lvl w:ilvl="2" w:tplc="8C982578" w:tentative="1">
      <w:start w:val="1"/>
      <w:numFmt w:val="bullet"/>
      <w:lvlText w:val="•"/>
      <w:lvlJc w:val="left"/>
      <w:pPr>
        <w:tabs>
          <w:tab w:val="num" w:pos="2160"/>
        </w:tabs>
        <w:ind w:left="2160" w:hanging="360"/>
      </w:pPr>
      <w:rPr>
        <w:rFonts w:ascii="Arial" w:hAnsi="Arial" w:hint="default"/>
      </w:rPr>
    </w:lvl>
    <w:lvl w:ilvl="3" w:tplc="B2C4A6DC" w:tentative="1">
      <w:start w:val="1"/>
      <w:numFmt w:val="bullet"/>
      <w:lvlText w:val="•"/>
      <w:lvlJc w:val="left"/>
      <w:pPr>
        <w:tabs>
          <w:tab w:val="num" w:pos="2880"/>
        </w:tabs>
        <w:ind w:left="2880" w:hanging="360"/>
      </w:pPr>
      <w:rPr>
        <w:rFonts w:ascii="Arial" w:hAnsi="Arial" w:hint="default"/>
      </w:rPr>
    </w:lvl>
    <w:lvl w:ilvl="4" w:tplc="E842C0D4" w:tentative="1">
      <w:start w:val="1"/>
      <w:numFmt w:val="bullet"/>
      <w:lvlText w:val="•"/>
      <w:lvlJc w:val="left"/>
      <w:pPr>
        <w:tabs>
          <w:tab w:val="num" w:pos="3600"/>
        </w:tabs>
        <w:ind w:left="3600" w:hanging="360"/>
      </w:pPr>
      <w:rPr>
        <w:rFonts w:ascii="Arial" w:hAnsi="Arial" w:hint="default"/>
      </w:rPr>
    </w:lvl>
    <w:lvl w:ilvl="5" w:tplc="F7E47BC8" w:tentative="1">
      <w:start w:val="1"/>
      <w:numFmt w:val="bullet"/>
      <w:lvlText w:val="•"/>
      <w:lvlJc w:val="left"/>
      <w:pPr>
        <w:tabs>
          <w:tab w:val="num" w:pos="4320"/>
        </w:tabs>
        <w:ind w:left="4320" w:hanging="360"/>
      </w:pPr>
      <w:rPr>
        <w:rFonts w:ascii="Arial" w:hAnsi="Arial" w:hint="default"/>
      </w:rPr>
    </w:lvl>
    <w:lvl w:ilvl="6" w:tplc="25CC5676" w:tentative="1">
      <w:start w:val="1"/>
      <w:numFmt w:val="bullet"/>
      <w:lvlText w:val="•"/>
      <w:lvlJc w:val="left"/>
      <w:pPr>
        <w:tabs>
          <w:tab w:val="num" w:pos="5040"/>
        </w:tabs>
        <w:ind w:left="5040" w:hanging="360"/>
      </w:pPr>
      <w:rPr>
        <w:rFonts w:ascii="Arial" w:hAnsi="Arial" w:hint="default"/>
      </w:rPr>
    </w:lvl>
    <w:lvl w:ilvl="7" w:tplc="73AC00A4" w:tentative="1">
      <w:start w:val="1"/>
      <w:numFmt w:val="bullet"/>
      <w:lvlText w:val="•"/>
      <w:lvlJc w:val="left"/>
      <w:pPr>
        <w:tabs>
          <w:tab w:val="num" w:pos="5760"/>
        </w:tabs>
        <w:ind w:left="5760" w:hanging="360"/>
      </w:pPr>
      <w:rPr>
        <w:rFonts w:ascii="Arial" w:hAnsi="Arial" w:hint="default"/>
      </w:rPr>
    </w:lvl>
    <w:lvl w:ilvl="8" w:tplc="1328299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5420FD8"/>
    <w:multiLevelType w:val="hybridMultilevel"/>
    <w:tmpl w:val="361AD77E"/>
    <w:lvl w:ilvl="0" w:tplc="BA9694AA">
      <w:start w:val="1"/>
      <w:numFmt w:val="lowerLetter"/>
      <w:lvlText w:val="%1."/>
      <w:lvlJc w:val="left"/>
      <w:pPr>
        <w:tabs>
          <w:tab w:val="num" w:pos="720"/>
        </w:tabs>
        <w:ind w:left="720" w:hanging="360"/>
      </w:pPr>
      <w:rPr>
        <w:b/>
        <w:bCs/>
      </w:rPr>
    </w:lvl>
    <w:lvl w:ilvl="1" w:tplc="BC86EC72" w:tentative="1">
      <w:start w:val="1"/>
      <w:numFmt w:val="decimal"/>
      <w:lvlText w:val="%2."/>
      <w:lvlJc w:val="left"/>
      <w:pPr>
        <w:tabs>
          <w:tab w:val="num" w:pos="1440"/>
        </w:tabs>
        <w:ind w:left="1440" w:hanging="360"/>
      </w:pPr>
    </w:lvl>
    <w:lvl w:ilvl="2" w:tplc="88FEF44C" w:tentative="1">
      <w:start w:val="1"/>
      <w:numFmt w:val="decimal"/>
      <w:lvlText w:val="%3."/>
      <w:lvlJc w:val="left"/>
      <w:pPr>
        <w:tabs>
          <w:tab w:val="num" w:pos="2160"/>
        </w:tabs>
        <w:ind w:left="2160" w:hanging="360"/>
      </w:pPr>
    </w:lvl>
    <w:lvl w:ilvl="3" w:tplc="B05C32B4" w:tentative="1">
      <w:start w:val="1"/>
      <w:numFmt w:val="decimal"/>
      <w:lvlText w:val="%4."/>
      <w:lvlJc w:val="left"/>
      <w:pPr>
        <w:tabs>
          <w:tab w:val="num" w:pos="2880"/>
        </w:tabs>
        <w:ind w:left="2880" w:hanging="360"/>
      </w:pPr>
    </w:lvl>
    <w:lvl w:ilvl="4" w:tplc="6C5A56BC" w:tentative="1">
      <w:start w:val="1"/>
      <w:numFmt w:val="decimal"/>
      <w:lvlText w:val="%5."/>
      <w:lvlJc w:val="left"/>
      <w:pPr>
        <w:tabs>
          <w:tab w:val="num" w:pos="3600"/>
        </w:tabs>
        <w:ind w:left="3600" w:hanging="360"/>
      </w:pPr>
    </w:lvl>
    <w:lvl w:ilvl="5" w:tplc="BB0414A8" w:tentative="1">
      <w:start w:val="1"/>
      <w:numFmt w:val="decimal"/>
      <w:lvlText w:val="%6."/>
      <w:lvlJc w:val="left"/>
      <w:pPr>
        <w:tabs>
          <w:tab w:val="num" w:pos="4320"/>
        </w:tabs>
        <w:ind w:left="4320" w:hanging="360"/>
      </w:pPr>
    </w:lvl>
    <w:lvl w:ilvl="6" w:tplc="D4007FD8" w:tentative="1">
      <w:start w:val="1"/>
      <w:numFmt w:val="decimal"/>
      <w:lvlText w:val="%7."/>
      <w:lvlJc w:val="left"/>
      <w:pPr>
        <w:tabs>
          <w:tab w:val="num" w:pos="5040"/>
        </w:tabs>
        <w:ind w:left="5040" w:hanging="360"/>
      </w:pPr>
    </w:lvl>
    <w:lvl w:ilvl="7" w:tplc="F33CF29A" w:tentative="1">
      <w:start w:val="1"/>
      <w:numFmt w:val="decimal"/>
      <w:lvlText w:val="%8."/>
      <w:lvlJc w:val="left"/>
      <w:pPr>
        <w:tabs>
          <w:tab w:val="num" w:pos="5760"/>
        </w:tabs>
        <w:ind w:left="5760" w:hanging="360"/>
      </w:pPr>
    </w:lvl>
    <w:lvl w:ilvl="8" w:tplc="9D0C826E" w:tentative="1">
      <w:start w:val="1"/>
      <w:numFmt w:val="decimal"/>
      <w:lvlText w:val="%9."/>
      <w:lvlJc w:val="left"/>
      <w:pPr>
        <w:tabs>
          <w:tab w:val="num" w:pos="6480"/>
        </w:tabs>
        <w:ind w:left="6480" w:hanging="360"/>
      </w:pPr>
    </w:lvl>
  </w:abstractNum>
  <w:abstractNum w:abstractNumId="11"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FB25983"/>
    <w:multiLevelType w:val="hybridMultilevel"/>
    <w:tmpl w:val="984E884C"/>
    <w:lvl w:ilvl="0" w:tplc="2BB8B8FA">
      <w:start w:val="1"/>
      <w:numFmt w:val="bullet"/>
      <w:lvlText w:val=""/>
      <w:lvlJc w:val="left"/>
      <w:pPr>
        <w:tabs>
          <w:tab w:val="num" w:pos="720"/>
        </w:tabs>
        <w:ind w:left="720" w:hanging="360"/>
      </w:pPr>
      <w:rPr>
        <w:rFonts w:ascii="Wingdings" w:hAnsi="Wingdings" w:hint="default"/>
      </w:rPr>
    </w:lvl>
    <w:lvl w:ilvl="1" w:tplc="C7220A9A" w:tentative="1">
      <w:start w:val="1"/>
      <w:numFmt w:val="bullet"/>
      <w:lvlText w:val=""/>
      <w:lvlJc w:val="left"/>
      <w:pPr>
        <w:tabs>
          <w:tab w:val="num" w:pos="1440"/>
        </w:tabs>
        <w:ind w:left="1440" w:hanging="360"/>
      </w:pPr>
      <w:rPr>
        <w:rFonts w:ascii="Wingdings" w:hAnsi="Wingdings" w:hint="default"/>
      </w:rPr>
    </w:lvl>
    <w:lvl w:ilvl="2" w:tplc="26225CF8" w:tentative="1">
      <w:start w:val="1"/>
      <w:numFmt w:val="bullet"/>
      <w:lvlText w:val=""/>
      <w:lvlJc w:val="left"/>
      <w:pPr>
        <w:tabs>
          <w:tab w:val="num" w:pos="2160"/>
        </w:tabs>
        <w:ind w:left="2160" w:hanging="360"/>
      </w:pPr>
      <w:rPr>
        <w:rFonts w:ascii="Wingdings" w:hAnsi="Wingdings" w:hint="default"/>
      </w:rPr>
    </w:lvl>
    <w:lvl w:ilvl="3" w:tplc="FD02C1C6" w:tentative="1">
      <w:start w:val="1"/>
      <w:numFmt w:val="bullet"/>
      <w:lvlText w:val=""/>
      <w:lvlJc w:val="left"/>
      <w:pPr>
        <w:tabs>
          <w:tab w:val="num" w:pos="2880"/>
        </w:tabs>
        <w:ind w:left="2880" w:hanging="360"/>
      </w:pPr>
      <w:rPr>
        <w:rFonts w:ascii="Wingdings" w:hAnsi="Wingdings" w:hint="default"/>
      </w:rPr>
    </w:lvl>
    <w:lvl w:ilvl="4" w:tplc="7E6EAD9C" w:tentative="1">
      <w:start w:val="1"/>
      <w:numFmt w:val="bullet"/>
      <w:lvlText w:val=""/>
      <w:lvlJc w:val="left"/>
      <w:pPr>
        <w:tabs>
          <w:tab w:val="num" w:pos="3600"/>
        </w:tabs>
        <w:ind w:left="3600" w:hanging="360"/>
      </w:pPr>
      <w:rPr>
        <w:rFonts w:ascii="Wingdings" w:hAnsi="Wingdings" w:hint="default"/>
      </w:rPr>
    </w:lvl>
    <w:lvl w:ilvl="5" w:tplc="C45C75BC" w:tentative="1">
      <w:start w:val="1"/>
      <w:numFmt w:val="bullet"/>
      <w:lvlText w:val=""/>
      <w:lvlJc w:val="left"/>
      <w:pPr>
        <w:tabs>
          <w:tab w:val="num" w:pos="4320"/>
        </w:tabs>
        <w:ind w:left="4320" w:hanging="360"/>
      </w:pPr>
      <w:rPr>
        <w:rFonts w:ascii="Wingdings" w:hAnsi="Wingdings" w:hint="default"/>
      </w:rPr>
    </w:lvl>
    <w:lvl w:ilvl="6" w:tplc="31CE2808" w:tentative="1">
      <w:start w:val="1"/>
      <w:numFmt w:val="bullet"/>
      <w:lvlText w:val=""/>
      <w:lvlJc w:val="left"/>
      <w:pPr>
        <w:tabs>
          <w:tab w:val="num" w:pos="5040"/>
        </w:tabs>
        <w:ind w:left="5040" w:hanging="360"/>
      </w:pPr>
      <w:rPr>
        <w:rFonts w:ascii="Wingdings" w:hAnsi="Wingdings" w:hint="default"/>
      </w:rPr>
    </w:lvl>
    <w:lvl w:ilvl="7" w:tplc="39A862D2" w:tentative="1">
      <w:start w:val="1"/>
      <w:numFmt w:val="bullet"/>
      <w:lvlText w:val=""/>
      <w:lvlJc w:val="left"/>
      <w:pPr>
        <w:tabs>
          <w:tab w:val="num" w:pos="5760"/>
        </w:tabs>
        <w:ind w:left="5760" w:hanging="360"/>
      </w:pPr>
      <w:rPr>
        <w:rFonts w:ascii="Wingdings" w:hAnsi="Wingdings" w:hint="default"/>
      </w:rPr>
    </w:lvl>
    <w:lvl w:ilvl="8" w:tplc="7A6C1EAE"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73FF3BD9"/>
    <w:multiLevelType w:val="multilevel"/>
    <w:tmpl w:val="0E786ED2"/>
    <w:lvl w:ilvl="0">
      <w:start w:val="1"/>
      <w:numFmt w:val="decimal"/>
      <w:lvlText w:val="%1."/>
      <w:lvlJc w:val="left"/>
      <w:pPr>
        <w:ind w:left="720" w:hanging="360"/>
      </w:pPr>
      <w:rPr>
        <w:rFonts w:hint="default"/>
        <w:sz w:val="28"/>
        <w:szCs w:val="28"/>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2000109961">
    <w:abstractNumId w:val="3"/>
  </w:num>
  <w:num w:numId="2" w16cid:durableId="1722706951">
    <w:abstractNumId w:val="5"/>
  </w:num>
  <w:num w:numId="3" w16cid:durableId="335810324">
    <w:abstractNumId w:val="7"/>
  </w:num>
  <w:num w:numId="4" w16cid:durableId="808743765">
    <w:abstractNumId w:val="1"/>
  </w:num>
  <w:num w:numId="5" w16cid:durableId="1356345100">
    <w:abstractNumId w:val="2"/>
  </w:num>
  <w:num w:numId="6" w16cid:durableId="409356113">
    <w:abstractNumId w:val="8"/>
  </w:num>
  <w:num w:numId="7" w16cid:durableId="1013411307">
    <w:abstractNumId w:val="11"/>
  </w:num>
  <w:num w:numId="8" w16cid:durableId="704909136">
    <w:abstractNumId w:val="12"/>
  </w:num>
  <w:num w:numId="9" w16cid:durableId="727722926">
    <w:abstractNumId w:val="13"/>
  </w:num>
  <w:num w:numId="10" w16cid:durableId="1673218554">
    <w:abstractNumId w:val="9"/>
  </w:num>
  <w:num w:numId="11" w16cid:durableId="708605761">
    <w:abstractNumId w:val="4"/>
  </w:num>
  <w:num w:numId="12" w16cid:durableId="514803500">
    <w:abstractNumId w:val="10"/>
  </w:num>
  <w:num w:numId="13" w16cid:durableId="529218906">
    <w:abstractNumId w:val="6"/>
  </w:num>
  <w:num w:numId="14" w16cid:durableId="940526051">
    <w:abstractNumId w:val="0"/>
  </w:num>
  <w:num w:numId="15" w16cid:durableId="122306275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12AF4"/>
    <w:rsid w:val="00025704"/>
    <w:rsid w:val="00044595"/>
    <w:rsid w:val="000C5B5E"/>
    <w:rsid w:val="000D0FC2"/>
    <w:rsid w:val="000F2C3F"/>
    <w:rsid w:val="00151D86"/>
    <w:rsid w:val="001E5FA7"/>
    <w:rsid w:val="00212A7F"/>
    <w:rsid w:val="00221A54"/>
    <w:rsid w:val="00222971"/>
    <w:rsid w:val="002336AF"/>
    <w:rsid w:val="00255D51"/>
    <w:rsid w:val="00262E6B"/>
    <w:rsid w:val="00283824"/>
    <w:rsid w:val="002A14D1"/>
    <w:rsid w:val="002D13AE"/>
    <w:rsid w:val="00356589"/>
    <w:rsid w:val="00370337"/>
    <w:rsid w:val="0039570E"/>
    <w:rsid w:val="003C1E4E"/>
    <w:rsid w:val="003D23A6"/>
    <w:rsid w:val="003E34BB"/>
    <w:rsid w:val="004020D5"/>
    <w:rsid w:val="004223B1"/>
    <w:rsid w:val="00425C18"/>
    <w:rsid w:val="004A38E0"/>
    <w:rsid w:val="004B42E1"/>
    <w:rsid w:val="004B5936"/>
    <w:rsid w:val="004C4109"/>
    <w:rsid w:val="005401FF"/>
    <w:rsid w:val="00567F29"/>
    <w:rsid w:val="0058254B"/>
    <w:rsid w:val="005C017C"/>
    <w:rsid w:val="006118C0"/>
    <w:rsid w:val="00644532"/>
    <w:rsid w:val="006657DE"/>
    <w:rsid w:val="00711EE6"/>
    <w:rsid w:val="00716802"/>
    <w:rsid w:val="0075182C"/>
    <w:rsid w:val="007B0BB9"/>
    <w:rsid w:val="007C5D50"/>
    <w:rsid w:val="007F60F7"/>
    <w:rsid w:val="008265EC"/>
    <w:rsid w:val="00831DAE"/>
    <w:rsid w:val="008375B5"/>
    <w:rsid w:val="008D4825"/>
    <w:rsid w:val="008E31E6"/>
    <w:rsid w:val="008E4B48"/>
    <w:rsid w:val="008F1B7A"/>
    <w:rsid w:val="009334D8"/>
    <w:rsid w:val="00987802"/>
    <w:rsid w:val="009A2E56"/>
    <w:rsid w:val="009E70B2"/>
    <w:rsid w:val="00A21907"/>
    <w:rsid w:val="00A875D4"/>
    <w:rsid w:val="00A9474F"/>
    <w:rsid w:val="00AA65A0"/>
    <w:rsid w:val="00AC2DCE"/>
    <w:rsid w:val="00AC3774"/>
    <w:rsid w:val="00AC3FDE"/>
    <w:rsid w:val="00B02123"/>
    <w:rsid w:val="00B10BD8"/>
    <w:rsid w:val="00B433E9"/>
    <w:rsid w:val="00B43C47"/>
    <w:rsid w:val="00B71F3C"/>
    <w:rsid w:val="00B74711"/>
    <w:rsid w:val="00B86523"/>
    <w:rsid w:val="00C30C18"/>
    <w:rsid w:val="00C80D0F"/>
    <w:rsid w:val="00D14F89"/>
    <w:rsid w:val="00D22092"/>
    <w:rsid w:val="00D23C0F"/>
    <w:rsid w:val="00D40915"/>
    <w:rsid w:val="00D718ED"/>
    <w:rsid w:val="00DB26CD"/>
    <w:rsid w:val="00DD2F9F"/>
    <w:rsid w:val="00DF5A44"/>
    <w:rsid w:val="00E31C3A"/>
    <w:rsid w:val="00E963E5"/>
    <w:rsid w:val="00EB757D"/>
    <w:rsid w:val="00FE4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1A54"/>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283824"/>
    <w:pPr>
      <w:keepNext/>
      <w:keepLines/>
      <w:spacing w:before="240" w:after="80"/>
      <w:outlineLvl w:val="0"/>
    </w:pPr>
    <w:rPr>
      <w:rFonts w:ascii="Arial" w:eastAsia="Times New Roman" w:hAnsi="Arial"/>
      <w:b/>
      <w:sz w:val="28"/>
      <w:szCs w:val="40"/>
    </w:rPr>
  </w:style>
  <w:style w:type="paragraph" w:styleId="Heading2">
    <w:name w:val="heading 2"/>
    <w:basedOn w:val="Normal"/>
    <w:next w:val="Normal"/>
    <w:link w:val="Heading2Char"/>
    <w:uiPriority w:val="9"/>
    <w:unhideWhenUsed/>
    <w:qFormat/>
    <w:rsid w:val="00283824"/>
    <w:pPr>
      <w:keepNext/>
      <w:keepLines/>
      <w:spacing w:before="120" w:after="80"/>
      <w:outlineLvl w:val="1"/>
    </w:pPr>
    <w:rPr>
      <w:rFonts w:ascii="Arial" w:eastAsia="Times New Roman" w:hAnsi="Arial"/>
      <w:b/>
      <w:sz w:val="2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283824"/>
    <w:rPr>
      <w:rFonts w:ascii="Arial" w:eastAsia="Times New Roman" w:hAnsi="Arial"/>
      <w:b/>
      <w:kern w:val="2"/>
      <w:sz w:val="28"/>
      <w:szCs w:val="40"/>
      <w:lang w:eastAsia="en-US"/>
    </w:rPr>
  </w:style>
  <w:style w:type="character" w:customStyle="1" w:styleId="Heading2Char">
    <w:name w:val="Heading 2 Char"/>
    <w:link w:val="Heading2"/>
    <w:uiPriority w:val="9"/>
    <w:rsid w:val="00283824"/>
    <w:rPr>
      <w:rFonts w:ascii="Arial" w:eastAsia="Times New Roman" w:hAnsi="Arial"/>
      <w:b/>
      <w:kern w:val="2"/>
      <w:sz w:val="22"/>
      <w:szCs w:val="32"/>
      <w:lang w:eastAsia="en-US"/>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paragraph" w:styleId="TOCHeading">
    <w:name w:val="TOC Heading"/>
    <w:basedOn w:val="Heading1"/>
    <w:next w:val="Normal"/>
    <w:uiPriority w:val="39"/>
    <w:unhideWhenUsed/>
    <w:qFormat/>
    <w:rsid w:val="008E4B48"/>
    <w:pPr>
      <w:spacing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2">
    <w:name w:val="toc 2"/>
    <w:basedOn w:val="Normal"/>
    <w:next w:val="Normal"/>
    <w:autoRedefine/>
    <w:uiPriority w:val="39"/>
    <w:unhideWhenUsed/>
    <w:rsid w:val="008E4B48"/>
    <w:pPr>
      <w:spacing w:after="100" w:line="259" w:lineRule="auto"/>
      <w:ind w:left="220"/>
    </w:pPr>
    <w:rPr>
      <w:rFonts w:asciiTheme="minorHAnsi" w:eastAsiaTheme="minorEastAsia" w:hAnsiTheme="minorHAnsi"/>
      <w:kern w:val="0"/>
      <w:sz w:val="22"/>
      <w:szCs w:val="22"/>
      <w:lang w:val="en-US"/>
    </w:rPr>
  </w:style>
  <w:style w:type="paragraph" w:styleId="TOC1">
    <w:name w:val="toc 1"/>
    <w:basedOn w:val="Normal"/>
    <w:next w:val="Normal"/>
    <w:autoRedefine/>
    <w:uiPriority w:val="39"/>
    <w:unhideWhenUsed/>
    <w:rsid w:val="008E4B48"/>
    <w:pPr>
      <w:spacing w:after="100" w:line="259" w:lineRule="auto"/>
    </w:pPr>
    <w:rPr>
      <w:rFonts w:asciiTheme="minorHAnsi" w:eastAsiaTheme="minorEastAsia" w:hAnsiTheme="minorHAnsi"/>
      <w:kern w:val="0"/>
      <w:sz w:val="22"/>
      <w:szCs w:val="22"/>
      <w:lang w:val="en-US"/>
    </w:rPr>
  </w:style>
  <w:style w:type="paragraph" w:styleId="TOC3">
    <w:name w:val="toc 3"/>
    <w:basedOn w:val="Normal"/>
    <w:next w:val="Normal"/>
    <w:autoRedefine/>
    <w:uiPriority w:val="39"/>
    <w:unhideWhenUsed/>
    <w:rsid w:val="008E4B48"/>
    <w:pPr>
      <w:spacing w:after="100" w:line="259" w:lineRule="auto"/>
      <w:ind w:left="440"/>
    </w:pPr>
    <w:rPr>
      <w:rFonts w:asciiTheme="minorHAnsi" w:eastAsiaTheme="minorEastAsia" w:hAnsiTheme="minorHAnsi"/>
      <w:kern w:val="0"/>
      <w:sz w:val="22"/>
      <w:szCs w:val="22"/>
      <w:lang w:val="en-US"/>
    </w:rPr>
  </w:style>
  <w:style w:type="character" w:styleId="Hyperlink">
    <w:name w:val="Hyperlink"/>
    <w:basedOn w:val="DefaultParagraphFont"/>
    <w:uiPriority w:val="99"/>
    <w:unhideWhenUsed/>
    <w:rsid w:val="007C5D5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24909">
      <w:bodyDiv w:val="1"/>
      <w:marLeft w:val="0"/>
      <w:marRight w:val="0"/>
      <w:marTop w:val="0"/>
      <w:marBottom w:val="0"/>
      <w:divBdr>
        <w:top w:val="none" w:sz="0" w:space="0" w:color="auto"/>
        <w:left w:val="none" w:sz="0" w:space="0" w:color="auto"/>
        <w:bottom w:val="none" w:sz="0" w:space="0" w:color="auto"/>
        <w:right w:val="none" w:sz="0" w:space="0" w:color="auto"/>
      </w:divBdr>
    </w:div>
    <w:div w:id="400295453">
      <w:bodyDiv w:val="1"/>
      <w:marLeft w:val="0"/>
      <w:marRight w:val="0"/>
      <w:marTop w:val="0"/>
      <w:marBottom w:val="0"/>
      <w:divBdr>
        <w:top w:val="none" w:sz="0" w:space="0" w:color="auto"/>
        <w:left w:val="none" w:sz="0" w:space="0" w:color="auto"/>
        <w:bottom w:val="none" w:sz="0" w:space="0" w:color="auto"/>
        <w:right w:val="none" w:sz="0" w:space="0" w:color="auto"/>
      </w:divBdr>
    </w:div>
    <w:div w:id="506480021">
      <w:bodyDiv w:val="1"/>
      <w:marLeft w:val="0"/>
      <w:marRight w:val="0"/>
      <w:marTop w:val="0"/>
      <w:marBottom w:val="0"/>
      <w:divBdr>
        <w:top w:val="none" w:sz="0" w:space="0" w:color="auto"/>
        <w:left w:val="none" w:sz="0" w:space="0" w:color="auto"/>
        <w:bottom w:val="none" w:sz="0" w:space="0" w:color="auto"/>
        <w:right w:val="none" w:sz="0" w:space="0" w:color="auto"/>
      </w:divBdr>
      <w:divsChild>
        <w:div w:id="1232043337">
          <w:marLeft w:val="547"/>
          <w:marRight w:val="0"/>
          <w:marTop w:val="77"/>
          <w:marBottom w:val="0"/>
          <w:divBdr>
            <w:top w:val="none" w:sz="0" w:space="0" w:color="auto"/>
            <w:left w:val="none" w:sz="0" w:space="0" w:color="auto"/>
            <w:bottom w:val="none" w:sz="0" w:space="0" w:color="auto"/>
            <w:right w:val="none" w:sz="0" w:space="0" w:color="auto"/>
          </w:divBdr>
        </w:div>
        <w:div w:id="2085637149">
          <w:marLeft w:val="547"/>
          <w:marRight w:val="0"/>
          <w:marTop w:val="77"/>
          <w:marBottom w:val="0"/>
          <w:divBdr>
            <w:top w:val="none" w:sz="0" w:space="0" w:color="auto"/>
            <w:left w:val="none" w:sz="0" w:space="0" w:color="auto"/>
            <w:bottom w:val="none" w:sz="0" w:space="0" w:color="auto"/>
            <w:right w:val="none" w:sz="0" w:space="0" w:color="auto"/>
          </w:divBdr>
        </w:div>
        <w:div w:id="781650702">
          <w:marLeft w:val="547"/>
          <w:marRight w:val="0"/>
          <w:marTop w:val="77"/>
          <w:marBottom w:val="0"/>
          <w:divBdr>
            <w:top w:val="none" w:sz="0" w:space="0" w:color="auto"/>
            <w:left w:val="none" w:sz="0" w:space="0" w:color="auto"/>
            <w:bottom w:val="none" w:sz="0" w:space="0" w:color="auto"/>
            <w:right w:val="none" w:sz="0" w:space="0" w:color="auto"/>
          </w:divBdr>
        </w:div>
        <w:div w:id="336230873">
          <w:marLeft w:val="547"/>
          <w:marRight w:val="0"/>
          <w:marTop w:val="77"/>
          <w:marBottom w:val="0"/>
          <w:divBdr>
            <w:top w:val="none" w:sz="0" w:space="0" w:color="auto"/>
            <w:left w:val="none" w:sz="0" w:space="0" w:color="auto"/>
            <w:bottom w:val="none" w:sz="0" w:space="0" w:color="auto"/>
            <w:right w:val="none" w:sz="0" w:space="0" w:color="auto"/>
          </w:divBdr>
        </w:div>
      </w:divsChild>
    </w:div>
    <w:div w:id="506748153">
      <w:bodyDiv w:val="1"/>
      <w:marLeft w:val="0"/>
      <w:marRight w:val="0"/>
      <w:marTop w:val="0"/>
      <w:marBottom w:val="0"/>
      <w:divBdr>
        <w:top w:val="none" w:sz="0" w:space="0" w:color="auto"/>
        <w:left w:val="none" w:sz="0" w:space="0" w:color="auto"/>
        <w:bottom w:val="none" w:sz="0" w:space="0" w:color="auto"/>
        <w:right w:val="none" w:sz="0" w:space="0" w:color="auto"/>
      </w:divBdr>
    </w:div>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777287654">
      <w:bodyDiv w:val="1"/>
      <w:marLeft w:val="0"/>
      <w:marRight w:val="0"/>
      <w:marTop w:val="0"/>
      <w:marBottom w:val="0"/>
      <w:divBdr>
        <w:top w:val="none" w:sz="0" w:space="0" w:color="auto"/>
        <w:left w:val="none" w:sz="0" w:space="0" w:color="auto"/>
        <w:bottom w:val="none" w:sz="0" w:space="0" w:color="auto"/>
        <w:right w:val="none" w:sz="0" w:space="0" w:color="auto"/>
      </w:divBdr>
      <w:divsChild>
        <w:div w:id="901134854">
          <w:marLeft w:val="547"/>
          <w:marRight w:val="0"/>
          <w:marTop w:val="67"/>
          <w:marBottom w:val="0"/>
          <w:divBdr>
            <w:top w:val="none" w:sz="0" w:space="0" w:color="auto"/>
            <w:left w:val="none" w:sz="0" w:space="0" w:color="auto"/>
            <w:bottom w:val="none" w:sz="0" w:space="0" w:color="auto"/>
            <w:right w:val="none" w:sz="0" w:space="0" w:color="auto"/>
          </w:divBdr>
        </w:div>
        <w:div w:id="1642077566">
          <w:marLeft w:val="547"/>
          <w:marRight w:val="0"/>
          <w:marTop w:val="67"/>
          <w:marBottom w:val="0"/>
          <w:divBdr>
            <w:top w:val="none" w:sz="0" w:space="0" w:color="auto"/>
            <w:left w:val="none" w:sz="0" w:space="0" w:color="auto"/>
            <w:bottom w:val="none" w:sz="0" w:space="0" w:color="auto"/>
            <w:right w:val="none" w:sz="0" w:space="0" w:color="auto"/>
          </w:divBdr>
        </w:div>
        <w:div w:id="1188719122">
          <w:marLeft w:val="547"/>
          <w:marRight w:val="0"/>
          <w:marTop w:val="67"/>
          <w:marBottom w:val="0"/>
          <w:divBdr>
            <w:top w:val="none" w:sz="0" w:space="0" w:color="auto"/>
            <w:left w:val="none" w:sz="0" w:space="0" w:color="auto"/>
            <w:bottom w:val="none" w:sz="0" w:space="0" w:color="auto"/>
            <w:right w:val="none" w:sz="0" w:space="0" w:color="auto"/>
          </w:divBdr>
        </w:div>
        <w:div w:id="852188546">
          <w:marLeft w:val="547"/>
          <w:marRight w:val="0"/>
          <w:marTop w:val="67"/>
          <w:marBottom w:val="0"/>
          <w:divBdr>
            <w:top w:val="none" w:sz="0" w:space="0" w:color="auto"/>
            <w:left w:val="none" w:sz="0" w:space="0" w:color="auto"/>
            <w:bottom w:val="none" w:sz="0" w:space="0" w:color="auto"/>
            <w:right w:val="none" w:sz="0" w:space="0" w:color="auto"/>
          </w:divBdr>
        </w:div>
        <w:div w:id="1779449824">
          <w:marLeft w:val="547"/>
          <w:marRight w:val="0"/>
          <w:marTop w:val="67"/>
          <w:marBottom w:val="0"/>
          <w:divBdr>
            <w:top w:val="none" w:sz="0" w:space="0" w:color="auto"/>
            <w:left w:val="none" w:sz="0" w:space="0" w:color="auto"/>
            <w:bottom w:val="none" w:sz="0" w:space="0" w:color="auto"/>
            <w:right w:val="none" w:sz="0" w:space="0" w:color="auto"/>
          </w:divBdr>
        </w:div>
        <w:div w:id="2053843888">
          <w:marLeft w:val="547"/>
          <w:marRight w:val="0"/>
          <w:marTop w:val="67"/>
          <w:marBottom w:val="0"/>
          <w:divBdr>
            <w:top w:val="none" w:sz="0" w:space="0" w:color="auto"/>
            <w:left w:val="none" w:sz="0" w:space="0" w:color="auto"/>
            <w:bottom w:val="none" w:sz="0" w:space="0" w:color="auto"/>
            <w:right w:val="none" w:sz="0" w:space="0" w:color="auto"/>
          </w:divBdr>
        </w:div>
        <w:div w:id="1633048884">
          <w:marLeft w:val="547"/>
          <w:marRight w:val="0"/>
          <w:marTop w:val="67"/>
          <w:marBottom w:val="0"/>
          <w:divBdr>
            <w:top w:val="none" w:sz="0" w:space="0" w:color="auto"/>
            <w:left w:val="none" w:sz="0" w:space="0" w:color="auto"/>
            <w:bottom w:val="none" w:sz="0" w:space="0" w:color="auto"/>
            <w:right w:val="none" w:sz="0" w:space="0" w:color="auto"/>
          </w:divBdr>
        </w:div>
        <w:div w:id="726076113">
          <w:marLeft w:val="547"/>
          <w:marRight w:val="0"/>
          <w:marTop w:val="67"/>
          <w:marBottom w:val="0"/>
          <w:divBdr>
            <w:top w:val="none" w:sz="0" w:space="0" w:color="auto"/>
            <w:left w:val="none" w:sz="0" w:space="0" w:color="auto"/>
            <w:bottom w:val="none" w:sz="0" w:space="0" w:color="auto"/>
            <w:right w:val="none" w:sz="0" w:space="0" w:color="auto"/>
          </w:divBdr>
        </w:div>
        <w:div w:id="1104836448">
          <w:marLeft w:val="547"/>
          <w:marRight w:val="0"/>
          <w:marTop w:val="67"/>
          <w:marBottom w:val="0"/>
          <w:divBdr>
            <w:top w:val="none" w:sz="0" w:space="0" w:color="auto"/>
            <w:left w:val="none" w:sz="0" w:space="0" w:color="auto"/>
            <w:bottom w:val="none" w:sz="0" w:space="0" w:color="auto"/>
            <w:right w:val="none" w:sz="0" w:space="0" w:color="auto"/>
          </w:divBdr>
        </w:div>
        <w:div w:id="1113132227">
          <w:marLeft w:val="547"/>
          <w:marRight w:val="0"/>
          <w:marTop w:val="67"/>
          <w:marBottom w:val="0"/>
          <w:divBdr>
            <w:top w:val="none" w:sz="0" w:space="0" w:color="auto"/>
            <w:left w:val="none" w:sz="0" w:space="0" w:color="auto"/>
            <w:bottom w:val="none" w:sz="0" w:space="0" w:color="auto"/>
            <w:right w:val="none" w:sz="0" w:space="0" w:color="auto"/>
          </w:divBdr>
        </w:div>
        <w:div w:id="1901940142">
          <w:marLeft w:val="547"/>
          <w:marRight w:val="0"/>
          <w:marTop w:val="67"/>
          <w:marBottom w:val="0"/>
          <w:divBdr>
            <w:top w:val="none" w:sz="0" w:space="0" w:color="auto"/>
            <w:left w:val="none" w:sz="0" w:space="0" w:color="auto"/>
            <w:bottom w:val="none" w:sz="0" w:space="0" w:color="auto"/>
            <w:right w:val="none" w:sz="0" w:space="0" w:color="auto"/>
          </w:divBdr>
        </w:div>
      </w:divsChild>
    </w:div>
    <w:div w:id="806976452">
      <w:bodyDiv w:val="1"/>
      <w:marLeft w:val="0"/>
      <w:marRight w:val="0"/>
      <w:marTop w:val="0"/>
      <w:marBottom w:val="0"/>
      <w:divBdr>
        <w:top w:val="none" w:sz="0" w:space="0" w:color="auto"/>
        <w:left w:val="none" w:sz="0" w:space="0" w:color="auto"/>
        <w:bottom w:val="none" w:sz="0" w:space="0" w:color="auto"/>
        <w:right w:val="none" w:sz="0" w:space="0" w:color="auto"/>
      </w:divBdr>
    </w:div>
    <w:div w:id="1020467849">
      <w:bodyDiv w:val="1"/>
      <w:marLeft w:val="0"/>
      <w:marRight w:val="0"/>
      <w:marTop w:val="0"/>
      <w:marBottom w:val="0"/>
      <w:divBdr>
        <w:top w:val="none" w:sz="0" w:space="0" w:color="auto"/>
        <w:left w:val="none" w:sz="0" w:space="0" w:color="auto"/>
        <w:bottom w:val="none" w:sz="0" w:space="0" w:color="auto"/>
        <w:right w:val="none" w:sz="0" w:space="0" w:color="auto"/>
      </w:divBdr>
      <w:divsChild>
        <w:div w:id="632562859">
          <w:marLeft w:val="547"/>
          <w:marRight w:val="0"/>
          <w:marTop w:val="67"/>
          <w:marBottom w:val="0"/>
          <w:divBdr>
            <w:top w:val="none" w:sz="0" w:space="0" w:color="auto"/>
            <w:left w:val="none" w:sz="0" w:space="0" w:color="auto"/>
            <w:bottom w:val="none" w:sz="0" w:space="0" w:color="auto"/>
            <w:right w:val="none" w:sz="0" w:space="0" w:color="auto"/>
          </w:divBdr>
        </w:div>
        <w:div w:id="146408461">
          <w:marLeft w:val="547"/>
          <w:marRight w:val="0"/>
          <w:marTop w:val="67"/>
          <w:marBottom w:val="0"/>
          <w:divBdr>
            <w:top w:val="none" w:sz="0" w:space="0" w:color="auto"/>
            <w:left w:val="none" w:sz="0" w:space="0" w:color="auto"/>
            <w:bottom w:val="none" w:sz="0" w:space="0" w:color="auto"/>
            <w:right w:val="none" w:sz="0" w:space="0" w:color="auto"/>
          </w:divBdr>
        </w:div>
        <w:div w:id="1601180972">
          <w:marLeft w:val="547"/>
          <w:marRight w:val="0"/>
          <w:marTop w:val="67"/>
          <w:marBottom w:val="0"/>
          <w:divBdr>
            <w:top w:val="none" w:sz="0" w:space="0" w:color="auto"/>
            <w:left w:val="none" w:sz="0" w:space="0" w:color="auto"/>
            <w:bottom w:val="none" w:sz="0" w:space="0" w:color="auto"/>
            <w:right w:val="none" w:sz="0" w:space="0" w:color="auto"/>
          </w:divBdr>
        </w:div>
        <w:div w:id="1505776019">
          <w:marLeft w:val="1354"/>
          <w:marRight w:val="0"/>
          <w:marTop w:val="67"/>
          <w:marBottom w:val="0"/>
          <w:divBdr>
            <w:top w:val="none" w:sz="0" w:space="0" w:color="auto"/>
            <w:left w:val="none" w:sz="0" w:space="0" w:color="auto"/>
            <w:bottom w:val="none" w:sz="0" w:space="0" w:color="auto"/>
            <w:right w:val="none" w:sz="0" w:space="0" w:color="auto"/>
          </w:divBdr>
        </w:div>
        <w:div w:id="504637642">
          <w:marLeft w:val="1354"/>
          <w:marRight w:val="0"/>
          <w:marTop w:val="67"/>
          <w:marBottom w:val="0"/>
          <w:divBdr>
            <w:top w:val="none" w:sz="0" w:space="0" w:color="auto"/>
            <w:left w:val="none" w:sz="0" w:space="0" w:color="auto"/>
            <w:bottom w:val="none" w:sz="0" w:space="0" w:color="auto"/>
            <w:right w:val="none" w:sz="0" w:space="0" w:color="auto"/>
          </w:divBdr>
        </w:div>
        <w:div w:id="1944923319">
          <w:marLeft w:val="1354"/>
          <w:marRight w:val="0"/>
          <w:marTop w:val="67"/>
          <w:marBottom w:val="0"/>
          <w:divBdr>
            <w:top w:val="none" w:sz="0" w:space="0" w:color="auto"/>
            <w:left w:val="none" w:sz="0" w:space="0" w:color="auto"/>
            <w:bottom w:val="none" w:sz="0" w:space="0" w:color="auto"/>
            <w:right w:val="none" w:sz="0" w:space="0" w:color="auto"/>
          </w:divBdr>
        </w:div>
        <w:div w:id="482359282">
          <w:marLeft w:val="547"/>
          <w:marRight w:val="0"/>
          <w:marTop w:val="67"/>
          <w:marBottom w:val="0"/>
          <w:divBdr>
            <w:top w:val="none" w:sz="0" w:space="0" w:color="auto"/>
            <w:left w:val="none" w:sz="0" w:space="0" w:color="auto"/>
            <w:bottom w:val="none" w:sz="0" w:space="0" w:color="auto"/>
            <w:right w:val="none" w:sz="0" w:space="0" w:color="auto"/>
          </w:divBdr>
        </w:div>
        <w:div w:id="1752922576">
          <w:marLeft w:val="547"/>
          <w:marRight w:val="0"/>
          <w:marTop w:val="67"/>
          <w:marBottom w:val="0"/>
          <w:divBdr>
            <w:top w:val="none" w:sz="0" w:space="0" w:color="auto"/>
            <w:left w:val="none" w:sz="0" w:space="0" w:color="auto"/>
            <w:bottom w:val="none" w:sz="0" w:space="0" w:color="auto"/>
            <w:right w:val="none" w:sz="0" w:space="0" w:color="auto"/>
          </w:divBdr>
        </w:div>
        <w:div w:id="1706708849">
          <w:marLeft w:val="547"/>
          <w:marRight w:val="0"/>
          <w:marTop w:val="67"/>
          <w:marBottom w:val="120"/>
          <w:divBdr>
            <w:top w:val="none" w:sz="0" w:space="0" w:color="auto"/>
            <w:left w:val="none" w:sz="0" w:space="0" w:color="auto"/>
            <w:bottom w:val="none" w:sz="0" w:space="0" w:color="auto"/>
            <w:right w:val="none" w:sz="0" w:space="0" w:color="auto"/>
          </w:divBdr>
        </w:div>
      </w:divsChild>
    </w:div>
    <w:div w:id="1230655251">
      <w:bodyDiv w:val="1"/>
      <w:marLeft w:val="0"/>
      <w:marRight w:val="0"/>
      <w:marTop w:val="0"/>
      <w:marBottom w:val="0"/>
      <w:divBdr>
        <w:top w:val="none" w:sz="0" w:space="0" w:color="auto"/>
        <w:left w:val="none" w:sz="0" w:space="0" w:color="auto"/>
        <w:bottom w:val="none" w:sz="0" w:space="0" w:color="auto"/>
        <w:right w:val="none" w:sz="0" w:space="0" w:color="auto"/>
      </w:divBdr>
    </w:div>
    <w:div w:id="1254125623">
      <w:bodyDiv w:val="1"/>
      <w:marLeft w:val="0"/>
      <w:marRight w:val="0"/>
      <w:marTop w:val="0"/>
      <w:marBottom w:val="0"/>
      <w:divBdr>
        <w:top w:val="none" w:sz="0" w:space="0" w:color="auto"/>
        <w:left w:val="none" w:sz="0" w:space="0" w:color="auto"/>
        <w:bottom w:val="none" w:sz="0" w:space="0" w:color="auto"/>
        <w:right w:val="none" w:sz="0" w:space="0" w:color="auto"/>
      </w:divBdr>
    </w:div>
    <w:div w:id="1268465244">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463377666">
      <w:bodyDiv w:val="1"/>
      <w:marLeft w:val="0"/>
      <w:marRight w:val="0"/>
      <w:marTop w:val="0"/>
      <w:marBottom w:val="0"/>
      <w:divBdr>
        <w:top w:val="none" w:sz="0" w:space="0" w:color="auto"/>
        <w:left w:val="none" w:sz="0" w:space="0" w:color="auto"/>
        <w:bottom w:val="none" w:sz="0" w:space="0" w:color="auto"/>
        <w:right w:val="none" w:sz="0" w:space="0" w:color="auto"/>
      </w:divBdr>
    </w:div>
    <w:div w:id="1488206143">
      <w:bodyDiv w:val="1"/>
      <w:marLeft w:val="0"/>
      <w:marRight w:val="0"/>
      <w:marTop w:val="0"/>
      <w:marBottom w:val="0"/>
      <w:divBdr>
        <w:top w:val="none" w:sz="0" w:space="0" w:color="auto"/>
        <w:left w:val="none" w:sz="0" w:space="0" w:color="auto"/>
        <w:bottom w:val="none" w:sz="0" w:space="0" w:color="auto"/>
        <w:right w:val="none" w:sz="0" w:space="0" w:color="auto"/>
      </w:divBdr>
      <w:divsChild>
        <w:div w:id="2127693711">
          <w:marLeft w:val="547"/>
          <w:marRight w:val="0"/>
          <w:marTop w:val="0"/>
          <w:marBottom w:val="0"/>
          <w:divBdr>
            <w:top w:val="none" w:sz="0" w:space="0" w:color="auto"/>
            <w:left w:val="none" w:sz="0" w:space="0" w:color="auto"/>
            <w:bottom w:val="none" w:sz="0" w:space="0" w:color="auto"/>
            <w:right w:val="none" w:sz="0" w:space="0" w:color="auto"/>
          </w:divBdr>
        </w:div>
        <w:div w:id="1771273756">
          <w:marLeft w:val="547"/>
          <w:marRight w:val="0"/>
          <w:marTop w:val="0"/>
          <w:marBottom w:val="0"/>
          <w:divBdr>
            <w:top w:val="none" w:sz="0" w:space="0" w:color="auto"/>
            <w:left w:val="none" w:sz="0" w:space="0" w:color="auto"/>
            <w:bottom w:val="none" w:sz="0" w:space="0" w:color="auto"/>
            <w:right w:val="none" w:sz="0" w:space="0" w:color="auto"/>
          </w:divBdr>
        </w:div>
        <w:div w:id="992830438">
          <w:marLeft w:val="547"/>
          <w:marRight w:val="0"/>
          <w:marTop w:val="0"/>
          <w:marBottom w:val="0"/>
          <w:divBdr>
            <w:top w:val="none" w:sz="0" w:space="0" w:color="auto"/>
            <w:left w:val="none" w:sz="0" w:space="0" w:color="auto"/>
            <w:bottom w:val="none" w:sz="0" w:space="0" w:color="auto"/>
            <w:right w:val="none" w:sz="0" w:space="0" w:color="auto"/>
          </w:divBdr>
        </w:div>
        <w:div w:id="1428503186">
          <w:marLeft w:val="547"/>
          <w:marRight w:val="0"/>
          <w:marTop w:val="0"/>
          <w:marBottom w:val="0"/>
          <w:divBdr>
            <w:top w:val="none" w:sz="0" w:space="0" w:color="auto"/>
            <w:left w:val="none" w:sz="0" w:space="0" w:color="auto"/>
            <w:bottom w:val="none" w:sz="0" w:space="0" w:color="auto"/>
            <w:right w:val="none" w:sz="0" w:space="0" w:color="auto"/>
          </w:divBdr>
        </w:div>
        <w:div w:id="420949242">
          <w:marLeft w:val="547"/>
          <w:marRight w:val="0"/>
          <w:marTop w:val="0"/>
          <w:marBottom w:val="0"/>
          <w:divBdr>
            <w:top w:val="none" w:sz="0" w:space="0" w:color="auto"/>
            <w:left w:val="none" w:sz="0" w:space="0" w:color="auto"/>
            <w:bottom w:val="none" w:sz="0" w:space="0" w:color="auto"/>
            <w:right w:val="none" w:sz="0" w:space="0" w:color="auto"/>
          </w:divBdr>
        </w:div>
        <w:div w:id="953826704">
          <w:marLeft w:val="547"/>
          <w:marRight w:val="0"/>
          <w:marTop w:val="0"/>
          <w:marBottom w:val="0"/>
          <w:divBdr>
            <w:top w:val="none" w:sz="0" w:space="0" w:color="auto"/>
            <w:left w:val="none" w:sz="0" w:space="0" w:color="auto"/>
            <w:bottom w:val="none" w:sz="0" w:space="0" w:color="auto"/>
            <w:right w:val="none" w:sz="0" w:space="0" w:color="auto"/>
          </w:divBdr>
        </w:div>
      </w:divsChild>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 w:id="1695184723">
      <w:bodyDiv w:val="1"/>
      <w:marLeft w:val="0"/>
      <w:marRight w:val="0"/>
      <w:marTop w:val="0"/>
      <w:marBottom w:val="0"/>
      <w:divBdr>
        <w:top w:val="none" w:sz="0" w:space="0" w:color="auto"/>
        <w:left w:val="none" w:sz="0" w:space="0" w:color="auto"/>
        <w:bottom w:val="none" w:sz="0" w:space="0" w:color="auto"/>
        <w:right w:val="none" w:sz="0" w:space="0" w:color="auto"/>
      </w:divBdr>
      <w:divsChild>
        <w:div w:id="1436706546">
          <w:marLeft w:val="547"/>
          <w:marRight w:val="0"/>
          <w:marTop w:val="67"/>
          <w:marBottom w:val="0"/>
          <w:divBdr>
            <w:top w:val="none" w:sz="0" w:space="0" w:color="auto"/>
            <w:left w:val="none" w:sz="0" w:space="0" w:color="auto"/>
            <w:bottom w:val="none" w:sz="0" w:space="0" w:color="auto"/>
            <w:right w:val="none" w:sz="0" w:space="0" w:color="auto"/>
          </w:divBdr>
        </w:div>
        <w:div w:id="509610730">
          <w:marLeft w:val="547"/>
          <w:marRight w:val="0"/>
          <w:marTop w:val="67"/>
          <w:marBottom w:val="0"/>
          <w:divBdr>
            <w:top w:val="none" w:sz="0" w:space="0" w:color="auto"/>
            <w:left w:val="none" w:sz="0" w:space="0" w:color="auto"/>
            <w:bottom w:val="none" w:sz="0" w:space="0" w:color="auto"/>
            <w:right w:val="none" w:sz="0" w:space="0" w:color="auto"/>
          </w:divBdr>
        </w:div>
        <w:div w:id="509564491">
          <w:marLeft w:val="547"/>
          <w:marRight w:val="0"/>
          <w:marTop w:val="67"/>
          <w:marBottom w:val="0"/>
          <w:divBdr>
            <w:top w:val="none" w:sz="0" w:space="0" w:color="auto"/>
            <w:left w:val="none" w:sz="0" w:space="0" w:color="auto"/>
            <w:bottom w:val="none" w:sz="0" w:space="0" w:color="auto"/>
            <w:right w:val="none" w:sz="0" w:space="0" w:color="auto"/>
          </w:divBdr>
        </w:div>
        <w:div w:id="70546203">
          <w:marLeft w:val="1354"/>
          <w:marRight w:val="0"/>
          <w:marTop w:val="67"/>
          <w:marBottom w:val="0"/>
          <w:divBdr>
            <w:top w:val="none" w:sz="0" w:space="0" w:color="auto"/>
            <w:left w:val="none" w:sz="0" w:space="0" w:color="auto"/>
            <w:bottom w:val="none" w:sz="0" w:space="0" w:color="auto"/>
            <w:right w:val="none" w:sz="0" w:space="0" w:color="auto"/>
          </w:divBdr>
        </w:div>
        <w:div w:id="1726564303">
          <w:marLeft w:val="1354"/>
          <w:marRight w:val="0"/>
          <w:marTop w:val="67"/>
          <w:marBottom w:val="0"/>
          <w:divBdr>
            <w:top w:val="none" w:sz="0" w:space="0" w:color="auto"/>
            <w:left w:val="none" w:sz="0" w:space="0" w:color="auto"/>
            <w:bottom w:val="none" w:sz="0" w:space="0" w:color="auto"/>
            <w:right w:val="none" w:sz="0" w:space="0" w:color="auto"/>
          </w:divBdr>
        </w:div>
        <w:div w:id="1791583010">
          <w:marLeft w:val="1354"/>
          <w:marRight w:val="0"/>
          <w:marTop w:val="67"/>
          <w:marBottom w:val="0"/>
          <w:divBdr>
            <w:top w:val="none" w:sz="0" w:space="0" w:color="auto"/>
            <w:left w:val="none" w:sz="0" w:space="0" w:color="auto"/>
            <w:bottom w:val="none" w:sz="0" w:space="0" w:color="auto"/>
            <w:right w:val="none" w:sz="0" w:space="0" w:color="auto"/>
          </w:divBdr>
        </w:div>
        <w:div w:id="1085608279">
          <w:marLeft w:val="547"/>
          <w:marRight w:val="0"/>
          <w:marTop w:val="67"/>
          <w:marBottom w:val="0"/>
          <w:divBdr>
            <w:top w:val="none" w:sz="0" w:space="0" w:color="auto"/>
            <w:left w:val="none" w:sz="0" w:space="0" w:color="auto"/>
            <w:bottom w:val="none" w:sz="0" w:space="0" w:color="auto"/>
            <w:right w:val="none" w:sz="0" w:space="0" w:color="auto"/>
          </w:divBdr>
        </w:div>
        <w:div w:id="2131165552">
          <w:marLeft w:val="547"/>
          <w:marRight w:val="0"/>
          <w:marTop w:val="67"/>
          <w:marBottom w:val="0"/>
          <w:divBdr>
            <w:top w:val="none" w:sz="0" w:space="0" w:color="auto"/>
            <w:left w:val="none" w:sz="0" w:space="0" w:color="auto"/>
            <w:bottom w:val="none" w:sz="0" w:space="0" w:color="auto"/>
            <w:right w:val="none" w:sz="0" w:space="0" w:color="auto"/>
          </w:divBdr>
        </w:div>
        <w:div w:id="1060447988">
          <w:marLeft w:val="547"/>
          <w:marRight w:val="0"/>
          <w:marTop w:val="67"/>
          <w:marBottom w:val="120"/>
          <w:divBdr>
            <w:top w:val="none" w:sz="0" w:space="0" w:color="auto"/>
            <w:left w:val="none" w:sz="0" w:space="0" w:color="auto"/>
            <w:bottom w:val="none" w:sz="0" w:space="0" w:color="auto"/>
            <w:right w:val="none" w:sz="0" w:space="0" w:color="auto"/>
          </w:divBdr>
        </w:div>
      </w:divsChild>
    </w:div>
    <w:div w:id="1751853978">
      <w:bodyDiv w:val="1"/>
      <w:marLeft w:val="0"/>
      <w:marRight w:val="0"/>
      <w:marTop w:val="0"/>
      <w:marBottom w:val="0"/>
      <w:divBdr>
        <w:top w:val="none" w:sz="0" w:space="0" w:color="auto"/>
        <w:left w:val="none" w:sz="0" w:space="0" w:color="auto"/>
        <w:bottom w:val="none" w:sz="0" w:space="0" w:color="auto"/>
        <w:right w:val="none" w:sz="0" w:space="0" w:color="auto"/>
      </w:divBdr>
      <w:divsChild>
        <w:div w:id="255528710">
          <w:marLeft w:val="547"/>
          <w:marRight w:val="0"/>
          <w:marTop w:val="77"/>
          <w:marBottom w:val="0"/>
          <w:divBdr>
            <w:top w:val="none" w:sz="0" w:space="0" w:color="auto"/>
            <w:left w:val="none" w:sz="0" w:space="0" w:color="auto"/>
            <w:bottom w:val="none" w:sz="0" w:space="0" w:color="auto"/>
            <w:right w:val="none" w:sz="0" w:space="0" w:color="auto"/>
          </w:divBdr>
        </w:div>
      </w:divsChild>
    </w:div>
    <w:div w:id="1757046325">
      <w:bodyDiv w:val="1"/>
      <w:marLeft w:val="0"/>
      <w:marRight w:val="0"/>
      <w:marTop w:val="0"/>
      <w:marBottom w:val="0"/>
      <w:divBdr>
        <w:top w:val="none" w:sz="0" w:space="0" w:color="auto"/>
        <w:left w:val="none" w:sz="0" w:space="0" w:color="auto"/>
        <w:bottom w:val="none" w:sz="0" w:space="0" w:color="auto"/>
        <w:right w:val="none" w:sz="0" w:space="0" w:color="auto"/>
      </w:divBdr>
    </w:div>
    <w:div w:id="1895922898">
      <w:bodyDiv w:val="1"/>
      <w:marLeft w:val="0"/>
      <w:marRight w:val="0"/>
      <w:marTop w:val="0"/>
      <w:marBottom w:val="0"/>
      <w:divBdr>
        <w:top w:val="none" w:sz="0" w:space="0" w:color="auto"/>
        <w:left w:val="none" w:sz="0" w:space="0" w:color="auto"/>
        <w:bottom w:val="none" w:sz="0" w:space="0" w:color="auto"/>
        <w:right w:val="none" w:sz="0" w:space="0" w:color="auto"/>
      </w:divBdr>
    </w:div>
    <w:div w:id="2134861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9AA677-62F7-4737-9DE6-2E4BC9A58D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8</Pages>
  <Words>2063</Words>
  <Characters>11763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13799</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BoSs QuiET</cp:lastModifiedBy>
  <cp:revision>6</cp:revision>
  <dcterms:created xsi:type="dcterms:W3CDTF">2026-03-21T11:15:00Z</dcterms:created>
  <dcterms:modified xsi:type="dcterms:W3CDTF">2026-03-21T11:29:00Z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e62101bd-da41-4b63-9be5-ad25646f3a7b</vt:lpwstr>
  </property>
</Properties>
</file>