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D1A3D2"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3EF969B2" w14:textId="65D58C6C" w:rsidR="00C92DF5" w:rsidRPr="00AB3911" w:rsidRDefault="00C92DF5" w:rsidP="00C92DF5">
      <w:pPr>
        <w:shd w:val="clear" w:color="auto" w:fill="FCFCFC"/>
        <w:spacing w:before="360" w:after="0" w:line="360" w:lineRule="auto"/>
        <w:jc w:val="center"/>
        <w:outlineLvl w:val="1"/>
        <w:rPr>
          <w:rFonts w:ascii="Arial" w:eastAsia="Times New Roman" w:hAnsi="Arial" w:cs="Arial"/>
          <w:b/>
          <w:bCs/>
          <w:color w:val="0D0D0D"/>
          <w:kern w:val="0"/>
          <w:sz w:val="22"/>
          <w:szCs w:val="22"/>
          <w:lang w:eastAsia="en-GB"/>
          <w14:ligatures w14:val="none"/>
        </w:rPr>
      </w:pPr>
      <w:r w:rsidRPr="00AB3911">
        <w:rPr>
          <w:rFonts w:ascii="Arial" w:eastAsia="Times New Roman" w:hAnsi="Arial" w:cs="Arial"/>
          <w:b/>
          <w:bCs/>
          <w:color w:val="0D0D0D"/>
          <w:kern w:val="0"/>
          <w:sz w:val="22"/>
          <w:szCs w:val="22"/>
          <w:lang w:eastAsia="en-GB"/>
          <w14:ligatures w14:val="none"/>
        </w:rPr>
        <w:t>Student Name: Adnaan Ali</w:t>
      </w:r>
    </w:p>
    <w:p w14:paraId="2713F233" w14:textId="77777777" w:rsidR="00C92DF5" w:rsidRPr="00AB3911" w:rsidRDefault="00C92DF5" w:rsidP="00C92DF5">
      <w:pPr>
        <w:jc w:val="center"/>
        <w:rPr>
          <w:rFonts w:ascii="Arial" w:hAnsi="Arial" w:cs="Arial"/>
          <w:b/>
          <w:bCs/>
          <w:sz w:val="22"/>
          <w:szCs w:val="22"/>
        </w:rPr>
      </w:pPr>
      <w:r w:rsidRPr="00AB3911">
        <w:rPr>
          <w:rFonts w:ascii="Arial" w:hAnsi="Arial" w:cs="Arial"/>
          <w:b/>
          <w:bCs/>
          <w:sz w:val="22"/>
          <w:szCs w:val="22"/>
        </w:rPr>
        <w:t>Student ID: 2541277</w:t>
      </w:r>
    </w:p>
    <w:p w14:paraId="327F8D26" w14:textId="77777777" w:rsidR="00C92DF5" w:rsidRPr="00AB3911" w:rsidRDefault="00C92DF5" w:rsidP="00C92DF5">
      <w:pPr>
        <w:spacing w:before="120" w:after="120"/>
        <w:jc w:val="center"/>
        <w:rPr>
          <w:rFonts w:ascii="Arial" w:hAnsi="Arial" w:cs="Arial"/>
          <w:b/>
          <w:sz w:val="22"/>
          <w:szCs w:val="22"/>
        </w:rPr>
      </w:pPr>
      <w:r w:rsidRPr="00AB3911">
        <w:rPr>
          <w:rFonts w:ascii="Arial" w:hAnsi="Arial" w:cs="Arial"/>
          <w:b/>
          <w:bCs/>
          <w:sz w:val="22"/>
          <w:szCs w:val="22"/>
        </w:rPr>
        <w:t xml:space="preserve">Module: </w:t>
      </w:r>
      <w:r w:rsidRPr="00AB3911">
        <w:rPr>
          <w:rFonts w:ascii="Arial" w:hAnsi="Arial" w:cs="Arial"/>
          <w:b/>
          <w:sz w:val="22"/>
          <w:szCs w:val="22"/>
        </w:rPr>
        <w:t>Introduction to Public Health</w:t>
      </w:r>
    </w:p>
    <w:p w14:paraId="1614288F" w14:textId="6915B318" w:rsidR="00C92DF5" w:rsidRPr="00AB3911" w:rsidRDefault="00C92DF5" w:rsidP="00C92DF5">
      <w:pPr>
        <w:jc w:val="center"/>
        <w:rPr>
          <w:rFonts w:ascii="Arial" w:hAnsi="Arial" w:cs="Arial"/>
          <w:b/>
          <w:sz w:val="22"/>
          <w:szCs w:val="22"/>
        </w:rPr>
      </w:pPr>
      <w:r w:rsidRPr="00AB3911">
        <w:rPr>
          <w:rFonts w:ascii="Arial" w:hAnsi="Arial" w:cs="Arial"/>
          <w:b/>
          <w:bCs/>
          <w:sz w:val="22"/>
          <w:szCs w:val="22"/>
        </w:rPr>
        <w:t xml:space="preserve">Module Code: </w:t>
      </w:r>
      <w:r w:rsidRPr="00AB3911">
        <w:rPr>
          <w:rFonts w:ascii="Arial" w:hAnsi="Arial" w:cs="Arial"/>
          <w:b/>
          <w:sz w:val="22"/>
          <w:szCs w:val="22"/>
        </w:rPr>
        <w:t>LCHS 4008</w:t>
      </w:r>
    </w:p>
    <w:p w14:paraId="4257E9B0" w14:textId="77777777" w:rsidR="00C92DF5" w:rsidRPr="00AB3911" w:rsidRDefault="00C92DF5" w:rsidP="00C92DF5">
      <w:pPr>
        <w:spacing w:before="120" w:after="120"/>
        <w:jc w:val="center"/>
        <w:rPr>
          <w:rFonts w:ascii="Arial" w:hAnsi="Arial" w:cs="Arial"/>
          <w:b/>
          <w:sz w:val="22"/>
          <w:szCs w:val="22"/>
        </w:rPr>
      </w:pPr>
      <w:r w:rsidRPr="00AB3911">
        <w:rPr>
          <w:rFonts w:ascii="Arial" w:hAnsi="Arial" w:cs="Arial"/>
          <w:b/>
          <w:sz w:val="22"/>
          <w:szCs w:val="22"/>
        </w:rPr>
        <w:t>Assignment Title: Assessment 2 -</w:t>
      </w:r>
    </w:p>
    <w:p w14:paraId="1CB6082B" w14:textId="77777777" w:rsidR="00967200" w:rsidRDefault="00C92DF5" w:rsidP="00967200">
      <w:pPr>
        <w:jc w:val="center"/>
        <w:rPr>
          <w:rFonts w:ascii="Arial" w:hAnsi="Arial" w:cs="Arial"/>
          <w:b/>
          <w:sz w:val="22"/>
          <w:szCs w:val="22"/>
        </w:rPr>
      </w:pPr>
      <w:r w:rsidRPr="00AB3911">
        <w:rPr>
          <w:rFonts w:ascii="Arial" w:hAnsi="Arial" w:cs="Arial"/>
          <w:b/>
          <w:sz w:val="22"/>
          <w:szCs w:val="22"/>
        </w:rPr>
        <w:t>Report on a Health Issue</w:t>
      </w:r>
    </w:p>
    <w:p w14:paraId="58FBBDE4" w14:textId="547B63F1" w:rsidR="00AB3911" w:rsidRPr="00967200" w:rsidRDefault="00C92DF5" w:rsidP="00967200">
      <w:pPr>
        <w:jc w:val="center"/>
        <w:rPr>
          <w:rFonts w:ascii="Arial" w:hAnsi="Arial" w:cs="Arial"/>
          <w:b/>
          <w:sz w:val="22"/>
          <w:szCs w:val="22"/>
        </w:rPr>
      </w:pPr>
      <w:r w:rsidRPr="00AB3911">
        <w:rPr>
          <w:rFonts w:ascii="Arial" w:hAnsi="Arial" w:cs="Arial"/>
          <w:b/>
          <w:sz w:val="22"/>
          <w:szCs w:val="22"/>
        </w:rPr>
        <w:t>Lecturer:</w:t>
      </w:r>
      <w:r w:rsidR="00AB3911" w:rsidRPr="00AB3911">
        <w:rPr>
          <w:rFonts w:ascii="Arial" w:hAnsi="Arial" w:cs="Arial"/>
          <w:b/>
          <w:sz w:val="22"/>
          <w:szCs w:val="22"/>
        </w:rPr>
        <w:t xml:space="preserve"> </w:t>
      </w:r>
      <w:r w:rsidR="00AB3911" w:rsidRPr="00AB3911">
        <w:rPr>
          <w:rFonts w:ascii="Arial" w:eastAsia="Times New Roman" w:hAnsi="Arial" w:cs="Arial"/>
          <w:b/>
          <w:bCs/>
          <w:kern w:val="0"/>
          <w:sz w:val="22"/>
          <w:szCs w:val="22"/>
          <w:lang w:eastAsia="en-GB"/>
          <w14:ligatures w14:val="none"/>
        </w:rPr>
        <w:t>Emmanuel Audu</w:t>
      </w:r>
    </w:p>
    <w:p w14:paraId="61F637B8" w14:textId="4CB0A7D3" w:rsidR="00C92DF5" w:rsidRPr="00C92DF5" w:rsidRDefault="00C92DF5" w:rsidP="00C92DF5">
      <w:pPr>
        <w:jc w:val="center"/>
        <w:rPr>
          <w:rFonts w:ascii="Arial" w:hAnsi="Arial" w:cs="Arial"/>
          <w:b/>
          <w:bCs/>
          <w:sz w:val="22"/>
          <w:szCs w:val="22"/>
        </w:rPr>
      </w:pPr>
    </w:p>
    <w:p w14:paraId="57F5792C"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43F44BCD"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1A8AC0F0"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3CA6C316"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0BF33125"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23CC74E8"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20C16D34"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54DD3FB7"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6FB3A54D"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040FE4DD"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4CF9BA29" w14:textId="77777777" w:rsidR="00C92DF5" w:rsidRDefault="00C92DF5"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4FB84545" w14:textId="77777777" w:rsidR="00AB3911" w:rsidRDefault="00AB3911"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30E6D7C7" w14:textId="77777777" w:rsidR="00967200" w:rsidRDefault="00967200" w:rsidP="0025640B">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p>
    <w:p w14:paraId="78A4056C" w14:textId="0E641784" w:rsidR="0025640B" w:rsidRPr="00967200" w:rsidRDefault="0025640B" w:rsidP="00967200">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r w:rsidRPr="00967200">
        <w:rPr>
          <w:rFonts w:ascii="Arial" w:eastAsia="Times New Roman" w:hAnsi="Arial" w:cs="Arial"/>
          <w:b/>
          <w:bCs/>
          <w:color w:val="0D0D0D"/>
          <w:kern w:val="0"/>
          <w:sz w:val="22"/>
          <w:szCs w:val="22"/>
          <w:lang w:eastAsia="en-GB"/>
          <w14:ligatures w14:val="none"/>
        </w:rPr>
        <w:t xml:space="preserve">Introduction </w:t>
      </w:r>
    </w:p>
    <w:p w14:paraId="52D1D58A" w14:textId="5BED65A8" w:rsidR="0025640B" w:rsidRPr="00967200" w:rsidRDefault="0025640B" w:rsidP="00967200">
      <w:pPr>
        <w:spacing w:before="100" w:beforeAutospacing="1" w:after="100" w:afterAutospacing="1" w:line="360" w:lineRule="auto"/>
        <w:rPr>
          <w:rFonts w:ascii="Arial" w:eastAsia="Times New Roman" w:hAnsi="Arial" w:cs="Arial"/>
          <w:kern w:val="0"/>
          <w:sz w:val="22"/>
          <w:szCs w:val="22"/>
          <w:lang w:eastAsia="en-GB"/>
          <w14:ligatures w14:val="none"/>
        </w:rPr>
      </w:pPr>
      <w:r w:rsidRPr="00967200">
        <w:rPr>
          <w:rFonts w:ascii="Arial" w:eastAsia="Times New Roman" w:hAnsi="Arial" w:cs="Arial"/>
          <w:kern w:val="0"/>
          <w:sz w:val="22"/>
          <w:szCs w:val="22"/>
          <w:lang w:eastAsia="en-GB"/>
          <w14:ligatures w14:val="none"/>
        </w:rPr>
        <w:t>Leukaemia is a group of cancers affecting blood-forming tissues, particularly the bone marrow, where abnormal white blood cells multiply uncontrollably and disrupt healthy blood cell production. This can cause anaemia, infections and bleeding (NHS, n.d.). The four main types are acute lymphoblastic leukaemia (ALL), acute myeloid leukaemia (AML), chronic lymphocytic leukaemia (CLL) and chronic myeloid leukaemia (CML). Symptoms include persistent fatigue, fever, recurrent infections, unexplained bruising and bleeding. Leukaemia affects children and adults: ALL is particularly common in young children, whereas several types occur more frequently in older adults (Cancer Research UK, n.d.). Worldwide, an estimated 487,294 new cases and 305,405 deaths occurred in 2022 (IARC, 2024). In the UK, approximately 9,900 new cases occur annually, with 39% diagnosed in people aged 75 or over (Cancer Research UK, n.d.). This report examines leukaemia’s effects on individuals, communities and the NHS, its management, and wider determinants of health.</w:t>
      </w:r>
    </w:p>
    <w:p w14:paraId="56F9E167" w14:textId="77777777" w:rsidR="0025640B" w:rsidRPr="00967200" w:rsidRDefault="0025640B" w:rsidP="00967200">
      <w:pPr>
        <w:shd w:val="clear" w:color="auto" w:fill="FCFCFC"/>
        <w:spacing w:before="240" w:after="0" w:line="360" w:lineRule="auto"/>
        <w:outlineLvl w:val="2"/>
        <w:rPr>
          <w:rFonts w:ascii="Arial" w:eastAsia="Times New Roman" w:hAnsi="Arial" w:cs="Arial"/>
          <w:b/>
          <w:bCs/>
          <w:color w:val="0D0D0D"/>
          <w:kern w:val="0"/>
          <w:sz w:val="22"/>
          <w:szCs w:val="22"/>
          <w:lang w:eastAsia="en-GB"/>
          <w14:ligatures w14:val="none"/>
        </w:rPr>
      </w:pPr>
      <w:r w:rsidRPr="00967200">
        <w:rPr>
          <w:rFonts w:ascii="Arial" w:eastAsia="Times New Roman" w:hAnsi="Arial" w:cs="Arial"/>
          <w:b/>
          <w:bCs/>
          <w:color w:val="0D0D0D"/>
          <w:kern w:val="0"/>
          <w:sz w:val="22"/>
          <w:szCs w:val="22"/>
          <w:lang w:eastAsia="en-GB"/>
          <w14:ligatures w14:val="none"/>
        </w:rPr>
        <w:t>Consequences for individuals, communities and the NHS</w:t>
      </w:r>
    </w:p>
    <w:p w14:paraId="4B491731" w14:textId="3732DBC5" w:rsidR="0025640B" w:rsidRPr="00967200" w:rsidRDefault="0025640B" w:rsidP="00967200">
      <w:pPr>
        <w:shd w:val="clear" w:color="auto" w:fill="FCFCFC"/>
        <w:spacing w:before="12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 xml:space="preserve">Leukaemia affects physical, psychological, social and financial wellbeing. Abnormal white blood cells interfere with the bone marrow’s production of healthy cells. A shortage of red blood cells causes anaemia, leading to tiredness, weakness and breathlessness. Low platelet levels increase bruising and bleeding, while impaired immune function increases susceptibility to infection. Other symptoms include fever, bone pain, swollen lymph nodes, night sweats and weight loss. Acute leukaemia can progress rapidly and requires urgent treatment, whereas some chronic </w:t>
      </w:r>
      <w:r w:rsidR="00967200" w:rsidRPr="00967200">
        <w:rPr>
          <w:rFonts w:ascii="Arial" w:eastAsia="Times New Roman" w:hAnsi="Arial" w:cs="Arial"/>
          <w:color w:val="0D0D0D"/>
          <w:kern w:val="0"/>
          <w:sz w:val="22"/>
          <w:szCs w:val="22"/>
          <w:lang w:eastAsia="en-GB"/>
          <w14:ligatures w14:val="none"/>
        </w:rPr>
        <w:t xml:space="preserve">types </w:t>
      </w:r>
      <w:r w:rsidRPr="00967200">
        <w:rPr>
          <w:rFonts w:ascii="Arial" w:eastAsia="Times New Roman" w:hAnsi="Arial" w:cs="Arial"/>
          <w:color w:val="0D0D0D"/>
          <w:kern w:val="0"/>
          <w:sz w:val="22"/>
          <w:szCs w:val="22"/>
          <w:lang w:eastAsia="en-GB"/>
          <w14:ligatures w14:val="none"/>
        </w:rPr>
        <w:t>progress slowly and may initially be monitored (NHS, n.d.).</w:t>
      </w:r>
    </w:p>
    <w:p w14:paraId="4E0B866C"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The impact extends beyond physical symptoms. Patients may experience fear, anxiety, depression and uncertainty about survival. Chemotherapy and other treatments can cause nausea, fatigue, hair loss and immunosuppression. Some patients require repeated hospital admissions, blood transfusions or stem cell transplantation. Treatment may interrupt employment, education, relationships and independence. Children can miss school, lose contact with friends and experience disruption to development. Parents may need to take time off work, arrange childcare and explain complex medical information to their children. Therefore, care should address emotional and developmental needs alongside clinical treatment.</w:t>
      </w:r>
    </w:p>
    <w:p w14:paraId="2B30ABFC"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Families and carers may experience stress, exhaustion and financial hardship. Travel to specialist hospitals, parking, accommodation and reduced earnings can create additional costs. Carers may struggle to balance employment, childcare and hospital visits. Community participation can also decline when patients are unable to work, study or socialise. Voluntary organisations and peer-support groups can provide emotional support, practical advice and opportunities to connect with others facing similar challenges. However, support must be accessible to people with different languages, cultural backgrounds and financial circumstances.</w:t>
      </w:r>
    </w:p>
    <w:p w14:paraId="0542B8B8"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Leukaemia creates substantial demands for the NHS. Services must provide blood tests, specialist consultations, diagnostic investigations, medicines, inpatient treatment and continuing follow-up. Diagnosis may involve a full blood count, blood-film examination, bone marrow testing and genetic investigations. These tests identify the subtype and help clinicians select appropriate treatment. Patients may require chemotherapy, targeted medicines, immunotherapy or stem cell transplantation, depending on their diagnosis and clinical circumstances.</w:t>
      </w:r>
    </w:p>
    <w:p w14:paraId="6BB519F9"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Complications such as severe infections, bleeding and treatment toxicity can require emergency care. Consequently, leukaemia places pressure on specialist staff, hospital beds, laboratory services and budgets. Effective care requires coordination between haematologists, nurses, pharmacists, laboratory professionals, general practitioners and social care teams. Psychological services, rehabilitation, fertility advice and palliative care may also be needed. Earlier diagnosis and well-coordinated treatment can reduce avoidable complications, although not every admission or adverse outcome can be prevented. The NHS must therefore balance clinical effectiveness, patient choice, safety and equitable access to increasingly complex treatments.</w:t>
      </w:r>
    </w:p>
    <w:p w14:paraId="1DB248F7" w14:textId="77777777" w:rsidR="0025640B" w:rsidRPr="00967200" w:rsidRDefault="0025640B" w:rsidP="00967200">
      <w:pPr>
        <w:shd w:val="clear" w:color="auto" w:fill="FCFCFC"/>
        <w:spacing w:before="360" w:after="0" w:line="360" w:lineRule="auto"/>
        <w:outlineLvl w:val="2"/>
        <w:rPr>
          <w:rFonts w:ascii="Arial" w:eastAsia="Times New Roman" w:hAnsi="Arial" w:cs="Arial"/>
          <w:b/>
          <w:bCs/>
          <w:color w:val="0D0D0D"/>
          <w:kern w:val="0"/>
          <w:sz w:val="22"/>
          <w:szCs w:val="22"/>
          <w:lang w:eastAsia="en-GB"/>
          <w14:ligatures w14:val="none"/>
        </w:rPr>
      </w:pPr>
      <w:r w:rsidRPr="00967200">
        <w:rPr>
          <w:rFonts w:ascii="Arial" w:eastAsia="Times New Roman" w:hAnsi="Arial" w:cs="Arial"/>
          <w:b/>
          <w:bCs/>
          <w:color w:val="0D0D0D"/>
          <w:kern w:val="0"/>
          <w:sz w:val="22"/>
          <w:szCs w:val="22"/>
          <w:lang w:eastAsia="en-GB"/>
          <w14:ligatures w14:val="none"/>
        </w:rPr>
        <w:t>Prevention, early diagnosis and management</w:t>
      </w:r>
    </w:p>
    <w:p w14:paraId="5BA5E799" w14:textId="77777777" w:rsidR="0025640B" w:rsidRPr="00967200" w:rsidRDefault="0025640B" w:rsidP="00967200">
      <w:pPr>
        <w:shd w:val="clear" w:color="auto" w:fill="FCFCFC"/>
        <w:spacing w:before="12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Unlike infectious diseases, leukaemia cannot generally be prevented through vaccination or isolation. Most cases have no clearly identifiable preventable cause. Nevertheless, certain risk factors can be reduced. These include smoking for some forms, exposure to high doses of ionising radiation and particular occupational exposures. Previous chemotherapy or radiotherapy and some inherited conditions are also associated with increased risk (Cancer Research UK, n.d.). Tobacco control, workplace safety and appropriate radiation protection may therefore reduce some risks, but they cannot eliminate leukaemia.</w:t>
      </w:r>
    </w:p>
    <w:p w14:paraId="06B2B772"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This distinction is important because prevention messages should not imply that patients caused their own illness. A healthy lifestyle supports general health but cannot guarantee protection. There is also no routine population screening programme for all forms of leukaemia. Public health efforts should consequently combine risk reduction with awareness of symptoms and rapid access to investigation.</w:t>
      </w:r>
    </w:p>
    <w:p w14:paraId="1134423F"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Early diagnosis matters because acute leukaemia can deteriorate quickly. Symptoms such as persistent fatigue, unexplained bruising, recurrent infections, fever and pallor may initially resemble common illnesses. NICE recommends a very urgent full blood count for adults with specified symptoms and for children and young people with relevant warning signs; unexplained petechiae or an enlarged liver or spleen in children require immediate specialist assessment (NICE, 2015, updated guidance). These recommendations illustrate how clinical awareness and prompt investigation can reduce diagnostic delay. However, symptoms are not specific to leukaemia, so assessment must avoid both unnecessary alarm and missed disease.</w:t>
      </w:r>
    </w:p>
    <w:p w14:paraId="1CDE1659" w14:textId="0C8D3701"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Treatment depends on the subtype, genetic characteristics, disease progression, age and general health. Acute leukaemia commonly requires prompt specialist treatment, including chemotherapy and, where appropriate, targeted medicines, immunotherapy or transplantation. Some chronic leukaemia’s may be managed initially through active monitoring, with treatment introduced when clinical findings indicate it is necessary. This approach avoids exposing selected patients to treatment side effects before the benefits outweigh the risks.</w:t>
      </w:r>
    </w:p>
    <w:p w14:paraId="0F0C154C"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Supportive care is essential throughout treatment. Transfusions can address low blood counts, while infection prevention, rapid assessment of fever and appropriate antimicrobial treatment help manage complications. Nurses monitor symptoms, explain treatment plans and identify deterioration. Pharmacists support safe medicine use, dietitians address nutritional difficulties, and psychological professionals assist with distress. Patients should understand their options, potential side effects and when to seek urgent help.</w:t>
      </w:r>
    </w:p>
    <w:p w14:paraId="5D99CA97"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After treatment, follow-up can identify relapse and late effects, including fatigue, fertility difficulties and psychological problems. Children may need educational support and monitoring of development. Survivorship services can assist with rehabilitation and return to work or school. Palliative care is appropriate when needed for symptom control and quality of life; it can complement other treatment. Overall, effective management combines evidence-based medical interventions with compassionate, person-centred support.</w:t>
      </w:r>
    </w:p>
    <w:p w14:paraId="6FFDF5B8" w14:textId="77777777" w:rsidR="0025640B" w:rsidRPr="00967200" w:rsidRDefault="0025640B" w:rsidP="00967200">
      <w:pPr>
        <w:shd w:val="clear" w:color="auto" w:fill="FCFCFC"/>
        <w:spacing w:before="360" w:after="0" w:line="360" w:lineRule="auto"/>
        <w:outlineLvl w:val="2"/>
        <w:rPr>
          <w:rFonts w:ascii="Arial" w:eastAsia="Times New Roman" w:hAnsi="Arial" w:cs="Arial"/>
          <w:b/>
          <w:bCs/>
          <w:color w:val="0D0D0D"/>
          <w:kern w:val="0"/>
          <w:sz w:val="22"/>
          <w:szCs w:val="22"/>
          <w:lang w:eastAsia="en-GB"/>
          <w14:ligatures w14:val="none"/>
        </w:rPr>
      </w:pPr>
      <w:r w:rsidRPr="00967200">
        <w:rPr>
          <w:rFonts w:ascii="Arial" w:eastAsia="Times New Roman" w:hAnsi="Arial" w:cs="Arial"/>
          <w:b/>
          <w:bCs/>
          <w:color w:val="0D0D0D"/>
          <w:kern w:val="0"/>
          <w:sz w:val="22"/>
          <w:szCs w:val="22"/>
          <w:lang w:eastAsia="en-GB"/>
          <w14:ligatures w14:val="none"/>
        </w:rPr>
        <w:t>Determinants of health, wellbeing and inequality</w:t>
      </w:r>
    </w:p>
    <w:p w14:paraId="7CC87F23" w14:textId="77777777" w:rsidR="0025640B" w:rsidRPr="00967200" w:rsidRDefault="0025640B" w:rsidP="00967200">
      <w:pPr>
        <w:shd w:val="clear" w:color="auto" w:fill="FCFCFC"/>
        <w:spacing w:before="12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The Dahlgren and Whitehead (1991) model presents health determinants as layers: individual characteristics, lifestyle, social and community networks, living and working conditions, and wider socioeconomic, cultural and environmental influences. Applied to leukaemia, it demonstrates that although social circumstances do not explain every diagnosis, they can influence exposure to some risks, access to care and the ability to cope with illness.</w:t>
      </w:r>
    </w:p>
    <w:p w14:paraId="32C2661D"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Individual factors include age, inherited conditions and other illnesses. ALL is particularly important in childhood, while several other types are more common in older people. Age and existing health conditions may influence treatment choices, tolerance and recovery. Health literacy also affects whether patients recognise warning signs, understand medicines and follow infection-prevention advice. Information should therefore be clear, accessible and appropriate to patients’ needs.</w:t>
      </w:r>
    </w:p>
    <w:p w14:paraId="66D43EE0"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Social networks can support emotional wellbeing, transport, childcare and medication routines. However, isolation or limited family support may make treatment harder to manage. Families themselves may need respite, counselling and practical guidance. Peer-support groups can reduce loneliness, but professionals should respect privacy and individual preferences.</w:t>
      </w:r>
    </w:p>
    <w:p w14:paraId="777CF721"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Living and working conditions influence financial security and recovery. Patients may lose earnings, face insecure employment or struggle with transport costs. Those living far from specialist centres may need accommodation during treatment. Housing conditions, disability, language barriers and digital exclusion can also complicate access to support. These factors may not determine whether someone develops leukaemia, but they can affect their experience of diagnosis, treatment and recovery.</w:t>
      </w:r>
    </w:p>
    <w:p w14:paraId="1021B270"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Marmot et al. (2010) argued that health inequalities arise from wider social and economic conditions, including education, employment, income and housing. The ten-year review reported widening health inequalities and stalled improvements in life expectancy in England (Marmot et al., 2020). These findings are relevant because universal NHS provision does not automatically remove every practical barrier to care. Patients with fewer resources may find it harder to attend appointments, take unpaid leave or obtain additional support.</w:t>
      </w:r>
    </w:p>
    <w:p w14:paraId="77C7397E" w14:textId="77777777" w:rsidR="0025640B" w:rsidRPr="00967200" w:rsidRDefault="0025640B" w:rsidP="00967200">
      <w:pPr>
        <w:shd w:val="clear" w:color="auto" w:fill="FCFCFC"/>
        <w:spacing w:before="24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Health services should therefore provide interpreters, accessible information, coordinated appointments and referrals to welfare or transport assistance where available. Employers and educational institutions can consider reasonable adjustments and flexible arrangements. These measures cannot remove every inequality, but they can reduce avoidable disadvantages and help patients participate in treatment decisions. Applying the two frameworks demonstrates that high-quality leukaemia care requires both effective clinical treatment and attention to the social circumstances affecting patients and families.</w:t>
      </w:r>
    </w:p>
    <w:p w14:paraId="30F58991" w14:textId="3811F07E" w:rsidR="0025640B" w:rsidRPr="00967200" w:rsidRDefault="0025640B" w:rsidP="00967200">
      <w:pPr>
        <w:shd w:val="clear" w:color="auto" w:fill="FCFCFC"/>
        <w:spacing w:before="360" w:after="0" w:line="360" w:lineRule="auto"/>
        <w:outlineLvl w:val="1"/>
        <w:rPr>
          <w:rFonts w:ascii="Arial" w:eastAsia="Times New Roman" w:hAnsi="Arial" w:cs="Arial"/>
          <w:b/>
          <w:bCs/>
          <w:color w:val="0D0D0D"/>
          <w:kern w:val="0"/>
          <w:sz w:val="22"/>
          <w:szCs w:val="22"/>
          <w:lang w:eastAsia="en-GB"/>
          <w14:ligatures w14:val="none"/>
        </w:rPr>
      </w:pPr>
      <w:r w:rsidRPr="00967200">
        <w:rPr>
          <w:rFonts w:ascii="Arial" w:eastAsia="Times New Roman" w:hAnsi="Arial" w:cs="Arial"/>
          <w:b/>
          <w:bCs/>
          <w:color w:val="0D0D0D"/>
          <w:kern w:val="0"/>
          <w:sz w:val="22"/>
          <w:szCs w:val="22"/>
          <w:lang w:eastAsia="en-GB"/>
          <w14:ligatures w14:val="none"/>
        </w:rPr>
        <w:t xml:space="preserve">Conclusion </w:t>
      </w:r>
    </w:p>
    <w:p w14:paraId="56AB3DA4" w14:textId="181CE424" w:rsidR="0025640B" w:rsidRPr="00967200" w:rsidRDefault="0025640B" w:rsidP="00967200">
      <w:pPr>
        <w:shd w:val="clear" w:color="auto" w:fill="FCFCFC"/>
        <w:spacing w:before="120" w:after="0" w:line="360" w:lineRule="auto"/>
        <w:rPr>
          <w:rFonts w:ascii="Arial" w:eastAsia="Times New Roman" w:hAnsi="Arial" w:cs="Arial"/>
          <w:color w:val="0D0D0D"/>
          <w:kern w:val="0"/>
          <w:sz w:val="22"/>
          <w:szCs w:val="22"/>
          <w:lang w:eastAsia="en-GB"/>
          <w14:ligatures w14:val="none"/>
        </w:rPr>
      </w:pPr>
      <w:r w:rsidRPr="00967200">
        <w:rPr>
          <w:rFonts w:ascii="Arial" w:eastAsia="Times New Roman" w:hAnsi="Arial" w:cs="Arial"/>
          <w:color w:val="0D0D0D"/>
          <w:kern w:val="0"/>
          <w:sz w:val="22"/>
          <w:szCs w:val="22"/>
          <w:lang w:eastAsia="en-GB"/>
          <w14:ligatures w14:val="none"/>
        </w:rPr>
        <w:t xml:space="preserve">Leukaemia is a serious group of blood cancers that affects physical health, emotional wellbeing, family relationships and financial security. Its consequences extend to communities and the NHS through specialist treatment, hospital admissions and continuing support requirements. Although most cases cannot be prevented, reducing certain risk factors, recognising symptoms and providing prompt investigations can improve opportunities for timely diagnosis. Treatment must reflect the leukaemia subtype and individual circumstances, combining appropriate cancer therapies with infection management, psychological support and long-term follow-up. Children require </w:t>
      </w:r>
      <w:r w:rsidR="000C6A50" w:rsidRPr="00967200">
        <w:rPr>
          <w:rFonts w:ascii="Arial" w:eastAsia="Times New Roman" w:hAnsi="Arial" w:cs="Arial"/>
          <w:color w:val="0D0D0D"/>
          <w:kern w:val="0"/>
          <w:sz w:val="22"/>
          <w:szCs w:val="22"/>
          <w:lang w:eastAsia="en-GB"/>
          <w14:ligatures w14:val="none"/>
        </w:rPr>
        <w:t>consideration</w:t>
      </w:r>
      <w:r w:rsidRPr="00967200">
        <w:rPr>
          <w:rFonts w:ascii="Arial" w:eastAsia="Times New Roman" w:hAnsi="Arial" w:cs="Arial"/>
          <w:color w:val="0D0D0D"/>
          <w:kern w:val="0"/>
          <w:sz w:val="22"/>
          <w:szCs w:val="22"/>
          <w:lang w:eastAsia="en-GB"/>
          <w14:ligatures w14:val="none"/>
        </w:rPr>
        <w:t xml:space="preserve"> because illness can disrupt education, development and family life. The Dahlgren and Whitehead model demonstrates how social relationships, employment and living conditions influence wellbeing, while the Marmot Review highlights the importance of addressing health inequalities. Therefore, effective care requires more than medical intervention: accessible services, coordinated multidisciplinary support and practical assistance are essential. These approaches can improve quality of life and promote more equitable outcomes for patients and families.</w:t>
      </w:r>
    </w:p>
    <w:p w14:paraId="0F7CAAF4"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532DAD2F"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00926347"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4C8B1E5A"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0CA4D7AC"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3601C1C8"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08109D4B"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3D047928"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366BFA39" w14:textId="77777777" w:rsidR="0025640B" w:rsidRPr="0025640B" w:rsidRDefault="0025640B" w:rsidP="0025640B">
      <w:pPr>
        <w:pStyle w:val="x12ofw9d"/>
        <w:shd w:val="clear" w:color="auto" w:fill="FCFCFC"/>
        <w:spacing w:line="360" w:lineRule="auto"/>
        <w:rPr>
          <w:rFonts w:ascii="Arial" w:hAnsi="Arial" w:cs="Arial"/>
          <w:color w:val="0D0D0D"/>
          <w:sz w:val="22"/>
          <w:szCs w:val="22"/>
        </w:rPr>
      </w:pPr>
    </w:p>
    <w:p w14:paraId="7E145176" w14:textId="77777777" w:rsidR="000C6A50" w:rsidRDefault="000C6A50" w:rsidP="0025640B">
      <w:pPr>
        <w:pStyle w:val="x12ofw9d"/>
        <w:shd w:val="clear" w:color="auto" w:fill="FCFCFC"/>
        <w:spacing w:line="360" w:lineRule="auto"/>
        <w:rPr>
          <w:rFonts w:ascii="Arial" w:hAnsi="Arial" w:cs="Arial"/>
          <w:b/>
          <w:bCs/>
          <w:color w:val="0D0D0D"/>
          <w:sz w:val="22"/>
          <w:szCs w:val="22"/>
          <w:u w:val="single"/>
        </w:rPr>
      </w:pPr>
    </w:p>
    <w:p w14:paraId="1D45DA93" w14:textId="2768E48A" w:rsidR="0025640B" w:rsidRPr="0025640B" w:rsidRDefault="0025640B" w:rsidP="0025640B">
      <w:pPr>
        <w:pStyle w:val="x12ofw9d"/>
        <w:shd w:val="clear" w:color="auto" w:fill="FCFCFC"/>
        <w:spacing w:line="360" w:lineRule="auto"/>
        <w:rPr>
          <w:rFonts w:ascii="Arial" w:hAnsi="Arial" w:cs="Arial"/>
          <w:b/>
          <w:bCs/>
          <w:color w:val="0D0D0D"/>
          <w:sz w:val="22"/>
          <w:szCs w:val="22"/>
          <w:u w:val="single"/>
        </w:rPr>
      </w:pPr>
      <w:r w:rsidRPr="0025640B">
        <w:rPr>
          <w:rFonts w:ascii="Arial" w:hAnsi="Arial" w:cs="Arial"/>
          <w:b/>
          <w:bCs/>
          <w:color w:val="0D0D0D"/>
          <w:sz w:val="22"/>
          <w:szCs w:val="22"/>
          <w:u w:val="single"/>
        </w:rPr>
        <w:t>References</w:t>
      </w:r>
      <w:r w:rsidRPr="0025640B">
        <w:rPr>
          <w:rFonts w:ascii="Arial" w:hAnsi="Arial" w:cs="Arial"/>
          <w:color w:val="0D0D0D"/>
          <w:sz w:val="22"/>
          <w:szCs w:val="22"/>
        </w:rPr>
        <w:t xml:space="preserve"> </w:t>
      </w:r>
    </w:p>
    <w:p w14:paraId="1BDEF9D8" w14:textId="77777777" w:rsidR="0025640B" w:rsidRDefault="0025640B" w:rsidP="0025640B">
      <w:pPr>
        <w:pStyle w:val="x1ghz6dp"/>
        <w:shd w:val="clear" w:color="auto" w:fill="FCFCFC"/>
        <w:spacing w:before="0" w:beforeAutospacing="0" w:after="0" w:afterAutospacing="0" w:line="360" w:lineRule="auto"/>
        <w:rPr>
          <w:rStyle w:val="x12zg6f2"/>
          <w:rFonts w:ascii="Arial" w:hAnsi="Arial" w:cs="Arial"/>
          <w:color w:val="0D0D0D"/>
          <w:sz w:val="22"/>
          <w:szCs w:val="22"/>
          <w:bdr w:val="none" w:sz="0" w:space="0" w:color="auto" w:frame="1"/>
        </w:rPr>
      </w:pPr>
      <w:r w:rsidRPr="0025640B">
        <w:rPr>
          <w:rFonts w:ascii="Arial" w:hAnsi="Arial" w:cs="Arial"/>
          <w:color w:val="0D0D0D"/>
          <w:sz w:val="22"/>
          <w:szCs w:val="22"/>
        </w:rPr>
        <w:t xml:space="preserve">Cancer Research UK (n.d.) </w:t>
      </w:r>
      <w:r w:rsidRPr="0025640B">
        <w:rPr>
          <w:rStyle w:val="xt0psk2"/>
          <w:rFonts w:ascii="Arial" w:hAnsi="Arial" w:cs="Arial"/>
          <w:i/>
          <w:iCs/>
          <w:color w:val="0D0D0D"/>
          <w:sz w:val="22"/>
          <w:szCs w:val="22"/>
          <w:bdr w:val="none" w:sz="0" w:space="0" w:color="auto" w:frame="1"/>
        </w:rPr>
        <w:t>Leukaemia (all subtypes combined): incidence statistics</w:t>
      </w:r>
      <w:r w:rsidRPr="0025640B">
        <w:rPr>
          <w:rFonts w:ascii="Arial" w:hAnsi="Arial" w:cs="Arial"/>
          <w:color w:val="0D0D0D"/>
          <w:sz w:val="22"/>
          <w:szCs w:val="22"/>
        </w:rPr>
        <w:t xml:space="preserve">. Available at: </w:t>
      </w:r>
      <w:hyperlink r:id="rId5" w:history="1">
        <w:r w:rsidRPr="0025640B">
          <w:rPr>
            <w:rStyle w:val="Hyperlink"/>
            <w:rFonts w:ascii="Arial" w:hAnsi="Arial" w:cs="Arial"/>
            <w:sz w:val="22"/>
            <w:szCs w:val="22"/>
            <w:bdr w:val="none" w:sz="0" w:space="0" w:color="auto" w:frame="1"/>
          </w:rPr>
          <w:t>https://www.cancerresearchuk.org/health-professional/cancer-statistics/statistics-by-cancer-type/leukaemia/incidence  </w:t>
        </w:r>
      </w:hyperlink>
      <w:r w:rsidRPr="0025640B">
        <w:rPr>
          <w:rStyle w:val="x12zg6f2"/>
          <w:rFonts w:ascii="Arial" w:hAnsi="Arial" w:cs="Arial"/>
          <w:color w:val="0D0D0D"/>
          <w:sz w:val="22"/>
          <w:szCs w:val="22"/>
          <w:bdr w:val="none" w:sz="0" w:space="0" w:color="auto" w:frame="1"/>
        </w:rPr>
        <w:t xml:space="preserve">  </w:t>
      </w:r>
    </w:p>
    <w:p w14:paraId="0C934D28" w14:textId="77777777" w:rsidR="0025640B" w:rsidRPr="0025640B" w:rsidRDefault="0025640B" w:rsidP="0025640B">
      <w:pPr>
        <w:pStyle w:val="x1ghz6dp"/>
        <w:shd w:val="clear" w:color="auto" w:fill="FCFCFC"/>
        <w:spacing w:before="0" w:beforeAutospacing="0" w:after="0" w:afterAutospacing="0" w:line="360" w:lineRule="auto"/>
        <w:rPr>
          <w:rStyle w:val="x12zg6f2"/>
          <w:rFonts w:ascii="Arial" w:hAnsi="Arial" w:cs="Arial"/>
          <w:color w:val="0D0D0D"/>
          <w:sz w:val="22"/>
          <w:szCs w:val="22"/>
        </w:rPr>
      </w:pPr>
    </w:p>
    <w:p w14:paraId="54238F09" w14:textId="77777777" w:rsid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r w:rsidRPr="0025640B">
        <w:rPr>
          <w:rFonts w:ascii="Arial" w:hAnsi="Arial" w:cs="Arial"/>
          <w:color w:val="0D0D0D"/>
          <w:sz w:val="22"/>
          <w:szCs w:val="22"/>
        </w:rPr>
        <w:t xml:space="preserve">Cancer Research UK (n.d.) </w:t>
      </w:r>
      <w:r w:rsidRPr="0025640B">
        <w:rPr>
          <w:rStyle w:val="xt0psk2"/>
          <w:rFonts w:ascii="Arial" w:hAnsi="Arial" w:cs="Arial"/>
          <w:i/>
          <w:iCs/>
          <w:color w:val="0D0D0D"/>
          <w:sz w:val="22"/>
          <w:szCs w:val="22"/>
          <w:bdr w:val="none" w:sz="0" w:space="0" w:color="auto" w:frame="1"/>
        </w:rPr>
        <w:t>Leukaemia</w:t>
      </w:r>
      <w:r w:rsidRPr="0025640B">
        <w:rPr>
          <w:rFonts w:ascii="Arial" w:hAnsi="Arial" w:cs="Arial"/>
          <w:color w:val="0D0D0D"/>
          <w:sz w:val="22"/>
          <w:szCs w:val="22"/>
        </w:rPr>
        <w:t xml:space="preserve">. Available at: </w:t>
      </w:r>
      <w:hyperlink r:id="rId6" w:history="1">
        <w:r w:rsidRPr="0025640B">
          <w:rPr>
            <w:rStyle w:val="Hyperlink"/>
            <w:rFonts w:ascii="Arial" w:hAnsi="Arial" w:cs="Arial"/>
            <w:sz w:val="22"/>
            <w:szCs w:val="22"/>
            <w:bdr w:val="none" w:sz="0" w:space="0" w:color="auto" w:frame="1"/>
          </w:rPr>
          <w:t>https://www.cancerresearchuk.org/about-cancer/leukaemia  </w:t>
        </w:r>
      </w:hyperlink>
      <w:r w:rsidRPr="0025640B">
        <w:rPr>
          <w:rFonts w:ascii="Arial" w:hAnsi="Arial" w:cs="Arial"/>
          <w:color w:val="0D0D0D"/>
          <w:sz w:val="22"/>
          <w:szCs w:val="22"/>
        </w:rPr>
        <w:t xml:space="preserve"> </w:t>
      </w:r>
    </w:p>
    <w:p w14:paraId="4B930894" w14:textId="77777777" w:rsidR="0025640B" w:rsidRP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p>
    <w:p w14:paraId="7333359E" w14:textId="77777777" w:rsid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r w:rsidRPr="0025640B">
        <w:rPr>
          <w:rFonts w:ascii="Arial" w:hAnsi="Arial" w:cs="Arial"/>
          <w:color w:val="0D0D0D"/>
          <w:sz w:val="22"/>
          <w:szCs w:val="22"/>
        </w:rPr>
        <w:t xml:space="preserve">Dahlgren, G. and Whitehead, M. (1991) </w:t>
      </w:r>
      <w:r w:rsidRPr="0025640B">
        <w:rPr>
          <w:rStyle w:val="xt0psk2"/>
          <w:rFonts w:ascii="Arial" w:hAnsi="Arial" w:cs="Arial"/>
          <w:i/>
          <w:iCs/>
          <w:color w:val="0D0D0D"/>
          <w:sz w:val="22"/>
          <w:szCs w:val="22"/>
          <w:bdr w:val="none" w:sz="0" w:space="0" w:color="auto" w:frame="1"/>
        </w:rPr>
        <w:t>Policies and strategies to promote social equity in health</w:t>
      </w:r>
      <w:r w:rsidRPr="0025640B">
        <w:rPr>
          <w:rFonts w:ascii="Arial" w:hAnsi="Arial" w:cs="Arial"/>
          <w:color w:val="0D0D0D"/>
          <w:sz w:val="22"/>
          <w:szCs w:val="22"/>
        </w:rPr>
        <w:t>. Stockholm: Institute for Futures Studies.</w:t>
      </w:r>
    </w:p>
    <w:p w14:paraId="037D934A" w14:textId="77777777" w:rsidR="0025640B" w:rsidRP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p>
    <w:p w14:paraId="0E9CD714" w14:textId="77777777" w:rsidR="0025640B" w:rsidRDefault="0025640B" w:rsidP="0025640B">
      <w:pPr>
        <w:pStyle w:val="x1ghz6dp"/>
        <w:shd w:val="clear" w:color="auto" w:fill="FCFCFC"/>
        <w:spacing w:before="0" w:beforeAutospacing="0" w:after="0" w:afterAutospacing="0" w:line="360" w:lineRule="auto"/>
        <w:rPr>
          <w:rStyle w:val="xt0psk2"/>
          <w:rFonts w:ascii="Arial" w:hAnsi="Arial" w:cs="Arial"/>
          <w:color w:val="0D0D0D"/>
          <w:sz w:val="22"/>
          <w:szCs w:val="22"/>
          <w:u w:val="single"/>
          <w:bdr w:val="none" w:sz="0" w:space="0" w:color="auto" w:frame="1"/>
        </w:rPr>
      </w:pPr>
      <w:r w:rsidRPr="0025640B">
        <w:rPr>
          <w:rFonts w:ascii="Arial" w:hAnsi="Arial" w:cs="Arial"/>
          <w:color w:val="0D0D0D"/>
          <w:sz w:val="22"/>
          <w:szCs w:val="22"/>
        </w:rPr>
        <w:t xml:space="preserve">International Agency for Research on Cancer (IARC) (2024) </w:t>
      </w:r>
      <w:r w:rsidRPr="0025640B">
        <w:rPr>
          <w:rStyle w:val="xt0psk2"/>
          <w:rFonts w:ascii="Arial" w:hAnsi="Arial" w:cs="Arial"/>
          <w:i/>
          <w:iCs/>
          <w:color w:val="0D0D0D"/>
          <w:sz w:val="22"/>
          <w:szCs w:val="22"/>
          <w:bdr w:val="none" w:sz="0" w:space="0" w:color="auto" w:frame="1"/>
        </w:rPr>
        <w:t>Global Cancer Observatory: Leukaemia fact sheet. GLOBOCAN 2022</w:t>
      </w:r>
      <w:r w:rsidRPr="0025640B">
        <w:rPr>
          <w:rFonts w:ascii="Arial" w:hAnsi="Arial" w:cs="Arial"/>
          <w:color w:val="0D0D0D"/>
          <w:sz w:val="22"/>
          <w:szCs w:val="22"/>
        </w:rPr>
        <w:t xml:space="preserve">. Lyon: International Agency for Research on Cancer. Available at: </w:t>
      </w:r>
      <w:hyperlink r:id="rId7" w:history="1">
        <w:r w:rsidRPr="0025640B">
          <w:rPr>
            <w:rStyle w:val="Hyperlink"/>
            <w:rFonts w:ascii="Arial" w:hAnsi="Arial" w:cs="Arial"/>
            <w:sz w:val="22"/>
            <w:szCs w:val="22"/>
            <w:bdr w:val="none" w:sz="0" w:space="0" w:color="auto" w:frame="1"/>
          </w:rPr>
          <w:t>https://gco.iarc.who.int/media/globocan/factsheets/cancers/36-leukaemia-fact-sheet.pdf  </w:t>
        </w:r>
      </w:hyperlink>
    </w:p>
    <w:p w14:paraId="1A02D1CC" w14:textId="77777777" w:rsidR="0025640B" w:rsidRPr="0025640B" w:rsidRDefault="0025640B" w:rsidP="0025640B">
      <w:pPr>
        <w:pStyle w:val="x1ghz6dp"/>
        <w:shd w:val="clear" w:color="auto" w:fill="FCFCFC"/>
        <w:spacing w:before="0" w:beforeAutospacing="0" w:after="0" w:afterAutospacing="0" w:line="360" w:lineRule="auto"/>
        <w:rPr>
          <w:rStyle w:val="x12zg6f2"/>
          <w:rFonts w:ascii="Arial" w:hAnsi="Arial" w:cs="Arial"/>
          <w:color w:val="0D0D0D"/>
          <w:sz w:val="22"/>
          <w:szCs w:val="22"/>
        </w:rPr>
      </w:pPr>
    </w:p>
    <w:p w14:paraId="31F3C44D" w14:textId="77777777" w:rsidR="0025640B" w:rsidRDefault="0025640B" w:rsidP="0025640B">
      <w:pPr>
        <w:pStyle w:val="x1ghz6dp"/>
        <w:shd w:val="clear" w:color="auto" w:fill="FCFCFC"/>
        <w:spacing w:before="0" w:beforeAutospacing="0" w:after="0" w:afterAutospacing="0" w:line="360" w:lineRule="auto"/>
        <w:rPr>
          <w:rStyle w:val="xt0psk2"/>
          <w:rFonts w:ascii="Arial" w:hAnsi="Arial" w:cs="Arial"/>
          <w:color w:val="0D0D0D"/>
          <w:sz w:val="22"/>
          <w:szCs w:val="22"/>
          <w:u w:val="single"/>
          <w:bdr w:val="none" w:sz="0" w:space="0" w:color="auto" w:frame="1"/>
        </w:rPr>
      </w:pPr>
      <w:r w:rsidRPr="0025640B">
        <w:rPr>
          <w:rFonts w:ascii="Arial" w:hAnsi="Arial" w:cs="Arial"/>
          <w:color w:val="0D0D0D"/>
          <w:sz w:val="22"/>
          <w:szCs w:val="22"/>
        </w:rPr>
        <w:t xml:space="preserve">Marmot, M., Allen, J., Boyce, T., Goldblatt, P. and Morrison, J. (2020) </w:t>
      </w:r>
      <w:r w:rsidRPr="0025640B">
        <w:rPr>
          <w:rStyle w:val="xt0psk2"/>
          <w:rFonts w:ascii="Arial" w:hAnsi="Arial" w:cs="Arial"/>
          <w:i/>
          <w:iCs/>
          <w:color w:val="0D0D0D"/>
          <w:sz w:val="22"/>
          <w:szCs w:val="22"/>
          <w:bdr w:val="none" w:sz="0" w:space="0" w:color="auto" w:frame="1"/>
        </w:rPr>
        <w:t>Health equity in England: The Marmot Review 10 years on</w:t>
      </w:r>
      <w:r w:rsidRPr="0025640B">
        <w:rPr>
          <w:rFonts w:ascii="Arial" w:hAnsi="Arial" w:cs="Arial"/>
          <w:color w:val="0D0D0D"/>
          <w:sz w:val="22"/>
          <w:szCs w:val="22"/>
        </w:rPr>
        <w:t xml:space="preserve">. London: Institute of Health Equity. Available at: </w:t>
      </w:r>
      <w:hyperlink r:id="rId8" w:history="1">
        <w:r w:rsidRPr="0025640B">
          <w:rPr>
            <w:rStyle w:val="Hyperlink"/>
            <w:rFonts w:ascii="Arial" w:hAnsi="Arial" w:cs="Arial"/>
            <w:sz w:val="22"/>
            <w:szCs w:val="22"/>
            <w:bdr w:val="none" w:sz="0" w:space="0" w:color="auto" w:frame="1"/>
          </w:rPr>
          <w:t>https://www.health.org.uk/reports-and-analysis/reports/health-equity-in-england-the-marmot-review-10-years-on-0  </w:t>
        </w:r>
      </w:hyperlink>
    </w:p>
    <w:p w14:paraId="55DE9330" w14:textId="77777777" w:rsidR="0025640B" w:rsidRPr="0025640B" w:rsidRDefault="0025640B" w:rsidP="0025640B">
      <w:pPr>
        <w:pStyle w:val="x1ghz6dp"/>
        <w:shd w:val="clear" w:color="auto" w:fill="FCFCFC"/>
        <w:spacing w:before="0" w:beforeAutospacing="0" w:after="0" w:afterAutospacing="0" w:line="360" w:lineRule="auto"/>
        <w:rPr>
          <w:rStyle w:val="x12zg6f2"/>
          <w:rFonts w:ascii="Arial" w:hAnsi="Arial" w:cs="Arial"/>
          <w:color w:val="0D0D0D"/>
          <w:sz w:val="22"/>
          <w:szCs w:val="22"/>
        </w:rPr>
      </w:pPr>
    </w:p>
    <w:p w14:paraId="6FBE93FD" w14:textId="77777777" w:rsid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r w:rsidRPr="0025640B">
        <w:rPr>
          <w:rFonts w:ascii="Arial" w:hAnsi="Arial" w:cs="Arial"/>
          <w:color w:val="0D0D0D"/>
          <w:sz w:val="22"/>
          <w:szCs w:val="22"/>
        </w:rPr>
        <w:t xml:space="preserve">Marmot, M., Allen, J., Goldblatt, P., Boyce, T., McNeish, D., Grady, M. and Geddes, I. (2010) </w:t>
      </w:r>
      <w:r w:rsidRPr="0025640B">
        <w:rPr>
          <w:rStyle w:val="xt0psk2"/>
          <w:rFonts w:ascii="Arial" w:hAnsi="Arial" w:cs="Arial"/>
          <w:i/>
          <w:iCs/>
          <w:color w:val="0D0D0D"/>
          <w:sz w:val="22"/>
          <w:szCs w:val="22"/>
          <w:bdr w:val="none" w:sz="0" w:space="0" w:color="auto" w:frame="1"/>
        </w:rPr>
        <w:t>Fair society, healthy lives: The Marmot Review</w:t>
      </w:r>
      <w:r w:rsidRPr="0025640B">
        <w:rPr>
          <w:rFonts w:ascii="Arial" w:hAnsi="Arial" w:cs="Arial"/>
          <w:color w:val="0D0D0D"/>
          <w:sz w:val="22"/>
          <w:szCs w:val="22"/>
        </w:rPr>
        <w:t xml:space="preserve">. London: The Marmot Review. Available at: </w:t>
      </w:r>
      <w:hyperlink r:id="rId9" w:history="1">
        <w:r w:rsidRPr="0025640B">
          <w:rPr>
            <w:rStyle w:val="Hyperlink"/>
            <w:rFonts w:ascii="Arial" w:hAnsi="Arial" w:cs="Arial"/>
            <w:sz w:val="22"/>
            <w:szCs w:val="22"/>
            <w:bdr w:val="none" w:sz="0" w:space="0" w:color="auto" w:frame="1"/>
          </w:rPr>
          <w:t>https://www.instituteofhealthequity.org/resources-reports/fair-society-healthy-lives-the-marmot-review  </w:t>
        </w:r>
      </w:hyperlink>
      <w:r w:rsidRPr="0025640B">
        <w:rPr>
          <w:rFonts w:ascii="Arial" w:hAnsi="Arial" w:cs="Arial"/>
          <w:color w:val="0D0D0D"/>
          <w:sz w:val="22"/>
          <w:szCs w:val="22"/>
        </w:rPr>
        <w:t xml:space="preserve"> </w:t>
      </w:r>
    </w:p>
    <w:p w14:paraId="59467D10" w14:textId="77777777" w:rsidR="0025640B" w:rsidRP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p>
    <w:p w14:paraId="7D403ED4" w14:textId="77777777" w:rsidR="0025640B" w:rsidRDefault="0025640B" w:rsidP="0025640B">
      <w:pPr>
        <w:pStyle w:val="x1ghz6dp"/>
        <w:shd w:val="clear" w:color="auto" w:fill="FCFCFC"/>
        <w:spacing w:before="0" w:beforeAutospacing="0" w:after="0" w:afterAutospacing="0" w:line="360" w:lineRule="auto"/>
        <w:rPr>
          <w:rStyle w:val="xt0psk2"/>
          <w:rFonts w:ascii="Arial" w:hAnsi="Arial" w:cs="Arial"/>
          <w:color w:val="0D0D0D"/>
          <w:sz w:val="22"/>
          <w:szCs w:val="22"/>
          <w:u w:val="single"/>
          <w:bdr w:val="none" w:sz="0" w:space="0" w:color="auto" w:frame="1"/>
        </w:rPr>
      </w:pPr>
      <w:r w:rsidRPr="0025640B">
        <w:rPr>
          <w:rFonts w:ascii="Arial" w:hAnsi="Arial" w:cs="Arial"/>
          <w:color w:val="0D0D0D"/>
          <w:sz w:val="22"/>
          <w:szCs w:val="22"/>
        </w:rPr>
        <w:t xml:space="preserve">National Health Service (NHS) (n.d.) </w:t>
      </w:r>
      <w:r w:rsidRPr="0025640B">
        <w:rPr>
          <w:rStyle w:val="xt0psk2"/>
          <w:rFonts w:ascii="Arial" w:hAnsi="Arial" w:cs="Arial"/>
          <w:i/>
          <w:iCs/>
          <w:color w:val="0D0D0D"/>
          <w:sz w:val="22"/>
          <w:szCs w:val="22"/>
          <w:bdr w:val="none" w:sz="0" w:space="0" w:color="auto" w:frame="1"/>
        </w:rPr>
        <w:t>Leukaemia</w:t>
      </w:r>
      <w:r w:rsidRPr="0025640B">
        <w:rPr>
          <w:rFonts w:ascii="Arial" w:hAnsi="Arial" w:cs="Arial"/>
          <w:color w:val="0D0D0D"/>
          <w:sz w:val="22"/>
          <w:szCs w:val="22"/>
        </w:rPr>
        <w:t xml:space="preserve">. Available at: </w:t>
      </w:r>
      <w:hyperlink r:id="rId10" w:history="1">
        <w:r w:rsidRPr="0025640B">
          <w:rPr>
            <w:rStyle w:val="Hyperlink"/>
            <w:rFonts w:ascii="Arial" w:hAnsi="Arial" w:cs="Arial"/>
            <w:sz w:val="22"/>
            <w:szCs w:val="22"/>
            <w:bdr w:val="none" w:sz="0" w:space="0" w:color="auto" w:frame="1"/>
          </w:rPr>
          <w:t>https://www.nhs.uk/conditions/leukaemia/  </w:t>
        </w:r>
      </w:hyperlink>
    </w:p>
    <w:p w14:paraId="1B0C44ED" w14:textId="77777777" w:rsidR="0025640B" w:rsidRPr="0025640B" w:rsidRDefault="0025640B" w:rsidP="0025640B">
      <w:pPr>
        <w:pStyle w:val="x1ghz6dp"/>
        <w:shd w:val="clear" w:color="auto" w:fill="FCFCFC"/>
        <w:spacing w:before="0" w:beforeAutospacing="0" w:after="0" w:afterAutospacing="0" w:line="360" w:lineRule="auto"/>
        <w:rPr>
          <w:rStyle w:val="x12zg6f2"/>
          <w:rFonts w:ascii="Arial" w:hAnsi="Arial" w:cs="Arial"/>
          <w:color w:val="0D0D0D"/>
          <w:sz w:val="22"/>
          <w:szCs w:val="22"/>
        </w:rPr>
      </w:pPr>
    </w:p>
    <w:p w14:paraId="24B736D7" w14:textId="77777777" w:rsidR="0025640B" w:rsidRDefault="0025640B" w:rsidP="0025640B">
      <w:pPr>
        <w:pStyle w:val="x1ghz6dp"/>
        <w:shd w:val="clear" w:color="auto" w:fill="FCFCFC"/>
        <w:spacing w:before="0" w:beforeAutospacing="0" w:after="0" w:afterAutospacing="0" w:line="360" w:lineRule="auto"/>
        <w:rPr>
          <w:rStyle w:val="xt0psk2"/>
          <w:rFonts w:ascii="Arial" w:hAnsi="Arial" w:cs="Arial"/>
          <w:color w:val="0D0D0D"/>
          <w:sz w:val="22"/>
          <w:szCs w:val="22"/>
          <w:u w:val="single"/>
          <w:bdr w:val="none" w:sz="0" w:space="0" w:color="auto" w:frame="1"/>
        </w:rPr>
      </w:pPr>
      <w:r w:rsidRPr="0025640B">
        <w:rPr>
          <w:rFonts w:ascii="Arial" w:hAnsi="Arial" w:cs="Arial"/>
          <w:color w:val="0D0D0D"/>
          <w:sz w:val="22"/>
          <w:szCs w:val="22"/>
        </w:rPr>
        <w:t xml:space="preserve">National Institute for Health and Care Excellence (NICE) (2015, updated guidance) </w:t>
      </w:r>
      <w:r w:rsidRPr="0025640B">
        <w:rPr>
          <w:rStyle w:val="xt0psk2"/>
          <w:rFonts w:ascii="Arial" w:hAnsi="Arial" w:cs="Arial"/>
          <w:i/>
          <w:iCs/>
          <w:color w:val="0D0D0D"/>
          <w:sz w:val="22"/>
          <w:szCs w:val="22"/>
          <w:bdr w:val="none" w:sz="0" w:space="0" w:color="auto" w:frame="1"/>
        </w:rPr>
        <w:t>Suspected cancer: recognition and referral (NG12)</w:t>
      </w:r>
      <w:r w:rsidRPr="0025640B">
        <w:rPr>
          <w:rFonts w:ascii="Arial" w:hAnsi="Arial" w:cs="Arial"/>
          <w:color w:val="0D0D0D"/>
          <w:sz w:val="22"/>
          <w:szCs w:val="22"/>
        </w:rPr>
        <w:t xml:space="preserve">. Available at: </w:t>
      </w:r>
      <w:hyperlink r:id="rId11" w:history="1">
        <w:r w:rsidRPr="0025640B">
          <w:rPr>
            <w:rStyle w:val="Hyperlink"/>
            <w:rFonts w:ascii="Arial" w:hAnsi="Arial" w:cs="Arial"/>
            <w:sz w:val="22"/>
            <w:szCs w:val="22"/>
            <w:bdr w:val="none" w:sz="0" w:space="0" w:color="auto" w:frame="1"/>
          </w:rPr>
          <w:t>https://www.nice.org.uk/guidance/ng12  </w:t>
        </w:r>
      </w:hyperlink>
    </w:p>
    <w:p w14:paraId="2BE2783C" w14:textId="77777777" w:rsidR="0025640B" w:rsidRPr="0025640B" w:rsidRDefault="0025640B" w:rsidP="0025640B">
      <w:pPr>
        <w:pStyle w:val="x1ghz6dp"/>
        <w:shd w:val="clear" w:color="auto" w:fill="FCFCFC"/>
        <w:spacing w:before="0" w:beforeAutospacing="0" w:after="0" w:afterAutospacing="0" w:line="360" w:lineRule="auto"/>
        <w:rPr>
          <w:rStyle w:val="x12zg6f2"/>
          <w:rFonts w:ascii="Arial" w:hAnsi="Arial" w:cs="Arial"/>
          <w:color w:val="0D0D0D"/>
          <w:sz w:val="22"/>
          <w:szCs w:val="22"/>
        </w:rPr>
      </w:pPr>
    </w:p>
    <w:p w14:paraId="23BF9845" w14:textId="77777777" w:rsidR="0025640B" w:rsidRPr="0025640B" w:rsidRDefault="0025640B" w:rsidP="0025640B">
      <w:pPr>
        <w:pStyle w:val="x1ghz6dp"/>
        <w:shd w:val="clear" w:color="auto" w:fill="FCFCFC"/>
        <w:spacing w:before="0" w:beforeAutospacing="0" w:after="0" w:afterAutospacing="0" w:line="360" w:lineRule="auto"/>
        <w:rPr>
          <w:rFonts w:ascii="Arial" w:hAnsi="Arial" w:cs="Arial"/>
          <w:color w:val="0D0D0D"/>
          <w:sz w:val="22"/>
          <w:szCs w:val="22"/>
        </w:rPr>
      </w:pPr>
      <w:r w:rsidRPr="0025640B">
        <w:rPr>
          <w:rFonts w:ascii="Arial" w:hAnsi="Arial" w:cs="Arial"/>
          <w:color w:val="0D0D0D"/>
          <w:sz w:val="22"/>
          <w:szCs w:val="22"/>
        </w:rPr>
        <w:t xml:space="preserve">World Cancer Research Fund (2022) </w:t>
      </w:r>
      <w:r w:rsidRPr="0025640B">
        <w:rPr>
          <w:rStyle w:val="xt0psk2"/>
          <w:rFonts w:ascii="Arial" w:hAnsi="Arial" w:cs="Arial"/>
          <w:i/>
          <w:iCs/>
          <w:color w:val="0D0D0D"/>
          <w:sz w:val="22"/>
          <w:szCs w:val="22"/>
          <w:bdr w:val="none" w:sz="0" w:space="0" w:color="auto" w:frame="1"/>
        </w:rPr>
        <w:t>Worldwide cancer data</w:t>
      </w:r>
      <w:r w:rsidRPr="0025640B">
        <w:rPr>
          <w:rFonts w:ascii="Arial" w:hAnsi="Arial" w:cs="Arial"/>
          <w:color w:val="0D0D0D"/>
          <w:sz w:val="22"/>
          <w:szCs w:val="22"/>
        </w:rPr>
        <w:t xml:space="preserve">. Available at: </w:t>
      </w:r>
      <w:hyperlink r:id="rId12" w:history="1">
        <w:r w:rsidRPr="0025640B">
          <w:rPr>
            <w:rStyle w:val="Hyperlink"/>
            <w:rFonts w:ascii="Arial" w:hAnsi="Arial" w:cs="Arial"/>
            <w:sz w:val="22"/>
            <w:szCs w:val="22"/>
            <w:bdr w:val="none" w:sz="0" w:space="0" w:color="auto" w:frame="1"/>
          </w:rPr>
          <w:t>https://www.wcrf.org/preventing-cancer/cancer-statistics/worldwide-cancer-data/  </w:t>
        </w:r>
      </w:hyperlink>
    </w:p>
    <w:p w14:paraId="528DD53B" w14:textId="77777777" w:rsidR="00675AC4" w:rsidRDefault="00675AC4"/>
    <w:sectPr w:rsidR="00675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40C4AD9"/>
    <w:multiLevelType w:val="hybridMultilevel"/>
    <w:tmpl w:val="5E708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65068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4"/>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373"/>
    <w:rsid w:val="00006319"/>
    <w:rsid w:val="000C6A50"/>
    <w:rsid w:val="0025640B"/>
    <w:rsid w:val="002E7373"/>
    <w:rsid w:val="00505B9D"/>
    <w:rsid w:val="00675AC4"/>
    <w:rsid w:val="006B1165"/>
    <w:rsid w:val="00967200"/>
    <w:rsid w:val="00A10EFA"/>
    <w:rsid w:val="00AB3911"/>
    <w:rsid w:val="00B613A5"/>
    <w:rsid w:val="00C92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7B62"/>
  <w15:chartTrackingRefBased/>
  <w15:docId w15:val="{9918B8EB-B7F4-4B3F-A66C-3C2A0D925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7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3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3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3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3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73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3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3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3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373"/>
    <w:rPr>
      <w:rFonts w:eastAsiaTheme="majorEastAsia" w:cstheme="majorBidi"/>
      <w:color w:val="272727" w:themeColor="text1" w:themeTint="D8"/>
    </w:rPr>
  </w:style>
  <w:style w:type="paragraph" w:styleId="Title">
    <w:name w:val="Title"/>
    <w:basedOn w:val="Normal"/>
    <w:next w:val="Normal"/>
    <w:link w:val="TitleChar"/>
    <w:uiPriority w:val="10"/>
    <w:qFormat/>
    <w:rsid w:val="002E7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373"/>
    <w:pPr>
      <w:spacing w:before="160"/>
      <w:jc w:val="center"/>
    </w:pPr>
    <w:rPr>
      <w:i/>
      <w:iCs/>
      <w:color w:val="404040" w:themeColor="text1" w:themeTint="BF"/>
    </w:rPr>
  </w:style>
  <w:style w:type="character" w:customStyle="1" w:styleId="QuoteChar">
    <w:name w:val="Quote Char"/>
    <w:basedOn w:val="DefaultParagraphFont"/>
    <w:link w:val="Quote"/>
    <w:uiPriority w:val="29"/>
    <w:rsid w:val="002E7373"/>
    <w:rPr>
      <w:i/>
      <w:iCs/>
      <w:color w:val="404040" w:themeColor="text1" w:themeTint="BF"/>
    </w:rPr>
  </w:style>
  <w:style w:type="paragraph" w:styleId="ListParagraph">
    <w:name w:val="List Paragraph"/>
    <w:basedOn w:val="Normal"/>
    <w:uiPriority w:val="34"/>
    <w:qFormat/>
    <w:rsid w:val="002E7373"/>
    <w:pPr>
      <w:ind w:left="720"/>
      <w:contextualSpacing/>
    </w:pPr>
  </w:style>
  <w:style w:type="character" w:styleId="IntenseEmphasis">
    <w:name w:val="Intense Emphasis"/>
    <w:basedOn w:val="DefaultParagraphFont"/>
    <w:uiPriority w:val="21"/>
    <w:qFormat/>
    <w:rsid w:val="002E7373"/>
    <w:rPr>
      <w:i/>
      <w:iCs/>
      <w:color w:val="0F4761" w:themeColor="accent1" w:themeShade="BF"/>
    </w:rPr>
  </w:style>
  <w:style w:type="paragraph" w:styleId="IntenseQuote">
    <w:name w:val="Intense Quote"/>
    <w:basedOn w:val="Normal"/>
    <w:next w:val="Normal"/>
    <w:link w:val="IntenseQuoteChar"/>
    <w:uiPriority w:val="30"/>
    <w:qFormat/>
    <w:rsid w:val="002E7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373"/>
    <w:rPr>
      <w:i/>
      <w:iCs/>
      <w:color w:val="0F4761" w:themeColor="accent1" w:themeShade="BF"/>
    </w:rPr>
  </w:style>
  <w:style w:type="character" w:styleId="IntenseReference">
    <w:name w:val="Intense Reference"/>
    <w:basedOn w:val="DefaultParagraphFont"/>
    <w:uiPriority w:val="32"/>
    <w:qFormat/>
    <w:rsid w:val="002E7373"/>
    <w:rPr>
      <w:b/>
      <w:bCs/>
      <w:smallCaps/>
      <w:color w:val="0F4761" w:themeColor="accent1" w:themeShade="BF"/>
      <w:spacing w:val="5"/>
    </w:rPr>
  </w:style>
  <w:style w:type="paragraph" w:customStyle="1" w:styleId="x12ofw9d">
    <w:name w:val="x12ofw9d"/>
    <w:basedOn w:val="Normal"/>
    <w:rsid w:val="002E73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x1ghz6dp">
    <w:name w:val="x1ghz6dp"/>
    <w:basedOn w:val="Normal"/>
    <w:rsid w:val="002564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xt0psk2">
    <w:name w:val="xt0psk2"/>
    <w:basedOn w:val="DefaultParagraphFont"/>
    <w:rsid w:val="0025640B"/>
  </w:style>
  <w:style w:type="character" w:customStyle="1" w:styleId="x12zg6f2">
    <w:name w:val="x12zg6f2"/>
    <w:basedOn w:val="DefaultParagraphFont"/>
    <w:rsid w:val="0025640B"/>
  </w:style>
  <w:style w:type="character" w:styleId="Hyperlink">
    <w:name w:val="Hyperlink"/>
    <w:basedOn w:val="DefaultParagraphFont"/>
    <w:uiPriority w:val="99"/>
    <w:unhideWhenUsed/>
    <w:rsid w:val="0025640B"/>
    <w:rPr>
      <w:color w:val="0000FF"/>
      <w:u w:val="single"/>
    </w:rPr>
  </w:style>
  <w:style w:type="character" w:styleId="FollowedHyperlink">
    <w:name w:val="FollowedHyperlink"/>
    <w:basedOn w:val="DefaultParagraphFont"/>
    <w:uiPriority w:val="99"/>
    <w:semiHidden/>
    <w:unhideWhenUsed/>
    <w:rsid w:val="0025640B"/>
    <w:rPr>
      <w:color w:val="96607D" w:themeColor="followedHyperlink"/>
      <w:u w:val="single"/>
    </w:rPr>
  </w:style>
  <w:style w:type="character" w:styleId="UnresolvedMention">
    <w:name w:val="Unresolved Mention"/>
    <w:basedOn w:val="DefaultParagraphFont"/>
    <w:uiPriority w:val="99"/>
    <w:semiHidden/>
    <w:unhideWhenUsed/>
    <w:rsid w:val="002564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reports-and-analysis/reports/health-equity-in-england-the-marmot-review-10-years-on-0%20&#16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co.iarc.who.int/media/globocan/factsheets/cancers/36-leukaemia-fact-sheet.pdf%20&#160;" TargetMode="External"/><Relationship Id="rId12" Type="http://schemas.openxmlformats.org/officeDocument/2006/relationships/hyperlink" Target="https://www.wcrf.org/preventing-cancer/cancer-statistics/worldwide-cancer-data/%20&#1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cerresearchuk.org/about-cancer/leukaemia%20&#160;" TargetMode="External"/><Relationship Id="rId11" Type="http://schemas.openxmlformats.org/officeDocument/2006/relationships/hyperlink" Target="https://www.nice.org.uk/guidance/ng12%20&#160;" TargetMode="External"/><Relationship Id="rId5" Type="http://schemas.openxmlformats.org/officeDocument/2006/relationships/hyperlink" Target="https://www.cancerresearchuk.org/health-professional/cancer-statistics/statistics-by-cancer-type/leukaemia/incidence%20&#160;" TargetMode="External"/><Relationship Id="rId10" Type="http://schemas.openxmlformats.org/officeDocument/2006/relationships/hyperlink" Target="https://www.nhs.uk/conditions/leukaemia/%20&#160;" TargetMode="External"/><Relationship Id="rId4" Type="http://schemas.openxmlformats.org/officeDocument/2006/relationships/webSettings" Target="webSettings.xml"/><Relationship Id="rId9" Type="http://schemas.openxmlformats.org/officeDocument/2006/relationships/hyperlink" Target="https://www.instituteofhealthequity.org/resources-reports/fair-society-healthy-lives-the-marmot-review%20&#1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Adnaan Ali</cp:lastModifiedBy>
  <cp:revision>2</cp:revision>
  <dcterms:created xsi:type="dcterms:W3CDTF">2026-10-24T12:41:00Z</dcterms:created>
  <dcterms:modified xsi:type="dcterms:W3CDTF">2026-10-24T12:41:00Z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400c17c0-fbf8-4a10-8eeb-ef52395902f7</vt:lpwstr>
  </property>
</Properties>
</file>