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708A" w:rsidRPr="00E14671" w:rsidRDefault="00E14671" w:rsidP="00E14671">
      <w:pPr>
        <w:spacing w:after="0"/>
        <w:rPr>
          <w:b/>
        </w:rPr>
      </w:pPr>
      <w:r w:rsidRPr="00E14671">
        <w:rPr>
          <w:b/>
        </w:rPr>
        <w:t>Samuel Mowbray</w:t>
      </w:r>
    </w:p>
    <w:p w:rsidR="00E14671" w:rsidRPr="00E14671" w:rsidRDefault="00E14671" w:rsidP="00E14671">
      <w:pPr>
        <w:spacing w:after="0"/>
        <w:rPr>
          <w:b/>
        </w:rPr>
      </w:pPr>
      <w:r w:rsidRPr="00E14671">
        <w:rPr>
          <w:b/>
        </w:rPr>
        <w:t>PC 6721 South Wales Police</w:t>
      </w:r>
    </w:p>
    <w:p w:rsidR="00E14671" w:rsidRPr="00E14671" w:rsidRDefault="00E14671" w:rsidP="00E14671">
      <w:pPr>
        <w:spacing w:after="0"/>
        <w:rPr>
          <w:b/>
        </w:rPr>
      </w:pPr>
      <w:r w:rsidRPr="00E14671">
        <w:rPr>
          <w:b/>
        </w:rPr>
        <w:t>Student Number: 1922452</w:t>
      </w:r>
    </w:p>
    <w:p w:rsidR="00E14671" w:rsidRDefault="00E14671" w:rsidP="00E14671">
      <w:pPr>
        <w:spacing w:after="0"/>
      </w:pPr>
      <w:r w:rsidRPr="00E14671">
        <w:rPr>
          <w:b/>
        </w:rPr>
        <w:t>Exam 1 – 04/09/2020</w:t>
      </w:r>
    </w:p>
    <w:p w:rsidR="00E14671" w:rsidRDefault="00E14671" w:rsidP="00E14671">
      <w:pPr>
        <w:spacing w:after="0"/>
      </w:pPr>
    </w:p>
    <w:p w:rsidR="00E14671" w:rsidRDefault="00E14671" w:rsidP="00E14671">
      <w:r w:rsidRPr="00E14671">
        <w:rPr>
          <w:u w:val="single"/>
        </w:rPr>
        <w:t>Question 1</w:t>
      </w:r>
    </w:p>
    <w:p w:rsidR="00E14671" w:rsidRDefault="00FC75D4" w:rsidP="00E14671">
      <w:r>
        <w:t>Section 9(1)(a) is the offence of burglary. It is defined as:</w:t>
      </w:r>
    </w:p>
    <w:p w:rsidR="00FC75D4" w:rsidRDefault="00C4697D" w:rsidP="00E14671">
      <w:r>
        <w:t>“A person is guilty of burglary if they enter a</w:t>
      </w:r>
      <w:r w:rsidR="00A96F52">
        <w:t xml:space="preserve"> building, or any part of a building, as a trespasser, with the intent to steal any property therein, to commit GBH against any person therein or to cause criminal damage therein. </w:t>
      </w:r>
    </w:p>
    <w:p w:rsidR="00A96F52" w:rsidRDefault="00A96F52" w:rsidP="00E14671">
      <w:r>
        <w:rPr>
          <w:u w:val="single"/>
        </w:rPr>
        <w:t>Question 2</w:t>
      </w:r>
    </w:p>
    <w:p w:rsidR="00A96F52" w:rsidRDefault="00A96F52" w:rsidP="00E14671">
      <w:r>
        <w:t xml:space="preserve">On arrival at the scene, officers should perform an assessment. Firstly, this would comprise a dynamic risk assessment of the scene, where an officer is assessing the threat posed to themselves and the public and what measures will be necessary to mitigate any potential risks. The officer will then assess what the nature of the incident they have arrived at is, what additional support or resources they may require would be and what their next actions will be. The protect element of the process refers to the officer protecting life and property, as these are key policing purposes. If the incident has resulted in a crime scene that will need to be preserved for evidence gathering and further investigation, the officer will also protect this by establishing a cordon, starting a scene log to monitor who is in attendance at the scene and what actions are taken and controlling access to the scene. The final part of the process is communicate. This is where an officer will provide the details of the incident and any relevant updates to the force control room. This is where requests for assistance are made or </w:t>
      </w:r>
      <w:r w:rsidR="00D16E26">
        <w:t>if the presence of specialist resources such as CID or Roads Policing Units are required at the scene. The communication should be accurate, brief and clear to ensure that information is received and processed effectively.</w:t>
      </w:r>
    </w:p>
    <w:p w:rsidR="00D16E26" w:rsidRDefault="00D16E26" w:rsidP="00E14671">
      <w:r>
        <w:rPr>
          <w:u w:val="single"/>
        </w:rPr>
        <w:t>Question 3</w:t>
      </w:r>
    </w:p>
    <w:p w:rsidR="00D16E26" w:rsidRDefault="00C4697D" w:rsidP="00E14671">
      <w:r>
        <w:t xml:space="preserve">The Golden Hour is a concept that refers to the hour immediately following an incident or crime occurring. This golden hour is very important to policing for a number of reasons. Firstly, the golden hour is the time period where the most forensic opportunities will still be present. Forensic opportunities such as fingerprints or DNA traces will be lost over time as a result of natural weathering of a scene or disturbance by people or animals. This is especially important in outdoor scenes or other scenarios where weather such as rain may impact on the quality of forensic material available. By identifying these scenes and allowing Scenes of Crime investigators to carry out their investigations within the Golden Hour, this will maximise the amount of evidence that can be recovered. </w:t>
      </w:r>
    </w:p>
    <w:p w:rsidR="00C4697D" w:rsidRDefault="00C4697D" w:rsidP="00E14671">
      <w:r>
        <w:t>As well as this, witnesses who have seen what has happened or that may possess useful information will still be present or close to the scene within the first hour after an incident. By identifying these witnesses early, this allows for the best collection of witness evidence and identification of witnesses that may not otherwise be located. For example, a passing delivery driver may have witnessed an incident. If this witness is not identified within the Golden Hour, the delivery driver would leave the scene and the potential evidence they could give would be lost. The same is true of victims, who may leave the scene and be difficult to find in future or suspects. Identifying victims or suspects when still at the scene allows for better identification and evidential opportunities.</w:t>
      </w:r>
    </w:p>
    <w:p w:rsidR="00C4697D" w:rsidRDefault="00C4697D" w:rsidP="00E14671">
      <w:r>
        <w:rPr>
          <w:u w:val="single"/>
        </w:rPr>
        <w:lastRenderedPageBreak/>
        <w:t>Question 4</w:t>
      </w:r>
    </w:p>
    <w:p w:rsidR="00C4697D" w:rsidRDefault="00C4697D" w:rsidP="00E14671">
      <w:r>
        <w:t>Section 8(1) of the Theft Act 1968 is the offence of robbery. It is defined as:</w:t>
      </w:r>
    </w:p>
    <w:p w:rsidR="00C4697D" w:rsidRDefault="00C4697D" w:rsidP="00E14671">
      <w:r>
        <w:t>“A person is guilty of robbery if they steal, and immediately before doing so, or at the time of doing so, and in order to do so, they use force on any person, or put or seek to put any person in fear of then and there being subjected to force”.</w:t>
      </w:r>
    </w:p>
    <w:p w:rsidR="004433D5" w:rsidRDefault="004433D5" w:rsidP="00E14671">
      <w:r>
        <w:rPr>
          <w:u w:val="single"/>
        </w:rPr>
        <w:t>Question 5</w:t>
      </w:r>
    </w:p>
    <w:p w:rsidR="004433D5" w:rsidRDefault="004433D5" w:rsidP="00E14671">
      <w:r>
        <w:t>Officers have the ability to use professional discretion. This is defined as an officer using their professional judgement of the circumstances or situation of an offence or incident to decide what the most effective and appropriate course of action would be. This can sometimes be seen as discriminatory, as an officer may be perceived as being unfair in the way that they treat some people and not others. For example, it may be perceived as discriminatory for an officer to arrest an individual of a certain race for an offence such as theft, whilst not arresting a person of a different race for the same offence. In order to avoid accusations of discrimination whilst using discretion, officers should be mindful to ensure that their decision making is based on objective fact of the crime and its surrounding circumstances. Officers should never base their decision to take action or not on any protected characteristic of an individual, or the person’s behaviour. For example, it would be appropriate for an officer to use their discretion in the case of a first-time minor offence, where it is believed that words of advice would suffice to prevent the person committing the offence again. However, it would not be acceptable to take this decision based on a person’s race or gender.</w:t>
      </w:r>
    </w:p>
    <w:p w:rsidR="004433D5" w:rsidRDefault="004433D5" w:rsidP="00E14671">
      <w:r>
        <w:rPr>
          <w:u w:val="single"/>
        </w:rPr>
        <w:t>Question 6</w:t>
      </w:r>
    </w:p>
    <w:p w:rsidR="004433D5" w:rsidRDefault="004433D5" w:rsidP="00E14671">
      <w:r>
        <w:t xml:space="preserve">When a statutory offence has been committed, an officer has power under Section 24(3) of the Police and Criminal Evidence Act (PACE) 1984 to arrest that person for the offence. The officer must either know or have reasonable grounds to suspect that the person is guilty of the offence. </w:t>
      </w:r>
    </w:p>
    <w:p w:rsidR="004433D5" w:rsidRDefault="004433D5" w:rsidP="00E14671">
      <w:r>
        <w:rPr>
          <w:u w:val="single"/>
        </w:rPr>
        <w:t>Question 7</w:t>
      </w:r>
    </w:p>
    <w:p w:rsidR="004433D5" w:rsidRDefault="004433D5" w:rsidP="00E14671">
      <w:r>
        <w:t>The powers of arrest under S24 PACE 1984 are governed by PACE Code of Practice G. This Code of Practice governs the way in which these arrests are conducted. The criteria that make an arrest necessary are:</w:t>
      </w:r>
    </w:p>
    <w:p w:rsidR="004433D5" w:rsidRDefault="004433D5" w:rsidP="004433D5">
      <w:pPr>
        <w:pStyle w:val="ListParagraph"/>
        <w:numPr>
          <w:ilvl w:val="0"/>
          <w:numId w:val="2"/>
        </w:numPr>
      </w:pPr>
      <w:r>
        <w:t>To allow for a prompt and effective investigation of an offence</w:t>
      </w:r>
    </w:p>
    <w:p w:rsidR="004433D5" w:rsidRDefault="004433D5" w:rsidP="004433D5">
      <w:pPr>
        <w:pStyle w:val="ListParagraph"/>
        <w:numPr>
          <w:ilvl w:val="0"/>
          <w:numId w:val="2"/>
        </w:numPr>
      </w:pPr>
      <w:r>
        <w:t>To prevent the disappearance of a person</w:t>
      </w:r>
    </w:p>
    <w:p w:rsidR="004433D5" w:rsidRDefault="004433D5" w:rsidP="004433D5">
      <w:pPr>
        <w:pStyle w:val="ListParagraph"/>
        <w:numPr>
          <w:ilvl w:val="0"/>
          <w:numId w:val="2"/>
        </w:numPr>
      </w:pPr>
      <w:r>
        <w:t>To protect a child or vulnerable adult</w:t>
      </w:r>
    </w:p>
    <w:p w:rsidR="004433D5" w:rsidRDefault="00FE7A95" w:rsidP="004433D5">
      <w:pPr>
        <w:pStyle w:val="ListParagraph"/>
        <w:numPr>
          <w:ilvl w:val="0"/>
          <w:numId w:val="2"/>
        </w:numPr>
      </w:pPr>
      <w:r>
        <w:t>To prevent obstruction of the highway</w:t>
      </w:r>
    </w:p>
    <w:p w:rsidR="00FE7A95" w:rsidRDefault="00FE7A95" w:rsidP="004433D5">
      <w:pPr>
        <w:pStyle w:val="ListParagraph"/>
        <w:numPr>
          <w:ilvl w:val="0"/>
          <w:numId w:val="2"/>
        </w:numPr>
      </w:pPr>
      <w:r>
        <w:t>To preserve public decency</w:t>
      </w:r>
    </w:p>
    <w:p w:rsidR="00FE7A95" w:rsidRDefault="00FE7A95" w:rsidP="004433D5">
      <w:pPr>
        <w:pStyle w:val="ListParagraph"/>
        <w:numPr>
          <w:ilvl w:val="0"/>
          <w:numId w:val="2"/>
        </w:numPr>
      </w:pPr>
      <w:r>
        <w:t>To protect any person from injury</w:t>
      </w:r>
    </w:p>
    <w:p w:rsidR="00FE7A95" w:rsidRDefault="00FE7A95" w:rsidP="004433D5">
      <w:pPr>
        <w:pStyle w:val="ListParagraph"/>
        <w:numPr>
          <w:ilvl w:val="0"/>
          <w:numId w:val="2"/>
        </w:numPr>
      </w:pPr>
      <w:r>
        <w:t>To prevent loss or damage to property</w:t>
      </w:r>
    </w:p>
    <w:p w:rsidR="00FE7A95" w:rsidRDefault="00FE7A95" w:rsidP="004433D5">
      <w:pPr>
        <w:pStyle w:val="ListParagraph"/>
        <w:numPr>
          <w:ilvl w:val="0"/>
          <w:numId w:val="2"/>
        </w:numPr>
      </w:pPr>
      <w:r>
        <w:t>To ascertain the address of an individual in relation to an offence</w:t>
      </w:r>
    </w:p>
    <w:p w:rsidR="00FE7A95" w:rsidRDefault="00FE7A95" w:rsidP="004433D5">
      <w:pPr>
        <w:pStyle w:val="ListParagraph"/>
        <w:numPr>
          <w:ilvl w:val="0"/>
          <w:numId w:val="2"/>
        </w:numPr>
      </w:pPr>
      <w:r>
        <w:t>To ascertain the name of an individual in relation to an offence</w:t>
      </w:r>
    </w:p>
    <w:p w:rsidR="00FE7A95" w:rsidRDefault="00FE7A95" w:rsidP="00FE7A95">
      <w:pPr>
        <w:rPr>
          <w:i/>
        </w:rPr>
      </w:pPr>
      <w:r>
        <w:rPr>
          <w:u w:val="single"/>
        </w:rPr>
        <w:t>Question 8</w:t>
      </w:r>
    </w:p>
    <w:p w:rsidR="00FE7A95" w:rsidRDefault="00FE7A95" w:rsidP="00FE7A95">
      <w:r>
        <w:t xml:space="preserve">When managing conflict, officers rely on several pieces of legislation. Firstly, Section 117 of PACE 1984 provides officers with the power to use reasonable force in relation to the powers held within PACE, for example a Section 1 search or a Section 24 arrest. As well as this, officers can use Section 3 of the Criminal Law Act 1967. This section affords any person (not just officers), the power to use </w:t>
      </w:r>
      <w:r>
        <w:lastRenderedPageBreak/>
        <w:t xml:space="preserve">reasonable force to prevent crime, assist in the lawful arrest of a person or to apprehend a person unlawfully at large. Finally, officers can utilise common law in relation to acting in self-defence or defence of another person. These laws are put into statute in Section 76 of the Criminal Justice and Immigration Act 2008 which defines what constitutes reasonable force in terms of self-defence. </w:t>
      </w:r>
    </w:p>
    <w:p w:rsidR="00FE7A95" w:rsidRDefault="00FE7A95" w:rsidP="00FE7A95">
      <w:pPr>
        <w:rPr>
          <w:u w:val="single"/>
        </w:rPr>
      </w:pPr>
      <w:r>
        <w:rPr>
          <w:u w:val="single"/>
        </w:rPr>
        <w:t>Question 9</w:t>
      </w:r>
    </w:p>
    <w:p w:rsidR="00FE7A95" w:rsidRDefault="00FE7A95" w:rsidP="00FE7A95">
      <w:r>
        <w:t xml:space="preserve">Upon making an arrest, a person must be informed that they are under arrest, even if this may appear obvious. They must be informed of the grounds of the arrest, the necessity of the arrest and they must be provided with the ‘when questioned’ caution. These actions must all be taken to make an arrest legal under PACE 1984. </w:t>
      </w:r>
    </w:p>
    <w:p w:rsidR="00FE7A95" w:rsidRDefault="00FE7A95" w:rsidP="00FE7A95">
      <w:r>
        <w:rPr>
          <w:u w:val="single"/>
        </w:rPr>
        <w:t>Question 10</w:t>
      </w:r>
    </w:p>
    <w:p w:rsidR="00FE7A95" w:rsidRDefault="00FE7A95" w:rsidP="00FE7A95">
      <w:r>
        <w:t>The National Decision Model was established to improve the quality of decision-making and to provide a means for officer’s to explain and justify their decisions. The NDM centres around the Police Code of Ethics, which must be considered during all parts of the decision-making process. The elements of the NDM are:</w:t>
      </w:r>
    </w:p>
    <w:p w:rsidR="00FE7A95" w:rsidRDefault="00FE7A95" w:rsidP="00FE7A95">
      <w:pPr>
        <w:pStyle w:val="ListParagraph"/>
        <w:numPr>
          <w:ilvl w:val="0"/>
          <w:numId w:val="3"/>
        </w:numPr>
      </w:pPr>
      <w:r>
        <w:t>Gather information and intelligence</w:t>
      </w:r>
    </w:p>
    <w:p w:rsidR="00FE7A95" w:rsidRDefault="00FE7A95" w:rsidP="00FE7A95">
      <w:pPr>
        <w:pStyle w:val="ListParagraph"/>
        <w:numPr>
          <w:ilvl w:val="0"/>
          <w:numId w:val="3"/>
        </w:numPr>
      </w:pPr>
      <w:r>
        <w:t>Assess threat and risk and develop a working strategy</w:t>
      </w:r>
    </w:p>
    <w:p w:rsidR="00FE7A95" w:rsidRDefault="00FE7A95" w:rsidP="00FE7A95">
      <w:pPr>
        <w:pStyle w:val="ListParagraph"/>
        <w:numPr>
          <w:ilvl w:val="0"/>
          <w:numId w:val="3"/>
        </w:numPr>
      </w:pPr>
      <w:r>
        <w:t>Consider powers and policy</w:t>
      </w:r>
    </w:p>
    <w:p w:rsidR="00FE7A95" w:rsidRDefault="00180C29" w:rsidP="00FE7A95">
      <w:pPr>
        <w:pStyle w:val="ListParagraph"/>
        <w:numPr>
          <w:ilvl w:val="0"/>
          <w:numId w:val="3"/>
        </w:numPr>
      </w:pPr>
      <w:r>
        <w:t xml:space="preserve">Identify </w:t>
      </w:r>
      <w:r w:rsidR="00FE7A95">
        <w:t>options and contingences</w:t>
      </w:r>
    </w:p>
    <w:p w:rsidR="00FE7A95" w:rsidRDefault="00FE7A95" w:rsidP="00FE7A95">
      <w:pPr>
        <w:pStyle w:val="ListParagraph"/>
        <w:numPr>
          <w:ilvl w:val="0"/>
          <w:numId w:val="3"/>
        </w:numPr>
      </w:pPr>
      <w:r>
        <w:t>Take action and review what happened</w:t>
      </w:r>
    </w:p>
    <w:p w:rsidR="00180C29" w:rsidRDefault="00180C29" w:rsidP="00180C29">
      <w:r>
        <w:t>The NDM provides assistance in the decision making process by establishing a methodical approach to ensure that decisions are rigorous and can be objectively tested. In the case of making an arrest, an officer would need to consider what information or intelligence is held on a person, such as what crime they’ve committed or if they have any warning markers. They will then assess the threat this person poses and develop a strategy to mitigate that threat and perform an arrest. In order to do this, they will need to consider what powers and internal force policies are in place, such as whether an arrest will be under PACE or a preserved power. They should then identify what options are available to make the arrest, and what contingency measures should be in place in the event of circumstances changing, such as the person resisting arrest. Finally, the officer will take action and retrospectively review what happened to learn from the process. The NDM may be used every time something changes during an incident or an investigation.</w:t>
      </w:r>
    </w:p>
    <w:p w:rsidR="00180C29" w:rsidRDefault="00180C29" w:rsidP="00180C29">
      <w:r>
        <w:rPr>
          <w:u w:val="single"/>
        </w:rPr>
        <w:t>Question 11</w:t>
      </w:r>
    </w:p>
    <w:p w:rsidR="00180C29" w:rsidRDefault="00180C29" w:rsidP="00180C29">
      <w:r>
        <w:t>Section 17 of PACE 1984 provides a constable with the power to enter premises without warrant where they have reasonable suspicion that it is necessary to save life and limb, or if they have a reasonably held belief that a person wanted for an indictable or either way offence or wanted on warrant is present within the premises. There are also a number of preserved powers such as Section 4 or Section 139 of the Road Traffic Act 1988 that allow a police officer to enter the premises. Section 17 1984 allows officers to use reasonable force to afford entry to a premises.</w:t>
      </w:r>
    </w:p>
    <w:p w:rsidR="00180C29" w:rsidRDefault="00180C29" w:rsidP="00180C29"/>
    <w:p w:rsidR="00180C29" w:rsidRDefault="00180C29" w:rsidP="00180C29">
      <w:r>
        <w:rPr>
          <w:u w:val="single"/>
        </w:rPr>
        <w:t>Question 12</w:t>
      </w:r>
    </w:p>
    <w:p w:rsidR="00180C29" w:rsidRDefault="00180C29" w:rsidP="00180C29">
      <w:r>
        <w:t xml:space="preserve">When a person is charged with dishonesty, the test normally applied is that established by case law R v Ghosh. This case law suggested that the test for dishonesty is established by an objective and </w:t>
      </w:r>
      <w:r>
        <w:lastRenderedPageBreak/>
        <w:t>subjective test. The objective test is whether an ordinary person (the theoretical ordinary man on the Clapham omnibus) would consider the act to have been dishonest, whilst the subjective test is if the defendant recognised the act to be dishonest by their own subjective opinion. However, this was overruled in the civil case of Ivey v Genting’s Casino where the Judge found that it was not effective for a person to be held to their own subjectivity, as this would mean that those who had lower moral opinions of dishonesty would therefore be less culpable for their actions. It therefore established that it was only necessary for a person to be judged against the moral standards present within society as a whole and if an ordinary person would consider an act dishonest.</w:t>
      </w:r>
    </w:p>
    <w:p w:rsidR="00180C29" w:rsidRDefault="00180C29" w:rsidP="00180C29">
      <w:r>
        <w:rPr>
          <w:u w:val="single"/>
        </w:rPr>
        <w:t>Question 13</w:t>
      </w:r>
    </w:p>
    <w:p w:rsidR="005A3992" w:rsidRDefault="00180C29" w:rsidP="00180C29">
      <w:r>
        <w:t>The THRIVE assessment tool is used by call handlers to assess a call and determine the police response to it.</w:t>
      </w:r>
      <w:r w:rsidR="005A3992">
        <w:t xml:space="preserve"> THRIVE stands for Threat, Harm, Risk, Investigative opportunities, Vulnerability and Engagement.</w:t>
      </w:r>
      <w:r>
        <w:t xml:space="preserve"> This t</w:t>
      </w:r>
      <w:r w:rsidR="005A3992">
        <w:t>ool consists of the threat of the incident, meaning what threats can be identified and how urgent are these threats. The harm that these threats to pose to members of the public, police as well as abstract concepts such as police reputation. The risk is what emerges from this and is a judgement of how likely these threats are to cause harm, as well as what is the severity of the harm and its nature. From an investigative perspective, the call handler can ascertain what investigative opportunities arise from a report. In the case of a car driving dangerously, the police are limited in their investigative opportunities if the number plate, make or model of a car cannot be provided in the initial report. The vulnerability of persons must be considered, and this involves if a person is a repeat victim or is defined as being particularly vulnerable. Finally, the engagement required both from the police to deal with the report and with the reporting person. It may be possible for an incident to be dealt with remotely and not require a police response.</w:t>
      </w:r>
    </w:p>
    <w:p w:rsidR="005A3992" w:rsidRDefault="005A3992" w:rsidP="00180C29">
      <w:r>
        <w:rPr>
          <w:u w:val="single"/>
        </w:rPr>
        <w:t>Question 14</w:t>
      </w:r>
    </w:p>
    <w:p w:rsidR="005A3992" w:rsidRDefault="005A3992" w:rsidP="00180C29">
      <w:r>
        <w:t>The police definition of vulnerability which is agreed across all forces is:</w:t>
      </w:r>
    </w:p>
    <w:p w:rsidR="005A3992" w:rsidRDefault="005A3992" w:rsidP="00180C29">
      <w:r>
        <w:t>“A person is considered vulnerable if, as a result of their situation or circumstances, they are unable to protect themselves from harm or exploitation”.</w:t>
      </w:r>
    </w:p>
    <w:p w:rsidR="005A3992" w:rsidRDefault="005A3992" w:rsidP="00180C29">
      <w:pPr>
        <w:rPr>
          <w:u w:val="single"/>
        </w:rPr>
      </w:pPr>
      <w:r>
        <w:rPr>
          <w:u w:val="single"/>
        </w:rPr>
        <w:t>Question 15</w:t>
      </w:r>
    </w:p>
    <w:p w:rsidR="00977C2F" w:rsidRPr="00977C2F" w:rsidRDefault="00977C2F" w:rsidP="00180C29">
      <w:r>
        <w:t xml:space="preserve">Anti-social behaviour is defined in the Anti-Social Behaviour, Crime and Disorder Act 2014 as conduct which amounts to nuisance or annoyance to other members of the community. It is often low-level crime or non-crime incidents, but can result in more serious crime occurring. Anti-social behaviour can occur in both public or private places. </w:t>
      </w:r>
    </w:p>
    <w:p w:rsidR="005A3992" w:rsidRDefault="005A3992" w:rsidP="00180C29">
      <w:pPr>
        <w:rPr>
          <w:u w:val="single"/>
        </w:rPr>
      </w:pPr>
      <w:r>
        <w:rPr>
          <w:u w:val="single"/>
        </w:rPr>
        <w:t>Question 16</w:t>
      </w:r>
    </w:p>
    <w:p w:rsidR="00977C2F" w:rsidRPr="00977C2F" w:rsidRDefault="00977C2F" w:rsidP="00180C29">
      <w:r>
        <w:t>A section 35 dispersal order is authorised by an officer of the rank of Superintendent or above, although an Inspector may authorise in some circumstances. The dispersal order directs persons to leave an area to prevent the occurrence of anti-social behaviour or where ASB has occurred for a defined period of time. Failure to do so can give police the power to arrest that person.</w:t>
      </w:r>
    </w:p>
    <w:p w:rsidR="005A3992" w:rsidRDefault="005A3992" w:rsidP="00180C29">
      <w:r>
        <w:rPr>
          <w:u w:val="single"/>
        </w:rPr>
        <w:t>Question 17</w:t>
      </w:r>
    </w:p>
    <w:p w:rsidR="005A3992" w:rsidRDefault="005A3992" w:rsidP="00180C29">
      <w:r>
        <w:t xml:space="preserve">Routine Activity Theory is used during the analysis stages of problem solving for policing purposes. The RAT is a tool that is used to establish why a crime occurs. It is composed of three components. Firstly, a crime needs a suitable target. This is influenced by the visibility, inertia, value and access to a target. A likely offender is needed to commit the crime, and this is defined as a person with the capability, means and adequate motivation to commit the relevant offence. Finally, a capable </w:t>
      </w:r>
      <w:r>
        <w:lastRenderedPageBreak/>
        <w:t xml:space="preserve">guardian mitigates the risk to the target. During analysis of a problem, RAT is used to explore these three components and </w:t>
      </w:r>
      <w:r w:rsidR="0077712B">
        <w:t xml:space="preserve">find measures that will strengthen the capable guardian, reduce the suitability of the target and remove the likely offender. </w:t>
      </w:r>
    </w:p>
    <w:p w:rsidR="0077712B" w:rsidRDefault="0077712B" w:rsidP="00180C29">
      <w:r>
        <w:rPr>
          <w:u w:val="single"/>
        </w:rPr>
        <w:t>Question 18</w:t>
      </w:r>
    </w:p>
    <w:p w:rsidR="0077712B" w:rsidRDefault="0077712B" w:rsidP="00180C29">
      <w:r>
        <w:t>Evidence-based policing is defined as using best-available evidence and scientific approach to develop new strategies and approaches to policing, and to ensure that what is being done is effective. Evidence-based policing helps to quantify how effective policing is and to show what works and what doesn’t. The EBP approach is described by the mnemonic ATLAS:</w:t>
      </w:r>
    </w:p>
    <w:p w:rsidR="0077712B" w:rsidRDefault="0077712B" w:rsidP="00180C29">
      <w:r>
        <w:t>Ask – this is where police officers and staff need to establish what problems they are faced with and what questions they need to answer. For example, is it effective to combat ASB in an area by targeting minor vandalism offences.</w:t>
      </w:r>
    </w:p>
    <w:p w:rsidR="0077712B" w:rsidRDefault="0077712B" w:rsidP="00180C29">
      <w:r>
        <w:t>Test – this involves the police testing a new strategy empirically, by using a method and gathering empirical evidence of the outcome of this method.</w:t>
      </w:r>
    </w:p>
    <w:p w:rsidR="0077712B" w:rsidRDefault="0077712B" w:rsidP="00180C29">
      <w:r>
        <w:t>L</w:t>
      </w:r>
    </w:p>
    <w:p w:rsidR="0077712B" w:rsidRDefault="0077712B" w:rsidP="00180C29">
      <w:r>
        <w:t xml:space="preserve">A – analysis of results involves communicating with those involved in the experiment as well as other stakeholders to understand if what was done was effective and appropriate. </w:t>
      </w:r>
    </w:p>
    <w:p w:rsidR="0077712B" w:rsidRDefault="0077712B" w:rsidP="00180C29">
      <w:r>
        <w:t xml:space="preserve">Share – this is where new evidence for policing approaches and strategies are shared, both at a local level within teams or BCU’s or at a national level for other forces to adopt. </w:t>
      </w:r>
    </w:p>
    <w:p w:rsidR="0077712B" w:rsidRDefault="0077712B" w:rsidP="00180C29">
      <w:pPr>
        <w:rPr>
          <w:u w:val="single"/>
        </w:rPr>
      </w:pPr>
      <w:r>
        <w:rPr>
          <w:u w:val="single"/>
        </w:rPr>
        <w:t>Question 19</w:t>
      </w:r>
    </w:p>
    <w:p w:rsidR="00094B4F" w:rsidRDefault="00977C2F" w:rsidP="00180C29">
      <w:r>
        <w:t>The police have a number of problem-solving models which can be utilised to a</w:t>
      </w:r>
      <w:r w:rsidR="00094B4F">
        <w:t>nalyse and solve problems. This emerges from the concept of problem-orientated policing, established by Herman Goldstein (1979) who identified that policing had previously focussed too much on the means of tackling crime, rather than the ends. This meant that police forces would focus too much on secondary objectives such as response time to incidents as a measure of effectiveness, rather than solving the root problems. This concept was developed further by Barton (2001) in his POP on a Beermat model. This essentially noted that since the 1970’s, the demand on the police had increased significantly, whilst resourcing had not experienced a parallel increase. This had led to a resource-demand gap emerging. To close this gap, police would need to work ‘smarter not harder’, and employ problem-solving techniques to deal with the root cause as suggested by Goldstein. This is especially important in the context of the Pareto (80/20) principle derived from economics. This theory suggests that 80% of positive outcome is achieved with only 20% of effort, whilst 80% of effort is wasted on only 20% of positive outcome. In the context of policing, problem-solving allows the police to focus their effort to produce a far larger net gain.</w:t>
      </w:r>
    </w:p>
    <w:p w:rsidR="00977C2F" w:rsidRDefault="00094B4F" w:rsidP="00180C29">
      <w:r>
        <w:t xml:space="preserve">The key model used is the OSARA model. This standards for objective, scanning, analysis, response and assessment and is commonly used in ASB and community problem scenarios. The objective stage of OSARA seeks to use the ‘SMART’ (specific, manageable, achievable, relevant and timely) objective tool to clearly identify what outcome the process hopes to achieve. This is important in establishing how effective a response has been and if the process has been successful. The scanning of a problem involves investigation into the evidence of what is happening, identifying the problem and quantifying it. This then leads on to the analysis of the problem, where the underlying causes are identified through the information gained and communication with local stakeholders and partner agencies. At this stage, the Problem Analysis Triangle model can be utilised. This identifies </w:t>
      </w:r>
      <w:r>
        <w:lastRenderedPageBreak/>
        <w:t>the key factors of Offender, Victim and Location as a means of exploring further what the problem is. From this information, the response can be developed. The information gathered through the PAT or the RAT mentioned in question 17 can be used to identify strategies and opportunities to prevent crimes or solve underlying problems.</w:t>
      </w:r>
      <w:r w:rsidR="00285F30">
        <w:t xml:space="preserve"> The response can be taken from the 10 principles of Crime Reduction, which include methods such as target hardening or displacement.</w:t>
      </w:r>
      <w:r>
        <w:t xml:space="preserve"> </w:t>
      </w:r>
      <w:r w:rsidR="00285F30">
        <w:t>The response used will then be assessed for its efficacy, the main method of this being if the SMART objective has been achieved.</w:t>
      </w:r>
    </w:p>
    <w:p w:rsidR="00285F30" w:rsidRPr="00094B4F" w:rsidRDefault="00285F30" w:rsidP="00180C29">
      <w:r>
        <w:t xml:space="preserve">Another aspect of problem-solving techniques is the use of Partnership-Orientated Problem Solving (POPS). Referring again to Barton’s (2001) demand-resource gap, another way of closing this gap is by leveraging more, and often more effective, resources to tackle this. This is done through partnership working with a variety of different agencies, authorities and partners. For example, in the case of youths causing ASB in a local park, it would be necessary to work with the local school to deliver educational messages and identify offenders, the local authority to implement Public Space Protection Order’s or erect CCTV in the local-park and local businesses where relevant. This coordination between the police and other agencies allows problems to be solved in creative and diverse ways, often without the use of police powers or strategies. </w:t>
      </w:r>
    </w:p>
    <w:p w:rsidR="0077712B" w:rsidRDefault="0077712B" w:rsidP="00180C29">
      <w:pPr>
        <w:rPr>
          <w:u w:val="single"/>
        </w:rPr>
      </w:pPr>
      <w:r>
        <w:rPr>
          <w:u w:val="single"/>
        </w:rPr>
        <w:t>Question 20</w:t>
      </w:r>
    </w:p>
    <w:p w:rsidR="00977C2F" w:rsidRDefault="00977C2F" w:rsidP="00977C2F">
      <w:pPr>
        <w:pStyle w:val="ListParagraph"/>
        <w:numPr>
          <w:ilvl w:val="0"/>
          <w:numId w:val="6"/>
        </w:numPr>
      </w:pPr>
      <w:r>
        <w:t>Critical Incidents are those which indicate an escalation of anti-social behaviour that could pose a serious risk of harm or negative consequences for a person.</w:t>
      </w:r>
      <w:r w:rsidR="00285F30">
        <w:t xml:space="preserve"> An example of this could be the Fiona Pilkington case where repeated victimisation of an individual and ineffective engagement from the police resulted in the deaths of two people.</w:t>
      </w:r>
    </w:p>
    <w:p w:rsidR="00977C2F" w:rsidRDefault="00977C2F" w:rsidP="00977C2F">
      <w:pPr>
        <w:pStyle w:val="ListParagraph"/>
        <w:numPr>
          <w:ilvl w:val="0"/>
          <w:numId w:val="6"/>
        </w:numPr>
      </w:pPr>
      <w:r>
        <w:t>They can be declared critical by a Local Policing Inspector.</w:t>
      </w:r>
    </w:p>
    <w:p w:rsidR="0077712B" w:rsidRDefault="0077712B" w:rsidP="00180C29">
      <w:pPr>
        <w:rPr>
          <w:u w:val="single"/>
        </w:rPr>
      </w:pPr>
      <w:r>
        <w:rPr>
          <w:u w:val="single"/>
        </w:rPr>
        <w:t>Question 21</w:t>
      </w:r>
    </w:p>
    <w:p w:rsidR="0077712B" w:rsidRDefault="0077712B" w:rsidP="00180C29">
      <w:r>
        <w:t>Section 1 of PACE 1984 is the power of an officer to stop and search. It is defined as:</w:t>
      </w:r>
    </w:p>
    <w:p w:rsidR="0077712B" w:rsidRPr="0077712B" w:rsidRDefault="0077712B" w:rsidP="00180C29">
      <w:r>
        <w:t>“A constable can detain any person or vehicle in a public place for the purposes of a search, where the officer has reasonable grounds to believe that any stolen or prohibited articles, bladed articles or prohibited fireworks may be found.”</w:t>
      </w:r>
    </w:p>
    <w:p w:rsidR="0077712B" w:rsidRDefault="00977C2F" w:rsidP="00180C29">
      <w:r>
        <w:rPr>
          <w:u w:val="single"/>
        </w:rPr>
        <w:t>Question 22</w:t>
      </w:r>
    </w:p>
    <w:p w:rsidR="0077712B" w:rsidRDefault="0077712B" w:rsidP="00180C29">
      <w:r>
        <w:t>Prior to a search under Section 1 of PACE, a person must be given certain information. This is summarised by the acronym GOWISELY. The person must be informed of:</w:t>
      </w:r>
    </w:p>
    <w:p w:rsidR="0077712B" w:rsidRDefault="0077712B" w:rsidP="0077712B">
      <w:pPr>
        <w:pStyle w:val="ListParagraph"/>
        <w:numPr>
          <w:ilvl w:val="0"/>
          <w:numId w:val="4"/>
        </w:numPr>
      </w:pPr>
      <w:r>
        <w:t>The grounds of the search, which must be based on objective fact such as intelligence, the behaviour of a suspect or information given to an officer.</w:t>
      </w:r>
    </w:p>
    <w:p w:rsidR="0077712B" w:rsidRDefault="0077712B" w:rsidP="0077712B">
      <w:pPr>
        <w:pStyle w:val="ListParagraph"/>
        <w:numPr>
          <w:ilvl w:val="0"/>
          <w:numId w:val="4"/>
        </w:numPr>
      </w:pPr>
      <w:r>
        <w:t>The object of the search, such as if a bladed article is being searched for.</w:t>
      </w:r>
    </w:p>
    <w:p w:rsidR="0077712B" w:rsidRDefault="0077712B" w:rsidP="0077712B">
      <w:pPr>
        <w:pStyle w:val="ListParagraph"/>
        <w:numPr>
          <w:ilvl w:val="0"/>
          <w:numId w:val="4"/>
        </w:numPr>
      </w:pPr>
      <w:r>
        <w:t>The constable must produce their warrant card if not in uniform.</w:t>
      </w:r>
    </w:p>
    <w:p w:rsidR="0077712B" w:rsidRDefault="007E3927" w:rsidP="0077712B">
      <w:pPr>
        <w:pStyle w:val="ListParagraph"/>
        <w:numPr>
          <w:ilvl w:val="0"/>
          <w:numId w:val="4"/>
        </w:numPr>
      </w:pPr>
      <w:r>
        <w:t>The constable must inform the person of their name, rank and station they are attached to.</w:t>
      </w:r>
    </w:p>
    <w:p w:rsidR="007E3927" w:rsidRDefault="007E3927" w:rsidP="007E3927">
      <w:pPr>
        <w:pStyle w:val="ListParagraph"/>
        <w:numPr>
          <w:ilvl w:val="0"/>
          <w:numId w:val="4"/>
        </w:numPr>
      </w:pPr>
      <w:r>
        <w:t>That the person being searched has an entitlement to a copy of the search record, and how to obtain this.</w:t>
      </w:r>
    </w:p>
    <w:p w:rsidR="007E3927" w:rsidRDefault="007E3927" w:rsidP="007E3927">
      <w:pPr>
        <w:pStyle w:val="ListParagraph"/>
        <w:numPr>
          <w:ilvl w:val="0"/>
          <w:numId w:val="4"/>
        </w:numPr>
      </w:pPr>
      <w:r>
        <w:t>The legal power being used to search a person, in this case Section 1 PACE.</w:t>
      </w:r>
    </w:p>
    <w:p w:rsidR="007E3927" w:rsidRPr="0077712B" w:rsidRDefault="007E3927" w:rsidP="007E3927">
      <w:pPr>
        <w:pStyle w:val="ListParagraph"/>
        <w:numPr>
          <w:ilvl w:val="0"/>
          <w:numId w:val="4"/>
        </w:numPr>
      </w:pPr>
      <w:r>
        <w:t>The person must be clearly informed they are being detained for the purposes of a search.</w:t>
      </w:r>
    </w:p>
    <w:p w:rsidR="0077712B" w:rsidRDefault="0077712B" w:rsidP="00180C29">
      <w:pPr>
        <w:rPr>
          <w:u w:val="single"/>
        </w:rPr>
      </w:pPr>
      <w:r>
        <w:rPr>
          <w:u w:val="single"/>
        </w:rPr>
        <w:t>Question 23</w:t>
      </w:r>
    </w:p>
    <w:p w:rsidR="007E3927" w:rsidRPr="007E3927" w:rsidRDefault="007E3927" w:rsidP="00180C29">
      <w:r>
        <w:lastRenderedPageBreak/>
        <w:t>The Best Use of Stop and Search programme was introduced to ensure that all forces across the UK were utilising stop and search powers in the fairest, most non-discriminatory way possible. The BUSS scheme arose out of concern that searches were being conducted unfairly and unlawfully, with discriminatory levels of searches being carried out against minority ethnic groups. The scheme aims to ensure that officers are aware of importance of having reasonable grounds to search and what constitutes reasonable grounds, as well as ensuring they were carried out in a non-discriminatory way.</w:t>
      </w:r>
    </w:p>
    <w:p w:rsidR="0077712B" w:rsidRDefault="0077712B" w:rsidP="00180C29">
      <w:pPr>
        <w:rPr>
          <w:u w:val="single"/>
        </w:rPr>
      </w:pPr>
      <w:r>
        <w:rPr>
          <w:u w:val="single"/>
        </w:rPr>
        <w:t>Question 24</w:t>
      </w:r>
    </w:p>
    <w:p w:rsidR="007E3927" w:rsidRPr="007E3927" w:rsidRDefault="007E3927" w:rsidP="00180C29">
      <w:r>
        <w:t>The National Intelligence Model is a business enabling process that was introduced to standardise the way that intelligence was collected, handled, shared and utilised across all forces in the UK. The NIM is composed of a pyramid with three levels of intelligence. Level 1 intelligence is that which is held by Local Intelligence Units acting across a local area, such as a neighbourhood or BCU. This is the level at which frontline officers would feed intelligence into the NIM. Above this, Level 2 is comprised of a Force Intelligence Bureau, which gathers more sensitive information and coordinates intelligence at a Force, or regional level with several forces. On top of this, Level 3 is national level intelligence which is held and coordinated by the National Crime Agency. The NIM allows for Tasking and Coordination groups to establish strategic direction and ensure relevant information is shared to higher levels for larger strategic analysis and operations and down to lower levels for tactical action to be carried out.</w:t>
      </w:r>
      <w:r w:rsidR="00176EC7">
        <w:t xml:space="preserve"> The NIM standardises the way that all forces use intelligence through the 3x5x2 model of evaluation, reliability and sharing. The evaluation of the source refers to that individual sources reliability, and whether the information they’ve provided in the past has been reliable. The reliability of each piece of information is assessed as to how the source has come to know this, whether directly or indirectly and if it is corroborated by separate intelligence. Finally, the handling caveats are applied as it is necessary to protect the source or method of collection. </w:t>
      </w:r>
      <w:bookmarkStart w:id="0" w:name="_GoBack"/>
      <w:bookmarkEnd w:id="0"/>
      <w:r w:rsidR="00176EC7">
        <w:t>This is so that all forces are able to understand how information is generated, its reliability and the suitability for it to be shared based on the techniques used to gather it or the provenance of the sourcing.</w:t>
      </w:r>
    </w:p>
    <w:p w:rsidR="0077712B" w:rsidRPr="0077712B" w:rsidRDefault="0077712B" w:rsidP="00180C29">
      <w:pPr>
        <w:rPr>
          <w:u w:val="single"/>
        </w:rPr>
      </w:pPr>
      <w:r>
        <w:rPr>
          <w:u w:val="single"/>
        </w:rPr>
        <w:t>Question 25</w:t>
      </w:r>
    </w:p>
    <w:p w:rsidR="00E14671" w:rsidRDefault="007E3927">
      <w:r>
        <w:t>Information is governed by the following legislation:</w:t>
      </w:r>
    </w:p>
    <w:p w:rsidR="007E3927" w:rsidRDefault="007E3927" w:rsidP="007E3927">
      <w:pPr>
        <w:pStyle w:val="ListParagraph"/>
        <w:numPr>
          <w:ilvl w:val="0"/>
          <w:numId w:val="5"/>
        </w:numPr>
      </w:pPr>
      <w:r>
        <w:t>Regulation of Investigatory Powers Act 2001</w:t>
      </w:r>
    </w:p>
    <w:p w:rsidR="007E3927" w:rsidRDefault="007E3927" w:rsidP="007E3927">
      <w:pPr>
        <w:pStyle w:val="ListParagraph"/>
        <w:numPr>
          <w:ilvl w:val="0"/>
          <w:numId w:val="5"/>
        </w:numPr>
      </w:pPr>
      <w:r>
        <w:t>Criminal Procedure and Investigation Act 1998</w:t>
      </w:r>
    </w:p>
    <w:p w:rsidR="007E3927" w:rsidRDefault="00977C2F" w:rsidP="007E3927">
      <w:pPr>
        <w:pStyle w:val="ListParagraph"/>
        <w:numPr>
          <w:ilvl w:val="0"/>
          <w:numId w:val="5"/>
        </w:numPr>
      </w:pPr>
      <w:r>
        <w:t>General Data Protection and Regulation 2018</w:t>
      </w:r>
    </w:p>
    <w:p w:rsidR="00977C2F" w:rsidRDefault="00977C2F" w:rsidP="007E3927">
      <w:pPr>
        <w:pStyle w:val="ListParagraph"/>
        <w:numPr>
          <w:ilvl w:val="0"/>
          <w:numId w:val="5"/>
        </w:numPr>
      </w:pPr>
      <w:r>
        <w:t>Management of Police Information 2006</w:t>
      </w:r>
    </w:p>
    <w:p w:rsidR="00977C2F" w:rsidRDefault="00977C2F" w:rsidP="007E3927">
      <w:pPr>
        <w:pStyle w:val="ListParagraph"/>
        <w:numPr>
          <w:ilvl w:val="0"/>
          <w:numId w:val="5"/>
        </w:numPr>
      </w:pPr>
      <w:r>
        <w:t>Government Security Classifications (OFFICIAL, SECRET, TOP SECRET)</w:t>
      </w:r>
    </w:p>
    <w:p w:rsidR="00977C2F" w:rsidRDefault="00977C2F" w:rsidP="007E3927">
      <w:pPr>
        <w:pStyle w:val="ListParagraph"/>
        <w:numPr>
          <w:ilvl w:val="0"/>
          <w:numId w:val="5"/>
        </w:numPr>
      </w:pPr>
      <w:r>
        <w:t>Investigatory Powers Act 2018</w:t>
      </w:r>
    </w:p>
    <w:p w:rsidR="00977C2F" w:rsidRDefault="00977C2F" w:rsidP="007E3927">
      <w:pPr>
        <w:pStyle w:val="ListParagraph"/>
        <w:numPr>
          <w:ilvl w:val="0"/>
          <w:numId w:val="5"/>
        </w:numPr>
      </w:pPr>
      <w:r>
        <w:t>Human Rights Act 1998</w:t>
      </w:r>
    </w:p>
    <w:p w:rsidR="00977C2F" w:rsidRDefault="00977C2F" w:rsidP="007E3927">
      <w:pPr>
        <w:pStyle w:val="ListParagraph"/>
        <w:numPr>
          <w:ilvl w:val="0"/>
          <w:numId w:val="5"/>
        </w:numPr>
      </w:pPr>
      <w:r>
        <w:t>Data Protection Act 2016</w:t>
      </w:r>
    </w:p>
    <w:sectPr w:rsidR="00977C2F" w:rsidSect="00E1467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4B4F" w:rsidRDefault="00094B4F" w:rsidP="00E14671">
      <w:pPr>
        <w:spacing w:after="0" w:line="240" w:lineRule="auto"/>
      </w:pPr>
      <w:r>
        <w:separator/>
      </w:r>
    </w:p>
  </w:endnote>
  <w:endnote w:type="continuationSeparator" w:id="0">
    <w:p w:rsidR="00094B4F" w:rsidRDefault="00094B4F" w:rsidP="00E14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Footer"/>
      <w:rPr>
        <w:color w:val="000000"/>
        <w:sz w:val="17"/>
      </w:rPr>
    </w:pPr>
    <w:bookmarkStart w:id="3" w:name="TITUS1FooterEvenPages"/>
    <w:r>
      <w:rPr>
        <w:color w:val="000000"/>
        <w:sz w:val="17"/>
      </w:rPr>
      <w:t> </w:t>
    </w:r>
  </w:p>
  <w:bookmarkEnd w:id="3"/>
  <w:p w:rsidR="00094B4F" w:rsidRDefault="00094B4F" w:rsidP="00D16E26">
    <w:pPr>
      <w:pStyle w:val="Footer"/>
    </w:pPr>
  </w:p>
  <w:p w:rsidR="00094B4F" w:rsidRDefault="00094B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Footer"/>
      <w:rPr>
        <w:color w:val="000000"/>
        <w:sz w:val="17"/>
      </w:rPr>
    </w:pPr>
    <w:bookmarkStart w:id="4" w:name="TITUS1FooterPrimary"/>
    <w:r>
      <w:rPr>
        <w:color w:val="000000"/>
        <w:sz w:val="17"/>
      </w:rPr>
      <w:t> </w:t>
    </w:r>
  </w:p>
  <w:bookmarkEnd w:id="4"/>
  <w:p w:rsidR="00094B4F" w:rsidRDefault="00094B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Footer"/>
      <w:rPr>
        <w:color w:val="000000"/>
        <w:sz w:val="17"/>
      </w:rPr>
    </w:pPr>
    <w:bookmarkStart w:id="6" w:name="TITUS1FooterFirstPage"/>
    <w:r>
      <w:rPr>
        <w:color w:val="000000"/>
        <w:sz w:val="17"/>
      </w:rPr>
      <w:t> </w:t>
    </w:r>
  </w:p>
  <w:bookmarkEnd w:id="6"/>
  <w:p w:rsidR="00094B4F" w:rsidRDefault="00094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4B4F" w:rsidRDefault="00094B4F" w:rsidP="00E14671">
      <w:pPr>
        <w:spacing w:after="0" w:line="240" w:lineRule="auto"/>
      </w:pPr>
      <w:r>
        <w:separator/>
      </w:r>
    </w:p>
  </w:footnote>
  <w:footnote w:type="continuationSeparator" w:id="0">
    <w:p w:rsidR="00094B4F" w:rsidRDefault="00094B4F" w:rsidP="00E14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Header"/>
      <w:rPr>
        <w:color w:val="000000"/>
        <w:sz w:val="17"/>
      </w:rPr>
    </w:pPr>
    <w:bookmarkStart w:id="1" w:name="TITUS1HeaderEvenPages"/>
    <w:r>
      <w:rPr>
        <w:color w:val="000000"/>
        <w:sz w:val="17"/>
      </w:rPr>
      <w:t> </w:t>
    </w:r>
  </w:p>
  <w:bookmarkEnd w:id="1"/>
  <w:p w:rsidR="00094B4F" w:rsidRDefault="00094B4F" w:rsidP="00D16E26">
    <w:pPr>
      <w:pStyle w:val="Header"/>
    </w:pPr>
  </w:p>
  <w:p w:rsidR="00094B4F" w:rsidRDefault="00094B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Header"/>
      <w:rPr>
        <w:color w:val="000000"/>
        <w:sz w:val="17"/>
      </w:rPr>
    </w:pPr>
    <w:bookmarkStart w:id="2" w:name="TITUS1HeaderPrimary"/>
    <w:r>
      <w:rPr>
        <w:color w:val="000000"/>
        <w:sz w:val="17"/>
      </w:rPr>
      <w:t> </w:t>
    </w:r>
  </w:p>
  <w:bookmarkEnd w:id="2"/>
  <w:p w:rsidR="00094B4F" w:rsidRDefault="00094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4B4F" w:rsidRDefault="00176EC7" w:rsidP="00176EC7">
    <w:pPr>
      <w:pStyle w:val="Header"/>
      <w:rPr>
        <w:color w:val="000000"/>
        <w:sz w:val="17"/>
      </w:rPr>
    </w:pPr>
    <w:bookmarkStart w:id="5" w:name="TITUS1HeaderFirstPage"/>
    <w:r>
      <w:rPr>
        <w:color w:val="000000"/>
        <w:sz w:val="17"/>
      </w:rPr>
      <w:t> </w:t>
    </w:r>
  </w:p>
  <w:bookmarkEnd w:id="5"/>
  <w:p w:rsidR="00094B4F" w:rsidRDefault="00094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97CAE"/>
    <w:multiLevelType w:val="hybridMultilevel"/>
    <w:tmpl w:val="FA92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B1B0B"/>
    <w:multiLevelType w:val="hybridMultilevel"/>
    <w:tmpl w:val="B92687EE"/>
    <w:lvl w:ilvl="0" w:tplc="F5124C5C">
      <w:start w:val="1"/>
      <w:numFmt w:val="upp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1D0BF6"/>
    <w:multiLevelType w:val="hybridMultilevel"/>
    <w:tmpl w:val="FDEE2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77B07"/>
    <w:multiLevelType w:val="hybridMultilevel"/>
    <w:tmpl w:val="298AE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430D37"/>
    <w:multiLevelType w:val="hybridMultilevel"/>
    <w:tmpl w:val="2C04F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2A42EE"/>
    <w:multiLevelType w:val="hybridMultilevel"/>
    <w:tmpl w:val="E9BA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671"/>
    <w:rsid w:val="00094B4F"/>
    <w:rsid w:val="00176EC7"/>
    <w:rsid w:val="00180C29"/>
    <w:rsid w:val="00285F30"/>
    <w:rsid w:val="004433D5"/>
    <w:rsid w:val="005A3992"/>
    <w:rsid w:val="0077712B"/>
    <w:rsid w:val="007E3927"/>
    <w:rsid w:val="00977C2F"/>
    <w:rsid w:val="00A96F52"/>
    <w:rsid w:val="00BC708A"/>
    <w:rsid w:val="00C4697D"/>
    <w:rsid w:val="00D16E26"/>
    <w:rsid w:val="00D6532E"/>
    <w:rsid w:val="00E14671"/>
    <w:rsid w:val="00F3285B"/>
    <w:rsid w:val="00FC75D4"/>
    <w:rsid w:val="00FE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ECC629"/>
  <w15:chartTrackingRefBased/>
  <w15:docId w15:val="{FDB01680-A4A3-4A06-88AC-ACEB18BF8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671"/>
  </w:style>
  <w:style w:type="paragraph" w:styleId="Footer">
    <w:name w:val="footer"/>
    <w:basedOn w:val="Normal"/>
    <w:link w:val="FooterChar"/>
    <w:uiPriority w:val="99"/>
    <w:unhideWhenUsed/>
    <w:rsid w:val="00E14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671"/>
  </w:style>
  <w:style w:type="paragraph" w:styleId="ListParagraph">
    <w:name w:val="List Paragraph"/>
    <w:basedOn w:val="Normal"/>
    <w:uiPriority w:val="34"/>
    <w:qFormat/>
    <w:rsid w:val="00E146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7</Pages>
  <Words>3344</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Mowbray,Samuel swp6721</dc:creator>
  <cp:keywords/>
  <dc:description/>
  <cp:lastModifiedBy>Mowbray,Samuel swp6721</cp:lastModifiedBy>
  <cp:revision>5</cp:revision>
  <dcterms:created xsi:type="dcterms:W3CDTF">2020-09-04T07:41:00Z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1915591a-9442-4e17-8c9e-4d9dea28a3e8</vt:lpwstr>
  </property>
  <property fmtid="{D5CDD505-2E9C-101B-9397-08002B2CF9AE}" pid="3" name="Classification">
    <vt:lpwstr>OFFICIAL</vt:lpwstr>
  </property>
  <property fmtid="{D5CDD505-2E9C-101B-9397-08002B2CF9AE}" pid="4" name="Visibility">
    <vt:lpwstr>NOT VISIBLE</vt:lpwstr>
  </property>
</Properties>
</file>