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2AE2B0B2" w:rsidR="000264A1" w:rsidRDefault="000264A1" w:rsidP="000264A1">
      <w:r>
        <w:fldChar w:fldCharType="begin"/>
      </w:r>
      <w:r w:rsidR="001707ED">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1991522E"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F75BAC9" w14:textId="50F86F8E" w:rsidR="003E72B8" w:rsidRPr="003E72B8" w:rsidRDefault="003E72B8" w:rsidP="003E72B8">
      <w:pPr>
        <w:spacing w:line="360" w:lineRule="auto"/>
        <w:rPr>
          <w:rFonts w:ascii="Arial" w:hAnsi="Arial" w:cs="Arial"/>
          <w:b/>
          <w:bCs/>
          <w:sz w:val="22"/>
          <w:szCs w:val="22"/>
          <w:u w:val="single"/>
        </w:rPr>
      </w:pPr>
      <w:r>
        <w:rPr>
          <w:rStyle w:val="Strong"/>
          <w:rFonts w:ascii="Arial" w:hAnsi="Arial" w:cs="Arial"/>
          <w:color w:val="1D2125"/>
          <w:sz w:val="36"/>
          <w:szCs w:val="36"/>
        </w:rPr>
        <w:t xml:space="preserve">Title: </w:t>
      </w:r>
      <w:r w:rsidRPr="003E72B8">
        <w:rPr>
          <w:rFonts w:ascii="Arial" w:hAnsi="Arial" w:cs="Arial"/>
          <w:b/>
          <w:bCs/>
          <w:sz w:val="32"/>
          <w:szCs w:val="32"/>
        </w:rPr>
        <w:t>Attention Deficit Hyperactivity Disorder</w:t>
      </w:r>
      <w:r>
        <w:rPr>
          <w:rFonts w:ascii="Arial" w:hAnsi="Arial" w:cs="Arial"/>
          <w:b/>
          <w:bCs/>
          <w:sz w:val="32"/>
          <w:szCs w:val="32"/>
        </w:rPr>
        <w:t>(ADHD)</w:t>
      </w:r>
    </w:p>
    <w:p w14:paraId="2A88E453" w14:textId="528B749B"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7552F24D"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DD4B9E">
        <w:rPr>
          <w:rStyle w:val="Strong"/>
          <w:rFonts w:ascii="Arial" w:hAnsi="Arial" w:cs="Arial"/>
          <w:color w:val="1D2125"/>
          <w:sz w:val="32"/>
          <w:szCs w:val="32"/>
        </w:rPr>
        <w:t>: Marta Proca</w:t>
      </w:r>
    </w:p>
    <w:p w14:paraId="3F25C99D" w14:textId="0FF48DD9"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DD4B9E">
        <w:rPr>
          <w:rStyle w:val="Strong"/>
          <w:rFonts w:ascii="Arial" w:hAnsi="Arial" w:cs="Arial"/>
          <w:color w:val="1D2125"/>
          <w:sz w:val="32"/>
          <w:szCs w:val="32"/>
        </w:rPr>
        <w:t>: 2234962</w:t>
      </w:r>
    </w:p>
    <w:p w14:paraId="7567E716" w14:textId="7FF275AE" w:rsidR="00DD4B9E" w:rsidRDefault="003E72B8" w:rsidP="000264A1">
      <w:pPr>
        <w:rPr>
          <w:rFonts w:ascii="Arial" w:hAnsi="Arial" w:cs="Arial"/>
          <w:b/>
          <w:bCs/>
          <w:color w:val="1D2125"/>
          <w:sz w:val="32"/>
          <w:szCs w:val="32"/>
        </w:rPr>
      </w:pPr>
      <w:r>
        <w:rPr>
          <w:rStyle w:val="Strong"/>
          <w:rFonts w:ascii="Arial" w:hAnsi="Arial" w:cs="Arial"/>
          <w:color w:val="1D2125"/>
          <w:sz w:val="32"/>
          <w:szCs w:val="32"/>
        </w:rPr>
        <w:t xml:space="preserve">Lecturer name: </w:t>
      </w:r>
      <w:r w:rsidRPr="003E72B8">
        <w:rPr>
          <w:rFonts w:ascii="Arial" w:hAnsi="Arial" w:cs="Arial"/>
          <w:b/>
          <w:bCs/>
          <w:color w:val="1D2125"/>
          <w:sz w:val="32"/>
          <w:szCs w:val="32"/>
        </w:rPr>
        <w:t>Farah Wiita</w:t>
      </w:r>
    </w:p>
    <w:p w14:paraId="45FA7001" w14:textId="77777777" w:rsidR="001707ED" w:rsidRDefault="001707ED" w:rsidP="000264A1">
      <w:pPr>
        <w:rPr>
          <w:rFonts w:ascii="Arial" w:hAnsi="Arial" w:cs="Arial"/>
          <w:b/>
          <w:bCs/>
          <w:color w:val="1D2125"/>
          <w:sz w:val="32"/>
          <w:szCs w:val="32"/>
        </w:rPr>
      </w:pPr>
    </w:p>
    <w:p w14:paraId="44F6F75A" w14:textId="77777777" w:rsidR="001707ED" w:rsidRDefault="001707ED" w:rsidP="000264A1">
      <w:pPr>
        <w:rPr>
          <w:rFonts w:ascii="Arial" w:hAnsi="Arial" w:cs="Arial"/>
          <w:b/>
          <w:bCs/>
          <w:color w:val="1D2125"/>
          <w:sz w:val="32"/>
          <w:szCs w:val="32"/>
        </w:rPr>
      </w:pPr>
    </w:p>
    <w:p w14:paraId="21DBADDF" w14:textId="77777777" w:rsidR="001707ED" w:rsidRDefault="001707ED" w:rsidP="000264A1">
      <w:pPr>
        <w:rPr>
          <w:rFonts w:ascii="Arial" w:hAnsi="Arial" w:cs="Arial"/>
          <w:b/>
          <w:bCs/>
          <w:color w:val="1D2125"/>
          <w:sz w:val="32"/>
          <w:szCs w:val="32"/>
        </w:rPr>
      </w:pPr>
    </w:p>
    <w:p w14:paraId="2DDB21CE" w14:textId="77777777" w:rsidR="001707ED" w:rsidRDefault="001707ED" w:rsidP="000264A1">
      <w:pPr>
        <w:rPr>
          <w:rFonts w:ascii="Arial" w:hAnsi="Arial" w:cs="Arial"/>
          <w:b/>
          <w:bCs/>
          <w:color w:val="1D2125"/>
          <w:sz w:val="32"/>
          <w:szCs w:val="32"/>
        </w:rPr>
      </w:pPr>
    </w:p>
    <w:p w14:paraId="5A1C750F" w14:textId="77777777" w:rsidR="001707ED" w:rsidRDefault="001707ED" w:rsidP="000264A1">
      <w:pPr>
        <w:rPr>
          <w:rFonts w:ascii="Arial" w:hAnsi="Arial" w:cs="Arial"/>
          <w:b/>
          <w:bCs/>
          <w:color w:val="1D2125"/>
          <w:sz w:val="32"/>
          <w:szCs w:val="32"/>
        </w:rPr>
      </w:pPr>
    </w:p>
    <w:p w14:paraId="3DA93C09" w14:textId="77777777" w:rsidR="001707ED" w:rsidRPr="000264A1" w:rsidRDefault="001707ED" w:rsidP="000264A1">
      <w:pPr>
        <w:rPr>
          <w:rStyle w:val="Strong"/>
          <w:rFonts w:ascii="Arial" w:hAnsi="Arial" w:cs="Arial"/>
          <w:color w:val="1D2125"/>
          <w:sz w:val="32"/>
          <w:szCs w:val="32"/>
        </w:rPr>
      </w:pPr>
    </w:p>
    <w:sdt>
      <w:sdtPr>
        <w:rPr>
          <w:rFonts w:ascii="Arial" w:hAnsi="Arial" w:cs="Arial"/>
          <w:color w:val="auto"/>
          <w:sz w:val="22"/>
          <w:szCs w:val="22"/>
        </w:rPr>
        <w:id w:val="973805412"/>
        <w:docPartObj>
          <w:docPartGallery w:val="Table of Contents"/>
          <w:docPartUnique/>
        </w:docPartObj>
      </w:sdtPr>
      <w:sdtEndPr>
        <w:rPr>
          <w:rFonts w:eastAsiaTheme="minorHAnsi"/>
          <w:b/>
          <w:bCs/>
          <w:noProof/>
          <w:kern w:val="2"/>
          <w:lang w:val="en-GB"/>
          <w14:ligatures w14:val="standardContextual"/>
        </w:rPr>
      </w:sdtEndPr>
      <w:sdtContent>
        <w:p w14:paraId="7AA791E0" w14:textId="6270D0C5" w:rsidR="001707ED" w:rsidRPr="001707ED" w:rsidRDefault="001707ED">
          <w:pPr>
            <w:pStyle w:val="TOCHeading"/>
            <w:rPr>
              <w:rFonts w:ascii="Arial" w:hAnsi="Arial" w:cs="Arial"/>
              <w:color w:val="auto"/>
              <w:sz w:val="22"/>
              <w:szCs w:val="22"/>
            </w:rPr>
          </w:pPr>
          <w:r w:rsidRPr="001707ED">
            <w:rPr>
              <w:rFonts w:ascii="Arial" w:hAnsi="Arial" w:cs="Arial"/>
              <w:color w:val="auto"/>
              <w:sz w:val="22"/>
              <w:szCs w:val="22"/>
            </w:rPr>
            <w:t>Contents</w:t>
          </w:r>
        </w:p>
        <w:p w14:paraId="48D6D868" w14:textId="700C97C7" w:rsidR="001707ED" w:rsidRPr="001707ED" w:rsidRDefault="001707ED">
          <w:pPr>
            <w:pStyle w:val="TOC1"/>
            <w:tabs>
              <w:tab w:val="right" w:leader="dot" w:pos="9016"/>
            </w:tabs>
            <w:rPr>
              <w:rFonts w:ascii="Arial" w:hAnsi="Arial" w:cs="Arial"/>
              <w:noProof/>
              <w:sz w:val="22"/>
              <w:szCs w:val="22"/>
            </w:rPr>
          </w:pPr>
          <w:r w:rsidRPr="001707ED">
            <w:rPr>
              <w:rFonts w:ascii="Arial" w:hAnsi="Arial" w:cs="Arial"/>
              <w:sz w:val="22"/>
              <w:szCs w:val="22"/>
            </w:rPr>
            <w:fldChar w:fldCharType="begin"/>
          </w:r>
          <w:r w:rsidRPr="001707ED">
            <w:rPr>
              <w:rFonts w:ascii="Arial" w:hAnsi="Arial" w:cs="Arial"/>
              <w:sz w:val="22"/>
              <w:szCs w:val="22"/>
            </w:rPr>
            <w:instrText xml:space="preserve"> TOC \o "1-3" \h \z \u </w:instrText>
          </w:r>
          <w:r w:rsidRPr="001707ED">
            <w:rPr>
              <w:rFonts w:ascii="Arial" w:hAnsi="Arial" w:cs="Arial"/>
              <w:sz w:val="22"/>
              <w:szCs w:val="22"/>
            </w:rPr>
            <w:fldChar w:fldCharType="separate"/>
          </w:r>
          <w:hyperlink w:anchor="_Toc227188261" w:history="1">
            <w:r w:rsidRPr="001707ED">
              <w:rPr>
                <w:rStyle w:val="Hyperlink"/>
                <w:rFonts w:ascii="Arial" w:hAnsi="Arial" w:cs="Arial"/>
                <w:noProof/>
                <w:color w:val="auto"/>
                <w:sz w:val="22"/>
                <w:szCs w:val="22"/>
              </w:rPr>
              <w:t>Introduction.</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_Toc227188261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2</w:t>
            </w:r>
            <w:r w:rsidRPr="001707ED">
              <w:rPr>
                <w:rFonts w:ascii="Arial" w:hAnsi="Arial" w:cs="Arial"/>
                <w:noProof/>
                <w:webHidden/>
                <w:sz w:val="22"/>
                <w:szCs w:val="22"/>
              </w:rPr>
              <w:fldChar w:fldCharType="end"/>
            </w:r>
          </w:hyperlink>
        </w:p>
        <w:p w14:paraId="7538FBB3" w14:textId="403B1549" w:rsidR="001707ED" w:rsidRPr="001707ED" w:rsidRDefault="001707ED">
          <w:pPr>
            <w:pStyle w:val="TOC1"/>
            <w:tabs>
              <w:tab w:val="right" w:leader="dot" w:pos="9016"/>
            </w:tabs>
            <w:rPr>
              <w:rFonts w:ascii="Arial" w:hAnsi="Arial" w:cs="Arial"/>
              <w:noProof/>
              <w:sz w:val="22"/>
              <w:szCs w:val="22"/>
            </w:rPr>
          </w:pPr>
          <w:hyperlink w:anchor="_Toc227188262" w:history="1">
            <w:r w:rsidRPr="001707ED">
              <w:rPr>
                <w:rStyle w:val="Hyperlink"/>
                <w:rFonts w:ascii="Arial" w:hAnsi="Arial" w:cs="Arial"/>
                <w:noProof/>
                <w:color w:val="auto"/>
                <w:sz w:val="22"/>
                <w:szCs w:val="22"/>
              </w:rPr>
              <w:t>Classification and Diagnosis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_Toc227188262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2</w:t>
            </w:r>
            <w:r w:rsidRPr="001707ED">
              <w:rPr>
                <w:rFonts w:ascii="Arial" w:hAnsi="Arial" w:cs="Arial"/>
                <w:noProof/>
                <w:webHidden/>
                <w:sz w:val="22"/>
                <w:szCs w:val="22"/>
              </w:rPr>
              <w:fldChar w:fldCharType="end"/>
            </w:r>
          </w:hyperlink>
        </w:p>
        <w:p w14:paraId="261CEDC7" w14:textId="3126EB09" w:rsidR="001707ED" w:rsidRPr="001707ED" w:rsidRDefault="001707ED">
          <w:pPr>
            <w:pStyle w:val="TOC2"/>
            <w:tabs>
              <w:tab w:val="right" w:leader="dot" w:pos="9016"/>
            </w:tabs>
            <w:rPr>
              <w:rFonts w:ascii="Arial" w:hAnsi="Arial" w:cs="Arial"/>
              <w:noProof/>
              <w:sz w:val="22"/>
              <w:szCs w:val="22"/>
            </w:rPr>
          </w:pPr>
          <w:hyperlink w:anchor="_Toc227188263" w:history="1">
            <w:r w:rsidRPr="001707ED">
              <w:rPr>
                <w:rStyle w:val="Hyperlink"/>
                <w:rFonts w:ascii="Arial" w:hAnsi="Arial" w:cs="Arial"/>
                <w:noProof/>
                <w:color w:val="auto"/>
                <w:sz w:val="22"/>
                <w:szCs w:val="22"/>
              </w:rPr>
              <w:t>ICD-11 Classification</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_Toc227188263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2</w:t>
            </w:r>
            <w:r w:rsidRPr="001707ED">
              <w:rPr>
                <w:rFonts w:ascii="Arial" w:hAnsi="Arial" w:cs="Arial"/>
                <w:noProof/>
                <w:webHidden/>
                <w:sz w:val="22"/>
                <w:szCs w:val="22"/>
              </w:rPr>
              <w:fldChar w:fldCharType="end"/>
            </w:r>
          </w:hyperlink>
        </w:p>
        <w:p w14:paraId="3EDAA690" w14:textId="333229D6" w:rsidR="001707ED" w:rsidRPr="001707ED" w:rsidRDefault="001707ED">
          <w:pPr>
            <w:pStyle w:val="TOC1"/>
            <w:tabs>
              <w:tab w:val="right" w:leader="dot" w:pos="9016"/>
            </w:tabs>
            <w:rPr>
              <w:rFonts w:ascii="Arial" w:hAnsi="Arial" w:cs="Arial"/>
              <w:noProof/>
              <w:sz w:val="22"/>
              <w:szCs w:val="22"/>
            </w:rPr>
          </w:pPr>
          <w:hyperlink w:anchor="_Toc227188264" w:history="1">
            <w:r w:rsidRPr="001707ED">
              <w:rPr>
                <w:rStyle w:val="Hyperlink"/>
                <w:rFonts w:ascii="Arial" w:hAnsi="Arial" w:cs="Arial"/>
                <w:noProof/>
                <w:color w:val="auto"/>
                <w:sz w:val="22"/>
                <w:szCs w:val="22"/>
              </w:rPr>
              <w:t>Diagnostic Criteria and Assessment Processes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_Toc227188264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3</w:t>
            </w:r>
            <w:r w:rsidRPr="001707ED">
              <w:rPr>
                <w:rFonts w:ascii="Arial" w:hAnsi="Arial" w:cs="Arial"/>
                <w:noProof/>
                <w:webHidden/>
                <w:sz w:val="22"/>
                <w:szCs w:val="22"/>
              </w:rPr>
              <w:fldChar w:fldCharType="end"/>
            </w:r>
          </w:hyperlink>
        </w:p>
        <w:p w14:paraId="6534AFC9" w14:textId="7506AC6E" w:rsidR="001707ED" w:rsidRPr="001707ED" w:rsidRDefault="001707ED">
          <w:pPr>
            <w:pStyle w:val="TOC1"/>
            <w:tabs>
              <w:tab w:val="right" w:leader="dot" w:pos="9016"/>
            </w:tabs>
            <w:rPr>
              <w:rFonts w:ascii="Arial" w:hAnsi="Arial" w:cs="Arial"/>
              <w:noProof/>
              <w:sz w:val="22"/>
              <w:szCs w:val="22"/>
            </w:rPr>
          </w:pPr>
          <w:hyperlink w:anchor="_Toc227188265" w:history="1">
            <w:r w:rsidRPr="001707ED">
              <w:rPr>
                <w:rStyle w:val="Hyperlink"/>
                <w:rFonts w:ascii="Arial" w:hAnsi="Arial" w:cs="Arial"/>
                <w:noProof/>
                <w:color w:val="auto"/>
                <w:sz w:val="22"/>
                <w:szCs w:val="22"/>
              </w:rPr>
              <w:t>The Role of Language in Conceptual Framing</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_Toc227188265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3</w:t>
            </w:r>
            <w:r w:rsidRPr="001707ED">
              <w:rPr>
                <w:rFonts w:ascii="Arial" w:hAnsi="Arial" w:cs="Arial"/>
                <w:noProof/>
                <w:webHidden/>
                <w:sz w:val="22"/>
                <w:szCs w:val="22"/>
              </w:rPr>
              <w:fldChar w:fldCharType="end"/>
            </w:r>
          </w:hyperlink>
        </w:p>
        <w:p w14:paraId="3148AB2E" w14:textId="7730E32C" w:rsidR="001707ED" w:rsidRPr="001707ED" w:rsidRDefault="001707ED">
          <w:pPr>
            <w:pStyle w:val="TOC1"/>
            <w:tabs>
              <w:tab w:val="right" w:leader="dot" w:pos="9016"/>
            </w:tabs>
            <w:rPr>
              <w:rFonts w:ascii="Arial" w:hAnsi="Arial" w:cs="Arial"/>
              <w:noProof/>
              <w:sz w:val="22"/>
              <w:szCs w:val="22"/>
            </w:rPr>
          </w:pPr>
          <w:hyperlink w:anchor="_Toc227188266" w:history="1">
            <w:r w:rsidRPr="001707ED">
              <w:rPr>
                <w:rStyle w:val="Hyperlink"/>
                <w:rFonts w:ascii="Arial" w:hAnsi="Arial" w:cs="Arial"/>
                <w:noProof/>
                <w:color w:val="auto"/>
                <w:sz w:val="22"/>
                <w:szCs w:val="22"/>
              </w:rPr>
              <w:t>Treatment and Rehabilitation of ADHD</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_Toc227188266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4</w:t>
            </w:r>
            <w:r w:rsidRPr="001707ED">
              <w:rPr>
                <w:rFonts w:ascii="Arial" w:hAnsi="Arial" w:cs="Arial"/>
                <w:noProof/>
                <w:webHidden/>
                <w:sz w:val="22"/>
                <w:szCs w:val="22"/>
              </w:rPr>
              <w:fldChar w:fldCharType="end"/>
            </w:r>
          </w:hyperlink>
        </w:p>
        <w:p w14:paraId="4BDBD289" w14:textId="64149240" w:rsidR="001707ED" w:rsidRPr="001707ED" w:rsidRDefault="001707ED">
          <w:pPr>
            <w:pStyle w:val="TOC2"/>
            <w:tabs>
              <w:tab w:val="right" w:leader="dot" w:pos="9016"/>
            </w:tabs>
            <w:rPr>
              <w:rFonts w:ascii="Arial" w:hAnsi="Arial" w:cs="Arial"/>
              <w:noProof/>
              <w:sz w:val="22"/>
              <w:szCs w:val="22"/>
            </w:rPr>
          </w:pPr>
          <w:hyperlink w:anchor="_Toc227188267" w:history="1">
            <w:r w:rsidRPr="001707ED">
              <w:rPr>
                <w:rStyle w:val="Hyperlink"/>
                <w:rFonts w:ascii="Arial" w:hAnsi="Arial" w:cs="Arial"/>
                <w:noProof/>
                <w:color w:val="auto"/>
                <w:sz w:val="22"/>
                <w:szCs w:val="22"/>
              </w:rPr>
              <w:t>Overview of Standard Treatment Approaches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_Toc227188267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4</w:t>
            </w:r>
            <w:r w:rsidRPr="001707ED">
              <w:rPr>
                <w:rFonts w:ascii="Arial" w:hAnsi="Arial" w:cs="Arial"/>
                <w:noProof/>
                <w:webHidden/>
                <w:sz w:val="22"/>
                <w:szCs w:val="22"/>
              </w:rPr>
              <w:fldChar w:fldCharType="end"/>
            </w:r>
          </w:hyperlink>
        </w:p>
        <w:p w14:paraId="4B28AEE8" w14:textId="790D919A" w:rsidR="001707ED" w:rsidRPr="001707ED" w:rsidRDefault="001707ED">
          <w:pPr>
            <w:pStyle w:val="TOC1"/>
            <w:tabs>
              <w:tab w:val="right" w:leader="dot" w:pos="9016"/>
            </w:tabs>
            <w:rPr>
              <w:rFonts w:ascii="Arial" w:hAnsi="Arial" w:cs="Arial"/>
              <w:noProof/>
              <w:sz w:val="22"/>
              <w:szCs w:val="22"/>
            </w:rPr>
          </w:pPr>
          <w:hyperlink w:anchor="_Toc227188268" w:history="1">
            <w:r w:rsidRPr="001707ED">
              <w:rPr>
                <w:rStyle w:val="Hyperlink"/>
                <w:rFonts w:ascii="Arial" w:hAnsi="Arial" w:cs="Arial"/>
                <w:noProof/>
                <w:color w:val="auto"/>
                <w:sz w:val="22"/>
                <w:szCs w:val="22"/>
              </w:rPr>
              <w:t>Pharmacological Interventions for ADHD</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_Toc227188268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4</w:t>
            </w:r>
            <w:r w:rsidRPr="001707ED">
              <w:rPr>
                <w:rFonts w:ascii="Arial" w:hAnsi="Arial" w:cs="Arial"/>
                <w:noProof/>
                <w:webHidden/>
                <w:sz w:val="22"/>
                <w:szCs w:val="22"/>
              </w:rPr>
              <w:fldChar w:fldCharType="end"/>
            </w:r>
          </w:hyperlink>
        </w:p>
        <w:p w14:paraId="72CACBA7" w14:textId="0FBD0D48" w:rsidR="001707ED" w:rsidRPr="001707ED" w:rsidRDefault="001707ED">
          <w:pPr>
            <w:pStyle w:val="TOC1"/>
            <w:tabs>
              <w:tab w:val="right" w:leader="dot" w:pos="9016"/>
            </w:tabs>
            <w:rPr>
              <w:rFonts w:ascii="Arial" w:hAnsi="Arial" w:cs="Arial"/>
              <w:noProof/>
              <w:sz w:val="22"/>
              <w:szCs w:val="22"/>
            </w:rPr>
          </w:pPr>
          <w:hyperlink w:anchor="_Toc227188269" w:history="1">
            <w:r w:rsidRPr="001707ED">
              <w:rPr>
                <w:rStyle w:val="Hyperlink"/>
                <w:rFonts w:ascii="Arial" w:hAnsi="Arial" w:cs="Arial"/>
                <w:noProof/>
                <w:color w:val="auto"/>
                <w:sz w:val="22"/>
                <w:szCs w:val="22"/>
              </w:rPr>
              <w:t>Psychological and Behavioural Interventions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_Toc227188269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4</w:t>
            </w:r>
            <w:r w:rsidRPr="001707ED">
              <w:rPr>
                <w:rFonts w:ascii="Arial" w:hAnsi="Arial" w:cs="Arial"/>
                <w:noProof/>
                <w:webHidden/>
                <w:sz w:val="22"/>
                <w:szCs w:val="22"/>
              </w:rPr>
              <w:fldChar w:fldCharType="end"/>
            </w:r>
          </w:hyperlink>
        </w:p>
        <w:p w14:paraId="68F3A98C" w14:textId="13D8AD45" w:rsidR="001707ED" w:rsidRPr="001707ED" w:rsidRDefault="001707ED">
          <w:pPr>
            <w:pStyle w:val="TOC1"/>
            <w:tabs>
              <w:tab w:val="right" w:leader="dot" w:pos="9016"/>
            </w:tabs>
            <w:rPr>
              <w:rFonts w:ascii="Arial" w:hAnsi="Arial" w:cs="Arial"/>
              <w:noProof/>
              <w:sz w:val="22"/>
              <w:szCs w:val="22"/>
            </w:rPr>
          </w:pPr>
          <w:hyperlink w:anchor="_Toc227188270" w:history="1">
            <w:r w:rsidRPr="001707ED">
              <w:rPr>
                <w:rStyle w:val="Hyperlink"/>
                <w:rFonts w:ascii="Arial" w:hAnsi="Arial" w:cs="Arial"/>
                <w:noProof/>
                <w:color w:val="auto"/>
                <w:sz w:val="22"/>
                <w:szCs w:val="22"/>
              </w:rPr>
              <w:t>Educational and Social Interventions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_Toc227188270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4</w:t>
            </w:r>
            <w:r w:rsidRPr="001707ED">
              <w:rPr>
                <w:rFonts w:ascii="Arial" w:hAnsi="Arial" w:cs="Arial"/>
                <w:noProof/>
                <w:webHidden/>
                <w:sz w:val="22"/>
                <w:szCs w:val="22"/>
              </w:rPr>
              <w:fldChar w:fldCharType="end"/>
            </w:r>
          </w:hyperlink>
        </w:p>
        <w:p w14:paraId="66BC3EA4" w14:textId="01F9CD73" w:rsidR="001707ED" w:rsidRPr="001707ED" w:rsidRDefault="001707ED">
          <w:pPr>
            <w:pStyle w:val="TOC1"/>
            <w:tabs>
              <w:tab w:val="right" w:leader="dot" w:pos="9016"/>
            </w:tabs>
            <w:rPr>
              <w:rFonts w:ascii="Arial" w:hAnsi="Arial" w:cs="Arial"/>
              <w:noProof/>
              <w:sz w:val="22"/>
              <w:szCs w:val="22"/>
            </w:rPr>
          </w:pPr>
          <w:hyperlink w:anchor="_Toc227188271" w:history="1">
            <w:r w:rsidRPr="001707ED">
              <w:rPr>
                <w:rStyle w:val="Hyperlink"/>
                <w:rFonts w:ascii="Arial" w:hAnsi="Arial" w:cs="Arial"/>
                <w:noProof/>
                <w:color w:val="auto"/>
                <w:sz w:val="22"/>
                <w:szCs w:val="22"/>
              </w:rPr>
              <w:t>Rehabilitation Measures in ICD-11 and Clinical Practice</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_Toc227188271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5</w:t>
            </w:r>
            <w:r w:rsidRPr="001707ED">
              <w:rPr>
                <w:rFonts w:ascii="Arial" w:hAnsi="Arial" w:cs="Arial"/>
                <w:noProof/>
                <w:webHidden/>
                <w:sz w:val="22"/>
                <w:szCs w:val="22"/>
              </w:rPr>
              <w:fldChar w:fldCharType="end"/>
            </w:r>
          </w:hyperlink>
        </w:p>
        <w:p w14:paraId="5EBC112A" w14:textId="54F0C002" w:rsidR="001707ED" w:rsidRPr="001707ED" w:rsidRDefault="001707ED">
          <w:pPr>
            <w:pStyle w:val="TOC1"/>
            <w:tabs>
              <w:tab w:val="right" w:leader="dot" w:pos="9016"/>
            </w:tabs>
            <w:rPr>
              <w:rFonts w:ascii="Arial" w:hAnsi="Arial" w:cs="Arial"/>
              <w:noProof/>
              <w:sz w:val="22"/>
              <w:szCs w:val="22"/>
            </w:rPr>
          </w:pPr>
          <w:hyperlink w:anchor="_Toc227188272" w:history="1">
            <w:r w:rsidRPr="001707ED">
              <w:rPr>
                <w:rStyle w:val="Hyperlink"/>
                <w:rFonts w:ascii="Arial" w:hAnsi="Arial" w:cs="Arial"/>
                <w:noProof/>
                <w:color w:val="auto"/>
                <w:sz w:val="22"/>
                <w:szCs w:val="22"/>
              </w:rPr>
              <w:t>Evaluation of the Effectiveness and Limitations of Treatment Approaches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_Toc227188272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5</w:t>
            </w:r>
            <w:r w:rsidRPr="001707ED">
              <w:rPr>
                <w:rFonts w:ascii="Arial" w:hAnsi="Arial" w:cs="Arial"/>
                <w:noProof/>
                <w:webHidden/>
                <w:sz w:val="22"/>
                <w:szCs w:val="22"/>
              </w:rPr>
              <w:fldChar w:fldCharType="end"/>
            </w:r>
          </w:hyperlink>
        </w:p>
        <w:p w14:paraId="6FEB4E33" w14:textId="12C6E9AB" w:rsidR="001707ED" w:rsidRPr="001707ED" w:rsidRDefault="001707ED">
          <w:pPr>
            <w:pStyle w:val="TOC1"/>
            <w:tabs>
              <w:tab w:val="right" w:leader="dot" w:pos="9016"/>
            </w:tabs>
            <w:rPr>
              <w:rFonts w:ascii="Arial" w:hAnsi="Arial" w:cs="Arial"/>
              <w:noProof/>
              <w:sz w:val="22"/>
              <w:szCs w:val="22"/>
            </w:rPr>
          </w:pPr>
          <w:hyperlink w:anchor="_Toc227188273" w:history="1">
            <w:r w:rsidRPr="001707ED">
              <w:rPr>
                <w:rStyle w:val="Hyperlink"/>
                <w:rFonts w:ascii="Arial" w:hAnsi="Arial" w:cs="Arial"/>
                <w:noProof/>
                <w:color w:val="auto"/>
                <w:sz w:val="22"/>
                <w:szCs w:val="22"/>
              </w:rPr>
              <w:t>Contemporary Debates and Emerging Issues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_Toc227188273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6</w:t>
            </w:r>
            <w:r w:rsidRPr="001707ED">
              <w:rPr>
                <w:rFonts w:ascii="Arial" w:hAnsi="Arial" w:cs="Arial"/>
                <w:noProof/>
                <w:webHidden/>
                <w:sz w:val="22"/>
                <w:szCs w:val="22"/>
              </w:rPr>
              <w:fldChar w:fldCharType="end"/>
            </w:r>
          </w:hyperlink>
        </w:p>
        <w:p w14:paraId="3123E17B" w14:textId="18546E97" w:rsidR="001707ED" w:rsidRPr="001707ED" w:rsidRDefault="001707ED">
          <w:pPr>
            <w:pStyle w:val="TOC2"/>
            <w:tabs>
              <w:tab w:val="right" w:leader="dot" w:pos="9016"/>
            </w:tabs>
            <w:rPr>
              <w:rFonts w:ascii="Arial" w:hAnsi="Arial" w:cs="Arial"/>
              <w:noProof/>
              <w:sz w:val="22"/>
              <w:szCs w:val="22"/>
            </w:rPr>
          </w:pPr>
          <w:hyperlink w:anchor="_Toc227188274" w:history="1">
            <w:r w:rsidRPr="001707ED">
              <w:rPr>
                <w:rStyle w:val="Hyperlink"/>
                <w:rFonts w:ascii="Arial" w:hAnsi="Arial" w:cs="Arial"/>
                <w:noProof/>
                <w:color w:val="auto"/>
                <w:sz w:val="22"/>
                <w:szCs w:val="22"/>
              </w:rPr>
              <w:t>Debates Regarding Classification and Medicalisation</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_Toc227188274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6</w:t>
            </w:r>
            <w:r w:rsidRPr="001707ED">
              <w:rPr>
                <w:rFonts w:ascii="Arial" w:hAnsi="Arial" w:cs="Arial"/>
                <w:noProof/>
                <w:webHidden/>
                <w:sz w:val="22"/>
                <w:szCs w:val="22"/>
              </w:rPr>
              <w:fldChar w:fldCharType="end"/>
            </w:r>
          </w:hyperlink>
        </w:p>
        <w:p w14:paraId="488DF557" w14:textId="3B767C0C" w:rsidR="001707ED" w:rsidRPr="001707ED" w:rsidRDefault="001707ED">
          <w:pPr>
            <w:pStyle w:val="TOC1"/>
            <w:tabs>
              <w:tab w:val="right" w:leader="dot" w:pos="9016"/>
            </w:tabs>
            <w:rPr>
              <w:rFonts w:ascii="Arial" w:hAnsi="Arial" w:cs="Arial"/>
              <w:noProof/>
              <w:sz w:val="22"/>
              <w:szCs w:val="22"/>
            </w:rPr>
          </w:pPr>
          <w:hyperlink w:anchor="_Toc227188275" w:history="1">
            <w:r w:rsidRPr="001707ED">
              <w:rPr>
                <w:rStyle w:val="Hyperlink"/>
                <w:rFonts w:ascii="Arial" w:hAnsi="Arial" w:cs="Arial"/>
                <w:noProof/>
                <w:color w:val="auto"/>
                <w:sz w:val="22"/>
                <w:szCs w:val="22"/>
              </w:rPr>
              <w:t>The Role of Neurodivergence in ADHD Discourse</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_Toc227188275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6</w:t>
            </w:r>
            <w:r w:rsidRPr="001707ED">
              <w:rPr>
                <w:rFonts w:ascii="Arial" w:hAnsi="Arial" w:cs="Arial"/>
                <w:noProof/>
                <w:webHidden/>
                <w:sz w:val="22"/>
                <w:szCs w:val="22"/>
              </w:rPr>
              <w:fldChar w:fldCharType="end"/>
            </w:r>
          </w:hyperlink>
        </w:p>
        <w:p w14:paraId="0909D34A" w14:textId="46064995" w:rsidR="001707ED" w:rsidRPr="001707ED" w:rsidRDefault="001707ED">
          <w:pPr>
            <w:pStyle w:val="TOC1"/>
            <w:tabs>
              <w:tab w:val="right" w:leader="dot" w:pos="9016"/>
            </w:tabs>
            <w:rPr>
              <w:rFonts w:ascii="Arial" w:hAnsi="Arial" w:cs="Arial"/>
              <w:noProof/>
              <w:sz w:val="22"/>
              <w:szCs w:val="22"/>
            </w:rPr>
          </w:pPr>
          <w:hyperlink w:anchor="_Toc227188276" w:history="1">
            <w:r w:rsidRPr="001707ED">
              <w:rPr>
                <w:rStyle w:val="Hyperlink"/>
                <w:rFonts w:ascii="Arial" w:hAnsi="Arial" w:cs="Arial"/>
                <w:noProof/>
                <w:color w:val="auto"/>
                <w:sz w:val="22"/>
                <w:szCs w:val="22"/>
              </w:rPr>
              <w:t>Reclassification Challenges and Adult ADHD Diagnosis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_Toc227188276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6</w:t>
            </w:r>
            <w:r w:rsidRPr="001707ED">
              <w:rPr>
                <w:rFonts w:ascii="Arial" w:hAnsi="Arial" w:cs="Arial"/>
                <w:noProof/>
                <w:webHidden/>
                <w:sz w:val="22"/>
                <w:szCs w:val="22"/>
              </w:rPr>
              <w:fldChar w:fldCharType="end"/>
            </w:r>
          </w:hyperlink>
        </w:p>
        <w:p w14:paraId="58FB78B3" w14:textId="47924DB6" w:rsidR="001707ED" w:rsidRPr="001707ED" w:rsidRDefault="001707ED">
          <w:pPr>
            <w:pStyle w:val="TOC1"/>
            <w:tabs>
              <w:tab w:val="right" w:leader="dot" w:pos="9016"/>
            </w:tabs>
            <w:rPr>
              <w:rFonts w:ascii="Arial" w:hAnsi="Arial" w:cs="Arial"/>
              <w:noProof/>
              <w:sz w:val="22"/>
              <w:szCs w:val="22"/>
            </w:rPr>
          </w:pPr>
          <w:hyperlink w:anchor="_Toc227188277" w:history="1">
            <w:r w:rsidRPr="001707ED">
              <w:rPr>
                <w:rStyle w:val="Hyperlink"/>
                <w:rFonts w:ascii="Arial" w:hAnsi="Arial" w:cs="Arial"/>
                <w:noProof/>
                <w:color w:val="auto"/>
                <w:sz w:val="22"/>
                <w:szCs w:val="22"/>
              </w:rPr>
              <w:t>Cultural, Gender, and Socio-Economic Influences on Diagnosis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_Toc227188277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7</w:t>
            </w:r>
            <w:r w:rsidRPr="001707ED">
              <w:rPr>
                <w:rFonts w:ascii="Arial" w:hAnsi="Arial" w:cs="Arial"/>
                <w:noProof/>
                <w:webHidden/>
                <w:sz w:val="22"/>
                <w:szCs w:val="22"/>
              </w:rPr>
              <w:fldChar w:fldCharType="end"/>
            </w:r>
          </w:hyperlink>
        </w:p>
        <w:p w14:paraId="42525B6C" w14:textId="1521C029" w:rsidR="001707ED" w:rsidRPr="001707ED" w:rsidRDefault="001707ED">
          <w:pPr>
            <w:pStyle w:val="TOC1"/>
            <w:tabs>
              <w:tab w:val="right" w:leader="dot" w:pos="9016"/>
            </w:tabs>
            <w:rPr>
              <w:rFonts w:ascii="Arial" w:hAnsi="Arial" w:cs="Arial"/>
              <w:noProof/>
              <w:sz w:val="22"/>
              <w:szCs w:val="22"/>
            </w:rPr>
          </w:pPr>
          <w:hyperlink w:anchor="_Toc227188278" w:history="1">
            <w:r w:rsidRPr="001707ED">
              <w:rPr>
                <w:rStyle w:val="Hyperlink"/>
                <w:rFonts w:ascii="Arial" w:hAnsi="Arial" w:cs="Arial"/>
                <w:noProof/>
                <w:color w:val="auto"/>
                <w:sz w:val="22"/>
                <w:szCs w:val="22"/>
              </w:rPr>
              <w:t>Implications for Practice and Policy</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_Toc227188278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7</w:t>
            </w:r>
            <w:r w:rsidRPr="001707ED">
              <w:rPr>
                <w:rFonts w:ascii="Arial" w:hAnsi="Arial" w:cs="Arial"/>
                <w:noProof/>
                <w:webHidden/>
                <w:sz w:val="22"/>
                <w:szCs w:val="22"/>
              </w:rPr>
              <w:fldChar w:fldCharType="end"/>
            </w:r>
          </w:hyperlink>
        </w:p>
        <w:p w14:paraId="6C8A0364" w14:textId="02796133" w:rsidR="001707ED" w:rsidRPr="001707ED" w:rsidRDefault="001707ED">
          <w:pPr>
            <w:pStyle w:val="TOC1"/>
            <w:tabs>
              <w:tab w:val="right" w:leader="dot" w:pos="9016"/>
            </w:tabs>
            <w:rPr>
              <w:rFonts w:ascii="Arial" w:hAnsi="Arial" w:cs="Arial"/>
              <w:noProof/>
              <w:sz w:val="22"/>
              <w:szCs w:val="22"/>
            </w:rPr>
          </w:pPr>
          <w:hyperlink w:anchor="_Toc227188279" w:history="1">
            <w:r w:rsidRPr="001707ED">
              <w:rPr>
                <w:rStyle w:val="Hyperlink"/>
                <w:rFonts w:ascii="Arial" w:hAnsi="Arial" w:cs="Arial"/>
                <w:noProof/>
                <w:color w:val="auto"/>
                <w:sz w:val="22"/>
                <w:szCs w:val="22"/>
              </w:rPr>
              <w:t>Recommendations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_Toc227188279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8</w:t>
            </w:r>
            <w:r w:rsidRPr="001707ED">
              <w:rPr>
                <w:rFonts w:ascii="Arial" w:hAnsi="Arial" w:cs="Arial"/>
                <w:noProof/>
                <w:webHidden/>
                <w:sz w:val="22"/>
                <w:szCs w:val="22"/>
              </w:rPr>
              <w:fldChar w:fldCharType="end"/>
            </w:r>
          </w:hyperlink>
        </w:p>
        <w:p w14:paraId="05B10646" w14:textId="64F20772" w:rsidR="001707ED" w:rsidRPr="001707ED" w:rsidRDefault="001707ED">
          <w:pPr>
            <w:pStyle w:val="TOC2"/>
            <w:tabs>
              <w:tab w:val="right" w:leader="dot" w:pos="9016"/>
            </w:tabs>
            <w:rPr>
              <w:rFonts w:ascii="Arial" w:hAnsi="Arial" w:cs="Arial"/>
              <w:noProof/>
              <w:sz w:val="22"/>
              <w:szCs w:val="22"/>
            </w:rPr>
          </w:pPr>
          <w:hyperlink w:anchor="_Toc227188280" w:history="1">
            <w:r w:rsidRPr="001707ED">
              <w:rPr>
                <w:rStyle w:val="Hyperlink"/>
                <w:rFonts w:ascii="Arial" w:hAnsi="Arial" w:cs="Arial"/>
                <w:noProof/>
                <w:color w:val="auto"/>
                <w:sz w:val="22"/>
                <w:szCs w:val="22"/>
              </w:rPr>
              <w:t>1. Enhance ICD-11 Guidance on Neurodivergence and Terminology</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_Toc227188280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8</w:t>
            </w:r>
            <w:r w:rsidRPr="001707ED">
              <w:rPr>
                <w:rFonts w:ascii="Arial" w:hAnsi="Arial" w:cs="Arial"/>
                <w:noProof/>
                <w:webHidden/>
                <w:sz w:val="22"/>
                <w:szCs w:val="22"/>
              </w:rPr>
              <w:fldChar w:fldCharType="end"/>
            </w:r>
          </w:hyperlink>
        </w:p>
        <w:p w14:paraId="734A511E" w14:textId="1642A47C" w:rsidR="001707ED" w:rsidRPr="001707ED" w:rsidRDefault="001707ED">
          <w:pPr>
            <w:pStyle w:val="TOC2"/>
            <w:tabs>
              <w:tab w:val="right" w:leader="dot" w:pos="9016"/>
            </w:tabs>
            <w:rPr>
              <w:rFonts w:ascii="Arial" w:hAnsi="Arial" w:cs="Arial"/>
              <w:noProof/>
              <w:sz w:val="22"/>
              <w:szCs w:val="22"/>
            </w:rPr>
          </w:pPr>
          <w:hyperlink w:anchor="_Toc227188281" w:history="1">
            <w:r w:rsidRPr="001707ED">
              <w:rPr>
                <w:rStyle w:val="Hyperlink"/>
                <w:rFonts w:ascii="Arial" w:hAnsi="Arial" w:cs="Arial"/>
                <w:b/>
                <w:bCs/>
                <w:noProof/>
                <w:color w:val="auto"/>
                <w:sz w:val="22"/>
                <w:szCs w:val="22"/>
              </w:rPr>
              <w:t>2. Strengthen Diagnostic Training and Standardization</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_Toc227188281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8</w:t>
            </w:r>
            <w:r w:rsidRPr="001707ED">
              <w:rPr>
                <w:rFonts w:ascii="Arial" w:hAnsi="Arial" w:cs="Arial"/>
                <w:noProof/>
                <w:webHidden/>
                <w:sz w:val="22"/>
                <w:szCs w:val="22"/>
              </w:rPr>
              <w:fldChar w:fldCharType="end"/>
            </w:r>
          </w:hyperlink>
        </w:p>
        <w:p w14:paraId="0516D3C1" w14:textId="243E6AB9" w:rsidR="001707ED" w:rsidRPr="001707ED" w:rsidRDefault="001707ED">
          <w:pPr>
            <w:pStyle w:val="TOC2"/>
            <w:tabs>
              <w:tab w:val="right" w:leader="dot" w:pos="9016"/>
            </w:tabs>
            <w:rPr>
              <w:rFonts w:ascii="Arial" w:hAnsi="Arial" w:cs="Arial"/>
              <w:noProof/>
              <w:sz w:val="22"/>
              <w:szCs w:val="22"/>
            </w:rPr>
          </w:pPr>
          <w:hyperlink w:anchor="_Toc227188282" w:history="1">
            <w:r w:rsidRPr="001707ED">
              <w:rPr>
                <w:rStyle w:val="Hyperlink"/>
                <w:rFonts w:ascii="Arial" w:hAnsi="Arial" w:cs="Arial"/>
                <w:noProof/>
                <w:color w:val="auto"/>
                <w:sz w:val="22"/>
                <w:szCs w:val="22"/>
              </w:rPr>
              <w:t>3. Expansion of Multimodal Treatment Availability</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_Toc227188282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8</w:t>
            </w:r>
            <w:r w:rsidRPr="001707ED">
              <w:rPr>
                <w:rFonts w:ascii="Arial" w:hAnsi="Arial" w:cs="Arial"/>
                <w:noProof/>
                <w:webHidden/>
                <w:sz w:val="22"/>
                <w:szCs w:val="22"/>
              </w:rPr>
              <w:fldChar w:fldCharType="end"/>
            </w:r>
          </w:hyperlink>
        </w:p>
        <w:p w14:paraId="57C63D4C" w14:textId="1BDEB62F" w:rsidR="001707ED" w:rsidRPr="001707ED" w:rsidRDefault="001707ED">
          <w:pPr>
            <w:pStyle w:val="TOC2"/>
            <w:tabs>
              <w:tab w:val="right" w:leader="dot" w:pos="9016"/>
            </w:tabs>
            <w:rPr>
              <w:rFonts w:ascii="Arial" w:hAnsi="Arial" w:cs="Arial"/>
              <w:noProof/>
              <w:sz w:val="22"/>
              <w:szCs w:val="22"/>
            </w:rPr>
          </w:pPr>
          <w:hyperlink w:anchor="_Toc227188283" w:history="1">
            <w:r w:rsidRPr="001707ED">
              <w:rPr>
                <w:rStyle w:val="Hyperlink"/>
                <w:rFonts w:ascii="Arial" w:hAnsi="Arial" w:cs="Arial"/>
                <w:noProof/>
                <w:color w:val="auto"/>
                <w:sz w:val="22"/>
                <w:szCs w:val="22"/>
              </w:rPr>
              <w:t>4. Incorporation of Rehabilitation into National ADHD Care Pathways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_Toc227188283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9</w:t>
            </w:r>
            <w:r w:rsidRPr="001707ED">
              <w:rPr>
                <w:rFonts w:ascii="Arial" w:hAnsi="Arial" w:cs="Arial"/>
                <w:noProof/>
                <w:webHidden/>
                <w:sz w:val="22"/>
                <w:szCs w:val="22"/>
              </w:rPr>
              <w:fldChar w:fldCharType="end"/>
            </w:r>
          </w:hyperlink>
        </w:p>
        <w:p w14:paraId="6B2A7090" w14:textId="78FBF089" w:rsidR="001707ED" w:rsidRPr="001707ED" w:rsidRDefault="001707ED">
          <w:pPr>
            <w:pStyle w:val="TOC2"/>
            <w:tabs>
              <w:tab w:val="right" w:leader="dot" w:pos="9016"/>
            </w:tabs>
            <w:rPr>
              <w:rFonts w:ascii="Arial" w:hAnsi="Arial" w:cs="Arial"/>
              <w:noProof/>
              <w:sz w:val="22"/>
              <w:szCs w:val="22"/>
            </w:rPr>
          </w:pPr>
          <w:hyperlink w:anchor="_Toc227188284" w:history="1">
            <w:r w:rsidRPr="001707ED">
              <w:rPr>
                <w:rStyle w:val="Hyperlink"/>
                <w:rFonts w:ascii="Arial" w:hAnsi="Arial" w:cs="Arial"/>
                <w:noProof/>
                <w:color w:val="auto"/>
                <w:sz w:val="22"/>
                <w:szCs w:val="22"/>
              </w:rPr>
              <w:t>5. Promotion of Cross-Sector Collaboration for Policy Development</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_Toc227188284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9</w:t>
            </w:r>
            <w:r w:rsidRPr="001707ED">
              <w:rPr>
                <w:rFonts w:ascii="Arial" w:hAnsi="Arial" w:cs="Arial"/>
                <w:noProof/>
                <w:webHidden/>
                <w:sz w:val="22"/>
                <w:szCs w:val="22"/>
              </w:rPr>
              <w:fldChar w:fldCharType="end"/>
            </w:r>
          </w:hyperlink>
        </w:p>
        <w:p w14:paraId="562D29FD" w14:textId="7EC878DC" w:rsidR="001707ED" w:rsidRPr="001707ED" w:rsidRDefault="001707ED">
          <w:pPr>
            <w:pStyle w:val="TOC2"/>
            <w:tabs>
              <w:tab w:val="right" w:leader="dot" w:pos="9016"/>
            </w:tabs>
            <w:rPr>
              <w:rFonts w:ascii="Arial" w:hAnsi="Arial" w:cs="Arial"/>
              <w:noProof/>
              <w:sz w:val="22"/>
              <w:szCs w:val="22"/>
            </w:rPr>
          </w:pPr>
          <w:hyperlink w:anchor="_Toc227188285" w:history="1">
            <w:r w:rsidRPr="001707ED">
              <w:rPr>
                <w:rStyle w:val="Hyperlink"/>
                <w:rFonts w:ascii="Arial" w:hAnsi="Arial" w:cs="Arial"/>
                <w:noProof/>
                <w:color w:val="auto"/>
                <w:sz w:val="22"/>
                <w:szCs w:val="22"/>
              </w:rPr>
              <w:t>6. Strengthening Research on Under-Represented Groups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_Toc227188285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9</w:t>
            </w:r>
            <w:r w:rsidRPr="001707ED">
              <w:rPr>
                <w:rFonts w:ascii="Arial" w:hAnsi="Arial" w:cs="Arial"/>
                <w:noProof/>
                <w:webHidden/>
                <w:sz w:val="22"/>
                <w:szCs w:val="22"/>
              </w:rPr>
              <w:fldChar w:fldCharType="end"/>
            </w:r>
          </w:hyperlink>
        </w:p>
        <w:p w14:paraId="1DB0BB7C" w14:textId="5E629219" w:rsidR="001707ED" w:rsidRPr="001707ED" w:rsidRDefault="001707ED">
          <w:pPr>
            <w:pStyle w:val="TOC1"/>
            <w:tabs>
              <w:tab w:val="right" w:leader="dot" w:pos="9016"/>
            </w:tabs>
            <w:rPr>
              <w:rFonts w:ascii="Arial" w:hAnsi="Arial" w:cs="Arial"/>
              <w:noProof/>
              <w:sz w:val="22"/>
              <w:szCs w:val="22"/>
            </w:rPr>
          </w:pPr>
          <w:hyperlink w:anchor="_Toc227188286" w:history="1">
            <w:r w:rsidRPr="001707ED">
              <w:rPr>
                <w:rStyle w:val="Hyperlink"/>
                <w:rFonts w:ascii="Arial" w:hAnsi="Arial" w:cs="Arial"/>
                <w:noProof/>
                <w:color w:val="auto"/>
                <w:sz w:val="22"/>
                <w:szCs w:val="22"/>
              </w:rPr>
              <w:t>Conclusion</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_Toc227188286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10</w:t>
            </w:r>
            <w:r w:rsidRPr="001707ED">
              <w:rPr>
                <w:rFonts w:ascii="Arial" w:hAnsi="Arial" w:cs="Arial"/>
                <w:noProof/>
                <w:webHidden/>
                <w:sz w:val="22"/>
                <w:szCs w:val="22"/>
              </w:rPr>
              <w:fldChar w:fldCharType="end"/>
            </w:r>
          </w:hyperlink>
        </w:p>
        <w:p w14:paraId="20153F18" w14:textId="39DE5C67" w:rsidR="001707ED" w:rsidRPr="001707ED" w:rsidRDefault="001707ED">
          <w:pPr>
            <w:pStyle w:val="TOC1"/>
            <w:tabs>
              <w:tab w:val="right" w:leader="dot" w:pos="9016"/>
            </w:tabs>
            <w:rPr>
              <w:rFonts w:ascii="Arial" w:hAnsi="Arial" w:cs="Arial"/>
              <w:noProof/>
              <w:sz w:val="22"/>
              <w:szCs w:val="22"/>
            </w:rPr>
          </w:pPr>
          <w:hyperlink w:anchor="_Toc227188287" w:history="1">
            <w:r w:rsidRPr="001707ED">
              <w:rPr>
                <w:rStyle w:val="Hyperlink"/>
                <w:rFonts w:ascii="Arial" w:hAnsi="Arial" w:cs="Arial"/>
                <w:noProof/>
                <w:color w:val="auto"/>
                <w:sz w:val="22"/>
                <w:szCs w:val="22"/>
              </w:rPr>
              <w:t>References:</w:t>
            </w:r>
            <w:r w:rsidRPr="001707ED">
              <w:rPr>
                <w:rFonts w:ascii="Arial" w:hAnsi="Arial" w:cs="Arial"/>
                <w:noProof/>
                <w:webHidden/>
                <w:sz w:val="22"/>
                <w:szCs w:val="22"/>
              </w:rPr>
              <w:tab/>
            </w:r>
            <w:r w:rsidRPr="001707ED">
              <w:rPr>
                <w:rFonts w:ascii="Arial" w:hAnsi="Arial" w:cs="Arial"/>
                <w:noProof/>
                <w:webHidden/>
                <w:sz w:val="22"/>
                <w:szCs w:val="22"/>
              </w:rPr>
              <w:fldChar w:fldCharType="begin"/>
            </w:r>
            <w:r w:rsidRPr="001707ED">
              <w:rPr>
                <w:rFonts w:ascii="Arial" w:hAnsi="Arial" w:cs="Arial"/>
                <w:noProof/>
                <w:webHidden/>
                <w:sz w:val="22"/>
                <w:szCs w:val="22"/>
              </w:rPr>
              <w:instrText xml:space="preserve"> PAGEREF _Toc227188287 \h </w:instrText>
            </w:r>
            <w:r w:rsidRPr="001707ED">
              <w:rPr>
                <w:rFonts w:ascii="Arial" w:hAnsi="Arial" w:cs="Arial"/>
                <w:noProof/>
                <w:webHidden/>
                <w:sz w:val="22"/>
                <w:szCs w:val="22"/>
              </w:rPr>
            </w:r>
            <w:r w:rsidRPr="001707ED">
              <w:rPr>
                <w:rFonts w:ascii="Arial" w:hAnsi="Arial" w:cs="Arial"/>
                <w:noProof/>
                <w:webHidden/>
                <w:sz w:val="22"/>
                <w:szCs w:val="22"/>
              </w:rPr>
              <w:fldChar w:fldCharType="separate"/>
            </w:r>
            <w:r w:rsidRPr="001707ED">
              <w:rPr>
                <w:rFonts w:ascii="Arial" w:hAnsi="Arial" w:cs="Arial"/>
                <w:noProof/>
                <w:webHidden/>
                <w:sz w:val="22"/>
                <w:szCs w:val="22"/>
              </w:rPr>
              <w:t>11</w:t>
            </w:r>
            <w:r w:rsidRPr="001707ED">
              <w:rPr>
                <w:rFonts w:ascii="Arial" w:hAnsi="Arial" w:cs="Arial"/>
                <w:noProof/>
                <w:webHidden/>
                <w:sz w:val="22"/>
                <w:szCs w:val="22"/>
              </w:rPr>
              <w:fldChar w:fldCharType="end"/>
            </w:r>
          </w:hyperlink>
        </w:p>
        <w:p w14:paraId="0994403B" w14:textId="228BA620" w:rsidR="001707ED" w:rsidRPr="001707ED" w:rsidRDefault="001707ED">
          <w:pPr>
            <w:rPr>
              <w:rFonts w:ascii="Arial" w:hAnsi="Arial" w:cs="Arial"/>
              <w:sz w:val="22"/>
              <w:szCs w:val="22"/>
            </w:rPr>
          </w:pPr>
          <w:r w:rsidRPr="001707ED">
            <w:rPr>
              <w:rFonts w:ascii="Arial" w:hAnsi="Arial" w:cs="Arial"/>
              <w:b/>
              <w:bCs/>
              <w:noProof/>
              <w:sz w:val="22"/>
              <w:szCs w:val="22"/>
            </w:rPr>
            <w:fldChar w:fldCharType="end"/>
          </w:r>
        </w:p>
      </w:sdtContent>
    </w:sdt>
    <w:p w14:paraId="7DD82387" w14:textId="77777777" w:rsidR="000264A1" w:rsidRPr="001707ED" w:rsidRDefault="000264A1" w:rsidP="000264A1">
      <w:pPr>
        <w:rPr>
          <w:rFonts w:ascii="Arial" w:hAnsi="Arial" w:cs="Arial"/>
          <w:sz w:val="22"/>
          <w:szCs w:val="22"/>
        </w:rPr>
      </w:pPr>
    </w:p>
    <w:p w14:paraId="563A7395" w14:textId="77777777" w:rsidR="000264A1" w:rsidRPr="001707ED" w:rsidRDefault="000264A1" w:rsidP="000264A1">
      <w:pPr>
        <w:rPr>
          <w:rFonts w:ascii="Arial" w:hAnsi="Arial" w:cs="Arial"/>
          <w:sz w:val="22"/>
          <w:szCs w:val="22"/>
        </w:rPr>
      </w:pPr>
    </w:p>
    <w:p w14:paraId="5805392B" w14:textId="77777777" w:rsidR="000264A1" w:rsidRPr="001707ED" w:rsidRDefault="000264A1" w:rsidP="000264A1">
      <w:pPr>
        <w:rPr>
          <w:rFonts w:ascii="Arial" w:hAnsi="Arial" w:cs="Arial"/>
          <w:sz w:val="22"/>
          <w:szCs w:val="22"/>
        </w:rPr>
      </w:pPr>
    </w:p>
    <w:p w14:paraId="4F5FBEC9" w14:textId="77777777" w:rsidR="000264A1" w:rsidRPr="001707ED" w:rsidRDefault="000264A1" w:rsidP="000264A1">
      <w:pPr>
        <w:rPr>
          <w:rFonts w:ascii="Arial" w:hAnsi="Arial" w:cs="Arial"/>
          <w:sz w:val="22"/>
          <w:szCs w:val="22"/>
        </w:rPr>
      </w:pPr>
    </w:p>
    <w:p w14:paraId="1DC432D4" w14:textId="77777777" w:rsidR="000264A1" w:rsidRPr="001707ED" w:rsidRDefault="000264A1" w:rsidP="000264A1">
      <w:pPr>
        <w:rPr>
          <w:rFonts w:ascii="Arial" w:hAnsi="Arial" w:cs="Arial"/>
          <w:sz w:val="22"/>
          <w:szCs w:val="22"/>
        </w:rPr>
      </w:pPr>
    </w:p>
    <w:p w14:paraId="6B65CDD9" w14:textId="77777777" w:rsidR="008A6D32" w:rsidRPr="001707ED" w:rsidRDefault="008A6D32" w:rsidP="000264A1">
      <w:pPr>
        <w:rPr>
          <w:rFonts w:ascii="Arial" w:hAnsi="Arial" w:cs="Arial"/>
          <w:sz w:val="22"/>
          <w:szCs w:val="22"/>
        </w:rPr>
      </w:pPr>
    </w:p>
    <w:p w14:paraId="07786E37" w14:textId="77777777" w:rsidR="000264A1" w:rsidRPr="001707ED" w:rsidRDefault="000264A1" w:rsidP="000264A1">
      <w:pPr>
        <w:rPr>
          <w:rFonts w:ascii="Arial" w:hAnsi="Arial" w:cs="Arial"/>
          <w:sz w:val="22"/>
          <w:szCs w:val="22"/>
        </w:rPr>
      </w:pPr>
    </w:p>
    <w:p w14:paraId="498C200C" w14:textId="6905FBE5" w:rsidR="00DD4B9E" w:rsidRPr="001707ED" w:rsidRDefault="00DD4B9E" w:rsidP="001707ED">
      <w:pPr>
        <w:pStyle w:val="Heading1"/>
        <w:rPr>
          <w:rFonts w:ascii="Arial" w:hAnsi="Arial" w:cs="Arial"/>
          <w:b/>
          <w:bCs/>
          <w:color w:val="auto"/>
          <w:sz w:val="22"/>
          <w:szCs w:val="22"/>
        </w:rPr>
      </w:pPr>
      <w:bookmarkStart w:id="0" w:name="_Toc227188261"/>
      <w:r w:rsidRPr="001707ED">
        <w:rPr>
          <w:rFonts w:ascii="Arial" w:hAnsi="Arial" w:cs="Arial"/>
          <w:b/>
          <w:bCs/>
          <w:color w:val="auto"/>
          <w:sz w:val="22"/>
          <w:szCs w:val="22"/>
        </w:rPr>
        <w:t>Introduction.</w:t>
      </w:r>
      <w:bookmarkEnd w:id="0"/>
    </w:p>
    <w:p w14:paraId="746D745F" w14:textId="77777777" w:rsidR="00DD4B9E" w:rsidRPr="00DD4B9E" w:rsidRDefault="00DD4B9E" w:rsidP="003E72B8">
      <w:pPr>
        <w:spacing w:line="360" w:lineRule="auto"/>
        <w:rPr>
          <w:rFonts w:ascii="Arial" w:hAnsi="Arial" w:cs="Arial"/>
          <w:sz w:val="22"/>
          <w:szCs w:val="22"/>
        </w:rPr>
      </w:pPr>
      <w:r w:rsidRPr="00DD4B9E">
        <w:rPr>
          <w:rFonts w:ascii="Arial" w:hAnsi="Arial" w:cs="Arial"/>
          <w:sz w:val="22"/>
          <w:szCs w:val="22"/>
        </w:rPr>
        <w:t>Attention Deficit Hyperactivity Disorder (ADHD) is a neurodevelopmental disorder characterized by persistent inattention, hyperactivity, and impulsivity that significantly disrupt functioning and development. Although historically associated with childhood, ADHD is now widely recognized as prevalent in adulthood. The International Classification of Diseases, 11th Revision (ICD-11), classifies ADHD under</w:t>
      </w:r>
      <w:r w:rsidRPr="00DD4B9E">
        <w:rPr>
          <w:rFonts w:ascii="Arial" w:hAnsi="Arial" w:cs="Arial"/>
          <w:i/>
          <w:iCs/>
          <w:sz w:val="22"/>
          <w:szCs w:val="22"/>
        </w:rPr>
        <w:t xml:space="preserve"> Mental, Behavioural and Neurodevelopmental Disorders</w:t>
      </w:r>
      <w:r w:rsidRPr="00DD4B9E">
        <w:rPr>
          <w:rFonts w:ascii="Arial" w:hAnsi="Arial" w:cs="Arial"/>
          <w:sz w:val="22"/>
          <w:szCs w:val="22"/>
        </w:rPr>
        <w:t>, emphasizing its developmental onset and behavioural manifestations. Interest in ADHD has increased as debates regarding neurodivergence, diagnostic validity, adult recognition, and the cultural, social, and medical factors influencing classification and treatment have become more prominent.</w:t>
      </w:r>
    </w:p>
    <w:p w14:paraId="26165806" w14:textId="77777777" w:rsidR="00DD4B9E" w:rsidRPr="001707ED" w:rsidRDefault="00DD4B9E" w:rsidP="003E72B8">
      <w:pPr>
        <w:spacing w:line="360" w:lineRule="auto"/>
        <w:rPr>
          <w:rFonts w:ascii="Arial" w:hAnsi="Arial" w:cs="Arial"/>
          <w:sz w:val="22"/>
          <w:szCs w:val="22"/>
        </w:rPr>
      </w:pPr>
      <w:r w:rsidRPr="00DD4B9E">
        <w:rPr>
          <w:rFonts w:ascii="Arial" w:hAnsi="Arial" w:cs="Arial"/>
          <w:sz w:val="22"/>
          <w:szCs w:val="22"/>
        </w:rPr>
        <w:t>This report critically examines ADHD across four key domains: classification and diagnostic processes, treatment and rehabilitation pathways, contemporary debates and emerging issues, and recommendations for enhancing practice, policy, and future research. Engagement with recent academic literature is central to the analysis. The report highlights the relevance of ICD-11 to mental health practice and addresses broader theoretical and policy considerations.</w:t>
      </w:r>
    </w:p>
    <w:p w14:paraId="65C92EB7" w14:textId="77777777" w:rsidR="00DD4B9E" w:rsidRPr="00DD4B9E" w:rsidRDefault="00DD4B9E" w:rsidP="003E72B8">
      <w:pPr>
        <w:spacing w:line="360" w:lineRule="auto"/>
        <w:rPr>
          <w:rFonts w:ascii="Arial" w:hAnsi="Arial" w:cs="Arial"/>
          <w:sz w:val="22"/>
          <w:szCs w:val="22"/>
        </w:rPr>
      </w:pPr>
    </w:p>
    <w:p w14:paraId="25A8A31C" w14:textId="77777777" w:rsidR="00DD4B9E" w:rsidRPr="001707ED" w:rsidRDefault="00DD4B9E" w:rsidP="001707ED">
      <w:pPr>
        <w:pStyle w:val="Heading1"/>
        <w:rPr>
          <w:rFonts w:ascii="Arial" w:hAnsi="Arial" w:cs="Arial"/>
          <w:b/>
          <w:bCs/>
          <w:color w:val="auto"/>
          <w:sz w:val="22"/>
          <w:szCs w:val="22"/>
        </w:rPr>
      </w:pPr>
      <w:bookmarkStart w:id="1" w:name="_Toc227188262"/>
      <w:r w:rsidRPr="001707ED">
        <w:rPr>
          <w:rFonts w:ascii="Arial" w:hAnsi="Arial" w:cs="Arial"/>
          <w:b/>
          <w:bCs/>
          <w:color w:val="auto"/>
          <w:sz w:val="22"/>
          <w:szCs w:val="22"/>
        </w:rPr>
        <w:t>Classification and Diagnosis</w:t>
      </w:r>
      <w:bookmarkEnd w:id="1"/>
    </w:p>
    <w:p w14:paraId="518628C9" w14:textId="77777777" w:rsidR="00DD4B9E" w:rsidRPr="001707ED" w:rsidRDefault="00DD4B9E" w:rsidP="001707ED">
      <w:pPr>
        <w:pStyle w:val="Heading2"/>
        <w:rPr>
          <w:rFonts w:ascii="Arial" w:hAnsi="Arial" w:cs="Arial"/>
          <w:b/>
          <w:bCs/>
          <w:color w:val="auto"/>
          <w:sz w:val="22"/>
          <w:szCs w:val="22"/>
        </w:rPr>
      </w:pPr>
      <w:bookmarkStart w:id="2" w:name="_Toc227188263"/>
      <w:r w:rsidRPr="001707ED">
        <w:rPr>
          <w:rFonts w:ascii="Arial" w:hAnsi="Arial" w:cs="Arial"/>
          <w:b/>
          <w:bCs/>
          <w:color w:val="auto"/>
          <w:sz w:val="22"/>
          <w:szCs w:val="22"/>
        </w:rPr>
        <w:t>ICD-11 Classification</w:t>
      </w:r>
      <w:bookmarkEnd w:id="2"/>
    </w:p>
    <w:p w14:paraId="46F5F8B6"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 xml:space="preserve">ADHD is classified in the ICD-11 under code </w:t>
      </w:r>
      <w:r w:rsidRPr="00E16D7E">
        <w:rPr>
          <w:rFonts w:ascii="Arial" w:hAnsi="Arial" w:cs="Arial"/>
          <w:i/>
          <w:iCs/>
          <w:sz w:val="22"/>
          <w:szCs w:val="22"/>
        </w:rPr>
        <w:t>6A05, Attention Deficit Hyperactivity Disorder</w:t>
      </w:r>
      <w:r w:rsidRPr="00E16D7E">
        <w:rPr>
          <w:rFonts w:ascii="Arial" w:hAnsi="Arial" w:cs="Arial"/>
          <w:sz w:val="22"/>
          <w:szCs w:val="22"/>
        </w:rPr>
        <w:t>, situating it within the category of neurodevelopmental disorders. The World Health Organization defines ADHD as a disorder marked by a “persistent pattern” of inattention and/or hyperactivity-impulsivity that is inconsistent with developmental level (WHO, 2019). ICD-11 delineates three presentations: predominantly inattentive, predominantly hyperactive-impulsive, and combined. While this structure broadly aligns with the DSM-5, ICD-11 places greater emphasis on functional impairment across “multiple settings” and on developmental appropriateness.</w:t>
      </w:r>
    </w:p>
    <w:p w14:paraId="655345E4"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A notable linguistic aspect of ICD-11 is the explicit use of the term “disorder,” which signals a biomedical framework that remains subject to debate. This terminology frames ADHD as a clinically significant deviation from normative development rather than as a behavioral variation, thereby contributing to ongoing discussions regarding neurodivergence and medicalization.</w:t>
      </w:r>
    </w:p>
    <w:p w14:paraId="7849110B" w14:textId="77777777" w:rsidR="00E16D7E" w:rsidRPr="001707ED" w:rsidRDefault="00E16D7E" w:rsidP="001707ED">
      <w:pPr>
        <w:pStyle w:val="Heading1"/>
        <w:rPr>
          <w:rFonts w:ascii="Arial" w:hAnsi="Arial" w:cs="Arial"/>
          <w:b/>
          <w:bCs/>
          <w:color w:val="auto"/>
          <w:sz w:val="22"/>
          <w:szCs w:val="22"/>
        </w:rPr>
      </w:pPr>
      <w:bookmarkStart w:id="3" w:name="_Toc227188264"/>
      <w:r w:rsidRPr="001707ED">
        <w:rPr>
          <w:rFonts w:ascii="Arial" w:hAnsi="Arial" w:cs="Arial"/>
          <w:b/>
          <w:bCs/>
          <w:color w:val="auto"/>
          <w:sz w:val="22"/>
          <w:szCs w:val="22"/>
        </w:rPr>
        <w:lastRenderedPageBreak/>
        <w:t>Diagnostic Criteria and Assessment Processes</w:t>
      </w:r>
      <w:bookmarkEnd w:id="3"/>
    </w:p>
    <w:p w14:paraId="261FB95A"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According to ICD-11, symptoms must originate during the developmental period, be evident across at least two domains such as school, home, or workplace, and result in significant impairment. For children, symptoms should persist for several months, while in adults, there must be evidence of persistence from childhood, even if a formal diagnosis was not previously established (Asherson et al., 2022). Diagnosis relies on clinical and behavioural assessment, typically involving structured interviews, standardized rating scales such as the Conners-4, and collateral reports from parents, teachers, or partners. (Assessment and monitoring of treatment response in adult ADHD patients: current perspectives, 2016, pp. 1249-1258)</w:t>
      </w:r>
    </w:p>
    <w:p w14:paraId="2A167834"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A major challenge in diagnosis is the heterogeneous presentation of ADHD. Research indicates that ADHD constitutes a spectrum of behavioural and cognitive traits, with manifestations varying according to age, gender, and environmental context (Faraone et al., 2021). ICD-11 addresses this variability by permitting clinicians to specify symptomatic domains; however, ongoing debates concern the sufficiency of behavioural-only diagnostic models.</w:t>
      </w:r>
    </w:p>
    <w:p w14:paraId="3B0E39CF"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Differences in diagnostic practices across countries remain evident. (MacDonald et al., 2019, pp. 785-797) For example, higher rates of diagnosis in the United States and some European regions have been linked to variations in cultural attitudes, educational expectations, and the availability of clinical resources (Hinshaw &amp; Scheffler, 2019). Such disparities prompt critical examination of the universal applicability and cultural neutrality of ICD-11 diagnostic criteria.</w:t>
      </w:r>
    </w:p>
    <w:p w14:paraId="3BCEBF8B" w14:textId="77777777" w:rsidR="00E16D7E" w:rsidRPr="001707ED" w:rsidRDefault="00E16D7E" w:rsidP="001707ED">
      <w:pPr>
        <w:pStyle w:val="Heading1"/>
        <w:rPr>
          <w:rFonts w:ascii="Arial" w:hAnsi="Arial" w:cs="Arial"/>
          <w:b/>
          <w:bCs/>
          <w:color w:val="auto"/>
          <w:sz w:val="22"/>
          <w:szCs w:val="22"/>
        </w:rPr>
      </w:pPr>
      <w:bookmarkStart w:id="4" w:name="_Toc227188265"/>
      <w:r w:rsidRPr="001707ED">
        <w:rPr>
          <w:rFonts w:ascii="Arial" w:hAnsi="Arial" w:cs="Arial"/>
          <w:b/>
          <w:bCs/>
          <w:color w:val="auto"/>
          <w:sz w:val="22"/>
          <w:szCs w:val="22"/>
        </w:rPr>
        <w:t>The Role of Language in Conceptual Framing</w:t>
      </w:r>
      <w:bookmarkEnd w:id="4"/>
    </w:p>
    <w:p w14:paraId="059718C2" w14:textId="02363B05" w:rsidR="00E16D7E" w:rsidRPr="001707ED" w:rsidRDefault="00E16D7E" w:rsidP="003E72B8">
      <w:pPr>
        <w:spacing w:line="360" w:lineRule="auto"/>
        <w:rPr>
          <w:rFonts w:ascii="Arial" w:hAnsi="Arial" w:cs="Arial"/>
          <w:sz w:val="22"/>
          <w:szCs w:val="22"/>
        </w:rPr>
      </w:pPr>
      <w:r w:rsidRPr="00E16D7E">
        <w:rPr>
          <w:rFonts w:ascii="Arial" w:hAnsi="Arial" w:cs="Arial"/>
          <w:sz w:val="22"/>
          <w:szCs w:val="22"/>
        </w:rPr>
        <w:t xml:space="preserve">The use of biomedical terminology, including terms such as “disorder” and “impairment,” influences how ADHD is conceptualised. Some scholars contend that this language </w:t>
      </w:r>
      <w:r w:rsidR="003E72B8" w:rsidRPr="001707ED">
        <w:rPr>
          <w:rFonts w:ascii="Arial" w:hAnsi="Arial" w:cs="Arial"/>
          <w:sz w:val="22"/>
          <w:szCs w:val="22"/>
        </w:rPr>
        <w:t>pathologizes</w:t>
      </w:r>
      <w:r w:rsidRPr="00E16D7E">
        <w:rPr>
          <w:rFonts w:ascii="Arial" w:hAnsi="Arial" w:cs="Arial"/>
          <w:sz w:val="22"/>
          <w:szCs w:val="22"/>
        </w:rPr>
        <w:t xml:space="preserve"> behaviours that fall within the spectrum of normal human neurodiversity (Kapp, 2020). In contrast, others maintain that clinical terminology is essential for securing access to support, treatment, and legal protections (Coghill, 2021). Consequently, the ICD-11 classification both facilitates clinical recognition and reinforces a medical model that is challenged by some neurodiversity advocates.</w:t>
      </w:r>
    </w:p>
    <w:p w14:paraId="2F62B1AA" w14:textId="77777777" w:rsidR="00E16D7E" w:rsidRPr="001707ED" w:rsidRDefault="00E16D7E" w:rsidP="001707ED">
      <w:pPr>
        <w:pStyle w:val="Heading1"/>
        <w:rPr>
          <w:rFonts w:ascii="Arial" w:hAnsi="Arial" w:cs="Arial"/>
          <w:b/>
          <w:bCs/>
          <w:color w:val="auto"/>
          <w:sz w:val="22"/>
          <w:szCs w:val="22"/>
        </w:rPr>
      </w:pPr>
      <w:bookmarkStart w:id="5" w:name="_Toc227188266"/>
      <w:r w:rsidRPr="001707ED">
        <w:rPr>
          <w:rFonts w:ascii="Arial" w:hAnsi="Arial" w:cs="Arial"/>
          <w:b/>
          <w:bCs/>
          <w:color w:val="auto"/>
          <w:sz w:val="22"/>
          <w:szCs w:val="22"/>
        </w:rPr>
        <w:lastRenderedPageBreak/>
        <w:t>Treatment and Rehabilitation of ADHD</w:t>
      </w:r>
      <w:bookmarkEnd w:id="5"/>
    </w:p>
    <w:p w14:paraId="7846835F" w14:textId="77777777" w:rsidR="00E16D7E" w:rsidRPr="001707ED" w:rsidRDefault="00E16D7E" w:rsidP="001707ED">
      <w:pPr>
        <w:pStyle w:val="Heading2"/>
        <w:rPr>
          <w:rFonts w:ascii="Arial" w:hAnsi="Arial" w:cs="Arial"/>
          <w:b/>
          <w:bCs/>
          <w:color w:val="auto"/>
          <w:sz w:val="22"/>
          <w:szCs w:val="22"/>
        </w:rPr>
      </w:pPr>
      <w:bookmarkStart w:id="6" w:name="_Toc227188267"/>
      <w:r w:rsidRPr="001707ED">
        <w:rPr>
          <w:rFonts w:ascii="Arial" w:hAnsi="Arial" w:cs="Arial"/>
          <w:b/>
          <w:bCs/>
          <w:color w:val="auto"/>
          <w:sz w:val="22"/>
          <w:szCs w:val="22"/>
        </w:rPr>
        <w:t>Overview of Standard Treatment Approaches</w:t>
      </w:r>
      <w:bookmarkEnd w:id="6"/>
    </w:p>
    <w:p w14:paraId="442AD1B1"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 xml:space="preserve">Treatment for ADHD typically consists of </w:t>
      </w:r>
      <w:r w:rsidRPr="00E16D7E">
        <w:rPr>
          <w:rFonts w:ascii="Arial" w:hAnsi="Arial" w:cs="Arial"/>
          <w:b/>
          <w:bCs/>
          <w:sz w:val="22"/>
          <w:szCs w:val="22"/>
        </w:rPr>
        <w:t>pharmacological</w:t>
      </w:r>
      <w:r w:rsidRPr="00E16D7E">
        <w:rPr>
          <w:rFonts w:ascii="Arial" w:hAnsi="Arial" w:cs="Arial"/>
          <w:sz w:val="22"/>
          <w:szCs w:val="22"/>
        </w:rPr>
        <w:t xml:space="preserve">, </w:t>
      </w:r>
      <w:r w:rsidRPr="00E16D7E">
        <w:rPr>
          <w:rFonts w:ascii="Arial" w:hAnsi="Arial" w:cs="Arial"/>
          <w:b/>
          <w:bCs/>
          <w:sz w:val="22"/>
          <w:szCs w:val="22"/>
        </w:rPr>
        <w:t>psychological</w:t>
      </w:r>
      <w:r w:rsidRPr="00E16D7E">
        <w:rPr>
          <w:rFonts w:ascii="Arial" w:hAnsi="Arial" w:cs="Arial"/>
          <w:sz w:val="22"/>
          <w:szCs w:val="22"/>
        </w:rPr>
        <w:t xml:space="preserve">, and </w:t>
      </w:r>
      <w:r w:rsidRPr="00E16D7E">
        <w:rPr>
          <w:rFonts w:ascii="Arial" w:hAnsi="Arial" w:cs="Arial"/>
          <w:b/>
          <w:bCs/>
          <w:sz w:val="22"/>
          <w:szCs w:val="22"/>
        </w:rPr>
        <w:t>educational</w:t>
      </w:r>
      <w:r w:rsidRPr="00E16D7E">
        <w:rPr>
          <w:rFonts w:ascii="Arial" w:hAnsi="Arial" w:cs="Arial"/>
          <w:sz w:val="22"/>
          <w:szCs w:val="22"/>
        </w:rPr>
        <w:t xml:space="preserve"> interventions. Although ICD-11 does not recommend specific treatments, it supports a biopsychosocial model that aligns with established clinical guidelines.</w:t>
      </w:r>
    </w:p>
    <w:p w14:paraId="39BB48A5" w14:textId="77777777" w:rsidR="00E16D7E" w:rsidRPr="001707ED" w:rsidRDefault="00E16D7E" w:rsidP="001707ED">
      <w:pPr>
        <w:pStyle w:val="Heading1"/>
        <w:rPr>
          <w:rFonts w:ascii="Arial" w:hAnsi="Arial" w:cs="Arial"/>
          <w:b/>
          <w:bCs/>
          <w:color w:val="auto"/>
          <w:sz w:val="22"/>
          <w:szCs w:val="22"/>
        </w:rPr>
      </w:pPr>
      <w:bookmarkStart w:id="7" w:name="_Toc227188268"/>
      <w:r w:rsidRPr="001707ED">
        <w:rPr>
          <w:rFonts w:ascii="Arial" w:hAnsi="Arial" w:cs="Arial"/>
          <w:b/>
          <w:bCs/>
          <w:color w:val="auto"/>
          <w:sz w:val="22"/>
          <w:szCs w:val="22"/>
        </w:rPr>
        <w:t>Pharmacological Interventions for ADHD</w:t>
      </w:r>
      <w:bookmarkEnd w:id="7"/>
    </w:p>
    <w:p w14:paraId="60DEB782" w14:textId="7E5DEDEA"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 xml:space="preserve">Stimulant medications, such as methylphenidate and amphetamine derivatives, are regarded as first-line pharmacological treatments and are strongly supported by empirical evidence for reducing core symptoms (Cortese, 2020). Non-stimulant medications, including atomoxetine and guanfacine, are recommended when stimulants are ineffective or contraindicated. Evidence indicates that medication can significantly improve attention, reduce impulsivity, and enhance </w:t>
      </w:r>
      <w:r w:rsidR="003E72B8" w:rsidRPr="001707ED">
        <w:rPr>
          <w:rFonts w:ascii="Arial" w:hAnsi="Arial" w:cs="Arial"/>
          <w:sz w:val="22"/>
          <w:szCs w:val="22"/>
        </w:rPr>
        <w:t>behavioural</w:t>
      </w:r>
      <w:r w:rsidRPr="00E16D7E">
        <w:rPr>
          <w:rFonts w:ascii="Arial" w:hAnsi="Arial" w:cs="Arial"/>
          <w:sz w:val="22"/>
          <w:szCs w:val="22"/>
        </w:rPr>
        <w:t xml:space="preserve"> regulation, particularly in </w:t>
      </w:r>
      <w:r w:rsidR="003E72B8" w:rsidRPr="001707ED">
        <w:rPr>
          <w:rFonts w:ascii="Arial" w:hAnsi="Arial" w:cs="Arial"/>
          <w:sz w:val="22"/>
          <w:szCs w:val="22"/>
        </w:rPr>
        <w:t>paediatric</w:t>
      </w:r>
      <w:r w:rsidRPr="00E16D7E">
        <w:rPr>
          <w:rFonts w:ascii="Arial" w:hAnsi="Arial" w:cs="Arial"/>
          <w:sz w:val="22"/>
          <w:szCs w:val="22"/>
        </w:rPr>
        <w:t xml:space="preserve"> populations. However, concerns persist regarding long-term efficacy, adverse effects, and the potential for over-prescription, especially in contexts where diagnostic criteria are inconsistently </w:t>
      </w:r>
      <w:r w:rsidRPr="00E16D7E">
        <w:rPr>
          <w:rFonts w:ascii="Arial" w:hAnsi="Arial" w:cs="Arial"/>
          <w:b/>
          <w:bCs/>
          <w:sz w:val="22"/>
          <w:szCs w:val="22"/>
        </w:rPr>
        <w:t xml:space="preserve">applied </w:t>
      </w:r>
      <w:r w:rsidRPr="00E16D7E">
        <w:rPr>
          <w:rFonts w:ascii="Arial" w:hAnsi="Arial" w:cs="Arial"/>
          <w:sz w:val="22"/>
          <w:szCs w:val="22"/>
        </w:rPr>
        <w:t>(Sibley et al., 2022).</w:t>
      </w:r>
    </w:p>
    <w:p w14:paraId="08537884" w14:textId="77777777" w:rsidR="00E16D7E" w:rsidRPr="001707ED" w:rsidRDefault="00E16D7E" w:rsidP="001707ED">
      <w:pPr>
        <w:pStyle w:val="Heading1"/>
        <w:rPr>
          <w:rFonts w:ascii="Arial" w:hAnsi="Arial" w:cs="Arial"/>
          <w:b/>
          <w:bCs/>
          <w:color w:val="auto"/>
          <w:sz w:val="22"/>
          <w:szCs w:val="22"/>
        </w:rPr>
      </w:pPr>
      <w:bookmarkStart w:id="8" w:name="_Toc227188269"/>
      <w:r w:rsidRPr="001707ED">
        <w:rPr>
          <w:rFonts w:ascii="Arial" w:hAnsi="Arial" w:cs="Arial"/>
          <w:b/>
          <w:bCs/>
          <w:color w:val="auto"/>
          <w:sz w:val="22"/>
          <w:szCs w:val="22"/>
        </w:rPr>
        <w:t>Psychological and Behavioural Interventions</w:t>
      </w:r>
      <w:bookmarkEnd w:id="8"/>
    </w:p>
    <w:p w14:paraId="05430293"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Behavioural therapy, cognitive-behavioural therapy (CBT), parent training, and psychoeducation constitute core elements of treatment. In adults, CBT focused on organisation, time management, and emotional regulation demonstrates moderate effectiveness (Knouse &amp; Safren, 2023). For children, parent training and teacher-mediated behavioural interventions are recommended as first-line treatments prior to medication (NICE, 2018), although access to these interventions varies considerably across regions.</w:t>
      </w:r>
    </w:p>
    <w:p w14:paraId="76C671BA" w14:textId="77777777" w:rsidR="00E16D7E" w:rsidRPr="001707ED" w:rsidRDefault="00E16D7E" w:rsidP="001707ED">
      <w:pPr>
        <w:pStyle w:val="Heading1"/>
        <w:rPr>
          <w:rFonts w:ascii="Arial" w:hAnsi="Arial" w:cs="Arial"/>
          <w:b/>
          <w:bCs/>
          <w:color w:val="auto"/>
          <w:sz w:val="22"/>
          <w:szCs w:val="22"/>
        </w:rPr>
      </w:pPr>
      <w:bookmarkStart w:id="9" w:name="_Toc227188270"/>
      <w:r w:rsidRPr="001707ED">
        <w:rPr>
          <w:rFonts w:ascii="Arial" w:hAnsi="Arial" w:cs="Arial"/>
          <w:b/>
          <w:bCs/>
          <w:color w:val="auto"/>
          <w:sz w:val="22"/>
          <w:szCs w:val="22"/>
        </w:rPr>
        <w:t>Educational and Social Interventions</w:t>
      </w:r>
      <w:bookmarkEnd w:id="9"/>
    </w:p>
    <w:p w14:paraId="3605F2D8"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Given that ADHD frequently impairs academic performance and social functioning, interventions within educational settings, including classroom accommodations, structured routines, and specialised learning plans, are essential. Evidence indicates that when combined with behavioural therapy, educational interventions substantially improve long-term outcomes (DuPaul &amp; Langberg, 2020).</w:t>
      </w:r>
    </w:p>
    <w:p w14:paraId="76037C08" w14:textId="77777777" w:rsidR="00E16D7E" w:rsidRPr="001707ED" w:rsidRDefault="00E16D7E" w:rsidP="001707ED">
      <w:pPr>
        <w:pStyle w:val="Heading1"/>
        <w:rPr>
          <w:rFonts w:ascii="Arial" w:hAnsi="Arial" w:cs="Arial"/>
          <w:b/>
          <w:bCs/>
          <w:color w:val="auto"/>
          <w:sz w:val="22"/>
          <w:szCs w:val="22"/>
        </w:rPr>
      </w:pPr>
      <w:bookmarkStart w:id="10" w:name="_Toc227188271"/>
      <w:r w:rsidRPr="001707ED">
        <w:rPr>
          <w:rFonts w:ascii="Arial" w:hAnsi="Arial" w:cs="Arial"/>
          <w:b/>
          <w:bCs/>
          <w:color w:val="auto"/>
          <w:sz w:val="22"/>
          <w:szCs w:val="22"/>
        </w:rPr>
        <w:t>Rehabilitation Measures in ICD-11 and Clinical Practice</w:t>
      </w:r>
      <w:bookmarkEnd w:id="10"/>
    </w:p>
    <w:p w14:paraId="7EBA2D1F"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t>Although ICD-11 does not present rehabilitation measures in a structured format comparable to those for physical conditions, its biopsychosocial framework facilitates a comprehensive rehabilitation approach. This approach encompasses educational support, social skills development, occupational interventions, and long-term behavioural management.</w:t>
      </w:r>
    </w:p>
    <w:p w14:paraId="476205F5" w14:textId="77777777" w:rsidR="00E16D7E" w:rsidRPr="00E16D7E" w:rsidRDefault="00E16D7E" w:rsidP="003E72B8">
      <w:pPr>
        <w:spacing w:line="360" w:lineRule="auto"/>
        <w:rPr>
          <w:rFonts w:ascii="Arial" w:hAnsi="Arial" w:cs="Arial"/>
          <w:sz w:val="22"/>
          <w:szCs w:val="22"/>
        </w:rPr>
      </w:pPr>
      <w:r w:rsidRPr="00E16D7E">
        <w:rPr>
          <w:rFonts w:ascii="Arial" w:hAnsi="Arial" w:cs="Arial"/>
          <w:sz w:val="22"/>
          <w:szCs w:val="22"/>
        </w:rPr>
        <w:lastRenderedPageBreak/>
        <w:t>Rehabilitation aims to enhance functional skills, self-regulation, executive-function competencies, and adaptive behaviour. For adults, interventions may include coaching, vocational support, and workplace adaptations (Bramham et al., 2021). However, despite its recognized importance, rehabilitation services remain inconsistent, under-resourced, and frequently inaccessible, particularly for adults and marginalised populations.</w:t>
      </w:r>
    </w:p>
    <w:p w14:paraId="64F314C0" w14:textId="77777777" w:rsidR="00950825" w:rsidRPr="001707ED" w:rsidRDefault="00950825" w:rsidP="001707ED">
      <w:pPr>
        <w:pStyle w:val="Heading1"/>
        <w:rPr>
          <w:rFonts w:ascii="Arial" w:hAnsi="Arial" w:cs="Arial"/>
          <w:color w:val="auto"/>
          <w:sz w:val="22"/>
          <w:szCs w:val="22"/>
        </w:rPr>
      </w:pPr>
      <w:bookmarkStart w:id="11" w:name="_Toc227188272"/>
      <w:r w:rsidRPr="001707ED">
        <w:rPr>
          <w:rFonts w:ascii="Arial" w:hAnsi="Arial" w:cs="Arial"/>
          <w:color w:val="auto"/>
          <w:sz w:val="22"/>
          <w:szCs w:val="22"/>
        </w:rPr>
        <w:t>Evaluation of the Effectiveness and Limitations of Treatment Approaches</w:t>
      </w:r>
      <w:bookmarkEnd w:id="11"/>
    </w:p>
    <w:p w14:paraId="5C6FE4A3"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Evidence indicates that multimodal treatment, which combines medication and behavioral interventions, is effective (MTA Cooperative Group, 1999; Cortese, 2020). However, several limitations persist:</w:t>
      </w:r>
    </w:p>
    <w:p w14:paraId="4BA327B7" w14:textId="77777777" w:rsidR="00950825" w:rsidRPr="00950825" w:rsidRDefault="00950825" w:rsidP="003E72B8">
      <w:pPr>
        <w:numPr>
          <w:ilvl w:val="0"/>
          <w:numId w:val="2"/>
        </w:numPr>
        <w:spacing w:line="360" w:lineRule="auto"/>
        <w:rPr>
          <w:rFonts w:ascii="Arial" w:hAnsi="Arial" w:cs="Arial"/>
          <w:sz w:val="22"/>
          <w:szCs w:val="22"/>
        </w:rPr>
      </w:pPr>
      <w:r w:rsidRPr="00950825">
        <w:rPr>
          <w:rFonts w:ascii="Arial" w:hAnsi="Arial" w:cs="Arial"/>
          <w:b/>
          <w:bCs/>
          <w:sz w:val="22"/>
          <w:szCs w:val="22"/>
        </w:rPr>
        <w:t>Medication as a sole intervention does not address long-term functional outcomes</w:t>
      </w:r>
      <w:r w:rsidRPr="00950825">
        <w:rPr>
          <w:rFonts w:ascii="Arial" w:hAnsi="Arial" w:cs="Arial"/>
          <w:sz w:val="22"/>
          <w:szCs w:val="22"/>
        </w:rPr>
        <w:t>, including academic achievement, and social behavioral</w:t>
      </w:r>
      <w:r w:rsidRPr="00950825">
        <w:rPr>
          <w:rFonts w:ascii="Arial" w:hAnsi="Arial" w:cs="Arial"/>
          <w:b/>
          <w:bCs/>
          <w:sz w:val="22"/>
          <w:szCs w:val="22"/>
        </w:rPr>
        <w:t xml:space="preserve"> interventions necessitate ongoing support, which is frequently constrained by financial and systemic limitations </w:t>
      </w:r>
      <w:r w:rsidRPr="00950825">
        <w:rPr>
          <w:rFonts w:ascii="Arial" w:hAnsi="Arial" w:cs="Arial"/>
          <w:sz w:val="22"/>
          <w:szCs w:val="22"/>
        </w:rPr>
        <w:t>temic constraints.</w:t>
      </w:r>
    </w:p>
    <w:p w14:paraId="4D3783E7" w14:textId="77777777" w:rsidR="00950825" w:rsidRPr="00950825" w:rsidRDefault="00950825" w:rsidP="003E72B8">
      <w:pPr>
        <w:numPr>
          <w:ilvl w:val="0"/>
          <w:numId w:val="2"/>
        </w:numPr>
        <w:spacing w:line="360" w:lineRule="auto"/>
        <w:rPr>
          <w:rFonts w:ascii="Arial" w:hAnsi="Arial" w:cs="Arial"/>
          <w:sz w:val="22"/>
          <w:szCs w:val="22"/>
        </w:rPr>
      </w:pPr>
      <w:r w:rsidRPr="00950825">
        <w:rPr>
          <w:rFonts w:ascii="Arial" w:hAnsi="Arial" w:cs="Arial"/>
          <w:b/>
          <w:bCs/>
          <w:sz w:val="22"/>
          <w:szCs w:val="22"/>
        </w:rPr>
        <w:t>Treatment effectiveness varies</w:t>
      </w:r>
      <w:r w:rsidRPr="00950825">
        <w:rPr>
          <w:rFonts w:ascii="Arial" w:hAnsi="Arial" w:cs="Arial"/>
          <w:sz w:val="22"/>
          <w:szCs w:val="22"/>
        </w:rPr>
        <w:t xml:space="preserve"> among individuals; some respond optimally to behavioral strategies, whereas others require pharmacological intervention. Longitudinal</w:t>
      </w:r>
      <w:r w:rsidRPr="00950825">
        <w:rPr>
          <w:rFonts w:ascii="Arial" w:hAnsi="Arial" w:cs="Arial"/>
          <w:b/>
          <w:bCs/>
          <w:sz w:val="22"/>
          <w:szCs w:val="22"/>
        </w:rPr>
        <w:t xml:space="preserve"> studies report mixed outcomes</w:t>
      </w:r>
      <w:r w:rsidRPr="00950825">
        <w:rPr>
          <w:rFonts w:ascii="Arial" w:hAnsi="Arial" w:cs="Arial"/>
          <w:sz w:val="22"/>
          <w:szCs w:val="22"/>
        </w:rPr>
        <w:t>, indicating that early improvements do not consistently predict adult functioning (Swanson et al., 2017).017).</w:t>
      </w:r>
    </w:p>
    <w:p w14:paraId="65CC0863" w14:textId="77777777" w:rsidR="00950825" w:rsidRPr="00950825" w:rsidRDefault="00950825" w:rsidP="003E72B8">
      <w:pPr>
        <w:numPr>
          <w:ilvl w:val="0"/>
          <w:numId w:val="2"/>
        </w:numPr>
        <w:spacing w:line="360" w:lineRule="auto"/>
        <w:rPr>
          <w:rFonts w:ascii="Arial" w:hAnsi="Arial" w:cs="Arial"/>
          <w:sz w:val="22"/>
          <w:szCs w:val="22"/>
        </w:rPr>
      </w:pPr>
      <w:r w:rsidRPr="00950825">
        <w:rPr>
          <w:rFonts w:ascii="Arial" w:hAnsi="Arial" w:cs="Arial"/>
          <w:b/>
          <w:bCs/>
          <w:sz w:val="22"/>
          <w:szCs w:val="22"/>
        </w:rPr>
        <w:t>Inequities in access to treatment persist</w:t>
      </w:r>
      <w:r w:rsidRPr="00950825">
        <w:rPr>
          <w:rFonts w:ascii="Arial" w:hAnsi="Arial" w:cs="Arial"/>
          <w:sz w:val="22"/>
          <w:szCs w:val="22"/>
        </w:rPr>
        <w:t>, with socio-economic status serving as a strong predictor of treatment availability.</w:t>
      </w:r>
    </w:p>
    <w:p w14:paraId="5F6AA524"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In summary, although treatment can be effective, many individuals with ADHD do not receive comprehensive multimodal support because of systemic and resource constraints.</w:t>
      </w:r>
    </w:p>
    <w:p w14:paraId="67200B76" w14:textId="77777777" w:rsidR="00950825" w:rsidRPr="001707ED" w:rsidRDefault="00950825" w:rsidP="001707ED">
      <w:pPr>
        <w:pStyle w:val="Heading1"/>
        <w:rPr>
          <w:rFonts w:ascii="Arial" w:hAnsi="Arial" w:cs="Arial"/>
          <w:b/>
          <w:bCs/>
          <w:color w:val="auto"/>
          <w:sz w:val="22"/>
          <w:szCs w:val="22"/>
        </w:rPr>
      </w:pPr>
      <w:bookmarkStart w:id="12" w:name="_Toc227188273"/>
      <w:r w:rsidRPr="001707ED">
        <w:rPr>
          <w:rFonts w:ascii="Arial" w:hAnsi="Arial" w:cs="Arial"/>
          <w:b/>
          <w:bCs/>
          <w:color w:val="auto"/>
          <w:sz w:val="22"/>
          <w:szCs w:val="22"/>
        </w:rPr>
        <w:t>Contemporary Debates and Emerging Issues</w:t>
      </w:r>
      <w:bookmarkEnd w:id="12"/>
    </w:p>
    <w:p w14:paraId="53648D7A" w14:textId="77777777" w:rsidR="00950825" w:rsidRPr="001707ED" w:rsidRDefault="00950825" w:rsidP="001707ED">
      <w:pPr>
        <w:pStyle w:val="Heading2"/>
        <w:rPr>
          <w:rFonts w:ascii="Arial" w:hAnsi="Arial" w:cs="Arial"/>
          <w:b/>
          <w:bCs/>
          <w:color w:val="auto"/>
          <w:sz w:val="22"/>
          <w:szCs w:val="22"/>
        </w:rPr>
      </w:pPr>
      <w:bookmarkStart w:id="13" w:name="_Toc227188274"/>
      <w:r w:rsidRPr="001707ED">
        <w:rPr>
          <w:rFonts w:ascii="Arial" w:hAnsi="Arial" w:cs="Arial"/>
          <w:b/>
          <w:bCs/>
          <w:color w:val="auto"/>
          <w:sz w:val="22"/>
          <w:szCs w:val="22"/>
        </w:rPr>
        <w:t>Debates Regarding Classification and Medicalisation</w:t>
      </w:r>
      <w:bookmarkEnd w:id="13"/>
    </w:p>
    <w:p w14:paraId="53945277"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A central debate focuses on whether ADHD should be classified as a “disorder.” Critics contend that behavioural differences, such as inattention or hyperactivity, represent amplified typical traits rather than pathological conditions (Timimi, 2020). According to this view, ADHD arises from societal expectations, educational contexts, and the expansion of medical categories. In contrast, proponents argue that empirical research identifies significant neurobiological differences in individuals with ADHD, including changes in brain structure and function (Faraone &amp; Biederman, 2022). These discussions highlight broader tensions between medical and social models of mental health.</w:t>
      </w:r>
    </w:p>
    <w:p w14:paraId="7C2C9491" w14:textId="77777777" w:rsidR="00950825" w:rsidRPr="001707ED" w:rsidRDefault="00950825" w:rsidP="001707ED">
      <w:pPr>
        <w:pStyle w:val="Heading1"/>
        <w:rPr>
          <w:rFonts w:ascii="Arial" w:hAnsi="Arial" w:cs="Arial"/>
          <w:b/>
          <w:bCs/>
          <w:color w:val="auto"/>
          <w:sz w:val="22"/>
          <w:szCs w:val="22"/>
        </w:rPr>
      </w:pPr>
      <w:bookmarkStart w:id="14" w:name="_Toc227188275"/>
      <w:r w:rsidRPr="001707ED">
        <w:rPr>
          <w:rFonts w:ascii="Arial" w:hAnsi="Arial" w:cs="Arial"/>
          <w:b/>
          <w:bCs/>
          <w:color w:val="auto"/>
          <w:sz w:val="22"/>
          <w:szCs w:val="22"/>
        </w:rPr>
        <w:lastRenderedPageBreak/>
        <w:t>The Role of Neurodivergence in ADHD Discourse</w:t>
      </w:r>
      <w:bookmarkEnd w:id="14"/>
    </w:p>
    <w:p w14:paraId="554C69BF"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 xml:space="preserve">The </w:t>
      </w:r>
      <w:r w:rsidRPr="00950825">
        <w:rPr>
          <w:rFonts w:ascii="Arial" w:hAnsi="Arial" w:cs="Arial"/>
          <w:b/>
          <w:bCs/>
          <w:sz w:val="22"/>
          <w:szCs w:val="22"/>
        </w:rPr>
        <w:t>neurodiversity movement</w:t>
      </w:r>
      <w:r w:rsidRPr="00950825">
        <w:rPr>
          <w:rFonts w:ascii="Arial" w:hAnsi="Arial" w:cs="Arial"/>
          <w:sz w:val="22"/>
          <w:szCs w:val="22"/>
        </w:rPr>
        <w:t xml:space="preserve"> challenges deficit-oriented models of ADHD, instead framing it as a natural variation in cognitive functioning. Advocates assert that pathologising ADHD can undermine self-esteem and overlook strengths such as creativity, hyperfocus, and divergent thinking (Kapp, 2020). Within this framework, environmental adaptation is considered as important as clinical intervention, prompting questions about whether ICD-11 terminology sufficiently represents neurodivergent identity. </w:t>
      </w:r>
    </w:p>
    <w:p w14:paraId="6F81B3F4" w14:textId="0B1A50C5"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Nevertheless, tensions persist within this discourse. Some individuals embrace a neurodivergent identity, whereas others highlight the disabling aspects of ADHD symptoms and advocate for the value of clinical diagnosis in securing accommodations and treatment. These internal debates complicate clinical practice and policy development, necessitating nuanced approaches that recognise the diversity of lived experiences.</w:t>
      </w:r>
    </w:p>
    <w:p w14:paraId="72E68355" w14:textId="77777777" w:rsidR="00950825" w:rsidRPr="001707ED" w:rsidRDefault="00950825" w:rsidP="001707ED">
      <w:pPr>
        <w:pStyle w:val="Heading1"/>
        <w:rPr>
          <w:rFonts w:ascii="Arial" w:hAnsi="Arial" w:cs="Arial"/>
          <w:b/>
          <w:bCs/>
          <w:color w:val="auto"/>
          <w:sz w:val="22"/>
          <w:szCs w:val="22"/>
        </w:rPr>
      </w:pPr>
      <w:bookmarkStart w:id="15" w:name="_Toc227188276"/>
      <w:r w:rsidRPr="001707ED">
        <w:rPr>
          <w:rFonts w:ascii="Arial" w:hAnsi="Arial" w:cs="Arial"/>
          <w:b/>
          <w:bCs/>
          <w:color w:val="auto"/>
          <w:sz w:val="22"/>
          <w:szCs w:val="22"/>
        </w:rPr>
        <w:t>Reclassification Challenges and Adult ADHD Diagnosis</w:t>
      </w:r>
      <w:bookmarkEnd w:id="15"/>
    </w:p>
    <w:p w14:paraId="104951B0"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ICD-11 eliminated the childhood-only assumption historically linked to ADHD, aligning with contemporary evidence that the condition persists into adulthood. However, ongoing debates concern the legitimacy of late-life diagnosis and the existence of adult-onset ADHD. Some researchers contend that adult-onset cases may represent previously masked symptoms, misdiagnosis, or alternative conditions such as mood disorders or trauma (Cooper et al., 2021). These debates have significant implications for service provision, particularly given the substantial increase in adult diagnosis rates in recent years.</w:t>
      </w:r>
    </w:p>
    <w:p w14:paraId="67CF7F83" w14:textId="77777777" w:rsidR="00950825" w:rsidRPr="001707ED" w:rsidRDefault="00950825" w:rsidP="001707ED">
      <w:pPr>
        <w:pStyle w:val="Heading1"/>
        <w:rPr>
          <w:rFonts w:ascii="Arial" w:hAnsi="Arial" w:cs="Arial"/>
          <w:b/>
          <w:bCs/>
          <w:color w:val="auto"/>
          <w:sz w:val="22"/>
          <w:szCs w:val="22"/>
        </w:rPr>
      </w:pPr>
      <w:bookmarkStart w:id="16" w:name="_Toc227188277"/>
      <w:r w:rsidRPr="001707ED">
        <w:rPr>
          <w:rFonts w:ascii="Arial" w:hAnsi="Arial" w:cs="Arial"/>
          <w:b/>
          <w:bCs/>
          <w:color w:val="auto"/>
          <w:sz w:val="22"/>
          <w:szCs w:val="22"/>
        </w:rPr>
        <w:t>Cultural, Gender, and Socio-Economic Influences on Diagnosis</w:t>
      </w:r>
      <w:bookmarkEnd w:id="16"/>
    </w:p>
    <w:p w14:paraId="1E5BB5BC"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Recent research highlights persistent disparities in ADHD diagnosis among girls, ethnic minorities, and individuals from lower socio-economic backgrounds. Girls often present with inattentive symptoms that are less disruptive and, as a result, are less likely to receive clinical attention (Hinshaw et al., 2020). Although ICD-11 allows for flexible interpretation of symptom manifestations, the absence of context-sensitive guidance may perpetuate these disparities.</w:t>
      </w:r>
    </w:p>
    <w:p w14:paraId="3F57AB6A" w14:textId="77777777"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Diagnostic rates for ADHD vary considerably across countries. Some scholars suggest that higher rates in certain regions reflect medicalization, whereas others attribute lower rates elsewhere to under-recognition (Visser et al., 2019). These debates challenge the universality of ICD-11 criteria and underscore the necessity for culturally informed diagnostic guidelines.</w:t>
      </w:r>
    </w:p>
    <w:p w14:paraId="132212B1" w14:textId="77777777" w:rsidR="00950825" w:rsidRPr="001707ED" w:rsidRDefault="00950825" w:rsidP="003E72B8">
      <w:pPr>
        <w:spacing w:line="360" w:lineRule="auto"/>
        <w:rPr>
          <w:rFonts w:ascii="Arial" w:hAnsi="Arial" w:cs="Arial"/>
          <w:sz w:val="22"/>
          <w:szCs w:val="22"/>
        </w:rPr>
      </w:pPr>
    </w:p>
    <w:p w14:paraId="67F8834C" w14:textId="77777777" w:rsidR="00950825" w:rsidRPr="001707ED" w:rsidRDefault="00950825" w:rsidP="003E72B8">
      <w:pPr>
        <w:spacing w:line="360" w:lineRule="auto"/>
        <w:rPr>
          <w:rFonts w:ascii="Arial" w:hAnsi="Arial" w:cs="Arial"/>
          <w:sz w:val="22"/>
          <w:szCs w:val="22"/>
        </w:rPr>
      </w:pPr>
    </w:p>
    <w:p w14:paraId="65B5DB97" w14:textId="77777777" w:rsidR="00950825" w:rsidRPr="001707ED" w:rsidRDefault="00950825" w:rsidP="003E72B8">
      <w:pPr>
        <w:spacing w:line="360" w:lineRule="auto"/>
        <w:rPr>
          <w:rFonts w:ascii="Arial" w:hAnsi="Arial" w:cs="Arial"/>
          <w:sz w:val="22"/>
          <w:szCs w:val="22"/>
        </w:rPr>
      </w:pPr>
    </w:p>
    <w:p w14:paraId="436A2C1D" w14:textId="77777777" w:rsidR="00950825" w:rsidRPr="00950825" w:rsidRDefault="00950825" w:rsidP="003E72B8">
      <w:pPr>
        <w:spacing w:line="360" w:lineRule="auto"/>
        <w:rPr>
          <w:rFonts w:ascii="Arial" w:hAnsi="Arial" w:cs="Arial"/>
          <w:sz w:val="22"/>
          <w:szCs w:val="22"/>
        </w:rPr>
      </w:pPr>
    </w:p>
    <w:p w14:paraId="24DFB29F" w14:textId="77777777" w:rsidR="00950825" w:rsidRPr="001707ED" w:rsidRDefault="00950825" w:rsidP="001707ED">
      <w:pPr>
        <w:pStyle w:val="Heading1"/>
        <w:rPr>
          <w:rFonts w:ascii="Arial" w:hAnsi="Arial" w:cs="Arial"/>
          <w:b/>
          <w:bCs/>
          <w:color w:val="auto"/>
          <w:sz w:val="22"/>
          <w:szCs w:val="22"/>
        </w:rPr>
      </w:pPr>
      <w:bookmarkStart w:id="17" w:name="_Toc227188278"/>
      <w:r w:rsidRPr="001707ED">
        <w:rPr>
          <w:rFonts w:ascii="Arial" w:hAnsi="Arial" w:cs="Arial"/>
          <w:b/>
          <w:bCs/>
          <w:color w:val="auto"/>
          <w:sz w:val="22"/>
          <w:szCs w:val="22"/>
        </w:rPr>
        <w:t>Implications for Practice and Policy</w:t>
      </w:r>
      <w:bookmarkEnd w:id="17"/>
    </w:p>
    <w:p w14:paraId="34D44AA4"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Ongoing debates shape policy development in multiple domains:</w:t>
      </w:r>
    </w:p>
    <w:p w14:paraId="4F40427E" w14:textId="77777777" w:rsidR="00950825" w:rsidRPr="00950825" w:rsidRDefault="00950825" w:rsidP="003E72B8">
      <w:pPr>
        <w:numPr>
          <w:ilvl w:val="0"/>
          <w:numId w:val="3"/>
        </w:numPr>
        <w:spacing w:line="360" w:lineRule="auto"/>
        <w:rPr>
          <w:rFonts w:ascii="Arial" w:hAnsi="Arial" w:cs="Arial"/>
          <w:sz w:val="22"/>
          <w:szCs w:val="22"/>
        </w:rPr>
      </w:pPr>
      <w:r w:rsidRPr="00950825">
        <w:rPr>
          <w:rFonts w:ascii="Arial" w:hAnsi="Arial" w:cs="Arial"/>
          <w:b/>
          <w:bCs/>
          <w:sz w:val="22"/>
          <w:szCs w:val="22"/>
        </w:rPr>
        <w:t>Educational policy</w:t>
      </w:r>
      <w:r w:rsidRPr="00950825">
        <w:rPr>
          <w:rFonts w:ascii="Arial" w:hAnsi="Arial" w:cs="Arial"/>
          <w:sz w:val="22"/>
          <w:szCs w:val="22"/>
        </w:rPr>
        <w:t xml:space="preserve"> increasingly acknowledges ADHD as a condition warranting reasonable accommodations.</w:t>
      </w:r>
    </w:p>
    <w:p w14:paraId="6F43B3D9" w14:textId="77777777" w:rsidR="00950825" w:rsidRPr="00950825" w:rsidRDefault="00950825" w:rsidP="003E72B8">
      <w:pPr>
        <w:numPr>
          <w:ilvl w:val="0"/>
          <w:numId w:val="3"/>
        </w:numPr>
        <w:spacing w:line="360" w:lineRule="auto"/>
        <w:rPr>
          <w:rFonts w:ascii="Arial" w:hAnsi="Arial" w:cs="Arial"/>
          <w:sz w:val="22"/>
          <w:szCs w:val="22"/>
        </w:rPr>
      </w:pPr>
      <w:r w:rsidRPr="00950825">
        <w:rPr>
          <w:rFonts w:ascii="Arial" w:hAnsi="Arial" w:cs="Arial"/>
          <w:b/>
          <w:bCs/>
          <w:sz w:val="22"/>
          <w:szCs w:val="22"/>
        </w:rPr>
        <w:t>Healthcare policy</w:t>
      </w:r>
      <w:r w:rsidRPr="00950825">
        <w:rPr>
          <w:rFonts w:ascii="Arial" w:hAnsi="Arial" w:cs="Arial"/>
          <w:sz w:val="22"/>
          <w:szCs w:val="22"/>
        </w:rPr>
        <w:t xml:space="preserve"> must integrate neurodiversity-informed perspectives with established clinical models.</w:t>
      </w:r>
    </w:p>
    <w:p w14:paraId="13578CB6" w14:textId="77777777" w:rsidR="00950825" w:rsidRPr="00950825" w:rsidRDefault="00950825" w:rsidP="003E72B8">
      <w:pPr>
        <w:numPr>
          <w:ilvl w:val="0"/>
          <w:numId w:val="3"/>
        </w:numPr>
        <w:spacing w:line="360" w:lineRule="auto"/>
        <w:rPr>
          <w:rFonts w:ascii="Arial" w:hAnsi="Arial" w:cs="Arial"/>
          <w:sz w:val="22"/>
          <w:szCs w:val="22"/>
        </w:rPr>
      </w:pPr>
      <w:r w:rsidRPr="00950825">
        <w:rPr>
          <w:rFonts w:ascii="Arial" w:hAnsi="Arial" w:cs="Arial"/>
          <w:b/>
          <w:bCs/>
          <w:sz w:val="22"/>
          <w:szCs w:val="22"/>
        </w:rPr>
        <w:t>Funding allocations may vary according to</w:t>
      </w:r>
      <w:r w:rsidRPr="00950825">
        <w:rPr>
          <w:rFonts w:ascii="Arial" w:hAnsi="Arial" w:cs="Arial"/>
          <w:sz w:val="22"/>
          <w:szCs w:val="22"/>
        </w:rPr>
        <w:t xml:space="preserve"> whether ADHD is conceptualized primarily as a disability or as a form of diversity.</w:t>
      </w:r>
    </w:p>
    <w:p w14:paraId="20BDE5C8" w14:textId="77777777" w:rsidR="00950825" w:rsidRPr="00950825" w:rsidRDefault="00950825" w:rsidP="003E72B8">
      <w:pPr>
        <w:numPr>
          <w:ilvl w:val="0"/>
          <w:numId w:val="3"/>
        </w:numPr>
        <w:spacing w:line="360" w:lineRule="auto"/>
        <w:rPr>
          <w:rFonts w:ascii="Arial" w:hAnsi="Arial" w:cs="Arial"/>
          <w:sz w:val="22"/>
          <w:szCs w:val="22"/>
        </w:rPr>
      </w:pPr>
      <w:r w:rsidRPr="00950825">
        <w:rPr>
          <w:rFonts w:ascii="Arial" w:hAnsi="Arial" w:cs="Arial"/>
          <w:b/>
          <w:bCs/>
          <w:sz w:val="22"/>
          <w:szCs w:val="22"/>
        </w:rPr>
        <w:t>Workplace policy</w:t>
      </w:r>
      <w:r w:rsidRPr="00950825">
        <w:rPr>
          <w:rFonts w:ascii="Arial" w:hAnsi="Arial" w:cs="Arial"/>
          <w:sz w:val="22"/>
          <w:szCs w:val="22"/>
        </w:rPr>
        <w:t xml:space="preserve"> is evolving, with ADHD increasingly recognized in disability legislation and workplace adjustment frameworks.</w:t>
      </w:r>
    </w:p>
    <w:p w14:paraId="3024DDF5" w14:textId="77777777"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Nevertheless, inconsistent interpretations of ADHD across sectors hinder the development of coherent policy and coordinated care pathways.</w:t>
      </w:r>
    </w:p>
    <w:p w14:paraId="7A8E0630" w14:textId="77777777" w:rsidR="00950825" w:rsidRPr="001707ED" w:rsidRDefault="00950825" w:rsidP="001707ED">
      <w:pPr>
        <w:pStyle w:val="Heading1"/>
        <w:rPr>
          <w:rFonts w:ascii="Arial" w:hAnsi="Arial" w:cs="Arial"/>
          <w:b/>
          <w:bCs/>
          <w:color w:val="auto"/>
          <w:sz w:val="22"/>
          <w:szCs w:val="22"/>
        </w:rPr>
      </w:pPr>
      <w:bookmarkStart w:id="18" w:name="_Toc227188279"/>
      <w:r w:rsidRPr="001707ED">
        <w:rPr>
          <w:rFonts w:ascii="Arial" w:hAnsi="Arial" w:cs="Arial"/>
          <w:b/>
          <w:bCs/>
          <w:color w:val="auto"/>
          <w:sz w:val="22"/>
          <w:szCs w:val="22"/>
        </w:rPr>
        <w:t>Recommendations</w:t>
      </w:r>
      <w:bookmarkEnd w:id="18"/>
    </w:p>
    <w:p w14:paraId="359066E9"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The preceding critical analysis identifies several recommendations to improve classification, diagnosis, treatment, and rehabilitation.</w:t>
      </w:r>
    </w:p>
    <w:p w14:paraId="7FC8BBB4" w14:textId="77777777" w:rsidR="00950825" w:rsidRPr="001707ED" w:rsidRDefault="00950825" w:rsidP="001707ED">
      <w:pPr>
        <w:pStyle w:val="Heading2"/>
        <w:rPr>
          <w:rFonts w:ascii="Arial" w:hAnsi="Arial" w:cs="Arial"/>
          <w:b/>
          <w:bCs/>
          <w:color w:val="auto"/>
          <w:sz w:val="22"/>
          <w:szCs w:val="22"/>
        </w:rPr>
      </w:pPr>
      <w:bookmarkStart w:id="19" w:name="_Toc227188280"/>
      <w:r w:rsidRPr="001707ED">
        <w:rPr>
          <w:rFonts w:ascii="Arial" w:hAnsi="Arial" w:cs="Arial"/>
          <w:b/>
          <w:bCs/>
          <w:color w:val="auto"/>
          <w:sz w:val="22"/>
          <w:szCs w:val="22"/>
        </w:rPr>
        <w:t>1. Enhance ICD-11 Guidance on Neurodivergence and Terminology</w:t>
      </w:r>
      <w:bookmarkEnd w:id="19"/>
    </w:p>
    <w:p w14:paraId="52D5D808"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ICD-11 should provide clearer guidance that acknowledges the neurodiversity paradigm while maintaining clinical utility. Recommended actions include:</w:t>
      </w:r>
    </w:p>
    <w:p w14:paraId="70CD9D9E" w14:textId="77777777" w:rsidR="00950825" w:rsidRPr="00950825" w:rsidRDefault="00950825" w:rsidP="003E72B8">
      <w:pPr>
        <w:numPr>
          <w:ilvl w:val="0"/>
          <w:numId w:val="4"/>
        </w:numPr>
        <w:spacing w:line="360" w:lineRule="auto"/>
        <w:rPr>
          <w:rFonts w:ascii="Arial" w:hAnsi="Arial" w:cs="Arial"/>
          <w:sz w:val="22"/>
          <w:szCs w:val="22"/>
        </w:rPr>
      </w:pPr>
      <w:r w:rsidRPr="00950825">
        <w:rPr>
          <w:rFonts w:ascii="Arial" w:hAnsi="Arial" w:cs="Arial"/>
          <w:sz w:val="22"/>
          <w:szCs w:val="22"/>
        </w:rPr>
        <w:t>Clarifying that the term “disorder” refers to functional impairment rather than an inherent deficit.</w:t>
      </w:r>
    </w:p>
    <w:p w14:paraId="1B24BA20" w14:textId="77777777" w:rsidR="00950825" w:rsidRPr="00950825" w:rsidRDefault="00950825" w:rsidP="003E72B8">
      <w:pPr>
        <w:numPr>
          <w:ilvl w:val="0"/>
          <w:numId w:val="4"/>
        </w:numPr>
        <w:spacing w:line="360" w:lineRule="auto"/>
        <w:rPr>
          <w:rFonts w:ascii="Arial" w:hAnsi="Arial" w:cs="Arial"/>
          <w:sz w:val="22"/>
          <w:szCs w:val="22"/>
        </w:rPr>
      </w:pPr>
      <w:r w:rsidRPr="00950825">
        <w:rPr>
          <w:rFonts w:ascii="Arial" w:hAnsi="Arial" w:cs="Arial"/>
          <w:sz w:val="22"/>
          <w:szCs w:val="22"/>
        </w:rPr>
        <w:t>Recognizing strengths and variations associated with ADHD.</w:t>
      </w:r>
    </w:p>
    <w:p w14:paraId="6B051DB0" w14:textId="77777777" w:rsidR="00950825" w:rsidRPr="00950825" w:rsidRDefault="00950825" w:rsidP="003E72B8">
      <w:pPr>
        <w:numPr>
          <w:ilvl w:val="0"/>
          <w:numId w:val="4"/>
        </w:numPr>
        <w:spacing w:line="360" w:lineRule="auto"/>
        <w:rPr>
          <w:rFonts w:ascii="Arial" w:hAnsi="Arial" w:cs="Arial"/>
          <w:sz w:val="22"/>
          <w:szCs w:val="22"/>
        </w:rPr>
      </w:pPr>
      <w:r w:rsidRPr="00950825">
        <w:rPr>
          <w:rFonts w:ascii="Arial" w:hAnsi="Arial" w:cs="Arial"/>
          <w:sz w:val="22"/>
          <w:szCs w:val="22"/>
        </w:rPr>
        <w:t>Incorporating cultural, gender, and contextual considerations within the classification notes.</w:t>
      </w:r>
    </w:p>
    <w:p w14:paraId="3E50CE64" w14:textId="77777777"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These changes would promote a more inclusive classification system and help reduce stigma.</w:t>
      </w:r>
    </w:p>
    <w:p w14:paraId="6426950E" w14:textId="77777777" w:rsidR="003E72B8" w:rsidRPr="001707ED" w:rsidRDefault="003E72B8" w:rsidP="003E72B8">
      <w:pPr>
        <w:spacing w:line="360" w:lineRule="auto"/>
        <w:rPr>
          <w:rFonts w:ascii="Arial" w:hAnsi="Arial" w:cs="Arial"/>
          <w:sz w:val="22"/>
          <w:szCs w:val="22"/>
        </w:rPr>
      </w:pPr>
    </w:p>
    <w:p w14:paraId="3AB9A0DF" w14:textId="77777777" w:rsidR="003E72B8" w:rsidRPr="001707ED" w:rsidRDefault="003E72B8" w:rsidP="003E72B8">
      <w:pPr>
        <w:spacing w:line="360" w:lineRule="auto"/>
        <w:rPr>
          <w:rFonts w:ascii="Arial" w:hAnsi="Arial" w:cs="Arial"/>
          <w:sz w:val="22"/>
          <w:szCs w:val="22"/>
        </w:rPr>
      </w:pPr>
    </w:p>
    <w:p w14:paraId="7542C9D0" w14:textId="77777777" w:rsidR="003E72B8" w:rsidRPr="001707ED" w:rsidRDefault="003E72B8" w:rsidP="001707ED">
      <w:pPr>
        <w:pStyle w:val="Heading2"/>
        <w:rPr>
          <w:rFonts w:ascii="Arial" w:hAnsi="Arial" w:cs="Arial"/>
          <w:color w:val="auto"/>
          <w:sz w:val="22"/>
          <w:szCs w:val="22"/>
        </w:rPr>
      </w:pPr>
    </w:p>
    <w:p w14:paraId="3D0AAA12" w14:textId="77777777" w:rsidR="00950825" w:rsidRPr="001707ED" w:rsidRDefault="00950825" w:rsidP="001707ED">
      <w:pPr>
        <w:pStyle w:val="Heading2"/>
        <w:rPr>
          <w:rFonts w:ascii="Arial" w:hAnsi="Arial" w:cs="Arial"/>
          <w:b/>
          <w:bCs/>
          <w:color w:val="auto"/>
          <w:sz w:val="22"/>
          <w:szCs w:val="22"/>
        </w:rPr>
      </w:pPr>
      <w:bookmarkStart w:id="20" w:name="_Toc227188281"/>
      <w:r w:rsidRPr="001707ED">
        <w:rPr>
          <w:rFonts w:ascii="Arial" w:hAnsi="Arial" w:cs="Arial"/>
          <w:b/>
          <w:bCs/>
          <w:color w:val="auto"/>
          <w:sz w:val="22"/>
          <w:szCs w:val="22"/>
        </w:rPr>
        <w:t>2. Strengthen Diagnostic Training and Standardization</w:t>
      </w:r>
      <w:bookmarkEnd w:id="20"/>
    </w:p>
    <w:p w14:paraId="5D2B42EA"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Increased standardization across countries is necessary to reduce diagnostic disparities. The following recommendations are proposed:</w:t>
      </w:r>
    </w:p>
    <w:p w14:paraId="5FB2E4B2" w14:textId="77777777" w:rsidR="00950825" w:rsidRPr="00950825" w:rsidRDefault="00950825" w:rsidP="003E72B8">
      <w:pPr>
        <w:numPr>
          <w:ilvl w:val="0"/>
          <w:numId w:val="5"/>
        </w:numPr>
        <w:spacing w:line="360" w:lineRule="auto"/>
        <w:rPr>
          <w:rFonts w:ascii="Arial" w:hAnsi="Arial" w:cs="Arial"/>
          <w:sz w:val="22"/>
          <w:szCs w:val="22"/>
        </w:rPr>
      </w:pPr>
      <w:r w:rsidRPr="00950825">
        <w:rPr>
          <w:rFonts w:ascii="Arial" w:hAnsi="Arial" w:cs="Arial"/>
          <w:sz w:val="22"/>
          <w:szCs w:val="22"/>
        </w:rPr>
        <w:t>Implementing mandatory professional training on ADHD presentations across genders and age groups.</w:t>
      </w:r>
    </w:p>
    <w:p w14:paraId="6CFC6AC3" w14:textId="77777777" w:rsidR="00950825" w:rsidRPr="00950825" w:rsidRDefault="00950825" w:rsidP="003E72B8">
      <w:pPr>
        <w:numPr>
          <w:ilvl w:val="0"/>
          <w:numId w:val="5"/>
        </w:numPr>
        <w:spacing w:line="360" w:lineRule="auto"/>
        <w:rPr>
          <w:rFonts w:ascii="Arial" w:hAnsi="Arial" w:cs="Arial"/>
          <w:sz w:val="22"/>
          <w:szCs w:val="22"/>
        </w:rPr>
      </w:pPr>
      <w:r w:rsidRPr="00950825">
        <w:rPr>
          <w:rFonts w:ascii="Arial" w:hAnsi="Arial" w:cs="Arial"/>
          <w:sz w:val="22"/>
          <w:szCs w:val="22"/>
        </w:rPr>
        <w:t>Updating diagnostic guidelines to emphasize developmental history and contextual variation.</w:t>
      </w:r>
    </w:p>
    <w:p w14:paraId="2A989C79" w14:textId="77777777" w:rsidR="00950825" w:rsidRPr="00950825" w:rsidRDefault="00950825" w:rsidP="003E72B8">
      <w:pPr>
        <w:numPr>
          <w:ilvl w:val="0"/>
          <w:numId w:val="5"/>
        </w:numPr>
        <w:spacing w:line="360" w:lineRule="auto"/>
        <w:rPr>
          <w:rFonts w:ascii="Arial" w:hAnsi="Arial" w:cs="Arial"/>
          <w:sz w:val="22"/>
          <w:szCs w:val="22"/>
        </w:rPr>
      </w:pPr>
      <w:r w:rsidRPr="00950825">
        <w:rPr>
          <w:rFonts w:ascii="Arial" w:hAnsi="Arial" w:cs="Arial"/>
          <w:sz w:val="22"/>
          <w:szCs w:val="22"/>
        </w:rPr>
        <w:t>Including culturally sensitive assessment tools that have been validated for diverse populations.</w:t>
      </w:r>
    </w:p>
    <w:p w14:paraId="3BB79B82"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These measures will facilitate more accurate and equitable diagnosis.</w:t>
      </w:r>
    </w:p>
    <w:p w14:paraId="20E8955D" w14:textId="77777777" w:rsidR="00950825" w:rsidRPr="001707ED" w:rsidRDefault="00950825" w:rsidP="001707ED">
      <w:pPr>
        <w:pStyle w:val="Heading2"/>
        <w:rPr>
          <w:rFonts w:ascii="Arial" w:hAnsi="Arial" w:cs="Arial"/>
          <w:b/>
          <w:bCs/>
          <w:color w:val="auto"/>
          <w:sz w:val="22"/>
          <w:szCs w:val="22"/>
        </w:rPr>
      </w:pPr>
      <w:bookmarkStart w:id="21" w:name="_Toc227188282"/>
      <w:r w:rsidRPr="001707ED">
        <w:rPr>
          <w:rFonts w:ascii="Arial" w:hAnsi="Arial" w:cs="Arial"/>
          <w:b/>
          <w:bCs/>
          <w:color w:val="auto"/>
          <w:sz w:val="22"/>
          <w:szCs w:val="22"/>
        </w:rPr>
        <w:t>3. Expansion of Multimodal Treatment Availability</w:t>
      </w:r>
      <w:bookmarkEnd w:id="21"/>
    </w:p>
    <w:p w14:paraId="15B6D44C"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Governments and healthcare systems should facilitate broader access to evidence-based psychological, educational, and social interventions. Key measures include:</w:t>
      </w:r>
    </w:p>
    <w:p w14:paraId="21FB3457" w14:textId="77777777" w:rsidR="00950825" w:rsidRPr="00950825" w:rsidRDefault="00950825" w:rsidP="003E72B8">
      <w:pPr>
        <w:numPr>
          <w:ilvl w:val="0"/>
          <w:numId w:val="6"/>
        </w:numPr>
        <w:spacing w:line="360" w:lineRule="auto"/>
        <w:rPr>
          <w:rFonts w:ascii="Arial" w:hAnsi="Arial" w:cs="Arial"/>
          <w:sz w:val="22"/>
          <w:szCs w:val="22"/>
        </w:rPr>
      </w:pPr>
      <w:r w:rsidRPr="00950825">
        <w:rPr>
          <w:rFonts w:ascii="Arial" w:hAnsi="Arial" w:cs="Arial"/>
          <w:sz w:val="22"/>
          <w:szCs w:val="22"/>
        </w:rPr>
        <w:t>Allocating increased funding for behavioural interventions and parent training.</w:t>
      </w:r>
    </w:p>
    <w:p w14:paraId="3D13A115" w14:textId="77777777" w:rsidR="00950825" w:rsidRPr="00950825" w:rsidRDefault="00950825" w:rsidP="003E72B8">
      <w:pPr>
        <w:numPr>
          <w:ilvl w:val="0"/>
          <w:numId w:val="6"/>
        </w:numPr>
        <w:spacing w:line="360" w:lineRule="auto"/>
        <w:rPr>
          <w:rFonts w:ascii="Arial" w:hAnsi="Arial" w:cs="Arial"/>
          <w:sz w:val="22"/>
          <w:szCs w:val="22"/>
        </w:rPr>
      </w:pPr>
      <w:r w:rsidRPr="00950825">
        <w:rPr>
          <w:rFonts w:ascii="Arial" w:hAnsi="Arial" w:cs="Arial"/>
          <w:sz w:val="22"/>
          <w:szCs w:val="22"/>
        </w:rPr>
        <w:t>Expanding the provision of adult services, such as coaching, cognitive behavioural therapy (CBT), and workplace support.</w:t>
      </w:r>
    </w:p>
    <w:p w14:paraId="3517744D" w14:textId="77777777" w:rsidR="00950825" w:rsidRPr="00950825" w:rsidRDefault="00950825" w:rsidP="003E72B8">
      <w:pPr>
        <w:numPr>
          <w:ilvl w:val="0"/>
          <w:numId w:val="6"/>
        </w:numPr>
        <w:spacing w:line="360" w:lineRule="auto"/>
        <w:rPr>
          <w:rFonts w:ascii="Arial" w:hAnsi="Arial" w:cs="Arial"/>
          <w:sz w:val="22"/>
          <w:szCs w:val="22"/>
        </w:rPr>
      </w:pPr>
      <w:r w:rsidRPr="00950825">
        <w:rPr>
          <w:rFonts w:ascii="Arial" w:hAnsi="Arial" w:cs="Arial"/>
          <w:sz w:val="22"/>
          <w:szCs w:val="22"/>
        </w:rPr>
        <w:t>Integrating school-based intervention programmes into national education policies.</w:t>
      </w:r>
    </w:p>
    <w:p w14:paraId="5FD5875C"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Enhanced access to multimodal treatment is expected to reduce over-reliance on medication and improve long-term outcomes.</w:t>
      </w:r>
    </w:p>
    <w:p w14:paraId="1DB6C903" w14:textId="77777777" w:rsidR="00950825" w:rsidRPr="001707ED" w:rsidRDefault="00950825" w:rsidP="001707ED">
      <w:pPr>
        <w:pStyle w:val="Heading2"/>
        <w:rPr>
          <w:rFonts w:ascii="Arial" w:hAnsi="Arial" w:cs="Arial"/>
          <w:b/>
          <w:bCs/>
          <w:color w:val="auto"/>
          <w:sz w:val="22"/>
          <w:szCs w:val="22"/>
        </w:rPr>
      </w:pPr>
      <w:bookmarkStart w:id="22" w:name="_Toc227188283"/>
      <w:r w:rsidRPr="001707ED">
        <w:rPr>
          <w:rFonts w:ascii="Arial" w:hAnsi="Arial" w:cs="Arial"/>
          <w:b/>
          <w:bCs/>
          <w:color w:val="auto"/>
          <w:sz w:val="22"/>
          <w:szCs w:val="22"/>
        </w:rPr>
        <w:t>4. Incorporation of Rehabilitation into National ADHD Care Pathways</w:t>
      </w:r>
      <w:bookmarkEnd w:id="22"/>
    </w:p>
    <w:p w14:paraId="084A43D9"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Rehabilitation frameworks should be systematically integrated into ADHD care pathways. Key components include:</w:t>
      </w:r>
    </w:p>
    <w:p w14:paraId="24198173" w14:textId="77777777" w:rsidR="00950825" w:rsidRPr="00950825" w:rsidRDefault="00950825" w:rsidP="003E72B8">
      <w:pPr>
        <w:numPr>
          <w:ilvl w:val="0"/>
          <w:numId w:val="7"/>
        </w:numPr>
        <w:spacing w:line="360" w:lineRule="auto"/>
        <w:rPr>
          <w:rFonts w:ascii="Arial" w:hAnsi="Arial" w:cs="Arial"/>
          <w:sz w:val="22"/>
          <w:szCs w:val="22"/>
        </w:rPr>
      </w:pPr>
      <w:r w:rsidRPr="00950825">
        <w:rPr>
          <w:rFonts w:ascii="Arial" w:hAnsi="Arial" w:cs="Arial"/>
          <w:sz w:val="22"/>
          <w:szCs w:val="22"/>
        </w:rPr>
        <w:t>Executive function training</w:t>
      </w:r>
    </w:p>
    <w:p w14:paraId="0187D34D" w14:textId="77777777" w:rsidR="00950825" w:rsidRPr="00950825" w:rsidRDefault="00950825" w:rsidP="003E72B8">
      <w:pPr>
        <w:numPr>
          <w:ilvl w:val="0"/>
          <w:numId w:val="7"/>
        </w:numPr>
        <w:spacing w:line="360" w:lineRule="auto"/>
        <w:rPr>
          <w:rFonts w:ascii="Arial" w:hAnsi="Arial" w:cs="Arial"/>
          <w:sz w:val="22"/>
          <w:szCs w:val="22"/>
        </w:rPr>
      </w:pPr>
      <w:r w:rsidRPr="00950825">
        <w:rPr>
          <w:rFonts w:ascii="Arial" w:hAnsi="Arial" w:cs="Arial"/>
          <w:sz w:val="22"/>
          <w:szCs w:val="22"/>
        </w:rPr>
        <w:t>Social skills programmes</w:t>
      </w:r>
    </w:p>
    <w:p w14:paraId="52C1DF21" w14:textId="77777777" w:rsidR="00950825" w:rsidRPr="00950825" w:rsidRDefault="00950825" w:rsidP="003E72B8">
      <w:pPr>
        <w:numPr>
          <w:ilvl w:val="0"/>
          <w:numId w:val="7"/>
        </w:numPr>
        <w:spacing w:line="360" w:lineRule="auto"/>
        <w:rPr>
          <w:rFonts w:ascii="Arial" w:hAnsi="Arial" w:cs="Arial"/>
          <w:sz w:val="22"/>
          <w:szCs w:val="22"/>
        </w:rPr>
      </w:pPr>
      <w:r w:rsidRPr="00950825">
        <w:rPr>
          <w:rFonts w:ascii="Arial" w:hAnsi="Arial" w:cs="Arial"/>
          <w:sz w:val="22"/>
          <w:szCs w:val="22"/>
        </w:rPr>
        <w:t>Vocational support for adults</w:t>
      </w:r>
    </w:p>
    <w:p w14:paraId="7299CAA1" w14:textId="77777777" w:rsidR="00950825" w:rsidRPr="00950825" w:rsidRDefault="00950825" w:rsidP="003E72B8">
      <w:pPr>
        <w:numPr>
          <w:ilvl w:val="0"/>
          <w:numId w:val="7"/>
        </w:numPr>
        <w:spacing w:line="360" w:lineRule="auto"/>
        <w:rPr>
          <w:rFonts w:ascii="Arial" w:hAnsi="Arial" w:cs="Arial"/>
          <w:sz w:val="22"/>
          <w:szCs w:val="22"/>
        </w:rPr>
      </w:pPr>
      <w:r w:rsidRPr="00950825">
        <w:rPr>
          <w:rFonts w:ascii="Arial" w:hAnsi="Arial" w:cs="Arial"/>
          <w:sz w:val="22"/>
          <w:szCs w:val="22"/>
        </w:rPr>
        <w:t>Structured transition services from adolescence to adulthood</w:t>
      </w:r>
    </w:p>
    <w:p w14:paraId="10FF7F66" w14:textId="77777777"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Such integration would support holistic functioning and align clinical practice with biopsychosocial principles.</w:t>
      </w:r>
    </w:p>
    <w:p w14:paraId="5FCA92AD" w14:textId="77777777" w:rsidR="003E72B8" w:rsidRPr="00950825" w:rsidRDefault="003E72B8" w:rsidP="003E72B8">
      <w:pPr>
        <w:spacing w:line="360" w:lineRule="auto"/>
        <w:rPr>
          <w:rFonts w:ascii="Arial" w:hAnsi="Arial" w:cs="Arial"/>
          <w:sz w:val="22"/>
          <w:szCs w:val="22"/>
        </w:rPr>
      </w:pPr>
    </w:p>
    <w:p w14:paraId="34C717BD" w14:textId="77777777" w:rsidR="00950825" w:rsidRPr="001707ED" w:rsidRDefault="00950825" w:rsidP="001707ED">
      <w:pPr>
        <w:pStyle w:val="Heading2"/>
        <w:rPr>
          <w:rFonts w:ascii="Arial" w:hAnsi="Arial" w:cs="Arial"/>
          <w:b/>
          <w:bCs/>
          <w:color w:val="auto"/>
          <w:sz w:val="22"/>
          <w:szCs w:val="22"/>
        </w:rPr>
      </w:pPr>
      <w:bookmarkStart w:id="23" w:name="_Toc227188284"/>
      <w:r w:rsidRPr="001707ED">
        <w:rPr>
          <w:rFonts w:ascii="Arial" w:hAnsi="Arial" w:cs="Arial"/>
          <w:b/>
          <w:bCs/>
          <w:color w:val="auto"/>
          <w:sz w:val="22"/>
          <w:szCs w:val="22"/>
        </w:rPr>
        <w:t>5. Promotion of Cross-Sector Collaboration for Policy Development</w:t>
      </w:r>
      <w:bookmarkEnd w:id="23"/>
    </w:p>
    <w:p w14:paraId="54E68387"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Given the multi-contextual nature of ADHD, collaboration among healthcare, education, and employment sectors is essential. Policymakers are advised to:</w:t>
      </w:r>
    </w:p>
    <w:p w14:paraId="2A50B207" w14:textId="77777777" w:rsidR="00950825" w:rsidRPr="00950825" w:rsidRDefault="00950825" w:rsidP="003E72B8">
      <w:pPr>
        <w:numPr>
          <w:ilvl w:val="0"/>
          <w:numId w:val="8"/>
        </w:numPr>
        <w:spacing w:line="360" w:lineRule="auto"/>
        <w:rPr>
          <w:rFonts w:ascii="Arial" w:hAnsi="Arial" w:cs="Arial"/>
          <w:sz w:val="22"/>
          <w:szCs w:val="22"/>
        </w:rPr>
      </w:pPr>
      <w:r w:rsidRPr="00950825">
        <w:rPr>
          <w:rFonts w:ascii="Arial" w:hAnsi="Arial" w:cs="Arial"/>
          <w:sz w:val="22"/>
          <w:szCs w:val="22"/>
        </w:rPr>
        <w:t>Develop unified ADHD strategies across all relevant services.</w:t>
      </w:r>
    </w:p>
    <w:p w14:paraId="74CA842A" w14:textId="77777777" w:rsidR="00950825" w:rsidRPr="00950825" w:rsidRDefault="00950825" w:rsidP="003E72B8">
      <w:pPr>
        <w:numPr>
          <w:ilvl w:val="0"/>
          <w:numId w:val="8"/>
        </w:numPr>
        <w:spacing w:line="360" w:lineRule="auto"/>
        <w:rPr>
          <w:rFonts w:ascii="Arial" w:hAnsi="Arial" w:cs="Arial"/>
          <w:sz w:val="22"/>
          <w:szCs w:val="22"/>
        </w:rPr>
      </w:pPr>
      <w:r w:rsidRPr="00950825">
        <w:rPr>
          <w:rFonts w:ascii="Arial" w:hAnsi="Arial" w:cs="Arial"/>
          <w:sz w:val="22"/>
          <w:szCs w:val="22"/>
        </w:rPr>
        <w:t>Ensure consistent accommodations within educational and workplace settings.</w:t>
      </w:r>
    </w:p>
    <w:p w14:paraId="183D465B" w14:textId="77777777" w:rsidR="00950825" w:rsidRPr="00950825" w:rsidRDefault="00950825" w:rsidP="003E72B8">
      <w:pPr>
        <w:numPr>
          <w:ilvl w:val="0"/>
          <w:numId w:val="8"/>
        </w:numPr>
        <w:spacing w:line="360" w:lineRule="auto"/>
        <w:rPr>
          <w:rFonts w:ascii="Arial" w:hAnsi="Arial" w:cs="Arial"/>
          <w:sz w:val="22"/>
          <w:szCs w:val="22"/>
        </w:rPr>
      </w:pPr>
      <w:r w:rsidRPr="00950825">
        <w:rPr>
          <w:rFonts w:ascii="Arial" w:hAnsi="Arial" w:cs="Arial"/>
          <w:sz w:val="22"/>
          <w:szCs w:val="22"/>
        </w:rPr>
        <w:t>Incorporate neurodiversity awareness into public health campaigns.</w:t>
      </w:r>
    </w:p>
    <w:p w14:paraId="01C0D7B8"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Such collaboration would facilitate the development of coherent, inclusive, and effective support systems.</w:t>
      </w:r>
    </w:p>
    <w:p w14:paraId="5E206C55" w14:textId="77777777" w:rsidR="00950825" w:rsidRPr="001707ED" w:rsidRDefault="00950825" w:rsidP="001707ED">
      <w:pPr>
        <w:pStyle w:val="Heading2"/>
        <w:rPr>
          <w:rFonts w:ascii="Arial" w:hAnsi="Arial" w:cs="Arial"/>
          <w:b/>
          <w:bCs/>
          <w:color w:val="auto"/>
          <w:sz w:val="22"/>
          <w:szCs w:val="22"/>
        </w:rPr>
      </w:pPr>
      <w:bookmarkStart w:id="24" w:name="_Toc227188285"/>
      <w:r w:rsidRPr="001707ED">
        <w:rPr>
          <w:rFonts w:ascii="Arial" w:hAnsi="Arial" w:cs="Arial"/>
          <w:b/>
          <w:bCs/>
          <w:color w:val="auto"/>
          <w:sz w:val="22"/>
          <w:szCs w:val="22"/>
        </w:rPr>
        <w:t>6. Strengthening Research on Under-Represented Groups</w:t>
      </w:r>
      <w:bookmarkEnd w:id="24"/>
    </w:p>
    <w:p w14:paraId="1CE8E574"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Future research should prioritise the following areas:</w:t>
      </w:r>
    </w:p>
    <w:p w14:paraId="2DB76530" w14:textId="77777777" w:rsidR="00950825" w:rsidRPr="00950825" w:rsidRDefault="00950825" w:rsidP="003E72B8">
      <w:pPr>
        <w:numPr>
          <w:ilvl w:val="0"/>
          <w:numId w:val="9"/>
        </w:numPr>
        <w:spacing w:line="360" w:lineRule="auto"/>
        <w:rPr>
          <w:rFonts w:ascii="Arial" w:hAnsi="Arial" w:cs="Arial"/>
          <w:sz w:val="22"/>
          <w:szCs w:val="22"/>
        </w:rPr>
      </w:pPr>
      <w:r w:rsidRPr="00950825">
        <w:rPr>
          <w:rFonts w:ascii="Arial" w:hAnsi="Arial" w:cs="Arial"/>
          <w:sz w:val="22"/>
          <w:szCs w:val="22"/>
        </w:rPr>
        <w:t>Gender differences in ADHD presentation and diagnosis</w:t>
      </w:r>
    </w:p>
    <w:p w14:paraId="6FB1B84E" w14:textId="77777777" w:rsidR="00950825" w:rsidRPr="00950825" w:rsidRDefault="00950825" w:rsidP="003E72B8">
      <w:pPr>
        <w:numPr>
          <w:ilvl w:val="0"/>
          <w:numId w:val="9"/>
        </w:numPr>
        <w:spacing w:line="360" w:lineRule="auto"/>
        <w:rPr>
          <w:rFonts w:ascii="Arial" w:hAnsi="Arial" w:cs="Arial"/>
          <w:sz w:val="22"/>
          <w:szCs w:val="22"/>
        </w:rPr>
      </w:pPr>
      <w:r w:rsidRPr="00950825">
        <w:rPr>
          <w:rFonts w:ascii="Arial" w:hAnsi="Arial" w:cs="Arial"/>
          <w:sz w:val="22"/>
          <w:szCs w:val="22"/>
        </w:rPr>
        <w:t>ADHD in minority ethnic populations</w:t>
      </w:r>
    </w:p>
    <w:p w14:paraId="0FF86853" w14:textId="77777777" w:rsidR="00950825" w:rsidRPr="00950825" w:rsidRDefault="00950825" w:rsidP="003E72B8">
      <w:pPr>
        <w:numPr>
          <w:ilvl w:val="0"/>
          <w:numId w:val="9"/>
        </w:numPr>
        <w:spacing w:line="360" w:lineRule="auto"/>
        <w:rPr>
          <w:rFonts w:ascii="Arial" w:hAnsi="Arial" w:cs="Arial"/>
          <w:sz w:val="22"/>
          <w:szCs w:val="22"/>
        </w:rPr>
      </w:pPr>
      <w:r w:rsidRPr="00950825">
        <w:rPr>
          <w:rFonts w:ascii="Arial" w:hAnsi="Arial" w:cs="Arial"/>
          <w:sz w:val="22"/>
          <w:szCs w:val="22"/>
        </w:rPr>
        <w:t>Adult ADHD and late-diagnosis cases</w:t>
      </w:r>
    </w:p>
    <w:p w14:paraId="47C6DF7D" w14:textId="77777777" w:rsidR="00950825" w:rsidRPr="00950825" w:rsidRDefault="00950825" w:rsidP="003E72B8">
      <w:pPr>
        <w:numPr>
          <w:ilvl w:val="0"/>
          <w:numId w:val="9"/>
        </w:numPr>
        <w:spacing w:line="360" w:lineRule="auto"/>
        <w:rPr>
          <w:rFonts w:ascii="Arial" w:hAnsi="Arial" w:cs="Arial"/>
          <w:sz w:val="22"/>
          <w:szCs w:val="22"/>
        </w:rPr>
      </w:pPr>
      <w:r w:rsidRPr="00950825">
        <w:rPr>
          <w:rFonts w:ascii="Arial" w:hAnsi="Arial" w:cs="Arial"/>
          <w:sz w:val="22"/>
          <w:szCs w:val="22"/>
        </w:rPr>
        <w:t>Lived-experience research informed by neurodiversity perspectives</w:t>
      </w:r>
    </w:p>
    <w:p w14:paraId="3378A61D" w14:textId="77777777" w:rsidR="00950825" w:rsidRPr="001707ED" w:rsidRDefault="00950825" w:rsidP="003E72B8">
      <w:pPr>
        <w:spacing w:line="360" w:lineRule="auto"/>
        <w:rPr>
          <w:rFonts w:ascii="Arial" w:hAnsi="Arial" w:cs="Arial"/>
          <w:sz w:val="22"/>
          <w:szCs w:val="22"/>
        </w:rPr>
      </w:pPr>
      <w:r w:rsidRPr="00950825">
        <w:rPr>
          <w:rFonts w:ascii="Arial" w:hAnsi="Arial" w:cs="Arial"/>
          <w:sz w:val="22"/>
          <w:szCs w:val="22"/>
        </w:rPr>
        <w:t>Such research will inform the development of more equitable and accurate diagnostic practices.</w:t>
      </w:r>
    </w:p>
    <w:p w14:paraId="68597BB7" w14:textId="77777777" w:rsidR="00950825" w:rsidRPr="001707ED" w:rsidRDefault="00950825" w:rsidP="003E72B8">
      <w:pPr>
        <w:spacing w:line="360" w:lineRule="auto"/>
        <w:rPr>
          <w:rFonts w:ascii="Arial" w:hAnsi="Arial" w:cs="Arial"/>
          <w:sz w:val="22"/>
          <w:szCs w:val="22"/>
        </w:rPr>
      </w:pPr>
    </w:p>
    <w:p w14:paraId="6E4C2104" w14:textId="77777777" w:rsidR="003E72B8" w:rsidRPr="001707ED" w:rsidRDefault="003E72B8" w:rsidP="003E72B8">
      <w:pPr>
        <w:spacing w:line="360" w:lineRule="auto"/>
        <w:rPr>
          <w:rFonts w:ascii="Arial" w:hAnsi="Arial" w:cs="Arial"/>
          <w:sz w:val="22"/>
          <w:szCs w:val="22"/>
        </w:rPr>
      </w:pPr>
    </w:p>
    <w:p w14:paraId="607C81F3" w14:textId="77777777" w:rsidR="003E72B8" w:rsidRPr="001707ED" w:rsidRDefault="003E72B8" w:rsidP="003E72B8">
      <w:pPr>
        <w:spacing w:line="360" w:lineRule="auto"/>
        <w:rPr>
          <w:rFonts w:ascii="Arial" w:hAnsi="Arial" w:cs="Arial"/>
          <w:sz w:val="22"/>
          <w:szCs w:val="22"/>
        </w:rPr>
      </w:pPr>
    </w:p>
    <w:p w14:paraId="3ABF2E88" w14:textId="77777777" w:rsidR="003E72B8" w:rsidRPr="001707ED" w:rsidRDefault="003E72B8" w:rsidP="003E72B8">
      <w:pPr>
        <w:spacing w:line="360" w:lineRule="auto"/>
        <w:rPr>
          <w:rFonts w:ascii="Arial" w:hAnsi="Arial" w:cs="Arial"/>
          <w:sz w:val="22"/>
          <w:szCs w:val="22"/>
        </w:rPr>
      </w:pPr>
    </w:p>
    <w:p w14:paraId="7D2C81D9" w14:textId="77777777" w:rsidR="003E72B8" w:rsidRPr="001707ED" w:rsidRDefault="003E72B8" w:rsidP="003E72B8">
      <w:pPr>
        <w:spacing w:line="360" w:lineRule="auto"/>
        <w:rPr>
          <w:rFonts w:ascii="Arial" w:hAnsi="Arial" w:cs="Arial"/>
          <w:sz w:val="22"/>
          <w:szCs w:val="22"/>
        </w:rPr>
      </w:pPr>
    </w:p>
    <w:p w14:paraId="1C395F67" w14:textId="77777777" w:rsidR="003E72B8" w:rsidRPr="001707ED" w:rsidRDefault="003E72B8" w:rsidP="003E72B8">
      <w:pPr>
        <w:spacing w:line="360" w:lineRule="auto"/>
        <w:rPr>
          <w:rFonts w:ascii="Arial" w:hAnsi="Arial" w:cs="Arial"/>
          <w:sz w:val="22"/>
          <w:szCs w:val="22"/>
        </w:rPr>
      </w:pPr>
    </w:p>
    <w:p w14:paraId="071DAE4E" w14:textId="77777777" w:rsidR="003E72B8" w:rsidRPr="001707ED" w:rsidRDefault="003E72B8" w:rsidP="003E72B8">
      <w:pPr>
        <w:spacing w:line="360" w:lineRule="auto"/>
        <w:rPr>
          <w:rFonts w:ascii="Arial" w:hAnsi="Arial" w:cs="Arial"/>
          <w:sz w:val="22"/>
          <w:szCs w:val="22"/>
        </w:rPr>
      </w:pPr>
    </w:p>
    <w:p w14:paraId="659CD9CA" w14:textId="77777777" w:rsidR="003E72B8" w:rsidRPr="001707ED" w:rsidRDefault="003E72B8" w:rsidP="003E72B8">
      <w:pPr>
        <w:spacing w:line="360" w:lineRule="auto"/>
        <w:rPr>
          <w:rFonts w:ascii="Arial" w:hAnsi="Arial" w:cs="Arial"/>
          <w:sz w:val="22"/>
          <w:szCs w:val="22"/>
        </w:rPr>
      </w:pPr>
    </w:p>
    <w:p w14:paraId="5FA5F2FC" w14:textId="77777777" w:rsidR="003E72B8" w:rsidRPr="001707ED" w:rsidRDefault="003E72B8" w:rsidP="003E72B8">
      <w:pPr>
        <w:spacing w:line="360" w:lineRule="auto"/>
        <w:rPr>
          <w:rFonts w:ascii="Arial" w:hAnsi="Arial" w:cs="Arial"/>
          <w:sz w:val="22"/>
          <w:szCs w:val="22"/>
        </w:rPr>
      </w:pPr>
    </w:p>
    <w:p w14:paraId="2C627FE3" w14:textId="77777777" w:rsidR="003E72B8" w:rsidRPr="001707ED" w:rsidRDefault="003E72B8" w:rsidP="003E72B8">
      <w:pPr>
        <w:spacing w:line="360" w:lineRule="auto"/>
        <w:rPr>
          <w:rFonts w:ascii="Arial" w:hAnsi="Arial" w:cs="Arial"/>
          <w:sz w:val="22"/>
          <w:szCs w:val="22"/>
        </w:rPr>
      </w:pPr>
    </w:p>
    <w:p w14:paraId="3ECD85CE" w14:textId="77777777" w:rsidR="003E72B8" w:rsidRPr="00950825" w:rsidRDefault="003E72B8" w:rsidP="003E72B8">
      <w:pPr>
        <w:spacing w:line="360" w:lineRule="auto"/>
        <w:rPr>
          <w:rFonts w:ascii="Arial" w:hAnsi="Arial" w:cs="Arial"/>
          <w:sz w:val="22"/>
          <w:szCs w:val="22"/>
        </w:rPr>
      </w:pPr>
    </w:p>
    <w:p w14:paraId="714D8894" w14:textId="77777777" w:rsidR="00950825" w:rsidRPr="001707ED" w:rsidRDefault="00950825" w:rsidP="001707ED">
      <w:pPr>
        <w:pStyle w:val="Heading1"/>
        <w:rPr>
          <w:rFonts w:ascii="Arial" w:hAnsi="Arial" w:cs="Arial"/>
          <w:b/>
          <w:bCs/>
          <w:color w:val="auto"/>
          <w:sz w:val="22"/>
          <w:szCs w:val="22"/>
        </w:rPr>
      </w:pPr>
      <w:bookmarkStart w:id="25" w:name="_Toc227188286"/>
      <w:r w:rsidRPr="001707ED">
        <w:rPr>
          <w:rFonts w:ascii="Arial" w:hAnsi="Arial" w:cs="Arial"/>
          <w:b/>
          <w:bCs/>
          <w:color w:val="auto"/>
          <w:sz w:val="22"/>
          <w:szCs w:val="22"/>
        </w:rPr>
        <w:t>Conclusion</w:t>
      </w:r>
      <w:bookmarkEnd w:id="25"/>
    </w:p>
    <w:p w14:paraId="467D7F6A"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Attention-deficit/hyperactivity disorder (ADHD) is a complex neurodevelopmental disorder with substantial clinical, social, and policy implications. The International Classification of Diseases, 11th Revision (ICD-11), offers a comprehensive classification framework that supports diagnosis and treatment and informs conceptual understandings of the condition. However, ongoing debates center on medicalization, neurodivergence, cultural influences, and the adequacy of current diagnostic criteria.</w:t>
      </w:r>
    </w:p>
    <w:p w14:paraId="578DE3D7"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Multimodal treatment approaches remain effective for ADHD, yet disparities in access and service provision continue to undermine outcomes. Although rehabilitation is less clearly defined, it is essential for providing long-term functional support.</w:t>
      </w:r>
    </w:p>
    <w:p w14:paraId="796AA33E" w14:textId="77777777" w:rsidR="00950825" w:rsidRPr="00950825" w:rsidRDefault="00950825" w:rsidP="003E72B8">
      <w:pPr>
        <w:spacing w:line="360" w:lineRule="auto"/>
        <w:rPr>
          <w:rFonts w:ascii="Arial" w:hAnsi="Arial" w:cs="Arial"/>
          <w:sz w:val="22"/>
          <w:szCs w:val="22"/>
        </w:rPr>
      </w:pPr>
      <w:r w:rsidRPr="00950825">
        <w:rPr>
          <w:rFonts w:ascii="Arial" w:hAnsi="Arial" w:cs="Arial"/>
          <w:sz w:val="22"/>
          <w:szCs w:val="22"/>
        </w:rPr>
        <w:t>Improvements in classification, standardization, holistic care, and cross-sector collaboration are necessary to ensure that ADHD is recognized, understood, and supported in ways that respect both clinical needs and neurodiversity perspectives. Ongoing research and policy development will be essential for shaping a future in which individuals with ADHD receive comprehensive support that addresses their unique strengths, challenges, and developmental trajectories.</w:t>
      </w:r>
    </w:p>
    <w:p w14:paraId="234E42A9" w14:textId="77777777" w:rsidR="00950825" w:rsidRPr="00950825" w:rsidRDefault="00950825" w:rsidP="003E72B8">
      <w:pPr>
        <w:spacing w:line="360" w:lineRule="auto"/>
        <w:rPr>
          <w:rFonts w:ascii="Arial" w:hAnsi="Arial" w:cs="Arial"/>
          <w:sz w:val="22"/>
          <w:szCs w:val="22"/>
        </w:rPr>
      </w:pPr>
    </w:p>
    <w:p w14:paraId="68DC0D99" w14:textId="7DF97FBD" w:rsidR="003E72B8" w:rsidRPr="001707ED" w:rsidRDefault="003E72B8" w:rsidP="001707ED">
      <w:pPr>
        <w:pStyle w:val="Heading1"/>
        <w:rPr>
          <w:rFonts w:ascii="Arial" w:hAnsi="Arial" w:cs="Arial"/>
          <w:b/>
          <w:bCs/>
          <w:color w:val="auto"/>
          <w:sz w:val="22"/>
          <w:szCs w:val="22"/>
        </w:rPr>
      </w:pPr>
      <w:bookmarkStart w:id="26" w:name="_Toc227188287"/>
      <w:r w:rsidRPr="001707ED">
        <w:rPr>
          <w:rFonts w:ascii="Arial" w:hAnsi="Arial" w:cs="Arial"/>
          <w:b/>
          <w:bCs/>
          <w:color w:val="auto"/>
          <w:sz w:val="22"/>
          <w:szCs w:val="22"/>
        </w:rPr>
        <w:t>Reference</w:t>
      </w:r>
      <w:r w:rsidRPr="001707ED">
        <w:rPr>
          <w:rFonts w:ascii="Arial" w:hAnsi="Arial" w:cs="Arial"/>
          <w:b/>
          <w:bCs/>
          <w:color w:val="auto"/>
          <w:sz w:val="22"/>
          <w:szCs w:val="22"/>
        </w:rPr>
        <w:t>s:</w:t>
      </w:r>
      <w:bookmarkEnd w:id="26"/>
    </w:p>
    <w:p w14:paraId="46C0017B"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Asherson, P. et al. (2022) ‘Adult ADHD: diagnosis, treatment and clinical management’, </w:t>
      </w:r>
      <w:r w:rsidRPr="003E72B8">
        <w:rPr>
          <w:rFonts w:ascii="Arial" w:hAnsi="Arial" w:cs="Arial"/>
          <w:i/>
          <w:iCs/>
          <w:sz w:val="22"/>
          <w:szCs w:val="22"/>
        </w:rPr>
        <w:t>The Lancet Psychiatry</w:t>
      </w:r>
      <w:r w:rsidRPr="003E72B8">
        <w:rPr>
          <w:rFonts w:ascii="Arial" w:hAnsi="Arial" w:cs="Arial"/>
          <w:sz w:val="22"/>
          <w:szCs w:val="22"/>
        </w:rPr>
        <w:t>, 9(4), pp. 302–315.</w:t>
      </w:r>
    </w:p>
    <w:p w14:paraId="4F05A11A"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Bramham, J. et al. (2021) ‘Vocational and occupational support for adults with ADHD’, </w:t>
      </w:r>
      <w:r w:rsidRPr="003E72B8">
        <w:rPr>
          <w:rFonts w:ascii="Arial" w:hAnsi="Arial" w:cs="Arial"/>
          <w:i/>
          <w:iCs/>
          <w:sz w:val="22"/>
          <w:szCs w:val="22"/>
        </w:rPr>
        <w:t>Clinical Psychology Review</w:t>
      </w:r>
      <w:r w:rsidRPr="003E72B8">
        <w:rPr>
          <w:rFonts w:ascii="Arial" w:hAnsi="Arial" w:cs="Arial"/>
          <w:sz w:val="22"/>
          <w:szCs w:val="22"/>
        </w:rPr>
        <w:t>, 87, 102033.</w:t>
      </w:r>
    </w:p>
    <w:p w14:paraId="26023EFC"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Coghill, D. (2021) ‘Current views on the classification of ADHD’, </w:t>
      </w:r>
      <w:r w:rsidRPr="003E72B8">
        <w:rPr>
          <w:rFonts w:ascii="Arial" w:hAnsi="Arial" w:cs="Arial"/>
          <w:i/>
          <w:iCs/>
          <w:sz w:val="22"/>
          <w:szCs w:val="22"/>
        </w:rPr>
        <w:t>European Child &amp; Adolescent Psychiatry</w:t>
      </w:r>
      <w:r w:rsidRPr="003E72B8">
        <w:rPr>
          <w:rFonts w:ascii="Arial" w:hAnsi="Arial" w:cs="Arial"/>
          <w:sz w:val="22"/>
          <w:szCs w:val="22"/>
        </w:rPr>
        <w:t>, 30(3), pp. 311–314.</w:t>
      </w:r>
    </w:p>
    <w:p w14:paraId="3F370989"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Cooper, M. et al. (2021) ‘Adult-onset ADHD: A critical review of the evidence’, </w:t>
      </w:r>
      <w:r w:rsidRPr="003E72B8">
        <w:rPr>
          <w:rFonts w:ascii="Arial" w:hAnsi="Arial" w:cs="Arial"/>
          <w:i/>
          <w:iCs/>
          <w:sz w:val="22"/>
          <w:szCs w:val="22"/>
        </w:rPr>
        <w:t>Neuroscience &amp; Biobehavioral Reviews</w:t>
      </w:r>
      <w:r w:rsidRPr="003E72B8">
        <w:rPr>
          <w:rFonts w:ascii="Arial" w:hAnsi="Arial" w:cs="Arial"/>
          <w:sz w:val="22"/>
          <w:szCs w:val="22"/>
        </w:rPr>
        <w:t>, 128, pp. 789–802.</w:t>
      </w:r>
    </w:p>
    <w:p w14:paraId="3D75AB41"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Cortese, S. (2020) ‘Pharmacological treatment of ADHD: Evidence, efficacy and limitations’, </w:t>
      </w:r>
      <w:r w:rsidRPr="003E72B8">
        <w:rPr>
          <w:rFonts w:ascii="Arial" w:hAnsi="Arial" w:cs="Arial"/>
          <w:i/>
          <w:iCs/>
          <w:sz w:val="22"/>
          <w:szCs w:val="22"/>
        </w:rPr>
        <w:t>Journal of Clinical Psychiatry</w:t>
      </w:r>
      <w:r w:rsidRPr="003E72B8">
        <w:rPr>
          <w:rFonts w:ascii="Arial" w:hAnsi="Arial" w:cs="Arial"/>
          <w:sz w:val="22"/>
          <w:szCs w:val="22"/>
        </w:rPr>
        <w:t>, 81(3), pp. 19r13275.</w:t>
      </w:r>
    </w:p>
    <w:p w14:paraId="6637B853"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DuPaul, G. and Langberg, J. (2020) ‘Educational interventions for ADHD’, </w:t>
      </w:r>
      <w:r w:rsidRPr="003E72B8">
        <w:rPr>
          <w:rFonts w:ascii="Arial" w:hAnsi="Arial" w:cs="Arial"/>
          <w:i/>
          <w:iCs/>
          <w:sz w:val="22"/>
          <w:szCs w:val="22"/>
        </w:rPr>
        <w:t>School Psychology Review</w:t>
      </w:r>
      <w:r w:rsidRPr="003E72B8">
        <w:rPr>
          <w:rFonts w:ascii="Arial" w:hAnsi="Arial" w:cs="Arial"/>
          <w:sz w:val="22"/>
          <w:szCs w:val="22"/>
        </w:rPr>
        <w:t>, 49(2), pp. 123–140.</w:t>
      </w:r>
    </w:p>
    <w:p w14:paraId="02A72E95"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lastRenderedPageBreak/>
        <w:t xml:space="preserve">Faraone, S. and Biederman, J. (2022) ‘Neurobiology of ADHD’, </w:t>
      </w:r>
      <w:r w:rsidRPr="003E72B8">
        <w:rPr>
          <w:rFonts w:ascii="Arial" w:hAnsi="Arial" w:cs="Arial"/>
          <w:i/>
          <w:iCs/>
          <w:sz w:val="22"/>
          <w:szCs w:val="22"/>
        </w:rPr>
        <w:t>Nature Reviews Neuroscience</w:t>
      </w:r>
      <w:r w:rsidRPr="003E72B8">
        <w:rPr>
          <w:rFonts w:ascii="Arial" w:hAnsi="Arial" w:cs="Arial"/>
          <w:sz w:val="22"/>
          <w:szCs w:val="22"/>
        </w:rPr>
        <w:t>, 23(3), pp. 125–138.</w:t>
      </w:r>
    </w:p>
    <w:p w14:paraId="62B2C937"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Faraone, S. et al. (2021) ‘The ADHD spectrum: clinical and neurobiological perspectives’, </w:t>
      </w:r>
      <w:r w:rsidRPr="003E72B8">
        <w:rPr>
          <w:rFonts w:ascii="Arial" w:hAnsi="Arial" w:cs="Arial"/>
          <w:i/>
          <w:iCs/>
          <w:sz w:val="22"/>
          <w:szCs w:val="22"/>
        </w:rPr>
        <w:t>Molecular Psychiatry</w:t>
      </w:r>
      <w:r w:rsidRPr="003E72B8">
        <w:rPr>
          <w:rFonts w:ascii="Arial" w:hAnsi="Arial" w:cs="Arial"/>
          <w:sz w:val="22"/>
          <w:szCs w:val="22"/>
        </w:rPr>
        <w:t>, 26(2), pp. 528–544.</w:t>
      </w:r>
    </w:p>
    <w:p w14:paraId="7FDE40EF"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Hinshaw, S. and Scheffler, R. (2019) </w:t>
      </w:r>
      <w:r w:rsidRPr="003E72B8">
        <w:rPr>
          <w:rFonts w:ascii="Arial" w:hAnsi="Arial" w:cs="Arial"/>
          <w:i/>
          <w:iCs/>
          <w:sz w:val="22"/>
          <w:szCs w:val="22"/>
        </w:rPr>
        <w:t>ADHD Nation: The shaping of behaviour and diagnosis.</w:t>
      </w:r>
      <w:r w:rsidRPr="003E72B8">
        <w:rPr>
          <w:rFonts w:ascii="Arial" w:hAnsi="Arial" w:cs="Arial"/>
          <w:sz w:val="22"/>
          <w:szCs w:val="22"/>
        </w:rPr>
        <w:t xml:space="preserve"> Oxford University Press.</w:t>
      </w:r>
    </w:p>
    <w:p w14:paraId="0C6E0EA2"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Hinshaw, S. et al. (2020) ‘Gender differences in ADHD: diagnostic challenges’, </w:t>
      </w:r>
      <w:r w:rsidRPr="003E72B8">
        <w:rPr>
          <w:rFonts w:ascii="Arial" w:hAnsi="Arial" w:cs="Arial"/>
          <w:i/>
          <w:iCs/>
          <w:sz w:val="22"/>
          <w:szCs w:val="22"/>
        </w:rPr>
        <w:t>Clinical Psychology Science</w:t>
      </w:r>
      <w:r w:rsidRPr="003E72B8">
        <w:rPr>
          <w:rFonts w:ascii="Arial" w:hAnsi="Arial" w:cs="Arial"/>
          <w:sz w:val="22"/>
          <w:szCs w:val="22"/>
        </w:rPr>
        <w:t>, 8(2), pp. 148–163.</w:t>
      </w:r>
    </w:p>
    <w:p w14:paraId="75340F6D"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Kapp, S. (2020) </w:t>
      </w:r>
      <w:r w:rsidRPr="003E72B8">
        <w:rPr>
          <w:rFonts w:ascii="Arial" w:hAnsi="Arial" w:cs="Arial"/>
          <w:i/>
          <w:iCs/>
          <w:sz w:val="22"/>
          <w:szCs w:val="22"/>
        </w:rPr>
        <w:t>Autistic community and the neurodiversity movement.</w:t>
      </w:r>
      <w:r w:rsidRPr="003E72B8">
        <w:rPr>
          <w:rFonts w:ascii="Arial" w:hAnsi="Arial" w:cs="Arial"/>
          <w:sz w:val="22"/>
          <w:szCs w:val="22"/>
        </w:rPr>
        <w:t xml:space="preserve"> Singapore: Springer.</w:t>
      </w:r>
    </w:p>
    <w:p w14:paraId="6940B9BD"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Knouse, L. and Safren, S. (2023) ‘Cognitive-behavioural therapy for adult ADHD’, </w:t>
      </w:r>
      <w:r w:rsidRPr="003E72B8">
        <w:rPr>
          <w:rFonts w:ascii="Arial" w:hAnsi="Arial" w:cs="Arial"/>
          <w:i/>
          <w:iCs/>
          <w:sz w:val="22"/>
          <w:szCs w:val="22"/>
        </w:rPr>
        <w:t>Annual Review of Clinical Psychology</w:t>
      </w:r>
      <w:r w:rsidRPr="003E72B8">
        <w:rPr>
          <w:rFonts w:ascii="Arial" w:hAnsi="Arial" w:cs="Arial"/>
          <w:sz w:val="22"/>
          <w:szCs w:val="22"/>
        </w:rPr>
        <w:t>, 19, pp. 135–157.</w:t>
      </w:r>
    </w:p>
    <w:p w14:paraId="73226C49"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MTA Cooperative Group (1999) ‘A 14-month randomized clinical trial of treatment strategies for ADHD’, </w:t>
      </w:r>
      <w:r w:rsidRPr="003E72B8">
        <w:rPr>
          <w:rFonts w:ascii="Arial" w:hAnsi="Arial" w:cs="Arial"/>
          <w:i/>
          <w:iCs/>
          <w:sz w:val="22"/>
          <w:szCs w:val="22"/>
        </w:rPr>
        <w:t>Archives of General Psychiatry</w:t>
      </w:r>
      <w:r w:rsidRPr="003E72B8">
        <w:rPr>
          <w:rFonts w:ascii="Arial" w:hAnsi="Arial" w:cs="Arial"/>
          <w:sz w:val="22"/>
          <w:szCs w:val="22"/>
        </w:rPr>
        <w:t>, 56(12), pp. 1073–1086.</w:t>
      </w:r>
    </w:p>
    <w:p w14:paraId="0AA12A8D"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NICE (2018) </w:t>
      </w:r>
      <w:r w:rsidRPr="003E72B8">
        <w:rPr>
          <w:rFonts w:ascii="Arial" w:hAnsi="Arial" w:cs="Arial"/>
          <w:i/>
          <w:iCs/>
          <w:sz w:val="22"/>
          <w:szCs w:val="22"/>
        </w:rPr>
        <w:t>Attention deficit hyperactivity disorder: diagnosis and management.</w:t>
      </w:r>
      <w:r w:rsidRPr="003E72B8">
        <w:rPr>
          <w:rFonts w:ascii="Arial" w:hAnsi="Arial" w:cs="Arial"/>
          <w:sz w:val="22"/>
          <w:szCs w:val="22"/>
        </w:rPr>
        <w:t xml:space="preserve"> London: National Institute for Health and Care Excellence.</w:t>
      </w:r>
    </w:p>
    <w:p w14:paraId="63EA2AC7"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Sibley, M. et al. (2022) ‘Long-term outcomes in ADHD: medication and beyond’, </w:t>
      </w:r>
      <w:r w:rsidRPr="003E72B8">
        <w:rPr>
          <w:rFonts w:ascii="Arial" w:hAnsi="Arial" w:cs="Arial"/>
          <w:i/>
          <w:iCs/>
          <w:sz w:val="22"/>
          <w:szCs w:val="22"/>
        </w:rPr>
        <w:t>American Journal of Psychiatry</w:t>
      </w:r>
      <w:r w:rsidRPr="003E72B8">
        <w:rPr>
          <w:rFonts w:ascii="Arial" w:hAnsi="Arial" w:cs="Arial"/>
          <w:sz w:val="22"/>
          <w:szCs w:val="22"/>
        </w:rPr>
        <w:t>, 179(10), pp. 742–754.</w:t>
      </w:r>
    </w:p>
    <w:p w14:paraId="2978000B"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Swanson, J. et al. (2017) ‘Long-term outcomes in ADHD: The MTA follow-up’, </w:t>
      </w:r>
      <w:r w:rsidRPr="003E72B8">
        <w:rPr>
          <w:rFonts w:ascii="Arial" w:hAnsi="Arial" w:cs="Arial"/>
          <w:i/>
          <w:iCs/>
          <w:sz w:val="22"/>
          <w:szCs w:val="22"/>
        </w:rPr>
        <w:t>Journal of the American Academy of Child and Adolescent Psychiatry</w:t>
      </w:r>
      <w:r w:rsidRPr="003E72B8">
        <w:rPr>
          <w:rFonts w:ascii="Arial" w:hAnsi="Arial" w:cs="Arial"/>
          <w:sz w:val="22"/>
          <w:szCs w:val="22"/>
        </w:rPr>
        <w:t>, 56(11), pp. 925–937.</w:t>
      </w:r>
    </w:p>
    <w:p w14:paraId="7BA6611C"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Timimi, S. (2020) ‘ADHD and medicalisation: A critical perspective’, </w:t>
      </w:r>
      <w:r w:rsidRPr="003E72B8">
        <w:rPr>
          <w:rFonts w:ascii="Arial" w:hAnsi="Arial" w:cs="Arial"/>
          <w:i/>
          <w:iCs/>
          <w:sz w:val="22"/>
          <w:szCs w:val="22"/>
        </w:rPr>
        <w:t>Social Science &amp; Medicine</w:t>
      </w:r>
      <w:r w:rsidRPr="003E72B8">
        <w:rPr>
          <w:rFonts w:ascii="Arial" w:hAnsi="Arial" w:cs="Arial"/>
          <w:sz w:val="22"/>
          <w:szCs w:val="22"/>
        </w:rPr>
        <w:t>, 260, 113176.</w:t>
      </w:r>
    </w:p>
    <w:p w14:paraId="38E87B70"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Visser, S. et al. (2019) ‘Global prevalence and trends in ADHD diagnosis’, </w:t>
      </w:r>
      <w:r w:rsidRPr="003E72B8">
        <w:rPr>
          <w:rFonts w:ascii="Arial" w:hAnsi="Arial" w:cs="Arial"/>
          <w:i/>
          <w:iCs/>
          <w:sz w:val="22"/>
          <w:szCs w:val="22"/>
        </w:rPr>
        <w:t>Global Health Journal</w:t>
      </w:r>
      <w:r w:rsidRPr="003E72B8">
        <w:rPr>
          <w:rFonts w:ascii="Arial" w:hAnsi="Arial" w:cs="Arial"/>
          <w:sz w:val="22"/>
          <w:szCs w:val="22"/>
        </w:rPr>
        <w:t>, 4(3), pp. 87–98.</w:t>
      </w:r>
    </w:p>
    <w:p w14:paraId="49D452BA" w14:textId="77777777" w:rsidR="003E72B8" w:rsidRPr="003E72B8" w:rsidRDefault="003E72B8" w:rsidP="003E72B8">
      <w:pPr>
        <w:spacing w:line="360" w:lineRule="auto"/>
        <w:rPr>
          <w:rFonts w:ascii="Arial" w:hAnsi="Arial" w:cs="Arial"/>
          <w:sz w:val="22"/>
          <w:szCs w:val="22"/>
        </w:rPr>
      </w:pPr>
      <w:r w:rsidRPr="003E72B8">
        <w:rPr>
          <w:rFonts w:ascii="Arial" w:hAnsi="Arial" w:cs="Arial"/>
          <w:sz w:val="22"/>
          <w:szCs w:val="22"/>
        </w:rPr>
        <w:t xml:space="preserve">WHO (2019) </w:t>
      </w:r>
      <w:r w:rsidRPr="003E72B8">
        <w:rPr>
          <w:rFonts w:ascii="Arial" w:hAnsi="Arial" w:cs="Arial"/>
          <w:i/>
          <w:iCs/>
          <w:sz w:val="22"/>
          <w:szCs w:val="22"/>
        </w:rPr>
        <w:t>International Classification of Diseases 11th Revision (ICD-11).</w:t>
      </w:r>
      <w:r w:rsidRPr="003E72B8">
        <w:rPr>
          <w:rFonts w:ascii="Arial" w:hAnsi="Arial" w:cs="Arial"/>
          <w:sz w:val="22"/>
          <w:szCs w:val="22"/>
        </w:rPr>
        <w:t xml:space="preserve"> Geneva: World Health Organization.</w:t>
      </w:r>
    </w:p>
    <w:p w14:paraId="12E4790D" w14:textId="77777777" w:rsidR="00950825" w:rsidRPr="00950825" w:rsidRDefault="00950825" w:rsidP="003E72B8">
      <w:pPr>
        <w:spacing w:line="360" w:lineRule="auto"/>
        <w:rPr>
          <w:rFonts w:ascii="Arial" w:hAnsi="Arial" w:cs="Arial"/>
          <w:sz w:val="22"/>
          <w:szCs w:val="22"/>
        </w:rPr>
      </w:pPr>
    </w:p>
    <w:p w14:paraId="33C68363" w14:textId="77777777" w:rsidR="00E16D7E" w:rsidRPr="00E16D7E" w:rsidRDefault="00E16D7E" w:rsidP="003E72B8">
      <w:pPr>
        <w:spacing w:line="360" w:lineRule="auto"/>
        <w:rPr>
          <w:rFonts w:ascii="Arial" w:hAnsi="Arial" w:cs="Arial"/>
          <w:sz w:val="22"/>
          <w:szCs w:val="22"/>
        </w:rPr>
      </w:pPr>
    </w:p>
    <w:p w14:paraId="3C310C1A" w14:textId="77777777" w:rsidR="00DD4B9E" w:rsidRPr="00DD4B9E" w:rsidRDefault="00DD4B9E" w:rsidP="003E72B8">
      <w:pPr>
        <w:spacing w:line="360" w:lineRule="auto"/>
        <w:rPr>
          <w:rFonts w:ascii="Arial" w:hAnsi="Arial" w:cs="Arial"/>
          <w:b/>
          <w:bCs/>
          <w:sz w:val="22"/>
          <w:szCs w:val="22"/>
        </w:rPr>
      </w:pPr>
    </w:p>
    <w:p w14:paraId="423BAD3B" w14:textId="77777777" w:rsidR="00DD4B9E" w:rsidRPr="00DD4B9E" w:rsidRDefault="00DD4B9E" w:rsidP="003E72B8">
      <w:pPr>
        <w:spacing w:line="360" w:lineRule="auto"/>
        <w:rPr>
          <w:rFonts w:ascii="Arial" w:hAnsi="Arial" w:cs="Arial"/>
          <w:sz w:val="22"/>
          <w:szCs w:val="22"/>
        </w:rPr>
      </w:pPr>
    </w:p>
    <w:p w14:paraId="255F1F5C" w14:textId="77777777" w:rsidR="00DD4B9E" w:rsidRPr="001707ED" w:rsidRDefault="00DD4B9E" w:rsidP="003E72B8">
      <w:pPr>
        <w:spacing w:line="360" w:lineRule="auto"/>
        <w:rPr>
          <w:rFonts w:ascii="Arial" w:hAnsi="Arial" w:cs="Arial"/>
          <w:sz w:val="22"/>
          <w:szCs w:val="22"/>
        </w:rPr>
      </w:pPr>
    </w:p>
    <w:sectPr w:rsidR="00DD4B9E" w:rsidRPr="001707E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7B5E" w14:textId="77777777" w:rsidR="00E75954" w:rsidRDefault="00E75954" w:rsidP="000264A1">
      <w:pPr>
        <w:spacing w:after="0" w:line="240" w:lineRule="auto"/>
      </w:pPr>
      <w:r>
        <w:separator/>
      </w:r>
    </w:p>
  </w:endnote>
  <w:endnote w:type="continuationSeparator" w:id="0">
    <w:p w14:paraId="1C787697" w14:textId="77777777" w:rsidR="00E75954" w:rsidRDefault="00E7595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530012"/>
      <w:docPartObj>
        <w:docPartGallery w:val="Page Numbers (Bottom of Page)"/>
        <w:docPartUnique/>
      </w:docPartObj>
    </w:sdtPr>
    <w:sdtEndPr>
      <w:rPr>
        <w:noProof/>
      </w:rPr>
    </w:sdtEndPr>
    <w:sdtContent>
      <w:p w14:paraId="05EFEBE0" w14:textId="0E5A8CDD" w:rsidR="003E72B8" w:rsidRDefault="003E72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7678C" w14:textId="77777777" w:rsidR="00E75954" w:rsidRDefault="00E75954" w:rsidP="000264A1">
      <w:pPr>
        <w:spacing w:after="0" w:line="240" w:lineRule="auto"/>
      </w:pPr>
      <w:r>
        <w:separator/>
      </w:r>
    </w:p>
  </w:footnote>
  <w:footnote w:type="continuationSeparator" w:id="0">
    <w:p w14:paraId="076F8067" w14:textId="77777777" w:rsidR="00E75954" w:rsidRDefault="00E75954"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34C46"/>
    <w:multiLevelType w:val="multilevel"/>
    <w:tmpl w:val="A4E8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04527F"/>
    <w:multiLevelType w:val="multilevel"/>
    <w:tmpl w:val="528C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D4B81"/>
    <w:multiLevelType w:val="multilevel"/>
    <w:tmpl w:val="D4F6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950FAA"/>
    <w:multiLevelType w:val="multilevel"/>
    <w:tmpl w:val="2550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DC55BD"/>
    <w:multiLevelType w:val="multilevel"/>
    <w:tmpl w:val="11BCB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012C76"/>
    <w:multiLevelType w:val="multilevel"/>
    <w:tmpl w:val="DC7E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204F94"/>
    <w:multiLevelType w:val="multilevel"/>
    <w:tmpl w:val="53AC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D2630B"/>
    <w:multiLevelType w:val="multilevel"/>
    <w:tmpl w:val="9DBA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0F121B"/>
    <w:multiLevelType w:val="multilevel"/>
    <w:tmpl w:val="887C5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7985078">
    <w:abstractNumId w:val="7"/>
  </w:num>
  <w:num w:numId="2" w16cid:durableId="863324654">
    <w:abstractNumId w:val="3"/>
  </w:num>
  <w:num w:numId="3" w16cid:durableId="400833331">
    <w:abstractNumId w:val="6"/>
  </w:num>
  <w:num w:numId="4" w16cid:durableId="1780486104">
    <w:abstractNumId w:val="1"/>
  </w:num>
  <w:num w:numId="5" w16cid:durableId="1627201353">
    <w:abstractNumId w:val="8"/>
  </w:num>
  <w:num w:numId="6" w16cid:durableId="620578355">
    <w:abstractNumId w:val="2"/>
  </w:num>
  <w:num w:numId="7" w16cid:durableId="977415482">
    <w:abstractNumId w:val="5"/>
  </w:num>
  <w:num w:numId="8" w16cid:durableId="1928731493">
    <w:abstractNumId w:val="4"/>
  </w:num>
  <w:num w:numId="9" w16cid:durableId="1017852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1707ED"/>
    <w:rsid w:val="003E72B8"/>
    <w:rsid w:val="00556503"/>
    <w:rsid w:val="00637171"/>
    <w:rsid w:val="00722ABC"/>
    <w:rsid w:val="00843325"/>
    <w:rsid w:val="008A6D32"/>
    <w:rsid w:val="00950825"/>
    <w:rsid w:val="00B90474"/>
    <w:rsid w:val="00DD4B9E"/>
    <w:rsid w:val="00E16D7E"/>
    <w:rsid w:val="00E75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Header">
    <w:name w:val="header"/>
    <w:basedOn w:val="Normal"/>
    <w:link w:val="HeaderChar"/>
    <w:uiPriority w:val="99"/>
    <w:unhideWhenUsed/>
    <w:rsid w:val="003E72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2B8"/>
  </w:style>
  <w:style w:type="paragraph" w:styleId="TOCHeading">
    <w:name w:val="TOC Heading"/>
    <w:basedOn w:val="Heading1"/>
    <w:next w:val="Normal"/>
    <w:uiPriority w:val="39"/>
    <w:unhideWhenUsed/>
    <w:qFormat/>
    <w:rsid w:val="001707E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707ED"/>
    <w:pPr>
      <w:spacing w:after="100"/>
    </w:pPr>
  </w:style>
  <w:style w:type="paragraph" w:styleId="TOC2">
    <w:name w:val="toc 2"/>
    <w:basedOn w:val="Normal"/>
    <w:next w:val="Normal"/>
    <w:autoRedefine/>
    <w:uiPriority w:val="39"/>
    <w:unhideWhenUsed/>
    <w:rsid w:val="001707ED"/>
    <w:pPr>
      <w:spacing w:after="100"/>
      <w:ind w:left="240"/>
    </w:pPr>
  </w:style>
  <w:style w:type="character" w:styleId="Hyperlink">
    <w:name w:val="Hyperlink"/>
    <w:basedOn w:val="DefaultParagraphFont"/>
    <w:uiPriority w:val="99"/>
    <w:unhideWhenUsed/>
    <w:rsid w:val="001707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FB565-5474-484E-93F3-811210B29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2828</Words>
  <Characters>20167</Characters>
  <Application>Microsoft Office Word</Application>
  <DocSecurity>0</DocSecurity>
  <Lines>960</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marta proca</cp:lastModifiedBy>
  <cp:revision>2</cp:revision>
  <dcterms:created xsi:type="dcterms:W3CDTF">2026-04-15T22:33:00Z</dcterms:created>
  <dcterms:modified xsi:type="dcterms:W3CDTF">2026-04-15T22:33:00Z</dcterms:modified>
</cp:coreProperties>
</file>