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5"/>
        <w:spacing w:beforeAutospacing="0" w:afterAutospacing="0"/>
        <w:ind w:left="-180" w:right="-334"/>
      </w:pPr>
      <w:bookmarkStart w:id="0" w:name="OLE_LINK6"/>
      <w:r>
        <w:rPr>
          <w:lang w:eastAsia="en-GB"/>
        </w:rPr>
        <w:drawing>
          <wp:inline distT="0" distB="0" distL="114300" distR="114300">
            <wp:extent cx="2058035" cy="856615"/>
            <wp:effectExtent l="0" t="0" r="18415" b="635"/>
            <wp:docPr id="5" name="图片 5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C:\Users\ablettm\AppData\Local\Microsoft\Windows\Temporary Internet Files\Content.Outlook\R41HOZLM\UWTSD Logo.jpg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58035" cy="856615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5"/>
        <w:spacing w:beforeAutospacing="0" w:afterAutospacing="0"/>
        <w:ind w:left="-180" w:right="-334"/>
      </w:pPr>
    </w:p>
    <w:p>
      <w:pPr>
        <w:pStyle w:val="5"/>
        <w:spacing w:beforeAutospacing="0" w:afterAutospacing="0"/>
        <w:ind w:left="-180" w:right="-334"/>
      </w:pPr>
    </w:p>
    <w:p>
      <w:pPr>
        <w:pStyle w:val="5"/>
        <w:spacing w:beforeAutospacing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>Postgraduate/Distance Learning</w:t>
      </w:r>
    </w:p>
    <w:p>
      <w:pPr>
        <w:pStyle w:val="5"/>
        <w:spacing w:beforeAutospacing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>
      <w:pPr>
        <w:jc w:val="center"/>
        <w:rPr>
          <w:rFonts w:ascii="Arial" w:hAnsi="Arial" w:cs="Arial"/>
          <w:sz w:val="28"/>
          <w:szCs w:val="28"/>
          <w:lang w:val="cy-GB"/>
        </w:rPr>
      </w:pPr>
    </w:p>
    <w:p>
      <w:pPr>
        <w:pStyle w:val="2"/>
        <w:ind w:left="0" w:leftChars="0" w:firstLine="0" w:firstLineChars="0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>
      <w:pPr>
        <w:rPr>
          <w:lang w:val="cy-GB"/>
        </w:rPr>
      </w:pPr>
    </w:p>
    <w:p>
      <w:pPr>
        <w:pStyle w:val="2"/>
        <w:jc w:val="center"/>
        <w:rPr>
          <w:rFonts w:ascii="Trebuchet MS" w:hAnsi="Trebuchet MS"/>
        </w:rPr>
      </w:pPr>
    </w:p>
    <w:tbl>
      <w:tblPr>
        <w:tblStyle w:val="7"/>
        <w:tblW w:w="8856" w:type="dxa"/>
        <w:jc w:val="center"/>
        <w:tblInd w:w="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788"/>
        <w:gridCol w:w="423"/>
        <w:gridCol w:w="1557"/>
        <w:gridCol w:w="286"/>
        <w:gridCol w:w="1802"/>
      </w:tblGrid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614" w:hRule="atLeast"/>
          <w:jc w:val="center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18" w:hRule="atLeast"/>
          <w:jc w:val="center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cs="Arial" w:eastAsiaTheme="minorEastAsia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Yiwen Yang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849" w:hRule="atLeast"/>
          <w:jc w:val="center"/>
        </w:trPr>
        <w:tc>
          <w:tcPr>
            <w:tcW w:w="4788" w:type="dxa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hint="eastAsia" w:ascii="Arial" w:hAnsi="Arial" w:cs="Arial"/>
                <w:sz w:val="22"/>
                <w:szCs w:val="22"/>
              </w:rPr>
              <w:t>SICH3003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Explaining and memorizing the classical Chinese text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cs="Arial" w:eastAsiaTheme="minorEastAsia"/>
                <w:sz w:val="22"/>
                <w:szCs w:val="22"/>
                <w:lang w:eastAsia="zh-CN"/>
              </w:rPr>
            </w:pPr>
            <w:r>
              <w:rPr>
                <w:rFonts w:hint="eastAsia" w:ascii="Arial" w:hAnsi="Arial" w:cs="Arial"/>
                <w:sz w:val="22"/>
                <w:szCs w:val="22"/>
              </w:rPr>
              <w:t>180438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2</w:t>
            </w:r>
          </w:p>
        </w:tc>
        <w:tc>
          <w:tcPr>
            <w:tcW w:w="1802" w:type="dxa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139" w:hRule="atLeast"/>
          <w:jc w:val="center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hint="eastAsia" w:ascii="Arial" w:hAnsi="Arial" w:cs="Arial"/>
                <w:sz w:val="22"/>
                <w:szCs w:val="22"/>
              </w:rPr>
              <w:t xml:space="preserve"> Professor Chia-Feng Hsieh 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date:11</w:t>
            </w:r>
            <w:r>
              <w:rPr>
                <w:rFonts w:hint="eastAsia" w:ascii="Arial" w:hAnsi="Arial" w:cs="Arial"/>
                <w:sz w:val="22"/>
                <w:szCs w:val="22"/>
              </w:rPr>
              <w:t>th January, 2019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978" w:hRule="atLeast"/>
          <w:jc w:val="center"/>
        </w:trPr>
        <w:tc>
          <w:tcPr>
            <w:tcW w:w="8856" w:type="dxa"/>
            <w:gridSpan w:val="5"/>
            <w:tcBorders>
              <w:bottom w:val="single" w:color="000000" w:sz="4" w:space="0"/>
            </w:tcBorders>
          </w:tcPr>
          <w:p>
            <w:pPr>
              <w:rPr>
                <w:rFonts w:hint="eastAsia" w:ascii="Arial" w:hAnsi="Arial" w:cs="Arial" w:eastAsiaTheme="minorEastAsia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 please indicate which piece of work this is</w:t>
            </w:r>
            <w:r>
              <w:rPr>
                <w:rFonts w:hint="eastAsia" w:ascii="Arial" w:hAnsi="Arial" w:cs="Arial"/>
                <w:sz w:val="22"/>
                <w:szCs w:val="22"/>
                <w:lang w:eastAsia="zh-CN"/>
              </w:rPr>
              <w:t>、</w:t>
            </w:r>
          </w:p>
          <w:p>
            <w:pPr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>
              <w:rPr>
                <w:rFonts w:hint="eastAsia" w:ascii="Arial" w:hAnsi="Arial" w:cs="Arial"/>
                <w:sz w:val="22"/>
                <w:szCs w:val="22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14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>
              <w:rPr>
                <w:rFonts w:ascii="Arial" w:hAnsi="Arial" w:cs="Arial"/>
                <w:sz w:val="22"/>
                <w:szCs w:val="22"/>
              </w:rPr>
              <w:t xml:space="preserve"> √ 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3" w:name="Check15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4" w:name="Check16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5" w:name="Check17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6" w:name="Check18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6"/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978" w:hRule="atLeast"/>
          <w:jc w:val="center"/>
        </w:trPr>
        <w:tc>
          <w:tcPr>
            <w:tcW w:w="8856" w:type="dxa"/>
            <w:gridSpan w:val="5"/>
            <w:shd w:val="clear" w:color="auto" w:fill="D9D9D9"/>
          </w:tcPr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cs="Arial" w:eastAsiaTheme="minorEastAsia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</w:t>
            </w:r>
            <w:r>
              <w:rPr>
                <w:rFonts w:hint="eastAsia" w:ascii="Arial" w:hAnsi="Arial" w:cs="Arial"/>
                <w:sz w:val="22"/>
                <w:szCs w:val="22"/>
                <w:lang w:eastAsia="zh-CN"/>
              </w:rPr>
              <w:t>、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Yiwen Yang</w:t>
            </w:r>
            <w:r>
              <w:rPr>
                <w:rFonts w:ascii="Arial" w:hAnsi="Arial" w:cs="Arial"/>
                <w:sz w:val="22"/>
                <w:szCs w:val="22"/>
              </w:rPr>
              <w:t>……………………………………………………………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</w:rPr>
              <w:t>Email submission: if you are submitting this form via email, please tick this box</w:t>
            </w:r>
            <w:r>
              <w:rPr>
                <w:rFonts w:ascii="Calibri" w:hAnsi="Calibri" w:cs="Tahoma"/>
                <w:b/>
                <w:sz w:val="36"/>
                <w:szCs w:val="36"/>
              </w:rPr>
              <w:sym w:font="Wingdings" w:char="00FE"/>
            </w:r>
          </w:p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cs="Arial" w:eastAsiaTheme="minorEastAsia"/>
                <w:sz w:val="22"/>
                <w:szCs w:val="22"/>
                <w:lang w:eastAsia="zh-CN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</w:t>
            </w:r>
            <w:r>
              <w:rPr>
                <w:rFonts w:hint="eastAsia" w:ascii="Calibri" w:hAnsi="Calibri" w:cs="Tahoma"/>
                <w:b/>
                <w:lang w:eastAsia="zh-CN"/>
              </w:rPr>
              <w:t>、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972" w:hRule="atLeast"/>
          <w:jc w:val="center"/>
        </w:trPr>
        <w:tc>
          <w:tcPr>
            <w:tcW w:w="8856" w:type="dxa"/>
            <w:gridSpan w:val="5"/>
          </w:tcPr>
          <w:p>
            <w:pPr>
              <w:rPr>
                <w:rFonts w:ascii="Arial" w:hAnsi="Arial"/>
                <w:b/>
              </w:rPr>
            </w:pPr>
          </w:p>
          <w:p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Style w:val="7"/>
              <w:tblW w:w="8630" w:type="dxa"/>
              <w:tblInd w:w="0" w:type="dxa"/>
              <w:tblBorders>
                <w:top w:val="single" w:color="auto" w:sz="4" w:space="0"/>
                <w:left w:val="single" w:color="auto" w:sz="4" w:space="0"/>
                <w:bottom w:val="single" w:color="auto" w:sz="4" w:space="0"/>
                <w:right w:val="single" w:color="auto" w:sz="4" w:space="0"/>
                <w:insideH w:val="single" w:color="auto" w:sz="4" w:space="0"/>
                <w:insideV w:val="single" w:color="auto" w:sz="4" w:space="0"/>
              </w:tblBorders>
              <w:tblLayout w:type="fixed"/>
              <w:tblCellMar>
                <w:top w:w="0" w:type="dxa"/>
                <w:left w:w="108" w:type="dxa"/>
                <w:bottom w:w="0" w:type="dxa"/>
                <w:right w:w="108" w:type="dxa"/>
              </w:tblCellMar>
            </w:tblPr>
            <w:tblGrid>
              <w:gridCol w:w="6970"/>
              <w:gridCol w:w="1660"/>
            </w:tblGrid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  <w:p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>
            <w:pPr>
              <w:pStyle w:val="5"/>
              <w:spacing w:beforeAutospacing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left="142" w:right="34"/>
              <w:rPr>
                <w:rFonts w:hint="eastAsia" w:ascii="Arial" w:hAnsi="Arial" w:cs="Arial" w:eastAsiaTheme="minorEastAsia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</w:t>
            </w:r>
            <w:r>
              <w:rPr>
                <w:rFonts w:hint="eastAsia" w:ascii="Arial" w:hAnsi="Arial" w:cs="Arial"/>
                <w:b/>
                <w:sz w:val="22"/>
                <w:szCs w:val="22"/>
                <w:lang w:eastAsia="zh-CN"/>
              </w:rPr>
              <w:t>、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</w:t>
            </w:r>
            <w:r>
              <w:rPr>
                <w:rFonts w:hint="eastAsia" w:ascii="Arial" w:hAnsi="Arial" w:cs="Arial"/>
                <w:sz w:val="22"/>
                <w:szCs w:val="22"/>
                <w:lang w:eastAsia="zh-CN"/>
              </w:rPr>
              <w:t>、</w:t>
            </w: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>
            <w:pPr>
              <w:pStyle w:val="5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>
            <w:pPr>
              <w:pStyle w:val="5"/>
              <w:rPr>
                <w:rFonts w:ascii="Arial" w:hAnsi="Arial" w:cs="Arial"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92" w:hRule="atLeast"/>
          <w:jc w:val="center"/>
        </w:trPr>
        <w:tc>
          <w:tcPr>
            <w:tcW w:w="6768" w:type="dxa"/>
            <w:gridSpan w:val="3"/>
          </w:tcPr>
          <w:p>
            <w:pPr>
              <w:pStyle w:val="5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>
            <w:pPr>
              <w:pStyle w:val="5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  <w:jc w:val="center"/>
        </w:trPr>
        <w:tc>
          <w:tcPr>
            <w:tcW w:w="5211" w:type="dxa"/>
            <w:gridSpan w:val="2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  <w:jc w:val="center"/>
        </w:trPr>
        <w:tc>
          <w:tcPr>
            <w:tcW w:w="8856" w:type="dxa"/>
            <w:gridSpan w:val="5"/>
          </w:tcPr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 on process on arriving at agreed mark:</w:t>
            </w: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  <w:jc w:val="center"/>
        </w:trPr>
        <w:tc>
          <w:tcPr>
            <w:tcW w:w="8856" w:type="dxa"/>
            <w:gridSpan w:val="5"/>
          </w:tcPr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  <w:jc w:val="center"/>
        </w:trPr>
        <w:tc>
          <w:tcPr>
            <w:tcW w:w="5211" w:type="dxa"/>
            <w:gridSpan w:val="2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bookmarkEnd w:id="0"/>
    </w:tbl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</w:p>
    <w:p>
      <w:pPr>
        <w:jc w:val="center"/>
        <w:rPr>
          <w:rFonts w:ascii="DFKai-SB" w:hAnsi="DFKai-SB" w:eastAsia="DFKai-SB" w:cs="DFKai-SB"/>
          <w:sz w:val="36"/>
          <w:szCs w:val="36"/>
          <w:lang w:eastAsia="zh-TW"/>
        </w:rPr>
      </w:pPr>
      <w:r>
        <w:rPr>
          <w:rFonts w:hint="eastAsia" w:ascii="DFKai-SB" w:hAnsi="DFKai-SB" w:eastAsia="DFKai-SB" w:cs="DFKai-SB"/>
          <w:sz w:val="36"/>
          <w:szCs w:val="36"/>
          <w:lang w:eastAsia="zh-TW"/>
        </w:rPr>
        <w:t>背誦內容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lang w:val="en-US" w:eastAsia="zh-CN"/>
        </w:rPr>
      </w:pP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lang w:val="en-US" w:eastAsia="zh-CN"/>
        </w:rPr>
        <w:t>注：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red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red"/>
          <w:lang w:val="en-US" w:eastAsia="zh-CN"/>
        </w:rPr>
        <w:t>紅色：背錯（多背了一個字）</w:t>
      </w:r>
    </w:p>
    <w:p>
      <w:pPr>
        <w:rPr>
          <w:rFonts w:ascii="PMingLiU" w:hAnsi="PMingLiU" w:eastAsia="PMingLiU" w:cs="PMingLiU"/>
          <w:sz w:val="28"/>
          <w:szCs w:val="28"/>
          <w:lang w:eastAsia="zh-TW"/>
        </w:rPr>
      </w:pPr>
    </w:p>
    <w:p>
      <w:pPr>
        <w:rPr>
          <w:rFonts w:ascii="PMingLiU" w:hAnsi="PMingLiU" w:eastAsia="PMingLiU" w:cs="PMingLiU"/>
          <w:sz w:val="28"/>
          <w:szCs w:val="28"/>
          <w:lang w:eastAsia="zh-TW"/>
        </w:rPr>
      </w:pPr>
      <w:r>
        <w:rPr>
          <w:rFonts w:hint="eastAsia" w:ascii="PMingLiU" w:hAnsi="PMingLiU" w:eastAsia="PMingLiU" w:cs="PMingLiU"/>
          <w:sz w:val="28"/>
          <w:szCs w:val="28"/>
          <w:lang w:eastAsia="zh-TW"/>
        </w:rPr>
        <w:t>《大學》背誦：</w:t>
      </w:r>
    </w:p>
    <w:p>
      <w:pPr>
        <w:numPr>
          <w:ilvl w:val="0"/>
          <w:numId w:val="0"/>
        </w:numPr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1、</w:t>
      </w:r>
      <w:r>
        <w:rPr>
          <w:rFonts w:hint="eastAsia" w:ascii="DFKai-SB" w:hAnsi="DFKai-SB" w:eastAsia="DFKai-SB" w:cs="DFKai-SB"/>
          <w:sz w:val="28"/>
          <w:szCs w:val="28"/>
        </w:rPr>
        <w:t>大學之道：在明明德，在親民，在止於至善。知止而后有定，定而后能靜，靜而后能安，安而后能慮，慮而后能得。物有本末，事有終始，知所先後，則近道矣。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</w:rPr>
        <w:t>古之欲明明德於天下者，先治其國；欲治其國者，先齊其家；欲齊其家者，先脩其身；欲脩其身者，先正其心；欲正其心者，先誠其意；欲誠其意者，先致其知，致知在格物。物格而后知至，知至而后意誠，意誠而后心正，心正而后身脩，身脩而后家齊，家齊而后國治，國治而后天下平。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</w:rPr>
        <w:t>自天子以至於庶人，壹是皆以脩身為本。其本亂而末治者否矣，其所厚者薄，而其所薄者厚，未之有也！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</w:rPr>
        <w:t>此謂知本，此謂知之至也。</w:t>
      </w:r>
    </w:p>
    <w:p>
      <w:pPr>
        <w:rPr>
          <w:rFonts w:hint="eastAsia" w:ascii="DFKai-SB" w:hAnsi="DFKai-SB" w:eastAsia="DFKai-SB" w:cs="DFKai-SB"/>
          <w:sz w:val="28"/>
          <w:szCs w:val="28"/>
        </w:rPr>
      </w:pPr>
    </w:p>
    <w:p>
      <w:pPr>
        <w:numPr>
          <w:ilvl w:val="0"/>
          <w:numId w:val="0"/>
        </w:numPr>
        <w:ind w:leftChars="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2、</w:t>
      </w:r>
      <w:r>
        <w:rPr>
          <w:rFonts w:hint="eastAsia" w:ascii="DFKai-SB" w:hAnsi="DFKai-SB" w:eastAsia="DFKai-SB" w:cs="DFKai-SB"/>
          <w:sz w:val="28"/>
          <w:szCs w:val="28"/>
        </w:rPr>
        <w:t>所謂誠其意者，毋自欺也。如惡惡臭，如好好色，此之謂自謙。故君子必慎其獨也。小人閒居為不善，無所不至；見君子而後厭然，揜其不善，而著其善。人之視己，如見其肺肝然，則何益矣？此謂誠於中，形於外，故君子必慎其獨也。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</w:rPr>
      </w:pPr>
      <w:r>
        <w:rPr>
          <w:rFonts w:hint="eastAsia" w:ascii="DFKai-SB" w:hAnsi="DFKai-SB" w:eastAsia="DFKai-SB" w:cs="DFKai-SB"/>
          <w:sz w:val="28"/>
          <w:szCs w:val="28"/>
        </w:rPr>
        <w:t>曾子曰：「十目所視，十手所指，其嚴乎！」富潤屋，德潤身，心廣體胖，故君子必誠其意。</w:t>
      </w:r>
    </w:p>
    <w:p>
      <w:pPr>
        <w:rPr>
          <w:rFonts w:hint="eastAsia" w:ascii="DFKai-SB" w:hAnsi="DFKai-SB" w:eastAsia="DFKai-SB" w:cs="DFKai-SB"/>
          <w:sz w:val="28"/>
          <w:szCs w:val="28"/>
        </w:rPr>
      </w:pPr>
    </w:p>
    <w:p>
      <w:pPr>
        <w:numPr>
          <w:ilvl w:val="0"/>
          <w:numId w:val="0"/>
        </w:numPr>
        <w:ind w:leftChars="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3、</w:t>
      </w:r>
      <w:r>
        <w:rPr>
          <w:rFonts w:hint="eastAsia" w:ascii="DFKai-SB" w:hAnsi="DFKai-SB" w:eastAsia="DFKai-SB" w:cs="DFKai-SB"/>
          <w:sz w:val="28"/>
          <w:szCs w:val="28"/>
          <w:lang w:eastAsia="zh-CN"/>
        </w:rPr>
        <w:t>所謂治國必先齊其家者，其家不可教而能教人者，無之。故君子不出家而成教於國。孝者，所以事君也；弟者，所以事長也；慈者，所以使眾也。〈康誥〉曰：「如保赤子」，心誠求之，雖不中，不遠矣。未有學養子而後嫁者也！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一家仁，一國興仁；一家讓，一國興讓；一人貪戾，一國作亂。其機如此。此謂一言僨事，一人定國。堯、舜帥天下以仁，而民從之；桀、紂帥天下以暴，而民從之。其所令反其所好，而民不從。是故君子有諸己而後求諸人，無諸己，而後非諸人。所藏乎身不恕，而能喻諸人者，未之有也。故治國在齊其家。</w:t>
      </w:r>
    </w:p>
    <w:p>
      <w:pPr>
        <w:rPr>
          <w:rFonts w:hint="eastAsia" w:ascii="DFKai-SB" w:hAnsi="DFKai-SB" w:eastAsia="DFKai-SB" w:cs="DFKai-SB"/>
          <w:sz w:val="28"/>
          <w:szCs w:val="28"/>
          <w:lang w:eastAsia="zh-CN"/>
        </w:rPr>
      </w:pPr>
    </w:p>
    <w:p>
      <w:pPr>
        <w:rPr>
          <w:rFonts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《中庸》背誦：</w:t>
      </w:r>
    </w:p>
    <w:p>
      <w:pPr>
        <w:numPr>
          <w:ilvl w:val="0"/>
          <w:numId w:val="1"/>
        </w:numPr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自誠明，謂之性；自明誠，謂之教。誠則明矣，明則誠矣。</w:t>
      </w:r>
    </w:p>
    <w:p>
      <w:pPr>
        <w:numPr>
          <w:ilvl w:val="0"/>
          <w:numId w:val="0"/>
        </w:num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唯天下至誠，為能盡其性；能盡其性，則能盡人之性；能盡人之性，則能盡物之性；能盡物之性，則可以贊天地之化育；可以贊天地之化育，則可以與天地參矣。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</w:p>
    <w:p>
      <w:pPr>
        <w:numPr>
          <w:ilvl w:val="0"/>
          <w:numId w:val="0"/>
        </w:numPr>
        <w:ind w:leftChars="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2、</w:t>
      </w:r>
      <w:r>
        <w:rPr>
          <w:rFonts w:hint="eastAsia" w:ascii="DFKai-SB" w:hAnsi="DFKai-SB" w:eastAsia="DFKai-SB" w:cs="DFKai-SB"/>
          <w:sz w:val="28"/>
          <w:szCs w:val="28"/>
          <w:lang w:eastAsia="zh-CN"/>
        </w:rPr>
        <w:t>凡事豫則立，不豫則廢。言前定則不跲，事前定則不困，行前定則不疚，道前定則不窮。</w:t>
      </w:r>
    </w:p>
    <w:p>
      <w:pPr>
        <w:numPr>
          <w:ilvl w:val="0"/>
          <w:numId w:val="0"/>
        </w:num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在下位不獲乎上，民不可得而治矣；獲乎上有道：不信乎朋友，不獲乎上矣；信乎朋友有道：不順乎親，不信乎朋友矣；順乎親有道：反諸身不誠，不順乎親矣；誠身有道：不明乎善，不誠乎身矣。</w:t>
      </w:r>
    </w:p>
    <w:p>
      <w:pPr>
        <w:numPr>
          <w:ilvl w:val="0"/>
          <w:numId w:val="0"/>
        </w:numPr>
        <w:ind w:leftChars="0"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誠者，天之道也；誠之者，人之道也。誠者不勉而中，不思而得，從容中道，聖人也。誠之者，擇善而固執之者也。</w:t>
      </w:r>
    </w:p>
    <w:p>
      <w:pPr>
        <w:numPr>
          <w:ilvl w:val="0"/>
          <w:numId w:val="0"/>
        </w:numPr>
        <w:ind w:leftChars="0"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博學之，審問之，慎思之，明辨之，篤行之。有弗學，學之弗能，弗措也；有弗問，問之弗知，弗措也；有弗思，思之弗得，弗措也；有弗辨，辨之弗明，弗措也，有弗行，行之弗篤，弗措也。人一能之己百之，人十能之己千之。果能此道矣，雖愚必明，雖柔必強。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</w:p>
    <w:p>
      <w:pPr>
        <w:numPr>
          <w:ilvl w:val="0"/>
          <w:numId w:val="0"/>
        </w:numPr>
        <w:spacing w:line="360" w:lineRule="auto"/>
        <w:ind w:leftChars="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3、</w:t>
      </w:r>
      <w:r>
        <w:rPr>
          <w:rFonts w:hint="eastAsia" w:ascii="DFKai-SB" w:hAnsi="DFKai-SB" w:eastAsia="DFKai-SB" w:cs="DFKai-SB"/>
          <w:sz w:val="28"/>
          <w:szCs w:val="28"/>
          <w:lang w:eastAsia="zh-CN"/>
        </w:rPr>
        <w:t>「君子素其位而行，不願乎其外。素富貴，行乎富貴；素貧賤，行乎貧賤；素夷狄，行乎夷狄；素患難，行乎患難：君子無入而不自得焉。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在上位不陵下，在下位不援上，正己而不求於人，則無怨。上不怨天，下不尤人。故君子居易以俟命，小人行險以徼幸。」</w:t>
      </w:r>
    </w:p>
    <w:p>
      <w:pPr>
        <w:numPr>
          <w:ilvl w:val="0"/>
          <w:numId w:val="0"/>
        </w:numPr>
        <w:spacing w:line="360" w:lineRule="auto"/>
        <w:ind w:leftChars="0"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子曰：「射有似乎君子，失諸正鵠，反求諸其身。 」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</w:p>
    <w:p>
      <w:pPr>
        <w:numPr>
          <w:ilvl w:val="0"/>
          <w:numId w:val="2"/>
        </w:numPr>
        <w:ind w:leftChars="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天命之謂性，率性之謂道，修道之謂教。道也者，不可須臾離也，可離非道也。</w:t>
      </w:r>
    </w:p>
    <w:p>
      <w:pPr>
        <w:numPr>
          <w:ilvl w:val="0"/>
          <w:numId w:val="0"/>
        </w:num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是故君子戒慎乎其所不睹，恐懼乎其所不聞。莫見乎隱，莫顯乎微。故君子慎其獨也。</w:t>
      </w:r>
    </w:p>
    <w:p>
      <w:pPr>
        <w:numPr>
          <w:ilvl w:val="0"/>
          <w:numId w:val="0"/>
        </w:numPr>
        <w:ind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喜怒哀樂之未發，謂之中；發而皆中節，謂之和；中也者，天下之大本也；和也者，天下之達道也。致中和，天地位焉，萬物育焉。</w:t>
      </w:r>
    </w:p>
    <w:p>
      <w:pPr>
        <w:numPr>
          <w:ilvl w:val="0"/>
          <w:numId w:val="0"/>
        </w:numPr>
        <w:ind w:leftChars="0" w:firstLine="560" w:firstLineChars="200"/>
        <w:rPr>
          <w:rFonts w:hint="eastAsia" w:ascii="DFKai-SB" w:hAnsi="DFKai-SB" w:eastAsia="DFKai-SB" w:cs="DFKai-SB"/>
          <w:sz w:val="28"/>
          <w:szCs w:val="28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lang w:eastAsia="zh-CN"/>
        </w:rPr>
        <w:t>仲尼曰：「君子中庸，小人反中庸。君子之中庸也，君子而時中；小人之</w:t>
      </w:r>
      <w:r>
        <w:rPr>
          <w:rFonts w:hint="eastAsia" w:ascii="DFKai-SB" w:hAnsi="DFKai-SB" w:eastAsia="DFKai-SB" w:cs="DFKai-SB"/>
          <w:sz w:val="28"/>
          <w:szCs w:val="28"/>
          <w:lang w:val="en-US" w:eastAsia="zh-CN"/>
        </w:rPr>
        <w:t>反</w:t>
      </w:r>
      <w:r>
        <w:rPr>
          <w:rFonts w:hint="eastAsia" w:ascii="DFKai-SB" w:hAnsi="DFKai-SB" w:eastAsia="DFKai-SB" w:cs="DFKai-SB"/>
          <w:sz w:val="28"/>
          <w:szCs w:val="28"/>
          <w:lang w:eastAsia="zh-CN"/>
        </w:rPr>
        <w:t>中庸也，小人而無忌憚也。」</w:t>
      </w:r>
    </w:p>
    <w:p>
      <w:pPr>
        <w:rPr>
          <w:rFonts w:hint="eastAsia" w:ascii="DFKai-SB" w:hAnsi="DFKai-SB" w:eastAsia="DFKai-SB" w:cs="DFKai-SB"/>
          <w:sz w:val="28"/>
          <w:szCs w:val="28"/>
          <w:lang w:eastAsia="zh-CN"/>
        </w:rPr>
      </w:pPr>
    </w:p>
    <w:p>
      <w:pPr>
        <w:rPr>
          <w:rFonts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《論語》背誦：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val="en-US" w:eastAsia="zh-CN"/>
        </w:rPr>
        <w:t>1、〈季氏第十六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〉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孔子曰：「益者三友，損者三友。友直，友諒，友多聞，益矣。友便辟，友善柔，友便佞，損矣。」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孔子曰：「益者三樂，損者三樂。樂節禮樂，樂道人之善，樂多賢友，益矣。樂驕樂，樂佚遊，樂宴樂，損矣。」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孔子曰：「侍於君子有三愆。言未及之而言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謂之躁，言及之而不言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謂之隱，未見顏色而言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謂之瞽。」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孔子曰：「君子有三戒。少之時，血氣未定，戒之在色；及其壯也，血氣方剛，戒之在鬥；及其老也，血氣既衰，戒之在得。」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孔子曰：「君子有三畏：畏天命，畏大人，畏聖人之言。小人不知天命而不畏也，狎大人，侮聖人之言。」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孔子曰：「生而知之者，上也；學而知之者，次也；困而學之，又其次也。困而不學，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highlight w:val="red"/>
        </w:rPr>
        <w:t>民斯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highlight w:val="red"/>
          <w:lang w:eastAsia="zh-CN"/>
        </w:rPr>
        <w:t>（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highlight w:val="red"/>
          <w:lang w:val="en-US" w:eastAsia="zh-CN"/>
        </w:rPr>
        <w:t>以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highlight w:val="red"/>
          <w:lang w:eastAsia="zh-CN"/>
        </w:rPr>
        <w:t>）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highlight w:val="red"/>
        </w:rPr>
        <w:t>為下矣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！」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孔子曰：「君子有九思：視思明，聽思聰，色思溫，貌思恭，言思忠，事思敬，疑思問，忿思難，見得思義。」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ind w:firstLine="560" w:firstLineChars="200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ind w:leftChars="0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val="en-US" w:eastAsia="zh-CN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val="en-US" w:eastAsia="zh-CN"/>
        </w:rPr>
        <w:t>2、〈衛靈公第十五〉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子張問「行」。子曰：「言忠信，行篤敬，雖蠻貊之邦行矣；言不忠信，行不篤敬，雖州里行乎哉？立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則見其參於前也，在輿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則見其倚於衡也，夫然後行！」子張書諸紳。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子曰：「直哉史魚！邦有道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如矢，邦無道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如矢。君子哉蘧伯玉！邦有道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則仕，邦無道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，</w:t>
      </w: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則可卷而懷之。」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子曰：「可與言而不與之言，失人；不可與言而與之言，失言。知者不失人，亦不失言。」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子曰：「志士仁人，無求生以害仁，有殺身以成仁。」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子貢問為仁。子曰：「工欲善其事，必先利其器。居是邦也，事其大夫之賢者，友其士之仁者。」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textAlignment w:val="auto"/>
        <w:rPr>
          <w:rFonts w:hint="eastAsia" w:ascii="DFKai-SB" w:hAnsi="DFKai-SB" w:eastAsia="DFKai-SB" w:cs="DFKai-SB"/>
          <w:sz w:val="28"/>
          <w:szCs w:val="28"/>
          <w:lang w:val="en-US" w:eastAsia="zh-CN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</w:rPr>
        <w:t>顏淵問為邦。子曰：「行夏之時，乘殷之輅，服周之冕。樂則韶舞，放鄭聲，遠佞人。鄭聲淫，佞人殆。」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ind w:firstLine="560" w:firstLineChars="200"/>
        <w:jc w:val="left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ind w:leftChars="0"/>
        <w:jc w:val="left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val="en-US" w:eastAsia="zh-CN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val="en-US" w:eastAsia="zh-CN"/>
        </w:rPr>
        <w:t>3、〈顏淵第十二〉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jc w:val="left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顏淵問「仁」。子曰：「克己復禮為仁。一日克己復禮，天下歸仁焉。為仁由己，而由仁乎哉？」顏淵曰：「請問其目？」子曰：「非禮勿視，非禮勿聽，非禮勿言，非禮勿動。」顏淵曰：「回雖不敏，請事斯語矣！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jc w:val="left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仲弓問「仁」。子曰：「出門如見大賓；使民如承大祭；己所不欲，勿施於人；在邦無怨，在家無怨。」仲弓曰：「雍雖不敏，請事斯語矣！」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jc w:val="left"/>
        <w:textAlignment w:val="auto"/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司馬牛問「仁」。子曰：「仁者，其言也訒。」曰：「其言也訒，斯謂之仁矣乎？」子曰：「為之難，言之得無訒乎？」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 w:val="0"/>
        <w:snapToGrid w:val="0"/>
        <w:spacing w:line="360" w:lineRule="auto"/>
        <w:jc w:val="left"/>
        <w:textAlignment w:val="auto"/>
        <w:rPr>
          <w:rFonts w:hint="eastAsia" w:ascii="DFKai-SB" w:hAnsi="DFKai-SB" w:eastAsia="DFKai-SB" w:cs="DFKai-SB"/>
          <w:sz w:val="28"/>
          <w:szCs w:val="28"/>
          <w:lang w:val="en-US" w:eastAsia="zh-CN"/>
        </w:rPr>
      </w:pPr>
      <w:r>
        <w:rPr>
          <w:rFonts w:hint="eastAsia" w:ascii="DFKai-SB" w:hAnsi="DFKai-SB" w:eastAsia="DFKai-SB" w:cs="DFKai-SB"/>
          <w:b w:val="0"/>
          <w:bCs w:val="0"/>
          <w:color w:val="auto"/>
          <w:sz w:val="28"/>
          <w:szCs w:val="28"/>
          <w:lang w:eastAsia="zh-TW"/>
        </w:rPr>
        <w:t>司馬牛問「君子」。子曰：「君子不憂不懼。」曰：「不憂不懼，斯謂之君子矣乎？」子曰：「內省不疚，夫何憂何懼？」</w:t>
      </w:r>
    </w:p>
    <w:p>
      <w:pPr>
        <w:widowControl w:val="0"/>
        <w:numPr>
          <w:ilvl w:val="0"/>
          <w:numId w:val="0"/>
        </w:numPr>
        <w:spacing w:line="360" w:lineRule="auto"/>
        <w:jc w:val="both"/>
        <w:rPr>
          <w:rFonts w:hint="eastAsia" w:ascii="DFKai-SB" w:hAnsi="DFKai-SB" w:eastAsia="DFKai-SB" w:cs="DFKai-SB"/>
          <w:sz w:val="28"/>
          <w:szCs w:val="28"/>
          <w:lang w:val="en-US" w:eastAsia="zh-CN"/>
        </w:rPr>
      </w:pPr>
    </w:p>
    <w:p>
      <w:pPr>
        <w:rPr>
          <w:rFonts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《孟子》背誦：</w:t>
      </w:r>
    </w:p>
    <w:p>
      <w:pPr>
        <w:numPr>
          <w:ilvl w:val="0"/>
          <w:numId w:val="0"/>
        </w:numP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1、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 xml:space="preserve">〈盡心章句上〉 </w:t>
      </w:r>
    </w:p>
    <w:p>
      <w:pPr>
        <w:widowControl w:val="0"/>
        <w:numPr>
          <w:ilvl w:val="0"/>
          <w:numId w:val="0"/>
        </w:numPr>
        <w:spacing w:line="360" w:lineRule="auto"/>
        <w:ind w:firstLine="560" w:firstLineChars="200"/>
        <w:jc w:val="both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孟子曰：「孔子登東山而小魯，登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泰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山而小天下。故觀於海者難為水，遊於聖人之門者難為言。觀水有術，必觀其瀾。日月有明，容光必照焉。流水之為物也，不盈科不行；君子之志於道也，不成章不達。」</w:t>
      </w:r>
    </w:p>
    <w:p>
      <w:pPr>
        <w:numPr>
          <w:ilvl w:val="0"/>
          <w:numId w:val="0"/>
        </w:numPr>
        <w:ind w:leftChars="0"/>
        <w:rPr>
          <w:rFonts w:hint="eastAsia" w:ascii="DFKai-SB" w:hAnsi="DFKai-SB" w:eastAsia="宋体" w:cs="DFKai-SB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2、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〈告子章句上〉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曰：「無或乎王之不智也，雖有天下易生之物也，一日暴之、十日寒之，未有能生者也。吾見亦罕矣，吾退而寒之者至矣，吾如有萌焉何哉？今夫弈之為數，小數也；不專心致志，則不得也。弈秋，通國之善弈者也。使弈秋誨二人弈，其一人專心致志，惟弈秋之為聽。一人雖聽之，一心以為有鴻鵠將至，思援弓繳而射之，雖與之俱學，弗若之矣。為是其智弗若與？曰非然也。」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</w:p>
    <w:p>
      <w:pPr>
        <w:numPr>
          <w:ilvl w:val="0"/>
          <w:numId w:val="0"/>
        </w:numP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3、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〈離婁章句上〉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曰：「不仁者可與言哉？安其危而利其菑，樂其所以亡者。不仁而可與言，則何亡國敗家之有？有孺子歌曰：『滄浪之水清兮，可以濯我纓；滄浪之水濁兮，可以濯我足。』孔子曰：『小子聽之！清斯濯纓，濁斯濯足矣，自取之也。』夫人必自侮，然後人侮之；家必自毀，而後人毀之；國必自伐，而後人伐之。《太甲》曰：『天作孽，猶可違；自作孽，不可活。』此之謂也。」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</w:p>
    <w:p>
      <w:pPr>
        <w:numPr>
          <w:ilvl w:val="0"/>
          <w:numId w:val="0"/>
        </w:numP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4、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〈公孫醜章句上〉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孟子曰：「人皆有不忍人之心。先王有不忍人之心，斯有不忍人之政矣。以不忍人之心，行不忍人之政，治天下可運之掌上。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所以謂人皆有不忍人之心者，今人乍見孺子將入於井，皆有怵惕惻隱之心。非所以內交於孺子之父母也，非所以要譽於鄉黨朋友也，非惡其聲而然也。由是觀之，無惻隱之心，非人也；無羞惡之心，非人也；無辭讓之心，非人也；無是非之心，非人也。惻隱之心，仁之端也；羞惡之心，義之端也；辭讓之心，禮之端也；是非之心，智之端也。人之有是四端也，猶其有四體也。有是四端而自謂不能者，自賊者也；謂其君不能者，賊其君者也。</w:t>
      </w:r>
    </w:p>
    <w:p>
      <w:pPr>
        <w:widowControl w:val="0"/>
        <w:numPr>
          <w:ilvl w:val="0"/>
          <w:numId w:val="0"/>
        </w:numPr>
        <w:ind w:leftChars="0"/>
        <w:jc w:val="both"/>
        <w:rPr>
          <w:rFonts w:hint="eastAsia" w:ascii="DFKai-SB" w:hAnsi="DFKai-SB" w:eastAsia="DFKai-SB" w:cs="DFKai-SB"/>
          <w:sz w:val="32"/>
          <w:szCs w:val="32"/>
          <w:shd w:val="clear" w:color="auto" w:fill="FFFFFF"/>
          <w:lang w:val="en-US" w:eastAsia="zh-CN"/>
        </w:rPr>
      </w:pPr>
    </w:p>
    <w:p>
      <w:pPr>
        <w:jc w:val="center"/>
        <w:rPr>
          <w:rFonts w:hint="eastAsia" w:ascii="DFKai-SB" w:hAnsi="DFKai-SB" w:eastAsia="DFKai-SB" w:cs="DFKai-SB"/>
          <w:color w:val="000000"/>
          <w:sz w:val="36"/>
          <w:szCs w:val="36"/>
          <w:shd w:val="clear" w:color="auto" w:fill="FFFFFF"/>
          <w:lang w:eastAsia="zh-TW"/>
        </w:rPr>
      </w:pPr>
      <w:r>
        <w:rPr>
          <w:rFonts w:hint="eastAsia" w:ascii="DFKai-SB" w:hAnsi="DFKai-SB" w:eastAsia="DFKai-SB" w:cs="DFKai-SB"/>
          <w:color w:val="000000"/>
          <w:sz w:val="36"/>
          <w:szCs w:val="36"/>
          <w:shd w:val="clear" w:color="auto" w:fill="FFFFFF"/>
          <w:lang w:eastAsia="zh-TW"/>
        </w:rPr>
        <w:t>經文淺釋</w:t>
      </w:r>
    </w:p>
    <w:p>
      <w:pPr>
        <w:jc w:val="center"/>
        <w:rPr>
          <w:rFonts w:hint="eastAsia" w:ascii="DFKai-SB" w:hAnsi="DFKai-SB" w:eastAsia="DFKai-SB" w:cs="DFKai-SB"/>
          <w:color w:val="000000"/>
          <w:sz w:val="36"/>
          <w:szCs w:val="36"/>
          <w:shd w:val="clear" w:color="auto" w:fill="FFFFFF"/>
          <w:lang w:eastAsia="zh-TW"/>
        </w:rPr>
      </w:pPr>
    </w:p>
    <w:p>
      <w:pPr>
        <w:rPr>
          <w:rFonts w:hint="eastAsia" w:ascii="DFKai-SB" w:hAnsi="DFKai-SB" w:eastAsia="DFKai-SB" w:cs="DFKai-SB"/>
          <w:b/>
          <w:bCs/>
          <w:sz w:val="40"/>
          <w:szCs w:val="40"/>
          <w:shd w:val="clear" w:color="auto" w:fill="FFFFFF"/>
          <w:lang w:val="en-US" w:eastAsia="zh-CN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  <w:t>經文：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孟子曰：「無或乎王之不智也，雖有天下易生之物也，一日暴之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十日寒之，未有能生者也。吾見亦罕矣，吾退而寒之者至矣，吾如有萌焉</w:t>
      </w:r>
      <w:r>
        <w:rPr>
          <w:rFonts w:hint="eastAsia" w:ascii="DFKai-SB" w:hAnsi="DFKai-SB" w:eastAsia="宋体" w:cs="DFKai-SB"/>
          <w:sz w:val="28"/>
          <w:szCs w:val="28"/>
          <w:shd w:val="clear" w:color="auto" w:fill="FFFFFF"/>
          <w:lang w:eastAsia="zh-CN"/>
        </w:rPr>
        <w:t>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何哉？今夫弈之為數，小數也；不專心致志，則不得也。弈秋，通國之善弈者也。使弈秋誨二人弈，其一人專心致志，惟弈秋之為聽。一人雖聽之，一心以為有鴻鵠將至，思援弓繳而射之，雖與之俱學，弗若之矣。為是其智弗若與？曰非然也。」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</w:p>
    <w:p>
      <w:pP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  <w:t>淺釋：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無或乎王之不智也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，」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這裡的王指的是當時的齊宣王，並不是齊宣王他沒有智慧。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雖有天下易生之物也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，」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這裡孟子是打了個比方，他說雖然說這個天下有很多非常容易生長的植物或者說是草木。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一日暴之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十日寒之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，」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有一天用太陽去照耀他，但是這一天過後卻讓他遭受十天的寒冷。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未有能生者也。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就是說即便是再容易生長的草木，也是長不出來的。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吾見亦罕矣，吾退而寒之者至矣，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這是孟子講，自己見到齊宣王的次數其實非常的少，「寒」指的是一些奸臣和佞臣，孟子見完齊宣王後，這些奸臣和佞臣又會去阻礙齊宣王的智慧和仁義之心。所以是以這種植物來比作齊宣王，他並不是沒有智慧，而是被一些奸臣和佞臣所蒙蔽。只有孟子的一點點溫度是不能讓他的智慧被開發出來的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吾如有萌焉何哉？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意思是說，連萌芽都生不出來。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今夫弈之為數，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這是孟子繼續打了個比方，「弈</w:t>
      </w:r>
      <w:bookmarkStart w:id="7" w:name="_GoBack"/>
      <w:bookmarkEnd w:id="7"/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」是指博弈，下棋。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小數也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；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不專心致志，則不得也。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就是說這是一個小小的技術。但是這個技術如果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</w:rPr>
        <w:t>不專心致志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的去學習，是不能夠得到他的精髓的。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弈秋，通國之善弈者也。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弈秋是當時的一個非常會下棋，非常會博弈的人。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使弈秋誨二人弈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，」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讓他去教導兩個人學下棋。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其一人專心致志，惟弈秋之為聽。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一個人非常的專心的去聽弈秋講如何下棋。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一人雖聽之，一心以為有鴻鵠將至，思援弓繳而射之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。」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但是另一個人，他雖然耳朵上在聽弈秋講這個下棋，但他心裡卻想著：如果一會有一隻大雁、一隻鴻鵠飛過來，我要把他給射下來。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雖與之俱學，弗若之矣。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就是說，雖然他們同時在學習，但是這個後者是絕對跟不上前者的。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為是其智弗若與？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並不是說他的智慧，他的聰明不如前面的這個人。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「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曰非然也。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eastAsia="zh-CN"/>
        </w:rPr>
        <w:t>」</w:t>
      </w:r>
      <w:r>
        <w:rPr>
          <w:rFonts w:hint="eastAsia" w:ascii="PMingLiU" w:hAnsi="PMingLiU" w:eastAsia="PMingLiU" w:cs="PMingLiU"/>
          <w:sz w:val="28"/>
          <w:szCs w:val="28"/>
          <w:shd w:val="clear" w:color="auto" w:fill="FFFFFF"/>
          <w:lang w:val="en-US" w:eastAsia="zh-CN"/>
        </w:rPr>
        <w:t>意思就是說不是的，不是他的智慧跟不上。</w:t>
      </w:r>
    </w:p>
    <w:sectPr>
      <w:footerReference r:id="rId3" w:type="default"/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Trebuchet MS">
    <w:panose1 w:val="020B0603020202020204"/>
    <w:charset w:val="00"/>
    <w:family w:val="swiss"/>
    <w:pitch w:val="default"/>
    <w:sig w:usb0="00000287" w:usb1="00000000" w:usb2="00000000" w:usb3="00000000" w:csb0="2000009F" w:csb1="00000000"/>
  </w:font>
  <w:font w:name="DFKai-SB">
    <w:panose1 w:val="03000509000000000000"/>
    <w:charset w:val="88"/>
    <w:family w:val="auto"/>
    <w:pitch w:val="default"/>
    <w:sig w:usb0="00000003" w:usb1="082E0000" w:usb2="00000016" w:usb3="00000000" w:csb0="00100001" w:csb1="00000000"/>
  </w:font>
  <w:font w:name="PMingLiU">
    <w:panose1 w:val="02020500000000000000"/>
    <w:charset w:val="88"/>
    <w:family w:val="auto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</w:pPr>
    <w:r>
      <w:rPr>
        <w:sz w:val="18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文本框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>
                          <w:pPr>
                            <w:pStyle w:val="3"/>
                            <w:rPr>
                              <w:rFonts w:hint="eastAsia" w:eastAsiaTheme="minorEastAsia"/>
                              <w:lang w:eastAsia="zh-CN"/>
                            </w:rPr>
                          </w:pP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begin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instrText xml:space="preserve"> PAGE  \* MERGEFORMAT </w:instrTex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separate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t>1</w: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>
                    <w:pPr>
                      <w:pStyle w:val="3"/>
                      <w:rPr>
                        <w:rFonts w:hint="eastAsia" w:eastAsiaTheme="minorEastAsia"/>
                        <w:lang w:eastAsia="zh-CN"/>
                      </w:rPr>
                    </w:pPr>
                    <w:r>
                      <w:rPr>
                        <w:rFonts w:hint="eastAsia"/>
                        <w:lang w:eastAsia="zh-CN"/>
                      </w:rPr>
                      <w:fldChar w:fldCharType="begin"/>
                    </w:r>
                    <w:r>
                      <w:rPr>
                        <w:rFonts w:hint="eastAsia"/>
                        <w:lang w:eastAsia="zh-CN"/>
                      </w:rPr>
                      <w:instrText xml:space="preserve"> PAGE  \* MERGEFORMAT </w:instrText>
                    </w:r>
                    <w:r>
                      <w:rPr>
                        <w:rFonts w:hint="eastAsia"/>
                        <w:lang w:eastAsia="zh-CN"/>
                      </w:rPr>
                      <w:fldChar w:fldCharType="separate"/>
                    </w:r>
                    <w:r>
                      <w:rPr>
                        <w:rFonts w:hint="eastAsia"/>
                        <w:lang w:eastAsia="zh-CN"/>
                      </w:rPr>
                      <w:t>1</w:t>
                    </w:r>
                    <w:r>
                      <w:rPr>
                        <w:rFonts w:hint="eastAsia"/>
                        <w:lang w:eastAsia="zh-CN"/>
                      </w:rP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5B6FE96"/>
    <w:multiLevelType w:val="singleLevel"/>
    <w:tmpl w:val="35B6FE96"/>
    <w:lvl w:ilvl="0" w:tentative="0">
      <w:start w:val="4"/>
      <w:numFmt w:val="decimal"/>
      <w:suff w:val="nothing"/>
      <w:lvlText w:val="%1、"/>
      <w:lvlJc w:val="left"/>
    </w:lvl>
  </w:abstractNum>
  <w:abstractNum w:abstractNumId="1">
    <w:nsid w:val="5E059145"/>
    <w:multiLevelType w:val="singleLevel"/>
    <w:tmpl w:val="5E059145"/>
    <w:lvl w:ilvl="0" w:tentative="0">
      <w:start w:val="1"/>
      <w:numFmt w:val="decimal"/>
      <w:suff w:val="nothing"/>
      <w:lvlText w:val="%1、"/>
      <w:lvlJc w:val="left"/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087266F"/>
    <w:rsid w:val="010C1C20"/>
    <w:rsid w:val="016F11B7"/>
    <w:rsid w:val="01775C26"/>
    <w:rsid w:val="056446A1"/>
    <w:rsid w:val="067239D5"/>
    <w:rsid w:val="06960709"/>
    <w:rsid w:val="06AF26C6"/>
    <w:rsid w:val="06E449E9"/>
    <w:rsid w:val="07810BB3"/>
    <w:rsid w:val="0952593E"/>
    <w:rsid w:val="09A37876"/>
    <w:rsid w:val="09B02BAC"/>
    <w:rsid w:val="09F20B9F"/>
    <w:rsid w:val="0A715430"/>
    <w:rsid w:val="0C5B24E1"/>
    <w:rsid w:val="0EBD52C1"/>
    <w:rsid w:val="10D75CEA"/>
    <w:rsid w:val="12DF40E6"/>
    <w:rsid w:val="13AD0603"/>
    <w:rsid w:val="15E13939"/>
    <w:rsid w:val="160137EC"/>
    <w:rsid w:val="179D7E2E"/>
    <w:rsid w:val="18EF4D03"/>
    <w:rsid w:val="1A643088"/>
    <w:rsid w:val="1BB37D1F"/>
    <w:rsid w:val="1BCF0BDD"/>
    <w:rsid w:val="1D235C74"/>
    <w:rsid w:val="1D886A01"/>
    <w:rsid w:val="1DB93837"/>
    <w:rsid w:val="1E397830"/>
    <w:rsid w:val="1F327D58"/>
    <w:rsid w:val="22A034D2"/>
    <w:rsid w:val="23384F6D"/>
    <w:rsid w:val="23BF3AF8"/>
    <w:rsid w:val="24076109"/>
    <w:rsid w:val="24331172"/>
    <w:rsid w:val="247B11FF"/>
    <w:rsid w:val="24865780"/>
    <w:rsid w:val="248C763F"/>
    <w:rsid w:val="26181565"/>
    <w:rsid w:val="26916E15"/>
    <w:rsid w:val="287C226E"/>
    <w:rsid w:val="288D1ADA"/>
    <w:rsid w:val="28C75FA9"/>
    <w:rsid w:val="29030E66"/>
    <w:rsid w:val="2AEE7AE4"/>
    <w:rsid w:val="2B885560"/>
    <w:rsid w:val="2D606A70"/>
    <w:rsid w:val="2D912AF8"/>
    <w:rsid w:val="2DB70DA4"/>
    <w:rsid w:val="2E045E5A"/>
    <w:rsid w:val="2E7C26B2"/>
    <w:rsid w:val="2F0153A5"/>
    <w:rsid w:val="2F32316C"/>
    <w:rsid w:val="303F350C"/>
    <w:rsid w:val="307F5FFB"/>
    <w:rsid w:val="30C77B26"/>
    <w:rsid w:val="31354B20"/>
    <w:rsid w:val="314F69B5"/>
    <w:rsid w:val="316538A2"/>
    <w:rsid w:val="32733201"/>
    <w:rsid w:val="34DD0FE7"/>
    <w:rsid w:val="35077B0C"/>
    <w:rsid w:val="3526081B"/>
    <w:rsid w:val="370C273A"/>
    <w:rsid w:val="37F26B23"/>
    <w:rsid w:val="38BA6192"/>
    <w:rsid w:val="38FA616F"/>
    <w:rsid w:val="3AC8443B"/>
    <w:rsid w:val="3EA25B81"/>
    <w:rsid w:val="3F495DBE"/>
    <w:rsid w:val="40354C77"/>
    <w:rsid w:val="422A24AB"/>
    <w:rsid w:val="43EF1925"/>
    <w:rsid w:val="44025420"/>
    <w:rsid w:val="442968FF"/>
    <w:rsid w:val="45372CB5"/>
    <w:rsid w:val="456158D5"/>
    <w:rsid w:val="45762EF9"/>
    <w:rsid w:val="461C24D4"/>
    <w:rsid w:val="47CC4E5E"/>
    <w:rsid w:val="48687AEC"/>
    <w:rsid w:val="4936387D"/>
    <w:rsid w:val="4AF02890"/>
    <w:rsid w:val="4CBC68A3"/>
    <w:rsid w:val="4F3C56E7"/>
    <w:rsid w:val="4FB955DD"/>
    <w:rsid w:val="503D7F61"/>
    <w:rsid w:val="50791220"/>
    <w:rsid w:val="51D41117"/>
    <w:rsid w:val="521C02B7"/>
    <w:rsid w:val="52365741"/>
    <w:rsid w:val="52974D79"/>
    <w:rsid w:val="52AF207D"/>
    <w:rsid w:val="53872F1E"/>
    <w:rsid w:val="55A65AFA"/>
    <w:rsid w:val="56332A73"/>
    <w:rsid w:val="575C5D80"/>
    <w:rsid w:val="57653A38"/>
    <w:rsid w:val="5A680BA9"/>
    <w:rsid w:val="5C5E3DAB"/>
    <w:rsid w:val="5D5D3AE2"/>
    <w:rsid w:val="5ECB0398"/>
    <w:rsid w:val="5F061B80"/>
    <w:rsid w:val="616C4C9A"/>
    <w:rsid w:val="617C24FA"/>
    <w:rsid w:val="61C70A8C"/>
    <w:rsid w:val="631C05F3"/>
    <w:rsid w:val="666C6F94"/>
    <w:rsid w:val="67F55734"/>
    <w:rsid w:val="68E279DB"/>
    <w:rsid w:val="69017821"/>
    <w:rsid w:val="6A40508C"/>
    <w:rsid w:val="6C080541"/>
    <w:rsid w:val="6C386207"/>
    <w:rsid w:val="6DCB5CB1"/>
    <w:rsid w:val="6E774681"/>
    <w:rsid w:val="6F1E4906"/>
    <w:rsid w:val="6F9967A2"/>
    <w:rsid w:val="70050945"/>
    <w:rsid w:val="70457708"/>
    <w:rsid w:val="73724E73"/>
    <w:rsid w:val="74EE17A0"/>
    <w:rsid w:val="752B2E80"/>
    <w:rsid w:val="7707242B"/>
    <w:rsid w:val="77AB1239"/>
    <w:rsid w:val="77DB4660"/>
    <w:rsid w:val="797D7245"/>
    <w:rsid w:val="79EC3FA0"/>
    <w:rsid w:val="7A3576FD"/>
    <w:rsid w:val="7AD72CCD"/>
    <w:rsid w:val="7CE14532"/>
    <w:rsid w:val="7DA305AC"/>
    <w:rsid w:val="7DB12422"/>
    <w:rsid w:val="7EA92A96"/>
    <w:rsid w:val="7F490A35"/>
    <w:rsid w:val="7FBF3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nhideWhenUsed="0" w:uiPriority="0" w:semiHidden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qFormat="1" w:unhideWhenUsed="0" w:uiPriority="0" w:semiHidden="0" w:name="header"/>
    <w:lsdException w:qFormat="1"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3"/>
    <w:basedOn w:val="1"/>
    <w:next w:val="1"/>
    <w:qFormat/>
    <w:uiPriority w:val="0"/>
    <w:pPr>
      <w:keepNext/>
      <w:ind w:left="720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6">
    <w:name w:val="Default Paragraph Font"/>
    <w:semiHidden/>
    <w:qFormat/>
    <w:uiPriority w:val="0"/>
  </w:style>
  <w:style w:type="table" w:default="1" w:styleId="7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3">
    <w:name w:val="footer"/>
    <w:basedOn w:val="1"/>
    <w:qFormat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4">
    <w:name w:val="header"/>
    <w:basedOn w:val="1"/>
    <w:qFormat/>
    <w:uiPriority w:val="0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5">
    <w:name w:val="Normal (Web)"/>
    <w:basedOn w:val="1"/>
    <w:qFormat/>
    <w:uiPriority w:val="0"/>
    <w:pPr>
      <w:spacing w:beforeAutospacing="1" w:after="0" w:afterAutospacing="1"/>
      <w:jc w:val="left"/>
    </w:pPr>
    <w:rPr>
      <w:rFonts w:cs="Times New Roman"/>
      <w:kern w:val="0"/>
      <w:sz w:val="24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customXml" Target="../customXml/item1.xml"/><Relationship Id="rId5" Type="http://schemas.openxmlformats.org/officeDocument/2006/relationships/image" Target="media/image1.jpeg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23</TotalTime>
  <ScaleCrop>false</ScaleCrop>
  <LinksUpToDate>false</LinksUpToDate>
  <CharactersWithSpaces>0</CharactersWithSpaces>
  <Application>WPS Office_11.1.0.8214_F1E327BC-269C-435d-A152-05C5408002CA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2014-10-29T12:08:00Z</dcterms:created>
  <dc:creator>北山颐文</dc:creator>
  <cp:lastModifiedBy>可否</cp:lastModifiedBy>
  <dcterms:modified xsi:type="dcterms:W3CDTF">2019-01-10T11:58:42Z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2052-11.1.0.8214</vt:lpwstr>
  </property>
  <property fmtid="{D5CDD505-2E9C-101B-9397-08002B2CF9AE}" pid="3" name="KSORubyTemplateID" linkTarget="0">
    <vt:lpwstr>6</vt:lpwstr>
  </property>
</Properties>
</file>