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9EB8461">
      <w:pPr>
        <w:autoSpaceDE w:val="0"/>
        <w:autoSpaceDN w:val="0"/>
        <w:adjustRightInd w:val="0"/>
        <w:spacing w:line="360" w:lineRule="auto"/>
        <w:ind w:firstLine="601" w:firstLineChars="200"/>
        <w:jc w:val="center"/>
        <w:rPr>
          <w:rFonts w:ascii="Times New Roman" w:hAnsi="Times New Roman" w:eastAsia="Songti SC" w:cs="Times New Roman"/>
          <w:b/>
          <w:bCs/>
          <w:kern w:val="0"/>
          <w:sz w:val="30"/>
          <w:szCs w:val="30"/>
        </w:rPr>
      </w:pPr>
      <w:r>
        <w:rPr>
          <w:rFonts w:ascii="Times New Roman" w:hAnsi="Times New Roman" w:eastAsia="Songti SC" w:cs="Times New Roman"/>
          <w:b/>
          <w:bCs/>
          <w:kern w:val="0"/>
          <w:sz w:val="30"/>
          <w:szCs w:val="30"/>
        </w:rPr>
        <w:t>An Analysis of Marks &amp; Spencer’s Acquisition of Gist Limited: Strategic, Operational and Financial Implications</w:t>
      </w:r>
    </w:p>
    <w:p w14:paraId="63FEC527">
      <w:pPr>
        <w:autoSpaceDE w:val="0"/>
        <w:autoSpaceDN w:val="0"/>
        <w:adjustRightInd w:val="0"/>
        <w:spacing w:line="360" w:lineRule="auto"/>
        <w:ind w:firstLine="480" w:firstLineChars="200"/>
        <w:jc w:val="center"/>
        <w:rPr>
          <w:rFonts w:ascii="Times New Roman" w:hAnsi="Times New Roman" w:eastAsia="Songti SC" w:cs="Times New Roman"/>
          <w:kern w:val="0"/>
          <w:sz w:val="24"/>
        </w:rPr>
      </w:pPr>
      <w:r>
        <w:rPr>
          <w:rFonts w:ascii="Times New Roman" w:hAnsi="Times New Roman" w:eastAsia="Songti SC" w:cs="Times New Roman"/>
          <w:kern w:val="0"/>
          <w:sz w:val="24"/>
        </w:rPr>
        <w:drawing>
          <wp:inline distT="0" distB="0" distL="0" distR="0">
            <wp:extent cx="3039110" cy="2393315"/>
            <wp:effectExtent l="0" t="0" r="0" b="1968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3063700" cy="2413018"/>
                    </a:xfrm>
                    <a:prstGeom prst="rect">
                      <a:avLst/>
                    </a:prstGeom>
                  </pic:spPr>
                </pic:pic>
              </a:graphicData>
            </a:graphic>
          </wp:inline>
        </w:drawing>
      </w:r>
    </w:p>
    <w:p w14:paraId="08568B42">
      <w:pPr>
        <w:autoSpaceDE w:val="0"/>
        <w:autoSpaceDN w:val="0"/>
        <w:adjustRightInd w:val="0"/>
        <w:spacing w:line="360" w:lineRule="auto"/>
        <w:ind w:firstLine="480" w:firstLineChars="200"/>
        <w:jc w:val="center"/>
        <w:rPr>
          <w:rFonts w:ascii="Times New Roman" w:hAnsi="Times New Roman" w:eastAsia="Songti SC" w:cs="Times New Roman"/>
          <w:kern w:val="0"/>
          <w:sz w:val="24"/>
        </w:rPr>
      </w:pPr>
      <w:r>
        <w:rPr>
          <w:rFonts w:ascii="Times New Roman" w:hAnsi="Times New Roman" w:eastAsia="Songti SC" w:cs="Times New Roman"/>
          <w:kern w:val="0"/>
          <w:sz w:val="24"/>
        </w:rPr>
        <w:t>Student Name: Zedong Zhang</w:t>
      </w:r>
    </w:p>
    <w:p w14:paraId="5487D226">
      <w:pPr>
        <w:autoSpaceDE w:val="0"/>
        <w:autoSpaceDN w:val="0"/>
        <w:adjustRightInd w:val="0"/>
        <w:spacing w:line="360" w:lineRule="auto"/>
        <w:ind w:firstLine="480" w:firstLineChars="200"/>
        <w:jc w:val="center"/>
        <w:rPr>
          <w:rFonts w:ascii="Times New Roman" w:hAnsi="Times New Roman" w:eastAsia="Songti SC" w:cs="Times New Roman"/>
          <w:kern w:val="0"/>
          <w:sz w:val="24"/>
        </w:rPr>
      </w:pPr>
      <w:r>
        <w:rPr>
          <w:rFonts w:ascii="Times New Roman" w:hAnsi="Times New Roman" w:eastAsia="Songti SC" w:cs="Times New Roman"/>
          <w:kern w:val="0"/>
          <w:sz w:val="24"/>
        </w:rPr>
        <w:t>Student ID: 2500386</w:t>
      </w:r>
    </w:p>
    <w:p w14:paraId="3C8AA9FB">
      <w:pPr>
        <w:autoSpaceDE w:val="0"/>
        <w:autoSpaceDN w:val="0"/>
        <w:adjustRightInd w:val="0"/>
        <w:spacing w:line="360" w:lineRule="auto"/>
        <w:ind w:firstLine="480" w:firstLineChars="200"/>
        <w:jc w:val="center"/>
        <w:rPr>
          <w:rFonts w:ascii="Times New Roman" w:hAnsi="Times New Roman" w:eastAsia="Songti SC" w:cs="Times New Roman"/>
          <w:kern w:val="0"/>
          <w:sz w:val="24"/>
        </w:rPr>
      </w:pPr>
      <w:r>
        <w:rPr>
          <w:rFonts w:ascii="Times New Roman" w:hAnsi="Times New Roman" w:eastAsia="Songti SC" w:cs="Times New Roman"/>
          <w:kern w:val="0"/>
          <w:sz w:val="24"/>
        </w:rPr>
        <w:t>Course: Financial Management</w:t>
      </w:r>
    </w:p>
    <w:p w14:paraId="154156B0">
      <w:pPr>
        <w:autoSpaceDE w:val="0"/>
        <w:autoSpaceDN w:val="0"/>
        <w:adjustRightInd w:val="0"/>
        <w:spacing w:line="360" w:lineRule="auto"/>
        <w:ind w:firstLine="480" w:firstLineChars="200"/>
        <w:jc w:val="center"/>
        <w:rPr>
          <w:rFonts w:ascii="Times New Roman" w:hAnsi="Times New Roman" w:eastAsia="Songti SC" w:cs="Times New Roman"/>
          <w:kern w:val="0"/>
          <w:sz w:val="24"/>
        </w:rPr>
      </w:pPr>
      <w:r>
        <w:rPr>
          <w:rFonts w:ascii="Times New Roman" w:hAnsi="Times New Roman" w:eastAsia="Songti SC" w:cs="Times New Roman"/>
          <w:kern w:val="0"/>
          <w:sz w:val="24"/>
        </w:rPr>
        <w:t>Course Code: BMBM6007</w:t>
      </w:r>
    </w:p>
    <w:p w14:paraId="00DCCA30">
      <w:pPr>
        <w:autoSpaceDE w:val="0"/>
        <w:autoSpaceDN w:val="0"/>
        <w:adjustRightInd w:val="0"/>
        <w:spacing w:line="360" w:lineRule="auto"/>
        <w:ind w:firstLine="480" w:firstLineChars="200"/>
        <w:jc w:val="center"/>
        <w:rPr>
          <w:rFonts w:ascii="Times New Roman" w:hAnsi="Times New Roman" w:eastAsia="Songti SC" w:cs="Times New Roman"/>
          <w:kern w:val="0"/>
          <w:sz w:val="24"/>
        </w:rPr>
      </w:pPr>
      <w:r>
        <w:rPr>
          <w:rFonts w:ascii="Times New Roman" w:hAnsi="Times New Roman" w:eastAsia="Songti SC" w:cs="Times New Roman"/>
          <w:kern w:val="0"/>
          <w:sz w:val="24"/>
        </w:rPr>
        <w:t>Lecturer Name: Badir Miftah</w:t>
      </w:r>
    </w:p>
    <w:p w14:paraId="344ED8E4">
      <w:pPr>
        <w:autoSpaceDE w:val="0"/>
        <w:autoSpaceDN w:val="0"/>
        <w:adjustRightInd w:val="0"/>
        <w:spacing w:line="360" w:lineRule="auto"/>
        <w:ind w:firstLine="480" w:firstLineChars="200"/>
        <w:jc w:val="center"/>
        <w:rPr>
          <w:rFonts w:ascii="Times New Roman" w:hAnsi="Times New Roman" w:eastAsia="Songti SC" w:cs="Times New Roman"/>
          <w:kern w:val="0"/>
          <w:sz w:val="24"/>
        </w:rPr>
      </w:pPr>
      <w:r>
        <w:rPr>
          <w:rFonts w:ascii="Times New Roman" w:hAnsi="Times New Roman" w:eastAsia="Songti SC" w:cs="Times New Roman"/>
          <w:kern w:val="0"/>
          <w:sz w:val="24"/>
        </w:rPr>
        <w:t>Date of Submission: 22/03/2026</w:t>
      </w:r>
    </w:p>
    <w:p w14:paraId="7043CC9B">
      <w:pPr>
        <w:rPr>
          <w:rFonts w:ascii="Times New Roman" w:hAnsi="Times New Roman" w:cs="Times New Roman"/>
          <w:sz w:val="24"/>
        </w:rPr>
      </w:pPr>
      <w:r>
        <w:rPr>
          <w:rFonts w:ascii="Times New Roman" w:hAnsi="Times New Roman" w:cs="Times New Roman"/>
          <w:sz w:val="24"/>
        </w:rPr>
        <w:br w:type="page"/>
      </w:r>
    </w:p>
    <w:p w14:paraId="462E20DD">
      <w:pPr>
        <w:spacing w:line="360" w:lineRule="auto"/>
        <w:jc w:val="center"/>
        <w:outlineLvl w:val="0"/>
        <w:rPr>
          <w:rFonts w:ascii="Times New Roman" w:hAnsi="Times New Roman" w:cs="Times New Roman"/>
          <w:b/>
          <w:bCs/>
          <w:sz w:val="28"/>
          <w:szCs w:val="28"/>
        </w:rPr>
      </w:pPr>
      <w:bookmarkStart w:id="0" w:name="_Toc225056517"/>
      <w:r>
        <w:rPr>
          <w:rFonts w:ascii="Times New Roman" w:hAnsi="Times New Roman" w:cs="Times New Roman"/>
          <w:b/>
          <w:bCs/>
          <w:sz w:val="28"/>
          <w:szCs w:val="28"/>
        </w:rPr>
        <w:t>Executive Summary</w:t>
      </w:r>
      <w:bookmarkEnd w:id="0"/>
    </w:p>
    <w:p w14:paraId="7C7B55A8">
      <w:pPr>
        <w:spacing w:line="360" w:lineRule="auto"/>
        <w:ind w:firstLine="480" w:firstLineChars="200"/>
        <w:rPr>
          <w:rFonts w:ascii="Times New Roman" w:hAnsi="Times New Roman" w:cs="Times New Roman"/>
          <w:sz w:val="24"/>
        </w:rPr>
      </w:pPr>
      <w:r>
        <w:rPr>
          <w:rFonts w:ascii="Times New Roman" w:hAnsi="Times New Roman" w:cs="Times New Roman"/>
          <w:sz w:val="24"/>
        </w:rPr>
        <w:t>This report evaluates the acquisition of Gist Limited by Marks &amp; Spencer (M&amp;S) in 2022, with the aim of assessing whether the transaction has achieved its intended strategic and financial objectives. The acquisition represented a significant shift in M&amp;S’s approach to supply chain management, bringing a previously outsourced logistics function in-house.</w:t>
      </w:r>
    </w:p>
    <w:p w14:paraId="77427F46">
      <w:pPr>
        <w:spacing w:line="360" w:lineRule="auto"/>
        <w:ind w:firstLine="480" w:firstLineChars="200"/>
        <w:rPr>
          <w:rFonts w:ascii="Times New Roman" w:hAnsi="Times New Roman" w:cs="Times New Roman"/>
          <w:sz w:val="24"/>
        </w:rPr>
      </w:pPr>
      <w:r>
        <w:rPr>
          <w:rFonts w:ascii="Times New Roman" w:hAnsi="Times New Roman" w:cs="Times New Roman"/>
          <w:sz w:val="24"/>
        </w:rPr>
        <w:t>The analysis is based on established merger and acquisition theories, including synergy theory, economies of scale, the resource-based view, and agency theory. It also draws on financial data, company reports, and industry evidence to assess post-acquisition performance.</w:t>
      </w:r>
    </w:p>
    <w:p w14:paraId="1ECDE4C8">
      <w:pPr>
        <w:spacing w:line="360" w:lineRule="auto"/>
        <w:ind w:firstLine="480" w:firstLineChars="200"/>
        <w:rPr>
          <w:rFonts w:ascii="Times New Roman" w:hAnsi="Times New Roman" w:cs="Times New Roman"/>
          <w:sz w:val="24"/>
        </w:rPr>
      </w:pPr>
      <w:r>
        <w:rPr>
          <w:rFonts w:ascii="Times New Roman" w:hAnsi="Times New Roman" w:cs="Times New Roman"/>
          <w:sz w:val="24"/>
        </w:rPr>
        <w:t>The findings indicate that the acquisition has strengthened M&amp;S’s supply chain control, improved operational efficiency, and contributed to growth in revenue, operating profit, and earnings per share. Evidence also suggests that both cost and revenue synergies have been realized. However, the decline in free cash flow highlights short-term financial pressures and ongoing integration costs.</w:t>
      </w:r>
    </w:p>
    <w:p w14:paraId="569E24F1">
      <w:pPr>
        <w:spacing w:line="360" w:lineRule="auto"/>
        <w:ind w:firstLine="480" w:firstLineChars="200"/>
        <w:rPr>
          <w:rFonts w:ascii="Times New Roman" w:hAnsi="Times New Roman" w:cs="Times New Roman"/>
          <w:sz w:val="24"/>
        </w:rPr>
      </w:pPr>
      <w:r>
        <w:rPr>
          <w:rFonts w:ascii="Times New Roman" w:hAnsi="Times New Roman" w:cs="Times New Roman"/>
          <w:sz w:val="24"/>
        </w:rPr>
        <w:t>Overall, the acquisition can be considered moderately successful, with clear operational and financial benefits, although its long-term success will depend on sustaining efficiency gains and managing integration risks effectively.</w:t>
      </w:r>
    </w:p>
    <w:p w14:paraId="2FFF8A9D">
      <w:pPr>
        <w:widowControl/>
        <w:jc w:val="left"/>
        <w:rPr>
          <w:rFonts w:ascii="Times New Roman" w:hAnsi="Times New Roman" w:cs="Times New Roman"/>
          <w:b/>
          <w:bCs/>
          <w:sz w:val="28"/>
          <w:szCs w:val="28"/>
        </w:rPr>
      </w:pPr>
      <w:r>
        <w:rPr>
          <w:rFonts w:ascii="Times New Roman" w:hAnsi="Times New Roman" w:cs="Times New Roman"/>
          <w:b/>
          <w:bCs/>
          <w:sz w:val="28"/>
          <w:szCs w:val="28"/>
        </w:rPr>
        <w:br w:type="page"/>
      </w:r>
    </w:p>
    <w:sdt>
      <w:sdtPr>
        <w:rPr>
          <w:lang w:val="zh-CN"/>
        </w:rPr>
        <w:id w:val="-1"/>
        <w:docPartObj>
          <w:docPartGallery w:val="Table of Contents"/>
          <w:docPartUnique/>
        </w:docPartObj>
      </w:sdtPr>
      <w:sdtEndPr>
        <w:rPr>
          <w:rFonts w:ascii="Times New Roman" w:hAnsi="Times New Roman" w:cs="Times New Roman" w:eastAsiaTheme="minorEastAsia"/>
          <w:b/>
          <w:bCs/>
          <w:color w:val="auto"/>
          <w:kern w:val="2"/>
          <w:sz w:val="24"/>
          <w:szCs w:val="24"/>
          <w:lang w:val="zh-CN"/>
        </w:rPr>
      </w:sdtEndPr>
      <w:sdtContent>
        <w:p w14:paraId="0EF12C22">
          <w:pPr>
            <w:pStyle w:val="9"/>
            <w:spacing w:line="360" w:lineRule="auto"/>
            <w:jc w:val="center"/>
            <w:rPr>
              <w:rFonts w:ascii="Times New Roman" w:hAnsi="Times New Roman" w:cs="Times New Roman"/>
              <w:b/>
              <w:color w:val="auto"/>
              <w:sz w:val="24"/>
              <w:szCs w:val="24"/>
            </w:rPr>
          </w:pPr>
          <w:r>
            <w:rPr>
              <w:rFonts w:ascii="Times New Roman" w:hAnsi="Times New Roman" w:cs="Times New Roman"/>
              <w:b/>
              <w:color w:val="auto"/>
              <w:sz w:val="24"/>
              <w:szCs w:val="24"/>
              <w:lang w:val="zh-CN"/>
            </w:rPr>
            <w:t>Content</w:t>
          </w:r>
        </w:p>
        <w:p w14:paraId="2C94A8A3">
          <w:pPr>
            <w:pStyle w:val="3"/>
            <w:tabs>
              <w:tab w:val="right" w:leader="dot" w:pos="8296"/>
            </w:tabs>
            <w:spacing w:line="360" w:lineRule="auto"/>
            <w:rPr>
              <w:rFonts w:ascii="Times New Roman" w:hAnsi="Times New Roman" w:cs="Times New Roman"/>
              <w:sz w:val="24"/>
            </w:rPr>
          </w:pPr>
          <w:r>
            <w:rPr>
              <w:rFonts w:ascii="Times New Roman" w:hAnsi="Times New Roman" w:cs="Times New Roman"/>
              <w:sz w:val="24"/>
            </w:rPr>
            <w:fldChar w:fldCharType="begin"/>
          </w:r>
          <w:r>
            <w:rPr>
              <w:rFonts w:ascii="Times New Roman" w:hAnsi="Times New Roman" w:cs="Times New Roman"/>
              <w:sz w:val="24"/>
            </w:rPr>
            <w:instrText xml:space="preserve"> TOC \o "1-3" \h \z \u </w:instrText>
          </w:r>
          <w:r>
            <w:rPr>
              <w:rFonts w:ascii="Times New Roman" w:hAnsi="Times New Roman" w:cs="Times New Roman"/>
              <w:sz w:val="24"/>
            </w:rPr>
            <w:fldChar w:fldCharType="separate"/>
          </w:r>
          <w:r>
            <w:fldChar w:fldCharType="begin"/>
          </w:r>
          <w:r>
            <w:instrText xml:space="preserve"> HYPERLINK \l "_Toc225056517" </w:instrText>
          </w:r>
          <w:r>
            <w:fldChar w:fldCharType="separate"/>
          </w:r>
          <w:r>
            <w:rPr>
              <w:rStyle w:val="7"/>
              <w:rFonts w:ascii="Times New Roman" w:hAnsi="Times New Roman" w:cs="Times New Roman"/>
              <w:b/>
              <w:bCs/>
              <w:sz w:val="24"/>
            </w:rPr>
            <w:t>Executive Summary</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_Toc225056517 \h </w:instrText>
          </w:r>
          <w:r>
            <w:rPr>
              <w:rFonts w:ascii="Times New Roman" w:hAnsi="Times New Roman" w:cs="Times New Roman"/>
              <w:sz w:val="24"/>
            </w:rPr>
            <w:fldChar w:fldCharType="separate"/>
          </w:r>
          <w:r>
            <w:rPr>
              <w:rFonts w:ascii="Times New Roman" w:hAnsi="Times New Roman" w:cs="Times New Roman"/>
              <w:sz w:val="24"/>
            </w:rPr>
            <w:t>2</w:t>
          </w:r>
          <w:r>
            <w:rPr>
              <w:rFonts w:ascii="Times New Roman" w:hAnsi="Times New Roman" w:cs="Times New Roman"/>
              <w:sz w:val="24"/>
            </w:rPr>
            <w:fldChar w:fldCharType="end"/>
          </w:r>
          <w:r>
            <w:rPr>
              <w:rFonts w:ascii="Times New Roman" w:hAnsi="Times New Roman" w:cs="Times New Roman"/>
              <w:sz w:val="24"/>
            </w:rPr>
            <w:fldChar w:fldCharType="end"/>
          </w:r>
        </w:p>
        <w:p w14:paraId="5CE9E172">
          <w:pPr>
            <w:pStyle w:val="3"/>
            <w:tabs>
              <w:tab w:val="right" w:leader="dot" w:pos="8296"/>
            </w:tabs>
            <w:spacing w:line="360" w:lineRule="auto"/>
            <w:rPr>
              <w:rFonts w:ascii="Times New Roman" w:hAnsi="Times New Roman" w:cs="Times New Roman"/>
              <w:sz w:val="24"/>
            </w:rPr>
          </w:pPr>
          <w:r>
            <w:fldChar w:fldCharType="begin"/>
          </w:r>
          <w:r>
            <w:instrText xml:space="preserve"> HYPERLINK \l "_Toc225056518" </w:instrText>
          </w:r>
          <w:r>
            <w:fldChar w:fldCharType="separate"/>
          </w:r>
          <w:r>
            <w:rPr>
              <w:rStyle w:val="7"/>
              <w:rFonts w:ascii="Times New Roman" w:hAnsi="Times New Roman" w:cs="Times New Roman"/>
              <w:b/>
              <w:bCs/>
              <w:sz w:val="24"/>
            </w:rPr>
            <w:t>1.0 Introduction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_Toc225056518 \h </w:instrText>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r>
            <w:rPr>
              <w:rFonts w:ascii="Times New Roman" w:hAnsi="Times New Roman" w:cs="Times New Roman"/>
              <w:sz w:val="24"/>
            </w:rPr>
            <w:fldChar w:fldCharType="end"/>
          </w:r>
        </w:p>
        <w:p w14:paraId="7F1B16DD">
          <w:pPr>
            <w:pStyle w:val="3"/>
            <w:tabs>
              <w:tab w:val="right" w:leader="dot" w:pos="8296"/>
            </w:tabs>
            <w:spacing w:line="360" w:lineRule="auto"/>
            <w:rPr>
              <w:rFonts w:ascii="Times New Roman" w:hAnsi="Times New Roman" w:cs="Times New Roman"/>
              <w:sz w:val="24"/>
            </w:rPr>
          </w:pPr>
          <w:r>
            <w:fldChar w:fldCharType="begin"/>
          </w:r>
          <w:r>
            <w:instrText xml:space="preserve"> HYPERLINK \l "_Toc225056519" </w:instrText>
          </w:r>
          <w:r>
            <w:fldChar w:fldCharType="separate"/>
          </w:r>
          <w:r>
            <w:rPr>
              <w:rStyle w:val="7"/>
              <w:rFonts w:ascii="Times New Roman" w:hAnsi="Times New Roman" w:cs="Times New Roman"/>
              <w:b/>
              <w:bCs/>
              <w:sz w:val="24"/>
            </w:rPr>
            <w:t>2.0 Theoretical Background of Mergers and Acquisitions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_Toc225056519 \h </w:instrText>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r>
            <w:rPr>
              <w:rFonts w:ascii="Times New Roman" w:hAnsi="Times New Roman" w:cs="Times New Roman"/>
              <w:sz w:val="24"/>
            </w:rPr>
            <w:fldChar w:fldCharType="end"/>
          </w:r>
        </w:p>
        <w:p w14:paraId="3341D57B">
          <w:pPr>
            <w:pStyle w:val="4"/>
            <w:tabs>
              <w:tab w:val="right" w:leader="dot" w:pos="8296"/>
            </w:tabs>
            <w:spacing w:line="360" w:lineRule="auto"/>
            <w:rPr>
              <w:rFonts w:ascii="Times New Roman" w:hAnsi="Times New Roman" w:cs="Times New Roman"/>
              <w:sz w:val="24"/>
            </w:rPr>
          </w:pPr>
          <w:r>
            <w:fldChar w:fldCharType="begin"/>
          </w:r>
          <w:r>
            <w:instrText xml:space="preserve"> HYPERLINK \l "_Toc225056520" </w:instrText>
          </w:r>
          <w:r>
            <w:fldChar w:fldCharType="separate"/>
          </w:r>
          <w:r>
            <w:rPr>
              <w:rStyle w:val="7"/>
              <w:rFonts w:ascii="Times New Roman" w:hAnsi="Times New Roman" w:cs="Times New Roman"/>
              <w:sz w:val="24"/>
            </w:rPr>
            <w:t>2.1 Synergy Theory</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_Toc225056520 \h </w:instrText>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r>
            <w:rPr>
              <w:rFonts w:ascii="Times New Roman" w:hAnsi="Times New Roman" w:cs="Times New Roman"/>
              <w:sz w:val="24"/>
            </w:rPr>
            <w:fldChar w:fldCharType="end"/>
          </w:r>
        </w:p>
        <w:p w14:paraId="2F029D0A">
          <w:pPr>
            <w:pStyle w:val="4"/>
            <w:tabs>
              <w:tab w:val="right" w:leader="dot" w:pos="8296"/>
            </w:tabs>
            <w:spacing w:line="360" w:lineRule="auto"/>
            <w:rPr>
              <w:rFonts w:ascii="Times New Roman" w:hAnsi="Times New Roman" w:cs="Times New Roman"/>
              <w:sz w:val="24"/>
            </w:rPr>
          </w:pPr>
          <w:r>
            <w:fldChar w:fldCharType="begin"/>
          </w:r>
          <w:r>
            <w:instrText xml:space="preserve"> HYPERLINK \l "_Toc225056521" </w:instrText>
          </w:r>
          <w:r>
            <w:fldChar w:fldCharType="separate"/>
          </w:r>
          <w:r>
            <w:rPr>
              <w:rStyle w:val="7"/>
              <w:rFonts w:ascii="Times New Roman" w:hAnsi="Times New Roman" w:cs="Times New Roman"/>
              <w:sz w:val="24"/>
            </w:rPr>
            <w:t>2.2 Economies of Scale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_Toc225056521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cs="Times New Roman"/>
              <w:sz w:val="24"/>
            </w:rPr>
            <w:fldChar w:fldCharType="end"/>
          </w:r>
        </w:p>
        <w:p w14:paraId="70B5B3A8">
          <w:pPr>
            <w:pStyle w:val="4"/>
            <w:tabs>
              <w:tab w:val="right" w:leader="dot" w:pos="8296"/>
            </w:tabs>
            <w:spacing w:line="360" w:lineRule="auto"/>
            <w:rPr>
              <w:rFonts w:ascii="Times New Roman" w:hAnsi="Times New Roman" w:cs="Times New Roman"/>
              <w:sz w:val="24"/>
            </w:rPr>
          </w:pPr>
          <w:r>
            <w:fldChar w:fldCharType="begin"/>
          </w:r>
          <w:r>
            <w:instrText xml:space="preserve"> HYPERLINK \l "_Toc225056522" </w:instrText>
          </w:r>
          <w:r>
            <w:fldChar w:fldCharType="separate"/>
          </w:r>
          <w:r>
            <w:rPr>
              <w:rStyle w:val="7"/>
              <w:rFonts w:ascii="Times New Roman" w:hAnsi="Times New Roman" w:cs="Times New Roman"/>
              <w:sz w:val="24"/>
            </w:rPr>
            <w:t>2.3 Resource-Based View</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_Toc225056522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cs="Times New Roman"/>
              <w:sz w:val="24"/>
            </w:rPr>
            <w:fldChar w:fldCharType="end"/>
          </w:r>
        </w:p>
        <w:p w14:paraId="405C5F44">
          <w:pPr>
            <w:pStyle w:val="4"/>
            <w:tabs>
              <w:tab w:val="right" w:leader="dot" w:pos="8296"/>
            </w:tabs>
            <w:spacing w:line="360" w:lineRule="auto"/>
            <w:rPr>
              <w:rFonts w:ascii="Times New Roman" w:hAnsi="Times New Roman" w:cs="Times New Roman"/>
              <w:sz w:val="24"/>
            </w:rPr>
          </w:pPr>
          <w:r>
            <w:fldChar w:fldCharType="begin"/>
          </w:r>
          <w:r>
            <w:instrText xml:space="preserve"> HYPERLINK \l "_Toc225056523" </w:instrText>
          </w:r>
          <w:r>
            <w:fldChar w:fldCharType="separate"/>
          </w:r>
          <w:r>
            <w:rPr>
              <w:rStyle w:val="7"/>
              <w:rFonts w:ascii="Times New Roman" w:hAnsi="Times New Roman" w:cs="Times New Roman"/>
              <w:sz w:val="24"/>
            </w:rPr>
            <w:t>2.4 Agency Theory and Free Cash Flow</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_Toc225056523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cs="Times New Roman"/>
              <w:sz w:val="24"/>
            </w:rPr>
            <w:fldChar w:fldCharType="end"/>
          </w:r>
        </w:p>
        <w:p w14:paraId="2C45BC12">
          <w:pPr>
            <w:pStyle w:val="3"/>
            <w:tabs>
              <w:tab w:val="right" w:leader="dot" w:pos="8296"/>
            </w:tabs>
            <w:spacing w:line="360" w:lineRule="auto"/>
            <w:rPr>
              <w:rFonts w:ascii="Times New Roman" w:hAnsi="Times New Roman" w:cs="Times New Roman"/>
              <w:sz w:val="24"/>
            </w:rPr>
          </w:pPr>
          <w:r>
            <w:fldChar w:fldCharType="begin"/>
          </w:r>
          <w:r>
            <w:instrText xml:space="preserve"> HYPERLINK \l "_Toc225056524" </w:instrText>
          </w:r>
          <w:r>
            <w:fldChar w:fldCharType="separate"/>
          </w:r>
          <w:r>
            <w:rPr>
              <w:rStyle w:val="7"/>
              <w:rFonts w:ascii="Times New Roman" w:hAnsi="Times New Roman" w:cs="Times New Roman"/>
              <w:b/>
              <w:bCs/>
              <w:sz w:val="24"/>
            </w:rPr>
            <w:t>3.0 Main Findings and Analysis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_Toc225056524 \h </w:instrText>
          </w:r>
          <w:r>
            <w:rPr>
              <w:rFonts w:ascii="Times New Roman" w:hAnsi="Times New Roman" w:cs="Times New Roman"/>
              <w:sz w:val="24"/>
            </w:rPr>
            <w:fldChar w:fldCharType="separate"/>
          </w:r>
          <w:r>
            <w:rPr>
              <w:rFonts w:ascii="Times New Roman" w:hAnsi="Times New Roman" w:cs="Times New Roman"/>
              <w:sz w:val="24"/>
            </w:rPr>
            <w:t>5</w:t>
          </w:r>
          <w:r>
            <w:rPr>
              <w:rFonts w:ascii="Times New Roman" w:hAnsi="Times New Roman" w:cs="Times New Roman"/>
              <w:sz w:val="24"/>
            </w:rPr>
            <w:fldChar w:fldCharType="end"/>
          </w:r>
          <w:r>
            <w:rPr>
              <w:rFonts w:ascii="Times New Roman" w:hAnsi="Times New Roman" w:cs="Times New Roman"/>
              <w:sz w:val="24"/>
            </w:rPr>
            <w:fldChar w:fldCharType="end"/>
          </w:r>
        </w:p>
        <w:p w14:paraId="1F82D35B">
          <w:pPr>
            <w:pStyle w:val="4"/>
            <w:tabs>
              <w:tab w:val="right" w:leader="dot" w:pos="8296"/>
            </w:tabs>
            <w:spacing w:line="360" w:lineRule="auto"/>
            <w:rPr>
              <w:rFonts w:ascii="Times New Roman" w:hAnsi="Times New Roman" w:cs="Times New Roman"/>
              <w:sz w:val="24"/>
            </w:rPr>
          </w:pPr>
          <w:r>
            <w:fldChar w:fldCharType="begin"/>
          </w:r>
          <w:r>
            <w:instrText xml:space="preserve"> HYPERLINK \l "_Toc225056525" </w:instrText>
          </w:r>
          <w:r>
            <w:fldChar w:fldCharType="separate"/>
          </w:r>
          <w:r>
            <w:rPr>
              <w:rStyle w:val="7"/>
              <w:rFonts w:ascii="Times New Roman" w:hAnsi="Times New Roman" w:cs="Times New Roman"/>
              <w:sz w:val="24"/>
            </w:rPr>
            <w:t>3.1 Strategic Motivations for the Acquisition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_Toc225056525 \h </w:instrText>
          </w:r>
          <w:r>
            <w:rPr>
              <w:rFonts w:ascii="Times New Roman" w:hAnsi="Times New Roman" w:cs="Times New Roman"/>
              <w:sz w:val="24"/>
            </w:rPr>
            <w:fldChar w:fldCharType="separate"/>
          </w:r>
          <w:r>
            <w:rPr>
              <w:rFonts w:ascii="Times New Roman" w:hAnsi="Times New Roman" w:cs="Times New Roman"/>
              <w:sz w:val="24"/>
            </w:rPr>
            <w:t>5</w:t>
          </w:r>
          <w:r>
            <w:rPr>
              <w:rFonts w:ascii="Times New Roman" w:hAnsi="Times New Roman" w:cs="Times New Roman"/>
              <w:sz w:val="24"/>
            </w:rPr>
            <w:fldChar w:fldCharType="end"/>
          </w:r>
          <w:r>
            <w:rPr>
              <w:rFonts w:ascii="Times New Roman" w:hAnsi="Times New Roman" w:cs="Times New Roman"/>
              <w:sz w:val="24"/>
            </w:rPr>
            <w:fldChar w:fldCharType="end"/>
          </w:r>
        </w:p>
        <w:p w14:paraId="57BD0A9D">
          <w:pPr>
            <w:pStyle w:val="4"/>
            <w:tabs>
              <w:tab w:val="right" w:leader="dot" w:pos="8296"/>
            </w:tabs>
            <w:spacing w:line="360" w:lineRule="auto"/>
            <w:rPr>
              <w:rFonts w:ascii="Times New Roman" w:hAnsi="Times New Roman" w:cs="Times New Roman"/>
              <w:sz w:val="24"/>
            </w:rPr>
          </w:pPr>
          <w:r>
            <w:fldChar w:fldCharType="begin"/>
          </w:r>
          <w:r>
            <w:instrText xml:space="preserve"> HYPERLINK \l "_Toc225056526" </w:instrText>
          </w:r>
          <w:r>
            <w:fldChar w:fldCharType="separate"/>
          </w:r>
          <w:r>
            <w:rPr>
              <w:rStyle w:val="7"/>
              <w:rFonts w:ascii="Times New Roman" w:hAnsi="Times New Roman" w:cs="Times New Roman"/>
              <w:sz w:val="24"/>
            </w:rPr>
            <w:t>3.2 Operational Impact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_Toc225056526 \h </w:instrText>
          </w:r>
          <w:r>
            <w:rPr>
              <w:rFonts w:ascii="Times New Roman" w:hAnsi="Times New Roman" w:cs="Times New Roman"/>
              <w:sz w:val="24"/>
            </w:rPr>
            <w:fldChar w:fldCharType="separate"/>
          </w:r>
          <w:r>
            <w:rPr>
              <w:rFonts w:ascii="Times New Roman" w:hAnsi="Times New Roman" w:cs="Times New Roman"/>
              <w:sz w:val="24"/>
            </w:rPr>
            <w:t>6</w:t>
          </w:r>
          <w:r>
            <w:rPr>
              <w:rFonts w:ascii="Times New Roman" w:hAnsi="Times New Roman" w:cs="Times New Roman"/>
              <w:sz w:val="24"/>
            </w:rPr>
            <w:fldChar w:fldCharType="end"/>
          </w:r>
          <w:r>
            <w:rPr>
              <w:rFonts w:ascii="Times New Roman" w:hAnsi="Times New Roman" w:cs="Times New Roman"/>
              <w:sz w:val="24"/>
            </w:rPr>
            <w:fldChar w:fldCharType="end"/>
          </w:r>
        </w:p>
        <w:p w14:paraId="059815FF">
          <w:pPr>
            <w:pStyle w:val="4"/>
            <w:tabs>
              <w:tab w:val="right" w:leader="dot" w:pos="8296"/>
            </w:tabs>
            <w:spacing w:line="360" w:lineRule="auto"/>
            <w:rPr>
              <w:rFonts w:ascii="Times New Roman" w:hAnsi="Times New Roman" w:cs="Times New Roman"/>
              <w:sz w:val="24"/>
            </w:rPr>
          </w:pPr>
          <w:r>
            <w:fldChar w:fldCharType="begin"/>
          </w:r>
          <w:r>
            <w:instrText xml:space="preserve"> HYPERLINK \l "_Toc225056527" </w:instrText>
          </w:r>
          <w:r>
            <w:fldChar w:fldCharType="separate"/>
          </w:r>
          <w:r>
            <w:rPr>
              <w:rStyle w:val="7"/>
              <w:rFonts w:ascii="Times New Roman" w:hAnsi="Times New Roman" w:cs="Times New Roman"/>
              <w:sz w:val="24"/>
            </w:rPr>
            <w:t>3.3 Financial Impact and Shareholder Value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_Toc225056527 \h </w:instrText>
          </w:r>
          <w:r>
            <w:rPr>
              <w:rFonts w:ascii="Times New Roman" w:hAnsi="Times New Roman" w:cs="Times New Roman"/>
              <w:sz w:val="24"/>
            </w:rPr>
            <w:fldChar w:fldCharType="separate"/>
          </w:r>
          <w:r>
            <w:rPr>
              <w:rFonts w:ascii="Times New Roman" w:hAnsi="Times New Roman" w:cs="Times New Roman"/>
              <w:sz w:val="24"/>
            </w:rPr>
            <w:t>7</w:t>
          </w:r>
          <w:r>
            <w:rPr>
              <w:rFonts w:ascii="Times New Roman" w:hAnsi="Times New Roman" w:cs="Times New Roman"/>
              <w:sz w:val="24"/>
            </w:rPr>
            <w:fldChar w:fldCharType="end"/>
          </w:r>
          <w:r>
            <w:rPr>
              <w:rFonts w:ascii="Times New Roman" w:hAnsi="Times New Roman" w:cs="Times New Roman"/>
              <w:sz w:val="24"/>
            </w:rPr>
            <w:fldChar w:fldCharType="end"/>
          </w:r>
        </w:p>
        <w:p w14:paraId="3E4C8921">
          <w:pPr>
            <w:pStyle w:val="3"/>
            <w:tabs>
              <w:tab w:val="right" w:leader="dot" w:pos="8296"/>
            </w:tabs>
            <w:spacing w:line="360" w:lineRule="auto"/>
            <w:rPr>
              <w:rFonts w:ascii="Times New Roman" w:hAnsi="Times New Roman" w:cs="Times New Roman"/>
              <w:sz w:val="24"/>
            </w:rPr>
          </w:pPr>
          <w:r>
            <w:fldChar w:fldCharType="begin"/>
          </w:r>
          <w:r>
            <w:instrText xml:space="preserve"> HYPERLINK \l "_Toc225056528" </w:instrText>
          </w:r>
          <w:r>
            <w:fldChar w:fldCharType="separate"/>
          </w:r>
          <w:r>
            <w:rPr>
              <w:rStyle w:val="7"/>
              <w:rFonts w:ascii="Times New Roman" w:hAnsi="Times New Roman" w:cs="Times New Roman"/>
              <w:b/>
              <w:bCs/>
              <w:sz w:val="24"/>
            </w:rPr>
            <w:t>4.0 Analysis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_Toc225056528 \h </w:instrText>
          </w:r>
          <w:r>
            <w:rPr>
              <w:rFonts w:ascii="Times New Roman" w:hAnsi="Times New Roman" w:cs="Times New Roman"/>
              <w:sz w:val="24"/>
            </w:rPr>
            <w:fldChar w:fldCharType="separate"/>
          </w:r>
          <w:r>
            <w:rPr>
              <w:rFonts w:ascii="Times New Roman" w:hAnsi="Times New Roman" w:cs="Times New Roman"/>
              <w:sz w:val="24"/>
            </w:rPr>
            <w:t>9</w:t>
          </w:r>
          <w:r>
            <w:rPr>
              <w:rFonts w:ascii="Times New Roman" w:hAnsi="Times New Roman" w:cs="Times New Roman"/>
              <w:sz w:val="24"/>
            </w:rPr>
            <w:fldChar w:fldCharType="end"/>
          </w:r>
          <w:r>
            <w:rPr>
              <w:rFonts w:ascii="Times New Roman" w:hAnsi="Times New Roman" w:cs="Times New Roman"/>
              <w:sz w:val="24"/>
            </w:rPr>
            <w:fldChar w:fldCharType="end"/>
          </w:r>
        </w:p>
        <w:p w14:paraId="27708676">
          <w:pPr>
            <w:pStyle w:val="3"/>
            <w:tabs>
              <w:tab w:val="right" w:leader="dot" w:pos="8296"/>
            </w:tabs>
            <w:spacing w:line="360" w:lineRule="auto"/>
            <w:rPr>
              <w:rFonts w:ascii="Times New Roman" w:hAnsi="Times New Roman" w:cs="Times New Roman"/>
              <w:sz w:val="24"/>
            </w:rPr>
          </w:pPr>
          <w:r>
            <w:fldChar w:fldCharType="begin"/>
          </w:r>
          <w:r>
            <w:instrText xml:space="preserve"> HYPERLINK \l "_Toc225056529" </w:instrText>
          </w:r>
          <w:r>
            <w:fldChar w:fldCharType="separate"/>
          </w:r>
          <w:r>
            <w:rPr>
              <w:rStyle w:val="7"/>
              <w:rFonts w:ascii="Times New Roman" w:hAnsi="Times New Roman" w:cs="Times New Roman"/>
              <w:b/>
              <w:bCs/>
              <w:sz w:val="24"/>
            </w:rPr>
            <w:t>5.0 Conclusion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_Toc225056529 \h </w:instrText>
          </w:r>
          <w:r>
            <w:rPr>
              <w:rFonts w:ascii="Times New Roman" w:hAnsi="Times New Roman" w:cs="Times New Roman"/>
              <w:sz w:val="24"/>
            </w:rPr>
            <w:fldChar w:fldCharType="separate"/>
          </w:r>
          <w:r>
            <w:rPr>
              <w:rFonts w:ascii="Times New Roman" w:hAnsi="Times New Roman" w:cs="Times New Roman"/>
              <w:sz w:val="24"/>
            </w:rPr>
            <w:t>9</w:t>
          </w:r>
          <w:r>
            <w:rPr>
              <w:rFonts w:ascii="Times New Roman" w:hAnsi="Times New Roman" w:cs="Times New Roman"/>
              <w:sz w:val="24"/>
            </w:rPr>
            <w:fldChar w:fldCharType="end"/>
          </w:r>
          <w:r>
            <w:rPr>
              <w:rFonts w:ascii="Times New Roman" w:hAnsi="Times New Roman" w:cs="Times New Roman"/>
              <w:sz w:val="24"/>
            </w:rPr>
            <w:fldChar w:fldCharType="end"/>
          </w:r>
        </w:p>
        <w:p w14:paraId="16F9B8E6">
          <w:pPr>
            <w:pStyle w:val="3"/>
            <w:tabs>
              <w:tab w:val="right" w:leader="dot" w:pos="8296"/>
            </w:tabs>
            <w:spacing w:line="360" w:lineRule="auto"/>
            <w:rPr>
              <w:rFonts w:ascii="Times New Roman" w:hAnsi="Times New Roman" w:cs="Times New Roman"/>
              <w:sz w:val="24"/>
            </w:rPr>
          </w:pPr>
          <w:r>
            <w:fldChar w:fldCharType="begin"/>
          </w:r>
          <w:r>
            <w:instrText xml:space="preserve"> HYPERLINK \l "_Toc225056530" </w:instrText>
          </w:r>
          <w:r>
            <w:fldChar w:fldCharType="separate"/>
          </w:r>
          <w:r>
            <w:rPr>
              <w:rStyle w:val="7"/>
              <w:rFonts w:ascii="Times New Roman" w:hAnsi="Times New Roman" w:cs="Times New Roman"/>
              <w:b/>
              <w:bCs/>
              <w:sz w:val="24"/>
            </w:rPr>
            <w:t>6.0 References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_Toc225056530 \h </w:instrText>
          </w:r>
          <w:r>
            <w:rPr>
              <w:rFonts w:ascii="Times New Roman" w:hAnsi="Times New Roman" w:cs="Times New Roman"/>
              <w:sz w:val="24"/>
            </w:rPr>
            <w:fldChar w:fldCharType="separate"/>
          </w:r>
          <w:r>
            <w:rPr>
              <w:rFonts w:ascii="Times New Roman" w:hAnsi="Times New Roman" w:cs="Times New Roman"/>
              <w:sz w:val="24"/>
            </w:rPr>
            <w:t>11</w:t>
          </w:r>
          <w:r>
            <w:rPr>
              <w:rFonts w:ascii="Times New Roman" w:hAnsi="Times New Roman" w:cs="Times New Roman"/>
              <w:sz w:val="24"/>
            </w:rPr>
            <w:fldChar w:fldCharType="end"/>
          </w:r>
          <w:r>
            <w:rPr>
              <w:rFonts w:ascii="Times New Roman" w:hAnsi="Times New Roman" w:cs="Times New Roman"/>
              <w:sz w:val="24"/>
            </w:rPr>
            <w:fldChar w:fldCharType="end"/>
          </w:r>
        </w:p>
        <w:p w14:paraId="0052DC82">
          <w:pPr>
            <w:spacing w:line="360" w:lineRule="auto"/>
            <w:rPr>
              <w:rFonts w:ascii="Times New Roman" w:hAnsi="Times New Roman" w:cs="Times New Roman"/>
              <w:sz w:val="24"/>
            </w:rPr>
          </w:pPr>
          <w:r>
            <w:rPr>
              <w:rFonts w:ascii="Times New Roman" w:hAnsi="Times New Roman" w:cs="Times New Roman"/>
              <w:b/>
              <w:bCs/>
              <w:sz w:val="24"/>
              <w:lang w:val="zh-CN"/>
            </w:rPr>
            <w:fldChar w:fldCharType="end"/>
          </w:r>
        </w:p>
      </w:sdtContent>
    </w:sdt>
    <w:p w14:paraId="27831C98">
      <w:pPr>
        <w:widowControl/>
        <w:jc w:val="left"/>
        <w:rPr>
          <w:rFonts w:ascii="Times New Roman" w:hAnsi="Times New Roman" w:cs="Times New Roman"/>
          <w:b/>
          <w:bCs/>
          <w:sz w:val="28"/>
          <w:szCs w:val="28"/>
        </w:rPr>
      </w:pPr>
      <w:bookmarkStart w:id="1" w:name="_Toc225056518"/>
      <w:r>
        <w:rPr>
          <w:rFonts w:ascii="Times New Roman" w:hAnsi="Times New Roman" w:cs="Times New Roman"/>
          <w:b/>
          <w:bCs/>
          <w:sz w:val="28"/>
          <w:szCs w:val="28"/>
        </w:rPr>
        <w:br w:type="page"/>
      </w:r>
    </w:p>
    <w:p w14:paraId="195B37B4">
      <w:pPr>
        <w:spacing w:line="360" w:lineRule="auto"/>
        <w:outlineLvl w:val="0"/>
        <w:rPr>
          <w:rFonts w:ascii="Times New Roman" w:hAnsi="Times New Roman" w:cs="Times New Roman"/>
          <w:b/>
          <w:bCs/>
          <w:sz w:val="28"/>
          <w:szCs w:val="28"/>
        </w:rPr>
      </w:pPr>
      <w:r>
        <w:rPr>
          <w:rFonts w:ascii="Times New Roman" w:hAnsi="Times New Roman" w:cs="Times New Roman"/>
          <w:b/>
          <w:bCs/>
          <w:sz w:val="28"/>
          <w:szCs w:val="28"/>
        </w:rPr>
        <w:t>1.0 Introduction</w:t>
      </w:r>
      <w:bookmarkEnd w:id="1"/>
    </w:p>
    <w:p w14:paraId="32EF4403">
      <w:pPr>
        <w:spacing w:line="360" w:lineRule="auto"/>
        <w:ind w:firstLine="480" w:firstLineChars="200"/>
        <w:rPr>
          <w:rFonts w:ascii="Times New Roman" w:hAnsi="Times New Roman" w:cs="Times New Roman"/>
          <w:sz w:val="24"/>
        </w:rPr>
      </w:pPr>
      <w:r>
        <w:rPr>
          <w:rFonts w:ascii="Times New Roman" w:hAnsi="Times New Roman" w:cs="Times New Roman"/>
          <w:sz w:val="24"/>
        </w:rPr>
        <w:t>Marks and Spencer Group plc (M&amp;S) is one of the best-known retailers in the United Kingdom, with a strong market position in food retailing and a growing strategic emphasis on operational efficiency, value, and supply chain resilience. In 2022, M&amp;S acquired Gist Limited, its long-standing food logistics partner, as part of a wider transformation of its food supply chain. Gist had supported the M&amp;S Food supply chain for decades and operated a substantial logistics network, including 8 primary and 10 secondary distribution centers across the UK and the Republic of Ireland, supported by approximately 5800 employees (Marks and Spencer Group plc, 2022a).</w:t>
      </w:r>
    </w:p>
    <w:p w14:paraId="08D0067B">
      <w:pPr>
        <w:spacing w:line="360" w:lineRule="auto"/>
        <w:ind w:firstLine="480" w:firstLineChars="200"/>
        <w:rPr>
          <w:rFonts w:ascii="Times New Roman" w:hAnsi="Times New Roman" w:cs="Times New Roman"/>
          <w:sz w:val="24"/>
        </w:rPr>
      </w:pPr>
      <w:r>
        <w:rPr>
          <w:rFonts w:ascii="Times New Roman" w:hAnsi="Times New Roman" w:cs="Times New Roman"/>
          <w:sz w:val="24"/>
        </w:rPr>
        <w:t>The transaction was initially valued at £145 million in cash, with additional contingent payments linked to property disposals, and Gist had generated approximately £55 million in pro forma EBITDA in the year ended December 2021 (Marks and Spencer Group plc, 2022a). M&amp;S stated that the acquisition would eliminate legacy contractual costs, improve operational alignment, and accelerate investment in automation and network efficiency (Marks and Spencer Group plc, 2022a). This was particularly important in the context of Brexit, Covid-19 disruption, labor shortages, and increasing pressure on UK food supply chains (Grocery Gazette, 2022).</w:t>
      </w:r>
    </w:p>
    <w:p w14:paraId="5DA23686">
      <w:pPr>
        <w:spacing w:line="360" w:lineRule="auto"/>
        <w:ind w:firstLine="480" w:firstLineChars="200"/>
        <w:rPr>
          <w:rFonts w:ascii="Times New Roman" w:hAnsi="Times New Roman" w:cs="Times New Roman"/>
          <w:sz w:val="24"/>
        </w:rPr>
      </w:pPr>
      <w:r>
        <w:rPr>
          <w:rFonts w:ascii="Times New Roman" w:hAnsi="Times New Roman" w:cs="Times New Roman"/>
          <w:sz w:val="24"/>
        </w:rPr>
        <w:t>This report evaluates whether the acquisition has achieved its strategic and financial objectives, with particular reference to operational performance, profitability, and long-term competitive positioning in the UK food retail market.</w:t>
      </w:r>
    </w:p>
    <w:p w14:paraId="398032D3">
      <w:pPr>
        <w:spacing w:line="360" w:lineRule="auto"/>
        <w:outlineLvl w:val="0"/>
        <w:rPr>
          <w:rFonts w:ascii="Times New Roman" w:hAnsi="Times New Roman" w:cs="Times New Roman"/>
          <w:b/>
          <w:bCs/>
          <w:sz w:val="28"/>
          <w:szCs w:val="28"/>
        </w:rPr>
      </w:pPr>
      <w:bookmarkStart w:id="2" w:name="_Toc225056519"/>
      <w:r>
        <w:rPr>
          <w:rFonts w:ascii="Times New Roman" w:hAnsi="Times New Roman" w:cs="Times New Roman"/>
          <w:b/>
          <w:bCs/>
          <w:sz w:val="28"/>
          <w:szCs w:val="28"/>
        </w:rPr>
        <w:t>2.0 Theoretical Background of Mergers and Acquisitions</w:t>
      </w:r>
      <w:bookmarkEnd w:id="2"/>
    </w:p>
    <w:p w14:paraId="732F94C1">
      <w:pPr>
        <w:spacing w:line="360" w:lineRule="auto"/>
        <w:outlineLvl w:val="1"/>
        <w:rPr>
          <w:rFonts w:ascii="Times New Roman" w:hAnsi="Times New Roman" w:cs="Times New Roman"/>
          <w:sz w:val="24"/>
        </w:rPr>
      </w:pPr>
      <w:bookmarkStart w:id="3" w:name="_Toc225056520"/>
      <w:r>
        <w:rPr>
          <w:rFonts w:ascii="Times New Roman" w:hAnsi="Times New Roman" w:cs="Times New Roman"/>
          <w:sz w:val="24"/>
        </w:rPr>
        <w:t>2.1 Synergy Theory</w:t>
      </w:r>
      <w:bookmarkEnd w:id="3"/>
    </w:p>
    <w:p w14:paraId="71429CA8">
      <w:pPr>
        <w:spacing w:line="360" w:lineRule="auto"/>
        <w:ind w:firstLine="480" w:firstLineChars="200"/>
        <w:rPr>
          <w:rFonts w:ascii="Times New Roman" w:hAnsi="Times New Roman" w:cs="Times New Roman"/>
          <w:sz w:val="24"/>
        </w:rPr>
      </w:pPr>
      <w:r>
        <w:rPr>
          <w:rFonts w:ascii="Times New Roman" w:hAnsi="Times New Roman" w:cs="Times New Roman"/>
          <w:sz w:val="24"/>
        </w:rPr>
        <w:t>According to synergy theory, M&amp;A transactions are motivated in large part by creating new value so that together two firms are worth more than separately (Gaughan, 2018). It is often described in terms of “1 + 1 &gt; 2”. Synergies are usually categorized into cost synergies resulting from efficiency improvements and cost savings, and revenue synergies, arising from increased market coverage and better services.</w:t>
      </w:r>
    </w:p>
    <w:p w14:paraId="7B5A3579">
      <w:pPr>
        <w:spacing w:line="360" w:lineRule="auto"/>
        <w:ind w:firstLine="480" w:firstLineChars="200"/>
        <w:rPr>
          <w:rFonts w:ascii="Times New Roman" w:hAnsi="Times New Roman" w:cs="Times New Roman"/>
          <w:sz w:val="24"/>
        </w:rPr>
      </w:pPr>
      <w:r>
        <w:rPr>
          <w:rFonts w:ascii="Times New Roman" w:hAnsi="Times New Roman" w:cs="Times New Roman"/>
          <w:sz w:val="24"/>
        </w:rPr>
        <w:t>More recently, however, the view has been expanded to include many other sources for such a synergy including internal efficiencies, network externalities, market power and possible gains from integration at different stages of this process (Feldman and Hernandez, 2022). In the case of M&amp;S, it is anticipated that the purchase of Gist will lead to savings from eliminating third party logistics costs as well as streamlining its distribution system, while better availability and service could also help increase revenues.</w:t>
      </w:r>
    </w:p>
    <w:p w14:paraId="39BC5DA8">
      <w:pPr>
        <w:spacing w:line="360" w:lineRule="auto"/>
        <w:outlineLvl w:val="1"/>
        <w:rPr>
          <w:rFonts w:ascii="Times New Roman" w:hAnsi="Times New Roman" w:cs="Times New Roman"/>
          <w:sz w:val="24"/>
        </w:rPr>
      </w:pPr>
      <w:bookmarkStart w:id="4" w:name="_Toc225056521"/>
      <w:r>
        <w:rPr>
          <w:rFonts w:ascii="Times New Roman" w:hAnsi="Times New Roman" w:cs="Times New Roman"/>
          <w:sz w:val="24"/>
        </w:rPr>
        <w:t>2.2 Economies of Scale</w:t>
      </w:r>
      <w:bookmarkEnd w:id="4"/>
    </w:p>
    <w:p w14:paraId="638E218B">
      <w:pPr>
        <w:spacing w:line="360" w:lineRule="auto"/>
        <w:ind w:firstLine="480" w:firstLineChars="200"/>
        <w:rPr>
          <w:rFonts w:ascii="Times New Roman" w:hAnsi="Times New Roman" w:cs="Times New Roman"/>
          <w:sz w:val="24"/>
        </w:rPr>
      </w:pPr>
      <w:r>
        <w:rPr>
          <w:rFonts w:ascii="Times New Roman" w:hAnsi="Times New Roman" w:cs="Times New Roman"/>
          <w:sz w:val="24"/>
        </w:rPr>
        <w:t>According to economies of scope theory, through diversification such as production of higher number of different products, the firm could decrease its average cost by spreading out its fixed costs on more units (Trautwein, 1990). Mergers can accomplish this through combining facilities and eliminating duplication of operations, and optimization of logistic systems.</w:t>
      </w:r>
    </w:p>
    <w:p w14:paraId="2FC0EE80">
      <w:pPr>
        <w:spacing w:line="360" w:lineRule="auto"/>
        <w:ind w:firstLine="480" w:firstLineChars="200"/>
        <w:rPr>
          <w:rFonts w:ascii="Times New Roman" w:hAnsi="Times New Roman" w:cs="Times New Roman"/>
          <w:sz w:val="24"/>
        </w:rPr>
      </w:pPr>
      <w:r>
        <w:rPr>
          <w:rFonts w:ascii="Times New Roman" w:hAnsi="Times New Roman" w:cs="Times New Roman"/>
          <w:sz w:val="24"/>
        </w:rPr>
        <w:t>In the context of food retailing, scale economics is applicable to distribution and stock control. In internalizing Gist’s logistics activities, M&amp;S could allow for a reduction in the need to rely upon outside vendors, as well as give better control over shipping and storage, allowing for better routing, better use of its distribution centers, and improved flow of inventory to reduce cost per unit and increase efficiencies.</w:t>
      </w:r>
    </w:p>
    <w:p w14:paraId="4CA565B5">
      <w:pPr>
        <w:spacing w:line="360" w:lineRule="auto"/>
        <w:outlineLvl w:val="1"/>
        <w:rPr>
          <w:rFonts w:ascii="Times New Roman" w:hAnsi="Times New Roman" w:cs="Times New Roman"/>
          <w:sz w:val="24"/>
        </w:rPr>
      </w:pPr>
      <w:bookmarkStart w:id="5" w:name="_Toc225056522"/>
      <w:r>
        <w:rPr>
          <w:rFonts w:ascii="Times New Roman" w:hAnsi="Times New Roman" w:cs="Times New Roman"/>
          <w:sz w:val="24"/>
        </w:rPr>
        <w:t>2.3 Resource-Based View</w:t>
      </w:r>
      <w:bookmarkEnd w:id="5"/>
    </w:p>
    <w:p w14:paraId="7166F9DA">
      <w:pPr>
        <w:spacing w:line="360" w:lineRule="auto"/>
        <w:ind w:firstLine="480" w:firstLineChars="200"/>
        <w:rPr>
          <w:rFonts w:ascii="Times New Roman" w:hAnsi="Times New Roman" w:cs="Times New Roman"/>
          <w:sz w:val="24"/>
        </w:rPr>
      </w:pPr>
      <w:r>
        <w:rPr>
          <w:rFonts w:ascii="Times New Roman" w:hAnsi="Times New Roman" w:cs="Times New Roman"/>
          <w:sz w:val="24"/>
        </w:rPr>
        <w:t>The resource-based view (RBV) claims that companies gain sustainable competitive advantage from those resources which are valuable, rare, inimitable, and non-substitutable (Barney, 1991). M&amp;A is thus a key vehicle to acquire these kinds of strategic assets.</w:t>
      </w:r>
    </w:p>
    <w:p w14:paraId="6BEF1F7D">
      <w:pPr>
        <w:spacing w:line="360" w:lineRule="auto"/>
        <w:ind w:firstLine="480" w:firstLineChars="200"/>
        <w:rPr>
          <w:rFonts w:ascii="Times New Roman" w:hAnsi="Times New Roman" w:cs="Times New Roman"/>
          <w:sz w:val="24"/>
        </w:rPr>
      </w:pPr>
      <w:r>
        <w:rPr>
          <w:rFonts w:ascii="Times New Roman" w:hAnsi="Times New Roman" w:cs="Times New Roman"/>
          <w:sz w:val="24"/>
        </w:rPr>
        <w:t>M&amp;S acquires Gist’s logistics capability, specialty warehouse facilities, and supply chain knowledge that help support the firm in managing more complex, timely delivery of food products and enhance customer satisfaction with a stronger long-term presence as a food retailer.</w:t>
      </w:r>
    </w:p>
    <w:p w14:paraId="4A9FC7A8">
      <w:pPr>
        <w:spacing w:line="360" w:lineRule="auto"/>
        <w:outlineLvl w:val="1"/>
        <w:rPr>
          <w:rFonts w:ascii="Times New Roman" w:hAnsi="Times New Roman" w:cs="Times New Roman"/>
          <w:sz w:val="24"/>
        </w:rPr>
      </w:pPr>
      <w:bookmarkStart w:id="6" w:name="_Toc225056523"/>
      <w:r>
        <w:rPr>
          <w:rFonts w:ascii="Times New Roman" w:hAnsi="Times New Roman" w:cs="Times New Roman"/>
          <w:sz w:val="24"/>
        </w:rPr>
        <w:t>2.4 Agency Theory and Free Cash Flow</w:t>
      </w:r>
      <w:bookmarkEnd w:id="6"/>
    </w:p>
    <w:p w14:paraId="6C7883A9">
      <w:pPr>
        <w:spacing w:line="360" w:lineRule="auto"/>
        <w:ind w:firstLine="480" w:firstLineChars="200"/>
        <w:rPr>
          <w:rFonts w:ascii="Times New Roman" w:hAnsi="Times New Roman" w:cs="Times New Roman"/>
          <w:sz w:val="24"/>
        </w:rPr>
      </w:pPr>
      <w:r>
        <w:rPr>
          <w:rFonts w:ascii="Times New Roman" w:hAnsi="Times New Roman" w:cs="Times New Roman"/>
          <w:sz w:val="24"/>
        </w:rPr>
        <w:t>Agency theory focuses on the tension between managers and shareholders whereby if a firm has excess cash this may be invested into projects which fail to maximize shareholder wealth (Jensen, 1986). According to the free cash flow hypothesis, acquisition can be motivated by a need to invest idle money (Fama &amp; Jensen, 1983). But, acquisitions may add to value by increasing efficiency and performance as well. So assessing the results of an acquisition after it has occurred, such as profits and profit growth, are important to assess if the M&amp;S – Gist deal was a value creator possibly an over investment .</w:t>
      </w:r>
    </w:p>
    <w:p w14:paraId="742E77FA">
      <w:pPr>
        <w:spacing w:line="360" w:lineRule="auto"/>
        <w:outlineLvl w:val="0"/>
        <w:rPr>
          <w:rFonts w:ascii="Times New Roman" w:hAnsi="Times New Roman" w:cs="Times New Roman"/>
          <w:b/>
          <w:bCs/>
          <w:sz w:val="28"/>
          <w:szCs w:val="28"/>
        </w:rPr>
      </w:pPr>
      <w:bookmarkStart w:id="7" w:name="_Toc225056524"/>
      <w:r>
        <w:rPr>
          <w:rFonts w:ascii="Times New Roman" w:hAnsi="Times New Roman" w:cs="Times New Roman"/>
          <w:b/>
          <w:bCs/>
          <w:sz w:val="28"/>
          <w:szCs w:val="28"/>
        </w:rPr>
        <w:t>3.0 Main Findings and Analysis</w:t>
      </w:r>
      <w:bookmarkEnd w:id="7"/>
    </w:p>
    <w:p w14:paraId="0DE924BD">
      <w:pPr>
        <w:spacing w:line="360" w:lineRule="auto"/>
        <w:outlineLvl w:val="1"/>
        <w:rPr>
          <w:rFonts w:ascii="Times New Roman" w:hAnsi="Times New Roman" w:cs="Times New Roman"/>
          <w:sz w:val="24"/>
        </w:rPr>
      </w:pPr>
      <w:bookmarkStart w:id="8" w:name="_Toc225056525"/>
      <w:r>
        <w:rPr>
          <w:rFonts w:ascii="Times New Roman" w:hAnsi="Times New Roman" w:cs="Times New Roman"/>
          <w:sz w:val="24"/>
        </w:rPr>
        <w:t>3.1 Strategic Motivations for the Acquisition</w:t>
      </w:r>
      <w:bookmarkEnd w:id="8"/>
    </w:p>
    <w:p w14:paraId="7C12B260">
      <w:pPr>
        <w:spacing w:line="360" w:lineRule="auto"/>
        <w:ind w:firstLine="480" w:firstLineChars="200"/>
        <w:rPr>
          <w:rFonts w:ascii="Times New Roman" w:hAnsi="Times New Roman" w:cs="Times New Roman"/>
          <w:sz w:val="24"/>
        </w:rPr>
      </w:pPr>
      <w:r>
        <w:rPr>
          <w:rFonts w:ascii="Times New Roman" w:hAnsi="Times New Roman" w:cs="Times New Roman"/>
          <w:sz w:val="24"/>
        </w:rPr>
        <w:t>A key strategic rationale for M&amp;S’s purchase of Gist was the prospect of achieving economies of scale in an area of business which had come to play an increasing role in competitive performance in UK food retailing. Gist was already providing most of M&amp;S Food’s logistics services from its eight primary and ten secondary distribution centers across the UK and the Republic of Ireland, with about 5800 employees and a number of freehold warehouses (Marks and Spencer Group plc, 2022a; 2022b). Instead of building similar capabilities from scratch, M&amp;S purchased a firm with an existing logistics chain built into it. This helps justify the view that buying allows companies to become larger and gain economies of scale faster than if they were to grow internally, particularly where infrastructure and network density is the driver for efficiency (Trautwein, 1990).</w:t>
      </w:r>
    </w:p>
    <w:p w14:paraId="66B350B5">
      <w:pPr>
        <w:spacing w:line="360" w:lineRule="auto"/>
        <w:ind w:firstLine="480" w:firstLineChars="200"/>
        <w:rPr>
          <w:rFonts w:ascii="Times New Roman" w:hAnsi="Times New Roman" w:cs="Times New Roman"/>
          <w:sz w:val="24"/>
        </w:rPr>
      </w:pPr>
      <w:r>
        <w:rPr>
          <w:rFonts w:ascii="Times New Roman" w:hAnsi="Times New Roman" w:cs="Times New Roman"/>
          <w:sz w:val="24"/>
        </w:rPr>
        <w:t>The transaction is also reflective of combining complementary assets. M&amp;S brings brand strength and a growing food retail platform, and multiple channel growth through partners like Ocado, whilst Gist offers specialist logistics infrastructure, cold storage facilities, logistics experience, etc. (Barney, 2008). The RBV suggests that firms obtain a competitive advantage through their possession of scarce or unique resources (Barney, 2008). It is not just tangible resources that are strategically valuable but rather also the skills that Gist had developed through years working with M&amp;S (Gist, n.d.-a). The combination makes possible the better performance of M&amp;S in managing a complex system of food logistics, as compared with an external provider.</w:t>
      </w:r>
    </w:p>
    <w:p w14:paraId="426D04F5">
      <w:pPr>
        <w:spacing w:line="360" w:lineRule="auto"/>
        <w:ind w:firstLine="480" w:firstLineChars="200"/>
        <w:rPr>
          <w:rFonts w:ascii="Times New Roman" w:hAnsi="Times New Roman" w:cs="Times New Roman"/>
          <w:sz w:val="24"/>
        </w:rPr>
      </w:pPr>
      <w:r>
        <w:rPr>
          <w:rFonts w:ascii="Times New Roman" w:hAnsi="Times New Roman" w:cs="Times New Roman"/>
          <w:sz w:val="24"/>
        </w:rPr>
        <w:t>Growth speed was also a motivating factor, with M&amp;S saying it will help them accelerate their several year plan to modernize the food supply chain and support expansion (Marks and Spencer Group plc, 2022a). Before the acquisition, M&amp;S Food had already been achieving good volume growth, expanding store format and entering new channels, and alliances such as more than 2500 Costa outlets. The current outsourced logistics system however – dubbed “a higher cost legacy contract” – constrained both incentive to invest and flexibility of operations (Marks and Spencer Group plc, 2022a). Internalizing logistics allowed M&amp;S to remove a structural constraint on growth and enable quicker execution of strategy.</w:t>
      </w:r>
    </w:p>
    <w:p w14:paraId="376BB99A">
      <w:pPr>
        <w:spacing w:line="360" w:lineRule="auto"/>
        <w:ind w:firstLine="480" w:firstLineChars="200"/>
        <w:rPr>
          <w:rFonts w:ascii="Times New Roman" w:hAnsi="Times New Roman" w:cs="Times New Roman"/>
          <w:sz w:val="24"/>
        </w:rPr>
      </w:pPr>
      <w:r>
        <w:rPr>
          <w:rFonts w:ascii="Times New Roman" w:hAnsi="Times New Roman" w:cs="Times New Roman"/>
          <w:sz w:val="24"/>
        </w:rPr>
        <w:t>The acquisition also increased M&amp;S’s position in the market, not by horizontally concentrating it but rather increasing control over its supply chain. According to Feldman and Hernandez (2022), mergers may create value internally, relational, and network synergies. M&amp;S boosted its bargaining power with suppliers and cut down on outsourced contracts. In a concentrated UK grocery sector, where the top five companies capture market share is 74.6%, while Tesco (28.3%) and Sainsbury’s (15.8%) dominate the industry (Economics Help, 2025). Therefore, for M&amp;S, operation efficiency plays an important role in competition, who has a 3.7% (4.2% with Ocado) share of the food market (Marks and Spencer Group plc, 2024), but control over the supply chain enables differentiation based not only on size but also on execution .</w:t>
      </w:r>
    </w:p>
    <w:p w14:paraId="52E5859F">
      <w:pPr>
        <w:spacing w:line="360" w:lineRule="auto"/>
        <w:outlineLvl w:val="1"/>
        <w:rPr>
          <w:rFonts w:ascii="Times New Roman" w:hAnsi="Times New Roman" w:cs="Times New Roman"/>
          <w:sz w:val="24"/>
        </w:rPr>
      </w:pPr>
      <w:bookmarkStart w:id="9" w:name="_Toc225056526"/>
      <w:r>
        <w:rPr>
          <w:rFonts w:ascii="Times New Roman" w:hAnsi="Times New Roman" w:cs="Times New Roman"/>
          <w:sz w:val="24"/>
        </w:rPr>
        <w:t>3.2 Operational Impact</w:t>
      </w:r>
      <w:bookmarkEnd w:id="9"/>
    </w:p>
    <w:p w14:paraId="42EB6E05">
      <w:pPr>
        <w:spacing w:line="360" w:lineRule="auto"/>
        <w:ind w:firstLine="480" w:firstLineChars="200"/>
        <w:rPr>
          <w:rFonts w:ascii="Times New Roman" w:hAnsi="Times New Roman" w:cs="Times New Roman"/>
          <w:sz w:val="24"/>
        </w:rPr>
      </w:pPr>
      <w:r>
        <w:rPr>
          <w:rFonts w:ascii="Times New Roman" w:hAnsi="Times New Roman" w:cs="Times New Roman"/>
          <w:sz w:val="24"/>
        </w:rPr>
        <w:t>The operational effect of the acquisition will be best seen through the removal of the ineffectiveness of the old contracting arrangement. The former Gist contract, which would otherwise have run to 2027, has been described as high-cost and restrictive (Marks and Spencer Group plc, 2022a). By internalizing logistics, M&amp;S did away with contractual fees and aligned operating incentives so that investments to automate were better leveraged, systems and network optimization.</w:t>
      </w:r>
    </w:p>
    <w:p w14:paraId="4809ADE8">
      <w:pPr>
        <w:spacing w:line="360" w:lineRule="auto"/>
        <w:ind w:firstLine="480" w:firstLineChars="200"/>
        <w:rPr>
          <w:rFonts w:ascii="Times New Roman" w:hAnsi="Times New Roman" w:cs="Times New Roman"/>
          <w:sz w:val="24"/>
        </w:rPr>
      </w:pPr>
      <w:r>
        <w:rPr>
          <w:rFonts w:ascii="Times New Roman" w:hAnsi="Times New Roman" w:cs="Times New Roman"/>
          <w:sz w:val="24"/>
        </w:rPr>
        <w:t>Gist’s abilities tie directly to the operations of food retail: 7/24 warehouse, cold chain, route optimization, RFID systems, voice-picking, and end-to-end traceability (Gist, n.d.-b). These abilities increase product availability, availability and on-time delivery, which are key determinants of turning customer interest into purchases. Supply chain resilience is now high on the agenda as a result of Brexit, Covid-19 disruption, and labor shortages (Grocery Gazette, 2022). The takeover is thus an anticipatory reaction of threats from outside forces in the UK retail industry.</w:t>
      </w:r>
    </w:p>
    <w:p w14:paraId="7C908CA0">
      <w:pPr>
        <w:spacing w:line="360" w:lineRule="auto"/>
        <w:ind w:firstLine="480" w:firstLineChars="200"/>
        <w:rPr>
          <w:rFonts w:ascii="Times New Roman" w:hAnsi="Times New Roman" w:cs="Times New Roman"/>
          <w:sz w:val="24"/>
        </w:rPr>
      </w:pPr>
      <w:r>
        <w:rPr>
          <w:rFonts w:ascii="Times New Roman" w:hAnsi="Times New Roman" w:cs="Times New Roman"/>
          <w:sz w:val="24"/>
        </w:rPr>
        <w:t>Organizational integration also extended beyond domestic distribution. After the acquisition, M&amp;S and Gist established one combined Food Export team, combining expertise with customs clearance and international logistics, especially for EU markets (Gist, n.d.-c). That is to say that there were synergies acquired besides just lower costs. Feldman and Hernandez (2022) argue that this type of integration may lead to various types of synergies, like operational efficiencies, relational enhancements with partners, and network level coordination.</w:t>
      </w:r>
    </w:p>
    <w:p w14:paraId="034AC484">
      <w:pPr>
        <w:spacing w:line="360" w:lineRule="auto"/>
        <w:ind w:firstLine="480" w:firstLineChars="200"/>
        <w:rPr>
          <w:rFonts w:ascii="Times New Roman" w:hAnsi="Times New Roman" w:cs="Times New Roman"/>
          <w:sz w:val="24"/>
        </w:rPr>
      </w:pPr>
      <w:r>
        <w:rPr>
          <w:rFonts w:ascii="Times New Roman" w:hAnsi="Times New Roman" w:cs="Times New Roman"/>
          <w:sz w:val="24"/>
        </w:rPr>
        <w:t>However, diversification didn’t appear to be one of its primary motivators for making the acquisition. Although Gist serves third-party customers, it is still very much in line with M&amp;S’s core food business. Jensen (1986) has argued that diversification destroys value as companies go outside their core competence. By comparison, this acquisition is vertical in nature and enhances current capabilities as opposed to engaging in a new unrelated activity.</w:t>
      </w:r>
    </w:p>
    <w:p w14:paraId="3FE9B1DE">
      <w:pPr>
        <w:spacing w:line="360" w:lineRule="auto"/>
        <w:ind w:firstLine="480" w:firstLineChars="200"/>
        <w:rPr>
          <w:rFonts w:ascii="Times New Roman" w:hAnsi="Times New Roman" w:cs="Times New Roman"/>
          <w:sz w:val="24"/>
        </w:rPr>
      </w:pPr>
      <w:r>
        <w:rPr>
          <w:rFonts w:ascii="Times New Roman" w:hAnsi="Times New Roman" w:cs="Times New Roman"/>
          <w:sz w:val="24"/>
        </w:rPr>
        <w:t>The rules governing the transaction also support such an interpretation. It had been characterized as a Class 2 transaction under UK Financial Conduct Authority rules, and all relevant authorizations were obtained prior to its completion in September 2022 (Marks and Spencer Group plc, 2022b; 2022c). There being no impediments from a regulatory perspective implies that the acquisition has not substantially affected competition, its increased focus on how well it works as a measure of success.</w:t>
      </w:r>
    </w:p>
    <w:p w14:paraId="3E7B9CCE">
      <w:pPr>
        <w:spacing w:line="360" w:lineRule="auto"/>
        <w:outlineLvl w:val="1"/>
        <w:rPr>
          <w:rFonts w:ascii="Times New Roman" w:hAnsi="Times New Roman" w:cs="Times New Roman"/>
          <w:sz w:val="24"/>
        </w:rPr>
      </w:pPr>
      <w:bookmarkStart w:id="10" w:name="_Toc225056527"/>
      <w:r>
        <w:rPr>
          <w:rFonts w:ascii="Times New Roman" w:hAnsi="Times New Roman" w:cs="Times New Roman"/>
          <w:sz w:val="24"/>
        </w:rPr>
        <w:t>3.3 Financial Impact and Shareholder Value</w:t>
      </w:r>
      <w:bookmarkEnd w:id="10"/>
    </w:p>
    <w:p w14:paraId="635A24B9">
      <w:pPr>
        <w:spacing w:line="360" w:lineRule="auto"/>
        <w:ind w:firstLine="480" w:firstLineChars="200"/>
        <w:rPr>
          <w:rFonts w:ascii="Times New Roman" w:hAnsi="Times New Roman" w:cs="Times New Roman"/>
          <w:sz w:val="24"/>
        </w:rPr>
      </w:pPr>
      <w:r>
        <w:rPr>
          <w:rFonts w:ascii="Times New Roman" w:hAnsi="Times New Roman" w:cs="Times New Roman"/>
          <w:sz w:val="24"/>
        </w:rPr>
        <w:t>The purchase appears to have been financially rational. M&amp;S paid £145 million for Gist, with additional contingent consideration to be paid in connection with asset dispositions (Marks and Spencer Group plc, 2022a). Gist’s total assets were £305.7 million, and its EBITDA was about £55 million at acquisition, suggesting that M&amp;S had bought a large, profitable logistics business.</w:t>
      </w:r>
    </w:p>
    <w:p w14:paraId="7A599A62">
      <w:pPr>
        <w:spacing w:line="360" w:lineRule="auto"/>
        <w:ind w:firstLine="480" w:firstLineChars="200"/>
        <w:rPr>
          <w:rFonts w:ascii="Times New Roman" w:hAnsi="Times New Roman" w:cs="Times New Roman"/>
          <w:sz w:val="24"/>
        </w:rPr>
      </w:pPr>
      <w:r>
        <w:rPr>
          <w:rFonts w:ascii="Times New Roman" w:hAnsi="Times New Roman" w:cs="Times New Roman"/>
          <w:sz w:val="24"/>
        </w:rPr>
        <w:t>The purchase was financed with current cash balances, which brings up a question in agency theory about how to spend excess cash (Jensen, 1986). Post-merger performance however indicates that it was a value enhancing acquisition: revenue has risen from £10.9 billion in 2021 to £13.0 billion in 2023, while the operating profit jumped greatly from £222.2 million to £515.1 million. Revenue at the food division also grew from £6639 million to £7218 million as a result of continued strength from M&amp;S’s core business.</w:t>
      </w:r>
    </w:p>
    <w:p w14:paraId="02EC8E1D">
      <w:pPr>
        <w:spacing w:line="360" w:lineRule="auto"/>
        <w:ind w:firstLine="480" w:firstLineChars="200"/>
        <w:rPr>
          <w:rFonts w:ascii="Times New Roman" w:hAnsi="Times New Roman" w:cs="Times New Roman"/>
          <w:sz w:val="24"/>
        </w:rPr>
      </w:pPr>
      <w:r>
        <w:rPr>
          <w:rFonts w:ascii="Times New Roman" w:hAnsi="Times New Roman" w:cs="Times New Roman"/>
          <w:sz w:val="24"/>
        </w:rPr>
        <w:t>Closer evidence is provided by the performance of the food division, where overall sales were up 13.0% in 2023/24 rising 11.3% on a like-for-like basis, adjusted operating profit rose from £248 million (3.4% margin) to £395.3 million (4.8% margin) ( Marks and Spencer Group plc, 2024). Indeed, M&amp;S pointed to structural cost reduction activities, sourcing, and acquisition of Gist in particular for such savings (DOD, 2024). This suggests that costs synergies are achieved and thus in line with what predicted by synergy theory (Gaughan, 2018).</w:t>
      </w:r>
    </w:p>
    <w:p w14:paraId="53924947">
      <w:pPr>
        <w:spacing w:line="360" w:lineRule="auto"/>
        <w:ind w:firstLine="480" w:firstLineChars="200"/>
        <w:rPr>
          <w:rFonts w:ascii="Times New Roman" w:hAnsi="Times New Roman" w:cs="Times New Roman"/>
          <w:sz w:val="24"/>
        </w:rPr>
      </w:pPr>
      <w:r>
        <w:rPr>
          <w:rFonts w:ascii="Times New Roman" w:hAnsi="Times New Roman" w:cs="Times New Roman"/>
          <w:sz w:val="24"/>
        </w:rPr>
        <w:t>Customer level metrics also improved. Market share up at 3.7% (4.2% including Ocado) with improved perception of both Value and Quality, with NPS improving from -3% to +2% and +66% to +69% respectively (Marks and Spencer Group plc, 2024). The result shows that the operations improvement lead to improved customers’ experiences, for the cost synergies as well as for the revenue synergies.</w:t>
      </w:r>
    </w:p>
    <w:p w14:paraId="471A16A0">
      <w:pPr>
        <w:spacing w:line="360" w:lineRule="auto"/>
        <w:ind w:firstLine="480" w:firstLineChars="200"/>
        <w:rPr>
          <w:rFonts w:ascii="Times New Roman" w:hAnsi="Times New Roman" w:cs="Times New Roman"/>
          <w:sz w:val="24"/>
        </w:rPr>
      </w:pPr>
      <w:r>
        <w:rPr>
          <w:rFonts w:ascii="Times New Roman" w:hAnsi="Times New Roman" w:cs="Times New Roman"/>
          <w:sz w:val="24"/>
        </w:rPr>
        <w:t>But it’s not all good news for the bottom line. The free cash flow went down from £739.6 million to £413.7million, which meaning more investment needed and supply chain costs of £69.3 million reflects continued integration and operating costs. Although EPS rose from 21.7p to 24.6p, implying a better return for shareholders, the decline in cash flow reflects a number of benefits which are long term and not immediately realized.</w:t>
      </w:r>
    </w:p>
    <w:p w14:paraId="6342A49F">
      <w:pPr>
        <w:spacing w:line="360" w:lineRule="auto"/>
        <w:ind w:firstLine="480" w:firstLineChars="200"/>
        <w:rPr>
          <w:rFonts w:ascii="Times New Roman" w:hAnsi="Times New Roman" w:cs="Times New Roman"/>
          <w:sz w:val="24"/>
        </w:rPr>
      </w:pPr>
      <w:r>
        <w:rPr>
          <w:rFonts w:ascii="Times New Roman" w:hAnsi="Times New Roman" w:cs="Times New Roman"/>
          <w:sz w:val="24"/>
        </w:rPr>
        <w:t>Overall, the financial data suggests that the purchase has enhanced profit and operating performance, but at a near term cost in money. It does appear that the deal has generated value, though time will tell if it generates more value through ongoing efficiencies as well as minimizing costs associated with combining two firms into one.</w:t>
      </w:r>
    </w:p>
    <w:p w14:paraId="7E60FACD">
      <w:pPr>
        <w:spacing w:line="360" w:lineRule="auto"/>
        <w:outlineLvl w:val="0"/>
        <w:rPr>
          <w:rFonts w:ascii="Times New Roman" w:hAnsi="Times New Roman" w:cs="Times New Roman"/>
          <w:b/>
          <w:bCs/>
          <w:sz w:val="28"/>
          <w:szCs w:val="28"/>
        </w:rPr>
      </w:pPr>
      <w:bookmarkStart w:id="11" w:name="_Toc225056528"/>
      <w:r>
        <w:rPr>
          <w:rFonts w:ascii="Times New Roman" w:hAnsi="Times New Roman" w:cs="Times New Roman"/>
          <w:b/>
          <w:bCs/>
          <w:sz w:val="28"/>
          <w:szCs w:val="28"/>
        </w:rPr>
        <w:t>4.0 Analysis</w:t>
      </w:r>
      <w:bookmarkEnd w:id="11"/>
    </w:p>
    <w:p w14:paraId="7FAC9807">
      <w:pPr>
        <w:spacing w:line="360" w:lineRule="auto"/>
        <w:ind w:firstLine="480" w:firstLineChars="200"/>
        <w:rPr>
          <w:rFonts w:ascii="Times New Roman" w:hAnsi="Times New Roman" w:cs="Times New Roman"/>
          <w:sz w:val="24"/>
        </w:rPr>
      </w:pPr>
      <w:r>
        <w:rPr>
          <w:rFonts w:ascii="Times New Roman" w:hAnsi="Times New Roman" w:cs="Times New Roman"/>
          <w:sz w:val="24"/>
        </w:rPr>
        <w:t>M&amp;S’s ability to exert greater control over its supply chain as well as integrate the logistics operation more closely into its overall business have been enhanced by the Gist acquisition. In addition, because it was an outsourcing transaction, M&amp;S took direct responsibility for distribution, inventory control, and delivery performance. This may have increased product availability, cost effectiveness, and coordination along the food supply chain. Post-merger performance such as greater Food sales growth or better operating margin indicates that the operation synergy has been achieved (Marks and Spencer Group plc, 2024). Such a result is in line with synergy theory and RBV that emphasize value generation via complements between and firm-specific capabilities (Barney, 1991; Gaughan, 2018).</w:t>
      </w:r>
    </w:p>
    <w:p w14:paraId="344A1E27">
      <w:pPr>
        <w:spacing w:line="360" w:lineRule="auto"/>
        <w:ind w:firstLine="480" w:firstLineChars="200"/>
        <w:rPr>
          <w:rFonts w:ascii="Times New Roman" w:hAnsi="Times New Roman" w:cs="Times New Roman"/>
          <w:sz w:val="24"/>
        </w:rPr>
      </w:pPr>
      <w:r>
        <w:rPr>
          <w:rFonts w:ascii="Times New Roman" w:hAnsi="Times New Roman" w:cs="Times New Roman"/>
          <w:sz w:val="24"/>
        </w:rPr>
        <w:t>But there is no guarantee that the merger will work in the longer term. Synergies do not come for free and they might unfold unevenly over time, depending on how well they integrate after merger (Feldman and Hernandez, 2022). Integrating a big logistics network creates organizational complexity and implementation risk (Marks and Spencer Group plc, 2022a). Furthermore, internalizing logistics diminishes flexibility as well as increasing the firm's continued responsibility for capital investment and operational management.</w:t>
      </w:r>
    </w:p>
    <w:p w14:paraId="5D48DFCF">
      <w:pPr>
        <w:spacing w:line="360" w:lineRule="auto"/>
        <w:ind w:firstLine="480" w:firstLineChars="200"/>
        <w:rPr>
          <w:rFonts w:ascii="Times New Roman" w:hAnsi="Times New Roman" w:cs="Times New Roman"/>
          <w:sz w:val="24"/>
        </w:rPr>
      </w:pPr>
      <w:r>
        <w:rPr>
          <w:rFonts w:ascii="Times New Roman" w:hAnsi="Times New Roman" w:cs="Times New Roman"/>
          <w:sz w:val="24"/>
        </w:rPr>
        <w:t>On a financial basis while profitabiltiy and EPS are improving there is less free cash flow which suggests greater need for short term investments. Jensen (1986) internal cash acquisition financed projects do not necessarily maximize shareholder values, when the benefits to be derived from these projects are deferred. Thus, while it makes sense for DOD to make this acquisition, whether it works in the end will depend on how much better we get at doing things more efficiently and integrating them well over a period of years.</w:t>
      </w:r>
    </w:p>
    <w:p w14:paraId="695DF561">
      <w:pPr>
        <w:spacing w:line="360" w:lineRule="auto"/>
        <w:outlineLvl w:val="0"/>
        <w:rPr>
          <w:rFonts w:ascii="Times New Roman" w:hAnsi="Times New Roman" w:cs="Times New Roman"/>
          <w:b/>
          <w:bCs/>
          <w:sz w:val="28"/>
          <w:szCs w:val="28"/>
        </w:rPr>
      </w:pPr>
      <w:bookmarkStart w:id="12" w:name="_Toc225056529"/>
      <w:r>
        <w:rPr>
          <w:rFonts w:ascii="Times New Roman" w:hAnsi="Times New Roman" w:cs="Times New Roman"/>
          <w:b/>
          <w:bCs/>
          <w:sz w:val="28"/>
          <w:szCs w:val="28"/>
        </w:rPr>
        <w:t>5.0 Conclusion</w:t>
      </w:r>
      <w:bookmarkEnd w:id="12"/>
    </w:p>
    <w:p w14:paraId="754258E8">
      <w:pPr>
        <w:spacing w:line="360" w:lineRule="auto"/>
        <w:ind w:firstLine="480" w:firstLineChars="200"/>
        <w:rPr>
          <w:rFonts w:ascii="Times New Roman" w:hAnsi="Times New Roman" w:cs="Times New Roman"/>
          <w:sz w:val="24"/>
        </w:rPr>
      </w:pPr>
      <w:r>
        <w:rPr>
          <w:rFonts w:ascii="Times New Roman" w:hAnsi="Times New Roman" w:cs="Times New Roman"/>
          <w:sz w:val="24"/>
        </w:rPr>
        <w:t>This report has examined the reasons behind Marks and Spencer’s acquisition of Gist from an organizational perspective, its effects on operational results. It finds that the acquisition had clear strategic motives, such as attaining economies of scale, combining complementary resources, speeding up growth, and tightening control of the supply chain. The motives are familiar from merger theory.</w:t>
      </w:r>
    </w:p>
    <w:p w14:paraId="3BE79880">
      <w:pPr>
        <w:spacing w:line="360" w:lineRule="auto"/>
        <w:ind w:firstLine="480" w:firstLineChars="200"/>
        <w:rPr>
          <w:rFonts w:ascii="Times New Roman" w:hAnsi="Times New Roman" w:cs="Times New Roman"/>
          <w:sz w:val="24"/>
        </w:rPr>
      </w:pPr>
      <w:r>
        <w:rPr>
          <w:rFonts w:ascii="Times New Roman" w:hAnsi="Times New Roman" w:cs="Times New Roman"/>
          <w:sz w:val="24"/>
        </w:rPr>
        <w:t>In terms of operations, the transaction increased efficiencies in the supply chain and decreased use of contract carriage, and increased coordination among the distribution systems. There is evidence of better product availability and general services, suggesting the realization of key operating synergies.</w:t>
      </w:r>
    </w:p>
    <w:p w14:paraId="6F8C5A6F">
      <w:pPr>
        <w:spacing w:line="360" w:lineRule="auto"/>
        <w:ind w:firstLine="480" w:firstLineChars="200"/>
        <w:rPr>
          <w:rFonts w:ascii="Times New Roman" w:hAnsi="Times New Roman" w:cs="Times New Roman"/>
          <w:sz w:val="24"/>
        </w:rPr>
      </w:pPr>
      <w:r>
        <w:rPr>
          <w:rFonts w:ascii="Times New Roman" w:hAnsi="Times New Roman" w:cs="Times New Roman"/>
          <w:sz w:val="24"/>
        </w:rPr>
        <w:t>The acquisition has seemed to be a financial success—boosting sales, operating income, and net income per share but the fall off in free cash flow implies there is some near term investment pressure and cost associated with integration so not everything works up front.</w:t>
      </w:r>
    </w:p>
    <w:p w14:paraId="024CA395">
      <w:pPr>
        <w:spacing w:line="360" w:lineRule="auto"/>
        <w:ind w:firstLine="480" w:firstLineChars="200"/>
        <w:rPr>
          <w:rFonts w:ascii="Times New Roman" w:hAnsi="Times New Roman" w:cs="Times New Roman"/>
          <w:sz w:val="24"/>
        </w:rPr>
      </w:pPr>
      <w:r>
        <w:rPr>
          <w:rFonts w:ascii="Times New Roman" w:hAnsi="Times New Roman" w:cs="Times New Roman"/>
          <w:sz w:val="24"/>
        </w:rPr>
        <w:t>In sum, we could call this acquisition a moderate success. It has enhanced both M&amp;S’s operations as well as its finances. But its future fortunes will hinge on whether efficiencies can be sustained and integration risk managed well.</w:t>
      </w:r>
    </w:p>
    <w:p w14:paraId="003A3834">
      <w:pPr>
        <w:spacing w:line="360" w:lineRule="auto"/>
        <w:ind w:firstLine="480" w:firstLineChars="200"/>
        <w:rPr>
          <w:rFonts w:ascii="Times New Roman" w:hAnsi="Times New Roman" w:cs="Times New Roman"/>
          <w:sz w:val="24"/>
        </w:rPr>
      </w:pPr>
      <w:r>
        <w:rPr>
          <w:rFonts w:ascii="Times New Roman" w:hAnsi="Times New Roman" w:cs="Times New Roman"/>
          <w:sz w:val="24"/>
        </w:rPr>
        <w:br w:type="page"/>
      </w:r>
    </w:p>
    <w:p w14:paraId="18B2E36D">
      <w:pPr>
        <w:spacing w:line="360" w:lineRule="auto"/>
        <w:outlineLvl w:val="0"/>
        <w:rPr>
          <w:rFonts w:ascii="Times New Roman" w:hAnsi="Times New Roman" w:cs="Times New Roman"/>
          <w:b/>
          <w:bCs/>
          <w:sz w:val="28"/>
          <w:szCs w:val="28"/>
        </w:rPr>
      </w:pPr>
      <w:bookmarkStart w:id="13" w:name="_Toc225056530"/>
      <w:r>
        <w:rPr>
          <w:rFonts w:ascii="Times New Roman" w:hAnsi="Times New Roman" w:cs="Times New Roman"/>
          <w:b/>
          <w:bCs/>
          <w:sz w:val="28"/>
          <w:szCs w:val="28"/>
        </w:rPr>
        <w:t>6.0 References</w:t>
      </w:r>
      <w:bookmarkEnd w:id="13"/>
    </w:p>
    <w:p w14:paraId="37CE98F1">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Barney, J. (1991) ‘Firm resources and sustained competitive advantage’, </w:t>
      </w:r>
      <w:r>
        <w:rPr>
          <w:rFonts w:ascii="Times New Roman" w:hAnsi="Times New Roman" w:cs="Times New Roman"/>
          <w:i/>
          <w:iCs/>
          <w:sz w:val="24"/>
        </w:rPr>
        <w:t>Journal of Management</w:t>
      </w:r>
      <w:r>
        <w:rPr>
          <w:rFonts w:ascii="Times New Roman" w:hAnsi="Times New Roman" w:cs="Times New Roman"/>
          <w:sz w:val="24"/>
        </w:rPr>
        <w:t>, 17(1), pp. 99–120.</w:t>
      </w:r>
    </w:p>
    <w:p w14:paraId="11E961BD">
      <w:pPr>
        <w:spacing w:line="360" w:lineRule="auto"/>
        <w:ind w:firstLine="480" w:firstLineChars="200"/>
        <w:rPr>
          <w:rFonts w:ascii="Times New Roman" w:hAnsi="Times New Roman" w:cs="Times New Roman"/>
          <w:sz w:val="24"/>
        </w:rPr>
      </w:pPr>
      <w:r>
        <w:rPr>
          <w:rFonts w:ascii="Times New Roman" w:hAnsi="Times New Roman" w:cs="Times New Roman"/>
          <w:sz w:val="24"/>
        </w:rPr>
        <w:t>Brueller, N.N., Carmeli, A. and Drori, I. (2014) ‘How do different types of mergers and acquisitions facilitate strategic agility?’</w:t>
      </w:r>
      <w:r>
        <w:rPr>
          <w:rFonts w:hint="eastAsia" w:ascii="Times New Roman" w:hAnsi="Times New Roman" w:cs="Times New Roman"/>
          <w:sz w:val="24"/>
        </w:rPr>
        <w:t>,</w:t>
      </w:r>
      <w:r>
        <w:rPr>
          <w:rFonts w:ascii="Times New Roman" w:hAnsi="Times New Roman" w:cs="Times New Roman"/>
          <w:sz w:val="24"/>
        </w:rPr>
        <w:t xml:space="preserve"> </w:t>
      </w:r>
      <w:r>
        <w:rPr>
          <w:rFonts w:ascii="Times New Roman" w:hAnsi="Times New Roman" w:cs="Times New Roman"/>
          <w:i/>
          <w:iCs/>
          <w:sz w:val="24"/>
        </w:rPr>
        <w:t>California Management Review</w:t>
      </w:r>
      <w:r>
        <w:rPr>
          <w:rFonts w:ascii="Times New Roman" w:hAnsi="Times New Roman" w:cs="Times New Roman"/>
          <w:sz w:val="24"/>
        </w:rPr>
        <w:t>, 56(3), pp. 39–57.</w:t>
      </w:r>
    </w:p>
    <w:p w14:paraId="25C31FDE">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Cullen, T. (2022) ‘Marks and Spencer buys Gist’, </w:t>
      </w:r>
      <w:r>
        <w:rPr>
          <w:rFonts w:ascii="Times New Roman" w:hAnsi="Times New Roman" w:cs="Times New Roman"/>
          <w:i/>
          <w:iCs/>
          <w:sz w:val="24"/>
        </w:rPr>
        <w:t>Transport Intelligence</w:t>
      </w:r>
      <w:r>
        <w:rPr>
          <w:rFonts w:ascii="Times New Roman" w:hAnsi="Times New Roman" w:cs="Times New Roman"/>
          <w:sz w:val="24"/>
        </w:rPr>
        <w:t>, 26 July.</w:t>
      </w:r>
    </w:p>
    <w:p w14:paraId="26AB90B2">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Available at: </w:t>
      </w:r>
      <w:r>
        <w:fldChar w:fldCharType="begin"/>
      </w:r>
      <w:r>
        <w:instrText xml:space="preserve"> HYPERLINK "https://ti-insight.com/briefs/marks-and-spencer-buys-gist/" </w:instrText>
      </w:r>
      <w:r>
        <w:fldChar w:fldCharType="separate"/>
      </w:r>
      <w:r>
        <w:rPr>
          <w:rStyle w:val="7"/>
          <w:rFonts w:ascii="Times New Roman" w:hAnsi="Times New Roman" w:cs="Times New Roman"/>
          <w:color w:val="auto"/>
          <w:sz w:val="24"/>
          <w:u w:val="none"/>
        </w:rPr>
        <w:t>https://ti-insight.com/briefs/marks-and-spencer-buys-gist/</w:t>
      </w:r>
      <w:r>
        <w:rPr>
          <w:rStyle w:val="7"/>
          <w:rFonts w:ascii="Times New Roman" w:hAnsi="Times New Roman" w:cs="Times New Roman"/>
          <w:color w:val="auto"/>
          <w:sz w:val="24"/>
          <w:u w:val="none"/>
        </w:rPr>
        <w:fldChar w:fldCharType="end"/>
      </w:r>
      <w:r>
        <w:rPr>
          <w:rFonts w:ascii="Times New Roman" w:hAnsi="Times New Roman" w:cs="Times New Roman"/>
          <w:sz w:val="24"/>
        </w:rPr>
        <w:t xml:space="preserve"> (Accessed: 16 March 2026).</w:t>
      </w:r>
    </w:p>
    <w:p w14:paraId="0B3855A2">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Economics Help (2025) ‘The market share of leading supermarkets in the UK grocery market industry’. Available at: </w:t>
      </w:r>
      <w:r>
        <w:fldChar w:fldCharType="begin"/>
      </w:r>
      <w:r>
        <w:instrText xml:space="preserve"> HYPERLINK "https://www.economicshelp.org/blog/6288/economics/uk-grocery-market-share/" </w:instrText>
      </w:r>
      <w:r>
        <w:fldChar w:fldCharType="separate"/>
      </w:r>
      <w:r>
        <w:rPr>
          <w:rStyle w:val="7"/>
          <w:rFonts w:ascii="Times New Roman" w:hAnsi="Times New Roman" w:cs="Times New Roman"/>
          <w:color w:val="auto"/>
          <w:sz w:val="24"/>
          <w:u w:val="none"/>
        </w:rPr>
        <w:t>https://www.economicshelp.org/blog/6288/economics/uk-grocery-market-share/</w:t>
      </w:r>
      <w:r>
        <w:rPr>
          <w:rStyle w:val="7"/>
          <w:rFonts w:ascii="Times New Roman" w:hAnsi="Times New Roman" w:cs="Times New Roman"/>
          <w:color w:val="auto"/>
          <w:sz w:val="24"/>
          <w:u w:val="none"/>
        </w:rPr>
        <w:fldChar w:fldCharType="end"/>
      </w:r>
      <w:r>
        <w:rPr>
          <w:rFonts w:ascii="Times New Roman" w:hAnsi="Times New Roman" w:cs="Times New Roman"/>
          <w:sz w:val="24"/>
        </w:rPr>
        <w:t xml:space="preserve"> (Accessed: 16 March 2026).</w:t>
      </w:r>
    </w:p>
    <w:p w14:paraId="1666D1E0">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Feldman, E.R. and Hernandez, E. (2022) ‘Synergy in mergers and acquisitions: Typology, life cycles, and value’, </w:t>
      </w:r>
      <w:r>
        <w:rPr>
          <w:rFonts w:ascii="Times New Roman" w:hAnsi="Times New Roman" w:cs="Times New Roman"/>
          <w:i/>
          <w:iCs/>
          <w:sz w:val="24"/>
        </w:rPr>
        <w:t>Academy of Management Review</w:t>
      </w:r>
      <w:r>
        <w:rPr>
          <w:rFonts w:ascii="Times New Roman" w:hAnsi="Times New Roman" w:cs="Times New Roman"/>
          <w:sz w:val="24"/>
        </w:rPr>
        <w:t>, 47(4), pp. 549–578.</w:t>
      </w:r>
    </w:p>
    <w:p w14:paraId="1561615E">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Gaughan, P.A. (2018) </w:t>
      </w:r>
      <w:r>
        <w:rPr>
          <w:rFonts w:ascii="Times New Roman" w:hAnsi="Times New Roman" w:cs="Times New Roman"/>
          <w:i/>
          <w:sz w:val="24"/>
        </w:rPr>
        <w:t>Mergers, acquisitions, and corporate restructurings</w:t>
      </w:r>
      <w:r>
        <w:rPr>
          <w:rFonts w:ascii="Times New Roman" w:hAnsi="Times New Roman" w:cs="Times New Roman"/>
          <w:sz w:val="24"/>
        </w:rPr>
        <w:t>. 7th edn. Hoboken: Wiley.</w:t>
      </w:r>
    </w:p>
    <w:p w14:paraId="3ADDFAB6">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Gist (n.d.-a) ‘Who we are’. Available at: </w:t>
      </w:r>
      <w:r>
        <w:fldChar w:fldCharType="begin"/>
      </w:r>
      <w:r>
        <w:instrText xml:space="preserve"> HYPERLINK "https://www.gistworld.com/Who-we-are" </w:instrText>
      </w:r>
      <w:r>
        <w:fldChar w:fldCharType="separate"/>
      </w:r>
      <w:r>
        <w:rPr>
          <w:rStyle w:val="7"/>
          <w:rFonts w:ascii="Times New Roman" w:hAnsi="Times New Roman" w:cs="Times New Roman"/>
          <w:color w:val="auto"/>
          <w:sz w:val="24"/>
          <w:u w:val="none"/>
        </w:rPr>
        <w:t>https://www.gistworld.com/Who-we-are</w:t>
      </w:r>
      <w:r>
        <w:rPr>
          <w:rStyle w:val="7"/>
          <w:rFonts w:ascii="Times New Roman" w:hAnsi="Times New Roman" w:cs="Times New Roman"/>
          <w:color w:val="auto"/>
          <w:sz w:val="24"/>
          <w:u w:val="none"/>
        </w:rPr>
        <w:fldChar w:fldCharType="end"/>
      </w:r>
      <w:r>
        <w:rPr>
          <w:rFonts w:ascii="Times New Roman" w:hAnsi="Times New Roman" w:cs="Times New Roman"/>
          <w:sz w:val="24"/>
        </w:rPr>
        <w:t xml:space="preserve"> (Accessed: 16 March 2026).</w:t>
      </w:r>
    </w:p>
    <w:p w14:paraId="09D9ADAD">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Gist (n.d.-b) ‘Retail distribution’. Available at: </w:t>
      </w:r>
      <w:r>
        <w:fldChar w:fldCharType="begin"/>
      </w:r>
      <w:r>
        <w:instrText xml:space="preserve"> HYPERLINK "https://www.gistworld.com/What-we-do/Retail-Distribution" </w:instrText>
      </w:r>
      <w:r>
        <w:fldChar w:fldCharType="separate"/>
      </w:r>
      <w:r>
        <w:rPr>
          <w:rStyle w:val="7"/>
          <w:rFonts w:ascii="Times New Roman" w:hAnsi="Times New Roman" w:cs="Times New Roman"/>
          <w:color w:val="auto"/>
          <w:sz w:val="24"/>
          <w:u w:val="none"/>
        </w:rPr>
        <w:t>https://www.gistworld.com/What-we-do/Retail-Distribution</w:t>
      </w:r>
      <w:r>
        <w:rPr>
          <w:rStyle w:val="7"/>
          <w:rFonts w:ascii="Times New Roman" w:hAnsi="Times New Roman" w:cs="Times New Roman"/>
          <w:color w:val="auto"/>
          <w:sz w:val="24"/>
          <w:u w:val="none"/>
        </w:rPr>
        <w:fldChar w:fldCharType="end"/>
      </w:r>
      <w:r>
        <w:rPr>
          <w:rFonts w:ascii="Times New Roman" w:hAnsi="Times New Roman" w:cs="Times New Roman"/>
          <w:sz w:val="24"/>
        </w:rPr>
        <w:t xml:space="preserve"> (Accessed: 16 March 2026).</w:t>
      </w:r>
    </w:p>
    <w:p w14:paraId="19B44E06">
      <w:pPr>
        <w:spacing w:line="360" w:lineRule="auto"/>
        <w:ind w:firstLine="480" w:firstLineChars="200"/>
        <w:rPr>
          <w:rFonts w:ascii="Times New Roman" w:hAnsi="Times New Roman" w:cs="Times New Roman"/>
          <w:sz w:val="24"/>
        </w:rPr>
      </w:pPr>
      <w:r>
        <w:rPr>
          <w:rFonts w:ascii="Times New Roman" w:hAnsi="Times New Roman" w:cs="Times New Roman"/>
          <w:sz w:val="24"/>
        </w:rPr>
        <w:t>Gist (n.d.-c) ‘M&amp;S acquisition unlocks further export growth potential for Gist’.</w:t>
      </w:r>
    </w:p>
    <w:p w14:paraId="611AAB0A">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Available at: </w:t>
      </w:r>
      <w:r>
        <w:fldChar w:fldCharType="begin"/>
      </w:r>
      <w:r>
        <w:instrText xml:space="preserve"> HYPERLINK "https://www.gistworld.com/News/ArticleID/99/M-S-acquisition-unlocks-further-export-growth-potential-for-Gist" </w:instrText>
      </w:r>
      <w:r>
        <w:fldChar w:fldCharType="separate"/>
      </w:r>
      <w:r>
        <w:rPr>
          <w:rStyle w:val="7"/>
          <w:rFonts w:ascii="Times New Roman" w:hAnsi="Times New Roman" w:cs="Times New Roman"/>
          <w:color w:val="auto"/>
          <w:sz w:val="24"/>
          <w:u w:val="none"/>
        </w:rPr>
        <w:t>https://www.gistworld.com/News/ArticleID/99/M-S-acquisition-unlocks-further-export-growth-potential-for-Gist</w:t>
      </w:r>
      <w:r>
        <w:rPr>
          <w:rStyle w:val="7"/>
          <w:rFonts w:ascii="Times New Roman" w:hAnsi="Times New Roman" w:cs="Times New Roman"/>
          <w:color w:val="auto"/>
          <w:sz w:val="24"/>
          <w:u w:val="none"/>
        </w:rPr>
        <w:fldChar w:fldCharType="end"/>
      </w:r>
      <w:r>
        <w:rPr>
          <w:rFonts w:ascii="Times New Roman" w:hAnsi="Times New Roman" w:cs="Times New Roman"/>
          <w:sz w:val="24"/>
        </w:rPr>
        <w:t xml:space="preserve"> (Accessed: 16 March 2026).</w:t>
      </w:r>
    </w:p>
    <w:p w14:paraId="371D2B6C">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Grocery Gazette (2022) ‘Analysis: Why M&amp;S milestone acquisition of Gist will boost its food supply chain’, 29 July. Available at: </w:t>
      </w:r>
      <w:r>
        <w:fldChar w:fldCharType="begin"/>
      </w:r>
      <w:r>
        <w:instrText xml:space="preserve"> HYPERLINK "https://www.grocerygazette.co.uk/2022/07/29/ms-gist-supply-chain/" </w:instrText>
      </w:r>
      <w:r>
        <w:fldChar w:fldCharType="separate"/>
      </w:r>
      <w:r>
        <w:rPr>
          <w:rStyle w:val="7"/>
          <w:rFonts w:ascii="Times New Roman" w:hAnsi="Times New Roman" w:cs="Times New Roman"/>
          <w:color w:val="auto"/>
          <w:sz w:val="24"/>
          <w:u w:val="none"/>
        </w:rPr>
        <w:t>https://www.grocerygazette.co.uk/2022/07/29/ms-gist-supply-chain/</w:t>
      </w:r>
      <w:r>
        <w:rPr>
          <w:rStyle w:val="7"/>
          <w:rFonts w:ascii="Times New Roman" w:hAnsi="Times New Roman" w:cs="Times New Roman"/>
          <w:color w:val="auto"/>
          <w:sz w:val="24"/>
          <w:u w:val="none"/>
        </w:rPr>
        <w:fldChar w:fldCharType="end"/>
      </w:r>
      <w:r>
        <w:rPr>
          <w:rFonts w:ascii="Times New Roman" w:hAnsi="Times New Roman" w:cs="Times New Roman"/>
          <w:sz w:val="24"/>
        </w:rPr>
        <w:t xml:space="preserve"> (Accessed: 16 March 2026).</w:t>
      </w:r>
    </w:p>
    <w:p w14:paraId="2F09D825">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Investegate (2022) ‘M&amp;S to acquire Gist Limited’, </w:t>
      </w:r>
      <w:r>
        <w:rPr>
          <w:rFonts w:ascii="Times New Roman" w:hAnsi="Times New Roman" w:cs="Times New Roman"/>
          <w:i/>
          <w:iCs/>
          <w:sz w:val="24"/>
        </w:rPr>
        <w:t>RNS announcement</w:t>
      </w:r>
      <w:r>
        <w:rPr>
          <w:rFonts w:ascii="Times New Roman" w:hAnsi="Times New Roman" w:cs="Times New Roman"/>
          <w:sz w:val="24"/>
        </w:rPr>
        <w:t xml:space="preserve">, 21 July. Available at: </w:t>
      </w:r>
      <w:r>
        <w:fldChar w:fldCharType="begin"/>
      </w:r>
      <w:r>
        <w:instrText xml:space="preserve"> HYPERLINK "https://www.investegate.co.uk/announcement/rns/marks-spencer-group--mks/m-s-to-acquire-gist-limited/7083334" </w:instrText>
      </w:r>
      <w:r>
        <w:fldChar w:fldCharType="separate"/>
      </w:r>
      <w:r>
        <w:rPr>
          <w:rStyle w:val="7"/>
          <w:rFonts w:ascii="Times New Roman" w:hAnsi="Times New Roman" w:cs="Times New Roman"/>
          <w:color w:val="auto"/>
          <w:sz w:val="24"/>
          <w:u w:val="none"/>
        </w:rPr>
        <w:t>https://www.investegate.co.uk/announcement/rns/marks-spencer-group--mks/m-s-to-acquire-gist-limited/7083334</w:t>
      </w:r>
      <w:r>
        <w:rPr>
          <w:rStyle w:val="7"/>
          <w:rFonts w:ascii="Times New Roman" w:hAnsi="Times New Roman" w:cs="Times New Roman"/>
          <w:color w:val="auto"/>
          <w:sz w:val="24"/>
          <w:u w:val="none"/>
        </w:rPr>
        <w:fldChar w:fldCharType="end"/>
      </w:r>
      <w:r>
        <w:rPr>
          <w:rFonts w:ascii="Times New Roman" w:hAnsi="Times New Roman" w:cs="Times New Roman"/>
          <w:sz w:val="24"/>
        </w:rPr>
        <w:t xml:space="preserve"> (Accessed: 16 March 2026).</w:t>
      </w:r>
    </w:p>
    <w:p w14:paraId="23A3D4EE">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Jensen, M.C. (1986) ‘Agency costs of free cash flow, corporate finance, and takeovers’, </w:t>
      </w:r>
      <w:r>
        <w:rPr>
          <w:rFonts w:ascii="Times New Roman" w:hAnsi="Times New Roman" w:cs="Times New Roman"/>
          <w:i/>
          <w:iCs/>
          <w:sz w:val="24"/>
        </w:rPr>
        <w:t>American Economic Review</w:t>
      </w:r>
      <w:r>
        <w:rPr>
          <w:rFonts w:ascii="Times New Roman" w:hAnsi="Times New Roman" w:cs="Times New Roman"/>
          <w:sz w:val="24"/>
        </w:rPr>
        <w:t xml:space="preserve">, 76(2), pp. 323–329. Available at: </w:t>
      </w:r>
      <w:r>
        <w:fldChar w:fldCharType="begin"/>
      </w:r>
      <w:r>
        <w:instrText xml:space="preserve"> HYPERLINK "https://doi.org/10.2139/ssrn.99580" </w:instrText>
      </w:r>
      <w:r>
        <w:fldChar w:fldCharType="separate"/>
      </w:r>
      <w:r>
        <w:rPr>
          <w:rStyle w:val="7"/>
          <w:rFonts w:ascii="Times New Roman" w:hAnsi="Times New Roman" w:cs="Times New Roman"/>
          <w:color w:val="auto"/>
          <w:sz w:val="24"/>
          <w:u w:val="none"/>
        </w:rPr>
        <w:t>https://doi.org/10.2139/ssrn.99580</w:t>
      </w:r>
      <w:r>
        <w:rPr>
          <w:rStyle w:val="7"/>
          <w:rFonts w:ascii="Times New Roman" w:hAnsi="Times New Roman" w:cs="Times New Roman"/>
          <w:color w:val="auto"/>
          <w:sz w:val="24"/>
          <w:u w:val="none"/>
        </w:rPr>
        <w:fldChar w:fldCharType="end"/>
      </w:r>
      <w:r>
        <w:rPr>
          <w:rFonts w:ascii="Times New Roman" w:hAnsi="Times New Roman" w:cs="Times New Roman"/>
          <w:sz w:val="24"/>
        </w:rPr>
        <w:t xml:space="preserve"> (Accessed: 16 March 2026).</w:t>
      </w:r>
    </w:p>
    <w:p w14:paraId="2DD43EB8">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Marks and Spencer Group plc (2022a) ‘Marks and Spencer to acquire Gist as part of accelerating its Food supply chain transformation’, 21 July. Available at: </w:t>
      </w:r>
      <w:r>
        <w:fldChar w:fldCharType="begin"/>
      </w:r>
      <w:r>
        <w:instrText xml:space="preserve"> HYPERLINK "https://corporate.marksandspencer.com/newsroom/press-releases/marks-and-spencer-acquire-gist-part-accelerating-its-food-supply-chain" </w:instrText>
      </w:r>
      <w:r>
        <w:fldChar w:fldCharType="separate"/>
      </w:r>
      <w:r>
        <w:rPr>
          <w:rStyle w:val="7"/>
          <w:rFonts w:ascii="Times New Roman" w:hAnsi="Times New Roman" w:cs="Times New Roman"/>
          <w:color w:val="auto"/>
          <w:sz w:val="24"/>
          <w:u w:val="none"/>
        </w:rPr>
        <w:t>https://corporate.marksandspencer.com/newsroom/press-releases/marks-and-spencer-acquire-gist-part-accelerating-its-food-supply-chain</w:t>
      </w:r>
      <w:r>
        <w:rPr>
          <w:rStyle w:val="7"/>
          <w:rFonts w:ascii="Times New Roman" w:hAnsi="Times New Roman" w:cs="Times New Roman"/>
          <w:color w:val="auto"/>
          <w:sz w:val="24"/>
          <w:u w:val="none"/>
        </w:rPr>
        <w:fldChar w:fldCharType="end"/>
      </w:r>
      <w:r>
        <w:rPr>
          <w:rFonts w:ascii="Times New Roman" w:hAnsi="Times New Roman" w:cs="Times New Roman"/>
          <w:sz w:val="24"/>
        </w:rPr>
        <w:t xml:space="preserve"> (Accessed: 16 March 2026).</w:t>
      </w:r>
    </w:p>
    <w:p w14:paraId="2AD4E5BE">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Marks and Spencer Group plc (2022b) ‘Marks &amp; Spencer completes acquisition of Gist’, RNS announcement, 30 September. Available at: </w:t>
      </w:r>
      <w:r>
        <w:fldChar w:fldCharType="begin"/>
      </w:r>
      <w:r>
        <w:instrText xml:space="preserve"> HYPERLINK "https://markets.ft.com/data/announce/full?dockey=1323-15652707-2LKNLGKK9CI0QQSO3MA00EPL4S" </w:instrText>
      </w:r>
      <w:r>
        <w:fldChar w:fldCharType="separate"/>
      </w:r>
      <w:r>
        <w:rPr>
          <w:rStyle w:val="7"/>
          <w:rFonts w:ascii="Times New Roman" w:hAnsi="Times New Roman" w:cs="Times New Roman"/>
          <w:color w:val="auto"/>
          <w:sz w:val="24"/>
          <w:u w:val="none"/>
        </w:rPr>
        <w:t>https://markets.ft.com/data/announce/full?dockey=1323-15652707-2LKNLGKK9CI0QQSO3MA00EPL4S</w:t>
      </w:r>
      <w:r>
        <w:rPr>
          <w:rStyle w:val="7"/>
          <w:rFonts w:ascii="Times New Roman" w:hAnsi="Times New Roman" w:cs="Times New Roman"/>
          <w:color w:val="auto"/>
          <w:sz w:val="24"/>
          <w:u w:val="none"/>
        </w:rPr>
        <w:fldChar w:fldCharType="end"/>
      </w:r>
      <w:r>
        <w:rPr>
          <w:rFonts w:ascii="Times New Roman" w:hAnsi="Times New Roman" w:cs="Times New Roman"/>
          <w:sz w:val="24"/>
        </w:rPr>
        <w:t xml:space="preserve"> (Accessed: 16 March 2026).</w:t>
      </w:r>
    </w:p>
    <w:p w14:paraId="5052F87E">
      <w:pPr>
        <w:spacing w:line="360" w:lineRule="auto"/>
        <w:ind w:firstLine="480" w:firstLineChars="200"/>
        <w:rPr>
          <w:rFonts w:ascii="Times New Roman" w:hAnsi="Times New Roman" w:cs="Times New Roman"/>
          <w:sz w:val="24"/>
        </w:rPr>
      </w:pPr>
      <w:r>
        <w:rPr>
          <w:rFonts w:ascii="Times New Roman" w:hAnsi="Times New Roman" w:cs="Times New Roman"/>
          <w:sz w:val="24"/>
        </w:rPr>
        <w:t>Marks and Spencer Group plc (202</w:t>
      </w:r>
      <w:r>
        <w:rPr>
          <w:rFonts w:hint="default" w:ascii="Times New Roman" w:hAnsi="Times New Roman" w:cs="Times New Roman"/>
          <w:sz w:val="24"/>
          <w:lang w:val="en-US"/>
        </w:rPr>
        <w:t>2</w:t>
      </w:r>
      <w:r>
        <w:rPr>
          <w:rFonts w:ascii="Times New Roman" w:hAnsi="Times New Roman" w:cs="Times New Roman"/>
          <w:sz w:val="24"/>
        </w:rPr>
        <w:t xml:space="preserve">) </w:t>
      </w:r>
      <w:r>
        <w:rPr>
          <w:rFonts w:ascii="Times New Roman" w:hAnsi="Times New Roman" w:cs="Times New Roman"/>
          <w:i/>
          <w:sz w:val="24"/>
        </w:rPr>
        <w:t>Annual Report and Financial Statements 202</w:t>
      </w:r>
      <w:r>
        <w:rPr>
          <w:rFonts w:hint="default" w:ascii="Times New Roman" w:hAnsi="Times New Roman" w:cs="Times New Roman"/>
          <w:i/>
          <w:sz w:val="24"/>
          <w:lang w:val="en-US"/>
        </w:rPr>
        <w:t>1</w:t>
      </w:r>
      <w:r>
        <w:rPr>
          <w:rFonts w:ascii="Times New Roman" w:hAnsi="Times New Roman" w:cs="Times New Roman"/>
          <w:i/>
          <w:sz w:val="24"/>
        </w:rPr>
        <w:t>/2</w:t>
      </w:r>
      <w:r>
        <w:rPr>
          <w:rFonts w:hint="default" w:ascii="Times New Roman" w:hAnsi="Times New Roman" w:cs="Times New Roman"/>
          <w:i/>
          <w:sz w:val="24"/>
          <w:lang w:val="en-US"/>
        </w:rPr>
        <w:t>2</w:t>
      </w:r>
      <w:r>
        <w:rPr>
          <w:rFonts w:ascii="Times New Roman" w:hAnsi="Times New Roman" w:cs="Times New Roman"/>
          <w:sz w:val="24"/>
        </w:rPr>
        <w:t>. London: M&amp;S.</w:t>
      </w:r>
    </w:p>
    <w:p w14:paraId="0D86F5DE">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Marks and Spencer Group plc (2024) </w:t>
      </w:r>
      <w:r>
        <w:rPr>
          <w:rFonts w:ascii="Times New Roman" w:hAnsi="Times New Roman" w:cs="Times New Roman"/>
          <w:i/>
          <w:sz w:val="24"/>
        </w:rPr>
        <w:t>Annual Report and Financial Statements 2023/24</w:t>
      </w:r>
      <w:r>
        <w:rPr>
          <w:rFonts w:ascii="Times New Roman" w:hAnsi="Times New Roman" w:cs="Times New Roman"/>
          <w:sz w:val="24"/>
        </w:rPr>
        <w:t xml:space="preserve">. London: </w:t>
      </w:r>
      <w:bookmarkStart w:id="14" w:name="_GoBack"/>
      <w:bookmarkEnd w:id="14"/>
      <w:r>
        <w:rPr>
          <w:rFonts w:ascii="Times New Roman" w:hAnsi="Times New Roman" w:cs="Times New Roman"/>
          <w:sz w:val="24"/>
        </w:rPr>
        <w:t>M&amp;S.</w:t>
      </w:r>
    </w:p>
    <w:p w14:paraId="39E1E96C">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Mooney, M. (2022) ‘M&amp;S buys Gist for £145 million’, </w:t>
      </w:r>
      <w:r>
        <w:rPr>
          <w:rFonts w:ascii="Times New Roman" w:hAnsi="Times New Roman" w:cs="Times New Roman"/>
          <w:i/>
          <w:iCs/>
          <w:sz w:val="24"/>
        </w:rPr>
        <w:t>Logistics Manager</w:t>
      </w:r>
      <w:r>
        <w:rPr>
          <w:rFonts w:ascii="Times New Roman" w:hAnsi="Times New Roman" w:cs="Times New Roman"/>
          <w:sz w:val="24"/>
        </w:rPr>
        <w:t xml:space="preserve">, 21 July. Available at: </w:t>
      </w:r>
      <w:r>
        <w:fldChar w:fldCharType="begin"/>
      </w:r>
      <w:r>
        <w:instrText xml:space="preserve"> HYPERLINK "https://www.logisticsmanager.com/ms-buys-gist-for-145-million/" </w:instrText>
      </w:r>
      <w:r>
        <w:fldChar w:fldCharType="separate"/>
      </w:r>
      <w:r>
        <w:rPr>
          <w:rStyle w:val="7"/>
          <w:rFonts w:ascii="Times New Roman" w:hAnsi="Times New Roman" w:cs="Times New Roman"/>
          <w:color w:val="auto"/>
          <w:sz w:val="24"/>
          <w:u w:val="none"/>
        </w:rPr>
        <w:t>https://www.logisticsmanager.com/ms-buys-gist-for-145-million/</w:t>
      </w:r>
      <w:r>
        <w:rPr>
          <w:rStyle w:val="7"/>
          <w:rFonts w:ascii="Times New Roman" w:hAnsi="Times New Roman" w:cs="Times New Roman"/>
          <w:color w:val="auto"/>
          <w:sz w:val="24"/>
          <w:u w:val="none"/>
        </w:rPr>
        <w:fldChar w:fldCharType="end"/>
      </w:r>
      <w:r>
        <w:rPr>
          <w:rFonts w:ascii="Times New Roman" w:hAnsi="Times New Roman" w:cs="Times New Roman"/>
          <w:sz w:val="24"/>
        </w:rPr>
        <w:t xml:space="preserve"> (Accessed: 16 March 2026).</w:t>
      </w:r>
    </w:p>
    <w:p w14:paraId="2382B5ED">
      <w:pPr>
        <w:spacing w:line="360" w:lineRule="auto"/>
        <w:ind w:firstLine="480" w:firstLineChars="200"/>
        <w:rPr>
          <w:rFonts w:ascii="Times New Roman" w:hAnsi="Times New Roman" w:cs="Times New Roman"/>
          <w:sz w:val="24"/>
        </w:rPr>
      </w:pPr>
      <w:r>
        <w:rPr>
          <w:rFonts w:ascii="Times New Roman" w:hAnsi="Times New Roman" w:cs="Times New Roman"/>
          <w:sz w:val="24"/>
        </w:rPr>
        <w:t xml:space="preserve">Trautwein, F. (1990) ‘Merger motives and merger prescriptions’, </w:t>
      </w:r>
      <w:r>
        <w:rPr>
          <w:rFonts w:ascii="Times New Roman" w:hAnsi="Times New Roman" w:cs="Times New Roman"/>
          <w:i/>
          <w:iCs/>
          <w:sz w:val="24"/>
        </w:rPr>
        <w:t>Strategic Management Journal</w:t>
      </w:r>
      <w:r>
        <w:rPr>
          <w:rFonts w:ascii="Times New Roman" w:hAnsi="Times New Roman" w:cs="Times New Roman"/>
          <w:sz w:val="24"/>
        </w:rPr>
        <w:t>, 11(4), pp. 283–295.</w:t>
      </w:r>
    </w:p>
    <w:p w14:paraId="55990B99">
      <w:pPr>
        <w:spacing w:line="360" w:lineRule="auto"/>
        <w:ind w:firstLine="480" w:firstLineChars="200"/>
        <w:rPr>
          <w:rFonts w:hint="eastAsia" w:ascii="Times New Roman" w:hAnsi="Times New Roman" w:cs="Times New Roman"/>
          <w:sz w:val="24"/>
        </w:rPr>
      </w:pPr>
      <w:r>
        <w:rPr>
          <w:rFonts w:ascii="Times New Roman" w:hAnsi="Times New Roman" w:cs="Times New Roman"/>
          <w:sz w:val="24"/>
        </w:rPr>
        <w:t xml:space="preserve">Wieland, A. (2021) ‘Dancing the supply chain: Toward transformative supply chain management’, </w:t>
      </w:r>
      <w:r>
        <w:rPr>
          <w:rFonts w:ascii="Times New Roman" w:hAnsi="Times New Roman" w:cs="Times New Roman"/>
          <w:i/>
          <w:iCs/>
          <w:sz w:val="24"/>
        </w:rPr>
        <w:t>Journal of Supply Chain Management</w:t>
      </w:r>
      <w:r>
        <w:rPr>
          <w:rFonts w:ascii="Times New Roman" w:hAnsi="Times New Roman" w:cs="Times New Roman"/>
          <w:sz w:val="24"/>
        </w:rPr>
        <w:t>, 57(1), pp. 58–73.</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Calibri Light">
    <w:altName w:val="Helvetica Neue"/>
    <w:panose1 w:val="020F0302020204030204"/>
    <w:charset w:val="00"/>
    <w:family w:val="swiss"/>
    <w:pitch w:val="default"/>
    <w:sig w:usb0="00000000" w:usb1="00000000" w:usb2="00000009" w:usb3="00000000" w:csb0="000001FF" w:csb1="00000000"/>
  </w:font>
  <w:font w:name="Songti SC">
    <w:panose1 w:val="02010800040101010101"/>
    <w:charset w:val="86"/>
    <w:family w:val="auto"/>
    <w:pitch w:val="default"/>
    <w:sig w:usb0="00000001" w:usb1="080F0000" w:usb2="00000000" w:usb3="00000000" w:csb0="00040000"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冬青黑体简体中文">
    <w:panose1 w:val="020B0300000000000000"/>
    <w:charset w:val="86"/>
    <w:family w:val="auto"/>
    <w:pitch w:val="default"/>
    <w:sig w:usb0="A00002BF" w:usb1="1ACF7CFA" w:usb2="00000016" w:usb3="00000000" w:csb0="00060007"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71"/>
  <w:embedSystemFonts/>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DD515C1"/>
    <w:rsid w:val="002507D5"/>
    <w:rsid w:val="00394B72"/>
    <w:rsid w:val="003D627B"/>
    <w:rsid w:val="00471539"/>
    <w:rsid w:val="004F7560"/>
    <w:rsid w:val="00BD2ED4"/>
    <w:rsid w:val="00FB7A46"/>
    <w:rsid w:val="3DD515C1"/>
    <w:rsid w:val="3EE7CC10"/>
    <w:rsid w:val="5FFDAF94"/>
    <w:rsid w:val="6C6FDA60"/>
    <w:rsid w:val="7BBFA743"/>
    <w:rsid w:val="DFFE984C"/>
    <w:rsid w:val="EBBC789C"/>
    <w:rsid w:val="FBFAB3B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39" w:semiHidden="0" w:name="toc 1"/>
    <w:lsdException w:unhideWhenUsed="0"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iPriority="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8"/>
    <w:qFormat/>
    <w:uiPriority w:val="0"/>
    <w:pPr>
      <w:keepNext/>
      <w:keepLines/>
      <w:spacing w:before="340" w:after="330" w:line="578" w:lineRule="auto"/>
      <w:outlineLvl w:val="0"/>
    </w:pPr>
    <w:rPr>
      <w:b/>
      <w:bCs/>
      <w:kern w:val="44"/>
      <w:sz w:val="44"/>
      <w:szCs w:val="44"/>
    </w:rPr>
  </w:style>
  <w:style w:type="character" w:default="1" w:styleId="6">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3">
    <w:name w:val="toc 1"/>
    <w:basedOn w:val="1"/>
    <w:next w:val="1"/>
    <w:autoRedefine/>
    <w:uiPriority w:val="39"/>
  </w:style>
  <w:style w:type="paragraph" w:styleId="4">
    <w:name w:val="toc 2"/>
    <w:basedOn w:val="1"/>
    <w:next w:val="1"/>
    <w:autoRedefine/>
    <w:uiPriority w:val="39"/>
    <w:pPr>
      <w:ind w:left="420" w:leftChars="200"/>
    </w:pPr>
  </w:style>
  <w:style w:type="character" w:styleId="7">
    <w:name w:val="Hyperlink"/>
    <w:basedOn w:val="6"/>
    <w:uiPriority w:val="99"/>
    <w:rPr>
      <w:color w:val="0000FF"/>
      <w:u w:val="single"/>
    </w:rPr>
  </w:style>
  <w:style w:type="character" w:customStyle="1" w:styleId="8">
    <w:name w:val="标题 1 Char"/>
    <w:basedOn w:val="6"/>
    <w:link w:val="2"/>
    <w:uiPriority w:val="0"/>
    <w:rPr>
      <w:rFonts w:asciiTheme="minorHAnsi" w:hAnsiTheme="minorHAnsi" w:eastAsiaTheme="minorEastAsia" w:cstheme="minorBidi"/>
      <w:b/>
      <w:bCs/>
      <w:kern w:val="44"/>
      <w:sz w:val="44"/>
      <w:szCs w:val="44"/>
    </w:rPr>
  </w:style>
  <w:style w:type="paragraph" w:customStyle="1" w:styleId="9">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E54A1" w:themeColor="accent1" w:themeShade="BF"/>
      <w:kern w:val="0"/>
      <w:sz w:val="32"/>
      <w:szCs w:val="32"/>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http://schemas.openxmlformats.org/officeDocument/2006/bibliography" xmlns:b="http://schemas.openxmlformats.org/officeDocument/2006/bibliography" SelectedStyle="\APASixthEditionOfficeOnline.xsl" StyleName="APA" Version="6"/>
</file>

<file path=customXml/itemProps1.xml><?xml version="1.0" encoding="utf-8"?>
<ds:datastoreItem xmlns:ds="http://schemas.openxmlformats.org/officeDocument/2006/customXml" ds:itemID="{15389CAA-4CD7-4A14-9CEB-39CD1B733168}">
  <ds:schemaRefs/>
</ds:datastoreItem>
</file>

<file path=docProps/app.xml><?xml version="1.0" encoding="utf-8"?>
<Properties xmlns="http://schemas.openxmlformats.org/officeDocument/2006/extended-properties" xmlns:vt="http://schemas.openxmlformats.org/officeDocument/2006/docPropsVTypes">
  <Template>Normal</Template>
  <Pages>13</Pages>
  <Words>3467</Words>
  <Characters>19768</Characters>
  <Lines>164</Lines>
  <Paragraphs>46</Paragraphs>
  <TotalTime>0</TotalTime>
  <ScaleCrop>false</ScaleCrop>
  <LinksUpToDate>false</LinksUpToDate>
  <CharactersWithSpaces>23189</CharactersWithSpaces>
  <Application>WPS Office_7.2.2.8955_F1E327BC-269C-435d-A152-05C5408002CA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2026-03-16T18:50:00Z</dcterms:created>
  <dc:creator>Emwins</dc:creator>
  <cp:lastModifiedBy>Emwins</cp:lastModifiedBy>
  <dcterms:modified xsi:type="dcterms:W3CDTF">2026-03-22T18:04:08Z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2052-7.2.2.8955</vt:lpwstr>
  </property>
  <property fmtid="{D5CDD505-2E9C-101B-9397-08002B2CF9AE}" pid="3" name="ICV">
    <vt:lpwstr>B5D32187E329B21EBF0AB86951E7E8D1_41</vt:lpwstr>
  </property>
</Properties>
</file>