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1EC34BAD" w14:textId="6A82F49E" w:rsidR="00646406" w:rsidRPr="007B30DF" w:rsidRDefault="007B30DF" w:rsidP="007B30DF">
      <w:pPr>
        <w:jc w:val="center"/>
        <w:rPr>
          <w:b/>
          <w:bCs/>
        </w:rPr>
      </w:pPr>
      <w:r w:rsidRPr="007B30DF">
        <w:rPr>
          <w:b/>
          <w:bCs/>
        </w:rPr>
        <w:t>Program Name: Master of Business Administration</w:t>
      </w:r>
    </w:p>
    <w:p w14:paraId="192EBD96" w14:textId="77777777" w:rsidR="007B30DF" w:rsidRDefault="007B30DF" w:rsidP="00646406">
      <w:pPr>
        <w:jc w:val="center"/>
        <w:rPr>
          <w:rFonts w:cs="Arial"/>
          <w:b/>
          <w:bCs/>
        </w:rPr>
      </w:pPr>
    </w:p>
    <w:p w14:paraId="020B9CFF" w14:textId="569B26DD" w:rsidR="00646406" w:rsidRDefault="00646406" w:rsidP="00646406">
      <w:pPr>
        <w:jc w:val="center"/>
        <w:rPr>
          <w:rFonts w:cs="Arial"/>
          <w:b/>
          <w:bCs/>
        </w:rPr>
      </w:pPr>
      <w:r w:rsidRPr="00646406">
        <w:rPr>
          <w:rFonts w:cs="Arial"/>
          <w:b/>
          <w:bCs/>
        </w:rPr>
        <w:t>Student Name:</w:t>
      </w:r>
      <w:r w:rsidR="006B4918">
        <w:rPr>
          <w:rFonts w:cs="Arial"/>
          <w:b/>
          <w:bCs/>
        </w:rPr>
        <w:t xml:space="preserve"> Vraj Patel</w:t>
      </w:r>
    </w:p>
    <w:p w14:paraId="2AAC98E7" w14:textId="77777777" w:rsidR="00646406" w:rsidRPr="00646406" w:rsidRDefault="00646406" w:rsidP="00D9321D">
      <w:pPr>
        <w:rPr>
          <w:rFonts w:cs="Arial"/>
          <w:b/>
          <w:bCs/>
        </w:rPr>
      </w:pPr>
    </w:p>
    <w:p w14:paraId="586C6996" w14:textId="53CCEA0F" w:rsidR="00646406" w:rsidRPr="00646406" w:rsidRDefault="00646406" w:rsidP="00646406">
      <w:pPr>
        <w:jc w:val="center"/>
        <w:rPr>
          <w:rFonts w:cs="Arial"/>
          <w:b/>
          <w:bCs/>
        </w:rPr>
      </w:pPr>
      <w:r w:rsidRPr="00646406">
        <w:rPr>
          <w:rFonts w:cs="Arial"/>
          <w:b/>
          <w:bCs/>
        </w:rPr>
        <w:t>Student ID:</w:t>
      </w:r>
      <w:r w:rsidR="006B4918">
        <w:rPr>
          <w:rFonts w:cs="Arial"/>
          <w:b/>
          <w:bCs/>
        </w:rPr>
        <w:t xml:space="preserve"> 2538982</w:t>
      </w:r>
    </w:p>
    <w:p w14:paraId="3D7751B6" w14:textId="77777777" w:rsidR="00646406" w:rsidRPr="00646406" w:rsidRDefault="00646406" w:rsidP="00D9321D">
      <w:pPr>
        <w:rPr>
          <w:rFonts w:cs="Arial"/>
        </w:rPr>
      </w:pPr>
    </w:p>
    <w:p w14:paraId="37F10C9F" w14:textId="081B2790" w:rsidR="00646406" w:rsidRDefault="00646406" w:rsidP="00646406">
      <w:pPr>
        <w:jc w:val="center"/>
        <w:rPr>
          <w:rFonts w:cs="Arial"/>
          <w:b/>
          <w:bCs/>
        </w:rPr>
      </w:pPr>
      <w:r w:rsidRPr="00646406">
        <w:rPr>
          <w:rFonts w:cs="Arial"/>
          <w:b/>
          <w:bCs/>
        </w:rPr>
        <w:t xml:space="preserve">Module Name: </w:t>
      </w:r>
      <w:r w:rsidR="00D9321D">
        <w:rPr>
          <w:rFonts w:cs="Arial"/>
          <w:b/>
          <w:bCs/>
        </w:rPr>
        <w:t>Financial</w:t>
      </w:r>
      <w:r w:rsidRPr="00646406">
        <w:rPr>
          <w:rFonts w:cs="Arial"/>
          <w:b/>
          <w:bCs/>
        </w:rPr>
        <w:t xml:space="preserve"> Management</w:t>
      </w:r>
      <w:r w:rsidR="007B30DF">
        <w:rPr>
          <w:rFonts w:cs="Arial"/>
          <w:b/>
          <w:bCs/>
        </w:rPr>
        <w:t xml:space="preserve"> – LCMB 7002</w:t>
      </w:r>
    </w:p>
    <w:p w14:paraId="7E74A1F6" w14:textId="77777777" w:rsidR="00646406" w:rsidRPr="00646406" w:rsidRDefault="00646406" w:rsidP="00646406">
      <w:pPr>
        <w:jc w:val="center"/>
        <w:rPr>
          <w:rFonts w:cs="Arial"/>
          <w:b/>
          <w:bCs/>
        </w:rPr>
      </w:pPr>
    </w:p>
    <w:p w14:paraId="1C05EEAE" w14:textId="5742BF37" w:rsidR="00646406" w:rsidRPr="00646406" w:rsidRDefault="00646406" w:rsidP="00646406">
      <w:pPr>
        <w:jc w:val="center"/>
        <w:rPr>
          <w:rFonts w:cs="Arial"/>
          <w:b/>
          <w:bCs/>
        </w:rPr>
      </w:pPr>
      <w:r w:rsidRPr="00646406">
        <w:rPr>
          <w:rFonts w:cs="Arial"/>
          <w:b/>
          <w:bCs/>
        </w:rPr>
        <w:t>Lecturer’s Name:</w:t>
      </w:r>
      <w:r w:rsidR="006B4918">
        <w:rPr>
          <w:rFonts w:cs="Arial"/>
          <w:b/>
          <w:bCs/>
        </w:rPr>
        <w:t xml:space="preserve"> </w:t>
      </w:r>
      <w:r w:rsidR="00D9321D" w:rsidRPr="00D9321D">
        <w:rPr>
          <w:rFonts w:cs="Arial"/>
          <w:b/>
          <w:bCs/>
        </w:rPr>
        <w:t xml:space="preserve">Shengfeng Mei </w:t>
      </w:r>
      <w:r w:rsidR="00D9321D">
        <w:rPr>
          <w:rFonts w:cs="Arial"/>
          <w:b/>
          <w:bCs/>
        </w:rPr>
        <w:t xml:space="preserve"> </w:t>
      </w:r>
      <w:r w:rsidR="00D9321D" w:rsidRPr="00D9321D">
        <w:rPr>
          <w:rFonts w:cs="Arial"/>
          <w:b/>
          <w:bCs/>
        </w:rPr>
        <w:t>Patrick Yeboah</w:t>
      </w:r>
    </w:p>
    <w:p w14:paraId="55B10977" w14:textId="77777777" w:rsidR="00646406" w:rsidRPr="00646406" w:rsidRDefault="00646406" w:rsidP="00646406">
      <w:pPr>
        <w:rPr>
          <w:rFonts w:cs="Arial"/>
          <w:b/>
          <w:bCs/>
        </w:rPr>
      </w:pPr>
    </w:p>
    <w:p w14:paraId="6A8F56C7" w14:textId="7DBF6BDC" w:rsidR="00646406" w:rsidRPr="00646406" w:rsidRDefault="00D9321D" w:rsidP="00646406">
      <w:pPr>
        <w:jc w:val="center"/>
        <w:rPr>
          <w:rFonts w:cs="Arial"/>
          <w:b/>
          <w:bCs/>
        </w:rPr>
      </w:pPr>
      <w:r w:rsidRPr="00D9321D">
        <w:rPr>
          <w:rFonts w:cs="Arial"/>
          <w:b/>
          <w:bCs/>
        </w:rPr>
        <w:t>Assessment component: Financial performance and management</w:t>
      </w:r>
    </w:p>
    <w:p w14:paraId="76B4AC18" w14:textId="77777777" w:rsidR="00646406" w:rsidRDefault="00646406" w:rsidP="00F75D9C">
      <w:pPr>
        <w:rPr>
          <w:rFonts w:cs="Arial"/>
          <w:b/>
          <w:bCs/>
        </w:rPr>
      </w:pPr>
    </w:p>
    <w:p w14:paraId="3D7042D2" w14:textId="77ADE038" w:rsidR="00646406" w:rsidRDefault="00D9321D" w:rsidP="00646406">
      <w:pPr>
        <w:jc w:val="center"/>
        <w:rPr>
          <w:rFonts w:cs="Arial"/>
          <w:b/>
          <w:bCs/>
        </w:rPr>
      </w:pPr>
      <w:r>
        <w:rPr>
          <w:rFonts w:cs="Arial"/>
          <w:b/>
          <w:bCs/>
        </w:rPr>
        <w:t>Word Count : 5</w:t>
      </w:r>
      <w:r w:rsidR="00DF1635">
        <w:rPr>
          <w:rFonts w:cs="Arial"/>
          <w:b/>
          <w:bCs/>
        </w:rPr>
        <w:t>4</w:t>
      </w:r>
      <w:r w:rsidR="00810534">
        <w:rPr>
          <w:rFonts w:cs="Arial"/>
          <w:b/>
          <w:bCs/>
        </w:rPr>
        <w:t>58</w:t>
      </w:r>
    </w:p>
    <w:p w14:paraId="11FC2306" w14:textId="77777777" w:rsidR="00D55D1A" w:rsidRDefault="00D55D1A" w:rsidP="00646406">
      <w:pPr>
        <w:jc w:val="center"/>
        <w:rPr>
          <w:rFonts w:cs="Arial"/>
          <w:b/>
          <w:bCs/>
        </w:rPr>
      </w:pPr>
    </w:p>
    <w:p w14:paraId="58BA2AC0" w14:textId="187A7889" w:rsidR="00D55D1A" w:rsidRDefault="00D55D1A" w:rsidP="00646406">
      <w:pPr>
        <w:jc w:val="center"/>
        <w:rPr>
          <w:rFonts w:cs="Arial"/>
          <w:b/>
          <w:bCs/>
        </w:rPr>
      </w:pPr>
      <w:r>
        <w:rPr>
          <w:rFonts w:cs="Arial"/>
          <w:b/>
          <w:bCs/>
        </w:rPr>
        <w:t>Submission Date: 13</w:t>
      </w:r>
      <w:r w:rsidRPr="00D55D1A">
        <w:rPr>
          <w:rFonts w:cs="Arial"/>
          <w:b/>
          <w:bCs/>
          <w:vertAlign w:val="superscript"/>
        </w:rPr>
        <w:t>th</w:t>
      </w:r>
      <w:r>
        <w:rPr>
          <w:rFonts w:cs="Arial"/>
          <w:b/>
          <w:bCs/>
        </w:rPr>
        <w:t xml:space="preserve"> August 2026</w:t>
      </w:r>
    </w:p>
    <w:p w14:paraId="32FF4B00" w14:textId="77777777" w:rsidR="007B6C6E" w:rsidRDefault="007B6C6E" w:rsidP="00D55D1A">
      <w:pPr>
        <w:rPr>
          <w:rFonts w:cs="Arial"/>
          <w:b/>
          <w:bCs/>
        </w:rPr>
      </w:pPr>
    </w:p>
    <w:sdt>
      <w:sdtPr>
        <w:rPr>
          <w:rFonts w:ascii="Arial" w:eastAsiaTheme="minorHAnsi" w:hAnsi="Arial" w:cstheme="minorBidi"/>
          <w:bCs w:val="0"/>
          <w:kern w:val="2"/>
          <w:sz w:val="24"/>
          <w:szCs w:val="24"/>
          <w:lang w:val="en-GB"/>
          <w14:ligatures w14:val="standardContextual"/>
        </w:rPr>
        <w:id w:val="1355925390"/>
        <w:docPartObj>
          <w:docPartGallery w:val="Table of Contents"/>
          <w:docPartUnique/>
        </w:docPartObj>
      </w:sdtPr>
      <w:sdtEndPr>
        <w:rPr>
          <w:b/>
          <w:noProof/>
        </w:rPr>
      </w:sdtEndPr>
      <w:sdtContent>
        <w:p w14:paraId="2A32C4AE" w14:textId="0756CFA8" w:rsidR="007B6C6E" w:rsidRPr="00C31005" w:rsidRDefault="007B6C6E" w:rsidP="007B6C6E">
          <w:pPr>
            <w:pStyle w:val="TOCHeading"/>
            <w:numPr>
              <w:ilvl w:val="0"/>
              <w:numId w:val="0"/>
            </w:numPr>
            <w:ind w:left="432" w:hanging="432"/>
            <w:rPr>
              <w:b/>
              <w:bCs w:val="0"/>
            </w:rPr>
          </w:pPr>
          <w:r w:rsidRPr="00C31005">
            <w:rPr>
              <w:b/>
              <w:bCs w:val="0"/>
            </w:rPr>
            <w:t>Table of Contents</w:t>
          </w:r>
        </w:p>
        <w:p w14:paraId="6AA74791" w14:textId="53986B40" w:rsidR="005C6E29" w:rsidRDefault="007B6C6E">
          <w:pPr>
            <w:pStyle w:val="TOC1"/>
            <w:tabs>
              <w:tab w:val="left" w:pos="480"/>
              <w:tab w:val="right" w:leader="dot" w:pos="9016"/>
            </w:tabs>
            <w:rPr>
              <w:rFonts w:asciiTheme="minorHAnsi" w:eastAsiaTheme="minorEastAsia" w:hAnsiTheme="minorHAnsi"/>
              <w:b w:val="0"/>
              <w:bCs w:val="0"/>
              <w:i w:val="0"/>
              <w:iCs w:val="0"/>
              <w:noProof/>
              <w:color w:val="auto"/>
              <w:lang w:eastAsia="en-GB"/>
            </w:rPr>
          </w:pPr>
          <w:r w:rsidRPr="00D55D1A">
            <w:rPr>
              <w:b w:val="0"/>
              <w:bCs w:val="0"/>
              <w:i w:val="0"/>
              <w:iCs w:val="0"/>
              <w:sz w:val="22"/>
              <w:szCs w:val="22"/>
            </w:rPr>
            <w:fldChar w:fldCharType="begin"/>
          </w:r>
          <w:r w:rsidRPr="00D55D1A">
            <w:rPr>
              <w:b w:val="0"/>
              <w:bCs w:val="0"/>
              <w:i w:val="0"/>
              <w:iCs w:val="0"/>
              <w:sz w:val="22"/>
              <w:szCs w:val="22"/>
            </w:rPr>
            <w:instrText xml:space="preserve"> TOC \o "1-3" \h \z \u </w:instrText>
          </w:r>
          <w:r w:rsidRPr="00D55D1A">
            <w:rPr>
              <w:b w:val="0"/>
              <w:bCs w:val="0"/>
              <w:i w:val="0"/>
              <w:iCs w:val="0"/>
              <w:sz w:val="22"/>
              <w:szCs w:val="22"/>
            </w:rPr>
            <w:fldChar w:fldCharType="separate"/>
          </w:r>
          <w:hyperlink w:anchor="_Toc237514428" w:history="1">
            <w:r w:rsidR="005C6E29" w:rsidRPr="00554E06">
              <w:rPr>
                <w:rStyle w:val="Hyperlink"/>
                <w:noProof/>
              </w:rPr>
              <w:t>1</w:t>
            </w:r>
            <w:r w:rsidR="005C6E29">
              <w:rPr>
                <w:rFonts w:asciiTheme="minorHAnsi" w:eastAsiaTheme="minorEastAsia" w:hAnsiTheme="minorHAnsi"/>
                <w:b w:val="0"/>
                <w:bCs w:val="0"/>
                <w:i w:val="0"/>
                <w:iCs w:val="0"/>
                <w:noProof/>
                <w:color w:val="auto"/>
                <w:lang w:eastAsia="en-GB"/>
              </w:rPr>
              <w:tab/>
            </w:r>
            <w:r w:rsidR="005C6E29" w:rsidRPr="00554E06">
              <w:rPr>
                <w:rStyle w:val="Hyperlink"/>
                <w:noProof/>
              </w:rPr>
              <w:t>Introduction</w:t>
            </w:r>
            <w:r w:rsidR="005C6E29">
              <w:rPr>
                <w:noProof/>
                <w:webHidden/>
              </w:rPr>
              <w:tab/>
            </w:r>
            <w:r w:rsidR="005C6E29">
              <w:rPr>
                <w:noProof/>
                <w:webHidden/>
              </w:rPr>
              <w:fldChar w:fldCharType="begin"/>
            </w:r>
            <w:r w:rsidR="005C6E29">
              <w:rPr>
                <w:noProof/>
                <w:webHidden/>
              </w:rPr>
              <w:instrText xml:space="preserve"> PAGEREF _Toc237514428 \h </w:instrText>
            </w:r>
            <w:r w:rsidR="005C6E29">
              <w:rPr>
                <w:noProof/>
                <w:webHidden/>
              </w:rPr>
            </w:r>
            <w:r w:rsidR="005C6E29">
              <w:rPr>
                <w:noProof/>
                <w:webHidden/>
              </w:rPr>
              <w:fldChar w:fldCharType="separate"/>
            </w:r>
            <w:r w:rsidR="005C6E29">
              <w:rPr>
                <w:noProof/>
                <w:webHidden/>
              </w:rPr>
              <w:t>5</w:t>
            </w:r>
            <w:r w:rsidR="005C6E29">
              <w:rPr>
                <w:noProof/>
                <w:webHidden/>
              </w:rPr>
              <w:fldChar w:fldCharType="end"/>
            </w:r>
          </w:hyperlink>
        </w:p>
        <w:p w14:paraId="2E717EE9" w14:textId="49AD65BA"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29" w:history="1">
            <w:r w:rsidRPr="00554E06">
              <w:rPr>
                <w:rStyle w:val="Hyperlink"/>
                <w:noProof/>
              </w:rPr>
              <w:t>2</w:t>
            </w:r>
            <w:r>
              <w:rPr>
                <w:rFonts w:asciiTheme="minorHAnsi" w:eastAsiaTheme="minorEastAsia" w:hAnsiTheme="minorHAnsi"/>
                <w:b w:val="0"/>
                <w:bCs w:val="0"/>
                <w:i w:val="0"/>
                <w:iCs w:val="0"/>
                <w:noProof/>
                <w:color w:val="auto"/>
                <w:lang w:eastAsia="en-GB"/>
              </w:rPr>
              <w:tab/>
            </w:r>
            <w:r w:rsidRPr="00554E06">
              <w:rPr>
                <w:rStyle w:val="Hyperlink"/>
                <w:noProof/>
              </w:rPr>
              <w:t>Financial Health Check</w:t>
            </w:r>
            <w:r>
              <w:rPr>
                <w:noProof/>
                <w:webHidden/>
              </w:rPr>
              <w:tab/>
            </w:r>
            <w:r>
              <w:rPr>
                <w:noProof/>
                <w:webHidden/>
              </w:rPr>
              <w:fldChar w:fldCharType="begin"/>
            </w:r>
            <w:r>
              <w:rPr>
                <w:noProof/>
                <w:webHidden/>
              </w:rPr>
              <w:instrText xml:space="preserve"> PAGEREF _Toc237514429 \h </w:instrText>
            </w:r>
            <w:r>
              <w:rPr>
                <w:noProof/>
                <w:webHidden/>
              </w:rPr>
            </w:r>
            <w:r>
              <w:rPr>
                <w:noProof/>
                <w:webHidden/>
              </w:rPr>
              <w:fldChar w:fldCharType="separate"/>
            </w:r>
            <w:r>
              <w:rPr>
                <w:noProof/>
                <w:webHidden/>
              </w:rPr>
              <w:t>5</w:t>
            </w:r>
            <w:r>
              <w:rPr>
                <w:noProof/>
                <w:webHidden/>
              </w:rPr>
              <w:fldChar w:fldCharType="end"/>
            </w:r>
          </w:hyperlink>
        </w:p>
        <w:p w14:paraId="531E8670" w14:textId="3F20ECA4"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0" w:history="1">
            <w:r w:rsidRPr="00554E06">
              <w:rPr>
                <w:rStyle w:val="Hyperlink"/>
                <w:noProof/>
              </w:rPr>
              <w:t>2.1</w:t>
            </w:r>
            <w:r>
              <w:rPr>
                <w:rFonts w:asciiTheme="minorHAnsi" w:eastAsiaTheme="minorEastAsia" w:hAnsiTheme="minorHAnsi"/>
                <w:b w:val="0"/>
                <w:bCs w:val="0"/>
                <w:noProof/>
                <w:color w:val="auto"/>
                <w:sz w:val="24"/>
                <w:szCs w:val="24"/>
                <w:lang w:eastAsia="en-GB"/>
              </w:rPr>
              <w:tab/>
            </w:r>
            <w:r w:rsidRPr="00554E06">
              <w:rPr>
                <w:rStyle w:val="Hyperlink"/>
                <w:noProof/>
              </w:rPr>
              <w:t>Overview of financial performance, FY2022–FY2026</w:t>
            </w:r>
            <w:r>
              <w:rPr>
                <w:noProof/>
                <w:webHidden/>
              </w:rPr>
              <w:tab/>
            </w:r>
            <w:r>
              <w:rPr>
                <w:noProof/>
                <w:webHidden/>
              </w:rPr>
              <w:fldChar w:fldCharType="begin"/>
            </w:r>
            <w:r>
              <w:rPr>
                <w:noProof/>
                <w:webHidden/>
              </w:rPr>
              <w:instrText xml:space="preserve"> PAGEREF _Toc237514430 \h </w:instrText>
            </w:r>
            <w:r>
              <w:rPr>
                <w:noProof/>
                <w:webHidden/>
              </w:rPr>
            </w:r>
            <w:r>
              <w:rPr>
                <w:noProof/>
                <w:webHidden/>
              </w:rPr>
              <w:fldChar w:fldCharType="separate"/>
            </w:r>
            <w:r>
              <w:rPr>
                <w:noProof/>
                <w:webHidden/>
              </w:rPr>
              <w:t>5</w:t>
            </w:r>
            <w:r>
              <w:rPr>
                <w:noProof/>
                <w:webHidden/>
              </w:rPr>
              <w:fldChar w:fldCharType="end"/>
            </w:r>
          </w:hyperlink>
        </w:p>
        <w:p w14:paraId="55184FB4" w14:textId="77A58ECD"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1" w:history="1">
            <w:r w:rsidRPr="00554E06">
              <w:rPr>
                <w:rStyle w:val="Hyperlink"/>
                <w:noProof/>
              </w:rPr>
              <w:t>2.2</w:t>
            </w:r>
            <w:r>
              <w:rPr>
                <w:rFonts w:asciiTheme="minorHAnsi" w:eastAsiaTheme="minorEastAsia" w:hAnsiTheme="minorHAnsi"/>
                <w:b w:val="0"/>
                <w:bCs w:val="0"/>
                <w:noProof/>
                <w:color w:val="auto"/>
                <w:sz w:val="24"/>
                <w:szCs w:val="24"/>
                <w:lang w:eastAsia="en-GB"/>
              </w:rPr>
              <w:tab/>
            </w:r>
            <w:r w:rsidRPr="00554E06">
              <w:rPr>
                <w:rStyle w:val="Hyperlink"/>
                <w:noProof/>
              </w:rPr>
              <w:t>Profitability ratios</w:t>
            </w:r>
            <w:r>
              <w:rPr>
                <w:noProof/>
                <w:webHidden/>
              </w:rPr>
              <w:tab/>
            </w:r>
            <w:r>
              <w:rPr>
                <w:noProof/>
                <w:webHidden/>
              </w:rPr>
              <w:fldChar w:fldCharType="begin"/>
            </w:r>
            <w:r>
              <w:rPr>
                <w:noProof/>
                <w:webHidden/>
              </w:rPr>
              <w:instrText xml:space="preserve"> PAGEREF _Toc237514431 \h </w:instrText>
            </w:r>
            <w:r>
              <w:rPr>
                <w:noProof/>
                <w:webHidden/>
              </w:rPr>
            </w:r>
            <w:r>
              <w:rPr>
                <w:noProof/>
                <w:webHidden/>
              </w:rPr>
              <w:fldChar w:fldCharType="separate"/>
            </w:r>
            <w:r>
              <w:rPr>
                <w:noProof/>
                <w:webHidden/>
              </w:rPr>
              <w:t>7</w:t>
            </w:r>
            <w:r>
              <w:rPr>
                <w:noProof/>
                <w:webHidden/>
              </w:rPr>
              <w:fldChar w:fldCharType="end"/>
            </w:r>
          </w:hyperlink>
        </w:p>
        <w:p w14:paraId="20B67E24" w14:textId="123CAAD7"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2" w:history="1">
            <w:r w:rsidRPr="00554E06">
              <w:rPr>
                <w:rStyle w:val="Hyperlink"/>
                <w:noProof/>
              </w:rPr>
              <w:t>2.3</w:t>
            </w:r>
            <w:r>
              <w:rPr>
                <w:rFonts w:asciiTheme="minorHAnsi" w:eastAsiaTheme="minorEastAsia" w:hAnsiTheme="minorHAnsi"/>
                <w:b w:val="0"/>
                <w:bCs w:val="0"/>
                <w:noProof/>
                <w:color w:val="auto"/>
                <w:sz w:val="24"/>
                <w:szCs w:val="24"/>
                <w:lang w:eastAsia="en-GB"/>
              </w:rPr>
              <w:tab/>
            </w:r>
            <w:r w:rsidRPr="00554E06">
              <w:rPr>
                <w:rStyle w:val="Hyperlink"/>
                <w:noProof/>
              </w:rPr>
              <w:t>Liquidity ratios</w:t>
            </w:r>
            <w:r>
              <w:rPr>
                <w:noProof/>
                <w:webHidden/>
              </w:rPr>
              <w:tab/>
            </w:r>
            <w:r>
              <w:rPr>
                <w:noProof/>
                <w:webHidden/>
              </w:rPr>
              <w:fldChar w:fldCharType="begin"/>
            </w:r>
            <w:r>
              <w:rPr>
                <w:noProof/>
                <w:webHidden/>
              </w:rPr>
              <w:instrText xml:space="preserve"> PAGEREF _Toc237514432 \h </w:instrText>
            </w:r>
            <w:r>
              <w:rPr>
                <w:noProof/>
                <w:webHidden/>
              </w:rPr>
            </w:r>
            <w:r>
              <w:rPr>
                <w:noProof/>
                <w:webHidden/>
              </w:rPr>
              <w:fldChar w:fldCharType="separate"/>
            </w:r>
            <w:r>
              <w:rPr>
                <w:noProof/>
                <w:webHidden/>
              </w:rPr>
              <w:t>8</w:t>
            </w:r>
            <w:r>
              <w:rPr>
                <w:noProof/>
                <w:webHidden/>
              </w:rPr>
              <w:fldChar w:fldCharType="end"/>
            </w:r>
          </w:hyperlink>
        </w:p>
        <w:p w14:paraId="1411E513" w14:textId="1A3173FF"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3" w:history="1">
            <w:r w:rsidRPr="00554E06">
              <w:rPr>
                <w:rStyle w:val="Hyperlink"/>
                <w:noProof/>
              </w:rPr>
              <w:t>2.4</w:t>
            </w:r>
            <w:r>
              <w:rPr>
                <w:rFonts w:asciiTheme="minorHAnsi" w:eastAsiaTheme="minorEastAsia" w:hAnsiTheme="minorHAnsi"/>
                <w:b w:val="0"/>
                <w:bCs w:val="0"/>
                <w:noProof/>
                <w:color w:val="auto"/>
                <w:sz w:val="24"/>
                <w:szCs w:val="24"/>
                <w:lang w:eastAsia="en-GB"/>
              </w:rPr>
              <w:tab/>
            </w:r>
            <w:r w:rsidRPr="00554E06">
              <w:rPr>
                <w:rStyle w:val="Hyperlink"/>
                <w:noProof/>
              </w:rPr>
              <w:t>Efficiency ratios</w:t>
            </w:r>
            <w:r>
              <w:rPr>
                <w:noProof/>
                <w:webHidden/>
              </w:rPr>
              <w:tab/>
            </w:r>
            <w:r>
              <w:rPr>
                <w:noProof/>
                <w:webHidden/>
              </w:rPr>
              <w:fldChar w:fldCharType="begin"/>
            </w:r>
            <w:r>
              <w:rPr>
                <w:noProof/>
                <w:webHidden/>
              </w:rPr>
              <w:instrText xml:space="preserve"> PAGEREF _Toc237514433 \h </w:instrText>
            </w:r>
            <w:r>
              <w:rPr>
                <w:noProof/>
                <w:webHidden/>
              </w:rPr>
            </w:r>
            <w:r>
              <w:rPr>
                <w:noProof/>
                <w:webHidden/>
              </w:rPr>
              <w:fldChar w:fldCharType="separate"/>
            </w:r>
            <w:r>
              <w:rPr>
                <w:noProof/>
                <w:webHidden/>
              </w:rPr>
              <w:t>9</w:t>
            </w:r>
            <w:r>
              <w:rPr>
                <w:noProof/>
                <w:webHidden/>
              </w:rPr>
              <w:fldChar w:fldCharType="end"/>
            </w:r>
          </w:hyperlink>
        </w:p>
        <w:p w14:paraId="0D8DD403" w14:textId="6D81BAA0"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4" w:history="1">
            <w:r w:rsidRPr="00554E06">
              <w:rPr>
                <w:rStyle w:val="Hyperlink"/>
                <w:noProof/>
              </w:rPr>
              <w:t>2.5</w:t>
            </w:r>
            <w:r>
              <w:rPr>
                <w:rFonts w:asciiTheme="minorHAnsi" w:eastAsiaTheme="minorEastAsia" w:hAnsiTheme="minorHAnsi"/>
                <w:b w:val="0"/>
                <w:bCs w:val="0"/>
                <w:noProof/>
                <w:color w:val="auto"/>
                <w:sz w:val="24"/>
                <w:szCs w:val="24"/>
                <w:lang w:eastAsia="en-GB"/>
              </w:rPr>
              <w:tab/>
            </w:r>
            <w:r w:rsidRPr="00554E06">
              <w:rPr>
                <w:rStyle w:val="Hyperlink"/>
                <w:noProof/>
              </w:rPr>
              <w:t>Gearing ratios</w:t>
            </w:r>
            <w:r>
              <w:rPr>
                <w:noProof/>
                <w:webHidden/>
              </w:rPr>
              <w:tab/>
            </w:r>
            <w:r>
              <w:rPr>
                <w:noProof/>
                <w:webHidden/>
              </w:rPr>
              <w:fldChar w:fldCharType="begin"/>
            </w:r>
            <w:r>
              <w:rPr>
                <w:noProof/>
                <w:webHidden/>
              </w:rPr>
              <w:instrText xml:space="preserve"> PAGEREF _Toc237514434 \h </w:instrText>
            </w:r>
            <w:r>
              <w:rPr>
                <w:noProof/>
                <w:webHidden/>
              </w:rPr>
            </w:r>
            <w:r>
              <w:rPr>
                <w:noProof/>
                <w:webHidden/>
              </w:rPr>
              <w:fldChar w:fldCharType="separate"/>
            </w:r>
            <w:r>
              <w:rPr>
                <w:noProof/>
                <w:webHidden/>
              </w:rPr>
              <w:t>9</w:t>
            </w:r>
            <w:r>
              <w:rPr>
                <w:noProof/>
                <w:webHidden/>
              </w:rPr>
              <w:fldChar w:fldCharType="end"/>
            </w:r>
          </w:hyperlink>
        </w:p>
        <w:p w14:paraId="150B1CDB" w14:textId="778175EC"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5" w:history="1">
            <w:r w:rsidRPr="00554E06">
              <w:rPr>
                <w:rStyle w:val="Hyperlink"/>
                <w:noProof/>
              </w:rPr>
              <w:t>2.6</w:t>
            </w:r>
            <w:r>
              <w:rPr>
                <w:rFonts w:asciiTheme="minorHAnsi" w:eastAsiaTheme="minorEastAsia" w:hAnsiTheme="minorHAnsi"/>
                <w:b w:val="0"/>
                <w:bCs w:val="0"/>
                <w:noProof/>
                <w:color w:val="auto"/>
                <w:sz w:val="24"/>
                <w:szCs w:val="24"/>
                <w:lang w:eastAsia="en-GB"/>
              </w:rPr>
              <w:tab/>
            </w:r>
            <w:r w:rsidRPr="00554E06">
              <w:rPr>
                <w:rStyle w:val="Hyperlink"/>
                <w:noProof/>
              </w:rPr>
              <w:t>Investment ratios</w:t>
            </w:r>
            <w:r>
              <w:rPr>
                <w:noProof/>
                <w:webHidden/>
              </w:rPr>
              <w:tab/>
            </w:r>
            <w:r>
              <w:rPr>
                <w:noProof/>
                <w:webHidden/>
              </w:rPr>
              <w:fldChar w:fldCharType="begin"/>
            </w:r>
            <w:r>
              <w:rPr>
                <w:noProof/>
                <w:webHidden/>
              </w:rPr>
              <w:instrText xml:space="preserve"> PAGEREF _Toc237514435 \h </w:instrText>
            </w:r>
            <w:r>
              <w:rPr>
                <w:noProof/>
                <w:webHidden/>
              </w:rPr>
            </w:r>
            <w:r>
              <w:rPr>
                <w:noProof/>
                <w:webHidden/>
              </w:rPr>
              <w:fldChar w:fldCharType="separate"/>
            </w:r>
            <w:r>
              <w:rPr>
                <w:noProof/>
                <w:webHidden/>
              </w:rPr>
              <w:t>10</w:t>
            </w:r>
            <w:r>
              <w:rPr>
                <w:noProof/>
                <w:webHidden/>
              </w:rPr>
              <w:fldChar w:fldCharType="end"/>
            </w:r>
          </w:hyperlink>
        </w:p>
        <w:p w14:paraId="665EC603" w14:textId="5940B56B"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6" w:history="1">
            <w:r w:rsidRPr="00554E06">
              <w:rPr>
                <w:rStyle w:val="Hyperlink"/>
                <w:noProof/>
              </w:rPr>
              <w:t>2.7</w:t>
            </w:r>
            <w:r>
              <w:rPr>
                <w:rFonts w:asciiTheme="minorHAnsi" w:eastAsiaTheme="minorEastAsia" w:hAnsiTheme="minorHAnsi"/>
                <w:b w:val="0"/>
                <w:bCs w:val="0"/>
                <w:noProof/>
                <w:color w:val="auto"/>
                <w:sz w:val="24"/>
                <w:szCs w:val="24"/>
                <w:lang w:eastAsia="en-GB"/>
              </w:rPr>
              <w:tab/>
            </w:r>
            <w:r w:rsidRPr="00554E06">
              <w:rPr>
                <w:rStyle w:val="Hyperlink"/>
                <w:noProof/>
              </w:rPr>
              <w:t>Cash flow ratios</w:t>
            </w:r>
            <w:r>
              <w:rPr>
                <w:noProof/>
                <w:webHidden/>
              </w:rPr>
              <w:tab/>
            </w:r>
            <w:r>
              <w:rPr>
                <w:noProof/>
                <w:webHidden/>
              </w:rPr>
              <w:fldChar w:fldCharType="begin"/>
            </w:r>
            <w:r>
              <w:rPr>
                <w:noProof/>
                <w:webHidden/>
              </w:rPr>
              <w:instrText xml:space="preserve"> PAGEREF _Toc237514436 \h </w:instrText>
            </w:r>
            <w:r>
              <w:rPr>
                <w:noProof/>
                <w:webHidden/>
              </w:rPr>
            </w:r>
            <w:r>
              <w:rPr>
                <w:noProof/>
                <w:webHidden/>
              </w:rPr>
              <w:fldChar w:fldCharType="separate"/>
            </w:r>
            <w:r>
              <w:rPr>
                <w:noProof/>
                <w:webHidden/>
              </w:rPr>
              <w:t>10</w:t>
            </w:r>
            <w:r>
              <w:rPr>
                <w:noProof/>
                <w:webHidden/>
              </w:rPr>
              <w:fldChar w:fldCharType="end"/>
            </w:r>
          </w:hyperlink>
        </w:p>
        <w:p w14:paraId="5CDF53BB" w14:textId="2419DDD9"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7" w:history="1">
            <w:r w:rsidRPr="00554E06">
              <w:rPr>
                <w:rStyle w:val="Hyperlink"/>
                <w:noProof/>
              </w:rPr>
              <w:t>2.8</w:t>
            </w:r>
            <w:r>
              <w:rPr>
                <w:rFonts w:asciiTheme="minorHAnsi" w:eastAsiaTheme="minorEastAsia" w:hAnsiTheme="minorHAnsi"/>
                <w:b w:val="0"/>
                <w:bCs w:val="0"/>
                <w:noProof/>
                <w:color w:val="auto"/>
                <w:sz w:val="24"/>
                <w:szCs w:val="24"/>
                <w:lang w:eastAsia="en-GB"/>
              </w:rPr>
              <w:tab/>
            </w:r>
            <w:r w:rsidRPr="00554E06">
              <w:rPr>
                <w:rStyle w:val="Hyperlink"/>
                <w:noProof/>
              </w:rPr>
              <w:t>Liquidity benchmarking against sector standards</w:t>
            </w:r>
            <w:r>
              <w:rPr>
                <w:noProof/>
                <w:webHidden/>
              </w:rPr>
              <w:tab/>
            </w:r>
            <w:r>
              <w:rPr>
                <w:noProof/>
                <w:webHidden/>
              </w:rPr>
              <w:fldChar w:fldCharType="begin"/>
            </w:r>
            <w:r>
              <w:rPr>
                <w:noProof/>
                <w:webHidden/>
              </w:rPr>
              <w:instrText xml:space="preserve"> PAGEREF _Toc237514437 \h </w:instrText>
            </w:r>
            <w:r>
              <w:rPr>
                <w:noProof/>
                <w:webHidden/>
              </w:rPr>
            </w:r>
            <w:r>
              <w:rPr>
                <w:noProof/>
                <w:webHidden/>
              </w:rPr>
              <w:fldChar w:fldCharType="separate"/>
            </w:r>
            <w:r>
              <w:rPr>
                <w:noProof/>
                <w:webHidden/>
              </w:rPr>
              <w:t>11</w:t>
            </w:r>
            <w:r>
              <w:rPr>
                <w:noProof/>
                <w:webHidden/>
              </w:rPr>
              <w:fldChar w:fldCharType="end"/>
            </w:r>
          </w:hyperlink>
        </w:p>
        <w:p w14:paraId="7E9C0353" w14:textId="0991A8B9"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38" w:history="1">
            <w:r w:rsidRPr="00554E06">
              <w:rPr>
                <w:rStyle w:val="Hyperlink"/>
                <w:noProof/>
              </w:rPr>
              <w:t>2.9</w:t>
            </w:r>
            <w:r>
              <w:rPr>
                <w:rFonts w:asciiTheme="minorHAnsi" w:eastAsiaTheme="minorEastAsia" w:hAnsiTheme="minorHAnsi"/>
                <w:b w:val="0"/>
                <w:bCs w:val="0"/>
                <w:noProof/>
                <w:color w:val="auto"/>
                <w:sz w:val="24"/>
                <w:szCs w:val="24"/>
                <w:lang w:eastAsia="en-GB"/>
              </w:rPr>
              <w:tab/>
            </w:r>
            <w:r w:rsidRPr="00554E06">
              <w:rPr>
                <w:rStyle w:val="Hyperlink"/>
                <w:noProof/>
              </w:rPr>
              <w:t>Trends, strengths and emerging threats.</w:t>
            </w:r>
            <w:r>
              <w:rPr>
                <w:noProof/>
                <w:webHidden/>
              </w:rPr>
              <w:tab/>
            </w:r>
            <w:r>
              <w:rPr>
                <w:noProof/>
                <w:webHidden/>
              </w:rPr>
              <w:fldChar w:fldCharType="begin"/>
            </w:r>
            <w:r>
              <w:rPr>
                <w:noProof/>
                <w:webHidden/>
              </w:rPr>
              <w:instrText xml:space="preserve"> PAGEREF _Toc237514438 \h </w:instrText>
            </w:r>
            <w:r>
              <w:rPr>
                <w:noProof/>
                <w:webHidden/>
              </w:rPr>
            </w:r>
            <w:r>
              <w:rPr>
                <w:noProof/>
                <w:webHidden/>
              </w:rPr>
              <w:fldChar w:fldCharType="separate"/>
            </w:r>
            <w:r>
              <w:rPr>
                <w:noProof/>
                <w:webHidden/>
              </w:rPr>
              <w:t>12</w:t>
            </w:r>
            <w:r>
              <w:rPr>
                <w:noProof/>
                <w:webHidden/>
              </w:rPr>
              <w:fldChar w:fldCharType="end"/>
            </w:r>
          </w:hyperlink>
        </w:p>
        <w:p w14:paraId="4238718D" w14:textId="5B01693D"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39" w:history="1">
            <w:r w:rsidRPr="00554E06">
              <w:rPr>
                <w:rStyle w:val="Hyperlink"/>
                <w:noProof/>
              </w:rPr>
              <w:t>3</w:t>
            </w:r>
            <w:r>
              <w:rPr>
                <w:rFonts w:asciiTheme="minorHAnsi" w:eastAsiaTheme="minorEastAsia" w:hAnsiTheme="minorHAnsi"/>
                <w:b w:val="0"/>
                <w:bCs w:val="0"/>
                <w:i w:val="0"/>
                <w:iCs w:val="0"/>
                <w:noProof/>
                <w:color w:val="auto"/>
                <w:lang w:eastAsia="en-GB"/>
              </w:rPr>
              <w:tab/>
            </w:r>
            <w:r w:rsidRPr="00554E06">
              <w:rPr>
                <w:rStyle w:val="Hyperlink"/>
                <w:noProof/>
              </w:rPr>
              <w:t>Working Capital Management Analysis</w:t>
            </w:r>
            <w:r>
              <w:rPr>
                <w:noProof/>
                <w:webHidden/>
              </w:rPr>
              <w:tab/>
            </w:r>
            <w:r>
              <w:rPr>
                <w:noProof/>
                <w:webHidden/>
              </w:rPr>
              <w:fldChar w:fldCharType="begin"/>
            </w:r>
            <w:r>
              <w:rPr>
                <w:noProof/>
                <w:webHidden/>
              </w:rPr>
              <w:instrText xml:space="preserve"> PAGEREF _Toc237514439 \h </w:instrText>
            </w:r>
            <w:r>
              <w:rPr>
                <w:noProof/>
                <w:webHidden/>
              </w:rPr>
            </w:r>
            <w:r>
              <w:rPr>
                <w:noProof/>
                <w:webHidden/>
              </w:rPr>
              <w:fldChar w:fldCharType="separate"/>
            </w:r>
            <w:r>
              <w:rPr>
                <w:noProof/>
                <w:webHidden/>
              </w:rPr>
              <w:t>13</w:t>
            </w:r>
            <w:r>
              <w:rPr>
                <w:noProof/>
                <w:webHidden/>
              </w:rPr>
              <w:fldChar w:fldCharType="end"/>
            </w:r>
          </w:hyperlink>
        </w:p>
        <w:p w14:paraId="0A69055E" w14:textId="0EB44244"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0" w:history="1">
            <w:r w:rsidRPr="00554E06">
              <w:rPr>
                <w:rStyle w:val="Hyperlink"/>
                <w:noProof/>
              </w:rPr>
              <w:t>3.1</w:t>
            </w:r>
            <w:r>
              <w:rPr>
                <w:rFonts w:asciiTheme="minorHAnsi" w:eastAsiaTheme="minorEastAsia" w:hAnsiTheme="minorHAnsi"/>
                <w:b w:val="0"/>
                <w:bCs w:val="0"/>
                <w:noProof/>
                <w:color w:val="auto"/>
                <w:sz w:val="24"/>
                <w:szCs w:val="24"/>
                <w:lang w:eastAsia="en-GB"/>
              </w:rPr>
              <w:tab/>
            </w:r>
            <w:r w:rsidRPr="00554E06">
              <w:rPr>
                <w:rStyle w:val="Hyperlink"/>
                <w:noProof/>
              </w:rPr>
              <w:t>Assessment of the cash operating cycle</w:t>
            </w:r>
            <w:r>
              <w:rPr>
                <w:noProof/>
                <w:webHidden/>
              </w:rPr>
              <w:tab/>
            </w:r>
            <w:r>
              <w:rPr>
                <w:noProof/>
                <w:webHidden/>
              </w:rPr>
              <w:fldChar w:fldCharType="begin"/>
            </w:r>
            <w:r>
              <w:rPr>
                <w:noProof/>
                <w:webHidden/>
              </w:rPr>
              <w:instrText xml:space="preserve"> PAGEREF _Toc237514440 \h </w:instrText>
            </w:r>
            <w:r>
              <w:rPr>
                <w:noProof/>
                <w:webHidden/>
              </w:rPr>
            </w:r>
            <w:r>
              <w:rPr>
                <w:noProof/>
                <w:webHidden/>
              </w:rPr>
              <w:fldChar w:fldCharType="separate"/>
            </w:r>
            <w:r>
              <w:rPr>
                <w:noProof/>
                <w:webHidden/>
              </w:rPr>
              <w:t>13</w:t>
            </w:r>
            <w:r>
              <w:rPr>
                <w:noProof/>
                <w:webHidden/>
              </w:rPr>
              <w:fldChar w:fldCharType="end"/>
            </w:r>
          </w:hyperlink>
        </w:p>
        <w:p w14:paraId="79FFA423" w14:textId="36F9F6D3"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1" w:history="1">
            <w:r w:rsidRPr="00554E06">
              <w:rPr>
                <w:rStyle w:val="Hyperlink"/>
                <w:noProof/>
              </w:rPr>
              <w:t>3.2</w:t>
            </w:r>
            <w:r>
              <w:rPr>
                <w:rFonts w:asciiTheme="minorHAnsi" w:eastAsiaTheme="minorEastAsia" w:hAnsiTheme="minorHAnsi"/>
                <w:b w:val="0"/>
                <w:bCs w:val="0"/>
                <w:noProof/>
                <w:color w:val="auto"/>
                <w:sz w:val="24"/>
                <w:szCs w:val="24"/>
                <w:lang w:eastAsia="en-GB"/>
              </w:rPr>
              <w:tab/>
            </w:r>
            <w:r w:rsidRPr="00554E06">
              <w:rPr>
                <w:rStyle w:val="Hyperlink"/>
                <w:noProof/>
              </w:rPr>
              <w:t>Working capital reforms to improve liquidity</w:t>
            </w:r>
            <w:r>
              <w:rPr>
                <w:noProof/>
                <w:webHidden/>
              </w:rPr>
              <w:tab/>
            </w:r>
            <w:r>
              <w:rPr>
                <w:noProof/>
                <w:webHidden/>
              </w:rPr>
              <w:fldChar w:fldCharType="begin"/>
            </w:r>
            <w:r>
              <w:rPr>
                <w:noProof/>
                <w:webHidden/>
              </w:rPr>
              <w:instrText xml:space="preserve"> PAGEREF _Toc237514441 \h </w:instrText>
            </w:r>
            <w:r>
              <w:rPr>
                <w:noProof/>
                <w:webHidden/>
              </w:rPr>
            </w:r>
            <w:r>
              <w:rPr>
                <w:noProof/>
                <w:webHidden/>
              </w:rPr>
              <w:fldChar w:fldCharType="separate"/>
            </w:r>
            <w:r>
              <w:rPr>
                <w:noProof/>
                <w:webHidden/>
              </w:rPr>
              <w:t>14</w:t>
            </w:r>
            <w:r>
              <w:rPr>
                <w:noProof/>
                <w:webHidden/>
              </w:rPr>
              <w:fldChar w:fldCharType="end"/>
            </w:r>
          </w:hyperlink>
        </w:p>
        <w:p w14:paraId="5F48CD5F" w14:textId="4F56FB38"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2" w:history="1">
            <w:r w:rsidRPr="00554E06">
              <w:rPr>
                <w:rStyle w:val="Hyperlink"/>
                <w:noProof/>
              </w:rPr>
              <w:t>3.3</w:t>
            </w:r>
            <w:r>
              <w:rPr>
                <w:rFonts w:asciiTheme="minorHAnsi" w:eastAsiaTheme="minorEastAsia" w:hAnsiTheme="minorHAnsi"/>
                <w:b w:val="0"/>
                <w:bCs w:val="0"/>
                <w:noProof/>
                <w:color w:val="auto"/>
                <w:sz w:val="24"/>
                <w:szCs w:val="24"/>
                <w:lang w:eastAsia="en-GB"/>
              </w:rPr>
              <w:tab/>
            </w:r>
            <w:r w:rsidRPr="00554E06">
              <w:rPr>
                <w:rStyle w:val="Hyperlink"/>
                <w:noProof/>
              </w:rPr>
              <w:t>Short-term financing vs. long-term financing</w:t>
            </w:r>
            <w:r>
              <w:rPr>
                <w:noProof/>
                <w:webHidden/>
              </w:rPr>
              <w:tab/>
            </w:r>
            <w:r>
              <w:rPr>
                <w:noProof/>
                <w:webHidden/>
              </w:rPr>
              <w:fldChar w:fldCharType="begin"/>
            </w:r>
            <w:r>
              <w:rPr>
                <w:noProof/>
                <w:webHidden/>
              </w:rPr>
              <w:instrText xml:space="preserve"> PAGEREF _Toc237514442 \h </w:instrText>
            </w:r>
            <w:r>
              <w:rPr>
                <w:noProof/>
                <w:webHidden/>
              </w:rPr>
            </w:r>
            <w:r>
              <w:rPr>
                <w:noProof/>
                <w:webHidden/>
              </w:rPr>
              <w:fldChar w:fldCharType="separate"/>
            </w:r>
            <w:r>
              <w:rPr>
                <w:noProof/>
                <w:webHidden/>
              </w:rPr>
              <w:t>15</w:t>
            </w:r>
            <w:r>
              <w:rPr>
                <w:noProof/>
                <w:webHidden/>
              </w:rPr>
              <w:fldChar w:fldCharType="end"/>
            </w:r>
          </w:hyperlink>
        </w:p>
        <w:p w14:paraId="06FB9CB1" w14:textId="5ECAAA91"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43" w:history="1">
            <w:r w:rsidRPr="00554E06">
              <w:rPr>
                <w:rStyle w:val="Hyperlink"/>
                <w:noProof/>
              </w:rPr>
              <w:t>4</w:t>
            </w:r>
            <w:r>
              <w:rPr>
                <w:rFonts w:asciiTheme="minorHAnsi" w:eastAsiaTheme="minorEastAsia" w:hAnsiTheme="minorHAnsi"/>
                <w:b w:val="0"/>
                <w:bCs w:val="0"/>
                <w:i w:val="0"/>
                <w:iCs w:val="0"/>
                <w:noProof/>
                <w:color w:val="auto"/>
                <w:lang w:eastAsia="en-GB"/>
              </w:rPr>
              <w:tab/>
            </w:r>
            <w:r w:rsidRPr="00554E06">
              <w:rPr>
                <w:rStyle w:val="Hyperlink"/>
                <w:noProof/>
              </w:rPr>
              <w:t>Strategic financial restructuring plan.</w:t>
            </w:r>
            <w:r>
              <w:rPr>
                <w:noProof/>
                <w:webHidden/>
              </w:rPr>
              <w:tab/>
            </w:r>
            <w:r>
              <w:rPr>
                <w:noProof/>
                <w:webHidden/>
              </w:rPr>
              <w:fldChar w:fldCharType="begin"/>
            </w:r>
            <w:r>
              <w:rPr>
                <w:noProof/>
                <w:webHidden/>
              </w:rPr>
              <w:instrText xml:space="preserve"> PAGEREF _Toc237514443 \h </w:instrText>
            </w:r>
            <w:r>
              <w:rPr>
                <w:noProof/>
                <w:webHidden/>
              </w:rPr>
            </w:r>
            <w:r>
              <w:rPr>
                <w:noProof/>
                <w:webHidden/>
              </w:rPr>
              <w:fldChar w:fldCharType="separate"/>
            </w:r>
            <w:r>
              <w:rPr>
                <w:noProof/>
                <w:webHidden/>
              </w:rPr>
              <w:t>16</w:t>
            </w:r>
            <w:r>
              <w:rPr>
                <w:noProof/>
                <w:webHidden/>
              </w:rPr>
              <w:fldChar w:fldCharType="end"/>
            </w:r>
          </w:hyperlink>
        </w:p>
        <w:p w14:paraId="7DB6EA58" w14:textId="7CEAA4DF"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4" w:history="1">
            <w:r w:rsidRPr="00554E06">
              <w:rPr>
                <w:rStyle w:val="Hyperlink"/>
                <w:noProof/>
              </w:rPr>
              <w:t>4.1</w:t>
            </w:r>
            <w:r>
              <w:rPr>
                <w:rFonts w:asciiTheme="minorHAnsi" w:eastAsiaTheme="minorEastAsia" w:hAnsiTheme="minorHAnsi"/>
                <w:b w:val="0"/>
                <w:bCs w:val="0"/>
                <w:noProof/>
                <w:color w:val="auto"/>
                <w:sz w:val="24"/>
                <w:szCs w:val="24"/>
                <w:lang w:eastAsia="en-GB"/>
              </w:rPr>
              <w:tab/>
            </w:r>
            <w:r w:rsidRPr="00554E06">
              <w:rPr>
                <w:rStyle w:val="Hyperlink"/>
                <w:noProof/>
              </w:rPr>
              <w:t>Restructuring options appraised</w:t>
            </w:r>
            <w:r>
              <w:rPr>
                <w:noProof/>
                <w:webHidden/>
              </w:rPr>
              <w:tab/>
            </w:r>
            <w:r>
              <w:rPr>
                <w:noProof/>
                <w:webHidden/>
              </w:rPr>
              <w:fldChar w:fldCharType="begin"/>
            </w:r>
            <w:r>
              <w:rPr>
                <w:noProof/>
                <w:webHidden/>
              </w:rPr>
              <w:instrText xml:space="preserve"> PAGEREF _Toc237514444 \h </w:instrText>
            </w:r>
            <w:r>
              <w:rPr>
                <w:noProof/>
                <w:webHidden/>
              </w:rPr>
            </w:r>
            <w:r>
              <w:rPr>
                <w:noProof/>
                <w:webHidden/>
              </w:rPr>
              <w:fldChar w:fldCharType="separate"/>
            </w:r>
            <w:r>
              <w:rPr>
                <w:noProof/>
                <w:webHidden/>
              </w:rPr>
              <w:t>16</w:t>
            </w:r>
            <w:r>
              <w:rPr>
                <w:noProof/>
                <w:webHidden/>
              </w:rPr>
              <w:fldChar w:fldCharType="end"/>
            </w:r>
          </w:hyperlink>
        </w:p>
        <w:p w14:paraId="6D492D13" w14:textId="06C179BC"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5" w:history="1">
            <w:r w:rsidRPr="00554E06">
              <w:rPr>
                <w:rStyle w:val="Hyperlink"/>
                <w:noProof/>
              </w:rPr>
              <w:t>4.2</w:t>
            </w:r>
            <w:r>
              <w:rPr>
                <w:rFonts w:asciiTheme="minorHAnsi" w:eastAsiaTheme="minorEastAsia" w:hAnsiTheme="minorHAnsi"/>
                <w:b w:val="0"/>
                <w:bCs w:val="0"/>
                <w:noProof/>
                <w:color w:val="auto"/>
                <w:sz w:val="24"/>
                <w:szCs w:val="24"/>
                <w:lang w:eastAsia="en-GB"/>
              </w:rPr>
              <w:tab/>
            </w:r>
            <w:r w:rsidRPr="00554E06">
              <w:rPr>
                <w:rStyle w:val="Hyperlink"/>
                <w:noProof/>
              </w:rPr>
              <w:t>Effect on shareholders' value, debt structure and operational flexibility</w:t>
            </w:r>
            <w:r>
              <w:rPr>
                <w:noProof/>
                <w:webHidden/>
              </w:rPr>
              <w:tab/>
            </w:r>
            <w:r>
              <w:rPr>
                <w:noProof/>
                <w:webHidden/>
              </w:rPr>
              <w:fldChar w:fldCharType="begin"/>
            </w:r>
            <w:r>
              <w:rPr>
                <w:noProof/>
                <w:webHidden/>
              </w:rPr>
              <w:instrText xml:space="preserve"> PAGEREF _Toc237514445 \h </w:instrText>
            </w:r>
            <w:r>
              <w:rPr>
                <w:noProof/>
                <w:webHidden/>
              </w:rPr>
            </w:r>
            <w:r>
              <w:rPr>
                <w:noProof/>
                <w:webHidden/>
              </w:rPr>
              <w:fldChar w:fldCharType="separate"/>
            </w:r>
            <w:r>
              <w:rPr>
                <w:noProof/>
                <w:webHidden/>
              </w:rPr>
              <w:t>16</w:t>
            </w:r>
            <w:r>
              <w:rPr>
                <w:noProof/>
                <w:webHidden/>
              </w:rPr>
              <w:fldChar w:fldCharType="end"/>
            </w:r>
          </w:hyperlink>
        </w:p>
        <w:p w14:paraId="2B531C87" w14:textId="738BB66C"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6" w:history="1">
            <w:r w:rsidRPr="00554E06">
              <w:rPr>
                <w:rStyle w:val="Hyperlink"/>
                <w:noProof/>
              </w:rPr>
              <w:t>4.3</w:t>
            </w:r>
            <w:r>
              <w:rPr>
                <w:rFonts w:asciiTheme="minorHAnsi" w:eastAsiaTheme="minorEastAsia" w:hAnsiTheme="minorHAnsi"/>
                <w:b w:val="0"/>
                <w:bCs w:val="0"/>
                <w:noProof/>
                <w:color w:val="auto"/>
                <w:sz w:val="24"/>
                <w:szCs w:val="24"/>
                <w:lang w:eastAsia="en-GB"/>
              </w:rPr>
              <w:tab/>
            </w:r>
            <w:r w:rsidRPr="00554E06">
              <w:rPr>
                <w:rStyle w:val="Hyperlink"/>
                <w:noProof/>
              </w:rPr>
              <w:t>International and ethical issues</w:t>
            </w:r>
            <w:r>
              <w:rPr>
                <w:noProof/>
                <w:webHidden/>
              </w:rPr>
              <w:tab/>
            </w:r>
            <w:r>
              <w:rPr>
                <w:noProof/>
                <w:webHidden/>
              </w:rPr>
              <w:fldChar w:fldCharType="begin"/>
            </w:r>
            <w:r>
              <w:rPr>
                <w:noProof/>
                <w:webHidden/>
              </w:rPr>
              <w:instrText xml:space="preserve"> PAGEREF _Toc237514446 \h </w:instrText>
            </w:r>
            <w:r>
              <w:rPr>
                <w:noProof/>
                <w:webHidden/>
              </w:rPr>
            </w:r>
            <w:r>
              <w:rPr>
                <w:noProof/>
                <w:webHidden/>
              </w:rPr>
              <w:fldChar w:fldCharType="separate"/>
            </w:r>
            <w:r>
              <w:rPr>
                <w:noProof/>
                <w:webHidden/>
              </w:rPr>
              <w:t>17</w:t>
            </w:r>
            <w:r>
              <w:rPr>
                <w:noProof/>
                <w:webHidden/>
              </w:rPr>
              <w:fldChar w:fldCharType="end"/>
            </w:r>
          </w:hyperlink>
        </w:p>
        <w:p w14:paraId="2E7A2CCD" w14:textId="6DA2A2D2"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47" w:history="1">
            <w:r w:rsidRPr="00554E06">
              <w:rPr>
                <w:rStyle w:val="Hyperlink"/>
                <w:noProof/>
              </w:rPr>
              <w:t>5</w:t>
            </w:r>
            <w:r>
              <w:rPr>
                <w:rFonts w:asciiTheme="minorHAnsi" w:eastAsiaTheme="minorEastAsia" w:hAnsiTheme="minorHAnsi"/>
                <w:b w:val="0"/>
                <w:bCs w:val="0"/>
                <w:i w:val="0"/>
                <w:iCs w:val="0"/>
                <w:noProof/>
                <w:color w:val="auto"/>
                <w:lang w:eastAsia="en-GB"/>
              </w:rPr>
              <w:tab/>
            </w:r>
            <w:r w:rsidRPr="00554E06">
              <w:rPr>
                <w:rStyle w:val="Hyperlink"/>
                <w:noProof/>
              </w:rPr>
              <w:t>Investment Appraisal and Capital Budgeting</w:t>
            </w:r>
            <w:r>
              <w:rPr>
                <w:noProof/>
                <w:webHidden/>
              </w:rPr>
              <w:tab/>
            </w:r>
            <w:r>
              <w:rPr>
                <w:noProof/>
                <w:webHidden/>
              </w:rPr>
              <w:fldChar w:fldCharType="begin"/>
            </w:r>
            <w:r>
              <w:rPr>
                <w:noProof/>
                <w:webHidden/>
              </w:rPr>
              <w:instrText xml:space="preserve"> PAGEREF _Toc237514447 \h </w:instrText>
            </w:r>
            <w:r>
              <w:rPr>
                <w:noProof/>
                <w:webHidden/>
              </w:rPr>
            </w:r>
            <w:r>
              <w:rPr>
                <w:noProof/>
                <w:webHidden/>
              </w:rPr>
              <w:fldChar w:fldCharType="separate"/>
            </w:r>
            <w:r>
              <w:rPr>
                <w:noProof/>
                <w:webHidden/>
              </w:rPr>
              <w:t>18</w:t>
            </w:r>
            <w:r>
              <w:rPr>
                <w:noProof/>
                <w:webHidden/>
              </w:rPr>
              <w:fldChar w:fldCharType="end"/>
            </w:r>
          </w:hyperlink>
        </w:p>
        <w:p w14:paraId="2015926F" w14:textId="15014486"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8" w:history="1">
            <w:r w:rsidRPr="00554E06">
              <w:rPr>
                <w:rStyle w:val="Hyperlink"/>
                <w:noProof/>
              </w:rPr>
              <w:t>5.1</w:t>
            </w:r>
            <w:r>
              <w:rPr>
                <w:rFonts w:asciiTheme="minorHAnsi" w:eastAsiaTheme="minorEastAsia" w:hAnsiTheme="minorHAnsi"/>
                <w:b w:val="0"/>
                <w:bCs w:val="0"/>
                <w:noProof/>
                <w:color w:val="auto"/>
                <w:sz w:val="24"/>
                <w:szCs w:val="24"/>
                <w:lang w:eastAsia="en-GB"/>
              </w:rPr>
              <w:tab/>
            </w:r>
            <w:r w:rsidRPr="00554E06">
              <w:rPr>
                <w:rStyle w:val="Hyperlink"/>
                <w:noProof/>
              </w:rPr>
              <w:t>Assumptions and basis of appraisal</w:t>
            </w:r>
            <w:r>
              <w:rPr>
                <w:noProof/>
                <w:webHidden/>
              </w:rPr>
              <w:tab/>
            </w:r>
            <w:r>
              <w:rPr>
                <w:noProof/>
                <w:webHidden/>
              </w:rPr>
              <w:fldChar w:fldCharType="begin"/>
            </w:r>
            <w:r>
              <w:rPr>
                <w:noProof/>
                <w:webHidden/>
              </w:rPr>
              <w:instrText xml:space="preserve"> PAGEREF _Toc237514448 \h </w:instrText>
            </w:r>
            <w:r>
              <w:rPr>
                <w:noProof/>
                <w:webHidden/>
              </w:rPr>
            </w:r>
            <w:r>
              <w:rPr>
                <w:noProof/>
                <w:webHidden/>
              </w:rPr>
              <w:fldChar w:fldCharType="separate"/>
            </w:r>
            <w:r>
              <w:rPr>
                <w:noProof/>
                <w:webHidden/>
              </w:rPr>
              <w:t>18</w:t>
            </w:r>
            <w:r>
              <w:rPr>
                <w:noProof/>
                <w:webHidden/>
              </w:rPr>
              <w:fldChar w:fldCharType="end"/>
            </w:r>
          </w:hyperlink>
        </w:p>
        <w:p w14:paraId="769F7D9E" w14:textId="00CECED0"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49" w:history="1">
            <w:r w:rsidRPr="00554E06">
              <w:rPr>
                <w:rStyle w:val="Hyperlink"/>
                <w:noProof/>
              </w:rPr>
              <w:t>5.2</w:t>
            </w:r>
            <w:r>
              <w:rPr>
                <w:rFonts w:asciiTheme="minorHAnsi" w:eastAsiaTheme="minorEastAsia" w:hAnsiTheme="minorHAnsi"/>
                <w:b w:val="0"/>
                <w:bCs w:val="0"/>
                <w:noProof/>
                <w:color w:val="auto"/>
                <w:sz w:val="24"/>
                <w:szCs w:val="24"/>
                <w:lang w:eastAsia="en-GB"/>
              </w:rPr>
              <w:tab/>
            </w:r>
            <w:r w:rsidRPr="00554E06">
              <w:rPr>
                <w:rStyle w:val="Hyperlink"/>
                <w:noProof/>
              </w:rPr>
              <w:t>Payback period</w:t>
            </w:r>
            <w:r>
              <w:rPr>
                <w:noProof/>
                <w:webHidden/>
              </w:rPr>
              <w:tab/>
            </w:r>
            <w:r>
              <w:rPr>
                <w:noProof/>
                <w:webHidden/>
              </w:rPr>
              <w:fldChar w:fldCharType="begin"/>
            </w:r>
            <w:r>
              <w:rPr>
                <w:noProof/>
                <w:webHidden/>
              </w:rPr>
              <w:instrText xml:space="preserve"> PAGEREF _Toc237514449 \h </w:instrText>
            </w:r>
            <w:r>
              <w:rPr>
                <w:noProof/>
                <w:webHidden/>
              </w:rPr>
            </w:r>
            <w:r>
              <w:rPr>
                <w:noProof/>
                <w:webHidden/>
              </w:rPr>
              <w:fldChar w:fldCharType="separate"/>
            </w:r>
            <w:r>
              <w:rPr>
                <w:noProof/>
                <w:webHidden/>
              </w:rPr>
              <w:t>18</w:t>
            </w:r>
            <w:r>
              <w:rPr>
                <w:noProof/>
                <w:webHidden/>
              </w:rPr>
              <w:fldChar w:fldCharType="end"/>
            </w:r>
          </w:hyperlink>
        </w:p>
        <w:p w14:paraId="5FA319AC" w14:textId="0131BF6E"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0" w:history="1">
            <w:r w:rsidRPr="00554E06">
              <w:rPr>
                <w:rStyle w:val="Hyperlink"/>
                <w:noProof/>
              </w:rPr>
              <w:t>5.3</w:t>
            </w:r>
            <w:r>
              <w:rPr>
                <w:rFonts w:asciiTheme="minorHAnsi" w:eastAsiaTheme="minorEastAsia" w:hAnsiTheme="minorHAnsi"/>
                <w:b w:val="0"/>
                <w:bCs w:val="0"/>
                <w:noProof/>
                <w:color w:val="auto"/>
                <w:sz w:val="24"/>
                <w:szCs w:val="24"/>
                <w:lang w:eastAsia="en-GB"/>
              </w:rPr>
              <w:tab/>
            </w:r>
            <w:r w:rsidRPr="00554E06">
              <w:rPr>
                <w:rStyle w:val="Hyperlink"/>
                <w:noProof/>
              </w:rPr>
              <w:t>Accounting rate of return</w:t>
            </w:r>
            <w:r>
              <w:rPr>
                <w:noProof/>
                <w:webHidden/>
              </w:rPr>
              <w:tab/>
            </w:r>
            <w:r>
              <w:rPr>
                <w:noProof/>
                <w:webHidden/>
              </w:rPr>
              <w:fldChar w:fldCharType="begin"/>
            </w:r>
            <w:r>
              <w:rPr>
                <w:noProof/>
                <w:webHidden/>
              </w:rPr>
              <w:instrText xml:space="preserve"> PAGEREF _Toc237514450 \h </w:instrText>
            </w:r>
            <w:r>
              <w:rPr>
                <w:noProof/>
                <w:webHidden/>
              </w:rPr>
            </w:r>
            <w:r>
              <w:rPr>
                <w:noProof/>
                <w:webHidden/>
              </w:rPr>
              <w:fldChar w:fldCharType="separate"/>
            </w:r>
            <w:r>
              <w:rPr>
                <w:noProof/>
                <w:webHidden/>
              </w:rPr>
              <w:t>18</w:t>
            </w:r>
            <w:r>
              <w:rPr>
                <w:noProof/>
                <w:webHidden/>
              </w:rPr>
              <w:fldChar w:fldCharType="end"/>
            </w:r>
          </w:hyperlink>
        </w:p>
        <w:p w14:paraId="0F1CBE51" w14:textId="727D8E8C"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1" w:history="1">
            <w:r w:rsidRPr="00554E06">
              <w:rPr>
                <w:rStyle w:val="Hyperlink"/>
                <w:noProof/>
              </w:rPr>
              <w:t>5.4</w:t>
            </w:r>
            <w:r>
              <w:rPr>
                <w:rFonts w:asciiTheme="minorHAnsi" w:eastAsiaTheme="minorEastAsia" w:hAnsiTheme="minorHAnsi"/>
                <w:b w:val="0"/>
                <w:bCs w:val="0"/>
                <w:noProof/>
                <w:color w:val="auto"/>
                <w:sz w:val="24"/>
                <w:szCs w:val="24"/>
                <w:lang w:eastAsia="en-GB"/>
              </w:rPr>
              <w:tab/>
            </w:r>
            <w:r w:rsidRPr="00554E06">
              <w:rPr>
                <w:rStyle w:val="Hyperlink"/>
                <w:noProof/>
              </w:rPr>
              <w:t>Net present value</w:t>
            </w:r>
            <w:r>
              <w:rPr>
                <w:noProof/>
                <w:webHidden/>
              </w:rPr>
              <w:tab/>
            </w:r>
            <w:r>
              <w:rPr>
                <w:noProof/>
                <w:webHidden/>
              </w:rPr>
              <w:fldChar w:fldCharType="begin"/>
            </w:r>
            <w:r>
              <w:rPr>
                <w:noProof/>
                <w:webHidden/>
              </w:rPr>
              <w:instrText xml:space="preserve"> PAGEREF _Toc237514451 \h </w:instrText>
            </w:r>
            <w:r>
              <w:rPr>
                <w:noProof/>
                <w:webHidden/>
              </w:rPr>
            </w:r>
            <w:r>
              <w:rPr>
                <w:noProof/>
                <w:webHidden/>
              </w:rPr>
              <w:fldChar w:fldCharType="separate"/>
            </w:r>
            <w:r>
              <w:rPr>
                <w:noProof/>
                <w:webHidden/>
              </w:rPr>
              <w:t>19</w:t>
            </w:r>
            <w:r>
              <w:rPr>
                <w:noProof/>
                <w:webHidden/>
              </w:rPr>
              <w:fldChar w:fldCharType="end"/>
            </w:r>
          </w:hyperlink>
        </w:p>
        <w:p w14:paraId="5CBDF34E" w14:textId="077342D3"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2" w:history="1">
            <w:r w:rsidRPr="00554E06">
              <w:rPr>
                <w:rStyle w:val="Hyperlink"/>
                <w:noProof/>
              </w:rPr>
              <w:t>5.5</w:t>
            </w:r>
            <w:r>
              <w:rPr>
                <w:rFonts w:asciiTheme="minorHAnsi" w:eastAsiaTheme="minorEastAsia" w:hAnsiTheme="minorHAnsi"/>
                <w:b w:val="0"/>
                <w:bCs w:val="0"/>
                <w:noProof/>
                <w:color w:val="auto"/>
                <w:sz w:val="24"/>
                <w:szCs w:val="24"/>
                <w:lang w:eastAsia="en-GB"/>
              </w:rPr>
              <w:tab/>
            </w:r>
            <w:r w:rsidRPr="00554E06">
              <w:rPr>
                <w:rStyle w:val="Hyperlink"/>
                <w:noProof/>
              </w:rPr>
              <w:t>Profitability index</w:t>
            </w:r>
            <w:r>
              <w:rPr>
                <w:noProof/>
                <w:webHidden/>
              </w:rPr>
              <w:tab/>
            </w:r>
            <w:r>
              <w:rPr>
                <w:noProof/>
                <w:webHidden/>
              </w:rPr>
              <w:fldChar w:fldCharType="begin"/>
            </w:r>
            <w:r>
              <w:rPr>
                <w:noProof/>
                <w:webHidden/>
              </w:rPr>
              <w:instrText xml:space="preserve"> PAGEREF _Toc237514452 \h </w:instrText>
            </w:r>
            <w:r>
              <w:rPr>
                <w:noProof/>
                <w:webHidden/>
              </w:rPr>
            </w:r>
            <w:r>
              <w:rPr>
                <w:noProof/>
                <w:webHidden/>
              </w:rPr>
              <w:fldChar w:fldCharType="separate"/>
            </w:r>
            <w:r>
              <w:rPr>
                <w:noProof/>
                <w:webHidden/>
              </w:rPr>
              <w:t>19</w:t>
            </w:r>
            <w:r>
              <w:rPr>
                <w:noProof/>
                <w:webHidden/>
              </w:rPr>
              <w:fldChar w:fldCharType="end"/>
            </w:r>
          </w:hyperlink>
        </w:p>
        <w:p w14:paraId="7E2BD4EB" w14:textId="3F53AB5B"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3" w:history="1">
            <w:r w:rsidRPr="00554E06">
              <w:rPr>
                <w:rStyle w:val="Hyperlink"/>
                <w:noProof/>
              </w:rPr>
              <w:t>5.6</w:t>
            </w:r>
            <w:r>
              <w:rPr>
                <w:rFonts w:asciiTheme="minorHAnsi" w:eastAsiaTheme="minorEastAsia" w:hAnsiTheme="minorHAnsi"/>
                <w:b w:val="0"/>
                <w:bCs w:val="0"/>
                <w:noProof/>
                <w:color w:val="auto"/>
                <w:sz w:val="24"/>
                <w:szCs w:val="24"/>
                <w:lang w:eastAsia="en-GB"/>
              </w:rPr>
              <w:tab/>
            </w:r>
            <w:r w:rsidRPr="00554E06">
              <w:rPr>
                <w:rStyle w:val="Hyperlink"/>
                <w:noProof/>
              </w:rPr>
              <w:t>Internal rate of return</w:t>
            </w:r>
            <w:r>
              <w:rPr>
                <w:noProof/>
                <w:webHidden/>
              </w:rPr>
              <w:tab/>
            </w:r>
            <w:r>
              <w:rPr>
                <w:noProof/>
                <w:webHidden/>
              </w:rPr>
              <w:fldChar w:fldCharType="begin"/>
            </w:r>
            <w:r>
              <w:rPr>
                <w:noProof/>
                <w:webHidden/>
              </w:rPr>
              <w:instrText xml:space="preserve"> PAGEREF _Toc237514453 \h </w:instrText>
            </w:r>
            <w:r>
              <w:rPr>
                <w:noProof/>
                <w:webHidden/>
              </w:rPr>
            </w:r>
            <w:r>
              <w:rPr>
                <w:noProof/>
                <w:webHidden/>
              </w:rPr>
              <w:fldChar w:fldCharType="separate"/>
            </w:r>
            <w:r>
              <w:rPr>
                <w:noProof/>
                <w:webHidden/>
              </w:rPr>
              <w:t>19</w:t>
            </w:r>
            <w:r>
              <w:rPr>
                <w:noProof/>
                <w:webHidden/>
              </w:rPr>
              <w:fldChar w:fldCharType="end"/>
            </w:r>
          </w:hyperlink>
        </w:p>
        <w:p w14:paraId="7294368D" w14:textId="75DE8FF2"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4" w:history="1">
            <w:r w:rsidRPr="00554E06">
              <w:rPr>
                <w:rStyle w:val="Hyperlink"/>
                <w:noProof/>
              </w:rPr>
              <w:t>5.7</w:t>
            </w:r>
            <w:r>
              <w:rPr>
                <w:rFonts w:asciiTheme="minorHAnsi" w:eastAsiaTheme="minorEastAsia" w:hAnsiTheme="minorHAnsi"/>
                <w:b w:val="0"/>
                <w:bCs w:val="0"/>
                <w:noProof/>
                <w:color w:val="auto"/>
                <w:sz w:val="24"/>
                <w:szCs w:val="24"/>
                <w:lang w:eastAsia="en-GB"/>
              </w:rPr>
              <w:tab/>
            </w:r>
            <w:r w:rsidRPr="00554E06">
              <w:rPr>
                <w:rStyle w:val="Hyperlink"/>
                <w:noProof/>
              </w:rPr>
              <w:t>Comparative evaluation and recommended project</w:t>
            </w:r>
            <w:r>
              <w:rPr>
                <w:noProof/>
                <w:webHidden/>
              </w:rPr>
              <w:tab/>
            </w:r>
            <w:r>
              <w:rPr>
                <w:noProof/>
                <w:webHidden/>
              </w:rPr>
              <w:fldChar w:fldCharType="begin"/>
            </w:r>
            <w:r>
              <w:rPr>
                <w:noProof/>
                <w:webHidden/>
              </w:rPr>
              <w:instrText xml:space="preserve"> PAGEREF _Toc237514454 \h </w:instrText>
            </w:r>
            <w:r>
              <w:rPr>
                <w:noProof/>
                <w:webHidden/>
              </w:rPr>
            </w:r>
            <w:r>
              <w:rPr>
                <w:noProof/>
                <w:webHidden/>
              </w:rPr>
              <w:fldChar w:fldCharType="separate"/>
            </w:r>
            <w:r>
              <w:rPr>
                <w:noProof/>
                <w:webHidden/>
              </w:rPr>
              <w:t>20</w:t>
            </w:r>
            <w:r>
              <w:rPr>
                <w:noProof/>
                <w:webHidden/>
              </w:rPr>
              <w:fldChar w:fldCharType="end"/>
            </w:r>
          </w:hyperlink>
        </w:p>
        <w:p w14:paraId="3AFDB0BD" w14:textId="59070425"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5" w:history="1">
            <w:r w:rsidRPr="00554E06">
              <w:rPr>
                <w:rStyle w:val="Hyperlink"/>
                <w:noProof/>
              </w:rPr>
              <w:t>5.8</w:t>
            </w:r>
            <w:r>
              <w:rPr>
                <w:rFonts w:asciiTheme="minorHAnsi" w:eastAsiaTheme="minorEastAsia" w:hAnsiTheme="minorHAnsi"/>
                <w:b w:val="0"/>
                <w:bCs w:val="0"/>
                <w:noProof/>
                <w:color w:val="auto"/>
                <w:sz w:val="24"/>
                <w:szCs w:val="24"/>
                <w:lang w:eastAsia="en-GB"/>
              </w:rPr>
              <w:tab/>
            </w:r>
            <w:r w:rsidRPr="00554E06">
              <w:rPr>
                <w:rStyle w:val="Hyperlink"/>
                <w:noProof/>
              </w:rPr>
              <w:t>Capital rationing with a £100 million limit</w:t>
            </w:r>
            <w:r>
              <w:rPr>
                <w:noProof/>
                <w:webHidden/>
              </w:rPr>
              <w:tab/>
            </w:r>
            <w:r>
              <w:rPr>
                <w:noProof/>
                <w:webHidden/>
              </w:rPr>
              <w:fldChar w:fldCharType="begin"/>
            </w:r>
            <w:r>
              <w:rPr>
                <w:noProof/>
                <w:webHidden/>
              </w:rPr>
              <w:instrText xml:space="preserve"> PAGEREF _Toc237514455 \h </w:instrText>
            </w:r>
            <w:r>
              <w:rPr>
                <w:noProof/>
                <w:webHidden/>
              </w:rPr>
            </w:r>
            <w:r>
              <w:rPr>
                <w:noProof/>
                <w:webHidden/>
              </w:rPr>
              <w:fldChar w:fldCharType="separate"/>
            </w:r>
            <w:r>
              <w:rPr>
                <w:noProof/>
                <w:webHidden/>
              </w:rPr>
              <w:t>21</w:t>
            </w:r>
            <w:r>
              <w:rPr>
                <w:noProof/>
                <w:webHidden/>
              </w:rPr>
              <w:fldChar w:fldCharType="end"/>
            </w:r>
          </w:hyperlink>
        </w:p>
        <w:p w14:paraId="317223B2" w14:textId="3BE434B5"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56" w:history="1">
            <w:r w:rsidRPr="00554E06">
              <w:rPr>
                <w:rStyle w:val="Hyperlink"/>
                <w:noProof/>
              </w:rPr>
              <w:t>6</w:t>
            </w:r>
            <w:r>
              <w:rPr>
                <w:rFonts w:asciiTheme="minorHAnsi" w:eastAsiaTheme="minorEastAsia" w:hAnsiTheme="minorHAnsi"/>
                <w:b w:val="0"/>
                <w:bCs w:val="0"/>
                <w:i w:val="0"/>
                <w:iCs w:val="0"/>
                <w:noProof/>
                <w:color w:val="auto"/>
                <w:lang w:eastAsia="en-GB"/>
              </w:rPr>
              <w:tab/>
            </w:r>
            <w:r w:rsidRPr="00554E06">
              <w:rPr>
                <w:rStyle w:val="Hyperlink"/>
                <w:noProof/>
              </w:rPr>
              <w:t>Critical reflection on AI usage</w:t>
            </w:r>
            <w:r>
              <w:rPr>
                <w:noProof/>
                <w:webHidden/>
              </w:rPr>
              <w:tab/>
            </w:r>
            <w:r>
              <w:rPr>
                <w:noProof/>
                <w:webHidden/>
              </w:rPr>
              <w:fldChar w:fldCharType="begin"/>
            </w:r>
            <w:r>
              <w:rPr>
                <w:noProof/>
                <w:webHidden/>
              </w:rPr>
              <w:instrText xml:space="preserve"> PAGEREF _Toc237514456 \h </w:instrText>
            </w:r>
            <w:r>
              <w:rPr>
                <w:noProof/>
                <w:webHidden/>
              </w:rPr>
            </w:r>
            <w:r>
              <w:rPr>
                <w:noProof/>
                <w:webHidden/>
              </w:rPr>
              <w:fldChar w:fldCharType="separate"/>
            </w:r>
            <w:r>
              <w:rPr>
                <w:noProof/>
                <w:webHidden/>
              </w:rPr>
              <w:t>22</w:t>
            </w:r>
            <w:r>
              <w:rPr>
                <w:noProof/>
                <w:webHidden/>
              </w:rPr>
              <w:fldChar w:fldCharType="end"/>
            </w:r>
          </w:hyperlink>
        </w:p>
        <w:p w14:paraId="02D01FC3" w14:textId="356653ED"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7" w:history="1">
            <w:r w:rsidRPr="00554E06">
              <w:rPr>
                <w:rStyle w:val="Hyperlink"/>
                <w:noProof/>
              </w:rPr>
              <w:t>6.1</w:t>
            </w:r>
            <w:r>
              <w:rPr>
                <w:rFonts w:asciiTheme="minorHAnsi" w:eastAsiaTheme="minorEastAsia" w:hAnsiTheme="minorHAnsi"/>
                <w:b w:val="0"/>
                <w:bCs w:val="0"/>
                <w:noProof/>
                <w:color w:val="auto"/>
                <w:sz w:val="24"/>
                <w:szCs w:val="24"/>
                <w:lang w:eastAsia="en-GB"/>
              </w:rPr>
              <w:tab/>
            </w:r>
            <w:r w:rsidRPr="00554E06">
              <w:rPr>
                <w:rStyle w:val="Hyperlink"/>
                <w:noProof/>
              </w:rPr>
              <w:t>Tool disclosure</w:t>
            </w:r>
            <w:r>
              <w:rPr>
                <w:noProof/>
                <w:webHidden/>
              </w:rPr>
              <w:tab/>
            </w:r>
            <w:r>
              <w:rPr>
                <w:noProof/>
                <w:webHidden/>
              </w:rPr>
              <w:fldChar w:fldCharType="begin"/>
            </w:r>
            <w:r>
              <w:rPr>
                <w:noProof/>
                <w:webHidden/>
              </w:rPr>
              <w:instrText xml:space="preserve"> PAGEREF _Toc237514457 \h </w:instrText>
            </w:r>
            <w:r>
              <w:rPr>
                <w:noProof/>
                <w:webHidden/>
              </w:rPr>
            </w:r>
            <w:r>
              <w:rPr>
                <w:noProof/>
                <w:webHidden/>
              </w:rPr>
              <w:fldChar w:fldCharType="separate"/>
            </w:r>
            <w:r>
              <w:rPr>
                <w:noProof/>
                <w:webHidden/>
              </w:rPr>
              <w:t>22</w:t>
            </w:r>
            <w:r>
              <w:rPr>
                <w:noProof/>
                <w:webHidden/>
              </w:rPr>
              <w:fldChar w:fldCharType="end"/>
            </w:r>
          </w:hyperlink>
        </w:p>
        <w:p w14:paraId="055F22E2" w14:textId="0BA82579"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8" w:history="1">
            <w:r w:rsidRPr="00554E06">
              <w:rPr>
                <w:rStyle w:val="Hyperlink"/>
                <w:noProof/>
              </w:rPr>
              <w:t>6.2</w:t>
            </w:r>
            <w:r>
              <w:rPr>
                <w:rFonts w:asciiTheme="minorHAnsi" w:eastAsiaTheme="minorEastAsia" w:hAnsiTheme="minorHAnsi"/>
                <w:b w:val="0"/>
                <w:bCs w:val="0"/>
                <w:noProof/>
                <w:color w:val="auto"/>
                <w:sz w:val="24"/>
                <w:szCs w:val="24"/>
                <w:lang w:eastAsia="en-GB"/>
              </w:rPr>
              <w:tab/>
            </w:r>
            <w:r w:rsidRPr="00554E06">
              <w:rPr>
                <w:rStyle w:val="Hyperlink"/>
                <w:noProof/>
              </w:rPr>
              <w:t>Evaluation of AI output.</w:t>
            </w:r>
            <w:r>
              <w:rPr>
                <w:noProof/>
                <w:webHidden/>
              </w:rPr>
              <w:tab/>
            </w:r>
            <w:r>
              <w:rPr>
                <w:noProof/>
                <w:webHidden/>
              </w:rPr>
              <w:fldChar w:fldCharType="begin"/>
            </w:r>
            <w:r>
              <w:rPr>
                <w:noProof/>
                <w:webHidden/>
              </w:rPr>
              <w:instrText xml:space="preserve"> PAGEREF _Toc237514458 \h </w:instrText>
            </w:r>
            <w:r>
              <w:rPr>
                <w:noProof/>
                <w:webHidden/>
              </w:rPr>
            </w:r>
            <w:r>
              <w:rPr>
                <w:noProof/>
                <w:webHidden/>
              </w:rPr>
              <w:fldChar w:fldCharType="separate"/>
            </w:r>
            <w:r>
              <w:rPr>
                <w:noProof/>
                <w:webHidden/>
              </w:rPr>
              <w:t>22</w:t>
            </w:r>
            <w:r>
              <w:rPr>
                <w:noProof/>
                <w:webHidden/>
              </w:rPr>
              <w:fldChar w:fldCharType="end"/>
            </w:r>
          </w:hyperlink>
        </w:p>
        <w:p w14:paraId="2DC9DD92" w14:textId="6CA6F49E"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59" w:history="1">
            <w:r w:rsidRPr="00554E06">
              <w:rPr>
                <w:rStyle w:val="Hyperlink"/>
                <w:noProof/>
              </w:rPr>
              <w:t>6.3</w:t>
            </w:r>
            <w:r>
              <w:rPr>
                <w:rFonts w:asciiTheme="minorHAnsi" w:eastAsiaTheme="minorEastAsia" w:hAnsiTheme="minorHAnsi"/>
                <w:b w:val="0"/>
                <w:bCs w:val="0"/>
                <w:noProof/>
                <w:color w:val="auto"/>
                <w:sz w:val="24"/>
                <w:szCs w:val="24"/>
                <w:lang w:eastAsia="en-GB"/>
              </w:rPr>
              <w:tab/>
            </w:r>
            <w:r w:rsidRPr="00554E06">
              <w:rPr>
                <w:rStyle w:val="Hyperlink"/>
                <w:noProof/>
              </w:rPr>
              <w:t>Contribution analysis</w:t>
            </w:r>
            <w:r>
              <w:rPr>
                <w:noProof/>
                <w:webHidden/>
              </w:rPr>
              <w:tab/>
            </w:r>
            <w:r>
              <w:rPr>
                <w:noProof/>
                <w:webHidden/>
              </w:rPr>
              <w:fldChar w:fldCharType="begin"/>
            </w:r>
            <w:r>
              <w:rPr>
                <w:noProof/>
                <w:webHidden/>
              </w:rPr>
              <w:instrText xml:space="preserve"> PAGEREF _Toc237514459 \h </w:instrText>
            </w:r>
            <w:r>
              <w:rPr>
                <w:noProof/>
                <w:webHidden/>
              </w:rPr>
            </w:r>
            <w:r>
              <w:rPr>
                <w:noProof/>
                <w:webHidden/>
              </w:rPr>
              <w:fldChar w:fldCharType="separate"/>
            </w:r>
            <w:r>
              <w:rPr>
                <w:noProof/>
                <w:webHidden/>
              </w:rPr>
              <w:t>23</w:t>
            </w:r>
            <w:r>
              <w:rPr>
                <w:noProof/>
                <w:webHidden/>
              </w:rPr>
              <w:fldChar w:fldCharType="end"/>
            </w:r>
          </w:hyperlink>
        </w:p>
        <w:p w14:paraId="3445ED9E" w14:textId="033F36A6" w:rsidR="005C6E29" w:rsidRDefault="005C6E29">
          <w:pPr>
            <w:pStyle w:val="TOC2"/>
            <w:tabs>
              <w:tab w:val="left" w:pos="960"/>
              <w:tab w:val="right" w:leader="dot" w:pos="9016"/>
            </w:tabs>
            <w:rPr>
              <w:rFonts w:asciiTheme="minorHAnsi" w:eastAsiaTheme="minorEastAsia" w:hAnsiTheme="minorHAnsi"/>
              <w:b w:val="0"/>
              <w:bCs w:val="0"/>
              <w:noProof/>
              <w:color w:val="auto"/>
              <w:sz w:val="24"/>
              <w:szCs w:val="24"/>
              <w:lang w:eastAsia="en-GB"/>
            </w:rPr>
          </w:pPr>
          <w:hyperlink w:anchor="_Toc237514460" w:history="1">
            <w:r w:rsidRPr="00554E06">
              <w:rPr>
                <w:rStyle w:val="Hyperlink"/>
                <w:noProof/>
              </w:rPr>
              <w:t>6.4</w:t>
            </w:r>
            <w:r>
              <w:rPr>
                <w:rFonts w:asciiTheme="minorHAnsi" w:eastAsiaTheme="minorEastAsia" w:hAnsiTheme="minorHAnsi"/>
                <w:b w:val="0"/>
                <w:bCs w:val="0"/>
                <w:noProof/>
                <w:color w:val="auto"/>
                <w:sz w:val="24"/>
                <w:szCs w:val="24"/>
                <w:lang w:eastAsia="en-GB"/>
              </w:rPr>
              <w:tab/>
            </w:r>
            <w:r w:rsidRPr="00554E06">
              <w:rPr>
                <w:rStyle w:val="Hyperlink"/>
                <w:noProof/>
              </w:rPr>
              <w:t>Reflection on ethics and professionalism</w:t>
            </w:r>
            <w:r>
              <w:rPr>
                <w:noProof/>
                <w:webHidden/>
              </w:rPr>
              <w:tab/>
            </w:r>
            <w:r>
              <w:rPr>
                <w:noProof/>
                <w:webHidden/>
              </w:rPr>
              <w:fldChar w:fldCharType="begin"/>
            </w:r>
            <w:r>
              <w:rPr>
                <w:noProof/>
                <w:webHidden/>
              </w:rPr>
              <w:instrText xml:space="preserve"> PAGEREF _Toc237514460 \h </w:instrText>
            </w:r>
            <w:r>
              <w:rPr>
                <w:noProof/>
                <w:webHidden/>
              </w:rPr>
            </w:r>
            <w:r>
              <w:rPr>
                <w:noProof/>
                <w:webHidden/>
              </w:rPr>
              <w:fldChar w:fldCharType="separate"/>
            </w:r>
            <w:r>
              <w:rPr>
                <w:noProof/>
                <w:webHidden/>
              </w:rPr>
              <w:t>23</w:t>
            </w:r>
            <w:r>
              <w:rPr>
                <w:noProof/>
                <w:webHidden/>
              </w:rPr>
              <w:fldChar w:fldCharType="end"/>
            </w:r>
          </w:hyperlink>
        </w:p>
        <w:p w14:paraId="79B98AD8" w14:textId="0D537523"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61" w:history="1">
            <w:r w:rsidRPr="00554E06">
              <w:rPr>
                <w:rStyle w:val="Hyperlink"/>
                <w:noProof/>
              </w:rPr>
              <w:t>7</w:t>
            </w:r>
            <w:r>
              <w:rPr>
                <w:rFonts w:asciiTheme="minorHAnsi" w:eastAsiaTheme="minorEastAsia" w:hAnsiTheme="minorHAnsi"/>
                <w:b w:val="0"/>
                <w:bCs w:val="0"/>
                <w:i w:val="0"/>
                <w:iCs w:val="0"/>
                <w:noProof/>
                <w:color w:val="auto"/>
                <w:lang w:eastAsia="en-GB"/>
              </w:rPr>
              <w:tab/>
            </w:r>
            <w:r w:rsidRPr="00554E06">
              <w:rPr>
                <w:rStyle w:val="Hyperlink"/>
                <w:noProof/>
              </w:rPr>
              <w:t>Conclusion</w:t>
            </w:r>
            <w:r>
              <w:rPr>
                <w:noProof/>
                <w:webHidden/>
              </w:rPr>
              <w:tab/>
            </w:r>
            <w:r>
              <w:rPr>
                <w:noProof/>
                <w:webHidden/>
              </w:rPr>
              <w:fldChar w:fldCharType="begin"/>
            </w:r>
            <w:r>
              <w:rPr>
                <w:noProof/>
                <w:webHidden/>
              </w:rPr>
              <w:instrText xml:space="preserve"> PAGEREF _Toc237514461 \h </w:instrText>
            </w:r>
            <w:r>
              <w:rPr>
                <w:noProof/>
                <w:webHidden/>
              </w:rPr>
            </w:r>
            <w:r>
              <w:rPr>
                <w:noProof/>
                <w:webHidden/>
              </w:rPr>
              <w:fldChar w:fldCharType="separate"/>
            </w:r>
            <w:r>
              <w:rPr>
                <w:noProof/>
                <w:webHidden/>
              </w:rPr>
              <w:t>24</w:t>
            </w:r>
            <w:r>
              <w:rPr>
                <w:noProof/>
                <w:webHidden/>
              </w:rPr>
              <w:fldChar w:fldCharType="end"/>
            </w:r>
          </w:hyperlink>
        </w:p>
        <w:p w14:paraId="5E106AC1" w14:textId="780E403F" w:rsidR="005C6E29" w:rsidRDefault="005C6E29">
          <w:pPr>
            <w:pStyle w:val="TOC1"/>
            <w:tabs>
              <w:tab w:val="left" w:pos="480"/>
              <w:tab w:val="right" w:leader="dot" w:pos="9016"/>
            </w:tabs>
            <w:rPr>
              <w:rFonts w:asciiTheme="minorHAnsi" w:eastAsiaTheme="minorEastAsia" w:hAnsiTheme="minorHAnsi"/>
              <w:b w:val="0"/>
              <w:bCs w:val="0"/>
              <w:i w:val="0"/>
              <w:iCs w:val="0"/>
              <w:noProof/>
              <w:color w:val="auto"/>
              <w:lang w:eastAsia="en-GB"/>
            </w:rPr>
          </w:pPr>
          <w:hyperlink w:anchor="_Toc237514462" w:history="1">
            <w:r w:rsidRPr="00554E06">
              <w:rPr>
                <w:rStyle w:val="Hyperlink"/>
                <w:noProof/>
              </w:rPr>
              <w:t>8</w:t>
            </w:r>
            <w:r>
              <w:rPr>
                <w:rFonts w:asciiTheme="minorHAnsi" w:eastAsiaTheme="minorEastAsia" w:hAnsiTheme="minorHAnsi"/>
                <w:b w:val="0"/>
                <w:bCs w:val="0"/>
                <w:i w:val="0"/>
                <w:iCs w:val="0"/>
                <w:noProof/>
                <w:color w:val="auto"/>
                <w:lang w:eastAsia="en-GB"/>
              </w:rPr>
              <w:tab/>
            </w:r>
            <w:r w:rsidRPr="00554E06">
              <w:rPr>
                <w:rStyle w:val="Hyperlink"/>
                <w:noProof/>
              </w:rPr>
              <w:t>References</w:t>
            </w:r>
            <w:r>
              <w:rPr>
                <w:noProof/>
                <w:webHidden/>
              </w:rPr>
              <w:tab/>
            </w:r>
            <w:r>
              <w:rPr>
                <w:noProof/>
                <w:webHidden/>
              </w:rPr>
              <w:fldChar w:fldCharType="begin"/>
            </w:r>
            <w:r>
              <w:rPr>
                <w:noProof/>
                <w:webHidden/>
              </w:rPr>
              <w:instrText xml:space="preserve"> PAGEREF _Toc237514462 \h </w:instrText>
            </w:r>
            <w:r>
              <w:rPr>
                <w:noProof/>
                <w:webHidden/>
              </w:rPr>
            </w:r>
            <w:r>
              <w:rPr>
                <w:noProof/>
                <w:webHidden/>
              </w:rPr>
              <w:fldChar w:fldCharType="separate"/>
            </w:r>
            <w:r>
              <w:rPr>
                <w:noProof/>
                <w:webHidden/>
              </w:rPr>
              <w:t>25</w:t>
            </w:r>
            <w:r>
              <w:rPr>
                <w:noProof/>
                <w:webHidden/>
              </w:rPr>
              <w:fldChar w:fldCharType="end"/>
            </w:r>
          </w:hyperlink>
        </w:p>
        <w:p w14:paraId="36DC4E19" w14:textId="4FF78AE5" w:rsidR="005C6E29" w:rsidRDefault="005C6E29">
          <w:pPr>
            <w:pStyle w:val="TOC1"/>
            <w:tabs>
              <w:tab w:val="right" w:leader="dot" w:pos="9016"/>
            </w:tabs>
            <w:rPr>
              <w:rFonts w:asciiTheme="minorHAnsi" w:eastAsiaTheme="minorEastAsia" w:hAnsiTheme="minorHAnsi"/>
              <w:b w:val="0"/>
              <w:bCs w:val="0"/>
              <w:i w:val="0"/>
              <w:iCs w:val="0"/>
              <w:noProof/>
              <w:color w:val="auto"/>
              <w:lang w:eastAsia="en-GB"/>
            </w:rPr>
          </w:pPr>
          <w:hyperlink w:anchor="_Toc237514463" w:history="1">
            <w:r w:rsidRPr="00554E06">
              <w:rPr>
                <w:rStyle w:val="Hyperlink"/>
                <w:noProof/>
              </w:rPr>
              <w:t>Appendix A: Five-year summary financial data</w:t>
            </w:r>
            <w:r>
              <w:rPr>
                <w:noProof/>
                <w:webHidden/>
              </w:rPr>
              <w:tab/>
            </w:r>
            <w:r>
              <w:rPr>
                <w:noProof/>
                <w:webHidden/>
              </w:rPr>
              <w:fldChar w:fldCharType="begin"/>
            </w:r>
            <w:r>
              <w:rPr>
                <w:noProof/>
                <w:webHidden/>
              </w:rPr>
              <w:instrText xml:space="preserve"> PAGEREF _Toc237514463 \h </w:instrText>
            </w:r>
            <w:r>
              <w:rPr>
                <w:noProof/>
                <w:webHidden/>
              </w:rPr>
            </w:r>
            <w:r>
              <w:rPr>
                <w:noProof/>
                <w:webHidden/>
              </w:rPr>
              <w:fldChar w:fldCharType="separate"/>
            </w:r>
            <w:r>
              <w:rPr>
                <w:noProof/>
                <w:webHidden/>
              </w:rPr>
              <w:t>29</w:t>
            </w:r>
            <w:r>
              <w:rPr>
                <w:noProof/>
                <w:webHidden/>
              </w:rPr>
              <w:fldChar w:fldCharType="end"/>
            </w:r>
          </w:hyperlink>
        </w:p>
        <w:p w14:paraId="3CACE2B5" w14:textId="7BE41CAB" w:rsidR="005C6E29" w:rsidRDefault="005C6E29">
          <w:pPr>
            <w:pStyle w:val="TOC1"/>
            <w:tabs>
              <w:tab w:val="right" w:leader="dot" w:pos="9016"/>
            </w:tabs>
            <w:rPr>
              <w:rFonts w:asciiTheme="minorHAnsi" w:eastAsiaTheme="minorEastAsia" w:hAnsiTheme="minorHAnsi"/>
              <w:b w:val="0"/>
              <w:bCs w:val="0"/>
              <w:i w:val="0"/>
              <w:iCs w:val="0"/>
              <w:noProof/>
              <w:color w:val="auto"/>
              <w:lang w:eastAsia="en-GB"/>
            </w:rPr>
          </w:pPr>
          <w:hyperlink w:anchor="_Toc237514464" w:history="1">
            <w:r w:rsidRPr="00554E06">
              <w:rPr>
                <w:rStyle w:val="Hyperlink"/>
                <w:noProof/>
              </w:rPr>
              <w:t>Appendix B: Full ratio calculation tables</w:t>
            </w:r>
            <w:r>
              <w:rPr>
                <w:noProof/>
                <w:webHidden/>
              </w:rPr>
              <w:tab/>
            </w:r>
            <w:r>
              <w:rPr>
                <w:noProof/>
                <w:webHidden/>
              </w:rPr>
              <w:fldChar w:fldCharType="begin"/>
            </w:r>
            <w:r>
              <w:rPr>
                <w:noProof/>
                <w:webHidden/>
              </w:rPr>
              <w:instrText xml:space="preserve"> PAGEREF _Toc237514464 \h </w:instrText>
            </w:r>
            <w:r>
              <w:rPr>
                <w:noProof/>
                <w:webHidden/>
              </w:rPr>
            </w:r>
            <w:r>
              <w:rPr>
                <w:noProof/>
                <w:webHidden/>
              </w:rPr>
              <w:fldChar w:fldCharType="separate"/>
            </w:r>
            <w:r>
              <w:rPr>
                <w:noProof/>
                <w:webHidden/>
              </w:rPr>
              <w:t>31</w:t>
            </w:r>
            <w:r>
              <w:rPr>
                <w:noProof/>
                <w:webHidden/>
              </w:rPr>
              <w:fldChar w:fldCharType="end"/>
            </w:r>
          </w:hyperlink>
        </w:p>
        <w:p w14:paraId="4F821A7C" w14:textId="48032E2D" w:rsidR="005C6E29" w:rsidRDefault="005C6E29">
          <w:pPr>
            <w:pStyle w:val="TOC1"/>
            <w:tabs>
              <w:tab w:val="right" w:leader="dot" w:pos="9016"/>
            </w:tabs>
            <w:rPr>
              <w:rFonts w:asciiTheme="minorHAnsi" w:eastAsiaTheme="minorEastAsia" w:hAnsiTheme="minorHAnsi"/>
              <w:b w:val="0"/>
              <w:bCs w:val="0"/>
              <w:i w:val="0"/>
              <w:iCs w:val="0"/>
              <w:noProof/>
              <w:color w:val="auto"/>
              <w:lang w:eastAsia="en-GB"/>
            </w:rPr>
          </w:pPr>
          <w:hyperlink w:anchor="_Toc237514465" w:history="1">
            <w:r w:rsidRPr="00554E06">
              <w:rPr>
                <w:rStyle w:val="Hyperlink"/>
                <w:noProof/>
              </w:rPr>
              <w:t>Appendix C: Ratio trend charts</w:t>
            </w:r>
            <w:r>
              <w:rPr>
                <w:noProof/>
                <w:webHidden/>
              </w:rPr>
              <w:tab/>
            </w:r>
            <w:r>
              <w:rPr>
                <w:noProof/>
                <w:webHidden/>
              </w:rPr>
              <w:fldChar w:fldCharType="begin"/>
            </w:r>
            <w:r>
              <w:rPr>
                <w:noProof/>
                <w:webHidden/>
              </w:rPr>
              <w:instrText xml:space="preserve"> PAGEREF _Toc237514465 \h </w:instrText>
            </w:r>
            <w:r>
              <w:rPr>
                <w:noProof/>
                <w:webHidden/>
              </w:rPr>
            </w:r>
            <w:r>
              <w:rPr>
                <w:noProof/>
                <w:webHidden/>
              </w:rPr>
              <w:fldChar w:fldCharType="separate"/>
            </w:r>
            <w:r>
              <w:rPr>
                <w:noProof/>
                <w:webHidden/>
              </w:rPr>
              <w:t>33</w:t>
            </w:r>
            <w:r>
              <w:rPr>
                <w:noProof/>
                <w:webHidden/>
              </w:rPr>
              <w:fldChar w:fldCharType="end"/>
            </w:r>
          </w:hyperlink>
        </w:p>
        <w:p w14:paraId="4D3EF3FE" w14:textId="0F2BD9A1" w:rsidR="005C6E29" w:rsidRDefault="005C6E29">
          <w:pPr>
            <w:pStyle w:val="TOC1"/>
            <w:tabs>
              <w:tab w:val="right" w:leader="dot" w:pos="9016"/>
            </w:tabs>
            <w:rPr>
              <w:rFonts w:asciiTheme="minorHAnsi" w:eastAsiaTheme="minorEastAsia" w:hAnsiTheme="minorHAnsi"/>
              <w:b w:val="0"/>
              <w:bCs w:val="0"/>
              <w:i w:val="0"/>
              <w:iCs w:val="0"/>
              <w:noProof/>
              <w:color w:val="auto"/>
              <w:lang w:eastAsia="en-GB"/>
            </w:rPr>
          </w:pPr>
          <w:hyperlink w:anchor="_Toc237514466" w:history="1">
            <w:r w:rsidRPr="00554E06">
              <w:rPr>
                <w:rStyle w:val="Hyperlink"/>
                <w:noProof/>
              </w:rPr>
              <w:t>Appendix D: Investment appraisal workings</w:t>
            </w:r>
            <w:r>
              <w:rPr>
                <w:noProof/>
                <w:webHidden/>
              </w:rPr>
              <w:tab/>
            </w:r>
            <w:r>
              <w:rPr>
                <w:noProof/>
                <w:webHidden/>
              </w:rPr>
              <w:fldChar w:fldCharType="begin"/>
            </w:r>
            <w:r>
              <w:rPr>
                <w:noProof/>
                <w:webHidden/>
              </w:rPr>
              <w:instrText xml:space="preserve"> PAGEREF _Toc237514466 \h </w:instrText>
            </w:r>
            <w:r>
              <w:rPr>
                <w:noProof/>
                <w:webHidden/>
              </w:rPr>
            </w:r>
            <w:r>
              <w:rPr>
                <w:noProof/>
                <w:webHidden/>
              </w:rPr>
              <w:fldChar w:fldCharType="separate"/>
            </w:r>
            <w:r>
              <w:rPr>
                <w:noProof/>
                <w:webHidden/>
              </w:rPr>
              <w:t>35</w:t>
            </w:r>
            <w:r>
              <w:rPr>
                <w:noProof/>
                <w:webHidden/>
              </w:rPr>
              <w:fldChar w:fldCharType="end"/>
            </w:r>
          </w:hyperlink>
        </w:p>
        <w:p w14:paraId="0323352A" w14:textId="20EE01BB" w:rsidR="005C6E29" w:rsidRDefault="005C6E29">
          <w:pPr>
            <w:pStyle w:val="TOC1"/>
            <w:tabs>
              <w:tab w:val="right" w:leader="dot" w:pos="9016"/>
            </w:tabs>
            <w:rPr>
              <w:rFonts w:asciiTheme="minorHAnsi" w:eastAsiaTheme="minorEastAsia" w:hAnsiTheme="minorHAnsi"/>
              <w:b w:val="0"/>
              <w:bCs w:val="0"/>
              <w:i w:val="0"/>
              <w:iCs w:val="0"/>
              <w:noProof/>
              <w:color w:val="auto"/>
              <w:lang w:eastAsia="en-GB"/>
            </w:rPr>
          </w:pPr>
          <w:hyperlink w:anchor="_Toc237514467" w:history="1">
            <w:r w:rsidRPr="00554E06">
              <w:rPr>
                <w:rStyle w:val="Hyperlink"/>
                <w:noProof/>
              </w:rPr>
              <w:t>Appendix E: AI Acknowledgement Form</w:t>
            </w:r>
            <w:r>
              <w:rPr>
                <w:noProof/>
                <w:webHidden/>
              </w:rPr>
              <w:tab/>
            </w:r>
            <w:r>
              <w:rPr>
                <w:noProof/>
                <w:webHidden/>
              </w:rPr>
              <w:fldChar w:fldCharType="begin"/>
            </w:r>
            <w:r>
              <w:rPr>
                <w:noProof/>
                <w:webHidden/>
              </w:rPr>
              <w:instrText xml:space="preserve"> PAGEREF _Toc237514467 \h </w:instrText>
            </w:r>
            <w:r>
              <w:rPr>
                <w:noProof/>
                <w:webHidden/>
              </w:rPr>
            </w:r>
            <w:r>
              <w:rPr>
                <w:noProof/>
                <w:webHidden/>
              </w:rPr>
              <w:fldChar w:fldCharType="separate"/>
            </w:r>
            <w:r>
              <w:rPr>
                <w:noProof/>
                <w:webHidden/>
              </w:rPr>
              <w:t>37</w:t>
            </w:r>
            <w:r>
              <w:rPr>
                <w:noProof/>
                <w:webHidden/>
              </w:rPr>
              <w:fldChar w:fldCharType="end"/>
            </w:r>
          </w:hyperlink>
        </w:p>
        <w:p w14:paraId="78B02073" w14:textId="78BB3038" w:rsidR="007B6C6E" w:rsidRDefault="007B6C6E">
          <w:r w:rsidRPr="00D55D1A">
            <w:rPr>
              <w:noProof/>
              <w:sz w:val="22"/>
              <w:szCs w:val="22"/>
            </w:rPr>
            <w:fldChar w:fldCharType="end"/>
          </w:r>
        </w:p>
      </w:sdtContent>
    </w:sdt>
    <w:p w14:paraId="4F7D31AF" w14:textId="77777777" w:rsidR="007B6C6E" w:rsidRDefault="007B6C6E" w:rsidP="00646406">
      <w:pPr>
        <w:jc w:val="center"/>
        <w:rPr>
          <w:rFonts w:cs="Arial"/>
          <w:b/>
          <w:bCs/>
        </w:rPr>
      </w:pPr>
    </w:p>
    <w:p w14:paraId="2BC126DC" w14:textId="77777777" w:rsidR="007B6C6E" w:rsidRDefault="007B6C6E" w:rsidP="00646406">
      <w:pPr>
        <w:jc w:val="center"/>
        <w:rPr>
          <w:rFonts w:cs="Arial"/>
          <w:b/>
          <w:bCs/>
        </w:rPr>
      </w:pPr>
    </w:p>
    <w:p w14:paraId="72B21028" w14:textId="77777777" w:rsidR="007B6C6E" w:rsidRDefault="007B6C6E" w:rsidP="007B6C6E">
      <w:pPr>
        <w:rPr>
          <w:rFonts w:cs="Arial"/>
          <w:b/>
          <w:bCs/>
        </w:rPr>
      </w:pPr>
    </w:p>
    <w:p w14:paraId="375908EC" w14:textId="671BC32E" w:rsidR="007B6C6E" w:rsidRDefault="007B6C6E" w:rsidP="00646406">
      <w:pPr>
        <w:jc w:val="center"/>
        <w:rPr>
          <w:rFonts w:cs="Arial"/>
          <w:b/>
          <w:bCs/>
        </w:rPr>
      </w:pPr>
      <w:r>
        <w:rPr>
          <w:rFonts w:cs="Arial"/>
          <w:b/>
          <w:bCs/>
        </w:rPr>
        <w:lastRenderedPageBreak/>
        <w:t>List of Tables</w:t>
      </w:r>
    </w:p>
    <w:p w14:paraId="1B79F97D" w14:textId="45E07035" w:rsidR="005C6E29" w:rsidRPr="005C6E29" w:rsidRDefault="005C6E29">
      <w:pPr>
        <w:pStyle w:val="TableofFigures"/>
        <w:tabs>
          <w:tab w:val="right" w:leader="dot" w:pos="9016"/>
        </w:tabs>
        <w:rPr>
          <w:rFonts w:eastAsiaTheme="minorEastAsia" w:cs="Arial"/>
          <w:noProof/>
          <w:color w:val="auto"/>
          <w:sz w:val="22"/>
          <w:szCs w:val="22"/>
          <w:lang w:eastAsia="en-GB"/>
        </w:rPr>
      </w:pPr>
      <w:r>
        <w:rPr>
          <w:rFonts w:cs="Arial"/>
          <w:b/>
          <w:bCs/>
        </w:rPr>
        <w:fldChar w:fldCharType="begin"/>
      </w:r>
      <w:r>
        <w:rPr>
          <w:rFonts w:cs="Arial"/>
          <w:b/>
          <w:bCs/>
        </w:rPr>
        <w:instrText xml:space="preserve"> TOC \h \z \c "Table" </w:instrText>
      </w:r>
      <w:r>
        <w:rPr>
          <w:rFonts w:cs="Arial"/>
          <w:b/>
          <w:bCs/>
        </w:rPr>
        <w:fldChar w:fldCharType="separate"/>
      </w:r>
      <w:hyperlink w:anchor="_Toc237514468" w:history="1">
        <w:r w:rsidRPr="005C6E29">
          <w:rPr>
            <w:rStyle w:val="Hyperlink"/>
            <w:rFonts w:cs="Arial"/>
            <w:noProof/>
            <w:sz w:val="22"/>
            <w:szCs w:val="22"/>
          </w:rPr>
          <w:t>Table 1:Five-year summary of key financial data, FY2022–FY2026.</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_Toc237514468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6</w:t>
        </w:r>
        <w:r w:rsidRPr="005C6E29">
          <w:rPr>
            <w:rFonts w:cs="Arial"/>
            <w:noProof/>
            <w:webHidden/>
            <w:sz w:val="22"/>
            <w:szCs w:val="22"/>
          </w:rPr>
          <w:fldChar w:fldCharType="end"/>
        </w:r>
      </w:hyperlink>
    </w:p>
    <w:p w14:paraId="316500CF" w14:textId="2A76B910"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69" w:history="1">
        <w:r w:rsidRPr="005C6E29">
          <w:rPr>
            <w:rStyle w:val="Hyperlink"/>
            <w:rFonts w:cs="Arial"/>
            <w:noProof/>
            <w:sz w:val="22"/>
            <w:szCs w:val="22"/>
          </w:rPr>
          <w:t xml:space="preserve">Table 2: </w:t>
        </w:r>
        <w:r w:rsidRPr="005C6E29">
          <w:rPr>
            <w:rStyle w:val="Hyperlink"/>
            <w:rFonts w:eastAsia="Calibri" w:cs="Arial"/>
            <w:noProof/>
            <w:sz w:val="22"/>
            <w:szCs w:val="22"/>
          </w:rPr>
          <w:t>Summary of liquidity ratios.</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_Toc237514469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8</w:t>
        </w:r>
        <w:r w:rsidRPr="005C6E29">
          <w:rPr>
            <w:rFonts w:cs="Arial"/>
            <w:noProof/>
            <w:webHidden/>
            <w:sz w:val="22"/>
            <w:szCs w:val="22"/>
          </w:rPr>
          <w:fldChar w:fldCharType="end"/>
        </w:r>
      </w:hyperlink>
    </w:p>
    <w:p w14:paraId="0ADCDB38" w14:textId="32D9B5C3"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0" w:history="1">
        <w:r w:rsidRPr="005C6E29">
          <w:rPr>
            <w:rStyle w:val="Hyperlink"/>
            <w:rFonts w:cs="Arial"/>
            <w:noProof/>
            <w:sz w:val="22"/>
            <w:szCs w:val="22"/>
          </w:rPr>
          <w:t>Table 3: Liquidity benchmarking against the hotel sector. Sources: Whitbread PLC (2024; 2026)</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_Toc237514470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12</w:t>
        </w:r>
        <w:r w:rsidRPr="005C6E29">
          <w:rPr>
            <w:rFonts w:cs="Arial"/>
            <w:noProof/>
            <w:webHidden/>
            <w:sz w:val="22"/>
            <w:szCs w:val="22"/>
          </w:rPr>
          <w:fldChar w:fldCharType="end"/>
        </w:r>
      </w:hyperlink>
    </w:p>
    <w:p w14:paraId="55D2BAE6" w14:textId="68D9E0D5"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1" w:history="1">
        <w:r w:rsidRPr="005C6E29">
          <w:rPr>
            <w:rStyle w:val="Hyperlink"/>
            <w:rFonts w:cs="Arial"/>
            <w:noProof/>
            <w:sz w:val="22"/>
            <w:szCs w:val="22"/>
          </w:rPr>
          <w:t>Table 4: Cash operating cycle, FY2022–FY2026.</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_Toc237514471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13</w:t>
        </w:r>
        <w:r w:rsidRPr="005C6E29">
          <w:rPr>
            <w:rFonts w:cs="Arial"/>
            <w:noProof/>
            <w:webHidden/>
            <w:sz w:val="22"/>
            <w:szCs w:val="22"/>
          </w:rPr>
          <w:fldChar w:fldCharType="end"/>
        </w:r>
      </w:hyperlink>
    </w:p>
    <w:p w14:paraId="1058F54E" w14:textId="6F468D26"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2" w:history="1">
        <w:r w:rsidRPr="005C6E29">
          <w:rPr>
            <w:rStyle w:val="Hyperlink"/>
            <w:rFonts w:cs="Arial"/>
            <w:noProof/>
            <w:sz w:val="22"/>
            <w:szCs w:val="22"/>
          </w:rPr>
          <w:t>Table 5:</w:t>
        </w:r>
        <w:r w:rsidRPr="005C6E29">
          <w:rPr>
            <w:rStyle w:val="Hyperlink"/>
            <w:rFonts w:eastAsia="Calibri" w:cs="Arial"/>
            <w:noProof/>
            <w:sz w:val="22"/>
            <w:szCs w:val="22"/>
          </w:rPr>
          <w:t>Summary of appraisal results.</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_Toc237514472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20</w:t>
        </w:r>
        <w:r w:rsidRPr="005C6E29">
          <w:rPr>
            <w:rFonts w:cs="Arial"/>
            <w:noProof/>
            <w:webHidden/>
            <w:sz w:val="22"/>
            <w:szCs w:val="22"/>
          </w:rPr>
          <w:fldChar w:fldCharType="end"/>
        </w:r>
      </w:hyperlink>
    </w:p>
    <w:p w14:paraId="2B0B1AAD" w14:textId="3FC76C74" w:rsidR="007B6C6E" w:rsidRDefault="005C6E29" w:rsidP="00646406">
      <w:pPr>
        <w:jc w:val="center"/>
        <w:rPr>
          <w:rFonts w:cs="Arial"/>
          <w:b/>
          <w:bCs/>
        </w:rPr>
      </w:pPr>
      <w:r>
        <w:rPr>
          <w:rFonts w:cs="Arial"/>
          <w:b/>
          <w:bCs/>
        </w:rPr>
        <w:fldChar w:fldCharType="end"/>
      </w:r>
    </w:p>
    <w:p w14:paraId="5358B075" w14:textId="380FFCC2" w:rsidR="007B6C6E" w:rsidRDefault="007B6C6E" w:rsidP="00646406">
      <w:pPr>
        <w:jc w:val="center"/>
        <w:rPr>
          <w:rFonts w:cs="Arial"/>
          <w:b/>
          <w:bCs/>
        </w:rPr>
      </w:pPr>
      <w:r>
        <w:rPr>
          <w:rFonts w:cs="Arial"/>
          <w:b/>
          <w:bCs/>
        </w:rPr>
        <w:t>List of Figures</w:t>
      </w:r>
    </w:p>
    <w:p w14:paraId="156CC574" w14:textId="69DB7CEB" w:rsidR="005C6E29" w:rsidRPr="005C6E29" w:rsidRDefault="005C6E29">
      <w:pPr>
        <w:pStyle w:val="TableofFigures"/>
        <w:tabs>
          <w:tab w:val="right" w:leader="dot" w:pos="9016"/>
        </w:tabs>
        <w:rPr>
          <w:rFonts w:eastAsiaTheme="minorEastAsia" w:cs="Arial"/>
          <w:noProof/>
          <w:color w:val="auto"/>
          <w:sz w:val="22"/>
          <w:szCs w:val="22"/>
          <w:lang w:eastAsia="en-GB"/>
        </w:rPr>
      </w:pPr>
      <w:r>
        <w:rPr>
          <w:rFonts w:cs="Arial"/>
          <w:sz w:val="22"/>
          <w:szCs w:val="22"/>
        </w:rPr>
        <w:fldChar w:fldCharType="begin"/>
      </w:r>
      <w:r>
        <w:rPr>
          <w:rFonts w:cs="Arial"/>
          <w:sz w:val="22"/>
          <w:szCs w:val="22"/>
        </w:rPr>
        <w:instrText xml:space="preserve"> TOC \h \z \c "Figure" </w:instrText>
      </w:r>
      <w:r>
        <w:rPr>
          <w:rFonts w:cs="Arial"/>
          <w:sz w:val="22"/>
          <w:szCs w:val="22"/>
        </w:rPr>
        <w:fldChar w:fldCharType="separate"/>
      </w:r>
      <w:hyperlink w:anchor="_Toc237514473" w:history="1">
        <w:r w:rsidRPr="005C6E29">
          <w:rPr>
            <w:rStyle w:val="Hyperlink"/>
            <w:rFonts w:cs="Arial"/>
            <w:noProof/>
            <w:sz w:val="22"/>
            <w:szCs w:val="22"/>
          </w:rPr>
          <w:t>Figure 1: Revenue and operating profit, FY2022–FY2026</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_Toc237514473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7</w:t>
        </w:r>
        <w:r w:rsidRPr="005C6E29">
          <w:rPr>
            <w:rFonts w:cs="Arial"/>
            <w:noProof/>
            <w:webHidden/>
            <w:sz w:val="22"/>
            <w:szCs w:val="22"/>
          </w:rPr>
          <w:fldChar w:fldCharType="end"/>
        </w:r>
      </w:hyperlink>
    </w:p>
    <w:p w14:paraId="08DFA20D" w14:textId="4B028601"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4" w:history="1">
        <w:r w:rsidRPr="005C6E29">
          <w:rPr>
            <w:rStyle w:val="Hyperlink"/>
            <w:rFonts w:cs="Arial"/>
            <w:noProof/>
            <w:sz w:val="22"/>
            <w:szCs w:val="22"/>
          </w:rPr>
          <w:t xml:space="preserve">Figure 2: </w:t>
        </w:r>
        <w:r w:rsidRPr="005C6E29">
          <w:rPr>
            <w:rStyle w:val="Hyperlink"/>
            <w:rFonts w:eastAsia="Calibri" w:cs="Arial"/>
            <w:noProof/>
            <w:sz w:val="22"/>
            <w:szCs w:val="22"/>
          </w:rPr>
          <w:t>Profitability ratios, FY2022–FY2026.</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_Toc237514474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8</w:t>
        </w:r>
        <w:r w:rsidRPr="005C6E29">
          <w:rPr>
            <w:rFonts w:cs="Arial"/>
            <w:noProof/>
            <w:webHidden/>
            <w:sz w:val="22"/>
            <w:szCs w:val="22"/>
          </w:rPr>
          <w:fldChar w:fldCharType="end"/>
        </w:r>
      </w:hyperlink>
    </w:p>
    <w:p w14:paraId="065874F7" w14:textId="1777C0EC"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5" w:history="1">
        <w:r w:rsidRPr="005C6E29">
          <w:rPr>
            <w:rStyle w:val="Hyperlink"/>
            <w:rFonts w:cs="Arial"/>
            <w:noProof/>
            <w:sz w:val="22"/>
            <w:szCs w:val="22"/>
          </w:rPr>
          <w:t>Figure 3: Net debt, gearing and interest cover.</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_Toc237514475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10</w:t>
        </w:r>
        <w:r w:rsidRPr="005C6E29">
          <w:rPr>
            <w:rFonts w:cs="Arial"/>
            <w:noProof/>
            <w:webHidden/>
            <w:sz w:val="22"/>
            <w:szCs w:val="22"/>
          </w:rPr>
          <w:fldChar w:fldCharType="end"/>
        </w:r>
      </w:hyperlink>
    </w:p>
    <w:p w14:paraId="0A8BC99A" w14:textId="33557C1C"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6" w:history="1">
        <w:r w:rsidRPr="005C6E29">
          <w:rPr>
            <w:rStyle w:val="Hyperlink"/>
            <w:rFonts w:cs="Arial"/>
            <w:noProof/>
            <w:sz w:val="22"/>
            <w:szCs w:val="22"/>
          </w:rPr>
          <w:t xml:space="preserve">Figure 4: </w:t>
        </w:r>
        <w:r w:rsidRPr="005C6E29">
          <w:rPr>
            <w:rStyle w:val="Hyperlink"/>
            <w:rFonts w:eastAsia="Calibri" w:cs="Arial"/>
            <w:noProof/>
            <w:sz w:val="22"/>
            <w:szCs w:val="22"/>
          </w:rPr>
          <w:t>Cash generation and reinvestment.</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_Toc237514476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11</w:t>
        </w:r>
        <w:r w:rsidRPr="005C6E29">
          <w:rPr>
            <w:rFonts w:cs="Arial"/>
            <w:noProof/>
            <w:webHidden/>
            <w:sz w:val="22"/>
            <w:szCs w:val="22"/>
          </w:rPr>
          <w:fldChar w:fldCharType="end"/>
        </w:r>
      </w:hyperlink>
    </w:p>
    <w:p w14:paraId="2FC1D052" w14:textId="65AB6887"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7" w:history="1">
        <w:r w:rsidRPr="005C6E29">
          <w:rPr>
            <w:rStyle w:val="Hyperlink"/>
            <w:rFonts w:cs="Arial"/>
            <w:noProof/>
            <w:sz w:val="22"/>
            <w:szCs w:val="22"/>
          </w:rPr>
          <w:t>Figure 5: Liquidity ratios against the sector benchmark.</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_Toc237514477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12</w:t>
        </w:r>
        <w:r w:rsidRPr="005C6E29">
          <w:rPr>
            <w:rFonts w:cs="Arial"/>
            <w:noProof/>
            <w:webHidden/>
            <w:sz w:val="22"/>
            <w:szCs w:val="22"/>
          </w:rPr>
          <w:fldChar w:fldCharType="end"/>
        </w:r>
      </w:hyperlink>
    </w:p>
    <w:p w14:paraId="3961962F" w14:textId="5AEE6914"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8" w:history="1">
        <w:r w:rsidRPr="005C6E29">
          <w:rPr>
            <w:rStyle w:val="Hyperlink"/>
            <w:rFonts w:cs="Arial"/>
            <w:noProof/>
            <w:sz w:val="22"/>
            <w:szCs w:val="22"/>
          </w:rPr>
          <w:t>Figure 6: Cash operating cycle and its components</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_Toc237514478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14</w:t>
        </w:r>
        <w:r w:rsidRPr="005C6E29">
          <w:rPr>
            <w:rFonts w:cs="Arial"/>
            <w:noProof/>
            <w:webHidden/>
            <w:sz w:val="22"/>
            <w:szCs w:val="22"/>
          </w:rPr>
          <w:fldChar w:fldCharType="end"/>
        </w:r>
      </w:hyperlink>
    </w:p>
    <w:p w14:paraId="6FCB4BFC" w14:textId="0911AB3E"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79" w:history="1">
        <w:r w:rsidRPr="005C6E29">
          <w:rPr>
            <w:rStyle w:val="Hyperlink"/>
            <w:rFonts w:cs="Arial"/>
            <w:noProof/>
            <w:sz w:val="22"/>
            <w:szCs w:val="22"/>
          </w:rPr>
          <w:t>Figure 7: Cumulative discounted cash flow at 8%.</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_Toc237514479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19</w:t>
        </w:r>
        <w:r w:rsidRPr="005C6E29">
          <w:rPr>
            <w:rFonts w:cs="Arial"/>
            <w:noProof/>
            <w:webHidden/>
            <w:sz w:val="22"/>
            <w:szCs w:val="22"/>
          </w:rPr>
          <w:fldChar w:fldCharType="end"/>
        </w:r>
      </w:hyperlink>
    </w:p>
    <w:p w14:paraId="652EE440" w14:textId="775A7DF5" w:rsidR="005C6E29" w:rsidRPr="005C6E29" w:rsidRDefault="005C6E29">
      <w:pPr>
        <w:pStyle w:val="TableofFigures"/>
        <w:tabs>
          <w:tab w:val="right" w:leader="dot" w:pos="9016"/>
        </w:tabs>
        <w:rPr>
          <w:rFonts w:eastAsiaTheme="minorEastAsia" w:cs="Arial"/>
          <w:noProof/>
          <w:color w:val="auto"/>
          <w:sz w:val="22"/>
          <w:szCs w:val="22"/>
          <w:lang w:eastAsia="en-GB"/>
        </w:rPr>
      </w:pPr>
      <w:hyperlink w:anchor="_Toc237514480" w:history="1">
        <w:r w:rsidRPr="005C6E29">
          <w:rPr>
            <w:rStyle w:val="Hyperlink"/>
            <w:rFonts w:cs="Arial"/>
            <w:noProof/>
            <w:sz w:val="22"/>
            <w:szCs w:val="22"/>
          </w:rPr>
          <w:t xml:space="preserve">Figure 8: </w:t>
        </w:r>
        <w:r w:rsidRPr="005C6E29">
          <w:rPr>
            <w:rStyle w:val="Hyperlink"/>
            <w:rFonts w:eastAsia="Calibri" w:cs="Arial"/>
            <w:noProof/>
            <w:sz w:val="22"/>
            <w:szCs w:val="22"/>
          </w:rPr>
          <w:t>NPV profiles and internal rates of return.</w:t>
        </w:r>
        <w:r w:rsidRPr="005C6E29">
          <w:rPr>
            <w:rFonts w:cs="Arial"/>
            <w:noProof/>
            <w:webHidden/>
            <w:sz w:val="22"/>
            <w:szCs w:val="22"/>
          </w:rPr>
          <w:tab/>
        </w:r>
        <w:r w:rsidRPr="005C6E29">
          <w:rPr>
            <w:rFonts w:cs="Arial"/>
            <w:noProof/>
            <w:webHidden/>
            <w:sz w:val="22"/>
            <w:szCs w:val="22"/>
          </w:rPr>
          <w:fldChar w:fldCharType="begin"/>
        </w:r>
        <w:r w:rsidRPr="005C6E29">
          <w:rPr>
            <w:rFonts w:cs="Arial"/>
            <w:noProof/>
            <w:webHidden/>
            <w:sz w:val="22"/>
            <w:szCs w:val="22"/>
          </w:rPr>
          <w:instrText xml:space="preserve"> PAGEREF _Toc237514480 \h </w:instrText>
        </w:r>
        <w:r w:rsidRPr="005C6E29">
          <w:rPr>
            <w:rFonts w:cs="Arial"/>
            <w:noProof/>
            <w:webHidden/>
            <w:sz w:val="22"/>
            <w:szCs w:val="22"/>
          </w:rPr>
        </w:r>
        <w:r w:rsidRPr="005C6E29">
          <w:rPr>
            <w:rFonts w:cs="Arial"/>
            <w:noProof/>
            <w:webHidden/>
            <w:sz w:val="22"/>
            <w:szCs w:val="22"/>
          </w:rPr>
          <w:fldChar w:fldCharType="separate"/>
        </w:r>
        <w:r w:rsidRPr="005C6E29">
          <w:rPr>
            <w:rFonts w:cs="Arial"/>
            <w:noProof/>
            <w:webHidden/>
            <w:sz w:val="22"/>
            <w:szCs w:val="22"/>
          </w:rPr>
          <w:t>20</w:t>
        </w:r>
        <w:r w:rsidRPr="005C6E29">
          <w:rPr>
            <w:rFonts w:cs="Arial"/>
            <w:noProof/>
            <w:webHidden/>
            <w:sz w:val="22"/>
            <w:szCs w:val="22"/>
          </w:rPr>
          <w:fldChar w:fldCharType="end"/>
        </w:r>
      </w:hyperlink>
    </w:p>
    <w:p w14:paraId="0A6C8CAE" w14:textId="52F7660E" w:rsidR="00F75D9C" w:rsidRPr="00DB45BA" w:rsidRDefault="005C6E29" w:rsidP="007B6C6E">
      <w:pPr>
        <w:rPr>
          <w:rFonts w:cs="Arial"/>
          <w:sz w:val="22"/>
          <w:szCs w:val="22"/>
        </w:rPr>
      </w:pPr>
      <w:r>
        <w:rPr>
          <w:rFonts w:cs="Arial"/>
          <w:sz w:val="22"/>
          <w:szCs w:val="22"/>
        </w:rPr>
        <w:fldChar w:fldCharType="end"/>
      </w:r>
    </w:p>
    <w:p w14:paraId="59A295A6" w14:textId="77777777" w:rsidR="00DB45BA" w:rsidRDefault="00DB45BA" w:rsidP="007B6C6E">
      <w:pPr>
        <w:rPr>
          <w:rFonts w:cs="Arial"/>
          <w:b/>
          <w:bCs/>
        </w:rPr>
      </w:pPr>
    </w:p>
    <w:p w14:paraId="420BBE87" w14:textId="77777777" w:rsidR="00DB45BA" w:rsidRDefault="00DB45BA" w:rsidP="007B6C6E">
      <w:pPr>
        <w:rPr>
          <w:rFonts w:cs="Arial"/>
          <w:b/>
          <w:bCs/>
        </w:rPr>
      </w:pPr>
    </w:p>
    <w:p w14:paraId="6ECEC16B" w14:textId="77777777" w:rsidR="00DB45BA" w:rsidRDefault="00DB45BA" w:rsidP="007B6C6E">
      <w:pPr>
        <w:rPr>
          <w:rFonts w:cs="Arial"/>
          <w:b/>
          <w:bCs/>
        </w:rPr>
      </w:pPr>
    </w:p>
    <w:p w14:paraId="635DA7C0" w14:textId="77777777" w:rsidR="00DB45BA" w:rsidRDefault="00DB45BA" w:rsidP="007B6C6E">
      <w:pPr>
        <w:rPr>
          <w:rFonts w:cs="Arial"/>
          <w:b/>
          <w:bCs/>
        </w:rPr>
      </w:pPr>
    </w:p>
    <w:p w14:paraId="0652DC08" w14:textId="77777777" w:rsidR="00DB45BA" w:rsidRDefault="00DB45BA" w:rsidP="007B6C6E">
      <w:pPr>
        <w:rPr>
          <w:rFonts w:cs="Arial"/>
          <w:b/>
          <w:bCs/>
        </w:rPr>
      </w:pPr>
    </w:p>
    <w:p w14:paraId="714E7969" w14:textId="03D374CE" w:rsidR="000D05E7" w:rsidRDefault="00D9321D" w:rsidP="00D9321D">
      <w:pPr>
        <w:pStyle w:val="Heading1"/>
      </w:pPr>
      <w:bookmarkStart w:id="0" w:name="_Toc237514428"/>
      <w:r>
        <w:lastRenderedPageBreak/>
        <w:t>Introduction</w:t>
      </w:r>
      <w:bookmarkEnd w:id="0"/>
    </w:p>
    <w:p w14:paraId="0DFA1002" w14:textId="77777777" w:rsidR="00F75D9C" w:rsidRDefault="00F75D9C" w:rsidP="00F75D9C">
      <w:r>
        <w:t>Whitbread PLC is the UK's biggest hotel business and the proprietor of the Premier Inn brand. Unlike its international counterparts, Whitbread is predominantly a hotel owner and leaser, not a hotel franchisee or manager. This is a business with a very large balance sheet, long leases and a high annual capital programme, so it is an asset-heavy business. The Group also owns a network of hotels in Germany that are beginning to turn a profit but do not perform as well as the UK hotels (Whitbread PLC, 2026); it also has a large integrated restaurant estate along with its hotels in the UK.</w:t>
      </w:r>
    </w:p>
    <w:p w14:paraId="4D44C82F" w14:textId="4BFB65FD" w:rsidR="00F75D9C" w:rsidRDefault="00F75D9C" w:rsidP="00F75D9C">
      <w:r>
        <w:t>This report is prepared for the Board of Directors, on the part of the Chief Financial Officer. It covers the five financial years between the 3 March 2022 (FY2022) and 26 February 2026 (FY2026). The time span is particularly informative as it begins with the last year of pandemic disruption and concludes with a well-established, cash generating business with high levels of gearing in a low growth UK market.</w:t>
      </w:r>
      <w:r w:rsidR="00D6742B">
        <w:t xml:space="preserve"> </w:t>
      </w:r>
      <w:r w:rsidR="00D6742B" w:rsidRPr="00D6742B">
        <w:t>Unless otherwise indicated, all figures are from the consolidated accounts for the fiscal year, which have been audited.</w:t>
      </w:r>
    </w:p>
    <w:p w14:paraId="452466EB" w14:textId="153D88C3" w:rsidR="00F75D9C" w:rsidRDefault="00F75D9C" w:rsidP="00F75D9C">
      <w:pPr>
        <w:pStyle w:val="Heading1"/>
      </w:pPr>
      <w:bookmarkStart w:id="1" w:name="_Toc237514429"/>
      <w:r>
        <w:t>Financial Health Check</w:t>
      </w:r>
      <w:bookmarkEnd w:id="1"/>
    </w:p>
    <w:p w14:paraId="6390EE27" w14:textId="482B5621" w:rsidR="00F75D9C" w:rsidRDefault="00F75D9C" w:rsidP="00F75D9C">
      <w:pPr>
        <w:pStyle w:val="Heading2"/>
      </w:pPr>
      <w:bookmarkStart w:id="2" w:name="_Toc237514430"/>
      <w:r w:rsidRPr="00F75D9C">
        <w:t>Overview of financial performance, FY2022–FY2026</w:t>
      </w:r>
      <w:bookmarkEnd w:id="2"/>
    </w:p>
    <w:p w14:paraId="3EA58F73" w14:textId="5F405D88" w:rsidR="00F75D9C" w:rsidRDefault="00406FDA" w:rsidP="00F75D9C">
      <w:r w:rsidRPr="00406FDA">
        <w:t>Table 1 summarises the headline numbers (Whitbread PLC, 2022; 2023; 2024; 2025; 2026)</w:t>
      </w:r>
      <w:r w:rsidR="00F75D9C">
        <w:t xml:space="preserve">. The </w:t>
      </w:r>
      <w:r w:rsidR="007B30DF">
        <w:t>easing</w:t>
      </w:r>
      <w:r w:rsidR="00F75D9C">
        <w:t xml:space="preserve"> in travel restrictions was followed by an increase in revenue from £1,703.4 million in FY2022 to £2,959.9 million in FY2024, an increase of 74 </w:t>
      </w:r>
      <w:r w:rsidR="00B64CDE">
        <w:t>%</w:t>
      </w:r>
      <w:r w:rsidR="00F75D9C">
        <w:t>, thanks to the ease of travel restrictions and a positive recovery of occupancy and room rates. Growth then stopped. Revenue was £2,921.9 million in FY2025 and £2,920.2 million in FY2026, so the top line has been broadly flat for three years (Whitbread PLC, 2024; 2026).</w:t>
      </w:r>
    </w:p>
    <w:p w14:paraId="651C9863" w14:textId="707D06D1" w:rsidR="000D05E7" w:rsidRDefault="00F75D9C" w:rsidP="00F75D9C">
      <w:r>
        <w:t xml:space="preserve">Profitability is a little trickier as Whitbread makes statutory and adjusted profit figures. The operating profit grew consistently to its highest level in the period at £648.9 million for FY2026. The statutory operating profit, on the other hand, declined from £564.8 million in FY2024 to £464.2 million in FY2026 as the adjusting items increased from £109.4 million to £184.7 million. These are mostly property impairments and restructuring costs associated with redevelopment of restaurant space to hotel rooms. </w:t>
      </w:r>
      <w:r>
        <w:lastRenderedPageBreak/>
        <w:t>Trading judgement can be done using adjusted figures but statutory figures are the ones that will have an impact on reducing reserves and cash, so both figures are used here (Atrill and McLaney, 2022).</w:t>
      </w:r>
    </w:p>
    <w:p w14:paraId="1963A91C" w14:textId="12522114" w:rsidR="00F75D9C" w:rsidRPr="00DB45BA" w:rsidRDefault="00DB45BA" w:rsidP="00DB45BA">
      <w:pPr>
        <w:jc w:val="center"/>
        <w:rPr>
          <w:b/>
          <w:bCs/>
        </w:rPr>
      </w:pPr>
      <w:bookmarkStart w:id="3" w:name="_Toc237514468"/>
      <w:r w:rsidRPr="00DB45BA">
        <w:rPr>
          <w:b/>
          <w:bCs/>
          <w:sz w:val="22"/>
          <w:szCs w:val="22"/>
        </w:rPr>
        <w:t xml:space="preserve">Table </w:t>
      </w:r>
      <w:r w:rsidRPr="00DB45BA">
        <w:rPr>
          <w:b/>
          <w:bCs/>
          <w:sz w:val="22"/>
          <w:szCs w:val="22"/>
        </w:rPr>
        <w:fldChar w:fldCharType="begin"/>
      </w:r>
      <w:r w:rsidRPr="00DB45BA">
        <w:rPr>
          <w:b/>
          <w:bCs/>
          <w:sz w:val="22"/>
          <w:szCs w:val="22"/>
        </w:rPr>
        <w:instrText xml:space="preserve"> SEQ Table \* ARABIC </w:instrText>
      </w:r>
      <w:r w:rsidRPr="00DB45BA">
        <w:rPr>
          <w:b/>
          <w:bCs/>
          <w:sz w:val="22"/>
          <w:szCs w:val="22"/>
        </w:rPr>
        <w:fldChar w:fldCharType="separate"/>
      </w:r>
      <w:r w:rsidR="00DF1635">
        <w:rPr>
          <w:b/>
          <w:bCs/>
          <w:noProof/>
          <w:sz w:val="22"/>
          <w:szCs w:val="22"/>
        </w:rPr>
        <w:t>1</w:t>
      </w:r>
      <w:r w:rsidRPr="00DB45BA">
        <w:rPr>
          <w:b/>
          <w:bCs/>
          <w:sz w:val="22"/>
          <w:szCs w:val="22"/>
        </w:rPr>
        <w:fldChar w:fldCharType="end"/>
      </w:r>
      <w:r w:rsidRPr="00DB45BA">
        <w:rPr>
          <w:b/>
          <w:bCs/>
          <w:sz w:val="22"/>
          <w:szCs w:val="22"/>
        </w:rPr>
        <w:t>:</w:t>
      </w:r>
      <w:r w:rsidR="00F75D9C" w:rsidRPr="00DB45BA">
        <w:rPr>
          <w:b/>
          <w:bCs/>
          <w:sz w:val="22"/>
          <w:szCs w:val="22"/>
        </w:rPr>
        <w:t>Five-year summary of key financial data, FY2022–FY2026.</w:t>
      </w:r>
      <w:bookmarkEnd w:id="3"/>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1200"/>
        <w:gridCol w:w="1200"/>
        <w:gridCol w:w="1200"/>
        <w:gridCol w:w="1200"/>
        <w:gridCol w:w="1200"/>
      </w:tblGrid>
      <w:tr w:rsidR="00F75D9C" w14:paraId="30AD8230" w14:textId="77777777" w:rsidTr="00F75D9C">
        <w:trPr>
          <w:tblHeader/>
          <w:jc w:val="center"/>
        </w:trPr>
        <w:tc>
          <w:tcPr>
            <w:tcW w:w="3000" w:type="dxa"/>
            <w:shd w:val="clear" w:color="auto" w:fill="1F3864"/>
            <w:tcMar>
              <w:top w:w="60" w:type="dxa"/>
              <w:left w:w="90" w:type="dxa"/>
              <w:bottom w:w="60" w:type="dxa"/>
              <w:right w:w="90" w:type="dxa"/>
            </w:tcMar>
            <w:vAlign w:val="center"/>
          </w:tcPr>
          <w:p w14:paraId="7CFF3594"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 million (unless stated)</w:t>
            </w:r>
          </w:p>
        </w:tc>
        <w:tc>
          <w:tcPr>
            <w:tcW w:w="1200" w:type="dxa"/>
            <w:shd w:val="clear" w:color="auto" w:fill="1F3864"/>
            <w:tcMar>
              <w:top w:w="60" w:type="dxa"/>
              <w:left w:w="90" w:type="dxa"/>
              <w:bottom w:w="60" w:type="dxa"/>
              <w:right w:w="90" w:type="dxa"/>
            </w:tcMar>
            <w:vAlign w:val="center"/>
          </w:tcPr>
          <w:p w14:paraId="65B770B0"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FY2022</w:t>
            </w:r>
          </w:p>
        </w:tc>
        <w:tc>
          <w:tcPr>
            <w:tcW w:w="1200" w:type="dxa"/>
            <w:shd w:val="clear" w:color="auto" w:fill="1F3864"/>
            <w:tcMar>
              <w:top w:w="60" w:type="dxa"/>
              <w:left w:w="90" w:type="dxa"/>
              <w:bottom w:w="60" w:type="dxa"/>
              <w:right w:w="90" w:type="dxa"/>
            </w:tcMar>
            <w:vAlign w:val="center"/>
          </w:tcPr>
          <w:p w14:paraId="496B0EF1"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FY2023</w:t>
            </w:r>
          </w:p>
        </w:tc>
        <w:tc>
          <w:tcPr>
            <w:tcW w:w="1200" w:type="dxa"/>
            <w:shd w:val="clear" w:color="auto" w:fill="1F3864"/>
            <w:tcMar>
              <w:top w:w="60" w:type="dxa"/>
              <w:left w:w="90" w:type="dxa"/>
              <w:bottom w:w="60" w:type="dxa"/>
              <w:right w:w="90" w:type="dxa"/>
            </w:tcMar>
            <w:vAlign w:val="center"/>
          </w:tcPr>
          <w:p w14:paraId="2B2908D2"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FY2024</w:t>
            </w:r>
          </w:p>
        </w:tc>
        <w:tc>
          <w:tcPr>
            <w:tcW w:w="1200" w:type="dxa"/>
            <w:shd w:val="clear" w:color="auto" w:fill="1F3864"/>
            <w:tcMar>
              <w:top w:w="60" w:type="dxa"/>
              <w:left w:w="90" w:type="dxa"/>
              <w:bottom w:w="60" w:type="dxa"/>
              <w:right w:w="90" w:type="dxa"/>
            </w:tcMar>
            <w:vAlign w:val="center"/>
          </w:tcPr>
          <w:p w14:paraId="60442EE3"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FY2025</w:t>
            </w:r>
          </w:p>
        </w:tc>
        <w:tc>
          <w:tcPr>
            <w:tcW w:w="1200" w:type="dxa"/>
            <w:shd w:val="clear" w:color="auto" w:fill="1F3864"/>
            <w:tcMar>
              <w:top w:w="60" w:type="dxa"/>
              <w:left w:w="90" w:type="dxa"/>
              <w:bottom w:w="60" w:type="dxa"/>
              <w:right w:w="90" w:type="dxa"/>
            </w:tcMar>
            <w:vAlign w:val="center"/>
          </w:tcPr>
          <w:p w14:paraId="32C7A90F" w14:textId="77777777" w:rsidR="00F75D9C" w:rsidRPr="00F75D9C" w:rsidRDefault="00F75D9C" w:rsidP="00F75D9C">
            <w:pPr>
              <w:jc w:val="center"/>
              <w:rPr>
                <w:sz w:val="20"/>
                <w:szCs w:val="20"/>
              </w:rPr>
            </w:pPr>
            <w:r w:rsidRPr="00F75D9C">
              <w:rPr>
                <w:rFonts w:ascii="Calibri" w:eastAsia="Calibri" w:hAnsi="Calibri" w:cs="Calibri"/>
                <w:b/>
                <w:bCs/>
                <w:color w:val="FFFFFF"/>
                <w:sz w:val="20"/>
                <w:szCs w:val="20"/>
              </w:rPr>
              <w:t>FY2026</w:t>
            </w:r>
          </w:p>
        </w:tc>
      </w:tr>
      <w:tr w:rsidR="00F75D9C" w14:paraId="20537F7B" w14:textId="77777777" w:rsidTr="00F75D9C">
        <w:trPr>
          <w:jc w:val="center"/>
        </w:trPr>
        <w:tc>
          <w:tcPr>
            <w:tcW w:w="3000" w:type="dxa"/>
            <w:shd w:val="clear" w:color="auto" w:fill="FFFFFF"/>
            <w:tcMar>
              <w:top w:w="60" w:type="dxa"/>
              <w:left w:w="90" w:type="dxa"/>
              <w:bottom w:w="60" w:type="dxa"/>
              <w:right w:w="90" w:type="dxa"/>
            </w:tcMar>
            <w:vAlign w:val="center"/>
          </w:tcPr>
          <w:p w14:paraId="0B6827D5"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Revenue</w:t>
            </w:r>
          </w:p>
        </w:tc>
        <w:tc>
          <w:tcPr>
            <w:tcW w:w="1200" w:type="dxa"/>
            <w:shd w:val="clear" w:color="auto" w:fill="FFFFFF"/>
            <w:tcMar>
              <w:top w:w="60" w:type="dxa"/>
              <w:left w:w="90" w:type="dxa"/>
              <w:bottom w:w="60" w:type="dxa"/>
              <w:right w:w="90" w:type="dxa"/>
            </w:tcMar>
            <w:vAlign w:val="center"/>
          </w:tcPr>
          <w:p w14:paraId="35CCD94A"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1,703.4</w:t>
            </w:r>
          </w:p>
        </w:tc>
        <w:tc>
          <w:tcPr>
            <w:tcW w:w="1200" w:type="dxa"/>
            <w:shd w:val="clear" w:color="auto" w:fill="FFFFFF"/>
            <w:tcMar>
              <w:top w:w="60" w:type="dxa"/>
              <w:left w:w="90" w:type="dxa"/>
              <w:bottom w:w="60" w:type="dxa"/>
              <w:right w:w="90" w:type="dxa"/>
            </w:tcMar>
            <w:vAlign w:val="center"/>
          </w:tcPr>
          <w:p w14:paraId="0EB8CD98"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2,625.2</w:t>
            </w:r>
          </w:p>
        </w:tc>
        <w:tc>
          <w:tcPr>
            <w:tcW w:w="1200" w:type="dxa"/>
            <w:shd w:val="clear" w:color="auto" w:fill="FFFFFF"/>
            <w:tcMar>
              <w:top w:w="60" w:type="dxa"/>
              <w:left w:w="90" w:type="dxa"/>
              <w:bottom w:w="60" w:type="dxa"/>
              <w:right w:w="90" w:type="dxa"/>
            </w:tcMar>
            <w:vAlign w:val="center"/>
          </w:tcPr>
          <w:p w14:paraId="62B3EE4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2,959.9</w:t>
            </w:r>
          </w:p>
        </w:tc>
        <w:tc>
          <w:tcPr>
            <w:tcW w:w="1200" w:type="dxa"/>
            <w:shd w:val="clear" w:color="auto" w:fill="FFFFFF"/>
            <w:tcMar>
              <w:top w:w="60" w:type="dxa"/>
              <w:left w:w="90" w:type="dxa"/>
              <w:bottom w:w="60" w:type="dxa"/>
              <w:right w:w="90" w:type="dxa"/>
            </w:tcMar>
            <w:vAlign w:val="center"/>
          </w:tcPr>
          <w:p w14:paraId="2BC9CEA6"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2,921.9</w:t>
            </w:r>
          </w:p>
        </w:tc>
        <w:tc>
          <w:tcPr>
            <w:tcW w:w="1200" w:type="dxa"/>
            <w:shd w:val="clear" w:color="auto" w:fill="FFFFFF"/>
            <w:tcMar>
              <w:top w:w="60" w:type="dxa"/>
              <w:left w:w="90" w:type="dxa"/>
              <w:bottom w:w="60" w:type="dxa"/>
              <w:right w:w="90" w:type="dxa"/>
            </w:tcMar>
            <w:vAlign w:val="center"/>
          </w:tcPr>
          <w:p w14:paraId="7809858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2,920.2</w:t>
            </w:r>
          </w:p>
        </w:tc>
      </w:tr>
      <w:tr w:rsidR="00F75D9C" w14:paraId="12032C68" w14:textId="77777777" w:rsidTr="00F75D9C">
        <w:trPr>
          <w:jc w:val="center"/>
        </w:trPr>
        <w:tc>
          <w:tcPr>
            <w:tcW w:w="3000" w:type="dxa"/>
            <w:shd w:val="clear" w:color="auto" w:fill="EAEEF5"/>
            <w:tcMar>
              <w:top w:w="60" w:type="dxa"/>
              <w:left w:w="90" w:type="dxa"/>
              <w:bottom w:w="60" w:type="dxa"/>
              <w:right w:w="90" w:type="dxa"/>
            </w:tcMar>
            <w:vAlign w:val="center"/>
          </w:tcPr>
          <w:p w14:paraId="3E4E4E73"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Statutory operating profit</w:t>
            </w:r>
          </w:p>
        </w:tc>
        <w:tc>
          <w:tcPr>
            <w:tcW w:w="1200" w:type="dxa"/>
            <w:shd w:val="clear" w:color="auto" w:fill="EAEEF5"/>
            <w:tcMar>
              <w:top w:w="60" w:type="dxa"/>
              <w:left w:w="90" w:type="dxa"/>
              <w:bottom w:w="60" w:type="dxa"/>
              <w:right w:w="90" w:type="dxa"/>
            </w:tcMar>
            <w:vAlign w:val="center"/>
          </w:tcPr>
          <w:p w14:paraId="5D247787"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227.3</w:t>
            </w:r>
          </w:p>
        </w:tc>
        <w:tc>
          <w:tcPr>
            <w:tcW w:w="1200" w:type="dxa"/>
            <w:shd w:val="clear" w:color="auto" w:fill="EAEEF5"/>
            <w:tcMar>
              <w:top w:w="60" w:type="dxa"/>
              <w:left w:w="90" w:type="dxa"/>
              <w:bottom w:w="60" w:type="dxa"/>
              <w:right w:w="90" w:type="dxa"/>
            </w:tcMar>
            <w:vAlign w:val="center"/>
          </w:tcPr>
          <w:p w14:paraId="5B0A6982"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505.0</w:t>
            </w:r>
          </w:p>
        </w:tc>
        <w:tc>
          <w:tcPr>
            <w:tcW w:w="1200" w:type="dxa"/>
            <w:shd w:val="clear" w:color="auto" w:fill="EAEEF5"/>
            <w:tcMar>
              <w:top w:w="60" w:type="dxa"/>
              <w:left w:w="90" w:type="dxa"/>
              <w:bottom w:w="60" w:type="dxa"/>
              <w:right w:w="90" w:type="dxa"/>
            </w:tcMar>
            <w:vAlign w:val="center"/>
          </w:tcPr>
          <w:p w14:paraId="397E768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564.8</w:t>
            </w:r>
          </w:p>
        </w:tc>
        <w:tc>
          <w:tcPr>
            <w:tcW w:w="1200" w:type="dxa"/>
            <w:shd w:val="clear" w:color="auto" w:fill="EAEEF5"/>
            <w:tcMar>
              <w:top w:w="60" w:type="dxa"/>
              <w:left w:w="90" w:type="dxa"/>
              <w:bottom w:w="60" w:type="dxa"/>
              <w:right w:w="90" w:type="dxa"/>
            </w:tcMar>
            <w:vAlign w:val="center"/>
          </w:tcPr>
          <w:p w14:paraId="439695E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514.0</w:t>
            </w:r>
          </w:p>
        </w:tc>
        <w:tc>
          <w:tcPr>
            <w:tcW w:w="1200" w:type="dxa"/>
            <w:shd w:val="clear" w:color="auto" w:fill="EAEEF5"/>
            <w:tcMar>
              <w:top w:w="60" w:type="dxa"/>
              <w:left w:w="90" w:type="dxa"/>
              <w:bottom w:w="60" w:type="dxa"/>
              <w:right w:w="90" w:type="dxa"/>
            </w:tcMar>
            <w:vAlign w:val="center"/>
          </w:tcPr>
          <w:p w14:paraId="0302805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464.2</w:t>
            </w:r>
          </w:p>
        </w:tc>
      </w:tr>
      <w:tr w:rsidR="00F75D9C" w14:paraId="32411DE4" w14:textId="77777777" w:rsidTr="00F75D9C">
        <w:trPr>
          <w:jc w:val="center"/>
        </w:trPr>
        <w:tc>
          <w:tcPr>
            <w:tcW w:w="3000" w:type="dxa"/>
            <w:shd w:val="clear" w:color="auto" w:fill="FFFFFF"/>
            <w:tcMar>
              <w:top w:w="60" w:type="dxa"/>
              <w:left w:w="90" w:type="dxa"/>
              <w:bottom w:w="60" w:type="dxa"/>
              <w:right w:w="90" w:type="dxa"/>
            </w:tcMar>
            <w:vAlign w:val="center"/>
          </w:tcPr>
          <w:p w14:paraId="1ECB433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Adjusted operating profit</w:t>
            </w:r>
          </w:p>
        </w:tc>
        <w:tc>
          <w:tcPr>
            <w:tcW w:w="1200" w:type="dxa"/>
            <w:shd w:val="clear" w:color="auto" w:fill="FFFFFF"/>
            <w:tcMar>
              <w:top w:w="60" w:type="dxa"/>
              <w:left w:w="90" w:type="dxa"/>
              <w:bottom w:w="60" w:type="dxa"/>
              <w:right w:w="90" w:type="dxa"/>
            </w:tcMar>
            <w:vAlign w:val="center"/>
          </w:tcPr>
          <w:p w14:paraId="76DF4124"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153.3</w:t>
            </w:r>
          </w:p>
        </w:tc>
        <w:tc>
          <w:tcPr>
            <w:tcW w:w="1200" w:type="dxa"/>
            <w:shd w:val="clear" w:color="auto" w:fill="FFFFFF"/>
            <w:tcMar>
              <w:top w:w="60" w:type="dxa"/>
              <w:left w:w="90" w:type="dxa"/>
              <w:bottom w:w="60" w:type="dxa"/>
              <w:right w:w="90" w:type="dxa"/>
            </w:tcMar>
            <w:vAlign w:val="center"/>
          </w:tcPr>
          <w:p w14:paraId="6DD2F4F1"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543.5</w:t>
            </w:r>
          </w:p>
        </w:tc>
        <w:tc>
          <w:tcPr>
            <w:tcW w:w="1200" w:type="dxa"/>
            <w:shd w:val="clear" w:color="auto" w:fill="FFFFFF"/>
            <w:tcMar>
              <w:top w:w="60" w:type="dxa"/>
              <w:left w:w="90" w:type="dxa"/>
              <w:bottom w:w="60" w:type="dxa"/>
              <w:right w:w="90" w:type="dxa"/>
            </w:tcMar>
            <w:vAlign w:val="center"/>
          </w:tcPr>
          <w:p w14:paraId="510BACE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674.2</w:t>
            </w:r>
          </w:p>
        </w:tc>
        <w:tc>
          <w:tcPr>
            <w:tcW w:w="1200" w:type="dxa"/>
            <w:shd w:val="clear" w:color="auto" w:fill="FFFFFF"/>
            <w:tcMar>
              <w:top w:w="60" w:type="dxa"/>
              <w:left w:w="90" w:type="dxa"/>
              <w:bottom w:w="60" w:type="dxa"/>
              <w:right w:w="90" w:type="dxa"/>
            </w:tcMar>
            <w:vAlign w:val="center"/>
          </w:tcPr>
          <w:p w14:paraId="47F5BED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629.6</w:t>
            </w:r>
          </w:p>
        </w:tc>
        <w:tc>
          <w:tcPr>
            <w:tcW w:w="1200" w:type="dxa"/>
            <w:shd w:val="clear" w:color="auto" w:fill="FFFFFF"/>
            <w:tcMar>
              <w:top w:w="60" w:type="dxa"/>
              <w:left w:w="90" w:type="dxa"/>
              <w:bottom w:w="60" w:type="dxa"/>
              <w:right w:w="90" w:type="dxa"/>
            </w:tcMar>
            <w:vAlign w:val="center"/>
          </w:tcPr>
          <w:p w14:paraId="39A60CA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648.9</w:t>
            </w:r>
          </w:p>
        </w:tc>
      </w:tr>
      <w:tr w:rsidR="00F75D9C" w14:paraId="57111AC3" w14:textId="77777777" w:rsidTr="00F75D9C">
        <w:trPr>
          <w:jc w:val="center"/>
        </w:trPr>
        <w:tc>
          <w:tcPr>
            <w:tcW w:w="3000" w:type="dxa"/>
            <w:shd w:val="clear" w:color="auto" w:fill="EAEEF5"/>
            <w:tcMar>
              <w:top w:w="60" w:type="dxa"/>
              <w:left w:w="90" w:type="dxa"/>
              <w:bottom w:w="60" w:type="dxa"/>
              <w:right w:w="90" w:type="dxa"/>
            </w:tcMar>
            <w:vAlign w:val="center"/>
          </w:tcPr>
          <w:p w14:paraId="072493E4"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Profit before tax (statutory)</w:t>
            </w:r>
          </w:p>
        </w:tc>
        <w:tc>
          <w:tcPr>
            <w:tcW w:w="1200" w:type="dxa"/>
            <w:shd w:val="clear" w:color="auto" w:fill="EAEEF5"/>
            <w:tcMar>
              <w:top w:w="60" w:type="dxa"/>
              <w:left w:w="90" w:type="dxa"/>
              <w:bottom w:w="60" w:type="dxa"/>
              <w:right w:w="90" w:type="dxa"/>
            </w:tcMar>
            <w:vAlign w:val="center"/>
          </w:tcPr>
          <w:p w14:paraId="214A401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58.2</w:t>
            </w:r>
          </w:p>
        </w:tc>
        <w:tc>
          <w:tcPr>
            <w:tcW w:w="1200" w:type="dxa"/>
            <w:shd w:val="clear" w:color="auto" w:fill="EAEEF5"/>
            <w:tcMar>
              <w:top w:w="60" w:type="dxa"/>
              <w:left w:w="90" w:type="dxa"/>
              <w:bottom w:w="60" w:type="dxa"/>
              <w:right w:w="90" w:type="dxa"/>
            </w:tcMar>
            <w:vAlign w:val="center"/>
          </w:tcPr>
          <w:p w14:paraId="38885C1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374.9</w:t>
            </w:r>
          </w:p>
        </w:tc>
        <w:tc>
          <w:tcPr>
            <w:tcW w:w="1200" w:type="dxa"/>
            <w:shd w:val="clear" w:color="auto" w:fill="EAEEF5"/>
            <w:tcMar>
              <w:top w:w="60" w:type="dxa"/>
              <w:left w:w="90" w:type="dxa"/>
              <w:bottom w:w="60" w:type="dxa"/>
              <w:right w:w="90" w:type="dxa"/>
            </w:tcMar>
            <w:vAlign w:val="center"/>
          </w:tcPr>
          <w:p w14:paraId="624098C5"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451.7</w:t>
            </w:r>
          </w:p>
        </w:tc>
        <w:tc>
          <w:tcPr>
            <w:tcW w:w="1200" w:type="dxa"/>
            <w:shd w:val="clear" w:color="auto" w:fill="EAEEF5"/>
            <w:tcMar>
              <w:top w:w="60" w:type="dxa"/>
              <w:left w:w="90" w:type="dxa"/>
              <w:bottom w:w="60" w:type="dxa"/>
              <w:right w:w="90" w:type="dxa"/>
            </w:tcMar>
            <w:vAlign w:val="center"/>
          </w:tcPr>
          <w:p w14:paraId="633197E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367.8</w:t>
            </w:r>
          </w:p>
        </w:tc>
        <w:tc>
          <w:tcPr>
            <w:tcW w:w="1200" w:type="dxa"/>
            <w:shd w:val="clear" w:color="auto" w:fill="EAEEF5"/>
            <w:tcMar>
              <w:top w:w="60" w:type="dxa"/>
              <w:left w:w="90" w:type="dxa"/>
              <w:bottom w:w="60" w:type="dxa"/>
              <w:right w:w="90" w:type="dxa"/>
            </w:tcMar>
            <w:vAlign w:val="center"/>
          </w:tcPr>
          <w:p w14:paraId="009E618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298.4</w:t>
            </w:r>
          </w:p>
        </w:tc>
      </w:tr>
      <w:tr w:rsidR="00F75D9C" w14:paraId="06D39679" w14:textId="77777777" w:rsidTr="00F75D9C">
        <w:trPr>
          <w:jc w:val="center"/>
        </w:trPr>
        <w:tc>
          <w:tcPr>
            <w:tcW w:w="3000" w:type="dxa"/>
            <w:shd w:val="clear" w:color="auto" w:fill="FFFFFF"/>
            <w:tcMar>
              <w:top w:w="60" w:type="dxa"/>
              <w:left w:w="90" w:type="dxa"/>
              <w:bottom w:w="60" w:type="dxa"/>
              <w:right w:w="90" w:type="dxa"/>
            </w:tcMar>
            <w:vAlign w:val="center"/>
          </w:tcPr>
          <w:p w14:paraId="463CA20D"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Profit for the year</w:t>
            </w:r>
          </w:p>
        </w:tc>
        <w:tc>
          <w:tcPr>
            <w:tcW w:w="1200" w:type="dxa"/>
            <w:shd w:val="clear" w:color="auto" w:fill="FFFFFF"/>
            <w:tcMar>
              <w:top w:w="60" w:type="dxa"/>
              <w:left w:w="90" w:type="dxa"/>
              <w:bottom w:w="60" w:type="dxa"/>
              <w:right w:w="90" w:type="dxa"/>
            </w:tcMar>
            <w:vAlign w:val="center"/>
          </w:tcPr>
          <w:p w14:paraId="1F21B1A7"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42.5</w:t>
            </w:r>
          </w:p>
        </w:tc>
        <w:tc>
          <w:tcPr>
            <w:tcW w:w="1200" w:type="dxa"/>
            <w:shd w:val="clear" w:color="auto" w:fill="FFFFFF"/>
            <w:tcMar>
              <w:top w:w="60" w:type="dxa"/>
              <w:left w:w="90" w:type="dxa"/>
              <w:bottom w:w="60" w:type="dxa"/>
              <w:right w:w="90" w:type="dxa"/>
            </w:tcMar>
            <w:vAlign w:val="center"/>
          </w:tcPr>
          <w:p w14:paraId="6AA920D8"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278.8</w:t>
            </w:r>
          </w:p>
        </w:tc>
        <w:tc>
          <w:tcPr>
            <w:tcW w:w="1200" w:type="dxa"/>
            <w:shd w:val="clear" w:color="auto" w:fill="FFFFFF"/>
            <w:tcMar>
              <w:top w:w="60" w:type="dxa"/>
              <w:left w:w="90" w:type="dxa"/>
              <w:bottom w:w="60" w:type="dxa"/>
              <w:right w:w="90" w:type="dxa"/>
            </w:tcMar>
            <w:vAlign w:val="center"/>
          </w:tcPr>
          <w:p w14:paraId="755DDBC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312.1</w:t>
            </w:r>
          </w:p>
        </w:tc>
        <w:tc>
          <w:tcPr>
            <w:tcW w:w="1200" w:type="dxa"/>
            <w:shd w:val="clear" w:color="auto" w:fill="FFFFFF"/>
            <w:tcMar>
              <w:top w:w="60" w:type="dxa"/>
              <w:left w:w="90" w:type="dxa"/>
              <w:bottom w:w="60" w:type="dxa"/>
              <w:right w:w="90" w:type="dxa"/>
            </w:tcMar>
            <w:vAlign w:val="center"/>
          </w:tcPr>
          <w:p w14:paraId="2CC45A6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253.7</w:t>
            </w:r>
          </w:p>
        </w:tc>
        <w:tc>
          <w:tcPr>
            <w:tcW w:w="1200" w:type="dxa"/>
            <w:shd w:val="clear" w:color="auto" w:fill="FFFFFF"/>
            <w:tcMar>
              <w:top w:w="60" w:type="dxa"/>
              <w:left w:w="90" w:type="dxa"/>
              <w:bottom w:w="60" w:type="dxa"/>
              <w:right w:w="90" w:type="dxa"/>
            </w:tcMar>
            <w:vAlign w:val="center"/>
          </w:tcPr>
          <w:p w14:paraId="03CDBCE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212.9</w:t>
            </w:r>
          </w:p>
        </w:tc>
      </w:tr>
      <w:tr w:rsidR="00F75D9C" w14:paraId="0795FE86" w14:textId="77777777" w:rsidTr="00F75D9C">
        <w:trPr>
          <w:jc w:val="center"/>
        </w:trPr>
        <w:tc>
          <w:tcPr>
            <w:tcW w:w="3000" w:type="dxa"/>
            <w:shd w:val="clear" w:color="auto" w:fill="EAEEF5"/>
            <w:tcMar>
              <w:top w:w="60" w:type="dxa"/>
              <w:left w:w="90" w:type="dxa"/>
              <w:bottom w:w="60" w:type="dxa"/>
              <w:right w:w="90" w:type="dxa"/>
            </w:tcMar>
            <w:vAlign w:val="center"/>
          </w:tcPr>
          <w:p w14:paraId="7E40632A"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Total assets</w:t>
            </w:r>
          </w:p>
        </w:tc>
        <w:tc>
          <w:tcPr>
            <w:tcW w:w="1200" w:type="dxa"/>
            <w:shd w:val="clear" w:color="auto" w:fill="EAEEF5"/>
            <w:tcMar>
              <w:top w:w="60" w:type="dxa"/>
              <w:left w:w="90" w:type="dxa"/>
              <w:bottom w:w="60" w:type="dxa"/>
              <w:right w:w="90" w:type="dxa"/>
            </w:tcMar>
            <w:vAlign w:val="center"/>
          </w:tcPr>
          <w:p w14:paraId="07293FD7"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9,566.5</w:t>
            </w:r>
          </w:p>
        </w:tc>
        <w:tc>
          <w:tcPr>
            <w:tcW w:w="1200" w:type="dxa"/>
            <w:shd w:val="clear" w:color="auto" w:fill="EAEEF5"/>
            <w:tcMar>
              <w:top w:w="60" w:type="dxa"/>
              <w:left w:w="90" w:type="dxa"/>
              <w:bottom w:w="60" w:type="dxa"/>
              <w:right w:w="90" w:type="dxa"/>
            </w:tcMar>
            <w:vAlign w:val="center"/>
          </w:tcPr>
          <w:p w14:paraId="5482DF11"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9,942.8</w:t>
            </w:r>
          </w:p>
        </w:tc>
        <w:tc>
          <w:tcPr>
            <w:tcW w:w="1200" w:type="dxa"/>
            <w:shd w:val="clear" w:color="auto" w:fill="EAEEF5"/>
            <w:tcMar>
              <w:top w:w="60" w:type="dxa"/>
              <w:left w:w="90" w:type="dxa"/>
              <w:bottom w:w="60" w:type="dxa"/>
              <w:right w:w="90" w:type="dxa"/>
            </w:tcMar>
            <w:vAlign w:val="center"/>
          </w:tcPr>
          <w:p w14:paraId="3BB45F5A"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9,521.3</w:t>
            </w:r>
          </w:p>
        </w:tc>
        <w:tc>
          <w:tcPr>
            <w:tcW w:w="1200" w:type="dxa"/>
            <w:shd w:val="clear" w:color="auto" w:fill="EAEEF5"/>
            <w:tcMar>
              <w:top w:w="60" w:type="dxa"/>
              <w:left w:w="90" w:type="dxa"/>
              <w:bottom w:w="60" w:type="dxa"/>
              <w:right w:w="90" w:type="dxa"/>
            </w:tcMar>
            <w:vAlign w:val="center"/>
          </w:tcPr>
          <w:p w14:paraId="11BAC0D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9,904.7</w:t>
            </w:r>
          </w:p>
        </w:tc>
        <w:tc>
          <w:tcPr>
            <w:tcW w:w="1200" w:type="dxa"/>
            <w:shd w:val="clear" w:color="auto" w:fill="EAEEF5"/>
            <w:tcMar>
              <w:top w:w="60" w:type="dxa"/>
              <w:left w:w="90" w:type="dxa"/>
              <w:bottom w:w="60" w:type="dxa"/>
              <w:right w:w="90" w:type="dxa"/>
            </w:tcMar>
            <w:vAlign w:val="center"/>
          </w:tcPr>
          <w:p w14:paraId="4483991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9,568.6</w:t>
            </w:r>
          </w:p>
        </w:tc>
      </w:tr>
      <w:tr w:rsidR="00F75D9C" w14:paraId="0ED14FB0" w14:textId="77777777" w:rsidTr="00F75D9C">
        <w:trPr>
          <w:jc w:val="center"/>
        </w:trPr>
        <w:tc>
          <w:tcPr>
            <w:tcW w:w="3000" w:type="dxa"/>
            <w:shd w:val="clear" w:color="auto" w:fill="FFFFFF"/>
            <w:tcMar>
              <w:top w:w="60" w:type="dxa"/>
              <w:left w:w="90" w:type="dxa"/>
              <w:bottom w:w="60" w:type="dxa"/>
              <w:right w:w="90" w:type="dxa"/>
            </w:tcMar>
            <w:vAlign w:val="center"/>
          </w:tcPr>
          <w:p w14:paraId="2052205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Net assets (equity)</w:t>
            </w:r>
          </w:p>
        </w:tc>
        <w:tc>
          <w:tcPr>
            <w:tcW w:w="1200" w:type="dxa"/>
            <w:shd w:val="clear" w:color="auto" w:fill="FFFFFF"/>
            <w:tcMar>
              <w:top w:w="60" w:type="dxa"/>
              <w:left w:w="90" w:type="dxa"/>
              <w:bottom w:w="60" w:type="dxa"/>
              <w:right w:w="90" w:type="dxa"/>
            </w:tcMar>
            <w:vAlign w:val="center"/>
          </w:tcPr>
          <w:p w14:paraId="09B066C8"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4,119.0</w:t>
            </w:r>
          </w:p>
        </w:tc>
        <w:tc>
          <w:tcPr>
            <w:tcW w:w="1200" w:type="dxa"/>
            <w:shd w:val="clear" w:color="auto" w:fill="FFFFFF"/>
            <w:tcMar>
              <w:top w:w="60" w:type="dxa"/>
              <w:left w:w="90" w:type="dxa"/>
              <w:bottom w:w="60" w:type="dxa"/>
              <w:right w:w="90" w:type="dxa"/>
            </w:tcMar>
            <w:vAlign w:val="center"/>
          </w:tcPr>
          <w:p w14:paraId="4F63B5B6"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4,111.4</w:t>
            </w:r>
          </w:p>
        </w:tc>
        <w:tc>
          <w:tcPr>
            <w:tcW w:w="1200" w:type="dxa"/>
            <w:shd w:val="clear" w:color="auto" w:fill="FFFFFF"/>
            <w:tcMar>
              <w:top w:w="60" w:type="dxa"/>
              <w:left w:w="90" w:type="dxa"/>
              <w:bottom w:w="60" w:type="dxa"/>
              <w:right w:w="90" w:type="dxa"/>
            </w:tcMar>
            <w:vAlign w:val="center"/>
          </w:tcPr>
          <w:p w14:paraId="3F3EE3A7"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3,519.4</w:t>
            </w:r>
          </w:p>
        </w:tc>
        <w:tc>
          <w:tcPr>
            <w:tcW w:w="1200" w:type="dxa"/>
            <w:shd w:val="clear" w:color="auto" w:fill="FFFFFF"/>
            <w:tcMar>
              <w:top w:w="60" w:type="dxa"/>
              <w:left w:w="90" w:type="dxa"/>
              <w:bottom w:w="60" w:type="dxa"/>
              <w:right w:w="90" w:type="dxa"/>
            </w:tcMar>
            <w:vAlign w:val="center"/>
          </w:tcPr>
          <w:p w14:paraId="6AB06405"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3,334.5</w:t>
            </w:r>
          </w:p>
        </w:tc>
        <w:tc>
          <w:tcPr>
            <w:tcW w:w="1200" w:type="dxa"/>
            <w:shd w:val="clear" w:color="auto" w:fill="FFFFFF"/>
            <w:tcMar>
              <w:top w:w="60" w:type="dxa"/>
              <w:left w:w="90" w:type="dxa"/>
              <w:bottom w:w="60" w:type="dxa"/>
              <w:right w:w="90" w:type="dxa"/>
            </w:tcMar>
            <w:vAlign w:val="center"/>
          </w:tcPr>
          <w:p w14:paraId="0BF9F24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3,136.4</w:t>
            </w:r>
          </w:p>
        </w:tc>
      </w:tr>
      <w:tr w:rsidR="00F75D9C" w14:paraId="34A6A28C" w14:textId="77777777" w:rsidTr="00F75D9C">
        <w:trPr>
          <w:jc w:val="center"/>
        </w:trPr>
        <w:tc>
          <w:tcPr>
            <w:tcW w:w="3000" w:type="dxa"/>
            <w:shd w:val="clear" w:color="auto" w:fill="EAEEF5"/>
            <w:tcMar>
              <w:top w:w="60" w:type="dxa"/>
              <w:left w:w="90" w:type="dxa"/>
              <w:bottom w:w="60" w:type="dxa"/>
              <w:right w:w="90" w:type="dxa"/>
            </w:tcMar>
            <w:vAlign w:val="center"/>
          </w:tcPr>
          <w:p w14:paraId="0EEAD301"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Cash and cash equivalents</w:t>
            </w:r>
          </w:p>
        </w:tc>
        <w:tc>
          <w:tcPr>
            <w:tcW w:w="1200" w:type="dxa"/>
            <w:shd w:val="clear" w:color="auto" w:fill="EAEEF5"/>
            <w:tcMar>
              <w:top w:w="60" w:type="dxa"/>
              <w:left w:w="90" w:type="dxa"/>
              <w:bottom w:w="60" w:type="dxa"/>
              <w:right w:w="90" w:type="dxa"/>
            </w:tcMar>
            <w:vAlign w:val="center"/>
          </w:tcPr>
          <w:p w14:paraId="61AD8C74"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1,132.4</w:t>
            </w:r>
          </w:p>
        </w:tc>
        <w:tc>
          <w:tcPr>
            <w:tcW w:w="1200" w:type="dxa"/>
            <w:shd w:val="clear" w:color="auto" w:fill="EAEEF5"/>
            <w:tcMar>
              <w:top w:w="60" w:type="dxa"/>
              <w:left w:w="90" w:type="dxa"/>
              <w:bottom w:w="60" w:type="dxa"/>
              <w:right w:w="90" w:type="dxa"/>
            </w:tcMar>
            <w:vAlign w:val="center"/>
          </w:tcPr>
          <w:p w14:paraId="59F215B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1,164.8</w:t>
            </w:r>
          </w:p>
        </w:tc>
        <w:tc>
          <w:tcPr>
            <w:tcW w:w="1200" w:type="dxa"/>
            <w:shd w:val="clear" w:color="auto" w:fill="EAEEF5"/>
            <w:tcMar>
              <w:top w:w="60" w:type="dxa"/>
              <w:left w:w="90" w:type="dxa"/>
              <w:bottom w:w="60" w:type="dxa"/>
              <w:right w:w="90" w:type="dxa"/>
            </w:tcMar>
            <w:vAlign w:val="center"/>
          </w:tcPr>
          <w:p w14:paraId="37388DB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696.7</w:t>
            </w:r>
          </w:p>
        </w:tc>
        <w:tc>
          <w:tcPr>
            <w:tcW w:w="1200" w:type="dxa"/>
            <w:shd w:val="clear" w:color="auto" w:fill="EAEEF5"/>
            <w:tcMar>
              <w:top w:w="60" w:type="dxa"/>
              <w:left w:w="90" w:type="dxa"/>
              <w:bottom w:w="60" w:type="dxa"/>
              <w:right w:w="90" w:type="dxa"/>
            </w:tcMar>
            <w:vAlign w:val="center"/>
          </w:tcPr>
          <w:p w14:paraId="0FA2473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909.0</w:t>
            </w:r>
          </w:p>
        </w:tc>
        <w:tc>
          <w:tcPr>
            <w:tcW w:w="1200" w:type="dxa"/>
            <w:shd w:val="clear" w:color="auto" w:fill="EAEEF5"/>
            <w:tcMar>
              <w:top w:w="60" w:type="dxa"/>
              <w:left w:w="90" w:type="dxa"/>
              <w:bottom w:w="60" w:type="dxa"/>
              <w:right w:w="90" w:type="dxa"/>
            </w:tcMar>
            <w:vAlign w:val="center"/>
          </w:tcPr>
          <w:p w14:paraId="5F93656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233.7</w:t>
            </w:r>
          </w:p>
        </w:tc>
      </w:tr>
      <w:tr w:rsidR="00F75D9C" w14:paraId="28F00B7B" w14:textId="77777777" w:rsidTr="00F75D9C">
        <w:trPr>
          <w:jc w:val="center"/>
        </w:trPr>
        <w:tc>
          <w:tcPr>
            <w:tcW w:w="3000" w:type="dxa"/>
            <w:shd w:val="clear" w:color="auto" w:fill="FFFFFF"/>
            <w:tcMar>
              <w:top w:w="60" w:type="dxa"/>
              <w:left w:w="90" w:type="dxa"/>
              <w:bottom w:w="60" w:type="dxa"/>
              <w:right w:w="90" w:type="dxa"/>
            </w:tcMar>
            <w:vAlign w:val="center"/>
          </w:tcPr>
          <w:p w14:paraId="77B6A52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Net debt (incl. leases)</w:t>
            </w:r>
          </w:p>
        </w:tc>
        <w:tc>
          <w:tcPr>
            <w:tcW w:w="1200" w:type="dxa"/>
            <w:shd w:val="clear" w:color="auto" w:fill="FFFFFF"/>
            <w:tcMar>
              <w:top w:w="60" w:type="dxa"/>
              <w:left w:w="90" w:type="dxa"/>
              <w:bottom w:w="60" w:type="dxa"/>
              <w:right w:w="90" w:type="dxa"/>
            </w:tcMar>
            <w:vAlign w:val="center"/>
          </w:tcPr>
          <w:p w14:paraId="34EBCB2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3,561.3</w:t>
            </w:r>
          </w:p>
        </w:tc>
        <w:tc>
          <w:tcPr>
            <w:tcW w:w="1200" w:type="dxa"/>
            <w:shd w:val="clear" w:color="auto" w:fill="FFFFFF"/>
            <w:tcMar>
              <w:top w:w="60" w:type="dxa"/>
              <w:left w:w="90" w:type="dxa"/>
              <w:bottom w:w="60" w:type="dxa"/>
              <w:right w:w="90" w:type="dxa"/>
            </w:tcMar>
            <w:vAlign w:val="center"/>
          </w:tcPr>
          <w:p w14:paraId="54DC566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3,787.0</w:t>
            </w:r>
          </w:p>
        </w:tc>
        <w:tc>
          <w:tcPr>
            <w:tcW w:w="1200" w:type="dxa"/>
            <w:shd w:val="clear" w:color="auto" w:fill="FFFFFF"/>
            <w:tcMar>
              <w:top w:w="60" w:type="dxa"/>
              <w:left w:w="90" w:type="dxa"/>
              <w:bottom w:w="60" w:type="dxa"/>
              <w:right w:w="90" w:type="dxa"/>
            </w:tcMar>
            <w:vAlign w:val="center"/>
          </w:tcPr>
          <w:p w14:paraId="23EA9338"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4,396.6</w:t>
            </w:r>
          </w:p>
        </w:tc>
        <w:tc>
          <w:tcPr>
            <w:tcW w:w="1200" w:type="dxa"/>
            <w:shd w:val="clear" w:color="auto" w:fill="FFFFFF"/>
            <w:tcMar>
              <w:top w:w="60" w:type="dxa"/>
              <w:left w:w="90" w:type="dxa"/>
              <w:bottom w:w="60" w:type="dxa"/>
              <w:right w:w="90" w:type="dxa"/>
            </w:tcMar>
            <w:vAlign w:val="center"/>
          </w:tcPr>
          <w:p w14:paraId="791E85D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4,717.2</w:t>
            </w:r>
          </w:p>
        </w:tc>
        <w:tc>
          <w:tcPr>
            <w:tcW w:w="1200" w:type="dxa"/>
            <w:shd w:val="clear" w:color="auto" w:fill="FFFFFF"/>
            <w:tcMar>
              <w:top w:w="60" w:type="dxa"/>
              <w:left w:w="90" w:type="dxa"/>
              <w:bottom w:w="60" w:type="dxa"/>
              <w:right w:w="90" w:type="dxa"/>
            </w:tcMar>
            <w:vAlign w:val="center"/>
          </w:tcPr>
          <w:p w14:paraId="230243C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5,232.4</w:t>
            </w:r>
          </w:p>
        </w:tc>
      </w:tr>
      <w:tr w:rsidR="00F75D9C" w14:paraId="58D06FCB" w14:textId="77777777" w:rsidTr="00F75D9C">
        <w:trPr>
          <w:jc w:val="center"/>
        </w:trPr>
        <w:tc>
          <w:tcPr>
            <w:tcW w:w="3000" w:type="dxa"/>
            <w:shd w:val="clear" w:color="auto" w:fill="EAEEF5"/>
            <w:tcMar>
              <w:top w:w="60" w:type="dxa"/>
              <w:left w:w="90" w:type="dxa"/>
              <w:bottom w:w="60" w:type="dxa"/>
              <w:right w:w="90" w:type="dxa"/>
            </w:tcMar>
            <w:vAlign w:val="center"/>
          </w:tcPr>
          <w:p w14:paraId="1BF538C4"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Operating cash flow</w:t>
            </w:r>
          </w:p>
        </w:tc>
        <w:tc>
          <w:tcPr>
            <w:tcW w:w="1200" w:type="dxa"/>
            <w:shd w:val="clear" w:color="auto" w:fill="EAEEF5"/>
            <w:tcMar>
              <w:top w:w="60" w:type="dxa"/>
              <w:left w:w="90" w:type="dxa"/>
              <w:bottom w:w="60" w:type="dxa"/>
              <w:right w:w="90" w:type="dxa"/>
            </w:tcMar>
            <w:vAlign w:val="center"/>
          </w:tcPr>
          <w:p w14:paraId="298F6AD5"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508.7</w:t>
            </w:r>
          </w:p>
        </w:tc>
        <w:tc>
          <w:tcPr>
            <w:tcW w:w="1200" w:type="dxa"/>
            <w:shd w:val="clear" w:color="auto" w:fill="EAEEF5"/>
            <w:tcMar>
              <w:top w:w="60" w:type="dxa"/>
              <w:left w:w="90" w:type="dxa"/>
              <w:bottom w:w="60" w:type="dxa"/>
              <w:right w:w="90" w:type="dxa"/>
            </w:tcMar>
            <w:vAlign w:val="center"/>
          </w:tcPr>
          <w:p w14:paraId="7E02269F"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799.9</w:t>
            </w:r>
          </w:p>
        </w:tc>
        <w:tc>
          <w:tcPr>
            <w:tcW w:w="1200" w:type="dxa"/>
            <w:shd w:val="clear" w:color="auto" w:fill="EAEEF5"/>
            <w:tcMar>
              <w:top w:w="60" w:type="dxa"/>
              <w:left w:w="90" w:type="dxa"/>
              <w:bottom w:w="60" w:type="dxa"/>
              <w:right w:w="90" w:type="dxa"/>
            </w:tcMar>
            <w:vAlign w:val="center"/>
          </w:tcPr>
          <w:p w14:paraId="33909946"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877.9</w:t>
            </w:r>
          </w:p>
        </w:tc>
        <w:tc>
          <w:tcPr>
            <w:tcW w:w="1200" w:type="dxa"/>
            <w:shd w:val="clear" w:color="auto" w:fill="EAEEF5"/>
            <w:tcMar>
              <w:top w:w="60" w:type="dxa"/>
              <w:left w:w="90" w:type="dxa"/>
              <w:bottom w:w="60" w:type="dxa"/>
              <w:right w:w="90" w:type="dxa"/>
            </w:tcMar>
            <w:vAlign w:val="center"/>
          </w:tcPr>
          <w:p w14:paraId="4D54E17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761.7</w:t>
            </w:r>
          </w:p>
        </w:tc>
        <w:tc>
          <w:tcPr>
            <w:tcW w:w="1200" w:type="dxa"/>
            <w:shd w:val="clear" w:color="auto" w:fill="EAEEF5"/>
            <w:tcMar>
              <w:top w:w="60" w:type="dxa"/>
              <w:left w:w="90" w:type="dxa"/>
              <w:bottom w:w="60" w:type="dxa"/>
              <w:right w:w="90" w:type="dxa"/>
            </w:tcMar>
            <w:vAlign w:val="center"/>
          </w:tcPr>
          <w:p w14:paraId="4C5AF75C"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752.8</w:t>
            </w:r>
          </w:p>
        </w:tc>
      </w:tr>
      <w:tr w:rsidR="00F75D9C" w14:paraId="68F2A5E8" w14:textId="77777777" w:rsidTr="00F75D9C">
        <w:trPr>
          <w:jc w:val="center"/>
        </w:trPr>
        <w:tc>
          <w:tcPr>
            <w:tcW w:w="3000" w:type="dxa"/>
            <w:shd w:val="clear" w:color="auto" w:fill="FFFFFF"/>
            <w:tcMar>
              <w:top w:w="60" w:type="dxa"/>
              <w:left w:w="90" w:type="dxa"/>
              <w:bottom w:w="60" w:type="dxa"/>
              <w:right w:w="90" w:type="dxa"/>
            </w:tcMar>
            <w:vAlign w:val="center"/>
          </w:tcPr>
          <w:p w14:paraId="4F5DA3C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Basic EPS (pence)</w:t>
            </w:r>
          </w:p>
        </w:tc>
        <w:tc>
          <w:tcPr>
            <w:tcW w:w="1200" w:type="dxa"/>
            <w:shd w:val="clear" w:color="auto" w:fill="FFFFFF"/>
            <w:tcMar>
              <w:top w:w="60" w:type="dxa"/>
              <w:left w:w="90" w:type="dxa"/>
              <w:bottom w:w="60" w:type="dxa"/>
              <w:right w:w="90" w:type="dxa"/>
            </w:tcMar>
            <w:vAlign w:val="center"/>
          </w:tcPr>
          <w:p w14:paraId="565FD0E5"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21.1</w:t>
            </w:r>
          </w:p>
        </w:tc>
        <w:tc>
          <w:tcPr>
            <w:tcW w:w="1200" w:type="dxa"/>
            <w:shd w:val="clear" w:color="auto" w:fill="FFFFFF"/>
            <w:tcMar>
              <w:top w:w="60" w:type="dxa"/>
              <w:left w:w="90" w:type="dxa"/>
              <w:bottom w:w="60" w:type="dxa"/>
              <w:right w:w="90" w:type="dxa"/>
            </w:tcMar>
            <w:vAlign w:val="center"/>
          </w:tcPr>
          <w:p w14:paraId="34DDBA5B"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138.4</w:t>
            </w:r>
          </w:p>
        </w:tc>
        <w:tc>
          <w:tcPr>
            <w:tcW w:w="1200" w:type="dxa"/>
            <w:shd w:val="clear" w:color="auto" w:fill="FFFFFF"/>
            <w:tcMar>
              <w:top w:w="60" w:type="dxa"/>
              <w:left w:w="90" w:type="dxa"/>
              <w:bottom w:w="60" w:type="dxa"/>
              <w:right w:w="90" w:type="dxa"/>
            </w:tcMar>
            <w:vAlign w:val="center"/>
          </w:tcPr>
          <w:p w14:paraId="394314BE"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161.0</w:t>
            </w:r>
          </w:p>
        </w:tc>
        <w:tc>
          <w:tcPr>
            <w:tcW w:w="1200" w:type="dxa"/>
            <w:shd w:val="clear" w:color="auto" w:fill="FFFFFF"/>
            <w:tcMar>
              <w:top w:w="60" w:type="dxa"/>
              <w:left w:w="90" w:type="dxa"/>
              <w:bottom w:w="60" w:type="dxa"/>
              <w:right w:w="90" w:type="dxa"/>
            </w:tcMar>
            <w:vAlign w:val="center"/>
          </w:tcPr>
          <w:p w14:paraId="5D7F9523"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141.5</w:t>
            </w:r>
          </w:p>
        </w:tc>
        <w:tc>
          <w:tcPr>
            <w:tcW w:w="1200" w:type="dxa"/>
            <w:shd w:val="clear" w:color="auto" w:fill="FFFFFF"/>
            <w:tcMar>
              <w:top w:w="60" w:type="dxa"/>
              <w:left w:w="90" w:type="dxa"/>
              <w:bottom w:w="60" w:type="dxa"/>
              <w:right w:w="90" w:type="dxa"/>
            </w:tcMar>
            <w:vAlign w:val="center"/>
          </w:tcPr>
          <w:p w14:paraId="028950F0" w14:textId="77777777" w:rsidR="00F75D9C" w:rsidRPr="00F75D9C" w:rsidRDefault="00F75D9C" w:rsidP="00F75D9C">
            <w:pPr>
              <w:jc w:val="center"/>
              <w:rPr>
                <w:rFonts w:ascii="Times New Roman" w:hAnsi="Times New Roman" w:cs="Times New Roman"/>
                <w:sz w:val="20"/>
                <w:szCs w:val="20"/>
              </w:rPr>
            </w:pPr>
            <w:r w:rsidRPr="00F75D9C">
              <w:rPr>
                <w:rFonts w:ascii="Times New Roman" w:eastAsia="Calibri" w:hAnsi="Times New Roman" w:cs="Times New Roman"/>
                <w:color w:val="000000"/>
                <w:sz w:val="20"/>
                <w:szCs w:val="20"/>
              </w:rPr>
              <w:t>123.3</w:t>
            </w:r>
          </w:p>
        </w:tc>
      </w:tr>
    </w:tbl>
    <w:p w14:paraId="7816390C" w14:textId="18509169" w:rsidR="000D05E7" w:rsidRDefault="00F75D9C" w:rsidP="00F75D9C">
      <w:pPr>
        <w:rPr>
          <w:i/>
          <w:iCs/>
          <w:sz w:val="20"/>
          <w:szCs w:val="20"/>
        </w:rPr>
      </w:pPr>
      <w:r w:rsidRPr="00F75D9C">
        <w:rPr>
          <w:i/>
          <w:iCs/>
          <w:sz w:val="20"/>
          <w:szCs w:val="20"/>
        </w:rPr>
        <w:t>Source: Whitbread PLC Annual Report and Accounts 2021/22 to 2025/26.</w:t>
      </w:r>
    </w:p>
    <w:p w14:paraId="6E55F087" w14:textId="14B3069A" w:rsidR="00F75D9C" w:rsidRDefault="00F75D9C" w:rsidP="00F75D9C">
      <w:r>
        <w:rPr>
          <w:noProof/>
        </w:rPr>
        <w:lastRenderedPageBreak/>
        <w:drawing>
          <wp:inline distT="0" distB="0" distL="0" distR="0" wp14:anchorId="3310EF21" wp14:editId="2BB28CC5">
            <wp:extent cx="5334000"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514600"/>
                    </a:xfrm>
                    <a:prstGeom prst="rect">
                      <a:avLst/>
                    </a:prstGeom>
                  </pic:spPr>
                </pic:pic>
              </a:graphicData>
            </a:graphic>
          </wp:inline>
        </w:drawing>
      </w:r>
    </w:p>
    <w:p w14:paraId="279E8334" w14:textId="2C4D865E" w:rsidR="00F75D9C" w:rsidRDefault="00F75D9C" w:rsidP="00F75D9C">
      <w:pPr>
        <w:jc w:val="center"/>
        <w:rPr>
          <w:b/>
          <w:bCs/>
          <w:sz w:val="22"/>
          <w:szCs w:val="22"/>
        </w:rPr>
      </w:pPr>
      <w:bookmarkStart w:id="4" w:name="_Toc237514473"/>
      <w:r w:rsidRPr="00F75D9C">
        <w:rPr>
          <w:b/>
          <w:bCs/>
          <w:sz w:val="22"/>
          <w:szCs w:val="22"/>
        </w:rPr>
        <w:t xml:space="preserve">Figure </w:t>
      </w:r>
      <w:r w:rsidRPr="00F75D9C">
        <w:rPr>
          <w:b/>
          <w:bCs/>
          <w:sz w:val="22"/>
          <w:szCs w:val="22"/>
        </w:rPr>
        <w:fldChar w:fldCharType="begin"/>
      </w:r>
      <w:r w:rsidRPr="00F75D9C">
        <w:rPr>
          <w:b/>
          <w:bCs/>
          <w:sz w:val="22"/>
          <w:szCs w:val="22"/>
        </w:rPr>
        <w:instrText xml:space="preserve"> SEQ Figure \* ARABIC </w:instrText>
      </w:r>
      <w:r w:rsidRPr="00F75D9C">
        <w:rPr>
          <w:b/>
          <w:bCs/>
          <w:sz w:val="22"/>
          <w:szCs w:val="22"/>
        </w:rPr>
        <w:fldChar w:fldCharType="separate"/>
      </w:r>
      <w:r w:rsidR="00D272C5">
        <w:rPr>
          <w:b/>
          <w:bCs/>
          <w:noProof/>
          <w:sz w:val="22"/>
          <w:szCs w:val="22"/>
        </w:rPr>
        <w:t>1</w:t>
      </w:r>
      <w:r w:rsidRPr="00F75D9C">
        <w:rPr>
          <w:b/>
          <w:bCs/>
          <w:sz w:val="22"/>
          <w:szCs w:val="22"/>
        </w:rPr>
        <w:fldChar w:fldCharType="end"/>
      </w:r>
      <w:r w:rsidRPr="00F75D9C">
        <w:rPr>
          <w:b/>
          <w:bCs/>
          <w:sz w:val="22"/>
          <w:szCs w:val="22"/>
        </w:rPr>
        <w:t>: Revenue and operating profit, FY2022–FY2026</w:t>
      </w:r>
      <w:bookmarkEnd w:id="4"/>
    </w:p>
    <w:p w14:paraId="30296B25" w14:textId="3C5A4385" w:rsidR="00F75D9C" w:rsidRDefault="00F75D9C" w:rsidP="00F75D9C">
      <w:pPr>
        <w:pStyle w:val="Heading2"/>
      </w:pPr>
      <w:bookmarkStart w:id="5" w:name="_Toc237514431"/>
      <w:r>
        <w:t>Profitability ratios</w:t>
      </w:r>
      <w:bookmarkEnd w:id="5"/>
    </w:p>
    <w:p w14:paraId="40002CE7" w14:textId="0A09B3E9" w:rsidR="00F75D9C" w:rsidRDefault="00F75D9C" w:rsidP="00F75D9C">
      <w:r>
        <w:t xml:space="preserve">Profitability is fairly high on an adjusted basis and falling on a statutory basis. The adjusted operating margin was boosted from 9.0 </w:t>
      </w:r>
      <w:r w:rsidR="00B64CDE">
        <w:t>%</w:t>
      </w:r>
      <w:r>
        <w:t xml:space="preserve"> in FY2022 to 22.2 </w:t>
      </w:r>
      <w:r w:rsidR="00B64CDE">
        <w:t>%</w:t>
      </w:r>
      <w:r>
        <w:t xml:space="preserve"> in FY2026, reflecting the underlying hotel model is working, with room rates holding up and a move from restaurants to rooms being beneficial as rooms have lower variable cost. The statutory operating margin, on the other hand, dropped from a high of 19.2 </w:t>
      </w:r>
      <w:r w:rsidR="00B64CDE">
        <w:t>%</w:t>
      </w:r>
      <w:r>
        <w:t xml:space="preserve"> in FY2023 to 15.9 </w:t>
      </w:r>
      <w:r w:rsidR="00B64CDE">
        <w:t>%</w:t>
      </w:r>
      <w:r>
        <w:t xml:space="preserve"> in FY2026, while the net profit margin decreased from 10.6 </w:t>
      </w:r>
      <w:r w:rsidR="00B64CDE">
        <w:t>%</w:t>
      </w:r>
      <w:r>
        <w:t xml:space="preserve"> to 7.3 </w:t>
      </w:r>
      <w:r w:rsidR="00B64CDE">
        <w:t>%</w:t>
      </w:r>
      <w:r>
        <w:t xml:space="preserve"> during the same time frame.</w:t>
      </w:r>
    </w:p>
    <w:p w14:paraId="018D58D2" w14:textId="1F7E8A48" w:rsidR="00F75D9C" w:rsidRDefault="00F75D9C" w:rsidP="00F75D9C">
      <w:r>
        <w:t>In the past three years, the return on capital employed (adjusted operating profit/total assets minus current liabilities</w:t>
      </w:r>
      <w:r w:rsidR="003D7299">
        <w:t xml:space="preserve"> </w:t>
      </w:r>
      <w:r w:rsidR="003D7299" w:rsidRPr="003D7299">
        <w:t>as defined by Weetman (2013)</w:t>
      </w:r>
      <w:r>
        <w:t xml:space="preserve">) has been in the range of 7.3-7.8 </w:t>
      </w:r>
      <w:r w:rsidR="00B64CDE">
        <w:t>%</w:t>
      </w:r>
      <w:r>
        <w:t xml:space="preserve">. It is a modest return for such a size of business, and it does not indicate a poor trading performance, but a large asset base. ROE decreased from 8.9 </w:t>
      </w:r>
      <w:r w:rsidR="00B64CDE">
        <w:t>%</w:t>
      </w:r>
      <w:r>
        <w:t xml:space="preserve"> in FY2024 to 6.8 </w:t>
      </w:r>
      <w:r w:rsidR="00B64CDE">
        <w:t>%</w:t>
      </w:r>
      <w:r>
        <w:t xml:space="preserve"> in FY2026 on the back of share buy-backs which reduced equity base, confirming that the Board is reducing its statutory earnings faster than returns are made on equity.</w:t>
      </w:r>
    </w:p>
    <w:p w14:paraId="4720914B" w14:textId="2380A9D3" w:rsidR="00F75D9C" w:rsidRDefault="00F75D9C" w:rsidP="00F75D9C">
      <w:pPr>
        <w:jc w:val="center"/>
      </w:pPr>
      <w:r>
        <w:rPr>
          <w:noProof/>
        </w:rPr>
        <w:lastRenderedPageBreak/>
        <w:drawing>
          <wp:inline distT="0" distB="0" distL="0" distR="0" wp14:anchorId="19FFB854" wp14:editId="58AA136E">
            <wp:extent cx="5334000" cy="2682240"/>
            <wp:effectExtent l="0" t="0" r="0" b="3810"/>
            <wp:docPr id="1570585963" name="Picture 1570585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682240"/>
                    </a:xfrm>
                    <a:prstGeom prst="rect">
                      <a:avLst/>
                    </a:prstGeom>
                  </pic:spPr>
                </pic:pic>
              </a:graphicData>
            </a:graphic>
          </wp:inline>
        </w:drawing>
      </w:r>
    </w:p>
    <w:p w14:paraId="29439EAF" w14:textId="4CF23CD8" w:rsidR="00F75D9C" w:rsidRDefault="00F75D9C" w:rsidP="00F75D9C">
      <w:pPr>
        <w:jc w:val="center"/>
        <w:rPr>
          <w:rFonts w:eastAsia="Calibri" w:cs="Times New Roman"/>
          <w:b/>
          <w:bCs/>
          <w:color w:val="555555"/>
          <w:sz w:val="20"/>
          <w:szCs w:val="20"/>
        </w:rPr>
      </w:pPr>
      <w:bookmarkStart w:id="6" w:name="_Toc237514474"/>
      <w:r w:rsidRPr="00F75D9C">
        <w:rPr>
          <w:rFonts w:ascii="Times New Roman" w:hAnsi="Times New Roman" w:cs="Times New Roman"/>
          <w:b/>
          <w:bCs/>
          <w:sz w:val="20"/>
          <w:szCs w:val="20"/>
        </w:rPr>
        <w:t xml:space="preserve">Figure </w:t>
      </w:r>
      <w:r w:rsidRPr="00F75D9C">
        <w:rPr>
          <w:rFonts w:ascii="Times New Roman" w:hAnsi="Times New Roman" w:cs="Times New Roman"/>
          <w:b/>
          <w:bCs/>
          <w:sz w:val="20"/>
          <w:szCs w:val="20"/>
        </w:rPr>
        <w:fldChar w:fldCharType="begin"/>
      </w:r>
      <w:r w:rsidRPr="00F75D9C">
        <w:rPr>
          <w:rFonts w:ascii="Times New Roman" w:hAnsi="Times New Roman" w:cs="Times New Roman"/>
          <w:b/>
          <w:bCs/>
          <w:sz w:val="20"/>
          <w:szCs w:val="20"/>
        </w:rPr>
        <w:instrText xml:space="preserve"> SEQ Figure \* ARABIC </w:instrText>
      </w:r>
      <w:r w:rsidRPr="00F75D9C">
        <w:rPr>
          <w:rFonts w:ascii="Times New Roman" w:hAnsi="Times New Roman" w:cs="Times New Roman"/>
          <w:b/>
          <w:bCs/>
          <w:sz w:val="20"/>
          <w:szCs w:val="20"/>
        </w:rPr>
        <w:fldChar w:fldCharType="separate"/>
      </w:r>
      <w:r w:rsidR="00D272C5">
        <w:rPr>
          <w:rFonts w:cs="Times New Roman"/>
          <w:b/>
          <w:bCs/>
          <w:noProof/>
          <w:sz w:val="20"/>
          <w:szCs w:val="20"/>
        </w:rPr>
        <w:t>2</w:t>
      </w:r>
      <w:r w:rsidRPr="00F75D9C">
        <w:rPr>
          <w:rFonts w:ascii="Times New Roman" w:hAnsi="Times New Roman" w:cs="Times New Roman"/>
          <w:b/>
          <w:bCs/>
          <w:sz w:val="20"/>
          <w:szCs w:val="20"/>
        </w:rPr>
        <w:fldChar w:fldCharType="end"/>
      </w:r>
      <w:r w:rsidRPr="00F75D9C">
        <w:rPr>
          <w:rFonts w:ascii="Times New Roman" w:hAnsi="Times New Roman" w:cs="Times New Roman"/>
          <w:b/>
          <w:bCs/>
          <w:sz w:val="20"/>
          <w:szCs w:val="20"/>
        </w:rPr>
        <w:t xml:space="preserve">: </w:t>
      </w:r>
      <w:r w:rsidRPr="00F75D9C">
        <w:rPr>
          <w:rFonts w:ascii="Times New Roman" w:eastAsia="Calibri" w:hAnsi="Times New Roman" w:cs="Times New Roman"/>
          <w:b/>
          <w:bCs/>
          <w:color w:val="555555"/>
          <w:sz w:val="20"/>
          <w:szCs w:val="20"/>
        </w:rPr>
        <w:t>Profitability ratios, FY2022–FY2026.</w:t>
      </w:r>
      <w:bookmarkEnd w:id="6"/>
    </w:p>
    <w:p w14:paraId="7517480E" w14:textId="5FA73347" w:rsidR="00F75D9C" w:rsidRDefault="00F75D9C" w:rsidP="00F75D9C">
      <w:pPr>
        <w:pStyle w:val="Heading2"/>
      </w:pPr>
      <w:bookmarkStart w:id="7" w:name="_Toc237514432"/>
      <w:r>
        <w:t>Liquidity ratios</w:t>
      </w:r>
      <w:bookmarkEnd w:id="7"/>
    </w:p>
    <w:p w14:paraId="19343707" w14:textId="77777777" w:rsidR="00F75D9C" w:rsidRDefault="00F75D9C" w:rsidP="00F75D9C">
      <w:r>
        <w:t>The biggest issue in the accounts is liquidity. The current ratio fell from 1.76 in FY2022 to 0.44 in FY2026. The quick ratio, which is virtually the same since inventories are very small, was lowered from 1.74 to 0.42, and the cash ratio was reduced from 1.57 to 0.26. The reason for this can be seen in the cash flow statement, where the Group used £450 million of cash to repay bonds, £250.4 million to buy back its own shares, paid £168.8 million of dividends and spent £655.7 million on property, plant and equipment (Whitbread PLC, 2026).</w:t>
      </w:r>
    </w:p>
    <w:p w14:paraId="032FB76D" w14:textId="10CE412F" w:rsidR="00F75D9C" w:rsidRDefault="00F75D9C" w:rsidP="00F75D9C">
      <w:r>
        <w:t xml:space="preserve">This loss of liquidity, therefore, isn't caused by trading losses, but by decisions made by capital allocation. An important </w:t>
      </w:r>
      <w:r w:rsidR="003D7299">
        <w:t>difference</w:t>
      </w:r>
      <w:r>
        <w:t>, but one that does not take away the risk – the current ratio of 0.44 gives only a small margin of safety in trading or in the case of an urgent need for cash</w:t>
      </w:r>
      <w:r w:rsidR="003D7299">
        <w:t xml:space="preserve"> </w:t>
      </w:r>
      <w:r w:rsidR="003D7299" w:rsidRPr="003D7299">
        <w:t>(Atrill and McLaney, 2019)</w:t>
      </w:r>
      <w:r>
        <w:t>.</w:t>
      </w:r>
    </w:p>
    <w:p w14:paraId="0938BB8F" w14:textId="314AFCBF" w:rsidR="00E65818" w:rsidRPr="00E65818" w:rsidRDefault="00E65818" w:rsidP="00E65818">
      <w:pPr>
        <w:jc w:val="center"/>
        <w:rPr>
          <w:rFonts w:ascii="Times New Roman" w:hAnsi="Times New Roman" w:cs="Times New Roman"/>
          <w:b/>
          <w:bCs/>
          <w:sz w:val="20"/>
          <w:szCs w:val="20"/>
        </w:rPr>
      </w:pPr>
      <w:bookmarkStart w:id="8" w:name="_Toc237514469"/>
      <w:r w:rsidRPr="00E65818">
        <w:rPr>
          <w:rFonts w:ascii="Times New Roman" w:hAnsi="Times New Roman" w:cs="Times New Roman"/>
          <w:b/>
          <w:bCs/>
          <w:sz w:val="20"/>
          <w:szCs w:val="20"/>
        </w:rPr>
        <w:t xml:space="preserve">Table </w:t>
      </w:r>
      <w:r w:rsidRPr="00E65818">
        <w:rPr>
          <w:rFonts w:ascii="Times New Roman" w:hAnsi="Times New Roman" w:cs="Times New Roman"/>
          <w:b/>
          <w:bCs/>
          <w:sz w:val="20"/>
          <w:szCs w:val="20"/>
        </w:rPr>
        <w:fldChar w:fldCharType="begin"/>
      </w:r>
      <w:r w:rsidRPr="00E65818">
        <w:rPr>
          <w:rFonts w:ascii="Times New Roman" w:hAnsi="Times New Roman" w:cs="Times New Roman"/>
          <w:b/>
          <w:bCs/>
          <w:sz w:val="20"/>
          <w:szCs w:val="20"/>
        </w:rPr>
        <w:instrText xml:space="preserve"> SEQ Table \* ARABIC </w:instrText>
      </w:r>
      <w:r w:rsidRPr="00E65818">
        <w:rPr>
          <w:rFonts w:ascii="Times New Roman" w:hAnsi="Times New Roman" w:cs="Times New Roman"/>
          <w:b/>
          <w:bCs/>
          <w:sz w:val="20"/>
          <w:szCs w:val="20"/>
        </w:rPr>
        <w:fldChar w:fldCharType="separate"/>
      </w:r>
      <w:r w:rsidR="00DF1635">
        <w:rPr>
          <w:rFonts w:ascii="Times New Roman" w:hAnsi="Times New Roman" w:cs="Times New Roman"/>
          <w:b/>
          <w:bCs/>
          <w:noProof/>
          <w:sz w:val="20"/>
          <w:szCs w:val="20"/>
        </w:rPr>
        <w:t>2</w:t>
      </w:r>
      <w:r w:rsidRPr="00E65818">
        <w:rPr>
          <w:rFonts w:ascii="Times New Roman" w:hAnsi="Times New Roman" w:cs="Times New Roman"/>
          <w:b/>
          <w:bCs/>
          <w:sz w:val="20"/>
          <w:szCs w:val="20"/>
        </w:rPr>
        <w:fldChar w:fldCharType="end"/>
      </w:r>
      <w:r w:rsidRPr="00E65818">
        <w:rPr>
          <w:rFonts w:ascii="Times New Roman" w:hAnsi="Times New Roman" w:cs="Times New Roman"/>
          <w:b/>
          <w:bCs/>
          <w:sz w:val="20"/>
          <w:szCs w:val="20"/>
        </w:rPr>
        <w:t xml:space="preserve">: </w:t>
      </w:r>
      <w:r w:rsidRPr="00E65818">
        <w:rPr>
          <w:rFonts w:ascii="Times New Roman" w:eastAsia="Calibri" w:hAnsi="Times New Roman" w:cs="Times New Roman"/>
          <w:b/>
          <w:bCs/>
          <w:color w:val="555555"/>
          <w:sz w:val="20"/>
          <w:szCs w:val="20"/>
        </w:rPr>
        <w:t>Summary of liquidity ratios.</w:t>
      </w:r>
      <w:bookmarkEnd w:id="8"/>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1200"/>
        <w:gridCol w:w="1200"/>
        <w:gridCol w:w="1200"/>
        <w:gridCol w:w="1200"/>
        <w:gridCol w:w="1200"/>
      </w:tblGrid>
      <w:tr w:rsidR="00E65818" w14:paraId="3DF99A34" w14:textId="77777777" w:rsidTr="00E65818">
        <w:trPr>
          <w:tblHeader/>
        </w:trPr>
        <w:tc>
          <w:tcPr>
            <w:tcW w:w="3000" w:type="dxa"/>
            <w:shd w:val="clear" w:color="auto" w:fill="1F3864"/>
            <w:tcMar>
              <w:top w:w="60" w:type="dxa"/>
              <w:left w:w="90" w:type="dxa"/>
              <w:bottom w:w="60" w:type="dxa"/>
              <w:right w:w="90" w:type="dxa"/>
            </w:tcMar>
            <w:vAlign w:val="center"/>
          </w:tcPr>
          <w:p w14:paraId="447279D6"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Liquidity ratio</w:t>
            </w:r>
          </w:p>
        </w:tc>
        <w:tc>
          <w:tcPr>
            <w:tcW w:w="1200" w:type="dxa"/>
            <w:shd w:val="clear" w:color="auto" w:fill="1F3864"/>
            <w:tcMar>
              <w:top w:w="60" w:type="dxa"/>
              <w:left w:w="90" w:type="dxa"/>
              <w:bottom w:w="60" w:type="dxa"/>
              <w:right w:w="90" w:type="dxa"/>
            </w:tcMar>
            <w:vAlign w:val="center"/>
          </w:tcPr>
          <w:p w14:paraId="76B8D7E3"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FY2022</w:t>
            </w:r>
          </w:p>
        </w:tc>
        <w:tc>
          <w:tcPr>
            <w:tcW w:w="1200" w:type="dxa"/>
            <w:shd w:val="clear" w:color="auto" w:fill="1F3864"/>
            <w:tcMar>
              <w:top w:w="60" w:type="dxa"/>
              <w:left w:w="90" w:type="dxa"/>
              <w:bottom w:w="60" w:type="dxa"/>
              <w:right w:w="90" w:type="dxa"/>
            </w:tcMar>
            <w:vAlign w:val="center"/>
          </w:tcPr>
          <w:p w14:paraId="2C3F14CE"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FY2023</w:t>
            </w:r>
          </w:p>
        </w:tc>
        <w:tc>
          <w:tcPr>
            <w:tcW w:w="1200" w:type="dxa"/>
            <w:shd w:val="clear" w:color="auto" w:fill="1F3864"/>
            <w:tcMar>
              <w:top w:w="60" w:type="dxa"/>
              <w:left w:w="90" w:type="dxa"/>
              <w:bottom w:w="60" w:type="dxa"/>
              <w:right w:w="90" w:type="dxa"/>
            </w:tcMar>
            <w:vAlign w:val="center"/>
          </w:tcPr>
          <w:p w14:paraId="0B0DE7B3"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FY2024</w:t>
            </w:r>
          </w:p>
        </w:tc>
        <w:tc>
          <w:tcPr>
            <w:tcW w:w="1200" w:type="dxa"/>
            <w:shd w:val="clear" w:color="auto" w:fill="1F3864"/>
            <w:tcMar>
              <w:top w:w="60" w:type="dxa"/>
              <w:left w:w="90" w:type="dxa"/>
              <w:bottom w:w="60" w:type="dxa"/>
              <w:right w:w="90" w:type="dxa"/>
            </w:tcMar>
            <w:vAlign w:val="center"/>
          </w:tcPr>
          <w:p w14:paraId="2F7E6EBB"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FY2025</w:t>
            </w:r>
          </w:p>
        </w:tc>
        <w:tc>
          <w:tcPr>
            <w:tcW w:w="1200" w:type="dxa"/>
            <w:shd w:val="clear" w:color="auto" w:fill="1F3864"/>
            <w:tcMar>
              <w:top w:w="60" w:type="dxa"/>
              <w:left w:w="90" w:type="dxa"/>
              <w:bottom w:w="60" w:type="dxa"/>
              <w:right w:w="90" w:type="dxa"/>
            </w:tcMar>
            <w:vAlign w:val="center"/>
          </w:tcPr>
          <w:p w14:paraId="206AD853"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FY2026</w:t>
            </w:r>
          </w:p>
        </w:tc>
      </w:tr>
      <w:tr w:rsidR="00E65818" w14:paraId="7DC6CB12" w14:textId="77777777" w:rsidTr="00E65818">
        <w:tc>
          <w:tcPr>
            <w:tcW w:w="3000" w:type="dxa"/>
            <w:shd w:val="clear" w:color="auto" w:fill="FFFFFF"/>
            <w:tcMar>
              <w:top w:w="60" w:type="dxa"/>
              <w:left w:w="90" w:type="dxa"/>
              <w:bottom w:w="60" w:type="dxa"/>
              <w:right w:w="90" w:type="dxa"/>
            </w:tcMar>
            <w:vAlign w:val="center"/>
          </w:tcPr>
          <w:p w14:paraId="2B9DA39E"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Current ratio (times)</w:t>
            </w:r>
          </w:p>
        </w:tc>
        <w:tc>
          <w:tcPr>
            <w:tcW w:w="1200" w:type="dxa"/>
            <w:shd w:val="clear" w:color="auto" w:fill="FFFFFF"/>
            <w:tcMar>
              <w:top w:w="60" w:type="dxa"/>
              <w:left w:w="90" w:type="dxa"/>
              <w:bottom w:w="60" w:type="dxa"/>
              <w:right w:w="90" w:type="dxa"/>
            </w:tcMar>
            <w:vAlign w:val="center"/>
          </w:tcPr>
          <w:p w14:paraId="599ABF5C"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1.76</w:t>
            </w:r>
          </w:p>
        </w:tc>
        <w:tc>
          <w:tcPr>
            <w:tcW w:w="1200" w:type="dxa"/>
            <w:shd w:val="clear" w:color="auto" w:fill="FFFFFF"/>
            <w:tcMar>
              <w:top w:w="60" w:type="dxa"/>
              <w:left w:w="90" w:type="dxa"/>
              <w:bottom w:w="60" w:type="dxa"/>
              <w:right w:w="90" w:type="dxa"/>
            </w:tcMar>
            <w:vAlign w:val="center"/>
          </w:tcPr>
          <w:p w14:paraId="20AC19E5"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1.57</w:t>
            </w:r>
          </w:p>
        </w:tc>
        <w:tc>
          <w:tcPr>
            <w:tcW w:w="1200" w:type="dxa"/>
            <w:shd w:val="clear" w:color="auto" w:fill="FFFFFF"/>
            <w:tcMar>
              <w:top w:w="60" w:type="dxa"/>
              <w:left w:w="90" w:type="dxa"/>
              <w:bottom w:w="60" w:type="dxa"/>
              <w:right w:w="90" w:type="dxa"/>
            </w:tcMar>
            <w:vAlign w:val="center"/>
          </w:tcPr>
          <w:p w14:paraId="056A282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0.96</w:t>
            </w:r>
          </w:p>
        </w:tc>
        <w:tc>
          <w:tcPr>
            <w:tcW w:w="1200" w:type="dxa"/>
            <w:shd w:val="clear" w:color="auto" w:fill="FFFFFF"/>
            <w:tcMar>
              <w:top w:w="60" w:type="dxa"/>
              <w:left w:w="90" w:type="dxa"/>
              <w:bottom w:w="60" w:type="dxa"/>
              <w:right w:w="90" w:type="dxa"/>
            </w:tcMar>
            <w:vAlign w:val="center"/>
          </w:tcPr>
          <w:p w14:paraId="54924DD5"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0.81</w:t>
            </w:r>
          </w:p>
        </w:tc>
        <w:tc>
          <w:tcPr>
            <w:tcW w:w="1200" w:type="dxa"/>
            <w:shd w:val="clear" w:color="auto" w:fill="FFFFFF"/>
            <w:tcMar>
              <w:top w:w="60" w:type="dxa"/>
              <w:left w:w="90" w:type="dxa"/>
              <w:bottom w:w="60" w:type="dxa"/>
              <w:right w:w="90" w:type="dxa"/>
            </w:tcMar>
            <w:vAlign w:val="center"/>
          </w:tcPr>
          <w:p w14:paraId="0BC0C809"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0.44</w:t>
            </w:r>
          </w:p>
        </w:tc>
      </w:tr>
      <w:tr w:rsidR="00E65818" w14:paraId="53C33D28" w14:textId="77777777" w:rsidTr="00E65818">
        <w:tc>
          <w:tcPr>
            <w:tcW w:w="3000" w:type="dxa"/>
            <w:shd w:val="clear" w:color="auto" w:fill="EAEEF5"/>
            <w:tcMar>
              <w:top w:w="60" w:type="dxa"/>
              <w:left w:w="90" w:type="dxa"/>
              <w:bottom w:w="60" w:type="dxa"/>
              <w:right w:w="90" w:type="dxa"/>
            </w:tcMar>
            <w:vAlign w:val="center"/>
          </w:tcPr>
          <w:p w14:paraId="4E696E85"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lastRenderedPageBreak/>
              <w:t>Quick (acid test) ratio (times)</w:t>
            </w:r>
          </w:p>
        </w:tc>
        <w:tc>
          <w:tcPr>
            <w:tcW w:w="1200" w:type="dxa"/>
            <w:shd w:val="clear" w:color="auto" w:fill="EAEEF5"/>
            <w:tcMar>
              <w:top w:w="60" w:type="dxa"/>
              <w:left w:w="90" w:type="dxa"/>
              <w:bottom w:w="60" w:type="dxa"/>
              <w:right w:w="90" w:type="dxa"/>
            </w:tcMar>
            <w:vAlign w:val="center"/>
          </w:tcPr>
          <w:p w14:paraId="3DC1BD4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1.74</w:t>
            </w:r>
          </w:p>
        </w:tc>
        <w:tc>
          <w:tcPr>
            <w:tcW w:w="1200" w:type="dxa"/>
            <w:shd w:val="clear" w:color="auto" w:fill="EAEEF5"/>
            <w:tcMar>
              <w:top w:w="60" w:type="dxa"/>
              <w:left w:w="90" w:type="dxa"/>
              <w:bottom w:w="60" w:type="dxa"/>
              <w:right w:w="90" w:type="dxa"/>
            </w:tcMar>
            <w:vAlign w:val="center"/>
          </w:tcPr>
          <w:p w14:paraId="4C8657C1"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1.55</w:t>
            </w:r>
          </w:p>
        </w:tc>
        <w:tc>
          <w:tcPr>
            <w:tcW w:w="1200" w:type="dxa"/>
            <w:shd w:val="clear" w:color="auto" w:fill="EAEEF5"/>
            <w:tcMar>
              <w:top w:w="60" w:type="dxa"/>
              <w:left w:w="90" w:type="dxa"/>
              <w:bottom w:w="60" w:type="dxa"/>
              <w:right w:w="90" w:type="dxa"/>
            </w:tcMar>
            <w:vAlign w:val="center"/>
          </w:tcPr>
          <w:p w14:paraId="58E16B97"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0.94</w:t>
            </w:r>
          </w:p>
        </w:tc>
        <w:tc>
          <w:tcPr>
            <w:tcW w:w="1200" w:type="dxa"/>
            <w:shd w:val="clear" w:color="auto" w:fill="EAEEF5"/>
            <w:tcMar>
              <w:top w:w="60" w:type="dxa"/>
              <w:left w:w="90" w:type="dxa"/>
              <w:bottom w:w="60" w:type="dxa"/>
              <w:right w:w="90" w:type="dxa"/>
            </w:tcMar>
            <w:vAlign w:val="center"/>
          </w:tcPr>
          <w:p w14:paraId="5AE96FF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0.80</w:t>
            </w:r>
          </w:p>
        </w:tc>
        <w:tc>
          <w:tcPr>
            <w:tcW w:w="1200" w:type="dxa"/>
            <w:shd w:val="clear" w:color="auto" w:fill="EAEEF5"/>
            <w:tcMar>
              <w:top w:w="60" w:type="dxa"/>
              <w:left w:w="90" w:type="dxa"/>
              <w:bottom w:w="60" w:type="dxa"/>
              <w:right w:w="90" w:type="dxa"/>
            </w:tcMar>
            <w:vAlign w:val="center"/>
          </w:tcPr>
          <w:p w14:paraId="48788CED"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0.42</w:t>
            </w:r>
          </w:p>
        </w:tc>
      </w:tr>
      <w:tr w:rsidR="00E65818" w14:paraId="7B7709C9" w14:textId="77777777" w:rsidTr="00E65818">
        <w:tc>
          <w:tcPr>
            <w:tcW w:w="3000" w:type="dxa"/>
            <w:shd w:val="clear" w:color="auto" w:fill="FFFFFF"/>
            <w:tcMar>
              <w:top w:w="60" w:type="dxa"/>
              <w:left w:w="90" w:type="dxa"/>
              <w:bottom w:w="60" w:type="dxa"/>
              <w:right w:w="90" w:type="dxa"/>
            </w:tcMar>
            <w:vAlign w:val="center"/>
          </w:tcPr>
          <w:p w14:paraId="040E184D"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Cash ratio (times)</w:t>
            </w:r>
          </w:p>
        </w:tc>
        <w:tc>
          <w:tcPr>
            <w:tcW w:w="1200" w:type="dxa"/>
            <w:shd w:val="clear" w:color="auto" w:fill="FFFFFF"/>
            <w:tcMar>
              <w:top w:w="60" w:type="dxa"/>
              <w:left w:w="90" w:type="dxa"/>
              <w:bottom w:w="60" w:type="dxa"/>
              <w:right w:w="90" w:type="dxa"/>
            </w:tcMar>
            <w:vAlign w:val="center"/>
          </w:tcPr>
          <w:p w14:paraId="2BC7039D"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1.57</w:t>
            </w:r>
          </w:p>
        </w:tc>
        <w:tc>
          <w:tcPr>
            <w:tcW w:w="1200" w:type="dxa"/>
            <w:shd w:val="clear" w:color="auto" w:fill="FFFFFF"/>
            <w:tcMar>
              <w:top w:w="60" w:type="dxa"/>
              <w:left w:w="90" w:type="dxa"/>
              <w:bottom w:w="60" w:type="dxa"/>
              <w:right w:w="90" w:type="dxa"/>
            </w:tcMar>
            <w:vAlign w:val="center"/>
          </w:tcPr>
          <w:p w14:paraId="0CE25603"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1.38</w:t>
            </w:r>
          </w:p>
        </w:tc>
        <w:tc>
          <w:tcPr>
            <w:tcW w:w="1200" w:type="dxa"/>
            <w:shd w:val="clear" w:color="auto" w:fill="FFFFFF"/>
            <w:tcMar>
              <w:top w:w="60" w:type="dxa"/>
              <w:left w:w="90" w:type="dxa"/>
              <w:bottom w:w="60" w:type="dxa"/>
              <w:right w:w="90" w:type="dxa"/>
            </w:tcMar>
            <w:vAlign w:val="center"/>
          </w:tcPr>
          <w:p w14:paraId="620A5880"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0.80</w:t>
            </w:r>
          </w:p>
        </w:tc>
        <w:tc>
          <w:tcPr>
            <w:tcW w:w="1200" w:type="dxa"/>
            <w:shd w:val="clear" w:color="auto" w:fill="FFFFFF"/>
            <w:tcMar>
              <w:top w:w="60" w:type="dxa"/>
              <w:left w:w="90" w:type="dxa"/>
              <w:bottom w:w="60" w:type="dxa"/>
              <w:right w:w="90" w:type="dxa"/>
            </w:tcMar>
            <w:vAlign w:val="center"/>
          </w:tcPr>
          <w:p w14:paraId="41F2152B"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0.69</w:t>
            </w:r>
          </w:p>
        </w:tc>
        <w:tc>
          <w:tcPr>
            <w:tcW w:w="1200" w:type="dxa"/>
            <w:shd w:val="clear" w:color="auto" w:fill="FFFFFF"/>
            <w:tcMar>
              <w:top w:w="60" w:type="dxa"/>
              <w:left w:w="90" w:type="dxa"/>
              <w:bottom w:w="60" w:type="dxa"/>
              <w:right w:w="90" w:type="dxa"/>
            </w:tcMar>
            <w:vAlign w:val="center"/>
          </w:tcPr>
          <w:p w14:paraId="7F22F75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0.26</w:t>
            </w:r>
          </w:p>
        </w:tc>
      </w:tr>
    </w:tbl>
    <w:p w14:paraId="2F5AAB82" w14:textId="77777777" w:rsidR="00E65818" w:rsidRDefault="00E65818" w:rsidP="00F75D9C"/>
    <w:p w14:paraId="07E83A0E" w14:textId="217E41F7" w:rsidR="00F75D9C" w:rsidRDefault="00F75D9C" w:rsidP="00F75D9C">
      <w:pPr>
        <w:pStyle w:val="Heading2"/>
      </w:pPr>
      <w:bookmarkStart w:id="9" w:name="_Toc237514433"/>
      <w:r>
        <w:t>Efficiency ratios</w:t>
      </w:r>
      <w:bookmarkEnd w:id="9"/>
    </w:p>
    <w:p w14:paraId="7307D7F7" w14:textId="7B2BF712" w:rsidR="00F75D9C" w:rsidRDefault="00F75D9C" w:rsidP="00F75D9C">
      <w:r>
        <w:t xml:space="preserve">Efficiency has improved. The decrease in inventory days was the result of a decrease in food and drink stock, as space in restaurants is being converted to bedrooms. Receivable days are also quite low (14.7 to 24.9), typical of a hotel, where the majority of guests tend to settle their bills at or before time of stay. </w:t>
      </w:r>
      <w:r w:rsidR="003D7299" w:rsidRPr="003D7299">
        <w:t>Payable days have settled at approximately 100, meaning the Group takes roughly three and a half months to settle supplier invoices (Atrill and McLaney, 2016).</w:t>
      </w:r>
    </w:p>
    <w:p w14:paraId="30C87B16" w14:textId="35AA5F8C" w:rsidR="00E65818" w:rsidRDefault="00F75D9C" w:rsidP="00F75D9C">
      <w:r>
        <w:t>The asset turnover is low, just 0.31 times, but reasonable and expected, in the context of income generated from the freeholds, and capitalised leases (IASB, 2016), that are supported by nearly £9.1 billion of non-current assets. This is the trade-off between structure in the business model. Ownership gives control of location and long term cost, but results in lower returns on capital and confers a disadvantage to the Group compared to franchise based competitors.</w:t>
      </w:r>
    </w:p>
    <w:p w14:paraId="49AF424F" w14:textId="4500ECC8" w:rsidR="00F75D9C" w:rsidRDefault="00F75D9C" w:rsidP="00F75D9C">
      <w:pPr>
        <w:pStyle w:val="Heading2"/>
      </w:pPr>
      <w:bookmarkStart w:id="10" w:name="_Toc237514434"/>
      <w:r>
        <w:t>Gearing ratios</w:t>
      </w:r>
      <w:bookmarkEnd w:id="10"/>
    </w:p>
    <w:p w14:paraId="638FBDB8" w14:textId="3DE512C1" w:rsidR="00F75D9C" w:rsidRDefault="00F75D9C" w:rsidP="00F75D9C">
      <w:r>
        <w:t xml:space="preserve">The gearing has increased over the years. Total debt (including lease) rose from £4,693.7 million to £5,466.1 million whilst equity decreased from £4,119.0 million to £3,136.4 million as buy-backs and dividends have outstripped retained profit. The debt-equity ratio was thus increased from 114 </w:t>
      </w:r>
      <w:r w:rsidR="00B64CDE">
        <w:t>%</w:t>
      </w:r>
      <w:r>
        <w:t xml:space="preserve"> to 174 </w:t>
      </w:r>
      <w:r w:rsidR="00B64CDE">
        <w:t>%</w:t>
      </w:r>
      <w:r>
        <w:t xml:space="preserve"> and debt is now financing 63.5 </w:t>
      </w:r>
      <w:r w:rsidR="00B64CDE">
        <w:t>%</w:t>
      </w:r>
      <w:r>
        <w:t xml:space="preserve"> of total capital. Net debt increased to £5,232.4 million.</w:t>
      </w:r>
    </w:p>
    <w:p w14:paraId="1C6E20B3" w14:textId="60753F6D" w:rsidR="00F75D9C" w:rsidRDefault="00F75D9C" w:rsidP="00F75D9C">
      <w:r>
        <w:t xml:space="preserve">The ratio of interest cover is the one that is of greatest concern to the Board. Statutory operating profit covered finance costs by 3.15 times in FY2024 but by 2.32 times in FY2026 as the finance cost increased to £200.3 million, whereas the statutory profit decreased. On an adjusted basis cover is 3.24 times. Cover above two times would </w:t>
      </w:r>
      <w:r>
        <w:lastRenderedPageBreak/>
        <w:t>not be a problem, but it would be the direction of travel, and additional debt-financed buy-backs would push it towards</w:t>
      </w:r>
      <w:r w:rsidR="003D7299">
        <w:t xml:space="preserve"> </w:t>
      </w:r>
      <w:r w:rsidR="003D7299" w:rsidRPr="003D7299">
        <w:t>where lenders begin to restrict flexibility</w:t>
      </w:r>
      <w:r w:rsidR="003D7299">
        <w:t xml:space="preserve"> (</w:t>
      </w:r>
      <w:r w:rsidR="003D7299" w:rsidRPr="003D7299">
        <w:t>Watson and Head, 2019</w:t>
      </w:r>
      <w:r w:rsidR="003D7299">
        <w:t>)</w:t>
      </w:r>
      <w:r>
        <w:t>.</w:t>
      </w:r>
    </w:p>
    <w:p w14:paraId="036C4452" w14:textId="6B859FE1" w:rsidR="00E65818" w:rsidRDefault="00E65818" w:rsidP="00F75D9C">
      <w:r>
        <w:rPr>
          <w:noProof/>
        </w:rPr>
        <w:drawing>
          <wp:inline distT="0" distB="0" distL="0" distR="0" wp14:anchorId="00537BC1" wp14:editId="740F2203">
            <wp:extent cx="5661660" cy="2438400"/>
            <wp:effectExtent l="0" t="0" r="0" b="0"/>
            <wp:docPr id="2020319457" name="Picture 2020319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61660" cy="2438400"/>
                    </a:xfrm>
                    <a:prstGeom prst="rect">
                      <a:avLst/>
                    </a:prstGeom>
                  </pic:spPr>
                </pic:pic>
              </a:graphicData>
            </a:graphic>
          </wp:inline>
        </w:drawing>
      </w:r>
    </w:p>
    <w:p w14:paraId="313C4BDD" w14:textId="2F92E30B" w:rsidR="00E65818" w:rsidRPr="00E65818" w:rsidRDefault="00E65818" w:rsidP="00E65818">
      <w:pPr>
        <w:jc w:val="center"/>
        <w:rPr>
          <w:b/>
          <w:bCs/>
          <w:sz w:val="20"/>
          <w:szCs w:val="20"/>
        </w:rPr>
      </w:pPr>
      <w:bookmarkStart w:id="11" w:name="_Toc237514475"/>
      <w:r w:rsidRPr="00E65818">
        <w:rPr>
          <w:b/>
          <w:bCs/>
          <w:sz w:val="20"/>
          <w:szCs w:val="20"/>
        </w:rPr>
        <w:t xml:space="preserve">Figure </w:t>
      </w:r>
      <w:r w:rsidRPr="00E65818">
        <w:rPr>
          <w:b/>
          <w:bCs/>
          <w:sz w:val="20"/>
          <w:szCs w:val="20"/>
        </w:rPr>
        <w:fldChar w:fldCharType="begin"/>
      </w:r>
      <w:r w:rsidRPr="00E65818">
        <w:rPr>
          <w:b/>
          <w:bCs/>
          <w:sz w:val="20"/>
          <w:szCs w:val="20"/>
        </w:rPr>
        <w:instrText xml:space="preserve"> SEQ Figure \* ARABIC </w:instrText>
      </w:r>
      <w:r w:rsidRPr="00E65818">
        <w:rPr>
          <w:b/>
          <w:bCs/>
          <w:sz w:val="20"/>
          <w:szCs w:val="20"/>
        </w:rPr>
        <w:fldChar w:fldCharType="separate"/>
      </w:r>
      <w:r w:rsidR="00D272C5">
        <w:rPr>
          <w:b/>
          <w:bCs/>
          <w:noProof/>
          <w:sz w:val="20"/>
          <w:szCs w:val="20"/>
        </w:rPr>
        <w:t>3</w:t>
      </w:r>
      <w:r w:rsidRPr="00E65818">
        <w:rPr>
          <w:b/>
          <w:bCs/>
          <w:sz w:val="20"/>
          <w:szCs w:val="20"/>
        </w:rPr>
        <w:fldChar w:fldCharType="end"/>
      </w:r>
      <w:r w:rsidRPr="00E65818">
        <w:rPr>
          <w:b/>
          <w:bCs/>
          <w:sz w:val="20"/>
          <w:szCs w:val="20"/>
        </w:rPr>
        <w:t>: Net debt, gearing and interest cover.</w:t>
      </w:r>
      <w:bookmarkEnd w:id="11"/>
    </w:p>
    <w:p w14:paraId="59459434" w14:textId="0C7601AC" w:rsidR="00F75D9C" w:rsidRDefault="00F75D9C" w:rsidP="00F75D9C">
      <w:pPr>
        <w:pStyle w:val="Heading2"/>
      </w:pPr>
      <w:bookmarkStart w:id="12" w:name="_Toc237514435"/>
      <w:r>
        <w:t>Investment ratios</w:t>
      </w:r>
      <w:bookmarkEnd w:id="12"/>
    </w:p>
    <w:p w14:paraId="6E6C4555" w14:textId="52005277" w:rsidR="00E65818" w:rsidRDefault="00F75D9C" w:rsidP="00F75D9C">
      <w:r>
        <w:t xml:space="preserve">Basic Earnings per Share (EPS) decreased from 161.0 pence in FY2024 to 123.3 pence in FY2026 while Adjusted Earnings per Share (EPS) increased to 208.5 pence. The difference between the two is the most obvious measurement of the growth of the adjusting items. The dividend has remained at 97.0 pence for the past three years, down from 1.66 times cover on statutory earnings to 1.27 times today and a payout ratio of 78.7 </w:t>
      </w:r>
      <w:r w:rsidR="00B64CDE">
        <w:t>%</w:t>
      </w:r>
      <w:r>
        <w:t>. A further drop in statutory profits would leave a further 1.27 times uncovered</w:t>
      </w:r>
      <w:r w:rsidR="00406FDA">
        <w:t xml:space="preserve"> </w:t>
      </w:r>
      <w:r w:rsidR="00406FDA" w:rsidRPr="00406FDA">
        <w:t>(Davies and Crawford, 2011)</w:t>
      </w:r>
      <w:r>
        <w:t>.</w:t>
      </w:r>
    </w:p>
    <w:p w14:paraId="2CBA3D03" w14:textId="77846788" w:rsidR="00F75D9C" w:rsidRDefault="00F75D9C" w:rsidP="00F75D9C">
      <w:pPr>
        <w:pStyle w:val="Heading2"/>
      </w:pPr>
      <w:bookmarkStart w:id="13" w:name="_Toc237514436"/>
      <w:r>
        <w:t>Cash flow ratios</w:t>
      </w:r>
      <w:bookmarkEnd w:id="13"/>
    </w:p>
    <w:p w14:paraId="51B56036" w14:textId="4C223013" w:rsidR="006F7DA4" w:rsidRDefault="00F75D9C" w:rsidP="00F75D9C">
      <w:r>
        <w:t xml:space="preserve">The Group's biggest strength is its ability to generate cash. Operating cash flow was £752.8 million in FY2026, which was 25.8 </w:t>
      </w:r>
      <w:r w:rsidR="00B64CDE">
        <w:t>%</w:t>
      </w:r>
      <w:r>
        <w:t xml:space="preserve"> of revenue, and cash generated from operations was £1,072.6 million, 165 </w:t>
      </w:r>
      <w:r w:rsidR="00B64CDE">
        <w:t>%</w:t>
      </w:r>
      <w:r>
        <w:t xml:space="preserve"> of adjusted operating profit.</w:t>
      </w:r>
      <w:r w:rsidR="007B30DF">
        <w:t xml:space="preserve"> V</w:t>
      </w:r>
      <w:r>
        <w:t>ery few companies realize profits at this rate, and it is because depreciation of the property estate is a non-cash charge and because customers pay in advance</w:t>
      </w:r>
      <w:r w:rsidR="00406FDA">
        <w:t xml:space="preserve"> </w:t>
      </w:r>
      <w:r w:rsidR="00406FDA" w:rsidRPr="00406FDA">
        <w:t>(Fields, 2016)</w:t>
      </w:r>
      <w:r>
        <w:t>.</w:t>
      </w:r>
      <w:r w:rsidR="006F7DA4">
        <w:t xml:space="preserve"> </w:t>
      </w:r>
      <w:r w:rsidR="006F7DA4" w:rsidRPr="006F7DA4">
        <w:t xml:space="preserve">The weak point is below that line. Free cash flow, defined as operating cash flow less cash spent on tangible and intangible assets, fell from £369.4 million in FY2024 to </w:t>
      </w:r>
      <w:r w:rsidR="006F7DA4" w:rsidRPr="006F7DA4">
        <w:lastRenderedPageBreak/>
        <w:t>£77.4 million in FY2026, as capital expenditure rose to £675.4 million. With £168.8 million of dividends and £250.4 million of share buy-backs also to fund, the Group paid out considerably more than it generated and drew heavily on its cash reserves. This is sustainable for one year, but not for several.</w:t>
      </w:r>
    </w:p>
    <w:p w14:paraId="2325D666" w14:textId="7D9EC71D" w:rsidR="00E65818" w:rsidRDefault="00E65818" w:rsidP="006F7DA4">
      <w:pPr>
        <w:jc w:val="center"/>
      </w:pPr>
      <w:r>
        <w:rPr>
          <w:noProof/>
        </w:rPr>
        <w:drawing>
          <wp:inline distT="0" distB="0" distL="0" distR="0" wp14:anchorId="4F49AF5A" wp14:editId="73568D2D">
            <wp:extent cx="4251960" cy="1950720"/>
            <wp:effectExtent l="0" t="0" r="0" b="0"/>
            <wp:docPr id="585164228" name="Picture 585164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251960" cy="1950720"/>
                    </a:xfrm>
                    <a:prstGeom prst="rect">
                      <a:avLst/>
                    </a:prstGeom>
                  </pic:spPr>
                </pic:pic>
              </a:graphicData>
            </a:graphic>
          </wp:inline>
        </w:drawing>
      </w:r>
    </w:p>
    <w:p w14:paraId="700B5AD2" w14:textId="04D14846" w:rsidR="00E65818" w:rsidRPr="00E65818" w:rsidRDefault="00E65818" w:rsidP="00E65818">
      <w:pPr>
        <w:jc w:val="center"/>
        <w:rPr>
          <w:rFonts w:ascii="Times New Roman" w:hAnsi="Times New Roman" w:cs="Times New Roman"/>
          <w:b/>
          <w:bCs/>
          <w:sz w:val="20"/>
          <w:szCs w:val="20"/>
        </w:rPr>
      </w:pPr>
      <w:bookmarkStart w:id="14" w:name="_Toc237514476"/>
      <w:r w:rsidRPr="00E65818">
        <w:rPr>
          <w:rFonts w:ascii="Times New Roman" w:hAnsi="Times New Roman" w:cs="Times New Roman"/>
          <w:b/>
          <w:bCs/>
          <w:sz w:val="20"/>
          <w:szCs w:val="20"/>
        </w:rPr>
        <w:t xml:space="preserve">Figure </w:t>
      </w:r>
      <w:r w:rsidRPr="00E65818">
        <w:rPr>
          <w:rFonts w:ascii="Times New Roman" w:hAnsi="Times New Roman" w:cs="Times New Roman"/>
          <w:b/>
          <w:bCs/>
          <w:sz w:val="20"/>
          <w:szCs w:val="20"/>
        </w:rPr>
        <w:fldChar w:fldCharType="begin"/>
      </w:r>
      <w:r w:rsidRPr="00E65818">
        <w:rPr>
          <w:rFonts w:ascii="Times New Roman" w:hAnsi="Times New Roman" w:cs="Times New Roman"/>
          <w:b/>
          <w:bCs/>
          <w:sz w:val="20"/>
          <w:szCs w:val="20"/>
        </w:rPr>
        <w:instrText xml:space="preserve"> SEQ Figure \* ARABIC </w:instrText>
      </w:r>
      <w:r w:rsidRPr="00E65818">
        <w:rPr>
          <w:rFonts w:ascii="Times New Roman" w:hAnsi="Times New Roman" w:cs="Times New Roman"/>
          <w:b/>
          <w:bCs/>
          <w:sz w:val="20"/>
          <w:szCs w:val="20"/>
        </w:rPr>
        <w:fldChar w:fldCharType="separate"/>
      </w:r>
      <w:r w:rsidR="00D272C5">
        <w:rPr>
          <w:rFonts w:cs="Times New Roman"/>
          <w:b/>
          <w:bCs/>
          <w:noProof/>
          <w:sz w:val="20"/>
          <w:szCs w:val="20"/>
        </w:rPr>
        <w:t>4</w:t>
      </w:r>
      <w:r w:rsidRPr="00E65818">
        <w:rPr>
          <w:rFonts w:ascii="Times New Roman" w:hAnsi="Times New Roman" w:cs="Times New Roman"/>
          <w:b/>
          <w:bCs/>
          <w:sz w:val="20"/>
          <w:szCs w:val="20"/>
        </w:rPr>
        <w:fldChar w:fldCharType="end"/>
      </w:r>
      <w:r w:rsidRPr="00E65818">
        <w:rPr>
          <w:rFonts w:ascii="Times New Roman" w:hAnsi="Times New Roman" w:cs="Times New Roman"/>
          <w:b/>
          <w:bCs/>
          <w:sz w:val="20"/>
          <w:szCs w:val="20"/>
        </w:rPr>
        <w:t xml:space="preserve">: </w:t>
      </w:r>
      <w:r w:rsidRPr="00E65818">
        <w:rPr>
          <w:rFonts w:ascii="Times New Roman" w:eastAsia="Calibri" w:hAnsi="Times New Roman" w:cs="Times New Roman"/>
          <w:b/>
          <w:bCs/>
          <w:color w:val="555555"/>
          <w:sz w:val="20"/>
          <w:szCs w:val="20"/>
        </w:rPr>
        <w:t>Cash generation and reinvestment.</w:t>
      </w:r>
      <w:bookmarkEnd w:id="14"/>
    </w:p>
    <w:p w14:paraId="53785C86" w14:textId="1D0B0AA9" w:rsidR="00E65818" w:rsidRDefault="00E65818" w:rsidP="00E65818">
      <w:pPr>
        <w:pStyle w:val="Heading2"/>
      </w:pPr>
      <w:bookmarkStart w:id="15" w:name="_Toc237514437"/>
      <w:r w:rsidRPr="00E65818">
        <w:t>Liquidity benchmarking against sector standards</w:t>
      </w:r>
      <w:bookmarkEnd w:id="15"/>
    </w:p>
    <w:p w14:paraId="35986291" w14:textId="77777777" w:rsidR="00E65818" w:rsidRDefault="00E65818" w:rsidP="00E65818">
      <w:r>
        <w:t>Liquidity is relative to the sector and not against Whitbread. Current ratios of less than one are a common occurrence for hotel groups, because they have nearly no inventory and get cash from their guests when they check in, but pay their suppliers later. At December 2025, InterContinental Hotels Group's current ratio was 0.98, which was at the level of its ten-year median (GuruFocus, 2026) and the average of the hotels, tourism and amusement industry was 0.87 (CSIMarket, 2026). A general guideline for owner operators, however, is that a range of 1.2 – 2.0 is comfortable (Hospitality Institute 2025).</w:t>
      </w:r>
    </w:p>
    <w:p w14:paraId="647A1D52" w14:textId="28DB3064" w:rsidR="00E65818" w:rsidRDefault="00A5421A" w:rsidP="00E65818">
      <w:r w:rsidRPr="00A5421A">
        <w:t>Whitbread is an outlier on either measure.</w:t>
      </w:r>
      <w:r>
        <w:t xml:space="preserve"> </w:t>
      </w:r>
      <w:r w:rsidR="00E65818">
        <w:t xml:space="preserve">The current ratio of FY26 is 0.44 which is around half the industry average and significantly lower than its nearest listed comparator. The best comparison is the cash ratio. But with 0.26, Whitbread has half the immediate cash cover of the asset-light IHG (0.52), while IHG is an asset-light franchisor with a much lower level of operational and capital commitment than an owner-operator. </w:t>
      </w:r>
      <w:r w:rsidR="006F7DA4" w:rsidRPr="006F7DA4">
        <w:t>Whitbread should hold more immediate cash cover than IHG, not half as much</w:t>
      </w:r>
      <w:r w:rsidR="00E65818">
        <w:t xml:space="preserve">. It did until FY2024, when a current ratio of 0.96 was slightly below the industry average and a cash ratio of 0.80 was slightly above. </w:t>
      </w:r>
    </w:p>
    <w:p w14:paraId="29803209" w14:textId="5E325D9B" w:rsidR="00F75D9C" w:rsidRDefault="00E65818" w:rsidP="00E65818">
      <w:r>
        <w:lastRenderedPageBreak/>
        <w:t>The position and the sector average then, give a more realistic value of 0.85 to 1.00 as a working value than the general guidance of 1.2 to 2.0. It is recommended that the ratio should be restored to this level within 2 years to be considered a policy goal.</w:t>
      </w:r>
    </w:p>
    <w:p w14:paraId="74C36EB0" w14:textId="5327861E" w:rsidR="00E65818" w:rsidRPr="00276CA7" w:rsidRDefault="00E65818" w:rsidP="00276CA7">
      <w:pPr>
        <w:jc w:val="center"/>
        <w:rPr>
          <w:b/>
          <w:bCs/>
          <w:sz w:val="20"/>
          <w:szCs w:val="20"/>
        </w:rPr>
      </w:pPr>
      <w:bookmarkStart w:id="16" w:name="_Toc237514470"/>
      <w:r w:rsidRPr="00276CA7">
        <w:rPr>
          <w:b/>
          <w:bCs/>
          <w:sz w:val="20"/>
          <w:szCs w:val="20"/>
        </w:rPr>
        <w:t xml:space="preserve">Table </w:t>
      </w:r>
      <w:r w:rsidRPr="00276CA7">
        <w:rPr>
          <w:b/>
          <w:bCs/>
          <w:sz w:val="20"/>
          <w:szCs w:val="20"/>
        </w:rPr>
        <w:fldChar w:fldCharType="begin"/>
      </w:r>
      <w:r w:rsidRPr="00276CA7">
        <w:rPr>
          <w:b/>
          <w:bCs/>
          <w:sz w:val="20"/>
          <w:szCs w:val="20"/>
        </w:rPr>
        <w:instrText xml:space="preserve"> SEQ Table \* ARABIC </w:instrText>
      </w:r>
      <w:r w:rsidRPr="00276CA7">
        <w:rPr>
          <w:b/>
          <w:bCs/>
          <w:sz w:val="20"/>
          <w:szCs w:val="20"/>
        </w:rPr>
        <w:fldChar w:fldCharType="separate"/>
      </w:r>
      <w:r w:rsidR="00DF1635">
        <w:rPr>
          <w:b/>
          <w:bCs/>
          <w:noProof/>
          <w:sz w:val="20"/>
          <w:szCs w:val="20"/>
        </w:rPr>
        <w:t>3</w:t>
      </w:r>
      <w:r w:rsidRPr="00276CA7">
        <w:rPr>
          <w:b/>
          <w:bCs/>
          <w:sz w:val="20"/>
          <w:szCs w:val="20"/>
        </w:rPr>
        <w:fldChar w:fldCharType="end"/>
      </w:r>
      <w:r w:rsidRPr="00276CA7">
        <w:rPr>
          <w:b/>
          <w:bCs/>
          <w:sz w:val="20"/>
          <w:szCs w:val="20"/>
        </w:rPr>
        <w:t>: Liquidity benchmarking against the hotel sector. Sources: Whitbread PLC (2024; 2026)</w:t>
      </w:r>
      <w:bookmarkEnd w:id="16"/>
    </w:p>
    <w:tbl>
      <w:tblPr>
        <w:tblW w:w="6400" w:type="dxa"/>
        <w:tblInd w:w="13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500"/>
        <w:gridCol w:w="1500"/>
        <w:gridCol w:w="1400"/>
      </w:tblGrid>
      <w:tr w:rsidR="00E65818" w:rsidRPr="00E65818" w14:paraId="72AF10F9" w14:textId="77777777" w:rsidTr="00E65818">
        <w:trPr>
          <w:tblHeader/>
        </w:trPr>
        <w:tc>
          <w:tcPr>
            <w:tcW w:w="2000" w:type="dxa"/>
            <w:shd w:val="clear" w:color="auto" w:fill="1F3864"/>
            <w:tcMar>
              <w:top w:w="60" w:type="dxa"/>
              <w:left w:w="90" w:type="dxa"/>
              <w:bottom w:w="60" w:type="dxa"/>
              <w:right w:w="90" w:type="dxa"/>
            </w:tcMar>
            <w:vAlign w:val="center"/>
          </w:tcPr>
          <w:p w14:paraId="40EA3AAF"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Measure</w:t>
            </w:r>
          </w:p>
        </w:tc>
        <w:tc>
          <w:tcPr>
            <w:tcW w:w="1500" w:type="dxa"/>
            <w:shd w:val="clear" w:color="auto" w:fill="1F3864"/>
            <w:tcMar>
              <w:top w:w="60" w:type="dxa"/>
              <w:left w:w="90" w:type="dxa"/>
              <w:bottom w:w="60" w:type="dxa"/>
              <w:right w:w="90" w:type="dxa"/>
            </w:tcMar>
            <w:vAlign w:val="center"/>
          </w:tcPr>
          <w:p w14:paraId="74DA2AF4"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Whitbread FY2026</w:t>
            </w:r>
          </w:p>
        </w:tc>
        <w:tc>
          <w:tcPr>
            <w:tcW w:w="1500" w:type="dxa"/>
            <w:shd w:val="clear" w:color="auto" w:fill="1F3864"/>
            <w:tcMar>
              <w:top w:w="60" w:type="dxa"/>
              <w:left w:w="90" w:type="dxa"/>
              <w:bottom w:w="60" w:type="dxa"/>
              <w:right w:w="90" w:type="dxa"/>
            </w:tcMar>
            <w:vAlign w:val="center"/>
          </w:tcPr>
          <w:p w14:paraId="70AEDB9B"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Whitbread FY2024</w:t>
            </w:r>
          </w:p>
        </w:tc>
        <w:tc>
          <w:tcPr>
            <w:tcW w:w="1400" w:type="dxa"/>
            <w:shd w:val="clear" w:color="auto" w:fill="1F3864"/>
            <w:tcMar>
              <w:top w:w="60" w:type="dxa"/>
              <w:left w:w="90" w:type="dxa"/>
              <w:bottom w:w="60" w:type="dxa"/>
              <w:right w:w="90" w:type="dxa"/>
            </w:tcMar>
            <w:vAlign w:val="center"/>
          </w:tcPr>
          <w:p w14:paraId="7F2BCB0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b/>
                <w:bCs/>
                <w:color w:val="FFFFFF"/>
                <w:sz w:val="20"/>
                <w:szCs w:val="20"/>
              </w:rPr>
              <w:t>IHG (Dec 2025)</w:t>
            </w:r>
          </w:p>
        </w:tc>
      </w:tr>
      <w:tr w:rsidR="00E65818" w:rsidRPr="00E65818" w14:paraId="754A33F1" w14:textId="77777777" w:rsidTr="00E65818">
        <w:tc>
          <w:tcPr>
            <w:tcW w:w="2000" w:type="dxa"/>
            <w:shd w:val="clear" w:color="auto" w:fill="FFFFFF"/>
            <w:tcMar>
              <w:top w:w="60" w:type="dxa"/>
              <w:left w:w="90" w:type="dxa"/>
              <w:bottom w:w="60" w:type="dxa"/>
              <w:right w:w="90" w:type="dxa"/>
            </w:tcMar>
            <w:vAlign w:val="center"/>
          </w:tcPr>
          <w:p w14:paraId="412B151F"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Current ratio (times)</w:t>
            </w:r>
          </w:p>
        </w:tc>
        <w:tc>
          <w:tcPr>
            <w:tcW w:w="1500" w:type="dxa"/>
            <w:shd w:val="clear" w:color="auto" w:fill="FFFFFF"/>
            <w:tcMar>
              <w:top w:w="60" w:type="dxa"/>
              <w:left w:w="90" w:type="dxa"/>
              <w:bottom w:w="60" w:type="dxa"/>
              <w:right w:w="90" w:type="dxa"/>
            </w:tcMar>
            <w:vAlign w:val="center"/>
          </w:tcPr>
          <w:p w14:paraId="2CD6190F"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0.44</w:t>
            </w:r>
          </w:p>
        </w:tc>
        <w:tc>
          <w:tcPr>
            <w:tcW w:w="1500" w:type="dxa"/>
            <w:shd w:val="clear" w:color="auto" w:fill="FFFFFF"/>
            <w:tcMar>
              <w:top w:w="60" w:type="dxa"/>
              <w:left w:w="90" w:type="dxa"/>
              <w:bottom w:w="60" w:type="dxa"/>
              <w:right w:w="90" w:type="dxa"/>
            </w:tcMar>
            <w:vAlign w:val="center"/>
          </w:tcPr>
          <w:p w14:paraId="2C8C2346"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0.96</w:t>
            </w:r>
          </w:p>
        </w:tc>
        <w:tc>
          <w:tcPr>
            <w:tcW w:w="1400" w:type="dxa"/>
            <w:shd w:val="clear" w:color="auto" w:fill="FFFFFF"/>
            <w:tcMar>
              <w:top w:w="60" w:type="dxa"/>
              <w:left w:w="90" w:type="dxa"/>
              <w:bottom w:w="60" w:type="dxa"/>
              <w:right w:w="90" w:type="dxa"/>
            </w:tcMar>
            <w:vAlign w:val="center"/>
          </w:tcPr>
          <w:p w14:paraId="17321192"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0.98</w:t>
            </w:r>
          </w:p>
        </w:tc>
      </w:tr>
      <w:tr w:rsidR="00E65818" w:rsidRPr="00E65818" w14:paraId="7B0CA063" w14:textId="77777777" w:rsidTr="00E65818">
        <w:tc>
          <w:tcPr>
            <w:tcW w:w="2000" w:type="dxa"/>
            <w:shd w:val="clear" w:color="auto" w:fill="EAEEF5"/>
            <w:tcMar>
              <w:top w:w="60" w:type="dxa"/>
              <w:left w:w="90" w:type="dxa"/>
              <w:bottom w:w="60" w:type="dxa"/>
              <w:right w:w="90" w:type="dxa"/>
            </w:tcMar>
            <w:vAlign w:val="center"/>
          </w:tcPr>
          <w:p w14:paraId="3AB79C36"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Quick ratio (times)</w:t>
            </w:r>
          </w:p>
        </w:tc>
        <w:tc>
          <w:tcPr>
            <w:tcW w:w="1500" w:type="dxa"/>
            <w:shd w:val="clear" w:color="auto" w:fill="EAEEF5"/>
            <w:tcMar>
              <w:top w:w="60" w:type="dxa"/>
              <w:left w:w="90" w:type="dxa"/>
              <w:bottom w:w="60" w:type="dxa"/>
              <w:right w:w="90" w:type="dxa"/>
            </w:tcMar>
            <w:vAlign w:val="center"/>
          </w:tcPr>
          <w:p w14:paraId="30F0A09B"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0.42</w:t>
            </w:r>
          </w:p>
        </w:tc>
        <w:tc>
          <w:tcPr>
            <w:tcW w:w="1500" w:type="dxa"/>
            <w:shd w:val="clear" w:color="auto" w:fill="EAEEF5"/>
            <w:tcMar>
              <w:top w:w="60" w:type="dxa"/>
              <w:left w:w="90" w:type="dxa"/>
              <w:bottom w:w="60" w:type="dxa"/>
              <w:right w:w="90" w:type="dxa"/>
            </w:tcMar>
            <w:vAlign w:val="center"/>
          </w:tcPr>
          <w:p w14:paraId="1A4E1DBF"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0.94</w:t>
            </w:r>
          </w:p>
        </w:tc>
        <w:tc>
          <w:tcPr>
            <w:tcW w:w="1400" w:type="dxa"/>
            <w:shd w:val="clear" w:color="auto" w:fill="EAEEF5"/>
            <w:tcMar>
              <w:top w:w="60" w:type="dxa"/>
              <w:left w:w="90" w:type="dxa"/>
              <w:bottom w:w="60" w:type="dxa"/>
              <w:right w:w="90" w:type="dxa"/>
            </w:tcMar>
            <w:vAlign w:val="center"/>
          </w:tcPr>
          <w:p w14:paraId="41D7EE25"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0.97</w:t>
            </w:r>
          </w:p>
        </w:tc>
      </w:tr>
      <w:tr w:rsidR="00E65818" w:rsidRPr="00E65818" w14:paraId="6F6E57E2" w14:textId="77777777" w:rsidTr="00E65818">
        <w:tc>
          <w:tcPr>
            <w:tcW w:w="2000" w:type="dxa"/>
            <w:shd w:val="clear" w:color="auto" w:fill="FFFFFF"/>
            <w:tcMar>
              <w:top w:w="60" w:type="dxa"/>
              <w:left w:w="90" w:type="dxa"/>
              <w:bottom w:w="60" w:type="dxa"/>
              <w:right w:w="90" w:type="dxa"/>
            </w:tcMar>
            <w:vAlign w:val="center"/>
          </w:tcPr>
          <w:p w14:paraId="2E71FF29"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Cash ratio (times)</w:t>
            </w:r>
          </w:p>
        </w:tc>
        <w:tc>
          <w:tcPr>
            <w:tcW w:w="1500" w:type="dxa"/>
            <w:shd w:val="clear" w:color="auto" w:fill="FFFFFF"/>
            <w:tcMar>
              <w:top w:w="60" w:type="dxa"/>
              <w:left w:w="90" w:type="dxa"/>
              <w:bottom w:w="60" w:type="dxa"/>
              <w:right w:w="90" w:type="dxa"/>
            </w:tcMar>
            <w:vAlign w:val="center"/>
          </w:tcPr>
          <w:p w14:paraId="665691D9"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0.26</w:t>
            </w:r>
          </w:p>
        </w:tc>
        <w:tc>
          <w:tcPr>
            <w:tcW w:w="1500" w:type="dxa"/>
            <w:shd w:val="clear" w:color="auto" w:fill="FFFFFF"/>
            <w:tcMar>
              <w:top w:w="60" w:type="dxa"/>
              <w:left w:w="90" w:type="dxa"/>
              <w:bottom w:w="60" w:type="dxa"/>
              <w:right w:w="90" w:type="dxa"/>
            </w:tcMar>
            <w:vAlign w:val="center"/>
          </w:tcPr>
          <w:p w14:paraId="22261663"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0.80</w:t>
            </w:r>
          </w:p>
        </w:tc>
        <w:tc>
          <w:tcPr>
            <w:tcW w:w="1400" w:type="dxa"/>
            <w:shd w:val="clear" w:color="auto" w:fill="FFFFFF"/>
            <w:tcMar>
              <w:top w:w="60" w:type="dxa"/>
              <w:left w:w="90" w:type="dxa"/>
              <w:bottom w:w="60" w:type="dxa"/>
              <w:right w:w="90" w:type="dxa"/>
            </w:tcMar>
            <w:vAlign w:val="center"/>
          </w:tcPr>
          <w:p w14:paraId="2A35A4AA" w14:textId="77777777" w:rsidR="00E65818" w:rsidRPr="00E65818" w:rsidRDefault="00E65818" w:rsidP="00E65818">
            <w:pPr>
              <w:jc w:val="center"/>
              <w:rPr>
                <w:rFonts w:ascii="Times New Roman" w:hAnsi="Times New Roman" w:cs="Times New Roman"/>
                <w:sz w:val="20"/>
                <w:szCs w:val="20"/>
              </w:rPr>
            </w:pPr>
            <w:r w:rsidRPr="00E65818">
              <w:rPr>
                <w:rFonts w:ascii="Times New Roman" w:eastAsia="Calibri" w:hAnsi="Times New Roman" w:cs="Times New Roman"/>
                <w:color w:val="000000"/>
                <w:sz w:val="20"/>
                <w:szCs w:val="20"/>
              </w:rPr>
              <w:t>0.52</w:t>
            </w:r>
          </w:p>
        </w:tc>
      </w:tr>
    </w:tbl>
    <w:p w14:paraId="05CE4573" w14:textId="77777777" w:rsidR="00E65818" w:rsidRDefault="00E65818" w:rsidP="00F75D9C"/>
    <w:p w14:paraId="1A570F2B" w14:textId="18EDA570" w:rsidR="00E65818" w:rsidRDefault="00E65818" w:rsidP="00F75D9C">
      <w:r>
        <w:rPr>
          <w:noProof/>
        </w:rPr>
        <w:drawing>
          <wp:inline distT="0" distB="0" distL="0" distR="0" wp14:anchorId="6FF071BB" wp14:editId="76480E0A">
            <wp:extent cx="5334000" cy="2514600"/>
            <wp:effectExtent l="0" t="0" r="0" b="0"/>
            <wp:docPr id="1644340415" name="Picture 1644340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334000" cy="2514600"/>
                    </a:xfrm>
                    <a:prstGeom prst="rect">
                      <a:avLst/>
                    </a:prstGeom>
                  </pic:spPr>
                </pic:pic>
              </a:graphicData>
            </a:graphic>
          </wp:inline>
        </w:drawing>
      </w:r>
    </w:p>
    <w:p w14:paraId="68853665" w14:textId="477A9021" w:rsidR="00E65818" w:rsidRPr="00E65818" w:rsidRDefault="00E65818" w:rsidP="00E65818">
      <w:pPr>
        <w:jc w:val="center"/>
        <w:rPr>
          <w:b/>
          <w:bCs/>
          <w:sz w:val="22"/>
          <w:szCs w:val="22"/>
        </w:rPr>
      </w:pPr>
      <w:bookmarkStart w:id="17" w:name="_Toc237514477"/>
      <w:r w:rsidRPr="00E65818">
        <w:rPr>
          <w:b/>
          <w:bCs/>
          <w:sz w:val="22"/>
          <w:szCs w:val="22"/>
        </w:rPr>
        <w:t xml:space="preserve">Figure </w:t>
      </w:r>
      <w:r w:rsidRPr="00E65818">
        <w:rPr>
          <w:b/>
          <w:bCs/>
          <w:sz w:val="22"/>
          <w:szCs w:val="22"/>
        </w:rPr>
        <w:fldChar w:fldCharType="begin"/>
      </w:r>
      <w:r w:rsidRPr="00E65818">
        <w:rPr>
          <w:b/>
          <w:bCs/>
          <w:sz w:val="22"/>
          <w:szCs w:val="22"/>
        </w:rPr>
        <w:instrText xml:space="preserve"> SEQ Figure \* ARABIC </w:instrText>
      </w:r>
      <w:r w:rsidRPr="00E65818">
        <w:rPr>
          <w:b/>
          <w:bCs/>
          <w:sz w:val="22"/>
          <w:szCs w:val="22"/>
        </w:rPr>
        <w:fldChar w:fldCharType="separate"/>
      </w:r>
      <w:r w:rsidR="00D272C5">
        <w:rPr>
          <w:b/>
          <w:bCs/>
          <w:noProof/>
          <w:sz w:val="22"/>
          <w:szCs w:val="22"/>
        </w:rPr>
        <w:t>5</w:t>
      </w:r>
      <w:r w:rsidRPr="00E65818">
        <w:rPr>
          <w:b/>
          <w:bCs/>
          <w:sz w:val="22"/>
          <w:szCs w:val="22"/>
        </w:rPr>
        <w:fldChar w:fldCharType="end"/>
      </w:r>
      <w:r w:rsidRPr="00E65818">
        <w:rPr>
          <w:b/>
          <w:bCs/>
          <w:sz w:val="22"/>
          <w:szCs w:val="22"/>
        </w:rPr>
        <w:t>: Liquidity ratios against the sector benchmark.</w:t>
      </w:r>
      <w:bookmarkEnd w:id="17"/>
    </w:p>
    <w:p w14:paraId="04988030" w14:textId="4BA4C365" w:rsidR="00F75D9C" w:rsidRDefault="00F75D9C" w:rsidP="00E65818">
      <w:pPr>
        <w:pStyle w:val="Heading2"/>
      </w:pPr>
      <w:bookmarkStart w:id="18" w:name="_Toc237514438"/>
      <w:r>
        <w:t>Trends, strengths and emerging threats.</w:t>
      </w:r>
      <w:bookmarkEnd w:id="18"/>
    </w:p>
    <w:p w14:paraId="526F512E" w14:textId="39AD0204" w:rsidR="004122F8" w:rsidRDefault="004122F8" w:rsidP="004122F8">
      <w:r w:rsidRPr="004122F8">
        <w:t xml:space="preserve">Three strengths stand out: adjusted trading margins at a five-year high, exceptional cash conversion and a £9.1bn freehold-backed asset base that offers genuine sale and leaseback opportunities and asset backing for trading margins. They are balanced by four threats: growth is now based on room conversion and cost control, not the </w:t>
      </w:r>
      <w:r w:rsidRPr="004122F8">
        <w:lastRenderedPageBreak/>
        <w:t>market; statutory profit is declining due to increases in impairments; liquidity is well below the sector average; and gearing is increasing whilst interest cover is decreasing.</w:t>
      </w:r>
    </w:p>
    <w:p w14:paraId="5A04A67A" w14:textId="5F54C751" w:rsidR="000D05E7" w:rsidRDefault="00276CA7" w:rsidP="004122F8">
      <w:pPr>
        <w:pStyle w:val="Heading1"/>
      </w:pPr>
      <w:bookmarkStart w:id="19" w:name="_Toc237514439"/>
      <w:r>
        <w:t>Working Capital Management Analysis</w:t>
      </w:r>
      <w:bookmarkEnd w:id="19"/>
    </w:p>
    <w:p w14:paraId="2D4FAA5A" w14:textId="7C0F6129" w:rsidR="00276CA7" w:rsidRDefault="00276CA7" w:rsidP="00276CA7">
      <w:pPr>
        <w:pStyle w:val="Heading2"/>
      </w:pPr>
      <w:bookmarkStart w:id="20" w:name="_Toc237514440"/>
      <w:r>
        <w:t>Assessment of the cash operating cycle</w:t>
      </w:r>
      <w:bookmarkEnd w:id="20"/>
    </w:p>
    <w:p w14:paraId="27016C4B" w14:textId="58033878" w:rsidR="00276CA7" w:rsidRPr="00276CA7" w:rsidRDefault="00A5421A" w:rsidP="00276CA7">
      <w:r w:rsidRPr="00A5421A">
        <w:t>The cash operating cycle is the number of days between paying suppliers and receiving cash from customers. It is inventory days plus receivable days, less payable days</w:t>
      </w:r>
      <w:r w:rsidR="00276CA7" w:rsidRPr="00276CA7">
        <w:t>. As Whitbread does not provide a separate cost of sales figure, inventory days are calculated based on the cost of inventories recognised as an expense, while days of receivables are calculated on revenue and days of payables are calculated on total operating costs.</w:t>
      </w:r>
    </w:p>
    <w:p w14:paraId="5DD71D68" w14:textId="181DCE5D" w:rsidR="00276CA7" w:rsidRPr="00276CA7" w:rsidRDefault="00276CA7" w:rsidP="00276CA7">
      <w:pPr>
        <w:jc w:val="center"/>
        <w:rPr>
          <w:b/>
          <w:bCs/>
          <w:sz w:val="20"/>
          <w:szCs w:val="20"/>
        </w:rPr>
      </w:pPr>
      <w:bookmarkStart w:id="21" w:name="_Toc237514471"/>
      <w:r w:rsidRPr="00276CA7">
        <w:rPr>
          <w:b/>
          <w:bCs/>
          <w:sz w:val="20"/>
          <w:szCs w:val="20"/>
        </w:rPr>
        <w:t xml:space="preserve">Table </w:t>
      </w:r>
      <w:r w:rsidRPr="00276CA7">
        <w:rPr>
          <w:b/>
          <w:bCs/>
          <w:sz w:val="20"/>
          <w:szCs w:val="20"/>
        </w:rPr>
        <w:fldChar w:fldCharType="begin"/>
      </w:r>
      <w:r w:rsidRPr="00276CA7">
        <w:rPr>
          <w:b/>
          <w:bCs/>
          <w:sz w:val="20"/>
          <w:szCs w:val="20"/>
        </w:rPr>
        <w:instrText xml:space="preserve"> SEQ Table \* ARABIC </w:instrText>
      </w:r>
      <w:r w:rsidRPr="00276CA7">
        <w:rPr>
          <w:b/>
          <w:bCs/>
          <w:sz w:val="20"/>
          <w:szCs w:val="20"/>
        </w:rPr>
        <w:fldChar w:fldCharType="separate"/>
      </w:r>
      <w:r w:rsidR="00DF1635">
        <w:rPr>
          <w:b/>
          <w:bCs/>
          <w:noProof/>
          <w:sz w:val="20"/>
          <w:szCs w:val="20"/>
        </w:rPr>
        <w:t>4</w:t>
      </w:r>
      <w:r w:rsidRPr="00276CA7">
        <w:rPr>
          <w:b/>
          <w:bCs/>
          <w:sz w:val="20"/>
          <w:szCs w:val="20"/>
        </w:rPr>
        <w:fldChar w:fldCharType="end"/>
      </w:r>
      <w:r w:rsidRPr="00276CA7">
        <w:rPr>
          <w:b/>
          <w:bCs/>
          <w:sz w:val="20"/>
          <w:szCs w:val="20"/>
        </w:rPr>
        <w:t>: Cash operating cycle, FY2022–FY2026.</w:t>
      </w:r>
      <w:bookmarkEnd w:id="21"/>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1200"/>
        <w:gridCol w:w="1200"/>
        <w:gridCol w:w="1200"/>
        <w:gridCol w:w="1200"/>
        <w:gridCol w:w="1200"/>
      </w:tblGrid>
      <w:tr w:rsidR="00276CA7" w14:paraId="2D745326" w14:textId="77777777" w:rsidTr="00276CA7">
        <w:trPr>
          <w:tblHeader/>
        </w:trPr>
        <w:tc>
          <w:tcPr>
            <w:tcW w:w="3000" w:type="dxa"/>
            <w:shd w:val="clear" w:color="auto" w:fill="1F3864"/>
            <w:tcMar>
              <w:top w:w="60" w:type="dxa"/>
              <w:left w:w="90" w:type="dxa"/>
              <w:bottom w:w="60" w:type="dxa"/>
              <w:right w:w="90" w:type="dxa"/>
            </w:tcMar>
            <w:vAlign w:val="center"/>
          </w:tcPr>
          <w:p w14:paraId="50A63830"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Days</w:t>
            </w:r>
          </w:p>
        </w:tc>
        <w:tc>
          <w:tcPr>
            <w:tcW w:w="1200" w:type="dxa"/>
            <w:shd w:val="clear" w:color="auto" w:fill="1F3864"/>
            <w:tcMar>
              <w:top w:w="60" w:type="dxa"/>
              <w:left w:w="90" w:type="dxa"/>
              <w:bottom w:w="60" w:type="dxa"/>
              <w:right w:w="90" w:type="dxa"/>
            </w:tcMar>
            <w:vAlign w:val="center"/>
          </w:tcPr>
          <w:p w14:paraId="13C65D23"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FY2022</w:t>
            </w:r>
          </w:p>
        </w:tc>
        <w:tc>
          <w:tcPr>
            <w:tcW w:w="1200" w:type="dxa"/>
            <w:shd w:val="clear" w:color="auto" w:fill="1F3864"/>
            <w:tcMar>
              <w:top w:w="60" w:type="dxa"/>
              <w:left w:w="90" w:type="dxa"/>
              <w:bottom w:w="60" w:type="dxa"/>
              <w:right w:w="90" w:type="dxa"/>
            </w:tcMar>
            <w:vAlign w:val="center"/>
          </w:tcPr>
          <w:p w14:paraId="3BEFB712"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FY2023</w:t>
            </w:r>
          </w:p>
        </w:tc>
        <w:tc>
          <w:tcPr>
            <w:tcW w:w="1200" w:type="dxa"/>
            <w:shd w:val="clear" w:color="auto" w:fill="1F3864"/>
            <w:tcMar>
              <w:top w:w="60" w:type="dxa"/>
              <w:left w:w="90" w:type="dxa"/>
              <w:bottom w:w="60" w:type="dxa"/>
              <w:right w:w="90" w:type="dxa"/>
            </w:tcMar>
            <w:vAlign w:val="center"/>
          </w:tcPr>
          <w:p w14:paraId="764EFF95"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FY2024</w:t>
            </w:r>
          </w:p>
        </w:tc>
        <w:tc>
          <w:tcPr>
            <w:tcW w:w="1200" w:type="dxa"/>
            <w:shd w:val="clear" w:color="auto" w:fill="1F3864"/>
            <w:tcMar>
              <w:top w:w="60" w:type="dxa"/>
              <w:left w:w="90" w:type="dxa"/>
              <w:bottom w:w="60" w:type="dxa"/>
              <w:right w:w="90" w:type="dxa"/>
            </w:tcMar>
            <w:vAlign w:val="center"/>
          </w:tcPr>
          <w:p w14:paraId="4FAFF35C"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FY2025</w:t>
            </w:r>
          </w:p>
        </w:tc>
        <w:tc>
          <w:tcPr>
            <w:tcW w:w="1200" w:type="dxa"/>
            <w:shd w:val="clear" w:color="auto" w:fill="1F3864"/>
            <w:tcMar>
              <w:top w:w="60" w:type="dxa"/>
              <w:left w:w="90" w:type="dxa"/>
              <w:bottom w:w="60" w:type="dxa"/>
              <w:right w:w="90" w:type="dxa"/>
            </w:tcMar>
            <w:vAlign w:val="center"/>
          </w:tcPr>
          <w:p w14:paraId="2C17F08E"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b/>
                <w:bCs/>
                <w:color w:val="FFFFFF"/>
                <w:sz w:val="20"/>
                <w:szCs w:val="20"/>
              </w:rPr>
              <w:t>FY2026</w:t>
            </w:r>
          </w:p>
        </w:tc>
      </w:tr>
      <w:tr w:rsidR="00276CA7" w14:paraId="63840794" w14:textId="77777777" w:rsidTr="00276CA7">
        <w:tc>
          <w:tcPr>
            <w:tcW w:w="3000" w:type="dxa"/>
            <w:shd w:val="clear" w:color="auto" w:fill="FFFFFF"/>
            <w:tcMar>
              <w:top w:w="60" w:type="dxa"/>
              <w:left w:w="90" w:type="dxa"/>
              <w:bottom w:w="60" w:type="dxa"/>
              <w:right w:w="90" w:type="dxa"/>
            </w:tcMar>
            <w:vAlign w:val="center"/>
          </w:tcPr>
          <w:p w14:paraId="62A6B14B"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Inventory days</w:t>
            </w:r>
          </w:p>
        </w:tc>
        <w:tc>
          <w:tcPr>
            <w:tcW w:w="1200" w:type="dxa"/>
            <w:shd w:val="clear" w:color="auto" w:fill="FFFFFF"/>
            <w:tcMar>
              <w:top w:w="60" w:type="dxa"/>
              <w:left w:w="90" w:type="dxa"/>
              <w:bottom w:w="60" w:type="dxa"/>
              <w:right w:w="90" w:type="dxa"/>
            </w:tcMar>
            <w:vAlign w:val="center"/>
          </w:tcPr>
          <w:p w14:paraId="2FEC77F1"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48.3</w:t>
            </w:r>
          </w:p>
        </w:tc>
        <w:tc>
          <w:tcPr>
            <w:tcW w:w="1200" w:type="dxa"/>
            <w:shd w:val="clear" w:color="auto" w:fill="FFFFFF"/>
            <w:tcMar>
              <w:top w:w="60" w:type="dxa"/>
              <w:left w:w="90" w:type="dxa"/>
              <w:bottom w:w="60" w:type="dxa"/>
              <w:right w:w="90" w:type="dxa"/>
            </w:tcMar>
            <w:vAlign w:val="center"/>
          </w:tcPr>
          <w:p w14:paraId="1DC22F65"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34.6</w:t>
            </w:r>
          </w:p>
        </w:tc>
        <w:tc>
          <w:tcPr>
            <w:tcW w:w="1200" w:type="dxa"/>
            <w:shd w:val="clear" w:color="auto" w:fill="FFFFFF"/>
            <w:tcMar>
              <w:top w:w="60" w:type="dxa"/>
              <w:left w:w="90" w:type="dxa"/>
              <w:bottom w:w="60" w:type="dxa"/>
              <w:right w:w="90" w:type="dxa"/>
            </w:tcMar>
            <w:vAlign w:val="center"/>
          </w:tcPr>
          <w:p w14:paraId="3DA0FD2C"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30.3</w:t>
            </w:r>
          </w:p>
        </w:tc>
        <w:tc>
          <w:tcPr>
            <w:tcW w:w="1200" w:type="dxa"/>
            <w:shd w:val="clear" w:color="auto" w:fill="FFFFFF"/>
            <w:tcMar>
              <w:top w:w="60" w:type="dxa"/>
              <w:left w:w="90" w:type="dxa"/>
              <w:bottom w:w="60" w:type="dxa"/>
              <w:right w:w="90" w:type="dxa"/>
            </w:tcMar>
            <w:vAlign w:val="center"/>
          </w:tcPr>
          <w:p w14:paraId="641D65C3"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27.7</w:t>
            </w:r>
          </w:p>
        </w:tc>
        <w:tc>
          <w:tcPr>
            <w:tcW w:w="1200" w:type="dxa"/>
            <w:shd w:val="clear" w:color="auto" w:fill="FFFFFF"/>
            <w:tcMar>
              <w:top w:w="60" w:type="dxa"/>
              <w:left w:w="90" w:type="dxa"/>
              <w:bottom w:w="60" w:type="dxa"/>
              <w:right w:w="90" w:type="dxa"/>
            </w:tcMar>
            <w:vAlign w:val="center"/>
          </w:tcPr>
          <w:p w14:paraId="56D5CF71"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18.7</w:t>
            </w:r>
          </w:p>
        </w:tc>
      </w:tr>
      <w:tr w:rsidR="00276CA7" w14:paraId="720C931C" w14:textId="77777777" w:rsidTr="00276CA7">
        <w:tc>
          <w:tcPr>
            <w:tcW w:w="3000" w:type="dxa"/>
            <w:shd w:val="clear" w:color="auto" w:fill="EAEEF5"/>
            <w:tcMar>
              <w:top w:w="60" w:type="dxa"/>
              <w:left w:w="90" w:type="dxa"/>
              <w:bottom w:w="60" w:type="dxa"/>
              <w:right w:w="90" w:type="dxa"/>
            </w:tcMar>
            <w:vAlign w:val="center"/>
          </w:tcPr>
          <w:p w14:paraId="5B239753"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Add: receivable days</w:t>
            </w:r>
          </w:p>
        </w:tc>
        <w:tc>
          <w:tcPr>
            <w:tcW w:w="1200" w:type="dxa"/>
            <w:shd w:val="clear" w:color="auto" w:fill="EAEEF5"/>
            <w:tcMar>
              <w:top w:w="60" w:type="dxa"/>
              <w:left w:w="90" w:type="dxa"/>
              <w:bottom w:w="60" w:type="dxa"/>
              <w:right w:w="90" w:type="dxa"/>
            </w:tcMar>
            <w:vAlign w:val="center"/>
          </w:tcPr>
          <w:p w14:paraId="7F712DD4"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24.9</w:t>
            </w:r>
          </w:p>
        </w:tc>
        <w:tc>
          <w:tcPr>
            <w:tcW w:w="1200" w:type="dxa"/>
            <w:shd w:val="clear" w:color="auto" w:fill="EAEEF5"/>
            <w:tcMar>
              <w:top w:w="60" w:type="dxa"/>
              <w:left w:w="90" w:type="dxa"/>
              <w:bottom w:w="60" w:type="dxa"/>
              <w:right w:w="90" w:type="dxa"/>
            </w:tcMar>
            <w:vAlign w:val="center"/>
          </w:tcPr>
          <w:p w14:paraId="33F826B0"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19.7</w:t>
            </w:r>
          </w:p>
        </w:tc>
        <w:tc>
          <w:tcPr>
            <w:tcW w:w="1200" w:type="dxa"/>
            <w:shd w:val="clear" w:color="auto" w:fill="EAEEF5"/>
            <w:tcMar>
              <w:top w:w="60" w:type="dxa"/>
              <w:left w:w="90" w:type="dxa"/>
              <w:bottom w:w="60" w:type="dxa"/>
              <w:right w:w="90" w:type="dxa"/>
            </w:tcMar>
            <w:vAlign w:val="center"/>
          </w:tcPr>
          <w:p w14:paraId="51F0ED67"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14.7</w:t>
            </w:r>
          </w:p>
        </w:tc>
        <w:tc>
          <w:tcPr>
            <w:tcW w:w="1200" w:type="dxa"/>
            <w:shd w:val="clear" w:color="auto" w:fill="EAEEF5"/>
            <w:tcMar>
              <w:top w:w="60" w:type="dxa"/>
              <w:left w:w="90" w:type="dxa"/>
              <w:bottom w:w="60" w:type="dxa"/>
              <w:right w:w="90" w:type="dxa"/>
            </w:tcMar>
            <w:vAlign w:val="center"/>
          </w:tcPr>
          <w:p w14:paraId="22D05C7D"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15.9</w:t>
            </w:r>
          </w:p>
        </w:tc>
        <w:tc>
          <w:tcPr>
            <w:tcW w:w="1200" w:type="dxa"/>
            <w:shd w:val="clear" w:color="auto" w:fill="EAEEF5"/>
            <w:tcMar>
              <w:top w:w="60" w:type="dxa"/>
              <w:left w:w="90" w:type="dxa"/>
              <w:bottom w:w="60" w:type="dxa"/>
              <w:right w:w="90" w:type="dxa"/>
            </w:tcMar>
            <w:vAlign w:val="center"/>
          </w:tcPr>
          <w:p w14:paraId="2E78F99C"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17.1</w:t>
            </w:r>
          </w:p>
        </w:tc>
      </w:tr>
      <w:tr w:rsidR="00276CA7" w14:paraId="0A73A15A" w14:textId="77777777" w:rsidTr="00276CA7">
        <w:tc>
          <w:tcPr>
            <w:tcW w:w="3000" w:type="dxa"/>
            <w:shd w:val="clear" w:color="auto" w:fill="FFFFFF"/>
            <w:tcMar>
              <w:top w:w="60" w:type="dxa"/>
              <w:left w:w="90" w:type="dxa"/>
              <w:bottom w:w="60" w:type="dxa"/>
              <w:right w:w="90" w:type="dxa"/>
            </w:tcMar>
            <w:vAlign w:val="center"/>
          </w:tcPr>
          <w:p w14:paraId="67749746"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Less: payable days</w:t>
            </w:r>
          </w:p>
        </w:tc>
        <w:tc>
          <w:tcPr>
            <w:tcW w:w="1200" w:type="dxa"/>
            <w:shd w:val="clear" w:color="auto" w:fill="FFFFFF"/>
            <w:tcMar>
              <w:top w:w="60" w:type="dxa"/>
              <w:left w:w="90" w:type="dxa"/>
              <w:bottom w:w="60" w:type="dxa"/>
              <w:right w:w="90" w:type="dxa"/>
            </w:tcMar>
            <w:vAlign w:val="center"/>
          </w:tcPr>
          <w:p w14:paraId="7EDC4D3D"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(129.7)</w:t>
            </w:r>
          </w:p>
        </w:tc>
        <w:tc>
          <w:tcPr>
            <w:tcW w:w="1200" w:type="dxa"/>
            <w:shd w:val="clear" w:color="auto" w:fill="FFFFFF"/>
            <w:tcMar>
              <w:top w:w="60" w:type="dxa"/>
              <w:left w:w="90" w:type="dxa"/>
              <w:bottom w:w="60" w:type="dxa"/>
              <w:right w:w="90" w:type="dxa"/>
            </w:tcMar>
            <w:vAlign w:val="center"/>
          </w:tcPr>
          <w:p w14:paraId="648C242E"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(115.8)</w:t>
            </w:r>
          </w:p>
        </w:tc>
        <w:tc>
          <w:tcPr>
            <w:tcW w:w="1200" w:type="dxa"/>
            <w:shd w:val="clear" w:color="auto" w:fill="FFFFFF"/>
            <w:tcMar>
              <w:top w:w="60" w:type="dxa"/>
              <w:left w:w="90" w:type="dxa"/>
              <w:bottom w:w="60" w:type="dxa"/>
              <w:right w:w="90" w:type="dxa"/>
            </w:tcMar>
            <w:vAlign w:val="center"/>
          </w:tcPr>
          <w:p w14:paraId="6F54DED6"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(101.1)</w:t>
            </w:r>
          </w:p>
        </w:tc>
        <w:tc>
          <w:tcPr>
            <w:tcW w:w="1200" w:type="dxa"/>
            <w:shd w:val="clear" w:color="auto" w:fill="FFFFFF"/>
            <w:tcMar>
              <w:top w:w="60" w:type="dxa"/>
              <w:left w:w="90" w:type="dxa"/>
              <w:bottom w:w="60" w:type="dxa"/>
              <w:right w:w="90" w:type="dxa"/>
            </w:tcMar>
            <w:vAlign w:val="center"/>
          </w:tcPr>
          <w:p w14:paraId="25F5A7B0"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(99.7)</w:t>
            </w:r>
          </w:p>
        </w:tc>
        <w:tc>
          <w:tcPr>
            <w:tcW w:w="1200" w:type="dxa"/>
            <w:shd w:val="clear" w:color="auto" w:fill="FFFFFF"/>
            <w:tcMar>
              <w:top w:w="60" w:type="dxa"/>
              <w:left w:w="90" w:type="dxa"/>
              <w:bottom w:w="60" w:type="dxa"/>
              <w:right w:w="90" w:type="dxa"/>
            </w:tcMar>
            <w:vAlign w:val="center"/>
          </w:tcPr>
          <w:p w14:paraId="5C2ECCCC"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(101.9)</w:t>
            </w:r>
          </w:p>
        </w:tc>
      </w:tr>
      <w:tr w:rsidR="00276CA7" w14:paraId="26A04E46" w14:textId="77777777" w:rsidTr="00276CA7">
        <w:tc>
          <w:tcPr>
            <w:tcW w:w="3000" w:type="dxa"/>
            <w:shd w:val="clear" w:color="auto" w:fill="EAEEF5"/>
            <w:tcMar>
              <w:top w:w="60" w:type="dxa"/>
              <w:left w:w="90" w:type="dxa"/>
              <w:bottom w:w="60" w:type="dxa"/>
              <w:right w:w="90" w:type="dxa"/>
            </w:tcMar>
            <w:vAlign w:val="center"/>
          </w:tcPr>
          <w:p w14:paraId="1101BB1C"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Cash operating cycle</w:t>
            </w:r>
          </w:p>
        </w:tc>
        <w:tc>
          <w:tcPr>
            <w:tcW w:w="1200" w:type="dxa"/>
            <w:shd w:val="clear" w:color="auto" w:fill="EAEEF5"/>
            <w:tcMar>
              <w:top w:w="60" w:type="dxa"/>
              <w:left w:w="90" w:type="dxa"/>
              <w:bottom w:w="60" w:type="dxa"/>
              <w:right w:w="90" w:type="dxa"/>
            </w:tcMar>
            <w:vAlign w:val="center"/>
          </w:tcPr>
          <w:p w14:paraId="0A73EA9B"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(56.5)</w:t>
            </w:r>
          </w:p>
        </w:tc>
        <w:tc>
          <w:tcPr>
            <w:tcW w:w="1200" w:type="dxa"/>
            <w:shd w:val="clear" w:color="auto" w:fill="EAEEF5"/>
            <w:tcMar>
              <w:top w:w="60" w:type="dxa"/>
              <w:left w:w="90" w:type="dxa"/>
              <w:bottom w:w="60" w:type="dxa"/>
              <w:right w:w="90" w:type="dxa"/>
            </w:tcMar>
            <w:vAlign w:val="center"/>
          </w:tcPr>
          <w:p w14:paraId="1BFBF016"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(61.5)</w:t>
            </w:r>
          </w:p>
        </w:tc>
        <w:tc>
          <w:tcPr>
            <w:tcW w:w="1200" w:type="dxa"/>
            <w:shd w:val="clear" w:color="auto" w:fill="EAEEF5"/>
            <w:tcMar>
              <w:top w:w="60" w:type="dxa"/>
              <w:left w:w="90" w:type="dxa"/>
              <w:bottom w:w="60" w:type="dxa"/>
              <w:right w:w="90" w:type="dxa"/>
            </w:tcMar>
            <w:vAlign w:val="center"/>
          </w:tcPr>
          <w:p w14:paraId="2B36432D"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(56.0)</w:t>
            </w:r>
          </w:p>
        </w:tc>
        <w:tc>
          <w:tcPr>
            <w:tcW w:w="1200" w:type="dxa"/>
            <w:shd w:val="clear" w:color="auto" w:fill="EAEEF5"/>
            <w:tcMar>
              <w:top w:w="60" w:type="dxa"/>
              <w:left w:w="90" w:type="dxa"/>
              <w:bottom w:w="60" w:type="dxa"/>
              <w:right w:w="90" w:type="dxa"/>
            </w:tcMar>
            <w:vAlign w:val="center"/>
          </w:tcPr>
          <w:p w14:paraId="5BBBDE40"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(56.1)</w:t>
            </w:r>
          </w:p>
        </w:tc>
        <w:tc>
          <w:tcPr>
            <w:tcW w:w="1200" w:type="dxa"/>
            <w:shd w:val="clear" w:color="auto" w:fill="EAEEF5"/>
            <w:tcMar>
              <w:top w:w="60" w:type="dxa"/>
              <w:left w:w="90" w:type="dxa"/>
              <w:bottom w:w="60" w:type="dxa"/>
              <w:right w:w="90" w:type="dxa"/>
            </w:tcMar>
            <w:vAlign w:val="center"/>
          </w:tcPr>
          <w:p w14:paraId="514A3356" w14:textId="77777777" w:rsidR="00276CA7" w:rsidRPr="00276CA7" w:rsidRDefault="00276CA7" w:rsidP="00276CA7">
            <w:pPr>
              <w:jc w:val="center"/>
              <w:rPr>
                <w:rFonts w:ascii="Times New Roman" w:hAnsi="Times New Roman" w:cs="Times New Roman"/>
                <w:sz w:val="20"/>
                <w:szCs w:val="20"/>
              </w:rPr>
            </w:pPr>
            <w:r w:rsidRPr="00276CA7">
              <w:rPr>
                <w:rFonts w:ascii="Times New Roman" w:eastAsia="Calibri" w:hAnsi="Times New Roman" w:cs="Times New Roman"/>
                <w:color w:val="000000"/>
                <w:sz w:val="20"/>
                <w:szCs w:val="20"/>
              </w:rPr>
              <w:t>(66.2)</w:t>
            </w:r>
          </w:p>
        </w:tc>
      </w:tr>
    </w:tbl>
    <w:p w14:paraId="7956906C" w14:textId="70E1170C" w:rsidR="00276CA7" w:rsidRDefault="00276CA7" w:rsidP="00276CA7">
      <w:r>
        <w:rPr>
          <w:noProof/>
        </w:rPr>
        <w:lastRenderedPageBreak/>
        <w:drawing>
          <wp:inline distT="0" distB="0" distL="0" distR="0" wp14:anchorId="063E09E5" wp14:editId="07969EA3">
            <wp:extent cx="5692140" cy="2606040"/>
            <wp:effectExtent l="0" t="0" r="3810" b="3810"/>
            <wp:docPr id="1339828922" name="Picture 1339828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692140" cy="2606040"/>
                    </a:xfrm>
                    <a:prstGeom prst="rect">
                      <a:avLst/>
                    </a:prstGeom>
                  </pic:spPr>
                </pic:pic>
              </a:graphicData>
            </a:graphic>
          </wp:inline>
        </w:drawing>
      </w:r>
    </w:p>
    <w:p w14:paraId="6AE03170" w14:textId="14193153" w:rsidR="00276CA7" w:rsidRDefault="00276CA7" w:rsidP="00276CA7">
      <w:pPr>
        <w:jc w:val="center"/>
        <w:rPr>
          <w:b/>
          <w:bCs/>
          <w:sz w:val="20"/>
          <w:szCs w:val="20"/>
        </w:rPr>
      </w:pPr>
      <w:bookmarkStart w:id="22" w:name="_Toc237514478"/>
      <w:r w:rsidRPr="00276CA7">
        <w:rPr>
          <w:b/>
          <w:bCs/>
          <w:sz w:val="20"/>
          <w:szCs w:val="20"/>
        </w:rPr>
        <w:t xml:space="preserve">Figure </w:t>
      </w:r>
      <w:r w:rsidRPr="00276CA7">
        <w:rPr>
          <w:b/>
          <w:bCs/>
          <w:sz w:val="20"/>
          <w:szCs w:val="20"/>
        </w:rPr>
        <w:fldChar w:fldCharType="begin"/>
      </w:r>
      <w:r w:rsidRPr="00276CA7">
        <w:rPr>
          <w:b/>
          <w:bCs/>
          <w:sz w:val="20"/>
          <w:szCs w:val="20"/>
        </w:rPr>
        <w:instrText xml:space="preserve"> SEQ Figure \* ARABIC </w:instrText>
      </w:r>
      <w:r w:rsidRPr="00276CA7">
        <w:rPr>
          <w:b/>
          <w:bCs/>
          <w:sz w:val="20"/>
          <w:szCs w:val="20"/>
        </w:rPr>
        <w:fldChar w:fldCharType="separate"/>
      </w:r>
      <w:r w:rsidR="00D272C5">
        <w:rPr>
          <w:b/>
          <w:bCs/>
          <w:noProof/>
          <w:sz w:val="20"/>
          <w:szCs w:val="20"/>
        </w:rPr>
        <w:t>6</w:t>
      </w:r>
      <w:r w:rsidRPr="00276CA7">
        <w:rPr>
          <w:b/>
          <w:bCs/>
          <w:sz w:val="20"/>
          <w:szCs w:val="20"/>
        </w:rPr>
        <w:fldChar w:fldCharType="end"/>
      </w:r>
      <w:r w:rsidRPr="00276CA7">
        <w:rPr>
          <w:b/>
          <w:bCs/>
          <w:sz w:val="20"/>
          <w:szCs w:val="20"/>
        </w:rPr>
        <w:t>: Cash operating cycle and its components</w:t>
      </w:r>
      <w:bookmarkEnd w:id="22"/>
    </w:p>
    <w:p w14:paraId="2D88602D" w14:textId="77777777" w:rsidR="00276CA7" w:rsidRDefault="00276CA7" w:rsidP="00276CA7">
      <w:r>
        <w:t>The negative trend continued throughout all the years, and increased to minus 66.2 days in FY2026. A negative cycle indicates that suppliers and guests are funding ongoing sales and service: Whitbread is getting cash about 66 days before paying for the goods/services received to earn revenue. It is a real competitive edge and is an interest free, long-term source of funding of many hundred million pounds (Deloof, 2003).</w:t>
      </w:r>
    </w:p>
    <w:p w14:paraId="63DE67A0" w14:textId="77777777" w:rsidR="00276CA7" w:rsidRDefault="00276CA7" w:rsidP="00276CA7">
      <w:r>
        <w:t>The risk is that the negative cycle can mask the weakness in the liquidity position. The Group doesn't seem to have needed working capital, and has been able to run down cash. However, the cycle remains negative as long as the trading volumes are not changing. If demand for room dropped off precipitously, revenues would cease to flow, payments from suppliers would remain and the negative spiral would unravel in a sudden cash outflow at the most inopportune time.</w:t>
      </w:r>
    </w:p>
    <w:p w14:paraId="6742F0B9" w14:textId="02DA794C" w:rsidR="00276CA7" w:rsidRDefault="00276CA7" w:rsidP="00276CA7">
      <w:pPr>
        <w:pStyle w:val="Heading2"/>
      </w:pPr>
      <w:bookmarkStart w:id="23" w:name="_Toc237514441"/>
      <w:r>
        <w:t>Working capital reforms to improve liquidity</w:t>
      </w:r>
      <w:bookmarkEnd w:id="23"/>
    </w:p>
    <w:p w14:paraId="0E19D7BB" w14:textId="11409545" w:rsidR="00276CA7" w:rsidRDefault="00276CA7" w:rsidP="00276CA7">
      <w:r>
        <w:t>The following are suggested reforms: Start with a policy floor of around £500 million – about 8 weeks operating costs – not a residual</w:t>
      </w:r>
      <w:r w:rsidR="00406FDA">
        <w:t xml:space="preserve"> </w:t>
      </w:r>
      <w:r w:rsidR="00406FDA" w:rsidRPr="00406FDA">
        <w:t>(Barrow, 2009)</w:t>
      </w:r>
      <w:r>
        <w:t>. Second, limit the number of payable days to around 100, as making them longer would harm relationships with suppliers, which would only increase prices, and evidence indicates that increased stretching of payables would have a negative impact on profitability (Baños-Caballero, García-Teruel and Martínez-Solano, 2014).</w:t>
      </w:r>
    </w:p>
    <w:p w14:paraId="1075D157" w14:textId="28098261" w:rsidR="00276CA7" w:rsidRDefault="00276CA7" w:rsidP="00276CA7">
      <w:r>
        <w:lastRenderedPageBreak/>
        <w:t>Third, reduce the small but growing corporate receivables book which increased their receivable days from 14.7 to 17.1 days – approximately £15 million would be freed up by chasing payments automatically under a 30-day contractual term. Fourth, maintain the disciplined reduction of food and drink stock as restaurant space is repurposed to rooms and stagger the capital spend, avoiding repetition of the peak spend in consecutive years in FY2026</w:t>
      </w:r>
      <w:r w:rsidR="00406FDA">
        <w:t xml:space="preserve"> </w:t>
      </w:r>
      <w:r w:rsidR="00406FDA" w:rsidRPr="00406FDA">
        <w:t>(Marsh, 2012)</w:t>
      </w:r>
      <w:r>
        <w:t>. These actions would put current ratio back on target with the sector without altering the business model.</w:t>
      </w:r>
    </w:p>
    <w:p w14:paraId="1E39E2CD" w14:textId="4A5D8059" w:rsidR="00276CA7" w:rsidRDefault="00276CA7" w:rsidP="00276CA7">
      <w:pPr>
        <w:pStyle w:val="Heading2"/>
      </w:pPr>
      <w:bookmarkStart w:id="24" w:name="_Toc237514442"/>
      <w:r>
        <w:t>Short-term financing vs. long-term financing</w:t>
      </w:r>
      <w:bookmarkEnd w:id="24"/>
    </w:p>
    <w:p w14:paraId="75B14DD6" w14:textId="32AC37F1" w:rsidR="00276CA7" w:rsidRDefault="00276CA7" w:rsidP="00276CA7">
      <w:r>
        <w:t>The matching principle is the concept that long term assets are financed with long term funds and only temporary fluctuations are financed from short term funds (</w:t>
      </w:r>
      <w:r w:rsidR="00406FDA" w:rsidRPr="00406FDA">
        <w:t>Atrill, 2012; McLaney, 2011</w:t>
      </w:r>
      <w:r>
        <w:t>).</w:t>
      </w:r>
      <w:r w:rsidR="007B30DF">
        <w:t xml:space="preserve"> </w:t>
      </w:r>
      <w:r w:rsidR="007B30DF" w:rsidRPr="007B30DF">
        <w:t>Generally, Whitbread adheres to this principle</w:t>
      </w:r>
      <w:r w:rsidR="007B30DF">
        <w:t>. T</w:t>
      </w:r>
      <w:r w:rsidR="007B30DF" w:rsidRPr="007B30DF">
        <w:t>he permanent hotel estate and the freehold property that supports it are funded by long-term sources – the £943.0 million of bonds and £4,523.1 million of lease liabilities – while the revolving credit facility is reserved for temporary fluctuations, as demonstrated by the £50 million that was drawn down and repaid within FY2026.</w:t>
      </w:r>
    </w:p>
    <w:p w14:paraId="3326323B" w14:textId="2D777283" w:rsidR="00A5421A" w:rsidRDefault="00A5421A" w:rsidP="00276CA7">
      <w:r w:rsidRPr="00A5421A">
        <w:t>These are short term facilities like revolving credit facility and trade credit which can be drawn and paid back as and when required, come with refinancing risk and can be withdrawn when needed the most – for the seasonal winter trough and short capital peaks. Long term bonds and leases are more expensive, but are fixed, predictable and committed, and are suitable for freehold purchases and hotel acquisitions and for the room conversion programme.</w:t>
      </w:r>
    </w:p>
    <w:p w14:paraId="607A3D21" w14:textId="62867AD4" w:rsidR="00276CA7" w:rsidRDefault="00276CA7" w:rsidP="00276CA7">
      <w:r>
        <w:t xml:space="preserve">The current structure is recommended to be retained, with a change in the balance. Since it is a permanent hotel estate it should be long-term funded and in principle it was correct to repay the bond with a payment of £450 million during FY2026. However, it is funding most of the repayment in cash and not in part through refinancing that led to the liquidity ratio to drop so significantly. </w:t>
      </w:r>
      <w:r w:rsidR="00A5421A" w:rsidRPr="00A5421A">
        <w:t>A refinancing bond of £250 million to £300 million, at a maturity longer than the current capital programme, would restore the cash buffer at a relatively small increase in interest cost, while leaving gearing broadly unchanged.</w:t>
      </w:r>
    </w:p>
    <w:p w14:paraId="169FFC80" w14:textId="264052C5" w:rsidR="00276CA7" w:rsidRDefault="00276CA7" w:rsidP="00276CA7">
      <w:pPr>
        <w:pStyle w:val="Heading1"/>
      </w:pPr>
      <w:bookmarkStart w:id="25" w:name="_Toc237514443"/>
      <w:r>
        <w:lastRenderedPageBreak/>
        <w:t>Strategic financial restructuring plan.</w:t>
      </w:r>
      <w:bookmarkEnd w:id="25"/>
    </w:p>
    <w:p w14:paraId="12A680DC" w14:textId="0CB4206B" w:rsidR="00276CA7" w:rsidRDefault="00276CA7" w:rsidP="00276CA7">
      <w:pPr>
        <w:pStyle w:val="Heading2"/>
      </w:pPr>
      <w:bookmarkStart w:id="26" w:name="_Toc237514444"/>
      <w:r>
        <w:t>Restructuring options appraised</w:t>
      </w:r>
      <w:bookmarkEnd w:id="26"/>
    </w:p>
    <w:p w14:paraId="18AA40E8" w14:textId="77777777" w:rsidR="00276CA7" w:rsidRDefault="00276CA7" w:rsidP="00276CA7">
      <w:r>
        <w:t>There are three routes of restructuring, and they are not all appealing.</w:t>
      </w:r>
    </w:p>
    <w:p w14:paraId="5688B49C" w14:textId="30C7608D" w:rsidR="00276CA7" w:rsidRDefault="00276CA7" w:rsidP="00276CA7">
      <w:r w:rsidRPr="00276CA7">
        <w:rPr>
          <w:b/>
          <w:bCs/>
        </w:rPr>
        <w:t>Divestiture.</w:t>
      </w:r>
      <w:r>
        <w:t xml:space="preserve"> The German company is by far the strongest contender. It ties up capital, absorbs management effort and generates losses and the Group already has £108.5 million of held for sale assets. It would free up capital and take an impediment off the group returns through a partial or full disposal, or a sale and leaseback of German freeholds. A similar programme of sale and lease back in the UK is also available, with a further £282.2m raised in FY2026 showing that the assets have a functioning market.</w:t>
      </w:r>
    </w:p>
    <w:p w14:paraId="5585A494" w14:textId="6BCFDAFC" w:rsidR="00276CA7" w:rsidRDefault="00276CA7" w:rsidP="00276CA7">
      <w:r w:rsidRPr="00276CA7">
        <w:rPr>
          <w:b/>
          <w:bCs/>
        </w:rPr>
        <w:t>Merger / Joint venture.</w:t>
      </w:r>
      <w:r>
        <w:t xml:space="preserve"> A joint venture partner for Germany will be responsible for the investment amount and the country risk as well as maintaining the brand presence in Europe's biggest hotel market. Full merger with another UK operator is not recommended: would raise competition concern, the Group has the ‘scale' advantage in the UK ‘budget segment'.</w:t>
      </w:r>
    </w:p>
    <w:p w14:paraId="0307AECA" w14:textId="1C5FEED5" w:rsidR="00276CA7" w:rsidRDefault="00276CA7" w:rsidP="00276CA7">
      <w:r w:rsidRPr="00276CA7">
        <w:rPr>
          <w:b/>
          <w:bCs/>
        </w:rPr>
        <w:t>Equity injection.</w:t>
      </w:r>
      <w:r>
        <w:t xml:space="preserve"> </w:t>
      </w:r>
      <w:r w:rsidR="00406FDA" w:rsidRPr="00406FDA">
        <w:t>Although it can technically be done, a rights issue would be unpopular, consistent with pecking order theory, under which firms prefer internal funds, then debt, and issue equity only as a last resort (Myers, 1984)</w:t>
      </w:r>
      <w:r>
        <w:t>. Since FY2024 Whitbread has bought back £1.1 billion of its own shares – and issuing equity now would imply that the buy-back programme was a wrong one. The less drastic solution, and one that is more feasible, is to postpone the buy-back for a year, meaning that the value of approximately £250 million would be left intact without any problems from issue costs or dilution.</w:t>
      </w:r>
    </w:p>
    <w:p w14:paraId="3ABE0C96" w14:textId="436BF29F" w:rsidR="00276CA7" w:rsidRDefault="00276CA7" w:rsidP="00276CA7">
      <w:pPr>
        <w:pStyle w:val="Heading2"/>
      </w:pPr>
      <w:bookmarkStart w:id="27" w:name="_Toc237514445"/>
      <w:r>
        <w:t>Effect on shareholders' value, debt structure and operational flexibility</w:t>
      </w:r>
      <w:bookmarkEnd w:id="27"/>
    </w:p>
    <w:p w14:paraId="3A8E9523" w14:textId="77777777" w:rsidR="00A5421A" w:rsidRDefault="00A5421A" w:rsidP="00276CA7">
      <w:r w:rsidRPr="00A5421A">
        <w:t>This package should have a positive effect on shareholder value. The repurchase has the lowest return on capital employed, and can be cancelled without value destruction since the Group's return on capital is near the cost of capital (Brealey, Myers and Allen, 2020).</w:t>
      </w:r>
    </w:p>
    <w:p w14:paraId="164F8C01" w14:textId="4AF091A2" w:rsidR="00276CA7" w:rsidRDefault="00276CA7" w:rsidP="00276CA7">
      <w:r>
        <w:t xml:space="preserve">On debt structure, the package will result in a net decrease in debt and will limit the pace of gearing growth by keeping earnings as part of the package. </w:t>
      </w:r>
      <w:r w:rsidR="00406FDA" w:rsidRPr="00406FDA">
        <w:t xml:space="preserve">Capital structure </w:t>
      </w:r>
      <w:r w:rsidR="00406FDA" w:rsidRPr="00406FDA">
        <w:lastRenderedPageBreak/>
        <w:t>is not value-neutral in practice, since tax shields and financial distress costs both bear on the optimal level of debt (Modigliani and Miller, 19</w:t>
      </w:r>
      <w:r w:rsidR="00A5421A">
        <w:t>63</w:t>
      </w:r>
      <w:r w:rsidR="00406FDA" w:rsidRPr="00406FDA">
        <w:t>)</w:t>
      </w:r>
      <w:r w:rsidR="00406FDA">
        <w:t xml:space="preserve">. </w:t>
      </w:r>
      <w:r>
        <w:t>The interest cover ratio will come back to more than 2.5 within 2 years. There is one real cost associated with sale and leaseback – it turns owned freeholds into lease liabilities, which means headline gearing under IFRS 16 is hardly improved and the Group has lost the future upside in its properties. It should therefore only be applied in a targeted manner to less successful locations and not on a large-scale basis as a funding tool. There's also an agency cost associated with holding cash, as managers who have more cash on hand than they would like can undertake low-return projects, so the Board should establish a cash policy and put it in writing, and review it every year (Jensen, 1986).</w:t>
      </w:r>
    </w:p>
    <w:p w14:paraId="0ACA802D" w14:textId="6915C805" w:rsidR="00276CA7" w:rsidRDefault="00276CA7" w:rsidP="00276CA7">
      <w:pPr>
        <w:pStyle w:val="Heading2"/>
      </w:pPr>
      <w:bookmarkStart w:id="28" w:name="_Toc237514446"/>
      <w:r>
        <w:t>International and ethical issues</w:t>
      </w:r>
      <w:bookmarkEnd w:id="28"/>
    </w:p>
    <w:p w14:paraId="15A3F8B8" w14:textId="77777777" w:rsidR="00276CA7" w:rsidRDefault="00276CA7" w:rsidP="00276CA7">
      <w:r w:rsidRPr="00276CA7">
        <w:rPr>
          <w:b/>
          <w:bCs/>
        </w:rPr>
        <w:t>Taxation.</w:t>
      </w:r>
      <w:r>
        <w:t xml:space="preserve"> The presence in the UK and in Germany generates transfer pricing and PE challenges. The Group should not engage in tax structuring to the extreme, as a public, budget hotel brand, is extremely vulnerable to reputation damage from tax controversy.</w:t>
      </w:r>
    </w:p>
    <w:p w14:paraId="4E89716D" w14:textId="77777777" w:rsidR="00276CA7" w:rsidRDefault="00276CA7" w:rsidP="00276CA7">
      <w:r w:rsidRPr="00276CA7">
        <w:rPr>
          <w:b/>
          <w:bCs/>
        </w:rPr>
        <w:t>Currency risk.</w:t>
      </w:r>
      <w:r>
        <w:t xml:space="preserve"> With the German operations come euro exposure on both revenue and lease liabilities. Forward contracts should be used to hedge residual euro income against euro leases, but not through taking speculative positions. From the point of agreement of the terms for disposal, any proceeds of the German disposal should be hedged.</w:t>
      </w:r>
    </w:p>
    <w:p w14:paraId="09D1407D" w14:textId="77777777" w:rsidR="00276CA7" w:rsidRDefault="00276CA7" w:rsidP="00276CA7">
      <w:r w:rsidRPr="00276CA7">
        <w:rPr>
          <w:b/>
          <w:bCs/>
        </w:rPr>
        <w:t>Inflation.</w:t>
      </w:r>
      <w:r>
        <w:t xml:space="preserve"> A large, predominantly hourly-paid workforce is paid the National Living Wage, wage costs go into operating costs and energy and food inflation feed straight into operating costs. Whitbread's room rates can change daily so it can pass through inflation faster than most businesses, however only when there is demand.</w:t>
      </w:r>
    </w:p>
    <w:p w14:paraId="3BA39F60" w14:textId="197AD6D9" w:rsidR="00276CA7" w:rsidRDefault="00276CA7" w:rsidP="00276CA7">
      <w:r w:rsidRPr="00276CA7">
        <w:rPr>
          <w:b/>
          <w:bCs/>
        </w:rPr>
        <w:t>Environment, Social and Governance (ESG) and Corporate Responsibility.</w:t>
      </w:r>
      <w:r>
        <w:t xml:space="preserve"> The Group has pledged its net zero targets and a significant investment in building efficiency and heating systems is needed, which looks directly towards the room conversion programme to fund the same amount of capital. It should not be considered as a compliance expense but should be viewed as a real investment choice and be appraised accordingly. There is good evidence that firms with sustainability integration perform better in the long-term (Eccles, Ioannou and Serafeim 2014). Ethically the </w:t>
      </w:r>
      <w:r>
        <w:lastRenderedPageBreak/>
        <w:t>restructuring needs to also consider the employees impacted by any restructuring of the German exit and the Board should commit to the proper redeployment and consultation, not just a balance sheet exercise</w:t>
      </w:r>
      <w:r w:rsidR="00A5421A">
        <w:t xml:space="preserve">, </w:t>
      </w:r>
      <w:r w:rsidR="00406FDA" w:rsidRPr="00406FDA">
        <w:t>consistent with the Board's responsibility for workforce engagement under the UK Corporate Governance Code (Financial Reporting Council, 2024).</w:t>
      </w:r>
    </w:p>
    <w:p w14:paraId="12BC5DFD" w14:textId="7FD9F91B" w:rsidR="00276CA7" w:rsidRDefault="00276CA7" w:rsidP="00276CA7">
      <w:pPr>
        <w:pStyle w:val="Heading1"/>
      </w:pPr>
      <w:bookmarkStart w:id="29" w:name="_Toc237514447"/>
      <w:r>
        <w:t>Investment Appraisal and Capital Budgeting</w:t>
      </w:r>
      <w:bookmarkEnd w:id="29"/>
    </w:p>
    <w:p w14:paraId="2F7B725D" w14:textId="373975C0" w:rsidR="00276CA7" w:rsidRPr="00276CA7" w:rsidRDefault="00276CA7" w:rsidP="00276CA7">
      <w:pPr>
        <w:pStyle w:val="Heading2"/>
      </w:pPr>
      <w:bookmarkStart w:id="30" w:name="_Toc237514448"/>
      <w:r>
        <w:t>Assumptions and basis of appraisal</w:t>
      </w:r>
      <w:bookmarkEnd w:id="30"/>
    </w:p>
    <w:p w14:paraId="662545A3" w14:textId="2289C0FB" w:rsidR="00276CA7" w:rsidRDefault="00276CA7" w:rsidP="00276CA7">
      <w:r>
        <w:t xml:space="preserve">Three projects which are available to all three require an initial investment of £50 million and cash inflows over 5-years. The discount rate is 8 </w:t>
      </w:r>
      <w:r w:rsidR="00B64CDE">
        <w:t>%</w:t>
      </w:r>
      <w:r>
        <w:t xml:space="preserve"> and the depreciation is straight line to zero, thus the annual </w:t>
      </w:r>
      <w:r w:rsidR="00EF094F">
        <w:t xml:space="preserve">depreciation costs </w:t>
      </w:r>
      <w:r>
        <w:t xml:space="preserve">for each project are of £10 million. The following assumptions are made: cash flows occur at the end of each year, there is no residual value, inflation and tax effects are not considered and the 8 </w:t>
      </w:r>
      <w:r w:rsidR="00B64CDE">
        <w:t>%</w:t>
      </w:r>
      <w:r>
        <w:t xml:space="preserve"> rate is assumed as the Group's cost of capital.</w:t>
      </w:r>
      <w:r w:rsidR="00406FDA">
        <w:t xml:space="preserve"> </w:t>
      </w:r>
      <w:r w:rsidR="00406FDA" w:rsidRPr="00406FDA">
        <w:t>All five methods required by the brief are applied, reflecting evidence that firms in practice use several appraisal techniques alongside one another rather than relying on any single measure (Graham and Harvey, 2001).</w:t>
      </w:r>
    </w:p>
    <w:p w14:paraId="370F2C71" w14:textId="6D79885F" w:rsidR="00276CA7" w:rsidRDefault="00276CA7" w:rsidP="00276CA7">
      <w:pPr>
        <w:pStyle w:val="Heading2"/>
      </w:pPr>
      <w:bookmarkStart w:id="31" w:name="_Toc237514449"/>
      <w:r>
        <w:t>Payback period</w:t>
      </w:r>
      <w:bookmarkEnd w:id="31"/>
    </w:p>
    <w:p w14:paraId="2208BE6C" w14:textId="3A1160F4" w:rsidR="00276CA7" w:rsidRPr="00276CA7" w:rsidRDefault="00276CA7" w:rsidP="00276CA7">
      <w:r>
        <w:t>The payback period is the period of time needed for the cash inflows to cover the cash outlay. Project C is the quickest at 3.60 years because most cash flows for project C come in year 3 and 4. Both Projects A and B require approximately 4.5 years</w:t>
      </w:r>
      <w:r w:rsidR="00A5421A">
        <w:t>.</w:t>
      </w:r>
    </w:p>
    <w:p w14:paraId="17829104" w14:textId="77777777" w:rsidR="00B337B9" w:rsidRDefault="00276CA7" w:rsidP="00B337B9">
      <w:pPr>
        <w:pStyle w:val="ListParagraph"/>
        <w:numPr>
          <w:ilvl w:val="0"/>
          <w:numId w:val="20"/>
        </w:numPr>
      </w:pPr>
      <w:r w:rsidRPr="00276CA7">
        <w:t xml:space="preserve">Project A: 4 + (50 − 46) ÷ 8 = 4.50 years. </w:t>
      </w:r>
    </w:p>
    <w:p w14:paraId="72736A68" w14:textId="77777777" w:rsidR="00B337B9" w:rsidRDefault="00276CA7" w:rsidP="00B337B9">
      <w:pPr>
        <w:pStyle w:val="ListParagraph"/>
        <w:numPr>
          <w:ilvl w:val="0"/>
          <w:numId w:val="20"/>
        </w:numPr>
      </w:pPr>
      <w:r w:rsidRPr="00276CA7">
        <w:t xml:space="preserve">Project B: 50 ÷ 11 = 4.55 years. </w:t>
      </w:r>
    </w:p>
    <w:p w14:paraId="09FECDF1" w14:textId="0701FDD4" w:rsidR="000D05E7" w:rsidRDefault="00276CA7" w:rsidP="00B337B9">
      <w:pPr>
        <w:pStyle w:val="ListParagraph"/>
        <w:numPr>
          <w:ilvl w:val="0"/>
          <w:numId w:val="20"/>
        </w:numPr>
      </w:pPr>
      <w:r w:rsidRPr="00276CA7">
        <w:t>Project C: 3 + (50 − 35) ÷ 25 = 3.60 years.</w:t>
      </w:r>
    </w:p>
    <w:p w14:paraId="52641D9A" w14:textId="77777777" w:rsidR="00D624EF" w:rsidRDefault="00D624EF" w:rsidP="00D624EF">
      <w:pPr>
        <w:pStyle w:val="Heading2"/>
      </w:pPr>
      <w:bookmarkStart w:id="32" w:name="_Toc237514450"/>
      <w:r>
        <w:t>Accounting rate of return</w:t>
      </w:r>
      <w:bookmarkEnd w:id="32"/>
    </w:p>
    <w:p w14:paraId="62F4D705" w14:textId="7CEBDC9D" w:rsidR="00D624EF" w:rsidRDefault="00D624EF" w:rsidP="00D624EF">
      <w:r>
        <w:t xml:space="preserve">The average annual accounting profit is compared to the investment in the accounting rate of return. Average profit is equal to the total cash inflows minus the total depreciation (which is £50 million) over 5 years. Project C offers a return of 6.0 </w:t>
      </w:r>
      <w:r w:rsidR="00B64CDE">
        <w:t>%</w:t>
      </w:r>
      <w:r>
        <w:t xml:space="preserve"> on the initial investment and 12.0 </w:t>
      </w:r>
      <w:r w:rsidR="00B64CDE">
        <w:t>%</w:t>
      </w:r>
      <w:r>
        <w:t xml:space="preserve"> on the average investment, well outstripping A and B </w:t>
      </w:r>
      <w:r>
        <w:lastRenderedPageBreak/>
        <w:t xml:space="preserve">both of which yield less than 5 </w:t>
      </w:r>
      <w:r w:rsidR="00B64CDE">
        <w:t>%</w:t>
      </w:r>
      <w:r>
        <w:t xml:space="preserve"> even on the more generous average-investment basis.</w:t>
      </w:r>
    </w:p>
    <w:p w14:paraId="20D7A027" w14:textId="4560F9E0" w:rsidR="00D624EF" w:rsidRDefault="00D624EF" w:rsidP="00D624EF">
      <w:pPr>
        <w:pStyle w:val="Heading2"/>
      </w:pPr>
      <w:bookmarkStart w:id="33" w:name="_Toc237514451"/>
      <w:r>
        <w:t>Net present value</w:t>
      </w:r>
      <w:bookmarkEnd w:id="33"/>
    </w:p>
    <w:p w14:paraId="316BB493" w14:textId="3C9F2CBD" w:rsidR="00D272C5" w:rsidRDefault="00D624EF" w:rsidP="00D272C5">
      <w:r>
        <w:t xml:space="preserve">The NPV method will discount the cash flow of each year at eight </w:t>
      </w:r>
      <w:r w:rsidR="00B64CDE">
        <w:t>%</w:t>
      </w:r>
      <w:r>
        <w:t xml:space="preserve"> and subtract the initial outlay. There is just one positive result in the project, which is £0.86 million with Project C. The net present value of Projects A and B are negative, £6.54 million and £6.08 million respectively. Theoretically, the preferred method is NPV as this value represents the gain in stockholder value and considers risk level as well as timing of cash flows (Pike, Neale and Linsley, 2018).</w:t>
      </w:r>
    </w:p>
    <w:p w14:paraId="0BF837FA" w14:textId="4C883ABA" w:rsidR="00D272C5" w:rsidRDefault="00D272C5" w:rsidP="00D272C5">
      <w:pPr>
        <w:jc w:val="center"/>
      </w:pPr>
      <w:r>
        <w:rPr>
          <w:noProof/>
        </w:rPr>
        <w:drawing>
          <wp:inline distT="0" distB="0" distL="0" distR="0" wp14:anchorId="2141C14C" wp14:editId="29A01512">
            <wp:extent cx="4693920" cy="1920240"/>
            <wp:effectExtent l="0" t="0" r="0" b="3810"/>
            <wp:docPr id="1574051771" name="Picture 1574051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693920" cy="1920240"/>
                    </a:xfrm>
                    <a:prstGeom prst="rect">
                      <a:avLst/>
                    </a:prstGeom>
                  </pic:spPr>
                </pic:pic>
              </a:graphicData>
            </a:graphic>
          </wp:inline>
        </w:drawing>
      </w:r>
    </w:p>
    <w:p w14:paraId="4991E8C5" w14:textId="6EBCBBA5" w:rsidR="00D272C5" w:rsidRPr="00D272C5" w:rsidRDefault="00D272C5" w:rsidP="00D272C5">
      <w:pPr>
        <w:jc w:val="center"/>
        <w:rPr>
          <w:b/>
          <w:bCs/>
          <w:sz w:val="20"/>
          <w:szCs w:val="20"/>
        </w:rPr>
      </w:pPr>
      <w:bookmarkStart w:id="34" w:name="_Toc237514479"/>
      <w:r w:rsidRPr="00D272C5">
        <w:rPr>
          <w:b/>
          <w:bCs/>
          <w:sz w:val="20"/>
          <w:szCs w:val="20"/>
        </w:rPr>
        <w:t xml:space="preserve">Figure </w:t>
      </w:r>
      <w:r w:rsidRPr="00D272C5">
        <w:rPr>
          <w:b/>
          <w:bCs/>
          <w:sz w:val="20"/>
          <w:szCs w:val="20"/>
        </w:rPr>
        <w:fldChar w:fldCharType="begin"/>
      </w:r>
      <w:r w:rsidRPr="00D272C5">
        <w:rPr>
          <w:b/>
          <w:bCs/>
          <w:sz w:val="20"/>
          <w:szCs w:val="20"/>
        </w:rPr>
        <w:instrText xml:space="preserve"> SEQ Figure \* ARABIC </w:instrText>
      </w:r>
      <w:r w:rsidRPr="00D272C5">
        <w:rPr>
          <w:b/>
          <w:bCs/>
          <w:sz w:val="20"/>
          <w:szCs w:val="20"/>
        </w:rPr>
        <w:fldChar w:fldCharType="separate"/>
      </w:r>
      <w:r>
        <w:rPr>
          <w:b/>
          <w:bCs/>
          <w:noProof/>
          <w:sz w:val="20"/>
          <w:szCs w:val="20"/>
        </w:rPr>
        <w:t>7</w:t>
      </w:r>
      <w:r w:rsidRPr="00D272C5">
        <w:rPr>
          <w:b/>
          <w:bCs/>
          <w:sz w:val="20"/>
          <w:szCs w:val="20"/>
        </w:rPr>
        <w:fldChar w:fldCharType="end"/>
      </w:r>
      <w:r w:rsidRPr="00D272C5">
        <w:rPr>
          <w:b/>
          <w:bCs/>
          <w:sz w:val="20"/>
          <w:szCs w:val="20"/>
        </w:rPr>
        <w:t>: Cumulative discounted cash flow at 8%.</w:t>
      </w:r>
      <w:bookmarkEnd w:id="34"/>
    </w:p>
    <w:p w14:paraId="31CE2126" w14:textId="451428BD" w:rsidR="00D624EF" w:rsidRDefault="00D624EF" w:rsidP="00D272C5">
      <w:pPr>
        <w:pStyle w:val="Heading2"/>
      </w:pPr>
      <w:bookmarkStart w:id="35" w:name="_Toc237514452"/>
      <w:r>
        <w:t>Profitability index</w:t>
      </w:r>
      <w:bookmarkEnd w:id="35"/>
    </w:p>
    <w:p w14:paraId="4BDA6CEB" w14:textId="77777777" w:rsidR="00D624EF" w:rsidRDefault="00D624EF" w:rsidP="00D624EF">
      <w:r>
        <w:t>Profitability index is computed by dividing PV of inflows with the initial investment and it indicates the value generated per pound invested. The Project C is earning £1.017 per £1 of investment – a present value return. The score for projects A and B are 0.869 and 0.878 respectively, thus they both return less than their cost. The index is especially valuable in capital rationing in which projects are ranked by their efficiency of capital use, instead of their absolute size.</w:t>
      </w:r>
    </w:p>
    <w:p w14:paraId="05A19BE2" w14:textId="74AC8583" w:rsidR="00D624EF" w:rsidRDefault="00D624EF" w:rsidP="00D272C5">
      <w:pPr>
        <w:pStyle w:val="Heading2"/>
      </w:pPr>
      <w:bookmarkStart w:id="36" w:name="_Toc237514453"/>
      <w:r>
        <w:t>Internal rate of return</w:t>
      </w:r>
      <w:bookmarkEnd w:id="36"/>
    </w:p>
    <w:p w14:paraId="23E5E3CD" w14:textId="40A53FE9" w:rsidR="00D624EF" w:rsidRDefault="00D624EF" w:rsidP="00D624EF">
      <w:r>
        <w:t xml:space="preserve">The discount rate at which the net present value is zero is the internal rate of return. The cost of capital is 8 </w:t>
      </w:r>
      <w:r w:rsidR="00B64CDE">
        <w:t>%</w:t>
      </w:r>
      <w:r>
        <w:t xml:space="preserve"> while Project C returns 8.59 </w:t>
      </w:r>
      <w:r w:rsidR="00B64CDE">
        <w:t>%</w:t>
      </w:r>
      <w:r>
        <w:t xml:space="preserve">. Both projects, A and B, are considerably below that with returns of 2.72 </w:t>
      </w:r>
      <w:r w:rsidR="00B64CDE">
        <w:t>%</w:t>
      </w:r>
      <w:r>
        <w:t xml:space="preserve"> and 3.26 </w:t>
      </w:r>
      <w:r w:rsidR="00B64CDE">
        <w:t>%</w:t>
      </w:r>
      <w:r>
        <w:t xml:space="preserve"> respectively. These net </w:t>
      </w:r>
      <w:r>
        <w:lastRenderedPageBreak/>
        <w:t>present value profiles cross the horizontal axis as shown in figure 8. The margin on Project C is narrow: only a 0.6 percentage point increase in capital costs would wipe out its entire surplus, thus justifying the need for a sensitivity review before approval (Ross, 1995).</w:t>
      </w:r>
    </w:p>
    <w:p w14:paraId="1BEFE8AD" w14:textId="5DBDEA32" w:rsidR="00D272C5" w:rsidRPr="00D272C5" w:rsidRDefault="00D272C5" w:rsidP="00D272C5">
      <w:pPr>
        <w:jc w:val="center"/>
        <w:rPr>
          <w:rFonts w:ascii="Times New Roman" w:hAnsi="Times New Roman" w:cs="Times New Roman"/>
          <w:b/>
          <w:bCs/>
          <w:sz w:val="20"/>
          <w:szCs w:val="20"/>
        </w:rPr>
      </w:pPr>
      <w:r w:rsidRPr="00D272C5">
        <w:rPr>
          <w:rFonts w:ascii="Times New Roman" w:hAnsi="Times New Roman" w:cs="Times New Roman"/>
          <w:b/>
          <w:bCs/>
          <w:noProof/>
          <w:sz w:val="20"/>
          <w:szCs w:val="20"/>
        </w:rPr>
        <w:drawing>
          <wp:inline distT="0" distB="0" distL="0" distR="0" wp14:anchorId="59CE6697" wp14:editId="696F46E7">
            <wp:extent cx="5791200" cy="3512820"/>
            <wp:effectExtent l="0" t="0" r="0" b="0"/>
            <wp:docPr id="963157102" name="Picture 963157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91200" cy="3512820"/>
                    </a:xfrm>
                    <a:prstGeom prst="rect">
                      <a:avLst/>
                    </a:prstGeom>
                  </pic:spPr>
                </pic:pic>
              </a:graphicData>
            </a:graphic>
          </wp:inline>
        </w:drawing>
      </w:r>
    </w:p>
    <w:p w14:paraId="11AF8EE9" w14:textId="47C15292" w:rsidR="00A5421A" w:rsidRPr="00A5421A" w:rsidRDefault="00D272C5" w:rsidP="00A5421A">
      <w:pPr>
        <w:jc w:val="center"/>
        <w:rPr>
          <w:rFonts w:ascii="Times New Roman" w:eastAsia="Calibri" w:hAnsi="Times New Roman" w:cs="Times New Roman"/>
          <w:b/>
          <w:bCs/>
          <w:color w:val="555555"/>
          <w:sz w:val="20"/>
          <w:szCs w:val="20"/>
        </w:rPr>
      </w:pPr>
      <w:bookmarkStart w:id="37" w:name="_Toc237514480"/>
      <w:r w:rsidRPr="00D272C5">
        <w:rPr>
          <w:rFonts w:ascii="Times New Roman" w:hAnsi="Times New Roman" w:cs="Times New Roman"/>
          <w:b/>
          <w:bCs/>
          <w:sz w:val="20"/>
          <w:szCs w:val="20"/>
        </w:rPr>
        <w:t xml:space="preserve">Figure </w:t>
      </w:r>
      <w:r w:rsidRPr="00D272C5">
        <w:rPr>
          <w:rFonts w:ascii="Times New Roman" w:hAnsi="Times New Roman" w:cs="Times New Roman"/>
          <w:b/>
          <w:bCs/>
          <w:sz w:val="20"/>
          <w:szCs w:val="20"/>
        </w:rPr>
        <w:fldChar w:fldCharType="begin"/>
      </w:r>
      <w:r w:rsidRPr="00D272C5">
        <w:rPr>
          <w:rFonts w:ascii="Times New Roman" w:hAnsi="Times New Roman" w:cs="Times New Roman"/>
          <w:b/>
          <w:bCs/>
          <w:sz w:val="20"/>
          <w:szCs w:val="20"/>
        </w:rPr>
        <w:instrText xml:space="preserve"> SEQ Figure \* ARABIC </w:instrText>
      </w:r>
      <w:r w:rsidRPr="00D272C5">
        <w:rPr>
          <w:rFonts w:ascii="Times New Roman" w:hAnsi="Times New Roman" w:cs="Times New Roman"/>
          <w:b/>
          <w:bCs/>
          <w:sz w:val="20"/>
          <w:szCs w:val="20"/>
        </w:rPr>
        <w:fldChar w:fldCharType="separate"/>
      </w:r>
      <w:r w:rsidRPr="00D272C5">
        <w:rPr>
          <w:rFonts w:ascii="Times New Roman" w:hAnsi="Times New Roman" w:cs="Times New Roman"/>
          <w:b/>
          <w:bCs/>
          <w:noProof/>
          <w:sz w:val="20"/>
          <w:szCs w:val="20"/>
        </w:rPr>
        <w:t>8</w:t>
      </w:r>
      <w:r w:rsidRPr="00D272C5">
        <w:rPr>
          <w:rFonts w:ascii="Times New Roman" w:hAnsi="Times New Roman" w:cs="Times New Roman"/>
          <w:b/>
          <w:bCs/>
          <w:sz w:val="20"/>
          <w:szCs w:val="20"/>
        </w:rPr>
        <w:fldChar w:fldCharType="end"/>
      </w:r>
      <w:r w:rsidRPr="00D272C5">
        <w:rPr>
          <w:rFonts w:ascii="Times New Roman" w:hAnsi="Times New Roman" w:cs="Times New Roman"/>
          <w:b/>
          <w:bCs/>
          <w:sz w:val="20"/>
          <w:szCs w:val="20"/>
        </w:rPr>
        <w:t xml:space="preserve">: </w:t>
      </w:r>
      <w:r w:rsidRPr="00D272C5">
        <w:rPr>
          <w:rFonts w:ascii="Times New Roman" w:eastAsia="Calibri" w:hAnsi="Times New Roman" w:cs="Times New Roman"/>
          <w:b/>
          <w:bCs/>
          <w:color w:val="555555"/>
          <w:sz w:val="20"/>
          <w:szCs w:val="20"/>
        </w:rPr>
        <w:t>NPV profiles and internal rates of return.</w:t>
      </w:r>
      <w:bookmarkEnd w:id="37"/>
    </w:p>
    <w:p w14:paraId="5E725891" w14:textId="4FEB4F1F" w:rsidR="00016783" w:rsidRPr="00016783" w:rsidRDefault="00D272C5" w:rsidP="00016783">
      <w:pPr>
        <w:pStyle w:val="Heading2"/>
      </w:pPr>
      <w:bookmarkStart w:id="38" w:name="_Toc237514454"/>
      <w:r>
        <w:t xml:space="preserve">Comparative evaluation and recommended </w:t>
      </w:r>
      <w:r w:rsidRPr="00D272C5">
        <w:t>project</w:t>
      </w:r>
      <w:bookmarkEnd w:id="38"/>
    </w:p>
    <w:p w14:paraId="20B2822A" w14:textId="5FD61198" w:rsidR="00957660" w:rsidRPr="00DF1635" w:rsidRDefault="00DF1635" w:rsidP="00DF1635">
      <w:pPr>
        <w:jc w:val="center"/>
        <w:rPr>
          <w:rFonts w:cs="Arial"/>
          <w:b/>
          <w:bCs/>
          <w:sz w:val="20"/>
          <w:szCs w:val="20"/>
        </w:rPr>
      </w:pPr>
      <w:bookmarkStart w:id="39" w:name="_Toc237514472"/>
      <w:r w:rsidRPr="00DF1635">
        <w:rPr>
          <w:rFonts w:cs="Arial"/>
          <w:b/>
          <w:bCs/>
          <w:sz w:val="20"/>
          <w:szCs w:val="20"/>
        </w:rPr>
        <w:t xml:space="preserve">Table </w:t>
      </w:r>
      <w:r w:rsidRPr="00DF1635">
        <w:rPr>
          <w:rFonts w:cs="Arial"/>
          <w:b/>
          <w:bCs/>
          <w:sz w:val="20"/>
          <w:szCs w:val="20"/>
        </w:rPr>
        <w:fldChar w:fldCharType="begin"/>
      </w:r>
      <w:r w:rsidRPr="00DF1635">
        <w:rPr>
          <w:rFonts w:cs="Arial"/>
          <w:b/>
          <w:bCs/>
          <w:sz w:val="20"/>
          <w:szCs w:val="20"/>
        </w:rPr>
        <w:instrText xml:space="preserve"> SEQ Table \* ARABIC </w:instrText>
      </w:r>
      <w:r w:rsidRPr="00DF1635">
        <w:rPr>
          <w:rFonts w:cs="Arial"/>
          <w:b/>
          <w:bCs/>
          <w:sz w:val="20"/>
          <w:szCs w:val="20"/>
        </w:rPr>
        <w:fldChar w:fldCharType="separate"/>
      </w:r>
      <w:r w:rsidRPr="00DF1635">
        <w:rPr>
          <w:rFonts w:cs="Arial"/>
          <w:b/>
          <w:bCs/>
          <w:noProof/>
          <w:sz w:val="20"/>
          <w:szCs w:val="20"/>
        </w:rPr>
        <w:t>5</w:t>
      </w:r>
      <w:r w:rsidRPr="00DF1635">
        <w:rPr>
          <w:rFonts w:cs="Arial"/>
          <w:b/>
          <w:bCs/>
          <w:sz w:val="20"/>
          <w:szCs w:val="20"/>
        </w:rPr>
        <w:fldChar w:fldCharType="end"/>
      </w:r>
      <w:r w:rsidRPr="00DF1635">
        <w:rPr>
          <w:rFonts w:cs="Arial"/>
          <w:b/>
          <w:bCs/>
          <w:sz w:val="20"/>
          <w:szCs w:val="20"/>
        </w:rPr>
        <w:t>:</w:t>
      </w:r>
      <w:r w:rsidR="00957660" w:rsidRPr="00DF1635">
        <w:rPr>
          <w:rFonts w:eastAsia="Calibri" w:cs="Arial"/>
          <w:b/>
          <w:bCs/>
          <w:sz w:val="20"/>
          <w:szCs w:val="20"/>
        </w:rPr>
        <w:t>Summary of appraisal results.</w:t>
      </w:r>
      <w:bookmarkEnd w:id="39"/>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00"/>
        <w:gridCol w:w="1100"/>
        <w:gridCol w:w="1100"/>
        <w:gridCol w:w="1100"/>
        <w:gridCol w:w="2000"/>
        <w:gridCol w:w="800"/>
      </w:tblGrid>
      <w:tr w:rsidR="00957660" w:rsidRPr="00957660" w14:paraId="6DE9BA0C" w14:textId="77777777" w:rsidTr="00957660">
        <w:trPr>
          <w:tblHeader/>
          <w:jc w:val="center"/>
        </w:trPr>
        <w:tc>
          <w:tcPr>
            <w:tcW w:w="2900" w:type="dxa"/>
            <w:shd w:val="clear" w:color="auto" w:fill="1F3864"/>
            <w:tcMar>
              <w:top w:w="60" w:type="dxa"/>
              <w:left w:w="90" w:type="dxa"/>
              <w:bottom w:w="60" w:type="dxa"/>
              <w:right w:w="90" w:type="dxa"/>
            </w:tcMar>
            <w:vAlign w:val="center"/>
          </w:tcPr>
          <w:p w14:paraId="22FDDDBA"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Appraisal method</w:t>
            </w:r>
          </w:p>
        </w:tc>
        <w:tc>
          <w:tcPr>
            <w:tcW w:w="1100" w:type="dxa"/>
            <w:shd w:val="clear" w:color="auto" w:fill="1F3864"/>
            <w:tcMar>
              <w:top w:w="60" w:type="dxa"/>
              <w:left w:w="90" w:type="dxa"/>
              <w:bottom w:w="60" w:type="dxa"/>
              <w:right w:w="90" w:type="dxa"/>
            </w:tcMar>
            <w:vAlign w:val="center"/>
          </w:tcPr>
          <w:p w14:paraId="002FFAB2"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Project A</w:t>
            </w:r>
          </w:p>
        </w:tc>
        <w:tc>
          <w:tcPr>
            <w:tcW w:w="1100" w:type="dxa"/>
            <w:shd w:val="clear" w:color="auto" w:fill="1F3864"/>
            <w:tcMar>
              <w:top w:w="60" w:type="dxa"/>
              <w:left w:w="90" w:type="dxa"/>
              <w:bottom w:w="60" w:type="dxa"/>
              <w:right w:w="90" w:type="dxa"/>
            </w:tcMar>
            <w:vAlign w:val="center"/>
          </w:tcPr>
          <w:p w14:paraId="4BB140A3"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Project B</w:t>
            </w:r>
          </w:p>
        </w:tc>
        <w:tc>
          <w:tcPr>
            <w:tcW w:w="1100" w:type="dxa"/>
            <w:shd w:val="clear" w:color="auto" w:fill="1F3864"/>
            <w:tcMar>
              <w:top w:w="60" w:type="dxa"/>
              <w:left w:w="90" w:type="dxa"/>
              <w:bottom w:w="60" w:type="dxa"/>
              <w:right w:w="90" w:type="dxa"/>
            </w:tcMar>
            <w:vAlign w:val="center"/>
          </w:tcPr>
          <w:p w14:paraId="6A0997BA"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Project C</w:t>
            </w:r>
          </w:p>
        </w:tc>
        <w:tc>
          <w:tcPr>
            <w:tcW w:w="2000" w:type="dxa"/>
            <w:shd w:val="clear" w:color="auto" w:fill="1F3864"/>
            <w:tcMar>
              <w:top w:w="60" w:type="dxa"/>
              <w:left w:w="90" w:type="dxa"/>
              <w:bottom w:w="60" w:type="dxa"/>
              <w:right w:w="90" w:type="dxa"/>
            </w:tcMar>
            <w:vAlign w:val="center"/>
          </w:tcPr>
          <w:p w14:paraId="0D0E9756"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Decision rule</w:t>
            </w:r>
          </w:p>
        </w:tc>
        <w:tc>
          <w:tcPr>
            <w:tcW w:w="800" w:type="dxa"/>
            <w:shd w:val="clear" w:color="auto" w:fill="1F3864"/>
            <w:tcMar>
              <w:top w:w="60" w:type="dxa"/>
              <w:left w:w="90" w:type="dxa"/>
              <w:bottom w:w="60" w:type="dxa"/>
              <w:right w:w="90" w:type="dxa"/>
            </w:tcMar>
            <w:vAlign w:val="center"/>
          </w:tcPr>
          <w:p w14:paraId="03D06CC7" w14:textId="77777777" w:rsidR="00957660" w:rsidRPr="00957660" w:rsidRDefault="00957660" w:rsidP="00957660">
            <w:pPr>
              <w:jc w:val="center"/>
              <w:rPr>
                <w:b/>
                <w:bCs/>
                <w:color w:val="FFFFFF" w:themeColor="background1"/>
                <w:sz w:val="20"/>
                <w:szCs w:val="20"/>
              </w:rPr>
            </w:pPr>
            <w:r w:rsidRPr="00957660">
              <w:rPr>
                <w:b/>
                <w:bCs/>
                <w:color w:val="FFFFFF" w:themeColor="background1"/>
                <w:sz w:val="20"/>
                <w:szCs w:val="20"/>
              </w:rPr>
              <w:t>Best</w:t>
            </w:r>
          </w:p>
        </w:tc>
      </w:tr>
      <w:tr w:rsidR="00957660" w:rsidRPr="00957660" w14:paraId="05808D66" w14:textId="77777777" w:rsidTr="00957660">
        <w:trPr>
          <w:jc w:val="center"/>
        </w:trPr>
        <w:tc>
          <w:tcPr>
            <w:tcW w:w="2900" w:type="dxa"/>
            <w:shd w:val="clear" w:color="auto" w:fill="FFFFFF"/>
            <w:tcMar>
              <w:top w:w="60" w:type="dxa"/>
              <w:left w:w="90" w:type="dxa"/>
              <w:bottom w:w="60" w:type="dxa"/>
              <w:right w:w="90" w:type="dxa"/>
            </w:tcMar>
            <w:vAlign w:val="center"/>
          </w:tcPr>
          <w:p w14:paraId="3A93618F" w14:textId="77777777" w:rsidR="00957660" w:rsidRPr="00957660" w:rsidRDefault="00957660" w:rsidP="00957660">
            <w:pPr>
              <w:rPr>
                <w:sz w:val="20"/>
                <w:szCs w:val="20"/>
              </w:rPr>
            </w:pPr>
            <w:r w:rsidRPr="00957660">
              <w:rPr>
                <w:color w:val="000000"/>
                <w:sz w:val="20"/>
                <w:szCs w:val="20"/>
              </w:rPr>
              <w:t>Payback period (years)</w:t>
            </w:r>
          </w:p>
        </w:tc>
        <w:tc>
          <w:tcPr>
            <w:tcW w:w="1100" w:type="dxa"/>
            <w:shd w:val="clear" w:color="auto" w:fill="FFFFFF"/>
            <w:tcMar>
              <w:top w:w="60" w:type="dxa"/>
              <w:left w:w="90" w:type="dxa"/>
              <w:bottom w:w="60" w:type="dxa"/>
              <w:right w:w="90" w:type="dxa"/>
            </w:tcMar>
            <w:vAlign w:val="center"/>
          </w:tcPr>
          <w:p w14:paraId="431286E3" w14:textId="77777777" w:rsidR="00957660" w:rsidRPr="00957660" w:rsidRDefault="00957660" w:rsidP="00957660">
            <w:pPr>
              <w:rPr>
                <w:sz w:val="20"/>
                <w:szCs w:val="20"/>
              </w:rPr>
            </w:pPr>
            <w:r w:rsidRPr="00957660">
              <w:rPr>
                <w:color w:val="000000"/>
                <w:sz w:val="20"/>
                <w:szCs w:val="20"/>
              </w:rPr>
              <w:t>4.50</w:t>
            </w:r>
          </w:p>
        </w:tc>
        <w:tc>
          <w:tcPr>
            <w:tcW w:w="1100" w:type="dxa"/>
            <w:shd w:val="clear" w:color="auto" w:fill="FFFFFF"/>
            <w:tcMar>
              <w:top w:w="60" w:type="dxa"/>
              <w:left w:w="90" w:type="dxa"/>
              <w:bottom w:w="60" w:type="dxa"/>
              <w:right w:w="90" w:type="dxa"/>
            </w:tcMar>
            <w:vAlign w:val="center"/>
          </w:tcPr>
          <w:p w14:paraId="38CD876F" w14:textId="77777777" w:rsidR="00957660" w:rsidRPr="00957660" w:rsidRDefault="00957660" w:rsidP="00957660">
            <w:pPr>
              <w:rPr>
                <w:sz w:val="20"/>
                <w:szCs w:val="20"/>
              </w:rPr>
            </w:pPr>
            <w:r w:rsidRPr="00957660">
              <w:rPr>
                <w:color w:val="000000"/>
                <w:sz w:val="20"/>
                <w:szCs w:val="20"/>
              </w:rPr>
              <w:t>4.55</w:t>
            </w:r>
          </w:p>
        </w:tc>
        <w:tc>
          <w:tcPr>
            <w:tcW w:w="1100" w:type="dxa"/>
            <w:shd w:val="clear" w:color="auto" w:fill="FFFFFF"/>
            <w:tcMar>
              <w:top w:w="60" w:type="dxa"/>
              <w:left w:w="90" w:type="dxa"/>
              <w:bottom w:w="60" w:type="dxa"/>
              <w:right w:w="90" w:type="dxa"/>
            </w:tcMar>
            <w:vAlign w:val="center"/>
          </w:tcPr>
          <w:p w14:paraId="3FD1866A" w14:textId="77777777" w:rsidR="00957660" w:rsidRPr="00957660" w:rsidRDefault="00957660" w:rsidP="00957660">
            <w:pPr>
              <w:rPr>
                <w:sz w:val="20"/>
                <w:szCs w:val="20"/>
              </w:rPr>
            </w:pPr>
            <w:r w:rsidRPr="00957660">
              <w:rPr>
                <w:color w:val="000000"/>
                <w:sz w:val="20"/>
                <w:szCs w:val="20"/>
              </w:rPr>
              <w:t>3.60</w:t>
            </w:r>
          </w:p>
        </w:tc>
        <w:tc>
          <w:tcPr>
            <w:tcW w:w="2000" w:type="dxa"/>
            <w:shd w:val="clear" w:color="auto" w:fill="FFFFFF"/>
            <w:tcMar>
              <w:top w:w="60" w:type="dxa"/>
              <w:left w:w="90" w:type="dxa"/>
              <w:bottom w:w="60" w:type="dxa"/>
              <w:right w:w="90" w:type="dxa"/>
            </w:tcMar>
            <w:vAlign w:val="center"/>
          </w:tcPr>
          <w:p w14:paraId="641E6939" w14:textId="77777777" w:rsidR="00957660" w:rsidRPr="00957660" w:rsidRDefault="00957660" w:rsidP="00957660">
            <w:pPr>
              <w:rPr>
                <w:sz w:val="20"/>
                <w:szCs w:val="20"/>
              </w:rPr>
            </w:pPr>
            <w:r w:rsidRPr="00957660">
              <w:rPr>
                <w:color w:val="000000"/>
                <w:sz w:val="20"/>
                <w:szCs w:val="20"/>
              </w:rPr>
              <w:t>Shorter is better</w:t>
            </w:r>
          </w:p>
        </w:tc>
        <w:tc>
          <w:tcPr>
            <w:tcW w:w="800" w:type="dxa"/>
            <w:shd w:val="clear" w:color="auto" w:fill="FFFFFF"/>
            <w:tcMar>
              <w:top w:w="60" w:type="dxa"/>
              <w:left w:w="90" w:type="dxa"/>
              <w:bottom w:w="60" w:type="dxa"/>
              <w:right w:w="90" w:type="dxa"/>
            </w:tcMar>
            <w:vAlign w:val="center"/>
          </w:tcPr>
          <w:p w14:paraId="7DB78BF1" w14:textId="77777777" w:rsidR="00957660" w:rsidRPr="00957660" w:rsidRDefault="00957660" w:rsidP="00957660">
            <w:pPr>
              <w:rPr>
                <w:sz w:val="20"/>
                <w:szCs w:val="20"/>
              </w:rPr>
            </w:pPr>
            <w:r w:rsidRPr="00957660">
              <w:rPr>
                <w:color w:val="000000"/>
                <w:sz w:val="20"/>
                <w:szCs w:val="20"/>
              </w:rPr>
              <w:t>C</w:t>
            </w:r>
          </w:p>
        </w:tc>
      </w:tr>
      <w:tr w:rsidR="00957660" w:rsidRPr="00957660" w14:paraId="21F89F50" w14:textId="77777777" w:rsidTr="00957660">
        <w:trPr>
          <w:jc w:val="center"/>
        </w:trPr>
        <w:tc>
          <w:tcPr>
            <w:tcW w:w="2900" w:type="dxa"/>
            <w:shd w:val="clear" w:color="auto" w:fill="EAEEF5"/>
            <w:tcMar>
              <w:top w:w="60" w:type="dxa"/>
              <w:left w:w="90" w:type="dxa"/>
              <w:bottom w:w="60" w:type="dxa"/>
              <w:right w:w="90" w:type="dxa"/>
            </w:tcMar>
            <w:vAlign w:val="center"/>
          </w:tcPr>
          <w:p w14:paraId="2FBD2473" w14:textId="77777777" w:rsidR="00957660" w:rsidRPr="00957660" w:rsidRDefault="00957660" w:rsidP="00957660">
            <w:pPr>
              <w:rPr>
                <w:sz w:val="20"/>
                <w:szCs w:val="20"/>
              </w:rPr>
            </w:pPr>
            <w:r w:rsidRPr="00957660">
              <w:rPr>
                <w:color w:val="000000"/>
                <w:sz w:val="20"/>
                <w:szCs w:val="20"/>
              </w:rPr>
              <w:t>ARR on initial investment (%)</w:t>
            </w:r>
          </w:p>
        </w:tc>
        <w:tc>
          <w:tcPr>
            <w:tcW w:w="1100" w:type="dxa"/>
            <w:shd w:val="clear" w:color="auto" w:fill="EAEEF5"/>
            <w:tcMar>
              <w:top w:w="60" w:type="dxa"/>
              <w:left w:w="90" w:type="dxa"/>
              <w:bottom w:w="60" w:type="dxa"/>
              <w:right w:w="90" w:type="dxa"/>
            </w:tcMar>
            <w:vAlign w:val="center"/>
          </w:tcPr>
          <w:p w14:paraId="062C1191" w14:textId="77777777" w:rsidR="00957660" w:rsidRPr="00957660" w:rsidRDefault="00957660" w:rsidP="00957660">
            <w:pPr>
              <w:rPr>
                <w:sz w:val="20"/>
                <w:szCs w:val="20"/>
              </w:rPr>
            </w:pPr>
            <w:r w:rsidRPr="00957660">
              <w:rPr>
                <w:color w:val="000000"/>
                <w:sz w:val="20"/>
                <w:szCs w:val="20"/>
              </w:rPr>
              <w:t>1.6</w:t>
            </w:r>
          </w:p>
        </w:tc>
        <w:tc>
          <w:tcPr>
            <w:tcW w:w="1100" w:type="dxa"/>
            <w:shd w:val="clear" w:color="auto" w:fill="EAEEF5"/>
            <w:tcMar>
              <w:top w:w="60" w:type="dxa"/>
              <w:left w:w="90" w:type="dxa"/>
              <w:bottom w:w="60" w:type="dxa"/>
              <w:right w:w="90" w:type="dxa"/>
            </w:tcMar>
            <w:vAlign w:val="center"/>
          </w:tcPr>
          <w:p w14:paraId="63AAAD95" w14:textId="77777777" w:rsidR="00957660" w:rsidRPr="00957660" w:rsidRDefault="00957660" w:rsidP="00957660">
            <w:pPr>
              <w:rPr>
                <w:sz w:val="20"/>
                <w:szCs w:val="20"/>
              </w:rPr>
            </w:pPr>
            <w:r w:rsidRPr="00957660">
              <w:rPr>
                <w:color w:val="000000"/>
                <w:sz w:val="20"/>
                <w:szCs w:val="20"/>
              </w:rPr>
              <w:t>2.0</w:t>
            </w:r>
          </w:p>
        </w:tc>
        <w:tc>
          <w:tcPr>
            <w:tcW w:w="1100" w:type="dxa"/>
            <w:shd w:val="clear" w:color="auto" w:fill="EAEEF5"/>
            <w:tcMar>
              <w:top w:w="60" w:type="dxa"/>
              <w:left w:w="90" w:type="dxa"/>
              <w:bottom w:w="60" w:type="dxa"/>
              <w:right w:w="90" w:type="dxa"/>
            </w:tcMar>
            <w:vAlign w:val="center"/>
          </w:tcPr>
          <w:p w14:paraId="25D21907" w14:textId="77777777" w:rsidR="00957660" w:rsidRPr="00957660" w:rsidRDefault="00957660" w:rsidP="00957660">
            <w:pPr>
              <w:rPr>
                <w:sz w:val="20"/>
                <w:szCs w:val="20"/>
              </w:rPr>
            </w:pPr>
            <w:r w:rsidRPr="00957660">
              <w:rPr>
                <w:color w:val="000000"/>
                <w:sz w:val="20"/>
                <w:szCs w:val="20"/>
              </w:rPr>
              <w:t>6.0</w:t>
            </w:r>
          </w:p>
        </w:tc>
        <w:tc>
          <w:tcPr>
            <w:tcW w:w="2000" w:type="dxa"/>
            <w:shd w:val="clear" w:color="auto" w:fill="EAEEF5"/>
            <w:tcMar>
              <w:top w:w="60" w:type="dxa"/>
              <w:left w:w="90" w:type="dxa"/>
              <w:bottom w:w="60" w:type="dxa"/>
              <w:right w:w="90" w:type="dxa"/>
            </w:tcMar>
            <w:vAlign w:val="center"/>
          </w:tcPr>
          <w:p w14:paraId="0816EA9A" w14:textId="77777777" w:rsidR="00957660" w:rsidRPr="00957660" w:rsidRDefault="00957660" w:rsidP="00957660">
            <w:pPr>
              <w:rPr>
                <w:sz w:val="20"/>
                <w:szCs w:val="20"/>
              </w:rPr>
            </w:pPr>
            <w:r w:rsidRPr="00957660">
              <w:rPr>
                <w:color w:val="000000"/>
                <w:sz w:val="20"/>
                <w:szCs w:val="20"/>
              </w:rPr>
              <w:t>Higher is better</w:t>
            </w:r>
          </w:p>
        </w:tc>
        <w:tc>
          <w:tcPr>
            <w:tcW w:w="800" w:type="dxa"/>
            <w:shd w:val="clear" w:color="auto" w:fill="EAEEF5"/>
            <w:tcMar>
              <w:top w:w="60" w:type="dxa"/>
              <w:left w:w="90" w:type="dxa"/>
              <w:bottom w:w="60" w:type="dxa"/>
              <w:right w:w="90" w:type="dxa"/>
            </w:tcMar>
            <w:vAlign w:val="center"/>
          </w:tcPr>
          <w:p w14:paraId="7232CD3D" w14:textId="77777777" w:rsidR="00957660" w:rsidRPr="00957660" w:rsidRDefault="00957660" w:rsidP="00957660">
            <w:pPr>
              <w:rPr>
                <w:sz w:val="20"/>
                <w:szCs w:val="20"/>
              </w:rPr>
            </w:pPr>
            <w:r w:rsidRPr="00957660">
              <w:rPr>
                <w:color w:val="000000"/>
                <w:sz w:val="20"/>
                <w:szCs w:val="20"/>
              </w:rPr>
              <w:t>C</w:t>
            </w:r>
          </w:p>
        </w:tc>
      </w:tr>
      <w:tr w:rsidR="00957660" w:rsidRPr="00957660" w14:paraId="0D5D6965" w14:textId="77777777" w:rsidTr="00957660">
        <w:trPr>
          <w:jc w:val="center"/>
        </w:trPr>
        <w:tc>
          <w:tcPr>
            <w:tcW w:w="2900" w:type="dxa"/>
            <w:shd w:val="clear" w:color="auto" w:fill="FFFFFF"/>
            <w:tcMar>
              <w:top w:w="60" w:type="dxa"/>
              <w:left w:w="90" w:type="dxa"/>
              <w:bottom w:w="60" w:type="dxa"/>
              <w:right w:w="90" w:type="dxa"/>
            </w:tcMar>
            <w:vAlign w:val="center"/>
          </w:tcPr>
          <w:p w14:paraId="5A04872B" w14:textId="77777777" w:rsidR="00957660" w:rsidRPr="00957660" w:rsidRDefault="00957660" w:rsidP="00957660">
            <w:pPr>
              <w:rPr>
                <w:sz w:val="20"/>
                <w:szCs w:val="20"/>
              </w:rPr>
            </w:pPr>
            <w:r w:rsidRPr="00957660">
              <w:rPr>
                <w:color w:val="000000"/>
                <w:sz w:val="20"/>
                <w:szCs w:val="20"/>
              </w:rPr>
              <w:t>ARR on average investment (%)</w:t>
            </w:r>
          </w:p>
        </w:tc>
        <w:tc>
          <w:tcPr>
            <w:tcW w:w="1100" w:type="dxa"/>
            <w:shd w:val="clear" w:color="auto" w:fill="FFFFFF"/>
            <w:tcMar>
              <w:top w:w="60" w:type="dxa"/>
              <w:left w:w="90" w:type="dxa"/>
              <w:bottom w:w="60" w:type="dxa"/>
              <w:right w:w="90" w:type="dxa"/>
            </w:tcMar>
            <w:vAlign w:val="center"/>
          </w:tcPr>
          <w:p w14:paraId="7AC264EB" w14:textId="77777777" w:rsidR="00957660" w:rsidRPr="00957660" w:rsidRDefault="00957660" w:rsidP="00957660">
            <w:pPr>
              <w:rPr>
                <w:sz w:val="20"/>
                <w:szCs w:val="20"/>
              </w:rPr>
            </w:pPr>
            <w:r w:rsidRPr="00957660">
              <w:rPr>
                <w:color w:val="000000"/>
                <w:sz w:val="20"/>
                <w:szCs w:val="20"/>
              </w:rPr>
              <w:t>3.2</w:t>
            </w:r>
          </w:p>
        </w:tc>
        <w:tc>
          <w:tcPr>
            <w:tcW w:w="1100" w:type="dxa"/>
            <w:shd w:val="clear" w:color="auto" w:fill="FFFFFF"/>
            <w:tcMar>
              <w:top w:w="60" w:type="dxa"/>
              <w:left w:w="90" w:type="dxa"/>
              <w:bottom w:w="60" w:type="dxa"/>
              <w:right w:w="90" w:type="dxa"/>
            </w:tcMar>
            <w:vAlign w:val="center"/>
          </w:tcPr>
          <w:p w14:paraId="0EA68595" w14:textId="77777777" w:rsidR="00957660" w:rsidRPr="00957660" w:rsidRDefault="00957660" w:rsidP="00957660">
            <w:pPr>
              <w:rPr>
                <w:sz w:val="20"/>
                <w:szCs w:val="20"/>
              </w:rPr>
            </w:pPr>
            <w:r w:rsidRPr="00957660">
              <w:rPr>
                <w:color w:val="000000"/>
                <w:sz w:val="20"/>
                <w:szCs w:val="20"/>
              </w:rPr>
              <w:t>4.0</w:t>
            </w:r>
          </w:p>
        </w:tc>
        <w:tc>
          <w:tcPr>
            <w:tcW w:w="1100" w:type="dxa"/>
            <w:shd w:val="clear" w:color="auto" w:fill="FFFFFF"/>
            <w:tcMar>
              <w:top w:w="60" w:type="dxa"/>
              <w:left w:w="90" w:type="dxa"/>
              <w:bottom w:w="60" w:type="dxa"/>
              <w:right w:w="90" w:type="dxa"/>
            </w:tcMar>
            <w:vAlign w:val="center"/>
          </w:tcPr>
          <w:p w14:paraId="255F627F" w14:textId="77777777" w:rsidR="00957660" w:rsidRPr="00957660" w:rsidRDefault="00957660" w:rsidP="00957660">
            <w:pPr>
              <w:rPr>
                <w:sz w:val="20"/>
                <w:szCs w:val="20"/>
              </w:rPr>
            </w:pPr>
            <w:r w:rsidRPr="00957660">
              <w:rPr>
                <w:color w:val="000000"/>
                <w:sz w:val="20"/>
                <w:szCs w:val="20"/>
              </w:rPr>
              <w:t>12.0</w:t>
            </w:r>
          </w:p>
        </w:tc>
        <w:tc>
          <w:tcPr>
            <w:tcW w:w="2000" w:type="dxa"/>
            <w:shd w:val="clear" w:color="auto" w:fill="FFFFFF"/>
            <w:tcMar>
              <w:top w:w="60" w:type="dxa"/>
              <w:left w:w="90" w:type="dxa"/>
              <w:bottom w:w="60" w:type="dxa"/>
              <w:right w:w="90" w:type="dxa"/>
            </w:tcMar>
            <w:vAlign w:val="center"/>
          </w:tcPr>
          <w:p w14:paraId="575272E9" w14:textId="77777777" w:rsidR="00957660" w:rsidRPr="00957660" w:rsidRDefault="00957660" w:rsidP="00957660">
            <w:pPr>
              <w:rPr>
                <w:sz w:val="20"/>
                <w:szCs w:val="20"/>
              </w:rPr>
            </w:pPr>
            <w:r w:rsidRPr="00957660">
              <w:rPr>
                <w:color w:val="000000"/>
                <w:sz w:val="20"/>
                <w:szCs w:val="20"/>
              </w:rPr>
              <w:t>Higher is better</w:t>
            </w:r>
          </w:p>
        </w:tc>
        <w:tc>
          <w:tcPr>
            <w:tcW w:w="800" w:type="dxa"/>
            <w:shd w:val="clear" w:color="auto" w:fill="FFFFFF"/>
            <w:tcMar>
              <w:top w:w="60" w:type="dxa"/>
              <w:left w:w="90" w:type="dxa"/>
              <w:bottom w:w="60" w:type="dxa"/>
              <w:right w:w="90" w:type="dxa"/>
            </w:tcMar>
            <w:vAlign w:val="center"/>
          </w:tcPr>
          <w:p w14:paraId="110F2725" w14:textId="77777777" w:rsidR="00957660" w:rsidRPr="00957660" w:rsidRDefault="00957660" w:rsidP="00957660">
            <w:pPr>
              <w:rPr>
                <w:sz w:val="20"/>
                <w:szCs w:val="20"/>
              </w:rPr>
            </w:pPr>
            <w:r w:rsidRPr="00957660">
              <w:rPr>
                <w:color w:val="000000"/>
                <w:sz w:val="20"/>
                <w:szCs w:val="20"/>
              </w:rPr>
              <w:t>C</w:t>
            </w:r>
          </w:p>
        </w:tc>
      </w:tr>
      <w:tr w:rsidR="00957660" w:rsidRPr="00957660" w14:paraId="515BA839" w14:textId="77777777" w:rsidTr="00957660">
        <w:trPr>
          <w:jc w:val="center"/>
        </w:trPr>
        <w:tc>
          <w:tcPr>
            <w:tcW w:w="2900" w:type="dxa"/>
            <w:shd w:val="clear" w:color="auto" w:fill="EAEEF5"/>
            <w:tcMar>
              <w:top w:w="60" w:type="dxa"/>
              <w:left w:w="90" w:type="dxa"/>
              <w:bottom w:w="60" w:type="dxa"/>
              <w:right w:w="90" w:type="dxa"/>
            </w:tcMar>
            <w:vAlign w:val="center"/>
          </w:tcPr>
          <w:p w14:paraId="53A10EF3" w14:textId="77777777" w:rsidR="00957660" w:rsidRPr="00957660" w:rsidRDefault="00957660" w:rsidP="00957660">
            <w:pPr>
              <w:rPr>
                <w:sz w:val="20"/>
                <w:szCs w:val="20"/>
              </w:rPr>
            </w:pPr>
            <w:r w:rsidRPr="00957660">
              <w:rPr>
                <w:color w:val="000000"/>
                <w:sz w:val="20"/>
                <w:szCs w:val="20"/>
              </w:rPr>
              <w:lastRenderedPageBreak/>
              <w:t>Net present value (£m)</w:t>
            </w:r>
          </w:p>
        </w:tc>
        <w:tc>
          <w:tcPr>
            <w:tcW w:w="1100" w:type="dxa"/>
            <w:shd w:val="clear" w:color="auto" w:fill="EAEEF5"/>
            <w:tcMar>
              <w:top w:w="60" w:type="dxa"/>
              <w:left w:w="90" w:type="dxa"/>
              <w:bottom w:w="60" w:type="dxa"/>
              <w:right w:w="90" w:type="dxa"/>
            </w:tcMar>
            <w:vAlign w:val="center"/>
          </w:tcPr>
          <w:p w14:paraId="64C75026" w14:textId="77777777" w:rsidR="00957660" w:rsidRPr="00957660" w:rsidRDefault="00957660" w:rsidP="00957660">
            <w:pPr>
              <w:rPr>
                <w:sz w:val="20"/>
                <w:szCs w:val="20"/>
              </w:rPr>
            </w:pPr>
            <w:r w:rsidRPr="00957660">
              <w:rPr>
                <w:color w:val="000000"/>
                <w:sz w:val="20"/>
                <w:szCs w:val="20"/>
              </w:rPr>
              <w:t>(6.54)</w:t>
            </w:r>
          </w:p>
        </w:tc>
        <w:tc>
          <w:tcPr>
            <w:tcW w:w="1100" w:type="dxa"/>
            <w:shd w:val="clear" w:color="auto" w:fill="EAEEF5"/>
            <w:tcMar>
              <w:top w:w="60" w:type="dxa"/>
              <w:left w:w="90" w:type="dxa"/>
              <w:bottom w:w="60" w:type="dxa"/>
              <w:right w:w="90" w:type="dxa"/>
            </w:tcMar>
            <w:vAlign w:val="center"/>
          </w:tcPr>
          <w:p w14:paraId="4D5AB3C5" w14:textId="77777777" w:rsidR="00957660" w:rsidRPr="00957660" w:rsidRDefault="00957660" w:rsidP="00957660">
            <w:pPr>
              <w:rPr>
                <w:sz w:val="20"/>
                <w:szCs w:val="20"/>
              </w:rPr>
            </w:pPr>
            <w:r w:rsidRPr="00957660">
              <w:rPr>
                <w:color w:val="000000"/>
                <w:sz w:val="20"/>
                <w:szCs w:val="20"/>
              </w:rPr>
              <w:t>(6.08)</w:t>
            </w:r>
          </w:p>
        </w:tc>
        <w:tc>
          <w:tcPr>
            <w:tcW w:w="1100" w:type="dxa"/>
            <w:shd w:val="clear" w:color="auto" w:fill="EAEEF5"/>
            <w:tcMar>
              <w:top w:w="60" w:type="dxa"/>
              <w:left w:w="90" w:type="dxa"/>
              <w:bottom w:w="60" w:type="dxa"/>
              <w:right w:w="90" w:type="dxa"/>
            </w:tcMar>
            <w:vAlign w:val="center"/>
          </w:tcPr>
          <w:p w14:paraId="2BAF70F9" w14:textId="77777777" w:rsidR="00957660" w:rsidRPr="00957660" w:rsidRDefault="00957660" w:rsidP="00957660">
            <w:pPr>
              <w:rPr>
                <w:sz w:val="20"/>
                <w:szCs w:val="20"/>
              </w:rPr>
            </w:pPr>
            <w:r w:rsidRPr="00957660">
              <w:rPr>
                <w:color w:val="000000"/>
                <w:sz w:val="20"/>
                <w:szCs w:val="20"/>
              </w:rPr>
              <w:t>0.86</w:t>
            </w:r>
          </w:p>
        </w:tc>
        <w:tc>
          <w:tcPr>
            <w:tcW w:w="2000" w:type="dxa"/>
            <w:shd w:val="clear" w:color="auto" w:fill="EAEEF5"/>
            <w:tcMar>
              <w:top w:w="60" w:type="dxa"/>
              <w:left w:w="90" w:type="dxa"/>
              <w:bottom w:w="60" w:type="dxa"/>
              <w:right w:w="90" w:type="dxa"/>
            </w:tcMar>
            <w:vAlign w:val="center"/>
          </w:tcPr>
          <w:p w14:paraId="048DC339" w14:textId="77777777" w:rsidR="00957660" w:rsidRPr="00957660" w:rsidRDefault="00957660" w:rsidP="00957660">
            <w:pPr>
              <w:rPr>
                <w:sz w:val="20"/>
                <w:szCs w:val="20"/>
              </w:rPr>
            </w:pPr>
            <w:r w:rsidRPr="00957660">
              <w:rPr>
                <w:color w:val="000000"/>
                <w:sz w:val="20"/>
                <w:szCs w:val="20"/>
              </w:rPr>
              <w:t>Accept if positive</w:t>
            </w:r>
          </w:p>
        </w:tc>
        <w:tc>
          <w:tcPr>
            <w:tcW w:w="800" w:type="dxa"/>
            <w:shd w:val="clear" w:color="auto" w:fill="EAEEF5"/>
            <w:tcMar>
              <w:top w:w="60" w:type="dxa"/>
              <w:left w:w="90" w:type="dxa"/>
              <w:bottom w:w="60" w:type="dxa"/>
              <w:right w:w="90" w:type="dxa"/>
            </w:tcMar>
            <w:vAlign w:val="center"/>
          </w:tcPr>
          <w:p w14:paraId="4D870F1D" w14:textId="77777777" w:rsidR="00957660" w:rsidRPr="00957660" w:rsidRDefault="00957660" w:rsidP="00957660">
            <w:pPr>
              <w:rPr>
                <w:sz w:val="20"/>
                <w:szCs w:val="20"/>
              </w:rPr>
            </w:pPr>
            <w:r w:rsidRPr="00957660">
              <w:rPr>
                <w:color w:val="000000"/>
                <w:sz w:val="20"/>
                <w:szCs w:val="20"/>
              </w:rPr>
              <w:t>C</w:t>
            </w:r>
          </w:p>
        </w:tc>
      </w:tr>
      <w:tr w:rsidR="00957660" w:rsidRPr="00957660" w14:paraId="6AE652A1" w14:textId="77777777" w:rsidTr="00957660">
        <w:trPr>
          <w:jc w:val="center"/>
        </w:trPr>
        <w:tc>
          <w:tcPr>
            <w:tcW w:w="2900" w:type="dxa"/>
            <w:shd w:val="clear" w:color="auto" w:fill="FFFFFF"/>
            <w:tcMar>
              <w:top w:w="60" w:type="dxa"/>
              <w:left w:w="90" w:type="dxa"/>
              <w:bottom w:w="60" w:type="dxa"/>
              <w:right w:w="90" w:type="dxa"/>
            </w:tcMar>
            <w:vAlign w:val="center"/>
          </w:tcPr>
          <w:p w14:paraId="445160A2" w14:textId="77777777" w:rsidR="00957660" w:rsidRPr="00957660" w:rsidRDefault="00957660" w:rsidP="00957660">
            <w:pPr>
              <w:rPr>
                <w:sz w:val="20"/>
                <w:szCs w:val="20"/>
              </w:rPr>
            </w:pPr>
            <w:r w:rsidRPr="00957660">
              <w:rPr>
                <w:color w:val="000000"/>
                <w:sz w:val="20"/>
                <w:szCs w:val="20"/>
              </w:rPr>
              <w:t>Profitability index</w:t>
            </w:r>
          </w:p>
        </w:tc>
        <w:tc>
          <w:tcPr>
            <w:tcW w:w="1100" w:type="dxa"/>
            <w:shd w:val="clear" w:color="auto" w:fill="FFFFFF"/>
            <w:tcMar>
              <w:top w:w="60" w:type="dxa"/>
              <w:left w:w="90" w:type="dxa"/>
              <w:bottom w:w="60" w:type="dxa"/>
              <w:right w:w="90" w:type="dxa"/>
            </w:tcMar>
            <w:vAlign w:val="center"/>
          </w:tcPr>
          <w:p w14:paraId="00F4FD19" w14:textId="77777777" w:rsidR="00957660" w:rsidRPr="00957660" w:rsidRDefault="00957660" w:rsidP="00957660">
            <w:pPr>
              <w:rPr>
                <w:sz w:val="20"/>
                <w:szCs w:val="20"/>
              </w:rPr>
            </w:pPr>
            <w:r w:rsidRPr="00957660">
              <w:rPr>
                <w:color w:val="000000"/>
                <w:sz w:val="20"/>
                <w:szCs w:val="20"/>
              </w:rPr>
              <w:t>0.869</w:t>
            </w:r>
          </w:p>
        </w:tc>
        <w:tc>
          <w:tcPr>
            <w:tcW w:w="1100" w:type="dxa"/>
            <w:shd w:val="clear" w:color="auto" w:fill="FFFFFF"/>
            <w:tcMar>
              <w:top w:w="60" w:type="dxa"/>
              <w:left w:w="90" w:type="dxa"/>
              <w:bottom w:w="60" w:type="dxa"/>
              <w:right w:w="90" w:type="dxa"/>
            </w:tcMar>
            <w:vAlign w:val="center"/>
          </w:tcPr>
          <w:p w14:paraId="519E5E2E" w14:textId="77777777" w:rsidR="00957660" w:rsidRPr="00957660" w:rsidRDefault="00957660" w:rsidP="00957660">
            <w:pPr>
              <w:rPr>
                <w:sz w:val="20"/>
                <w:szCs w:val="20"/>
              </w:rPr>
            </w:pPr>
            <w:r w:rsidRPr="00957660">
              <w:rPr>
                <w:color w:val="000000"/>
                <w:sz w:val="20"/>
                <w:szCs w:val="20"/>
              </w:rPr>
              <w:t>0.878</w:t>
            </w:r>
          </w:p>
        </w:tc>
        <w:tc>
          <w:tcPr>
            <w:tcW w:w="1100" w:type="dxa"/>
            <w:shd w:val="clear" w:color="auto" w:fill="FFFFFF"/>
            <w:tcMar>
              <w:top w:w="60" w:type="dxa"/>
              <w:left w:w="90" w:type="dxa"/>
              <w:bottom w:w="60" w:type="dxa"/>
              <w:right w:w="90" w:type="dxa"/>
            </w:tcMar>
            <w:vAlign w:val="center"/>
          </w:tcPr>
          <w:p w14:paraId="438FEA19" w14:textId="77777777" w:rsidR="00957660" w:rsidRPr="00957660" w:rsidRDefault="00957660" w:rsidP="00957660">
            <w:pPr>
              <w:rPr>
                <w:sz w:val="20"/>
                <w:szCs w:val="20"/>
              </w:rPr>
            </w:pPr>
            <w:r w:rsidRPr="00957660">
              <w:rPr>
                <w:color w:val="000000"/>
                <w:sz w:val="20"/>
                <w:szCs w:val="20"/>
              </w:rPr>
              <w:t>1.017</w:t>
            </w:r>
          </w:p>
        </w:tc>
        <w:tc>
          <w:tcPr>
            <w:tcW w:w="2000" w:type="dxa"/>
            <w:shd w:val="clear" w:color="auto" w:fill="FFFFFF"/>
            <w:tcMar>
              <w:top w:w="60" w:type="dxa"/>
              <w:left w:w="90" w:type="dxa"/>
              <w:bottom w:w="60" w:type="dxa"/>
              <w:right w:w="90" w:type="dxa"/>
            </w:tcMar>
            <w:vAlign w:val="center"/>
          </w:tcPr>
          <w:p w14:paraId="031488CB" w14:textId="77777777" w:rsidR="00957660" w:rsidRPr="00957660" w:rsidRDefault="00957660" w:rsidP="00957660">
            <w:pPr>
              <w:rPr>
                <w:sz w:val="20"/>
                <w:szCs w:val="20"/>
              </w:rPr>
            </w:pPr>
            <w:r w:rsidRPr="00957660">
              <w:rPr>
                <w:color w:val="000000"/>
                <w:sz w:val="20"/>
                <w:szCs w:val="20"/>
              </w:rPr>
              <w:t>Accept if above 1.0</w:t>
            </w:r>
          </w:p>
        </w:tc>
        <w:tc>
          <w:tcPr>
            <w:tcW w:w="800" w:type="dxa"/>
            <w:shd w:val="clear" w:color="auto" w:fill="FFFFFF"/>
            <w:tcMar>
              <w:top w:w="60" w:type="dxa"/>
              <w:left w:w="90" w:type="dxa"/>
              <w:bottom w:w="60" w:type="dxa"/>
              <w:right w:w="90" w:type="dxa"/>
            </w:tcMar>
            <w:vAlign w:val="center"/>
          </w:tcPr>
          <w:p w14:paraId="45D080B4" w14:textId="77777777" w:rsidR="00957660" w:rsidRPr="00957660" w:rsidRDefault="00957660" w:rsidP="00957660">
            <w:pPr>
              <w:rPr>
                <w:sz w:val="20"/>
                <w:szCs w:val="20"/>
              </w:rPr>
            </w:pPr>
            <w:r w:rsidRPr="00957660">
              <w:rPr>
                <w:color w:val="000000"/>
                <w:sz w:val="20"/>
                <w:szCs w:val="20"/>
              </w:rPr>
              <w:t>C</w:t>
            </w:r>
          </w:p>
        </w:tc>
      </w:tr>
      <w:tr w:rsidR="00957660" w:rsidRPr="00957660" w14:paraId="4CCF812F" w14:textId="77777777" w:rsidTr="00957660">
        <w:trPr>
          <w:jc w:val="center"/>
        </w:trPr>
        <w:tc>
          <w:tcPr>
            <w:tcW w:w="2900" w:type="dxa"/>
            <w:shd w:val="clear" w:color="auto" w:fill="EAEEF5"/>
            <w:tcMar>
              <w:top w:w="60" w:type="dxa"/>
              <w:left w:w="90" w:type="dxa"/>
              <w:bottom w:w="60" w:type="dxa"/>
              <w:right w:w="90" w:type="dxa"/>
            </w:tcMar>
            <w:vAlign w:val="center"/>
          </w:tcPr>
          <w:p w14:paraId="20FCE825" w14:textId="77777777" w:rsidR="00957660" w:rsidRPr="00957660" w:rsidRDefault="00957660" w:rsidP="00957660">
            <w:pPr>
              <w:rPr>
                <w:sz w:val="20"/>
                <w:szCs w:val="20"/>
              </w:rPr>
            </w:pPr>
            <w:r w:rsidRPr="00957660">
              <w:rPr>
                <w:color w:val="000000"/>
                <w:sz w:val="20"/>
                <w:szCs w:val="20"/>
              </w:rPr>
              <w:t>Internal rate of return (%)</w:t>
            </w:r>
          </w:p>
        </w:tc>
        <w:tc>
          <w:tcPr>
            <w:tcW w:w="1100" w:type="dxa"/>
            <w:shd w:val="clear" w:color="auto" w:fill="EAEEF5"/>
            <w:tcMar>
              <w:top w:w="60" w:type="dxa"/>
              <w:left w:w="90" w:type="dxa"/>
              <w:bottom w:w="60" w:type="dxa"/>
              <w:right w:w="90" w:type="dxa"/>
            </w:tcMar>
            <w:vAlign w:val="center"/>
          </w:tcPr>
          <w:p w14:paraId="21629E72" w14:textId="77777777" w:rsidR="00957660" w:rsidRPr="00957660" w:rsidRDefault="00957660" w:rsidP="00957660">
            <w:pPr>
              <w:rPr>
                <w:sz w:val="20"/>
                <w:szCs w:val="20"/>
              </w:rPr>
            </w:pPr>
            <w:r w:rsidRPr="00957660">
              <w:rPr>
                <w:color w:val="000000"/>
                <w:sz w:val="20"/>
                <w:szCs w:val="20"/>
              </w:rPr>
              <w:t>2.72</w:t>
            </w:r>
          </w:p>
        </w:tc>
        <w:tc>
          <w:tcPr>
            <w:tcW w:w="1100" w:type="dxa"/>
            <w:shd w:val="clear" w:color="auto" w:fill="EAEEF5"/>
            <w:tcMar>
              <w:top w:w="60" w:type="dxa"/>
              <w:left w:w="90" w:type="dxa"/>
              <w:bottom w:w="60" w:type="dxa"/>
              <w:right w:w="90" w:type="dxa"/>
            </w:tcMar>
            <w:vAlign w:val="center"/>
          </w:tcPr>
          <w:p w14:paraId="5F654E6F" w14:textId="77777777" w:rsidR="00957660" w:rsidRPr="00957660" w:rsidRDefault="00957660" w:rsidP="00957660">
            <w:pPr>
              <w:rPr>
                <w:sz w:val="20"/>
                <w:szCs w:val="20"/>
              </w:rPr>
            </w:pPr>
            <w:r w:rsidRPr="00957660">
              <w:rPr>
                <w:color w:val="000000"/>
                <w:sz w:val="20"/>
                <w:szCs w:val="20"/>
              </w:rPr>
              <w:t>3.26</w:t>
            </w:r>
          </w:p>
        </w:tc>
        <w:tc>
          <w:tcPr>
            <w:tcW w:w="1100" w:type="dxa"/>
            <w:shd w:val="clear" w:color="auto" w:fill="EAEEF5"/>
            <w:tcMar>
              <w:top w:w="60" w:type="dxa"/>
              <w:left w:w="90" w:type="dxa"/>
              <w:bottom w:w="60" w:type="dxa"/>
              <w:right w:w="90" w:type="dxa"/>
            </w:tcMar>
            <w:vAlign w:val="center"/>
          </w:tcPr>
          <w:p w14:paraId="4C7EDC0E" w14:textId="77777777" w:rsidR="00957660" w:rsidRPr="00957660" w:rsidRDefault="00957660" w:rsidP="00957660">
            <w:pPr>
              <w:rPr>
                <w:sz w:val="20"/>
                <w:szCs w:val="20"/>
              </w:rPr>
            </w:pPr>
            <w:r w:rsidRPr="00957660">
              <w:rPr>
                <w:color w:val="000000"/>
                <w:sz w:val="20"/>
                <w:szCs w:val="20"/>
              </w:rPr>
              <w:t>8.59</w:t>
            </w:r>
          </w:p>
        </w:tc>
        <w:tc>
          <w:tcPr>
            <w:tcW w:w="2000" w:type="dxa"/>
            <w:shd w:val="clear" w:color="auto" w:fill="EAEEF5"/>
            <w:tcMar>
              <w:top w:w="60" w:type="dxa"/>
              <w:left w:w="90" w:type="dxa"/>
              <w:bottom w:w="60" w:type="dxa"/>
              <w:right w:w="90" w:type="dxa"/>
            </w:tcMar>
            <w:vAlign w:val="center"/>
          </w:tcPr>
          <w:p w14:paraId="39CCD5DC" w14:textId="77777777" w:rsidR="00957660" w:rsidRPr="00957660" w:rsidRDefault="00957660" w:rsidP="00957660">
            <w:pPr>
              <w:rPr>
                <w:sz w:val="20"/>
                <w:szCs w:val="20"/>
              </w:rPr>
            </w:pPr>
            <w:r w:rsidRPr="00957660">
              <w:rPr>
                <w:color w:val="000000"/>
                <w:sz w:val="20"/>
                <w:szCs w:val="20"/>
              </w:rPr>
              <w:t>Accept if above 8%</w:t>
            </w:r>
          </w:p>
        </w:tc>
        <w:tc>
          <w:tcPr>
            <w:tcW w:w="800" w:type="dxa"/>
            <w:shd w:val="clear" w:color="auto" w:fill="EAEEF5"/>
            <w:tcMar>
              <w:top w:w="60" w:type="dxa"/>
              <w:left w:w="90" w:type="dxa"/>
              <w:bottom w:w="60" w:type="dxa"/>
              <w:right w:w="90" w:type="dxa"/>
            </w:tcMar>
            <w:vAlign w:val="center"/>
          </w:tcPr>
          <w:p w14:paraId="02352B6C" w14:textId="77777777" w:rsidR="00957660" w:rsidRPr="00957660" w:rsidRDefault="00957660" w:rsidP="00957660">
            <w:pPr>
              <w:rPr>
                <w:sz w:val="20"/>
                <w:szCs w:val="20"/>
              </w:rPr>
            </w:pPr>
            <w:r w:rsidRPr="00957660">
              <w:rPr>
                <w:color w:val="000000"/>
                <w:sz w:val="20"/>
                <w:szCs w:val="20"/>
              </w:rPr>
              <w:t>C</w:t>
            </w:r>
          </w:p>
        </w:tc>
      </w:tr>
    </w:tbl>
    <w:p w14:paraId="0370D527" w14:textId="7A7C0151" w:rsidR="00DF1635" w:rsidRDefault="00DF1635" w:rsidP="00DF1635">
      <w:r w:rsidRPr="00DF1635">
        <w:t>Project C is recommended on all five measures. It is the only project with a positive NPV and the only one whose IRR exceeds the cost of capital; A and B would each destroy around £6m of shareholder wealth.</w:t>
      </w:r>
    </w:p>
    <w:p w14:paraId="62AF2059" w14:textId="335949CC" w:rsidR="00D54E78" w:rsidRDefault="00D54E78" w:rsidP="00D54E78">
      <w:r>
        <w:t>The recommendation is also in line with the Group's finances. The current ratio is just 0.44, free cash flow is only £77.4m and Whitbread isn't able to invest £50m into a project that fails to return its cost of capital. The fact that this project has a shorter payback period (3.6 years) than is typical for a project of this size becomes significant in this context, because it will provide cash to the Group before the next biggest refinancing occurs. The profile also fits fairly well with a room conversion programme where costs are front-loaded and revenues come in as rooms are added.</w:t>
      </w:r>
    </w:p>
    <w:p w14:paraId="7378D4AA" w14:textId="55F284C9" w:rsidR="00D54E78" w:rsidRDefault="00D54E78" w:rsidP="00D54E78">
      <w:r>
        <w:t xml:space="preserve">These should be balanced by non-financial risks. There is a forecasting risk associated with project C because it relies on the value of years 3 and 4. The further into the future a cash flow is, the less reliable the estimate will be. Political and regulatory risk is real as they impose business rates and planning rules with a further rise in the National Living Wage and a German element will introduce currency and labour law exposure. The balancing power is the customer loyalty, as Premier Inn has very few intermediaries, ensuring that they have a steady demand and incur minimal distribution costs. Overall, the risks are acceptable, but Project C needs to be tested for sensitivity at 9 and 10 </w:t>
      </w:r>
      <w:r w:rsidR="00B64CDE">
        <w:t>%</w:t>
      </w:r>
      <w:r>
        <w:t xml:space="preserve"> and for stage-gate at year two.</w:t>
      </w:r>
    </w:p>
    <w:p w14:paraId="36B54D03" w14:textId="277A246A" w:rsidR="00D54E78" w:rsidRDefault="00D54E78" w:rsidP="00D54E78">
      <w:pPr>
        <w:pStyle w:val="Heading2"/>
      </w:pPr>
      <w:bookmarkStart w:id="40" w:name="_Toc237514455"/>
      <w:r>
        <w:t>Capital rationing with a £100 million limit</w:t>
      </w:r>
      <w:bookmarkEnd w:id="40"/>
    </w:p>
    <w:p w14:paraId="60BC32EC" w14:textId="64583871" w:rsidR="00D272C5" w:rsidRDefault="00D54E78" w:rsidP="00D54E78">
      <w:r>
        <w:t xml:space="preserve">In principle, two projects could be funded with £100 million of funds. In general, with capital rationing, projects should be ranked according to the profitability index, thus, a </w:t>
      </w:r>
      <w:r>
        <w:lastRenderedPageBreak/>
        <w:t>limited amount of capital will yield the maximum total net present value (Arnold and Lewis, 2019). Here the ranking is C first at 1.017, then B at 0.878, then A at 0.869.</w:t>
      </w:r>
    </w:p>
    <w:p w14:paraId="160607D9" w14:textId="7294DBB9" w:rsidR="0082333F" w:rsidRDefault="0082333F" w:rsidP="0082333F">
      <w:r>
        <w:t xml:space="preserve">The important insight is that the constraint does not actually bind. The problem with capital rationing is that there can only be a real choice when there are more projects with positive NPV than there is money to invest. Here only one project is showing positive NPV and a second project would give a negative NPV in each of the cases. </w:t>
      </w:r>
      <w:r w:rsidR="00EF094F" w:rsidRPr="00EF094F">
        <w:t>The correct decision is therefore to invest £50 million in Project C alone. Having £100 million available does not oblige the Board to spend it, and committing the second £50 million to either remaining project would reduce the combined net present value of the programme rather than increase it.</w:t>
      </w:r>
    </w:p>
    <w:p w14:paraId="29602C7E" w14:textId="6ECF4538" w:rsidR="0082333F" w:rsidRDefault="0082333F" w:rsidP="0082333F">
      <w:r>
        <w:t>From the analyses of the sections 2 and 3, the best use of the cash buffer is to build up the current ratio (0.44) by reducing the dependence on short term facilities.</w:t>
      </w:r>
      <w:r w:rsidR="00DF1635">
        <w:t xml:space="preserve"> </w:t>
      </w:r>
      <w:r>
        <w:t>The notion of spending capital to appear active is a widely recognised value destroying behaviour, and the discipline of not investing is as crucial as the discipline of investing well (Jensen, 1986).</w:t>
      </w:r>
    </w:p>
    <w:p w14:paraId="69979CF0" w14:textId="50ABC557" w:rsidR="0082333F" w:rsidRDefault="0082333F" w:rsidP="0082333F">
      <w:pPr>
        <w:pStyle w:val="Heading1"/>
      </w:pPr>
      <w:bookmarkStart w:id="41" w:name="_Toc237514456"/>
      <w:r>
        <w:t>Critical reflection on AI usage</w:t>
      </w:r>
      <w:bookmarkEnd w:id="41"/>
    </w:p>
    <w:p w14:paraId="786C9021" w14:textId="3E465FC2" w:rsidR="0082333F" w:rsidRDefault="0082333F" w:rsidP="0082333F">
      <w:pPr>
        <w:pStyle w:val="Heading2"/>
      </w:pPr>
      <w:bookmarkStart w:id="42" w:name="_Toc237514457"/>
      <w:r>
        <w:t>Tool disclosure</w:t>
      </w:r>
      <w:bookmarkEnd w:id="42"/>
    </w:p>
    <w:p w14:paraId="194FE119" w14:textId="77777777" w:rsidR="00B64CDE" w:rsidRDefault="00B64CDE" w:rsidP="00B64CDE">
      <w:r>
        <w:t>The following tasks were prepared using generative AI, and I checked and reworded in my own words: I found the appropriate statements in Whitbread's five annual reports; I verified the arithmetic in ratio and appraisal calculations that I had first generated in a spreadsheet, without assistance from generative AI; and I received suggestions for rewording statements for clarity in my draft text, which I then reviewed and reworded in my own words. Tables and charts were also formatted with both of these tools. However, the selection of the company, the interpretation of results or recommendations were not made using AI.</w:t>
      </w:r>
    </w:p>
    <w:p w14:paraId="3F50A351" w14:textId="63FDE4AB" w:rsidR="00B64CDE" w:rsidRDefault="00B64CDE" w:rsidP="00B64CDE">
      <w:pPr>
        <w:pStyle w:val="Heading2"/>
      </w:pPr>
      <w:bookmarkStart w:id="43" w:name="_Toc237514458"/>
      <w:r>
        <w:t>Evaluation of AI output.</w:t>
      </w:r>
      <w:bookmarkEnd w:id="43"/>
    </w:p>
    <w:p w14:paraId="036011E4" w14:textId="1E3A650A" w:rsidR="00B64CDE" w:rsidRDefault="00B64CDE" w:rsidP="00B64CDE">
      <w:r>
        <w:t xml:space="preserve">Verification was systematic and it found actual mistakes. All financial amounts in this report have been traced to the audited consolidated income statement, balance sheet or cash flow statement in the corresponding annual report, and were not accepted on the basis of a model. This was important because if a document was not in front of it, </w:t>
      </w:r>
      <w:r>
        <w:lastRenderedPageBreak/>
        <w:t>then the assistant would provide credible but false revenues data, the confident false-fabrication pattern described by Bender et al. (2021).</w:t>
      </w:r>
    </w:p>
    <w:p w14:paraId="179AFA00" w14:textId="77777777" w:rsidR="00B64CDE" w:rsidRDefault="00B64CDE" w:rsidP="00B64CDE">
      <w:r>
        <w:t>The second one was a logical rather than a factual error. A rough draft was made and the days were calculated based on the inventory costs, giving rise to a value greater than 1,100 days. This involved business rather than arithmetic skills: Whitbread does not provide a separate cost of sales statement so the denominator should be total operating costs as per section 3.1. The third check was for the adjusted figures in which the model used adjusted operating profit as the statutory measure. If this had not been corrected, it would have affected all of the profitability ratios in section 2. This was solved by cross checking of income statement.</w:t>
      </w:r>
    </w:p>
    <w:p w14:paraId="6C770548" w14:textId="3C13DCA9" w:rsidR="00B64CDE" w:rsidRDefault="00B64CDE" w:rsidP="00B64CDE">
      <w:pPr>
        <w:pStyle w:val="Heading2"/>
      </w:pPr>
      <w:bookmarkStart w:id="44" w:name="_Toc237514459"/>
      <w:r>
        <w:t>Contribution analysis</w:t>
      </w:r>
      <w:bookmarkEnd w:id="44"/>
    </w:p>
    <w:p w14:paraId="3CF054D4" w14:textId="209F5BB3" w:rsidR="00B64CDE" w:rsidRDefault="00B64CDE" w:rsidP="00B64CDE">
      <w:r>
        <w:t>There is a segregation of labor. AI facilitated quicker document navigation, arithmetic error detection, language editing and presentation. The analysis of this content is my own: The selection of Whitbread, the choices over ratios and their construction, the decision to present both statutory and adjusted result side by side, the judgement of liquidity being the main issue, benchmarking against IHG and the sector, the recommendation of the restructuring package and its interpretation of the appraisal results, and the conclusion that the capital rationing constraint is not binding. The tool was a tool to accelerate mechanical work around those judgements – it was not the creation of those judgements.</w:t>
      </w:r>
    </w:p>
    <w:p w14:paraId="0C002392" w14:textId="41C7507C" w:rsidR="00B64CDE" w:rsidRDefault="00B64CDE" w:rsidP="00B64CDE">
      <w:pPr>
        <w:pStyle w:val="Heading2"/>
      </w:pPr>
      <w:bookmarkStart w:id="45" w:name="_Toc237514460"/>
      <w:r>
        <w:t>Reflection on ethics and professionalism</w:t>
      </w:r>
      <w:bookmarkEnd w:id="45"/>
    </w:p>
    <w:p w14:paraId="3D1087D0" w14:textId="24C2C096" w:rsidR="00B64CDE" w:rsidRDefault="00B64CDE" w:rsidP="00B64CDE">
      <w:r>
        <w:t>For the finance professional, there are three concerns. First, is transparency.</w:t>
      </w:r>
      <w:r w:rsidR="00DF1635" w:rsidRPr="00DF1635">
        <w:t xml:space="preserve"> Presenting analysis to a Board without disclosing that AI was used misrepresents the basis of the advice</w:t>
      </w:r>
      <w:r>
        <w:t>, and it is recognised good practice to be transparent about the use of tools (Floridi and Cowls, 2019).</w:t>
      </w:r>
    </w:p>
    <w:p w14:paraId="619F8F89" w14:textId="1B0001B3" w:rsidR="00B64CDE" w:rsidRDefault="00B64CDE" w:rsidP="00B64CDE">
      <w:r>
        <w:t xml:space="preserve">The second one is data privacy. Since the published accounts of Whitbread are public no confidential information is included here. However, in reality, a CFO will use unpublished forecasts together with employee information and price sensitive information, which may be deemed as breaches of data protection law and market </w:t>
      </w:r>
      <w:r>
        <w:lastRenderedPageBreak/>
        <w:t>abuse regulation if entered in a public tool. It's critical to have enterprise tools that have contractual data retention requirements.</w:t>
      </w:r>
    </w:p>
    <w:p w14:paraId="119DD919" w14:textId="41526F6F" w:rsidR="00B64CDE" w:rsidRPr="00B64CDE" w:rsidRDefault="00B64CDE" w:rsidP="00B64CDE">
      <w:r>
        <w:t>The third and most severe is over-reliance. The errors in 6.2 were caught only because someone who knew what the numbers should look like compared the output against source documents. When decision making tasks are supported by a machine, flurries of fluency and confidence make accountability hard to see and can lead to false confidence (Mittelstadt et al., 2016; Dwivedi et al., 2021). Financial analysis preparation can be aided by AI, but the individual who signs it remains responsible for the figures and the recommendations.</w:t>
      </w:r>
    </w:p>
    <w:p w14:paraId="2343B748" w14:textId="7A62ACF9" w:rsidR="0082333F" w:rsidRDefault="0082333F" w:rsidP="0082333F">
      <w:pPr>
        <w:pStyle w:val="Heading1"/>
      </w:pPr>
      <w:bookmarkStart w:id="46" w:name="_Toc237514461"/>
      <w:r>
        <w:t>Conclusion</w:t>
      </w:r>
      <w:bookmarkEnd w:id="46"/>
    </w:p>
    <w:p w14:paraId="3847CDA1" w14:textId="3B6D3572" w:rsidR="00D6742B" w:rsidRDefault="00D6742B" w:rsidP="00D6742B">
      <w:r>
        <w:t xml:space="preserve">Whitbread is an efficient operating company with an excessive level of debt. The pandemic has done little to dent revenue and the adjusted operating margin hit a five-year peak of 22.2 </w:t>
      </w:r>
      <w:r w:rsidR="00B64CDE">
        <w:t>%</w:t>
      </w:r>
      <w:r>
        <w:t xml:space="preserve"> while cash conversion of 165 </w:t>
      </w:r>
      <w:r w:rsidR="00B64CDE">
        <w:t>%</w:t>
      </w:r>
      <w:r>
        <w:t xml:space="preserve"> of the adjusted operating profit is exceptional by any standards. The trading model is being effective.</w:t>
      </w:r>
    </w:p>
    <w:p w14:paraId="18074A17" w14:textId="3AB1BAE4" w:rsidR="00D6742B" w:rsidRDefault="00D6742B" w:rsidP="00D6742B">
      <w:r>
        <w:t xml:space="preserve">The financial position tells a different story. The current ratio has dropped to 0.44 against a sector average of 0.87, and is still below IHG's 0.98, the gearing ratio has increased to 174 </w:t>
      </w:r>
      <w:r w:rsidR="00B64CDE">
        <w:t>%</w:t>
      </w:r>
      <w:r>
        <w:t xml:space="preserve"> of equity, the interest cover has decreased to 2.32 times and free cash flow has declined to £77.4m. All of this is not a sign of weak trading. This represents a capital programme of £675 million, buy back of £250 million, dividend of £169 million and bond repayment of £450 million, all of which were raised from cash reserves for that one year.</w:t>
      </w:r>
    </w:p>
    <w:p w14:paraId="43352920" w14:textId="6F91A0BD" w:rsidR="00B64CDE" w:rsidRPr="00D6742B" w:rsidRDefault="00D6742B" w:rsidP="00D6742B">
      <w:r>
        <w:t xml:space="preserve">Four recommendations follow. First, build up a cash buffer of approximately £500 million by refinancing part of the bond that has been repaid, restoring the cash flow to the sector's norm within two years. Second, continue to support the negative cash operating cycle without over-extending suppliers, and spread out the capital spending to prevent a second FY2026 peak. </w:t>
      </w:r>
      <w:r w:rsidR="00DF1635" w:rsidRPr="00DF1635">
        <w:t>Third, exit or partner the German business and suspend the buy-back for one year to retain approximately £250 million of internally generated funds.</w:t>
      </w:r>
      <w:r w:rsidR="00DF1635">
        <w:t xml:space="preserve"> </w:t>
      </w:r>
      <w:r w:rsidR="00DF1635" w:rsidRPr="00DF1635">
        <w:t>Fourth, approve Project C and reject Projects A and B, subject to sensitivity testing at 9 and 10 per cent and a stage-gate review at year two</w:t>
      </w:r>
      <w:r>
        <w:t xml:space="preserve">. </w:t>
      </w:r>
      <w:r w:rsidRPr="00D6742B">
        <w:t>Taken together, these measures restore financial flexibility without disturbing the operating model that generates the Group's cash.</w:t>
      </w:r>
    </w:p>
    <w:p w14:paraId="24DE78B7" w14:textId="2A3EAB93" w:rsidR="000D05E7" w:rsidRDefault="0082333F" w:rsidP="0082333F">
      <w:pPr>
        <w:pStyle w:val="Heading1"/>
      </w:pPr>
      <w:bookmarkStart w:id="47" w:name="_Toc237514462"/>
      <w:r>
        <w:lastRenderedPageBreak/>
        <w:t>References</w:t>
      </w:r>
      <w:bookmarkEnd w:id="47"/>
    </w:p>
    <w:p w14:paraId="5E52EE1C"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Arnold, G. and Lewis, D.S. (2019) </w:t>
      </w:r>
      <w:r w:rsidRPr="00BD204D">
        <w:rPr>
          <w:rStyle w:val="Emphasis"/>
          <w:color w:val="000000" w:themeColor="text1"/>
        </w:rPr>
        <w:t>Corporate Financial Management</w:t>
      </w:r>
      <w:r w:rsidRPr="00BD204D">
        <w:rPr>
          <w:color w:val="000000" w:themeColor="text1"/>
        </w:rPr>
        <w:t>. 6th edn. Harlow: Pearson Education.</w:t>
      </w:r>
    </w:p>
    <w:p w14:paraId="2E85963E"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Atrill, P. (2012) </w:t>
      </w:r>
      <w:r w:rsidRPr="00BD204D">
        <w:rPr>
          <w:rStyle w:val="Emphasis"/>
          <w:color w:val="000000" w:themeColor="text1"/>
        </w:rPr>
        <w:t>Financial Management for Decision Makers</w:t>
      </w:r>
      <w:r w:rsidRPr="00BD204D">
        <w:rPr>
          <w:color w:val="000000" w:themeColor="text1"/>
        </w:rPr>
        <w:t>. 6th edn. Harlow: Financial Times Prentice Hall.</w:t>
      </w:r>
    </w:p>
    <w:p w14:paraId="55E19BD8"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Atrill, P. and McLaney, E.J. (2016) </w:t>
      </w:r>
      <w:r w:rsidRPr="00BD204D">
        <w:rPr>
          <w:rStyle w:val="Emphasis"/>
          <w:color w:val="000000" w:themeColor="text1"/>
        </w:rPr>
        <w:t>Financial Accounting for Decision Makers</w:t>
      </w:r>
      <w:r w:rsidRPr="00BD204D">
        <w:rPr>
          <w:color w:val="000000" w:themeColor="text1"/>
        </w:rPr>
        <w:t>. 8th edn. Harlow: Pearson Education.</w:t>
      </w:r>
    </w:p>
    <w:p w14:paraId="4B2486B5"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Atrill, P. and McLaney, E.J. (2019) </w:t>
      </w:r>
      <w:r w:rsidRPr="00BD204D">
        <w:rPr>
          <w:rStyle w:val="Emphasis"/>
          <w:color w:val="000000" w:themeColor="text1"/>
        </w:rPr>
        <w:t>Accounting and Finance for Non-Specialists</w:t>
      </w:r>
      <w:r w:rsidRPr="00BD204D">
        <w:rPr>
          <w:color w:val="000000" w:themeColor="text1"/>
        </w:rPr>
        <w:t>. 11th edn. Harlow: Pearson Education.</w:t>
      </w:r>
    </w:p>
    <w:p w14:paraId="5350B468"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Atrill, P. and McLaney, E.J. (2022) </w:t>
      </w:r>
      <w:r w:rsidRPr="00BD204D">
        <w:rPr>
          <w:rStyle w:val="Emphasis"/>
          <w:color w:val="000000" w:themeColor="text1"/>
        </w:rPr>
        <w:t>Accounting and Finance for Non-Specialists</w:t>
      </w:r>
      <w:r w:rsidRPr="00BD204D">
        <w:rPr>
          <w:color w:val="000000" w:themeColor="text1"/>
        </w:rPr>
        <w:t>. 12th edn. Hoboken, NJ: Pearson Education.</w:t>
      </w:r>
    </w:p>
    <w:p w14:paraId="5A25CDC6"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Baños-Caballero, S., García-Teruel, P.J. and Martínez-Solano, P. (2014) 'Working capital management, corporate performance, and financial constraints', </w:t>
      </w:r>
      <w:r w:rsidRPr="00BD204D">
        <w:rPr>
          <w:rStyle w:val="Emphasis"/>
          <w:color w:val="000000" w:themeColor="text1"/>
        </w:rPr>
        <w:t>Journal of Business Research</w:t>
      </w:r>
      <w:r w:rsidRPr="00BD204D">
        <w:rPr>
          <w:color w:val="000000" w:themeColor="text1"/>
        </w:rPr>
        <w:t>, 67(3), pp. 332–338.</w:t>
      </w:r>
    </w:p>
    <w:p w14:paraId="77541685"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Barrow, P. (2009) </w:t>
      </w:r>
      <w:r w:rsidRPr="00BD204D">
        <w:rPr>
          <w:rStyle w:val="Emphasis"/>
          <w:color w:val="000000" w:themeColor="text1"/>
        </w:rPr>
        <w:t>Essential Business Finance: A Complete Guide to Starting, Expanding and Selling Your Business</w:t>
      </w:r>
      <w:r w:rsidRPr="00BD204D">
        <w:rPr>
          <w:color w:val="000000" w:themeColor="text1"/>
        </w:rPr>
        <w:t>. 2nd edn. London: Kogan Page.</w:t>
      </w:r>
    </w:p>
    <w:p w14:paraId="6FF0D43D"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Bender, E.M., Gebru, T., McMillan-Major, A. and Shmitchell, S. (2021) 'On the dangers of stochastic parrots: can language models be too big?', </w:t>
      </w:r>
      <w:r w:rsidRPr="00BD204D">
        <w:rPr>
          <w:rStyle w:val="Emphasis"/>
          <w:color w:val="000000" w:themeColor="text1"/>
        </w:rPr>
        <w:t>Proceedings of the 2021 ACM Conference on Fairness, Accountability, and Transparency</w:t>
      </w:r>
      <w:r w:rsidRPr="00BD204D">
        <w:rPr>
          <w:color w:val="000000" w:themeColor="text1"/>
        </w:rPr>
        <w:t>. Virtual Event, Canada, 3–10 March. New York: Association for Computing Machinery, pp. 610–623.</w:t>
      </w:r>
    </w:p>
    <w:p w14:paraId="050B25F8"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Brealey, R.A., Myers, S.C. and Allen, F. (2020) </w:t>
      </w:r>
      <w:r w:rsidRPr="00BD204D">
        <w:rPr>
          <w:rStyle w:val="Emphasis"/>
          <w:color w:val="000000" w:themeColor="text1"/>
        </w:rPr>
        <w:t>Principles of Corporate Finance</w:t>
      </w:r>
      <w:r w:rsidRPr="00BD204D">
        <w:rPr>
          <w:color w:val="000000" w:themeColor="text1"/>
        </w:rPr>
        <w:t>. 13th edn. New York: McGraw-Hill Education.</w:t>
      </w:r>
    </w:p>
    <w:p w14:paraId="17BC4DAC"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CSIMarket (2026) </w:t>
      </w:r>
      <w:r w:rsidRPr="00BD204D">
        <w:rPr>
          <w:rStyle w:val="Emphasis"/>
          <w:color w:val="000000" w:themeColor="text1"/>
        </w:rPr>
        <w:t>Hotels, Tourism and Amusement Industry: financial strength, liquidity, leverage and coverage ratios</w:t>
      </w:r>
      <w:r w:rsidRPr="00BD204D">
        <w:rPr>
          <w:color w:val="000000" w:themeColor="text1"/>
        </w:rPr>
        <w:t xml:space="preserve">. Available at: </w:t>
      </w:r>
      <w:hyperlink r:id="rId17" w:history="1">
        <w:r w:rsidRPr="00BD204D">
          <w:rPr>
            <w:rStyle w:val="Hyperlink"/>
            <w:color w:val="000000" w:themeColor="text1"/>
          </w:rPr>
          <w:t>https://csimarket.com/Industry/industry_Financial_Strength_Ratios.php?ind=906</w:t>
        </w:r>
      </w:hyperlink>
      <w:r w:rsidRPr="00BD204D">
        <w:rPr>
          <w:color w:val="000000" w:themeColor="text1"/>
        </w:rPr>
        <w:t xml:space="preserve"> (Accessed: 22 July 2026).</w:t>
      </w:r>
    </w:p>
    <w:p w14:paraId="2DFC8A44" w14:textId="77777777" w:rsidR="00BD204D" w:rsidRPr="00BD204D" w:rsidRDefault="00BD204D" w:rsidP="00BD204D">
      <w:pPr>
        <w:pStyle w:val="font-claude-response-body"/>
        <w:spacing w:line="360" w:lineRule="auto"/>
        <w:rPr>
          <w:color w:val="000000" w:themeColor="text1"/>
        </w:rPr>
      </w:pPr>
      <w:r w:rsidRPr="00BD204D">
        <w:rPr>
          <w:color w:val="000000" w:themeColor="text1"/>
        </w:rPr>
        <w:lastRenderedPageBreak/>
        <w:t xml:space="preserve">Davies, T. and Crawford, I. (2011) </w:t>
      </w:r>
      <w:r w:rsidRPr="00BD204D">
        <w:rPr>
          <w:rStyle w:val="Emphasis"/>
          <w:color w:val="000000" w:themeColor="text1"/>
        </w:rPr>
        <w:t>Business Accounting and Finance</w:t>
      </w:r>
      <w:r w:rsidRPr="00BD204D">
        <w:rPr>
          <w:color w:val="000000" w:themeColor="text1"/>
        </w:rPr>
        <w:t>. Harlow: Financial Times/Prentice Hall.</w:t>
      </w:r>
    </w:p>
    <w:p w14:paraId="4C5110D1"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Deloof, M. (2003) 'Does working capital management affect profitability of Belgian firms?', </w:t>
      </w:r>
      <w:r w:rsidRPr="00BD204D">
        <w:rPr>
          <w:rStyle w:val="Emphasis"/>
          <w:color w:val="000000" w:themeColor="text1"/>
        </w:rPr>
        <w:t>Journal of Business Finance and Accounting</w:t>
      </w:r>
      <w:r w:rsidRPr="00BD204D">
        <w:rPr>
          <w:color w:val="000000" w:themeColor="text1"/>
        </w:rPr>
        <w:t>, 30(3–4), pp. 573–588.</w:t>
      </w:r>
    </w:p>
    <w:p w14:paraId="5CFF1204"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Dwivedi, Y.K., Hughes, L., Ismagilova, E., Aarts, G., Coombs, C., Crick, T., Duan, Y., Dwivedi, R., Edwards, J., Eirug, A. and Galanos, V. (2021) 'Artificial intelligence (AI): multidisciplinary perspectives on emerging challenges, opportunities, and agenda for research, practice and policy', </w:t>
      </w:r>
      <w:r w:rsidRPr="00BD204D">
        <w:rPr>
          <w:rStyle w:val="Emphasis"/>
          <w:color w:val="000000" w:themeColor="text1"/>
        </w:rPr>
        <w:t>International Journal of Information Management</w:t>
      </w:r>
      <w:r w:rsidRPr="00BD204D">
        <w:rPr>
          <w:color w:val="000000" w:themeColor="text1"/>
        </w:rPr>
        <w:t>, 57, 101994.</w:t>
      </w:r>
    </w:p>
    <w:p w14:paraId="40631977"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Eccles, R.G., Ioannou, I. and Serafeim, G. (2014) 'The impact of corporate sustainability on organizational processes and performance', </w:t>
      </w:r>
      <w:r w:rsidRPr="00BD204D">
        <w:rPr>
          <w:rStyle w:val="Emphasis"/>
          <w:color w:val="000000" w:themeColor="text1"/>
        </w:rPr>
        <w:t>Management Science</w:t>
      </w:r>
      <w:r w:rsidRPr="00BD204D">
        <w:rPr>
          <w:color w:val="000000" w:themeColor="text1"/>
        </w:rPr>
        <w:t>, 60(11), pp. 2835–2857.</w:t>
      </w:r>
    </w:p>
    <w:p w14:paraId="34D4C74B"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Fields, E. (2016) </w:t>
      </w:r>
      <w:r w:rsidRPr="00BD204D">
        <w:rPr>
          <w:rStyle w:val="Emphasis"/>
          <w:color w:val="000000" w:themeColor="text1"/>
        </w:rPr>
        <w:t>The Essentials of Finance and Accounting for Nonfinancial Managers</w:t>
      </w:r>
      <w:r w:rsidRPr="00BD204D">
        <w:rPr>
          <w:color w:val="000000" w:themeColor="text1"/>
        </w:rPr>
        <w:t>. 3rd edn. New York: AMACOM.</w:t>
      </w:r>
    </w:p>
    <w:p w14:paraId="61EE52A6"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Financial Reporting Council (2024) </w:t>
      </w:r>
      <w:r w:rsidRPr="00BD204D">
        <w:rPr>
          <w:rStyle w:val="Emphasis"/>
          <w:color w:val="000000" w:themeColor="text1"/>
        </w:rPr>
        <w:t>The UK Corporate Governance Code</w:t>
      </w:r>
      <w:r w:rsidRPr="00BD204D">
        <w:rPr>
          <w:color w:val="000000" w:themeColor="text1"/>
        </w:rPr>
        <w:t xml:space="preserve">. Available at: </w:t>
      </w:r>
      <w:hyperlink r:id="rId18" w:history="1">
        <w:r w:rsidRPr="00BD204D">
          <w:rPr>
            <w:rStyle w:val="Hyperlink"/>
            <w:color w:val="000000" w:themeColor="text1"/>
          </w:rPr>
          <w:t>https://www.frc.org.uk/library/standards-codes-policy/corporate-governance/uk-corporate-governance-code/</w:t>
        </w:r>
      </w:hyperlink>
      <w:r w:rsidRPr="00BD204D">
        <w:rPr>
          <w:color w:val="000000" w:themeColor="text1"/>
        </w:rPr>
        <w:t xml:space="preserve"> (Accessed: 29 July 2026).</w:t>
      </w:r>
    </w:p>
    <w:p w14:paraId="0EE5924F"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Floridi, L. and Cowls, J. (2019) 'A unified framework of five principles for AI in society', </w:t>
      </w:r>
      <w:r w:rsidRPr="00BD204D">
        <w:rPr>
          <w:rStyle w:val="Emphasis"/>
          <w:color w:val="000000" w:themeColor="text1"/>
        </w:rPr>
        <w:t>Harvard Data Science Review</w:t>
      </w:r>
      <w:r w:rsidRPr="00BD204D">
        <w:rPr>
          <w:color w:val="000000" w:themeColor="text1"/>
        </w:rPr>
        <w:t>, 1(1), pp. 1–15.</w:t>
      </w:r>
    </w:p>
    <w:p w14:paraId="182A98AC"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Graham, J.R. and Harvey, C.R. (2001) 'The theory and practice of corporate finance: evidence from the field', </w:t>
      </w:r>
      <w:r w:rsidRPr="00BD204D">
        <w:rPr>
          <w:rStyle w:val="Emphasis"/>
          <w:color w:val="000000" w:themeColor="text1"/>
        </w:rPr>
        <w:t>Journal of Financial Economics</w:t>
      </w:r>
      <w:r w:rsidRPr="00BD204D">
        <w:rPr>
          <w:color w:val="000000" w:themeColor="text1"/>
        </w:rPr>
        <w:t>, 60(2–3), pp. 187–243.</w:t>
      </w:r>
    </w:p>
    <w:p w14:paraId="352FCC43"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GuruFocus (2026) </w:t>
      </w:r>
      <w:r w:rsidRPr="00BD204D">
        <w:rPr>
          <w:rStyle w:val="Emphasis"/>
          <w:color w:val="000000" w:themeColor="text1"/>
        </w:rPr>
        <w:t>InterContinental Hotels Group current ratio</w:t>
      </w:r>
      <w:r w:rsidRPr="00BD204D">
        <w:rPr>
          <w:color w:val="000000" w:themeColor="text1"/>
        </w:rPr>
        <w:t xml:space="preserve">. Available at: </w:t>
      </w:r>
      <w:hyperlink r:id="rId19" w:history="1">
        <w:r w:rsidRPr="00BD204D">
          <w:rPr>
            <w:rStyle w:val="Hyperlink"/>
            <w:color w:val="000000" w:themeColor="text1"/>
          </w:rPr>
          <w:t>https://www.gurufocus.com/term/current-ratio/IHG</w:t>
        </w:r>
      </w:hyperlink>
      <w:r w:rsidRPr="00BD204D">
        <w:rPr>
          <w:color w:val="000000" w:themeColor="text1"/>
        </w:rPr>
        <w:t xml:space="preserve"> (Accessed: 22 July 2026).</w:t>
      </w:r>
    </w:p>
    <w:p w14:paraId="05BBEEA6"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Hospitality Institute (2025) </w:t>
      </w:r>
      <w:r w:rsidRPr="00BD204D">
        <w:rPr>
          <w:rStyle w:val="Emphasis"/>
          <w:color w:val="000000" w:themeColor="text1"/>
        </w:rPr>
        <w:t>Key liquidity ratios for hotel financial health</w:t>
      </w:r>
      <w:r w:rsidRPr="00BD204D">
        <w:rPr>
          <w:color w:val="000000" w:themeColor="text1"/>
        </w:rPr>
        <w:t xml:space="preserve">. Available at: </w:t>
      </w:r>
      <w:hyperlink r:id="rId20" w:history="1">
        <w:r w:rsidRPr="00BD204D">
          <w:rPr>
            <w:rStyle w:val="Hyperlink"/>
            <w:color w:val="000000" w:themeColor="text1"/>
          </w:rPr>
          <w:t>https://hospitality.institute/mha805/key-liquidity-ratios-hotel-financial-health/</w:t>
        </w:r>
      </w:hyperlink>
      <w:r w:rsidRPr="00BD204D">
        <w:rPr>
          <w:color w:val="000000" w:themeColor="text1"/>
        </w:rPr>
        <w:t xml:space="preserve"> (Accessed: 24 July 2026).</w:t>
      </w:r>
    </w:p>
    <w:p w14:paraId="15BF14A6" w14:textId="77777777" w:rsidR="00BD204D" w:rsidRPr="00BD204D" w:rsidRDefault="00BD204D" w:rsidP="00BD204D">
      <w:pPr>
        <w:pStyle w:val="font-claude-response-body"/>
        <w:spacing w:line="360" w:lineRule="auto"/>
        <w:rPr>
          <w:color w:val="000000" w:themeColor="text1"/>
        </w:rPr>
      </w:pPr>
      <w:r w:rsidRPr="00BD204D">
        <w:rPr>
          <w:color w:val="000000" w:themeColor="text1"/>
        </w:rPr>
        <w:lastRenderedPageBreak/>
        <w:t xml:space="preserve">International Accounting Standards Board (2016) </w:t>
      </w:r>
      <w:r w:rsidRPr="00BD204D">
        <w:rPr>
          <w:rStyle w:val="Emphasis"/>
          <w:color w:val="000000" w:themeColor="text1"/>
        </w:rPr>
        <w:t>IFRS 16 Leases</w:t>
      </w:r>
      <w:r w:rsidRPr="00BD204D">
        <w:rPr>
          <w:color w:val="000000" w:themeColor="text1"/>
        </w:rPr>
        <w:t xml:space="preserve">. Available at: </w:t>
      </w:r>
      <w:hyperlink r:id="rId21" w:history="1">
        <w:r w:rsidRPr="00BD204D">
          <w:rPr>
            <w:rStyle w:val="Hyperlink"/>
            <w:color w:val="000000" w:themeColor="text1"/>
          </w:rPr>
          <w:t>https://www.ifrs.org/issued-standards/list-of-standards/ifrs-16-leases/</w:t>
        </w:r>
      </w:hyperlink>
      <w:r w:rsidRPr="00BD204D">
        <w:rPr>
          <w:color w:val="000000" w:themeColor="text1"/>
        </w:rPr>
        <w:t xml:space="preserve"> (Accessed: 31 July 2026).</w:t>
      </w:r>
    </w:p>
    <w:p w14:paraId="5E87DC93"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Jensen, M.C. (1986) 'Agency costs of free cash flow, corporate finance, and takeovers', </w:t>
      </w:r>
      <w:r w:rsidRPr="00BD204D">
        <w:rPr>
          <w:rStyle w:val="Emphasis"/>
          <w:color w:val="000000" w:themeColor="text1"/>
        </w:rPr>
        <w:t>American Economic Review</w:t>
      </w:r>
      <w:r w:rsidRPr="00BD204D">
        <w:rPr>
          <w:color w:val="000000" w:themeColor="text1"/>
        </w:rPr>
        <w:t>, 76(2), pp. 323–329.</w:t>
      </w:r>
    </w:p>
    <w:p w14:paraId="1D25DD0E"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Marsh, C. (2012) </w:t>
      </w:r>
      <w:r w:rsidRPr="00BD204D">
        <w:rPr>
          <w:rStyle w:val="Emphasis"/>
          <w:color w:val="000000" w:themeColor="text1"/>
        </w:rPr>
        <w:t>Financial Management for Non-Financial Managers</w:t>
      </w:r>
      <w:r w:rsidRPr="00BD204D">
        <w:rPr>
          <w:color w:val="000000" w:themeColor="text1"/>
        </w:rPr>
        <w:t>. London: Kogan Page.</w:t>
      </w:r>
    </w:p>
    <w:p w14:paraId="509E19E8"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McLaney, E.J. (2011) </w:t>
      </w:r>
      <w:r w:rsidRPr="00BD204D">
        <w:rPr>
          <w:rStyle w:val="Emphasis"/>
          <w:color w:val="000000" w:themeColor="text1"/>
        </w:rPr>
        <w:t>Business Finance: Theory and Practice</w:t>
      </w:r>
      <w:r w:rsidRPr="00BD204D">
        <w:rPr>
          <w:color w:val="000000" w:themeColor="text1"/>
        </w:rPr>
        <w:t>. 9th edn. Harlow: Financial Times Prentice Hall.</w:t>
      </w:r>
    </w:p>
    <w:p w14:paraId="7325F562" w14:textId="77777777" w:rsidR="00DF1635" w:rsidRDefault="00BD204D" w:rsidP="00BD204D">
      <w:pPr>
        <w:pStyle w:val="font-claude-response-body"/>
        <w:spacing w:line="360" w:lineRule="auto"/>
        <w:rPr>
          <w:rFonts w:eastAsiaTheme="minorHAnsi" w:cstheme="minorBidi"/>
          <w:color w:val="000000" w:themeColor="text1"/>
          <w:kern w:val="2"/>
          <w:lang w:eastAsia="en-US"/>
          <w14:ligatures w14:val="standardContextual"/>
        </w:rPr>
      </w:pPr>
      <w:r w:rsidRPr="00BD204D">
        <w:rPr>
          <w:color w:val="000000" w:themeColor="text1"/>
        </w:rPr>
        <w:t xml:space="preserve">Mittelstadt, B.D., Allo, P., Taddeo, M., Wachter, S. and Floridi, L. (2016) 'The ethics of algorithms: mapping the debate', </w:t>
      </w:r>
      <w:r w:rsidRPr="00BD204D">
        <w:rPr>
          <w:rStyle w:val="Emphasis"/>
          <w:color w:val="000000" w:themeColor="text1"/>
        </w:rPr>
        <w:t>Big Data and Society</w:t>
      </w:r>
      <w:r w:rsidRPr="00BD204D">
        <w:rPr>
          <w:color w:val="000000" w:themeColor="text1"/>
        </w:rPr>
        <w:t>, 3(2), pp. 1–21.</w:t>
      </w:r>
      <w:r w:rsidR="00DF1635" w:rsidRPr="00DF1635">
        <w:rPr>
          <w:rFonts w:eastAsiaTheme="minorHAnsi" w:cstheme="minorBidi"/>
          <w:color w:val="000000" w:themeColor="text1"/>
          <w:kern w:val="2"/>
          <w:lang w:eastAsia="en-US"/>
          <w14:ligatures w14:val="standardContextual"/>
        </w:rPr>
        <w:t xml:space="preserve"> </w:t>
      </w:r>
    </w:p>
    <w:p w14:paraId="5183702B" w14:textId="1243A56B" w:rsidR="00DF1635" w:rsidRDefault="00DF1635" w:rsidP="00BD204D">
      <w:pPr>
        <w:pStyle w:val="font-claude-response-body"/>
        <w:spacing w:line="360" w:lineRule="auto"/>
        <w:rPr>
          <w:color w:val="000000" w:themeColor="text1"/>
        </w:rPr>
      </w:pPr>
      <w:r w:rsidRPr="00DF1635">
        <w:rPr>
          <w:color w:val="000000" w:themeColor="text1"/>
        </w:rPr>
        <w:t xml:space="preserve">Modigliani, F. and Miller, M.H. (1963) 'Corporate income taxes and the cost of capital: a correction', </w:t>
      </w:r>
      <w:r w:rsidRPr="00DF1635">
        <w:rPr>
          <w:i/>
          <w:iCs/>
          <w:color w:val="000000" w:themeColor="text1"/>
        </w:rPr>
        <w:t>American Economic Review</w:t>
      </w:r>
      <w:r w:rsidRPr="00DF1635">
        <w:rPr>
          <w:color w:val="000000" w:themeColor="text1"/>
        </w:rPr>
        <w:t>, 53(3), pp. 433–443.</w:t>
      </w:r>
    </w:p>
    <w:p w14:paraId="2F16532D" w14:textId="11B1151B" w:rsidR="00BD204D" w:rsidRPr="00BD204D" w:rsidRDefault="00BD204D" w:rsidP="00BD204D">
      <w:pPr>
        <w:pStyle w:val="font-claude-response-body"/>
        <w:spacing w:line="360" w:lineRule="auto"/>
        <w:rPr>
          <w:color w:val="000000" w:themeColor="text1"/>
        </w:rPr>
      </w:pPr>
      <w:r w:rsidRPr="00BD204D">
        <w:rPr>
          <w:color w:val="000000" w:themeColor="text1"/>
        </w:rPr>
        <w:t xml:space="preserve">Myers, S.C. (1984) 'The capital structure puzzle', </w:t>
      </w:r>
      <w:r w:rsidRPr="00BD204D">
        <w:rPr>
          <w:rStyle w:val="Emphasis"/>
          <w:color w:val="000000" w:themeColor="text1"/>
        </w:rPr>
        <w:t>Journal of Finance</w:t>
      </w:r>
      <w:r w:rsidRPr="00BD204D">
        <w:rPr>
          <w:color w:val="000000" w:themeColor="text1"/>
        </w:rPr>
        <w:t>, 39(3), pp. 574–592.</w:t>
      </w:r>
    </w:p>
    <w:p w14:paraId="0681A4AA"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Pike, R., Neale, B. and Linsley, P. (2018) </w:t>
      </w:r>
      <w:r w:rsidRPr="00BD204D">
        <w:rPr>
          <w:rStyle w:val="Emphasis"/>
          <w:color w:val="000000" w:themeColor="text1"/>
        </w:rPr>
        <w:t>Corporate Finance and Investment: Decisions and Strategies</w:t>
      </w:r>
      <w:r w:rsidRPr="00BD204D">
        <w:rPr>
          <w:color w:val="000000" w:themeColor="text1"/>
        </w:rPr>
        <w:t>. 9th edn. Harlow: Pearson Education.</w:t>
      </w:r>
    </w:p>
    <w:p w14:paraId="3696D3E4"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Ross, S.A. (1995) 'Uses, abuses, and alternatives to the net-present-value rule', </w:t>
      </w:r>
      <w:r w:rsidRPr="00BD204D">
        <w:rPr>
          <w:rStyle w:val="Emphasis"/>
          <w:color w:val="000000" w:themeColor="text1"/>
        </w:rPr>
        <w:t>Financial Management</w:t>
      </w:r>
      <w:r w:rsidRPr="00BD204D">
        <w:rPr>
          <w:color w:val="000000" w:themeColor="text1"/>
        </w:rPr>
        <w:t>, 24(3), pp. 96–102.</w:t>
      </w:r>
    </w:p>
    <w:p w14:paraId="534BAC44"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Watson, D. and Head, A. (2019) </w:t>
      </w:r>
      <w:r w:rsidRPr="00BD204D">
        <w:rPr>
          <w:rStyle w:val="Emphasis"/>
          <w:color w:val="000000" w:themeColor="text1"/>
        </w:rPr>
        <w:t>Corporate Finance: Principles and Practice</w:t>
      </w:r>
      <w:r w:rsidRPr="00BD204D">
        <w:rPr>
          <w:color w:val="000000" w:themeColor="text1"/>
        </w:rPr>
        <w:t>. 8th edn. Harlow: Pearson Education.</w:t>
      </w:r>
    </w:p>
    <w:p w14:paraId="191C8FC3"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Weetman, P. (2013) </w:t>
      </w:r>
      <w:r w:rsidRPr="00BD204D">
        <w:rPr>
          <w:rStyle w:val="Emphasis"/>
          <w:color w:val="000000" w:themeColor="text1"/>
        </w:rPr>
        <w:t>Financial and Management Accounting: An Introduction</w:t>
      </w:r>
      <w:r w:rsidRPr="00BD204D">
        <w:rPr>
          <w:color w:val="000000" w:themeColor="text1"/>
        </w:rPr>
        <w:t>. 6th edn. Harlow: Pearson Education.</w:t>
      </w:r>
    </w:p>
    <w:p w14:paraId="77C3E442"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Whitbread PLC (2022) </w:t>
      </w:r>
      <w:r w:rsidRPr="00BD204D">
        <w:rPr>
          <w:rStyle w:val="Emphasis"/>
          <w:color w:val="000000" w:themeColor="text1"/>
        </w:rPr>
        <w:t>Annual Report and Accounts 2021/22</w:t>
      </w:r>
      <w:r w:rsidRPr="00BD204D">
        <w:rPr>
          <w:color w:val="000000" w:themeColor="text1"/>
        </w:rPr>
        <w:t xml:space="preserve">. Available at: </w:t>
      </w:r>
      <w:hyperlink r:id="rId22" w:history="1">
        <w:r w:rsidRPr="00BD204D">
          <w:rPr>
            <w:rStyle w:val="Hyperlink"/>
            <w:color w:val="000000" w:themeColor="text1"/>
          </w:rPr>
          <w:t>https://cdn.whitbread.co.uk/media/2022/05/Whitbread_AR21-1.pdf</w:t>
        </w:r>
      </w:hyperlink>
      <w:r w:rsidRPr="00BD204D">
        <w:rPr>
          <w:color w:val="000000" w:themeColor="text1"/>
        </w:rPr>
        <w:t xml:space="preserve"> (Accessed: 14 July 2026).</w:t>
      </w:r>
    </w:p>
    <w:p w14:paraId="3118AF90" w14:textId="77777777" w:rsidR="00BD204D" w:rsidRPr="00BD204D" w:rsidRDefault="00BD204D" w:rsidP="00BD204D">
      <w:pPr>
        <w:pStyle w:val="font-claude-response-body"/>
        <w:spacing w:line="360" w:lineRule="auto"/>
        <w:rPr>
          <w:color w:val="000000" w:themeColor="text1"/>
        </w:rPr>
      </w:pPr>
      <w:r w:rsidRPr="00BD204D">
        <w:rPr>
          <w:color w:val="000000" w:themeColor="text1"/>
        </w:rPr>
        <w:lastRenderedPageBreak/>
        <w:t xml:space="preserve">Whitbread PLC (2023) </w:t>
      </w:r>
      <w:r w:rsidRPr="00BD204D">
        <w:rPr>
          <w:rStyle w:val="Emphasis"/>
          <w:color w:val="000000" w:themeColor="text1"/>
        </w:rPr>
        <w:t>Annual Report and Accounts 2022/23</w:t>
      </w:r>
      <w:r w:rsidRPr="00BD204D">
        <w:rPr>
          <w:color w:val="000000" w:themeColor="text1"/>
        </w:rPr>
        <w:t xml:space="preserve">. Available at: </w:t>
      </w:r>
      <w:hyperlink r:id="rId23" w:history="1">
        <w:r w:rsidRPr="00BD204D">
          <w:rPr>
            <w:rStyle w:val="Hyperlink"/>
            <w:color w:val="000000" w:themeColor="text1"/>
          </w:rPr>
          <w:t>https://cdn.whitbread.co.uk/media/2023/05/Whitbread_AR22_Interactive.pdf</w:t>
        </w:r>
      </w:hyperlink>
      <w:r w:rsidRPr="00BD204D">
        <w:rPr>
          <w:color w:val="000000" w:themeColor="text1"/>
        </w:rPr>
        <w:t xml:space="preserve"> (Accessed: 14 July 2026).</w:t>
      </w:r>
    </w:p>
    <w:p w14:paraId="1B13FD42"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Whitbread PLC (2024) </w:t>
      </w:r>
      <w:r w:rsidRPr="00BD204D">
        <w:rPr>
          <w:rStyle w:val="Emphasis"/>
          <w:color w:val="000000" w:themeColor="text1"/>
        </w:rPr>
        <w:t>Annual Report and Accounts 2023/24</w:t>
      </w:r>
      <w:r w:rsidRPr="00BD204D">
        <w:rPr>
          <w:color w:val="000000" w:themeColor="text1"/>
        </w:rPr>
        <w:t xml:space="preserve">. Available at: </w:t>
      </w:r>
      <w:hyperlink r:id="rId24" w:history="1">
        <w:r w:rsidRPr="00BD204D">
          <w:rPr>
            <w:rStyle w:val="Hyperlink"/>
            <w:color w:val="000000" w:themeColor="text1"/>
          </w:rPr>
          <w:t>https://cdn.whitbread.co.uk/media/2024/05/Whitbread-PLC-Annual-Report-and-Accounts-2023_Single_pages-1.pdf</w:t>
        </w:r>
      </w:hyperlink>
      <w:r w:rsidRPr="00BD204D">
        <w:rPr>
          <w:color w:val="000000" w:themeColor="text1"/>
        </w:rPr>
        <w:t xml:space="preserve"> (Accessed: 16 July 2026).</w:t>
      </w:r>
    </w:p>
    <w:p w14:paraId="68E78D90"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Whitbread PLC (2025) </w:t>
      </w:r>
      <w:r w:rsidRPr="00BD204D">
        <w:rPr>
          <w:rStyle w:val="Emphasis"/>
          <w:color w:val="000000" w:themeColor="text1"/>
        </w:rPr>
        <w:t>Annual Report and Accounts 2024/25</w:t>
      </w:r>
      <w:r w:rsidRPr="00BD204D">
        <w:rPr>
          <w:color w:val="000000" w:themeColor="text1"/>
        </w:rPr>
        <w:t xml:space="preserve">. Available at: </w:t>
      </w:r>
      <w:hyperlink r:id="rId25" w:history="1">
        <w:r w:rsidRPr="00BD204D">
          <w:rPr>
            <w:rStyle w:val="Hyperlink"/>
            <w:color w:val="000000" w:themeColor="text1"/>
          </w:rPr>
          <w:t>https://cdn.whitbread.co.uk/media/2025/05/Whitbread-PLC-Annual-Report-and-Accounts-2024-25.pdf</w:t>
        </w:r>
      </w:hyperlink>
      <w:r w:rsidRPr="00BD204D">
        <w:rPr>
          <w:color w:val="000000" w:themeColor="text1"/>
        </w:rPr>
        <w:t xml:space="preserve"> (Accessed: 16 July 2026).</w:t>
      </w:r>
    </w:p>
    <w:p w14:paraId="162EBD2F" w14:textId="77777777" w:rsidR="00BD204D" w:rsidRPr="00BD204D" w:rsidRDefault="00BD204D" w:rsidP="00BD204D">
      <w:pPr>
        <w:pStyle w:val="font-claude-response-body"/>
        <w:spacing w:line="360" w:lineRule="auto"/>
        <w:rPr>
          <w:color w:val="000000" w:themeColor="text1"/>
        </w:rPr>
      </w:pPr>
      <w:r w:rsidRPr="00BD204D">
        <w:rPr>
          <w:color w:val="000000" w:themeColor="text1"/>
        </w:rPr>
        <w:t xml:space="preserve">Whitbread PLC (2026) </w:t>
      </w:r>
      <w:r w:rsidRPr="00BD204D">
        <w:rPr>
          <w:rStyle w:val="Emphasis"/>
          <w:color w:val="000000" w:themeColor="text1"/>
        </w:rPr>
        <w:t>Annual Report and Accounts 2025/26</w:t>
      </w:r>
      <w:r w:rsidRPr="00BD204D">
        <w:rPr>
          <w:color w:val="000000" w:themeColor="text1"/>
        </w:rPr>
        <w:t xml:space="preserve">. Available at: </w:t>
      </w:r>
      <w:hyperlink r:id="rId26" w:history="1">
        <w:r w:rsidRPr="00BD204D">
          <w:rPr>
            <w:rStyle w:val="Hyperlink"/>
            <w:color w:val="000000" w:themeColor="text1"/>
          </w:rPr>
          <w:t>https://cdn.whitbread.co.uk/media/2026/05/Whitbread-PLC-Annual-Report-and-Accounts-2025-26.pdf</w:t>
        </w:r>
      </w:hyperlink>
      <w:r w:rsidRPr="00BD204D">
        <w:rPr>
          <w:color w:val="000000" w:themeColor="text1"/>
        </w:rPr>
        <w:t xml:space="preserve"> (Accessed: 18 July 2026).</w:t>
      </w:r>
    </w:p>
    <w:p w14:paraId="28533F6E" w14:textId="77777777" w:rsidR="0082333F" w:rsidRPr="0082333F" w:rsidRDefault="0082333F" w:rsidP="007B6C6E"/>
    <w:p w14:paraId="2AFE5180" w14:textId="77777777" w:rsidR="000D05E7" w:rsidRDefault="000D05E7" w:rsidP="000D05E7">
      <w:pPr>
        <w:rPr>
          <w:b/>
          <w:bCs/>
        </w:rPr>
      </w:pPr>
    </w:p>
    <w:p w14:paraId="256DCA10" w14:textId="77777777" w:rsidR="000D05E7" w:rsidRDefault="000D05E7" w:rsidP="000D05E7">
      <w:pPr>
        <w:rPr>
          <w:b/>
          <w:bCs/>
        </w:rPr>
      </w:pPr>
    </w:p>
    <w:p w14:paraId="4DF85F48" w14:textId="77777777" w:rsidR="004B578F" w:rsidRDefault="004B578F" w:rsidP="000D05E7">
      <w:pPr>
        <w:rPr>
          <w:b/>
          <w:bCs/>
        </w:rPr>
      </w:pPr>
    </w:p>
    <w:p w14:paraId="6F8AAEFE" w14:textId="77777777" w:rsidR="004B578F" w:rsidRDefault="004B578F" w:rsidP="000D05E7">
      <w:pPr>
        <w:rPr>
          <w:b/>
          <w:bCs/>
        </w:rPr>
      </w:pPr>
    </w:p>
    <w:p w14:paraId="558D744C" w14:textId="77777777" w:rsidR="004B578F" w:rsidRDefault="004B578F" w:rsidP="000D05E7">
      <w:pPr>
        <w:rPr>
          <w:b/>
          <w:bCs/>
        </w:rPr>
      </w:pPr>
    </w:p>
    <w:p w14:paraId="32273087" w14:textId="77777777" w:rsidR="004B578F" w:rsidRDefault="004B578F" w:rsidP="000D05E7">
      <w:pPr>
        <w:rPr>
          <w:b/>
          <w:bCs/>
        </w:rPr>
      </w:pPr>
    </w:p>
    <w:p w14:paraId="7E964150" w14:textId="77777777" w:rsidR="004B578F" w:rsidRDefault="004B578F" w:rsidP="000D05E7">
      <w:pPr>
        <w:rPr>
          <w:b/>
          <w:bCs/>
        </w:rPr>
      </w:pPr>
    </w:p>
    <w:p w14:paraId="796157DD" w14:textId="77777777" w:rsidR="004B578F" w:rsidRDefault="004B578F" w:rsidP="000D05E7">
      <w:pPr>
        <w:rPr>
          <w:b/>
          <w:bCs/>
        </w:rPr>
      </w:pPr>
    </w:p>
    <w:p w14:paraId="6658E99A" w14:textId="77777777" w:rsidR="004B578F" w:rsidRDefault="004B578F" w:rsidP="000D05E7">
      <w:pPr>
        <w:rPr>
          <w:b/>
          <w:bCs/>
        </w:rPr>
      </w:pPr>
    </w:p>
    <w:p w14:paraId="25F47B44" w14:textId="77777777" w:rsidR="004B578F" w:rsidRDefault="004B578F" w:rsidP="000D05E7">
      <w:pPr>
        <w:rPr>
          <w:b/>
          <w:bCs/>
        </w:rPr>
      </w:pPr>
    </w:p>
    <w:p w14:paraId="6E1922AB" w14:textId="77777777" w:rsidR="004B578F" w:rsidRDefault="004B578F" w:rsidP="000D05E7">
      <w:pPr>
        <w:rPr>
          <w:b/>
          <w:bCs/>
        </w:rPr>
      </w:pPr>
    </w:p>
    <w:p w14:paraId="6B2CC1FF" w14:textId="77777777" w:rsidR="004B578F" w:rsidRDefault="004B578F" w:rsidP="000D05E7">
      <w:pPr>
        <w:rPr>
          <w:b/>
          <w:bCs/>
        </w:rPr>
      </w:pPr>
    </w:p>
    <w:p w14:paraId="43CB8F1D" w14:textId="4F554B12" w:rsidR="004B578F" w:rsidRDefault="004B578F" w:rsidP="004B578F">
      <w:pPr>
        <w:pStyle w:val="Heading1"/>
        <w:numPr>
          <w:ilvl w:val="0"/>
          <w:numId w:val="0"/>
        </w:numPr>
        <w:ind w:left="432"/>
      </w:pPr>
      <w:bookmarkStart w:id="48" w:name="_Toc237514463"/>
      <w:r>
        <w:t>Appendix A:</w:t>
      </w:r>
      <w:r w:rsidRPr="004B578F">
        <w:t xml:space="preserve"> Five-year summary financial data</w:t>
      </w:r>
      <w:bookmarkEnd w:id="48"/>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1120"/>
        <w:gridCol w:w="1120"/>
        <w:gridCol w:w="1120"/>
        <w:gridCol w:w="1120"/>
        <w:gridCol w:w="1120"/>
      </w:tblGrid>
      <w:tr w:rsidR="004B578F" w14:paraId="6F629BF1" w14:textId="77777777" w:rsidTr="004B578F">
        <w:trPr>
          <w:tblHeader/>
        </w:trPr>
        <w:tc>
          <w:tcPr>
            <w:tcW w:w="3400" w:type="dxa"/>
            <w:shd w:val="clear" w:color="auto" w:fill="1F3864"/>
            <w:tcMar>
              <w:top w:w="60" w:type="dxa"/>
              <w:left w:w="90" w:type="dxa"/>
              <w:bottom w:w="60" w:type="dxa"/>
              <w:right w:w="90" w:type="dxa"/>
            </w:tcMar>
            <w:vAlign w:val="center"/>
          </w:tcPr>
          <w:p w14:paraId="18BEC98D"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 million</w:t>
            </w:r>
          </w:p>
        </w:tc>
        <w:tc>
          <w:tcPr>
            <w:tcW w:w="1120" w:type="dxa"/>
            <w:shd w:val="clear" w:color="auto" w:fill="1F3864"/>
            <w:tcMar>
              <w:top w:w="60" w:type="dxa"/>
              <w:left w:w="90" w:type="dxa"/>
              <w:bottom w:w="60" w:type="dxa"/>
              <w:right w:w="90" w:type="dxa"/>
            </w:tcMar>
            <w:vAlign w:val="center"/>
          </w:tcPr>
          <w:p w14:paraId="6A46E7EF"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FY2022</w:t>
            </w:r>
          </w:p>
        </w:tc>
        <w:tc>
          <w:tcPr>
            <w:tcW w:w="1120" w:type="dxa"/>
            <w:shd w:val="clear" w:color="auto" w:fill="1F3864"/>
            <w:tcMar>
              <w:top w:w="60" w:type="dxa"/>
              <w:left w:w="90" w:type="dxa"/>
              <w:bottom w:w="60" w:type="dxa"/>
              <w:right w:w="90" w:type="dxa"/>
            </w:tcMar>
            <w:vAlign w:val="center"/>
          </w:tcPr>
          <w:p w14:paraId="3D3CA121"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FY2023</w:t>
            </w:r>
          </w:p>
        </w:tc>
        <w:tc>
          <w:tcPr>
            <w:tcW w:w="1120" w:type="dxa"/>
            <w:shd w:val="clear" w:color="auto" w:fill="1F3864"/>
            <w:tcMar>
              <w:top w:w="60" w:type="dxa"/>
              <w:left w:w="90" w:type="dxa"/>
              <w:bottom w:w="60" w:type="dxa"/>
              <w:right w:w="90" w:type="dxa"/>
            </w:tcMar>
            <w:vAlign w:val="center"/>
          </w:tcPr>
          <w:p w14:paraId="59FE38A4"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FY2024</w:t>
            </w:r>
          </w:p>
        </w:tc>
        <w:tc>
          <w:tcPr>
            <w:tcW w:w="1120" w:type="dxa"/>
            <w:shd w:val="clear" w:color="auto" w:fill="1F3864"/>
            <w:tcMar>
              <w:top w:w="60" w:type="dxa"/>
              <w:left w:w="90" w:type="dxa"/>
              <w:bottom w:w="60" w:type="dxa"/>
              <w:right w:w="90" w:type="dxa"/>
            </w:tcMar>
            <w:vAlign w:val="center"/>
          </w:tcPr>
          <w:p w14:paraId="08CFDAA0"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FY2025</w:t>
            </w:r>
          </w:p>
        </w:tc>
        <w:tc>
          <w:tcPr>
            <w:tcW w:w="1120" w:type="dxa"/>
            <w:shd w:val="clear" w:color="auto" w:fill="1F3864"/>
            <w:tcMar>
              <w:top w:w="60" w:type="dxa"/>
              <w:left w:w="90" w:type="dxa"/>
              <w:bottom w:w="60" w:type="dxa"/>
              <w:right w:w="90" w:type="dxa"/>
            </w:tcMar>
            <w:vAlign w:val="center"/>
          </w:tcPr>
          <w:p w14:paraId="2902E6F2" w14:textId="77777777" w:rsidR="004B578F" w:rsidRPr="004B578F" w:rsidRDefault="004B578F" w:rsidP="004B578F">
            <w:pPr>
              <w:jc w:val="center"/>
              <w:rPr>
                <w:sz w:val="18"/>
                <w:szCs w:val="18"/>
              </w:rPr>
            </w:pPr>
            <w:r w:rsidRPr="004B578F">
              <w:rPr>
                <w:rFonts w:ascii="Calibri" w:eastAsia="Calibri" w:hAnsi="Calibri" w:cs="Calibri"/>
                <w:b/>
                <w:bCs/>
                <w:color w:val="FFFFFF"/>
                <w:sz w:val="18"/>
                <w:szCs w:val="18"/>
              </w:rPr>
              <w:t>FY2026</w:t>
            </w:r>
          </w:p>
        </w:tc>
      </w:tr>
      <w:tr w:rsidR="004B578F" w14:paraId="1249F943" w14:textId="77777777" w:rsidTr="004B578F">
        <w:tc>
          <w:tcPr>
            <w:tcW w:w="3400" w:type="dxa"/>
            <w:shd w:val="clear" w:color="auto" w:fill="FFFFFF"/>
            <w:tcMar>
              <w:top w:w="60" w:type="dxa"/>
              <w:left w:w="90" w:type="dxa"/>
              <w:bottom w:w="60" w:type="dxa"/>
              <w:right w:w="90" w:type="dxa"/>
            </w:tcMar>
            <w:vAlign w:val="center"/>
          </w:tcPr>
          <w:p w14:paraId="3505581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Revenue</w:t>
            </w:r>
          </w:p>
        </w:tc>
        <w:tc>
          <w:tcPr>
            <w:tcW w:w="1120" w:type="dxa"/>
            <w:shd w:val="clear" w:color="auto" w:fill="FFFFFF"/>
            <w:tcMar>
              <w:top w:w="60" w:type="dxa"/>
              <w:left w:w="90" w:type="dxa"/>
              <w:bottom w:w="60" w:type="dxa"/>
              <w:right w:w="90" w:type="dxa"/>
            </w:tcMar>
            <w:vAlign w:val="center"/>
          </w:tcPr>
          <w:p w14:paraId="29109D8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1,703.4</w:t>
            </w:r>
          </w:p>
        </w:tc>
        <w:tc>
          <w:tcPr>
            <w:tcW w:w="1120" w:type="dxa"/>
            <w:shd w:val="clear" w:color="auto" w:fill="FFFFFF"/>
            <w:tcMar>
              <w:top w:w="60" w:type="dxa"/>
              <w:left w:w="90" w:type="dxa"/>
              <w:bottom w:w="60" w:type="dxa"/>
              <w:right w:w="90" w:type="dxa"/>
            </w:tcMar>
            <w:vAlign w:val="center"/>
          </w:tcPr>
          <w:p w14:paraId="7D79237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2,625.2</w:t>
            </w:r>
          </w:p>
        </w:tc>
        <w:tc>
          <w:tcPr>
            <w:tcW w:w="1120" w:type="dxa"/>
            <w:shd w:val="clear" w:color="auto" w:fill="FFFFFF"/>
            <w:tcMar>
              <w:top w:w="60" w:type="dxa"/>
              <w:left w:w="90" w:type="dxa"/>
              <w:bottom w:w="60" w:type="dxa"/>
              <w:right w:w="90" w:type="dxa"/>
            </w:tcMar>
            <w:vAlign w:val="center"/>
          </w:tcPr>
          <w:p w14:paraId="2B52154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2,959.9</w:t>
            </w:r>
          </w:p>
        </w:tc>
        <w:tc>
          <w:tcPr>
            <w:tcW w:w="1120" w:type="dxa"/>
            <w:shd w:val="clear" w:color="auto" w:fill="FFFFFF"/>
            <w:tcMar>
              <w:top w:w="60" w:type="dxa"/>
              <w:left w:w="90" w:type="dxa"/>
              <w:bottom w:w="60" w:type="dxa"/>
              <w:right w:w="90" w:type="dxa"/>
            </w:tcMar>
            <w:vAlign w:val="center"/>
          </w:tcPr>
          <w:p w14:paraId="0707DDB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2,921.9</w:t>
            </w:r>
          </w:p>
        </w:tc>
        <w:tc>
          <w:tcPr>
            <w:tcW w:w="1120" w:type="dxa"/>
            <w:shd w:val="clear" w:color="auto" w:fill="FFFFFF"/>
            <w:tcMar>
              <w:top w:w="60" w:type="dxa"/>
              <w:left w:w="90" w:type="dxa"/>
              <w:bottom w:w="60" w:type="dxa"/>
              <w:right w:w="90" w:type="dxa"/>
            </w:tcMar>
            <w:vAlign w:val="center"/>
          </w:tcPr>
          <w:p w14:paraId="53D0F4B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2,920.2</w:t>
            </w:r>
          </w:p>
        </w:tc>
      </w:tr>
      <w:tr w:rsidR="004B578F" w14:paraId="62A53E12" w14:textId="77777777" w:rsidTr="004B578F">
        <w:tc>
          <w:tcPr>
            <w:tcW w:w="3400" w:type="dxa"/>
            <w:shd w:val="clear" w:color="auto" w:fill="EAEEF5"/>
            <w:tcMar>
              <w:top w:w="60" w:type="dxa"/>
              <w:left w:w="90" w:type="dxa"/>
              <w:bottom w:w="60" w:type="dxa"/>
              <w:right w:w="90" w:type="dxa"/>
            </w:tcMar>
            <w:vAlign w:val="center"/>
          </w:tcPr>
          <w:p w14:paraId="3AEC49D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Other income</w:t>
            </w:r>
          </w:p>
        </w:tc>
        <w:tc>
          <w:tcPr>
            <w:tcW w:w="1120" w:type="dxa"/>
            <w:shd w:val="clear" w:color="auto" w:fill="EAEEF5"/>
            <w:tcMar>
              <w:top w:w="60" w:type="dxa"/>
              <w:left w:w="90" w:type="dxa"/>
              <w:bottom w:w="60" w:type="dxa"/>
              <w:right w:w="90" w:type="dxa"/>
            </w:tcMar>
            <w:vAlign w:val="center"/>
          </w:tcPr>
          <w:p w14:paraId="15D8C5E6"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131.1</w:t>
            </w:r>
          </w:p>
        </w:tc>
        <w:tc>
          <w:tcPr>
            <w:tcW w:w="1120" w:type="dxa"/>
            <w:shd w:val="clear" w:color="auto" w:fill="EAEEF5"/>
            <w:tcMar>
              <w:top w:w="60" w:type="dxa"/>
              <w:left w:w="90" w:type="dxa"/>
              <w:bottom w:w="60" w:type="dxa"/>
              <w:right w:w="90" w:type="dxa"/>
            </w:tcMar>
            <w:vAlign w:val="center"/>
          </w:tcPr>
          <w:p w14:paraId="382CBC6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12.7</w:t>
            </w:r>
          </w:p>
        </w:tc>
        <w:tc>
          <w:tcPr>
            <w:tcW w:w="1120" w:type="dxa"/>
            <w:shd w:val="clear" w:color="auto" w:fill="EAEEF5"/>
            <w:tcMar>
              <w:top w:w="60" w:type="dxa"/>
              <w:left w:w="90" w:type="dxa"/>
              <w:bottom w:w="60" w:type="dxa"/>
              <w:right w:w="90" w:type="dxa"/>
            </w:tcMar>
            <w:vAlign w:val="center"/>
          </w:tcPr>
          <w:p w14:paraId="2744AFE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13.6</w:t>
            </w:r>
          </w:p>
        </w:tc>
        <w:tc>
          <w:tcPr>
            <w:tcW w:w="1120" w:type="dxa"/>
            <w:shd w:val="clear" w:color="auto" w:fill="EAEEF5"/>
            <w:tcMar>
              <w:top w:w="60" w:type="dxa"/>
              <w:left w:w="90" w:type="dxa"/>
              <w:bottom w:w="60" w:type="dxa"/>
              <w:right w:w="90" w:type="dxa"/>
            </w:tcMar>
            <w:vAlign w:val="center"/>
          </w:tcPr>
          <w:p w14:paraId="111E289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7.4</w:t>
            </w:r>
          </w:p>
        </w:tc>
        <w:tc>
          <w:tcPr>
            <w:tcW w:w="1120" w:type="dxa"/>
            <w:shd w:val="clear" w:color="auto" w:fill="EAEEF5"/>
            <w:tcMar>
              <w:top w:w="60" w:type="dxa"/>
              <w:left w:w="90" w:type="dxa"/>
              <w:bottom w:w="60" w:type="dxa"/>
              <w:right w:w="90" w:type="dxa"/>
            </w:tcMar>
            <w:vAlign w:val="center"/>
          </w:tcPr>
          <w:p w14:paraId="4D08B8C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9.2</w:t>
            </w:r>
          </w:p>
        </w:tc>
      </w:tr>
      <w:tr w:rsidR="004B578F" w14:paraId="7297EE08" w14:textId="77777777" w:rsidTr="004B578F">
        <w:tc>
          <w:tcPr>
            <w:tcW w:w="3400" w:type="dxa"/>
            <w:shd w:val="clear" w:color="auto" w:fill="FFFFFF"/>
            <w:tcMar>
              <w:top w:w="60" w:type="dxa"/>
              <w:left w:w="90" w:type="dxa"/>
              <w:bottom w:w="60" w:type="dxa"/>
              <w:right w:w="90" w:type="dxa"/>
            </w:tcMar>
            <w:vAlign w:val="center"/>
          </w:tcPr>
          <w:p w14:paraId="784B36F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Operating costs</w:t>
            </w:r>
          </w:p>
        </w:tc>
        <w:tc>
          <w:tcPr>
            <w:tcW w:w="1120" w:type="dxa"/>
            <w:shd w:val="clear" w:color="auto" w:fill="FFFFFF"/>
            <w:tcMar>
              <w:top w:w="60" w:type="dxa"/>
              <w:left w:w="90" w:type="dxa"/>
              <w:bottom w:w="60" w:type="dxa"/>
              <w:right w:w="90" w:type="dxa"/>
            </w:tcMar>
            <w:vAlign w:val="center"/>
          </w:tcPr>
          <w:p w14:paraId="7887A5C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1,605.8</w:t>
            </w:r>
          </w:p>
        </w:tc>
        <w:tc>
          <w:tcPr>
            <w:tcW w:w="1120" w:type="dxa"/>
            <w:shd w:val="clear" w:color="auto" w:fill="FFFFFF"/>
            <w:tcMar>
              <w:top w:w="60" w:type="dxa"/>
              <w:left w:w="90" w:type="dxa"/>
              <w:bottom w:w="60" w:type="dxa"/>
              <w:right w:w="90" w:type="dxa"/>
            </w:tcMar>
            <w:vAlign w:val="center"/>
          </w:tcPr>
          <w:p w14:paraId="06F072D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2,133.7</w:t>
            </w:r>
          </w:p>
        </w:tc>
        <w:tc>
          <w:tcPr>
            <w:tcW w:w="1120" w:type="dxa"/>
            <w:shd w:val="clear" w:color="auto" w:fill="FFFFFF"/>
            <w:tcMar>
              <w:top w:w="60" w:type="dxa"/>
              <w:left w:w="90" w:type="dxa"/>
              <w:bottom w:w="60" w:type="dxa"/>
              <w:right w:w="90" w:type="dxa"/>
            </w:tcMar>
            <w:vAlign w:val="center"/>
          </w:tcPr>
          <w:p w14:paraId="5172024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2,421.7</w:t>
            </w:r>
          </w:p>
        </w:tc>
        <w:tc>
          <w:tcPr>
            <w:tcW w:w="1120" w:type="dxa"/>
            <w:shd w:val="clear" w:color="auto" w:fill="FFFFFF"/>
            <w:tcMar>
              <w:top w:w="60" w:type="dxa"/>
              <w:left w:w="90" w:type="dxa"/>
              <w:bottom w:w="60" w:type="dxa"/>
              <w:right w:w="90" w:type="dxa"/>
            </w:tcMar>
            <w:vAlign w:val="center"/>
          </w:tcPr>
          <w:p w14:paraId="1DCD969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2,420.0</w:t>
            </w:r>
          </w:p>
        </w:tc>
        <w:tc>
          <w:tcPr>
            <w:tcW w:w="1120" w:type="dxa"/>
            <w:shd w:val="clear" w:color="auto" w:fill="FFFFFF"/>
            <w:tcMar>
              <w:top w:w="60" w:type="dxa"/>
              <w:left w:w="90" w:type="dxa"/>
              <w:bottom w:w="60" w:type="dxa"/>
              <w:right w:w="90" w:type="dxa"/>
            </w:tcMar>
            <w:vAlign w:val="center"/>
          </w:tcPr>
          <w:p w14:paraId="7317C97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2,469.9</w:t>
            </w:r>
          </w:p>
        </w:tc>
      </w:tr>
      <w:tr w:rsidR="004B578F" w14:paraId="20987807" w14:textId="77777777" w:rsidTr="004B578F">
        <w:tc>
          <w:tcPr>
            <w:tcW w:w="3400" w:type="dxa"/>
            <w:shd w:val="clear" w:color="auto" w:fill="EAEEF5"/>
            <w:tcMar>
              <w:top w:w="60" w:type="dxa"/>
              <w:left w:w="90" w:type="dxa"/>
              <w:bottom w:w="60" w:type="dxa"/>
              <w:right w:w="90" w:type="dxa"/>
            </w:tcMar>
            <w:vAlign w:val="center"/>
          </w:tcPr>
          <w:p w14:paraId="49939E0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Statutory operating profit</w:t>
            </w:r>
          </w:p>
        </w:tc>
        <w:tc>
          <w:tcPr>
            <w:tcW w:w="1120" w:type="dxa"/>
            <w:shd w:val="clear" w:color="auto" w:fill="EAEEF5"/>
            <w:tcMar>
              <w:top w:w="60" w:type="dxa"/>
              <w:left w:w="90" w:type="dxa"/>
              <w:bottom w:w="60" w:type="dxa"/>
              <w:right w:w="90" w:type="dxa"/>
            </w:tcMar>
            <w:vAlign w:val="center"/>
          </w:tcPr>
          <w:p w14:paraId="3F21FC0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227.3</w:t>
            </w:r>
          </w:p>
        </w:tc>
        <w:tc>
          <w:tcPr>
            <w:tcW w:w="1120" w:type="dxa"/>
            <w:shd w:val="clear" w:color="auto" w:fill="EAEEF5"/>
            <w:tcMar>
              <w:top w:w="60" w:type="dxa"/>
              <w:left w:w="90" w:type="dxa"/>
              <w:bottom w:w="60" w:type="dxa"/>
              <w:right w:w="90" w:type="dxa"/>
            </w:tcMar>
            <w:vAlign w:val="center"/>
          </w:tcPr>
          <w:p w14:paraId="15CFA7E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505.0</w:t>
            </w:r>
          </w:p>
        </w:tc>
        <w:tc>
          <w:tcPr>
            <w:tcW w:w="1120" w:type="dxa"/>
            <w:shd w:val="clear" w:color="auto" w:fill="EAEEF5"/>
            <w:tcMar>
              <w:top w:w="60" w:type="dxa"/>
              <w:left w:w="90" w:type="dxa"/>
              <w:bottom w:w="60" w:type="dxa"/>
              <w:right w:w="90" w:type="dxa"/>
            </w:tcMar>
            <w:vAlign w:val="center"/>
          </w:tcPr>
          <w:p w14:paraId="5A69750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564.8</w:t>
            </w:r>
          </w:p>
        </w:tc>
        <w:tc>
          <w:tcPr>
            <w:tcW w:w="1120" w:type="dxa"/>
            <w:shd w:val="clear" w:color="auto" w:fill="EAEEF5"/>
            <w:tcMar>
              <w:top w:w="60" w:type="dxa"/>
              <w:left w:w="90" w:type="dxa"/>
              <w:bottom w:w="60" w:type="dxa"/>
              <w:right w:w="90" w:type="dxa"/>
            </w:tcMar>
            <w:vAlign w:val="center"/>
          </w:tcPr>
          <w:p w14:paraId="1ABB702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514.0</w:t>
            </w:r>
          </w:p>
        </w:tc>
        <w:tc>
          <w:tcPr>
            <w:tcW w:w="1120" w:type="dxa"/>
            <w:shd w:val="clear" w:color="auto" w:fill="EAEEF5"/>
            <w:tcMar>
              <w:top w:w="60" w:type="dxa"/>
              <w:left w:w="90" w:type="dxa"/>
              <w:bottom w:w="60" w:type="dxa"/>
              <w:right w:w="90" w:type="dxa"/>
            </w:tcMar>
            <w:vAlign w:val="center"/>
          </w:tcPr>
          <w:p w14:paraId="23CA3D2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464.2</w:t>
            </w:r>
          </w:p>
        </w:tc>
      </w:tr>
      <w:tr w:rsidR="004B578F" w14:paraId="0DB946EF" w14:textId="77777777" w:rsidTr="004B578F">
        <w:tc>
          <w:tcPr>
            <w:tcW w:w="3400" w:type="dxa"/>
            <w:shd w:val="clear" w:color="auto" w:fill="FFFFFF"/>
            <w:tcMar>
              <w:top w:w="60" w:type="dxa"/>
              <w:left w:w="90" w:type="dxa"/>
              <w:bottom w:w="60" w:type="dxa"/>
              <w:right w:w="90" w:type="dxa"/>
            </w:tcMar>
            <w:vAlign w:val="center"/>
          </w:tcPr>
          <w:p w14:paraId="1441783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Adjusted operating profit</w:t>
            </w:r>
          </w:p>
        </w:tc>
        <w:tc>
          <w:tcPr>
            <w:tcW w:w="1120" w:type="dxa"/>
            <w:shd w:val="clear" w:color="auto" w:fill="FFFFFF"/>
            <w:tcMar>
              <w:top w:w="60" w:type="dxa"/>
              <w:left w:w="90" w:type="dxa"/>
              <w:bottom w:w="60" w:type="dxa"/>
              <w:right w:w="90" w:type="dxa"/>
            </w:tcMar>
            <w:vAlign w:val="center"/>
          </w:tcPr>
          <w:p w14:paraId="2EAE91E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153.3</w:t>
            </w:r>
          </w:p>
        </w:tc>
        <w:tc>
          <w:tcPr>
            <w:tcW w:w="1120" w:type="dxa"/>
            <w:shd w:val="clear" w:color="auto" w:fill="FFFFFF"/>
            <w:tcMar>
              <w:top w:w="60" w:type="dxa"/>
              <w:left w:w="90" w:type="dxa"/>
              <w:bottom w:w="60" w:type="dxa"/>
              <w:right w:w="90" w:type="dxa"/>
            </w:tcMar>
            <w:vAlign w:val="center"/>
          </w:tcPr>
          <w:p w14:paraId="7A1F36C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543.5</w:t>
            </w:r>
          </w:p>
        </w:tc>
        <w:tc>
          <w:tcPr>
            <w:tcW w:w="1120" w:type="dxa"/>
            <w:shd w:val="clear" w:color="auto" w:fill="FFFFFF"/>
            <w:tcMar>
              <w:top w:w="60" w:type="dxa"/>
              <w:left w:w="90" w:type="dxa"/>
              <w:bottom w:w="60" w:type="dxa"/>
              <w:right w:w="90" w:type="dxa"/>
            </w:tcMar>
            <w:vAlign w:val="center"/>
          </w:tcPr>
          <w:p w14:paraId="1A8592E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674.2</w:t>
            </w:r>
          </w:p>
        </w:tc>
        <w:tc>
          <w:tcPr>
            <w:tcW w:w="1120" w:type="dxa"/>
            <w:shd w:val="clear" w:color="auto" w:fill="FFFFFF"/>
            <w:tcMar>
              <w:top w:w="60" w:type="dxa"/>
              <w:left w:w="90" w:type="dxa"/>
              <w:bottom w:w="60" w:type="dxa"/>
              <w:right w:w="90" w:type="dxa"/>
            </w:tcMar>
            <w:vAlign w:val="center"/>
          </w:tcPr>
          <w:p w14:paraId="1160EE9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629.6</w:t>
            </w:r>
          </w:p>
        </w:tc>
        <w:tc>
          <w:tcPr>
            <w:tcW w:w="1120" w:type="dxa"/>
            <w:shd w:val="clear" w:color="auto" w:fill="FFFFFF"/>
            <w:tcMar>
              <w:top w:w="60" w:type="dxa"/>
              <w:left w:w="90" w:type="dxa"/>
              <w:bottom w:w="60" w:type="dxa"/>
              <w:right w:w="90" w:type="dxa"/>
            </w:tcMar>
            <w:vAlign w:val="center"/>
          </w:tcPr>
          <w:p w14:paraId="4EAE3F2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648.9</w:t>
            </w:r>
          </w:p>
        </w:tc>
      </w:tr>
      <w:tr w:rsidR="004B578F" w14:paraId="12EFCB2E" w14:textId="77777777" w:rsidTr="004B578F">
        <w:tc>
          <w:tcPr>
            <w:tcW w:w="3400" w:type="dxa"/>
            <w:shd w:val="clear" w:color="auto" w:fill="EAEEF5"/>
            <w:tcMar>
              <w:top w:w="60" w:type="dxa"/>
              <w:left w:w="90" w:type="dxa"/>
              <w:bottom w:w="60" w:type="dxa"/>
              <w:right w:w="90" w:type="dxa"/>
            </w:tcMar>
            <w:vAlign w:val="center"/>
          </w:tcPr>
          <w:p w14:paraId="17E3062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Finance costs</w:t>
            </w:r>
          </w:p>
        </w:tc>
        <w:tc>
          <w:tcPr>
            <w:tcW w:w="1120" w:type="dxa"/>
            <w:shd w:val="clear" w:color="auto" w:fill="EAEEF5"/>
            <w:tcMar>
              <w:top w:w="60" w:type="dxa"/>
              <w:left w:w="90" w:type="dxa"/>
              <w:bottom w:w="60" w:type="dxa"/>
              <w:right w:w="90" w:type="dxa"/>
            </w:tcMar>
            <w:vAlign w:val="center"/>
          </w:tcPr>
          <w:p w14:paraId="7B70035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173.6</w:t>
            </w:r>
          </w:p>
        </w:tc>
        <w:tc>
          <w:tcPr>
            <w:tcW w:w="1120" w:type="dxa"/>
            <w:shd w:val="clear" w:color="auto" w:fill="EAEEF5"/>
            <w:tcMar>
              <w:top w:w="60" w:type="dxa"/>
              <w:left w:w="90" w:type="dxa"/>
              <w:bottom w:w="60" w:type="dxa"/>
              <w:right w:w="90" w:type="dxa"/>
            </w:tcMar>
            <w:vAlign w:val="center"/>
          </w:tcPr>
          <w:p w14:paraId="133E415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166.9</w:t>
            </w:r>
          </w:p>
        </w:tc>
        <w:tc>
          <w:tcPr>
            <w:tcW w:w="1120" w:type="dxa"/>
            <w:shd w:val="clear" w:color="auto" w:fill="EAEEF5"/>
            <w:tcMar>
              <w:top w:w="60" w:type="dxa"/>
              <w:left w:w="90" w:type="dxa"/>
              <w:bottom w:w="60" w:type="dxa"/>
              <w:right w:w="90" w:type="dxa"/>
            </w:tcMar>
            <w:vAlign w:val="center"/>
          </w:tcPr>
          <w:p w14:paraId="565E24F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179.3</w:t>
            </w:r>
          </w:p>
        </w:tc>
        <w:tc>
          <w:tcPr>
            <w:tcW w:w="1120" w:type="dxa"/>
            <w:shd w:val="clear" w:color="auto" w:fill="EAEEF5"/>
            <w:tcMar>
              <w:top w:w="60" w:type="dxa"/>
              <w:left w:w="90" w:type="dxa"/>
              <w:bottom w:w="60" w:type="dxa"/>
              <w:right w:w="90" w:type="dxa"/>
            </w:tcMar>
            <w:vAlign w:val="center"/>
          </w:tcPr>
          <w:p w14:paraId="74BDCB1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188.5</w:t>
            </w:r>
          </w:p>
        </w:tc>
        <w:tc>
          <w:tcPr>
            <w:tcW w:w="1120" w:type="dxa"/>
            <w:shd w:val="clear" w:color="auto" w:fill="EAEEF5"/>
            <w:tcMar>
              <w:top w:w="60" w:type="dxa"/>
              <w:left w:w="90" w:type="dxa"/>
              <w:bottom w:w="60" w:type="dxa"/>
              <w:right w:w="90" w:type="dxa"/>
            </w:tcMar>
            <w:vAlign w:val="center"/>
          </w:tcPr>
          <w:p w14:paraId="3024E84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200.3</w:t>
            </w:r>
          </w:p>
        </w:tc>
      </w:tr>
      <w:tr w:rsidR="004B578F" w14:paraId="4966C7E5" w14:textId="77777777" w:rsidTr="004B578F">
        <w:tc>
          <w:tcPr>
            <w:tcW w:w="3400" w:type="dxa"/>
            <w:shd w:val="clear" w:color="auto" w:fill="FFFFFF"/>
            <w:tcMar>
              <w:top w:w="60" w:type="dxa"/>
              <w:left w:w="90" w:type="dxa"/>
              <w:bottom w:w="60" w:type="dxa"/>
              <w:right w:w="90" w:type="dxa"/>
            </w:tcMar>
            <w:vAlign w:val="center"/>
          </w:tcPr>
          <w:p w14:paraId="14525FF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Profit before tax</w:t>
            </w:r>
          </w:p>
        </w:tc>
        <w:tc>
          <w:tcPr>
            <w:tcW w:w="1120" w:type="dxa"/>
            <w:shd w:val="clear" w:color="auto" w:fill="FFFFFF"/>
            <w:tcMar>
              <w:top w:w="60" w:type="dxa"/>
              <w:left w:w="90" w:type="dxa"/>
              <w:bottom w:w="60" w:type="dxa"/>
              <w:right w:w="90" w:type="dxa"/>
            </w:tcMar>
            <w:vAlign w:val="center"/>
          </w:tcPr>
          <w:p w14:paraId="3737EEF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58.2</w:t>
            </w:r>
          </w:p>
        </w:tc>
        <w:tc>
          <w:tcPr>
            <w:tcW w:w="1120" w:type="dxa"/>
            <w:shd w:val="clear" w:color="auto" w:fill="FFFFFF"/>
            <w:tcMar>
              <w:top w:w="60" w:type="dxa"/>
              <w:left w:w="90" w:type="dxa"/>
              <w:bottom w:w="60" w:type="dxa"/>
              <w:right w:w="90" w:type="dxa"/>
            </w:tcMar>
            <w:vAlign w:val="center"/>
          </w:tcPr>
          <w:p w14:paraId="77D7D6C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374.9</w:t>
            </w:r>
          </w:p>
        </w:tc>
        <w:tc>
          <w:tcPr>
            <w:tcW w:w="1120" w:type="dxa"/>
            <w:shd w:val="clear" w:color="auto" w:fill="FFFFFF"/>
            <w:tcMar>
              <w:top w:w="60" w:type="dxa"/>
              <w:left w:w="90" w:type="dxa"/>
              <w:bottom w:w="60" w:type="dxa"/>
              <w:right w:w="90" w:type="dxa"/>
            </w:tcMar>
            <w:vAlign w:val="center"/>
          </w:tcPr>
          <w:p w14:paraId="2E57174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451.7</w:t>
            </w:r>
          </w:p>
        </w:tc>
        <w:tc>
          <w:tcPr>
            <w:tcW w:w="1120" w:type="dxa"/>
            <w:shd w:val="clear" w:color="auto" w:fill="FFFFFF"/>
            <w:tcMar>
              <w:top w:w="60" w:type="dxa"/>
              <w:left w:w="90" w:type="dxa"/>
              <w:bottom w:w="60" w:type="dxa"/>
              <w:right w:w="90" w:type="dxa"/>
            </w:tcMar>
            <w:vAlign w:val="center"/>
          </w:tcPr>
          <w:p w14:paraId="5E243B2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367.8</w:t>
            </w:r>
          </w:p>
        </w:tc>
        <w:tc>
          <w:tcPr>
            <w:tcW w:w="1120" w:type="dxa"/>
            <w:shd w:val="clear" w:color="auto" w:fill="FFFFFF"/>
            <w:tcMar>
              <w:top w:w="60" w:type="dxa"/>
              <w:left w:w="90" w:type="dxa"/>
              <w:bottom w:w="60" w:type="dxa"/>
              <w:right w:w="90" w:type="dxa"/>
            </w:tcMar>
            <w:vAlign w:val="center"/>
          </w:tcPr>
          <w:p w14:paraId="2EFD605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298.4</w:t>
            </w:r>
          </w:p>
        </w:tc>
      </w:tr>
      <w:tr w:rsidR="004B578F" w14:paraId="60B7C65B" w14:textId="77777777" w:rsidTr="004B578F">
        <w:tc>
          <w:tcPr>
            <w:tcW w:w="3400" w:type="dxa"/>
            <w:shd w:val="clear" w:color="auto" w:fill="EAEEF5"/>
            <w:tcMar>
              <w:top w:w="60" w:type="dxa"/>
              <w:left w:w="90" w:type="dxa"/>
              <w:bottom w:w="60" w:type="dxa"/>
              <w:right w:w="90" w:type="dxa"/>
            </w:tcMar>
            <w:vAlign w:val="center"/>
          </w:tcPr>
          <w:p w14:paraId="070F7C8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Profit for the year</w:t>
            </w:r>
          </w:p>
        </w:tc>
        <w:tc>
          <w:tcPr>
            <w:tcW w:w="1120" w:type="dxa"/>
            <w:shd w:val="clear" w:color="auto" w:fill="EAEEF5"/>
            <w:tcMar>
              <w:top w:w="60" w:type="dxa"/>
              <w:left w:w="90" w:type="dxa"/>
              <w:bottom w:w="60" w:type="dxa"/>
              <w:right w:w="90" w:type="dxa"/>
            </w:tcMar>
            <w:vAlign w:val="center"/>
          </w:tcPr>
          <w:p w14:paraId="7829F75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42.5</w:t>
            </w:r>
          </w:p>
        </w:tc>
        <w:tc>
          <w:tcPr>
            <w:tcW w:w="1120" w:type="dxa"/>
            <w:shd w:val="clear" w:color="auto" w:fill="EAEEF5"/>
            <w:tcMar>
              <w:top w:w="60" w:type="dxa"/>
              <w:left w:w="90" w:type="dxa"/>
              <w:bottom w:w="60" w:type="dxa"/>
              <w:right w:w="90" w:type="dxa"/>
            </w:tcMar>
            <w:vAlign w:val="center"/>
          </w:tcPr>
          <w:p w14:paraId="7D021DA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278.8</w:t>
            </w:r>
          </w:p>
        </w:tc>
        <w:tc>
          <w:tcPr>
            <w:tcW w:w="1120" w:type="dxa"/>
            <w:shd w:val="clear" w:color="auto" w:fill="EAEEF5"/>
            <w:tcMar>
              <w:top w:w="60" w:type="dxa"/>
              <w:left w:w="90" w:type="dxa"/>
              <w:bottom w:w="60" w:type="dxa"/>
              <w:right w:w="90" w:type="dxa"/>
            </w:tcMar>
            <w:vAlign w:val="center"/>
          </w:tcPr>
          <w:p w14:paraId="55380B6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312.1</w:t>
            </w:r>
          </w:p>
        </w:tc>
        <w:tc>
          <w:tcPr>
            <w:tcW w:w="1120" w:type="dxa"/>
            <w:shd w:val="clear" w:color="auto" w:fill="EAEEF5"/>
            <w:tcMar>
              <w:top w:w="60" w:type="dxa"/>
              <w:left w:w="90" w:type="dxa"/>
              <w:bottom w:w="60" w:type="dxa"/>
              <w:right w:w="90" w:type="dxa"/>
            </w:tcMar>
            <w:vAlign w:val="center"/>
          </w:tcPr>
          <w:p w14:paraId="621A146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253.7</w:t>
            </w:r>
          </w:p>
        </w:tc>
        <w:tc>
          <w:tcPr>
            <w:tcW w:w="1120" w:type="dxa"/>
            <w:shd w:val="clear" w:color="auto" w:fill="EAEEF5"/>
            <w:tcMar>
              <w:top w:w="60" w:type="dxa"/>
              <w:left w:w="90" w:type="dxa"/>
              <w:bottom w:w="60" w:type="dxa"/>
              <w:right w:w="90" w:type="dxa"/>
            </w:tcMar>
            <w:vAlign w:val="center"/>
          </w:tcPr>
          <w:p w14:paraId="1D8DB72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212.9</w:t>
            </w:r>
          </w:p>
        </w:tc>
      </w:tr>
      <w:tr w:rsidR="004B578F" w14:paraId="400C13EB" w14:textId="77777777" w:rsidTr="004B578F">
        <w:tc>
          <w:tcPr>
            <w:tcW w:w="3400" w:type="dxa"/>
            <w:shd w:val="clear" w:color="auto" w:fill="FFFFFF"/>
            <w:tcMar>
              <w:top w:w="60" w:type="dxa"/>
              <w:left w:w="90" w:type="dxa"/>
              <w:bottom w:w="60" w:type="dxa"/>
              <w:right w:w="90" w:type="dxa"/>
            </w:tcMar>
            <w:vAlign w:val="center"/>
          </w:tcPr>
          <w:p w14:paraId="0541689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Inventories</w:t>
            </w:r>
          </w:p>
        </w:tc>
        <w:tc>
          <w:tcPr>
            <w:tcW w:w="1120" w:type="dxa"/>
            <w:shd w:val="clear" w:color="auto" w:fill="FFFFFF"/>
            <w:tcMar>
              <w:top w:w="60" w:type="dxa"/>
              <w:left w:w="90" w:type="dxa"/>
              <w:bottom w:w="60" w:type="dxa"/>
              <w:right w:w="90" w:type="dxa"/>
            </w:tcMar>
            <w:vAlign w:val="center"/>
          </w:tcPr>
          <w:p w14:paraId="3955AF3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19.4</w:t>
            </w:r>
          </w:p>
        </w:tc>
        <w:tc>
          <w:tcPr>
            <w:tcW w:w="1120" w:type="dxa"/>
            <w:shd w:val="clear" w:color="auto" w:fill="FFFFFF"/>
            <w:tcMar>
              <w:top w:w="60" w:type="dxa"/>
              <w:left w:w="90" w:type="dxa"/>
              <w:bottom w:w="60" w:type="dxa"/>
              <w:right w:w="90" w:type="dxa"/>
            </w:tcMar>
            <w:vAlign w:val="center"/>
          </w:tcPr>
          <w:p w14:paraId="273076D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21.7</w:t>
            </w:r>
          </w:p>
        </w:tc>
        <w:tc>
          <w:tcPr>
            <w:tcW w:w="1120" w:type="dxa"/>
            <w:shd w:val="clear" w:color="auto" w:fill="FFFFFF"/>
            <w:tcMar>
              <w:top w:w="60" w:type="dxa"/>
              <w:left w:w="90" w:type="dxa"/>
              <w:bottom w:w="60" w:type="dxa"/>
              <w:right w:w="90" w:type="dxa"/>
            </w:tcMar>
            <w:vAlign w:val="center"/>
          </w:tcPr>
          <w:p w14:paraId="094C4BC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21.2</w:t>
            </w:r>
          </w:p>
        </w:tc>
        <w:tc>
          <w:tcPr>
            <w:tcW w:w="1120" w:type="dxa"/>
            <w:shd w:val="clear" w:color="auto" w:fill="FFFFFF"/>
            <w:tcMar>
              <w:top w:w="60" w:type="dxa"/>
              <w:left w:w="90" w:type="dxa"/>
              <w:bottom w:w="60" w:type="dxa"/>
              <w:right w:w="90" w:type="dxa"/>
            </w:tcMar>
            <w:vAlign w:val="center"/>
          </w:tcPr>
          <w:p w14:paraId="4F050A0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17.1</w:t>
            </w:r>
          </w:p>
        </w:tc>
        <w:tc>
          <w:tcPr>
            <w:tcW w:w="1120" w:type="dxa"/>
            <w:shd w:val="clear" w:color="auto" w:fill="FFFFFF"/>
            <w:tcMar>
              <w:top w:w="60" w:type="dxa"/>
              <w:left w:w="90" w:type="dxa"/>
              <w:bottom w:w="60" w:type="dxa"/>
              <w:right w:w="90" w:type="dxa"/>
            </w:tcMar>
            <w:vAlign w:val="center"/>
          </w:tcPr>
          <w:p w14:paraId="0F5EB9D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11.0</w:t>
            </w:r>
          </w:p>
        </w:tc>
      </w:tr>
      <w:tr w:rsidR="004B578F" w14:paraId="766FFCD3" w14:textId="77777777" w:rsidTr="004B578F">
        <w:tc>
          <w:tcPr>
            <w:tcW w:w="3400" w:type="dxa"/>
            <w:shd w:val="clear" w:color="auto" w:fill="EAEEF5"/>
            <w:tcMar>
              <w:top w:w="60" w:type="dxa"/>
              <w:left w:w="90" w:type="dxa"/>
              <w:bottom w:w="60" w:type="dxa"/>
              <w:right w:w="90" w:type="dxa"/>
            </w:tcMar>
            <w:vAlign w:val="center"/>
          </w:tcPr>
          <w:p w14:paraId="2A64FBA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Trade and other receivables</w:t>
            </w:r>
          </w:p>
        </w:tc>
        <w:tc>
          <w:tcPr>
            <w:tcW w:w="1120" w:type="dxa"/>
            <w:shd w:val="clear" w:color="auto" w:fill="EAEEF5"/>
            <w:tcMar>
              <w:top w:w="60" w:type="dxa"/>
              <w:left w:w="90" w:type="dxa"/>
              <w:bottom w:w="60" w:type="dxa"/>
              <w:right w:w="90" w:type="dxa"/>
            </w:tcMar>
            <w:vAlign w:val="center"/>
          </w:tcPr>
          <w:p w14:paraId="7F173B56"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116.4</w:t>
            </w:r>
          </w:p>
        </w:tc>
        <w:tc>
          <w:tcPr>
            <w:tcW w:w="1120" w:type="dxa"/>
            <w:shd w:val="clear" w:color="auto" w:fill="EAEEF5"/>
            <w:tcMar>
              <w:top w:w="60" w:type="dxa"/>
              <w:left w:w="90" w:type="dxa"/>
              <w:bottom w:w="60" w:type="dxa"/>
              <w:right w:w="90" w:type="dxa"/>
            </w:tcMar>
            <w:vAlign w:val="center"/>
          </w:tcPr>
          <w:p w14:paraId="394C543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141.8</w:t>
            </w:r>
          </w:p>
        </w:tc>
        <w:tc>
          <w:tcPr>
            <w:tcW w:w="1120" w:type="dxa"/>
            <w:shd w:val="clear" w:color="auto" w:fill="EAEEF5"/>
            <w:tcMar>
              <w:top w:w="60" w:type="dxa"/>
              <w:left w:w="90" w:type="dxa"/>
              <w:bottom w:w="60" w:type="dxa"/>
              <w:right w:w="90" w:type="dxa"/>
            </w:tcMar>
            <w:vAlign w:val="center"/>
          </w:tcPr>
          <w:p w14:paraId="4048AE0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119.3</w:t>
            </w:r>
          </w:p>
        </w:tc>
        <w:tc>
          <w:tcPr>
            <w:tcW w:w="1120" w:type="dxa"/>
            <w:shd w:val="clear" w:color="auto" w:fill="EAEEF5"/>
            <w:tcMar>
              <w:top w:w="60" w:type="dxa"/>
              <w:left w:w="90" w:type="dxa"/>
              <w:bottom w:w="60" w:type="dxa"/>
              <w:right w:w="90" w:type="dxa"/>
            </w:tcMar>
            <w:vAlign w:val="center"/>
          </w:tcPr>
          <w:p w14:paraId="3F4A3FA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127.1</w:t>
            </w:r>
          </w:p>
        </w:tc>
        <w:tc>
          <w:tcPr>
            <w:tcW w:w="1120" w:type="dxa"/>
            <w:shd w:val="clear" w:color="auto" w:fill="EAEEF5"/>
            <w:tcMar>
              <w:top w:w="60" w:type="dxa"/>
              <w:left w:w="90" w:type="dxa"/>
              <w:bottom w:w="60" w:type="dxa"/>
              <w:right w:w="90" w:type="dxa"/>
            </w:tcMar>
            <w:vAlign w:val="center"/>
          </w:tcPr>
          <w:p w14:paraId="1E77D696"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136.7</w:t>
            </w:r>
          </w:p>
        </w:tc>
      </w:tr>
      <w:tr w:rsidR="004B578F" w14:paraId="101D4F5C" w14:textId="77777777" w:rsidTr="004B578F">
        <w:tc>
          <w:tcPr>
            <w:tcW w:w="3400" w:type="dxa"/>
            <w:shd w:val="clear" w:color="auto" w:fill="FFFFFF"/>
            <w:tcMar>
              <w:top w:w="60" w:type="dxa"/>
              <w:left w:w="90" w:type="dxa"/>
              <w:bottom w:w="60" w:type="dxa"/>
              <w:right w:w="90" w:type="dxa"/>
            </w:tcMar>
            <w:vAlign w:val="center"/>
          </w:tcPr>
          <w:p w14:paraId="41431DA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Cash and cash equivalents</w:t>
            </w:r>
          </w:p>
        </w:tc>
        <w:tc>
          <w:tcPr>
            <w:tcW w:w="1120" w:type="dxa"/>
            <w:shd w:val="clear" w:color="auto" w:fill="FFFFFF"/>
            <w:tcMar>
              <w:top w:w="60" w:type="dxa"/>
              <w:left w:w="90" w:type="dxa"/>
              <w:bottom w:w="60" w:type="dxa"/>
              <w:right w:w="90" w:type="dxa"/>
            </w:tcMar>
            <w:vAlign w:val="center"/>
          </w:tcPr>
          <w:p w14:paraId="46D5FC1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1,132.4</w:t>
            </w:r>
          </w:p>
        </w:tc>
        <w:tc>
          <w:tcPr>
            <w:tcW w:w="1120" w:type="dxa"/>
            <w:shd w:val="clear" w:color="auto" w:fill="FFFFFF"/>
            <w:tcMar>
              <w:top w:w="60" w:type="dxa"/>
              <w:left w:w="90" w:type="dxa"/>
              <w:bottom w:w="60" w:type="dxa"/>
              <w:right w:w="90" w:type="dxa"/>
            </w:tcMar>
            <w:vAlign w:val="center"/>
          </w:tcPr>
          <w:p w14:paraId="1A33F4F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1,164.8</w:t>
            </w:r>
          </w:p>
        </w:tc>
        <w:tc>
          <w:tcPr>
            <w:tcW w:w="1120" w:type="dxa"/>
            <w:shd w:val="clear" w:color="auto" w:fill="FFFFFF"/>
            <w:tcMar>
              <w:top w:w="60" w:type="dxa"/>
              <w:left w:w="90" w:type="dxa"/>
              <w:bottom w:w="60" w:type="dxa"/>
              <w:right w:w="90" w:type="dxa"/>
            </w:tcMar>
            <w:vAlign w:val="center"/>
          </w:tcPr>
          <w:p w14:paraId="5648701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696.7</w:t>
            </w:r>
          </w:p>
        </w:tc>
        <w:tc>
          <w:tcPr>
            <w:tcW w:w="1120" w:type="dxa"/>
            <w:shd w:val="clear" w:color="auto" w:fill="FFFFFF"/>
            <w:tcMar>
              <w:top w:w="60" w:type="dxa"/>
              <w:left w:w="90" w:type="dxa"/>
              <w:bottom w:w="60" w:type="dxa"/>
              <w:right w:w="90" w:type="dxa"/>
            </w:tcMar>
            <w:vAlign w:val="center"/>
          </w:tcPr>
          <w:p w14:paraId="3400A7C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909.0</w:t>
            </w:r>
          </w:p>
        </w:tc>
        <w:tc>
          <w:tcPr>
            <w:tcW w:w="1120" w:type="dxa"/>
            <w:shd w:val="clear" w:color="auto" w:fill="FFFFFF"/>
            <w:tcMar>
              <w:top w:w="60" w:type="dxa"/>
              <w:left w:w="90" w:type="dxa"/>
              <w:bottom w:w="60" w:type="dxa"/>
              <w:right w:w="90" w:type="dxa"/>
            </w:tcMar>
            <w:vAlign w:val="center"/>
          </w:tcPr>
          <w:p w14:paraId="18304D9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233.7</w:t>
            </w:r>
          </w:p>
        </w:tc>
      </w:tr>
      <w:tr w:rsidR="004B578F" w14:paraId="695BFD4D" w14:textId="77777777" w:rsidTr="004B578F">
        <w:tc>
          <w:tcPr>
            <w:tcW w:w="3400" w:type="dxa"/>
            <w:shd w:val="clear" w:color="auto" w:fill="EAEEF5"/>
            <w:tcMar>
              <w:top w:w="60" w:type="dxa"/>
              <w:left w:w="90" w:type="dxa"/>
              <w:bottom w:w="60" w:type="dxa"/>
              <w:right w:w="90" w:type="dxa"/>
            </w:tcMar>
            <w:vAlign w:val="center"/>
          </w:tcPr>
          <w:p w14:paraId="4F7A240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Total current assets</w:t>
            </w:r>
          </w:p>
        </w:tc>
        <w:tc>
          <w:tcPr>
            <w:tcW w:w="1120" w:type="dxa"/>
            <w:shd w:val="clear" w:color="auto" w:fill="EAEEF5"/>
            <w:tcMar>
              <w:top w:w="60" w:type="dxa"/>
              <w:left w:w="90" w:type="dxa"/>
              <w:bottom w:w="60" w:type="dxa"/>
              <w:right w:w="90" w:type="dxa"/>
            </w:tcMar>
            <w:vAlign w:val="center"/>
          </w:tcPr>
          <w:p w14:paraId="1BC630A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1,268.2</w:t>
            </w:r>
          </w:p>
        </w:tc>
        <w:tc>
          <w:tcPr>
            <w:tcW w:w="1120" w:type="dxa"/>
            <w:shd w:val="clear" w:color="auto" w:fill="EAEEF5"/>
            <w:tcMar>
              <w:top w:w="60" w:type="dxa"/>
              <w:left w:w="90" w:type="dxa"/>
              <w:bottom w:w="60" w:type="dxa"/>
              <w:right w:w="90" w:type="dxa"/>
            </w:tcMar>
            <w:vAlign w:val="center"/>
          </w:tcPr>
          <w:p w14:paraId="1D459BB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1,328.3</w:t>
            </w:r>
          </w:p>
        </w:tc>
        <w:tc>
          <w:tcPr>
            <w:tcW w:w="1120" w:type="dxa"/>
            <w:shd w:val="clear" w:color="auto" w:fill="EAEEF5"/>
            <w:tcMar>
              <w:top w:w="60" w:type="dxa"/>
              <w:left w:w="90" w:type="dxa"/>
              <w:bottom w:w="60" w:type="dxa"/>
              <w:right w:w="90" w:type="dxa"/>
            </w:tcMar>
            <w:vAlign w:val="center"/>
          </w:tcPr>
          <w:p w14:paraId="12745B0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837.2</w:t>
            </w:r>
          </w:p>
        </w:tc>
        <w:tc>
          <w:tcPr>
            <w:tcW w:w="1120" w:type="dxa"/>
            <w:shd w:val="clear" w:color="auto" w:fill="EAEEF5"/>
            <w:tcMar>
              <w:top w:w="60" w:type="dxa"/>
              <w:left w:w="90" w:type="dxa"/>
              <w:bottom w:w="60" w:type="dxa"/>
              <w:right w:w="90" w:type="dxa"/>
            </w:tcMar>
            <w:vAlign w:val="center"/>
          </w:tcPr>
          <w:p w14:paraId="14D6072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1,073.1</w:t>
            </w:r>
          </w:p>
        </w:tc>
        <w:tc>
          <w:tcPr>
            <w:tcW w:w="1120" w:type="dxa"/>
            <w:shd w:val="clear" w:color="auto" w:fill="EAEEF5"/>
            <w:tcMar>
              <w:top w:w="60" w:type="dxa"/>
              <w:left w:w="90" w:type="dxa"/>
              <w:bottom w:w="60" w:type="dxa"/>
              <w:right w:w="90" w:type="dxa"/>
            </w:tcMar>
            <w:vAlign w:val="center"/>
          </w:tcPr>
          <w:p w14:paraId="71DDE9B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387.6</w:t>
            </w:r>
          </w:p>
        </w:tc>
      </w:tr>
      <w:tr w:rsidR="004B578F" w14:paraId="042BF70A" w14:textId="77777777" w:rsidTr="004B578F">
        <w:tc>
          <w:tcPr>
            <w:tcW w:w="3400" w:type="dxa"/>
            <w:shd w:val="clear" w:color="auto" w:fill="FFFFFF"/>
            <w:tcMar>
              <w:top w:w="60" w:type="dxa"/>
              <w:left w:w="90" w:type="dxa"/>
              <w:bottom w:w="60" w:type="dxa"/>
              <w:right w:w="90" w:type="dxa"/>
            </w:tcMar>
            <w:vAlign w:val="center"/>
          </w:tcPr>
          <w:p w14:paraId="09115B8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Total current liabilities</w:t>
            </w:r>
          </w:p>
        </w:tc>
        <w:tc>
          <w:tcPr>
            <w:tcW w:w="1120" w:type="dxa"/>
            <w:shd w:val="clear" w:color="auto" w:fill="FFFFFF"/>
            <w:tcMar>
              <w:top w:w="60" w:type="dxa"/>
              <w:left w:w="90" w:type="dxa"/>
              <w:bottom w:w="60" w:type="dxa"/>
              <w:right w:w="90" w:type="dxa"/>
            </w:tcMar>
            <w:vAlign w:val="center"/>
          </w:tcPr>
          <w:p w14:paraId="79EFFFE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719.6</w:t>
            </w:r>
          </w:p>
        </w:tc>
        <w:tc>
          <w:tcPr>
            <w:tcW w:w="1120" w:type="dxa"/>
            <w:shd w:val="clear" w:color="auto" w:fill="FFFFFF"/>
            <w:tcMar>
              <w:top w:w="60" w:type="dxa"/>
              <w:left w:w="90" w:type="dxa"/>
              <w:bottom w:w="60" w:type="dxa"/>
              <w:right w:w="90" w:type="dxa"/>
            </w:tcMar>
            <w:vAlign w:val="center"/>
          </w:tcPr>
          <w:p w14:paraId="07387EC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845.6</w:t>
            </w:r>
          </w:p>
        </w:tc>
        <w:tc>
          <w:tcPr>
            <w:tcW w:w="1120" w:type="dxa"/>
            <w:shd w:val="clear" w:color="auto" w:fill="FFFFFF"/>
            <w:tcMar>
              <w:top w:w="60" w:type="dxa"/>
              <w:left w:w="90" w:type="dxa"/>
              <w:bottom w:w="60" w:type="dxa"/>
              <w:right w:w="90" w:type="dxa"/>
            </w:tcMar>
            <w:vAlign w:val="center"/>
          </w:tcPr>
          <w:p w14:paraId="1D63A37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870.4</w:t>
            </w:r>
          </w:p>
        </w:tc>
        <w:tc>
          <w:tcPr>
            <w:tcW w:w="1120" w:type="dxa"/>
            <w:shd w:val="clear" w:color="auto" w:fill="FFFFFF"/>
            <w:tcMar>
              <w:top w:w="60" w:type="dxa"/>
              <w:left w:w="90" w:type="dxa"/>
              <w:bottom w:w="60" w:type="dxa"/>
              <w:right w:w="90" w:type="dxa"/>
            </w:tcMar>
            <w:vAlign w:val="center"/>
          </w:tcPr>
          <w:p w14:paraId="128378B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1,319.0</w:t>
            </w:r>
          </w:p>
        </w:tc>
        <w:tc>
          <w:tcPr>
            <w:tcW w:w="1120" w:type="dxa"/>
            <w:shd w:val="clear" w:color="auto" w:fill="FFFFFF"/>
            <w:tcMar>
              <w:top w:w="60" w:type="dxa"/>
              <w:left w:w="90" w:type="dxa"/>
              <w:bottom w:w="60" w:type="dxa"/>
              <w:right w:w="90" w:type="dxa"/>
            </w:tcMar>
            <w:vAlign w:val="center"/>
          </w:tcPr>
          <w:p w14:paraId="58BA751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889.4</w:t>
            </w:r>
          </w:p>
        </w:tc>
      </w:tr>
      <w:tr w:rsidR="004B578F" w14:paraId="022B79D9" w14:textId="77777777" w:rsidTr="004B578F">
        <w:tc>
          <w:tcPr>
            <w:tcW w:w="3400" w:type="dxa"/>
            <w:shd w:val="clear" w:color="auto" w:fill="EAEEF5"/>
            <w:tcMar>
              <w:top w:w="60" w:type="dxa"/>
              <w:left w:w="90" w:type="dxa"/>
              <w:bottom w:w="60" w:type="dxa"/>
              <w:right w:w="90" w:type="dxa"/>
            </w:tcMar>
            <w:vAlign w:val="center"/>
          </w:tcPr>
          <w:p w14:paraId="25B0E6C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Trade and other payables (current)</w:t>
            </w:r>
          </w:p>
        </w:tc>
        <w:tc>
          <w:tcPr>
            <w:tcW w:w="1120" w:type="dxa"/>
            <w:shd w:val="clear" w:color="auto" w:fill="EAEEF5"/>
            <w:tcMar>
              <w:top w:w="60" w:type="dxa"/>
              <w:left w:w="90" w:type="dxa"/>
              <w:bottom w:w="60" w:type="dxa"/>
              <w:right w:w="90" w:type="dxa"/>
            </w:tcMar>
            <w:vAlign w:val="center"/>
          </w:tcPr>
          <w:p w14:paraId="0E91C68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570.7</w:t>
            </w:r>
          </w:p>
        </w:tc>
        <w:tc>
          <w:tcPr>
            <w:tcW w:w="1120" w:type="dxa"/>
            <w:shd w:val="clear" w:color="auto" w:fill="EAEEF5"/>
            <w:tcMar>
              <w:top w:w="60" w:type="dxa"/>
              <w:left w:w="90" w:type="dxa"/>
              <w:bottom w:w="60" w:type="dxa"/>
              <w:right w:w="90" w:type="dxa"/>
            </w:tcMar>
            <w:vAlign w:val="center"/>
          </w:tcPr>
          <w:p w14:paraId="0979A39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676.7</w:t>
            </w:r>
          </w:p>
        </w:tc>
        <w:tc>
          <w:tcPr>
            <w:tcW w:w="1120" w:type="dxa"/>
            <w:shd w:val="clear" w:color="auto" w:fill="EAEEF5"/>
            <w:tcMar>
              <w:top w:w="60" w:type="dxa"/>
              <w:left w:w="90" w:type="dxa"/>
              <w:bottom w:w="60" w:type="dxa"/>
              <w:right w:w="90" w:type="dxa"/>
            </w:tcMar>
            <w:vAlign w:val="center"/>
          </w:tcPr>
          <w:p w14:paraId="1A850E4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670.5</w:t>
            </w:r>
          </w:p>
        </w:tc>
        <w:tc>
          <w:tcPr>
            <w:tcW w:w="1120" w:type="dxa"/>
            <w:shd w:val="clear" w:color="auto" w:fill="EAEEF5"/>
            <w:tcMar>
              <w:top w:w="60" w:type="dxa"/>
              <w:left w:w="90" w:type="dxa"/>
              <w:bottom w:w="60" w:type="dxa"/>
              <w:right w:w="90" w:type="dxa"/>
            </w:tcMar>
            <w:vAlign w:val="center"/>
          </w:tcPr>
          <w:p w14:paraId="7D81856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660.8</w:t>
            </w:r>
          </w:p>
        </w:tc>
        <w:tc>
          <w:tcPr>
            <w:tcW w:w="1120" w:type="dxa"/>
            <w:shd w:val="clear" w:color="auto" w:fill="EAEEF5"/>
            <w:tcMar>
              <w:top w:w="60" w:type="dxa"/>
              <w:left w:w="90" w:type="dxa"/>
              <w:bottom w:w="60" w:type="dxa"/>
              <w:right w:w="90" w:type="dxa"/>
            </w:tcMar>
            <w:vAlign w:val="center"/>
          </w:tcPr>
          <w:p w14:paraId="6CE7581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689.7</w:t>
            </w:r>
          </w:p>
        </w:tc>
      </w:tr>
      <w:tr w:rsidR="004B578F" w14:paraId="5A56DEF6" w14:textId="77777777" w:rsidTr="004B578F">
        <w:tc>
          <w:tcPr>
            <w:tcW w:w="3400" w:type="dxa"/>
            <w:shd w:val="clear" w:color="auto" w:fill="FFFFFF"/>
            <w:tcMar>
              <w:top w:w="60" w:type="dxa"/>
              <w:left w:w="90" w:type="dxa"/>
              <w:bottom w:w="60" w:type="dxa"/>
              <w:right w:w="90" w:type="dxa"/>
            </w:tcMar>
            <w:vAlign w:val="center"/>
          </w:tcPr>
          <w:p w14:paraId="58EE275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lastRenderedPageBreak/>
              <w:t>Total assets</w:t>
            </w:r>
          </w:p>
        </w:tc>
        <w:tc>
          <w:tcPr>
            <w:tcW w:w="1120" w:type="dxa"/>
            <w:shd w:val="clear" w:color="auto" w:fill="FFFFFF"/>
            <w:tcMar>
              <w:top w:w="60" w:type="dxa"/>
              <w:left w:w="90" w:type="dxa"/>
              <w:bottom w:w="60" w:type="dxa"/>
              <w:right w:w="90" w:type="dxa"/>
            </w:tcMar>
            <w:vAlign w:val="center"/>
          </w:tcPr>
          <w:p w14:paraId="43670BB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9,566.5</w:t>
            </w:r>
          </w:p>
        </w:tc>
        <w:tc>
          <w:tcPr>
            <w:tcW w:w="1120" w:type="dxa"/>
            <w:shd w:val="clear" w:color="auto" w:fill="FFFFFF"/>
            <w:tcMar>
              <w:top w:w="60" w:type="dxa"/>
              <w:left w:w="90" w:type="dxa"/>
              <w:bottom w:w="60" w:type="dxa"/>
              <w:right w:w="90" w:type="dxa"/>
            </w:tcMar>
            <w:vAlign w:val="center"/>
          </w:tcPr>
          <w:p w14:paraId="633972A6"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9,942.8</w:t>
            </w:r>
          </w:p>
        </w:tc>
        <w:tc>
          <w:tcPr>
            <w:tcW w:w="1120" w:type="dxa"/>
            <w:shd w:val="clear" w:color="auto" w:fill="FFFFFF"/>
            <w:tcMar>
              <w:top w:w="60" w:type="dxa"/>
              <w:left w:w="90" w:type="dxa"/>
              <w:bottom w:w="60" w:type="dxa"/>
              <w:right w:w="90" w:type="dxa"/>
            </w:tcMar>
            <w:vAlign w:val="center"/>
          </w:tcPr>
          <w:p w14:paraId="2DF03E3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9,521.3</w:t>
            </w:r>
          </w:p>
        </w:tc>
        <w:tc>
          <w:tcPr>
            <w:tcW w:w="1120" w:type="dxa"/>
            <w:shd w:val="clear" w:color="auto" w:fill="FFFFFF"/>
            <w:tcMar>
              <w:top w:w="60" w:type="dxa"/>
              <w:left w:w="90" w:type="dxa"/>
              <w:bottom w:w="60" w:type="dxa"/>
              <w:right w:w="90" w:type="dxa"/>
            </w:tcMar>
            <w:vAlign w:val="center"/>
          </w:tcPr>
          <w:p w14:paraId="748FC41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9,904.7</w:t>
            </w:r>
          </w:p>
        </w:tc>
        <w:tc>
          <w:tcPr>
            <w:tcW w:w="1120" w:type="dxa"/>
            <w:shd w:val="clear" w:color="auto" w:fill="FFFFFF"/>
            <w:tcMar>
              <w:top w:w="60" w:type="dxa"/>
              <w:left w:w="90" w:type="dxa"/>
              <w:bottom w:w="60" w:type="dxa"/>
              <w:right w:w="90" w:type="dxa"/>
            </w:tcMar>
            <w:vAlign w:val="center"/>
          </w:tcPr>
          <w:p w14:paraId="4A6330E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9,568.6</w:t>
            </w:r>
          </w:p>
        </w:tc>
      </w:tr>
      <w:tr w:rsidR="004B578F" w14:paraId="2445E813" w14:textId="77777777" w:rsidTr="004B578F">
        <w:tc>
          <w:tcPr>
            <w:tcW w:w="3400" w:type="dxa"/>
            <w:shd w:val="clear" w:color="auto" w:fill="EAEEF5"/>
            <w:tcMar>
              <w:top w:w="60" w:type="dxa"/>
              <w:left w:w="90" w:type="dxa"/>
              <w:bottom w:w="60" w:type="dxa"/>
              <w:right w:w="90" w:type="dxa"/>
            </w:tcMar>
            <w:vAlign w:val="center"/>
          </w:tcPr>
          <w:p w14:paraId="51B4582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Total liabilities</w:t>
            </w:r>
          </w:p>
        </w:tc>
        <w:tc>
          <w:tcPr>
            <w:tcW w:w="1120" w:type="dxa"/>
            <w:shd w:val="clear" w:color="auto" w:fill="EAEEF5"/>
            <w:tcMar>
              <w:top w:w="60" w:type="dxa"/>
              <w:left w:w="90" w:type="dxa"/>
              <w:bottom w:w="60" w:type="dxa"/>
              <w:right w:w="90" w:type="dxa"/>
            </w:tcMar>
            <w:vAlign w:val="center"/>
          </w:tcPr>
          <w:p w14:paraId="0EA7F49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5,447.5</w:t>
            </w:r>
          </w:p>
        </w:tc>
        <w:tc>
          <w:tcPr>
            <w:tcW w:w="1120" w:type="dxa"/>
            <w:shd w:val="clear" w:color="auto" w:fill="EAEEF5"/>
            <w:tcMar>
              <w:top w:w="60" w:type="dxa"/>
              <w:left w:w="90" w:type="dxa"/>
              <w:bottom w:w="60" w:type="dxa"/>
              <w:right w:w="90" w:type="dxa"/>
            </w:tcMar>
            <w:vAlign w:val="center"/>
          </w:tcPr>
          <w:p w14:paraId="5C5F25D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5,831.4</w:t>
            </w:r>
          </w:p>
        </w:tc>
        <w:tc>
          <w:tcPr>
            <w:tcW w:w="1120" w:type="dxa"/>
            <w:shd w:val="clear" w:color="auto" w:fill="EAEEF5"/>
            <w:tcMar>
              <w:top w:w="60" w:type="dxa"/>
              <w:left w:w="90" w:type="dxa"/>
              <w:bottom w:w="60" w:type="dxa"/>
              <w:right w:w="90" w:type="dxa"/>
            </w:tcMar>
            <w:vAlign w:val="center"/>
          </w:tcPr>
          <w:p w14:paraId="493A780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6,001.9</w:t>
            </w:r>
          </w:p>
        </w:tc>
        <w:tc>
          <w:tcPr>
            <w:tcW w:w="1120" w:type="dxa"/>
            <w:shd w:val="clear" w:color="auto" w:fill="EAEEF5"/>
            <w:tcMar>
              <w:top w:w="60" w:type="dxa"/>
              <w:left w:w="90" w:type="dxa"/>
              <w:bottom w:w="60" w:type="dxa"/>
              <w:right w:w="90" w:type="dxa"/>
            </w:tcMar>
            <w:vAlign w:val="center"/>
          </w:tcPr>
          <w:p w14:paraId="631C5C3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6,570.2</w:t>
            </w:r>
          </w:p>
        </w:tc>
        <w:tc>
          <w:tcPr>
            <w:tcW w:w="1120" w:type="dxa"/>
            <w:shd w:val="clear" w:color="auto" w:fill="EAEEF5"/>
            <w:tcMar>
              <w:top w:w="60" w:type="dxa"/>
              <w:left w:w="90" w:type="dxa"/>
              <w:bottom w:w="60" w:type="dxa"/>
              <w:right w:w="90" w:type="dxa"/>
            </w:tcMar>
            <w:vAlign w:val="center"/>
          </w:tcPr>
          <w:p w14:paraId="520BA85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6,432.2</w:t>
            </w:r>
          </w:p>
        </w:tc>
      </w:tr>
      <w:tr w:rsidR="004B578F" w14:paraId="22260050" w14:textId="77777777" w:rsidTr="004B578F">
        <w:tc>
          <w:tcPr>
            <w:tcW w:w="3400" w:type="dxa"/>
            <w:shd w:val="clear" w:color="auto" w:fill="FFFFFF"/>
            <w:tcMar>
              <w:top w:w="60" w:type="dxa"/>
              <w:left w:w="90" w:type="dxa"/>
              <w:bottom w:w="60" w:type="dxa"/>
              <w:right w:w="90" w:type="dxa"/>
            </w:tcMar>
            <w:vAlign w:val="center"/>
          </w:tcPr>
          <w:p w14:paraId="28E4EBE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Equity</w:t>
            </w:r>
          </w:p>
        </w:tc>
        <w:tc>
          <w:tcPr>
            <w:tcW w:w="1120" w:type="dxa"/>
            <w:shd w:val="clear" w:color="auto" w:fill="FFFFFF"/>
            <w:tcMar>
              <w:top w:w="60" w:type="dxa"/>
              <w:left w:w="90" w:type="dxa"/>
              <w:bottom w:w="60" w:type="dxa"/>
              <w:right w:w="90" w:type="dxa"/>
            </w:tcMar>
            <w:vAlign w:val="center"/>
          </w:tcPr>
          <w:p w14:paraId="713AF64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4,119.0</w:t>
            </w:r>
          </w:p>
        </w:tc>
        <w:tc>
          <w:tcPr>
            <w:tcW w:w="1120" w:type="dxa"/>
            <w:shd w:val="clear" w:color="auto" w:fill="FFFFFF"/>
            <w:tcMar>
              <w:top w:w="60" w:type="dxa"/>
              <w:left w:w="90" w:type="dxa"/>
              <w:bottom w:w="60" w:type="dxa"/>
              <w:right w:w="90" w:type="dxa"/>
            </w:tcMar>
            <w:vAlign w:val="center"/>
          </w:tcPr>
          <w:p w14:paraId="7E07CBB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4,111.4</w:t>
            </w:r>
          </w:p>
        </w:tc>
        <w:tc>
          <w:tcPr>
            <w:tcW w:w="1120" w:type="dxa"/>
            <w:shd w:val="clear" w:color="auto" w:fill="FFFFFF"/>
            <w:tcMar>
              <w:top w:w="60" w:type="dxa"/>
              <w:left w:w="90" w:type="dxa"/>
              <w:bottom w:w="60" w:type="dxa"/>
              <w:right w:w="90" w:type="dxa"/>
            </w:tcMar>
            <w:vAlign w:val="center"/>
          </w:tcPr>
          <w:p w14:paraId="0C1E893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3,519.4</w:t>
            </w:r>
          </w:p>
        </w:tc>
        <w:tc>
          <w:tcPr>
            <w:tcW w:w="1120" w:type="dxa"/>
            <w:shd w:val="clear" w:color="auto" w:fill="FFFFFF"/>
            <w:tcMar>
              <w:top w:w="60" w:type="dxa"/>
              <w:left w:w="90" w:type="dxa"/>
              <w:bottom w:w="60" w:type="dxa"/>
              <w:right w:w="90" w:type="dxa"/>
            </w:tcMar>
            <w:vAlign w:val="center"/>
          </w:tcPr>
          <w:p w14:paraId="0A83C2B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3,334.5</w:t>
            </w:r>
          </w:p>
        </w:tc>
        <w:tc>
          <w:tcPr>
            <w:tcW w:w="1120" w:type="dxa"/>
            <w:shd w:val="clear" w:color="auto" w:fill="FFFFFF"/>
            <w:tcMar>
              <w:top w:w="60" w:type="dxa"/>
              <w:left w:w="90" w:type="dxa"/>
              <w:bottom w:w="60" w:type="dxa"/>
              <w:right w:w="90" w:type="dxa"/>
            </w:tcMar>
            <w:vAlign w:val="center"/>
          </w:tcPr>
          <w:p w14:paraId="7BD1293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3,136.4</w:t>
            </w:r>
          </w:p>
        </w:tc>
      </w:tr>
      <w:tr w:rsidR="004B578F" w14:paraId="1C2E6A22" w14:textId="77777777" w:rsidTr="004B578F">
        <w:tc>
          <w:tcPr>
            <w:tcW w:w="3400" w:type="dxa"/>
            <w:shd w:val="clear" w:color="auto" w:fill="EAEEF5"/>
            <w:tcMar>
              <w:top w:w="60" w:type="dxa"/>
              <w:left w:w="90" w:type="dxa"/>
              <w:bottom w:w="60" w:type="dxa"/>
              <w:right w:w="90" w:type="dxa"/>
            </w:tcMar>
            <w:vAlign w:val="center"/>
          </w:tcPr>
          <w:p w14:paraId="26E6C9D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Borrowings</w:t>
            </w:r>
          </w:p>
        </w:tc>
        <w:tc>
          <w:tcPr>
            <w:tcW w:w="1120" w:type="dxa"/>
            <w:shd w:val="clear" w:color="auto" w:fill="EAEEF5"/>
            <w:tcMar>
              <w:top w:w="60" w:type="dxa"/>
              <w:left w:w="90" w:type="dxa"/>
              <w:bottom w:w="60" w:type="dxa"/>
              <w:right w:w="90" w:type="dxa"/>
            </w:tcMar>
            <w:vAlign w:val="center"/>
          </w:tcPr>
          <w:p w14:paraId="7EDB041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991.9</w:t>
            </w:r>
          </w:p>
        </w:tc>
        <w:tc>
          <w:tcPr>
            <w:tcW w:w="1120" w:type="dxa"/>
            <w:shd w:val="clear" w:color="auto" w:fill="EAEEF5"/>
            <w:tcMar>
              <w:top w:w="60" w:type="dxa"/>
              <w:left w:w="90" w:type="dxa"/>
              <w:bottom w:w="60" w:type="dxa"/>
              <w:right w:w="90" w:type="dxa"/>
            </w:tcMar>
            <w:vAlign w:val="center"/>
          </w:tcPr>
          <w:p w14:paraId="3338DA4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993.4</w:t>
            </w:r>
          </w:p>
        </w:tc>
        <w:tc>
          <w:tcPr>
            <w:tcW w:w="1120" w:type="dxa"/>
            <w:shd w:val="clear" w:color="auto" w:fill="EAEEF5"/>
            <w:tcMar>
              <w:top w:w="60" w:type="dxa"/>
              <w:left w:w="90" w:type="dxa"/>
              <w:bottom w:w="60" w:type="dxa"/>
              <w:right w:w="90" w:type="dxa"/>
            </w:tcMar>
            <w:vAlign w:val="center"/>
          </w:tcPr>
          <w:p w14:paraId="271A62E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994.9</w:t>
            </w:r>
          </w:p>
        </w:tc>
        <w:tc>
          <w:tcPr>
            <w:tcW w:w="1120" w:type="dxa"/>
            <w:shd w:val="clear" w:color="auto" w:fill="EAEEF5"/>
            <w:tcMar>
              <w:top w:w="60" w:type="dxa"/>
              <w:left w:w="90" w:type="dxa"/>
              <w:bottom w:w="60" w:type="dxa"/>
              <w:right w:w="90" w:type="dxa"/>
            </w:tcMar>
            <w:vAlign w:val="center"/>
          </w:tcPr>
          <w:p w14:paraId="3A512FF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1,392.4</w:t>
            </w:r>
          </w:p>
        </w:tc>
        <w:tc>
          <w:tcPr>
            <w:tcW w:w="1120" w:type="dxa"/>
            <w:shd w:val="clear" w:color="auto" w:fill="EAEEF5"/>
            <w:tcMar>
              <w:top w:w="60" w:type="dxa"/>
              <w:left w:w="90" w:type="dxa"/>
              <w:bottom w:w="60" w:type="dxa"/>
              <w:right w:w="90" w:type="dxa"/>
            </w:tcMar>
            <w:vAlign w:val="center"/>
          </w:tcPr>
          <w:p w14:paraId="57A97D0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943.0</w:t>
            </w:r>
          </w:p>
        </w:tc>
      </w:tr>
      <w:tr w:rsidR="004B578F" w14:paraId="041813FF" w14:textId="77777777" w:rsidTr="004B578F">
        <w:tc>
          <w:tcPr>
            <w:tcW w:w="3400" w:type="dxa"/>
            <w:shd w:val="clear" w:color="auto" w:fill="FFFFFF"/>
            <w:tcMar>
              <w:top w:w="60" w:type="dxa"/>
              <w:left w:w="90" w:type="dxa"/>
              <w:bottom w:w="60" w:type="dxa"/>
              <w:right w:w="90" w:type="dxa"/>
            </w:tcMar>
            <w:vAlign w:val="center"/>
          </w:tcPr>
          <w:p w14:paraId="3BAA661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Lease liabilities</w:t>
            </w:r>
          </w:p>
        </w:tc>
        <w:tc>
          <w:tcPr>
            <w:tcW w:w="1120" w:type="dxa"/>
            <w:shd w:val="clear" w:color="auto" w:fill="FFFFFF"/>
            <w:tcMar>
              <w:top w:w="60" w:type="dxa"/>
              <w:left w:w="90" w:type="dxa"/>
              <w:bottom w:w="60" w:type="dxa"/>
              <w:right w:w="90" w:type="dxa"/>
            </w:tcMar>
            <w:vAlign w:val="center"/>
          </w:tcPr>
          <w:p w14:paraId="131BE5C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3,701.8</w:t>
            </w:r>
          </w:p>
        </w:tc>
        <w:tc>
          <w:tcPr>
            <w:tcW w:w="1120" w:type="dxa"/>
            <w:shd w:val="clear" w:color="auto" w:fill="FFFFFF"/>
            <w:tcMar>
              <w:top w:w="60" w:type="dxa"/>
              <w:left w:w="90" w:type="dxa"/>
              <w:bottom w:w="60" w:type="dxa"/>
              <w:right w:w="90" w:type="dxa"/>
            </w:tcMar>
            <w:vAlign w:val="center"/>
          </w:tcPr>
          <w:p w14:paraId="304B30E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3,958.4</w:t>
            </w:r>
          </w:p>
        </w:tc>
        <w:tc>
          <w:tcPr>
            <w:tcW w:w="1120" w:type="dxa"/>
            <w:shd w:val="clear" w:color="auto" w:fill="FFFFFF"/>
            <w:tcMar>
              <w:top w:w="60" w:type="dxa"/>
              <w:left w:w="90" w:type="dxa"/>
              <w:bottom w:w="60" w:type="dxa"/>
              <w:right w:w="90" w:type="dxa"/>
            </w:tcMar>
            <w:vAlign w:val="center"/>
          </w:tcPr>
          <w:p w14:paraId="4F9FE27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4,098.4</w:t>
            </w:r>
          </w:p>
        </w:tc>
        <w:tc>
          <w:tcPr>
            <w:tcW w:w="1120" w:type="dxa"/>
            <w:shd w:val="clear" w:color="auto" w:fill="FFFFFF"/>
            <w:tcMar>
              <w:top w:w="60" w:type="dxa"/>
              <w:left w:w="90" w:type="dxa"/>
              <w:bottom w:w="60" w:type="dxa"/>
              <w:right w:w="90" w:type="dxa"/>
            </w:tcMar>
            <w:vAlign w:val="center"/>
          </w:tcPr>
          <w:p w14:paraId="43BEB85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4,233.8</w:t>
            </w:r>
          </w:p>
        </w:tc>
        <w:tc>
          <w:tcPr>
            <w:tcW w:w="1120" w:type="dxa"/>
            <w:shd w:val="clear" w:color="auto" w:fill="FFFFFF"/>
            <w:tcMar>
              <w:top w:w="60" w:type="dxa"/>
              <w:left w:w="90" w:type="dxa"/>
              <w:bottom w:w="60" w:type="dxa"/>
              <w:right w:w="90" w:type="dxa"/>
            </w:tcMar>
            <w:vAlign w:val="center"/>
          </w:tcPr>
          <w:p w14:paraId="06B25FF6"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4,523.1</w:t>
            </w:r>
          </w:p>
        </w:tc>
      </w:tr>
      <w:tr w:rsidR="004B578F" w14:paraId="3828CFF9" w14:textId="77777777" w:rsidTr="004B578F">
        <w:tc>
          <w:tcPr>
            <w:tcW w:w="3400" w:type="dxa"/>
            <w:shd w:val="clear" w:color="auto" w:fill="EAEEF5"/>
            <w:tcMar>
              <w:top w:w="60" w:type="dxa"/>
              <w:left w:w="90" w:type="dxa"/>
              <w:bottom w:w="60" w:type="dxa"/>
              <w:right w:w="90" w:type="dxa"/>
            </w:tcMar>
            <w:vAlign w:val="center"/>
          </w:tcPr>
          <w:p w14:paraId="2AC3D6E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Cash generated from operations</w:t>
            </w:r>
          </w:p>
        </w:tc>
        <w:tc>
          <w:tcPr>
            <w:tcW w:w="1120" w:type="dxa"/>
            <w:shd w:val="clear" w:color="auto" w:fill="EAEEF5"/>
            <w:tcMar>
              <w:top w:w="60" w:type="dxa"/>
              <w:left w:w="90" w:type="dxa"/>
              <w:bottom w:w="60" w:type="dxa"/>
              <w:right w:w="90" w:type="dxa"/>
            </w:tcMar>
            <w:vAlign w:val="center"/>
          </w:tcPr>
          <w:p w14:paraId="36176D4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693.7</w:t>
            </w:r>
          </w:p>
        </w:tc>
        <w:tc>
          <w:tcPr>
            <w:tcW w:w="1120" w:type="dxa"/>
            <w:shd w:val="clear" w:color="auto" w:fill="EAEEF5"/>
            <w:tcMar>
              <w:top w:w="60" w:type="dxa"/>
              <w:left w:w="90" w:type="dxa"/>
              <w:bottom w:w="60" w:type="dxa"/>
              <w:right w:w="90" w:type="dxa"/>
            </w:tcMar>
            <w:vAlign w:val="center"/>
          </w:tcPr>
          <w:p w14:paraId="3BC6FF3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996.3</w:t>
            </w:r>
          </w:p>
        </w:tc>
        <w:tc>
          <w:tcPr>
            <w:tcW w:w="1120" w:type="dxa"/>
            <w:shd w:val="clear" w:color="auto" w:fill="EAEEF5"/>
            <w:tcMar>
              <w:top w:w="60" w:type="dxa"/>
              <w:left w:w="90" w:type="dxa"/>
              <w:bottom w:w="60" w:type="dxa"/>
              <w:right w:w="90" w:type="dxa"/>
            </w:tcMar>
            <w:vAlign w:val="center"/>
          </w:tcPr>
          <w:p w14:paraId="5C3A18C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1,086.7</w:t>
            </w:r>
          </w:p>
        </w:tc>
        <w:tc>
          <w:tcPr>
            <w:tcW w:w="1120" w:type="dxa"/>
            <w:shd w:val="clear" w:color="auto" w:fill="EAEEF5"/>
            <w:tcMar>
              <w:top w:w="60" w:type="dxa"/>
              <w:left w:w="90" w:type="dxa"/>
              <w:bottom w:w="60" w:type="dxa"/>
              <w:right w:w="90" w:type="dxa"/>
            </w:tcMar>
            <w:vAlign w:val="center"/>
          </w:tcPr>
          <w:p w14:paraId="3BD579C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1,004.5</w:t>
            </w:r>
          </w:p>
        </w:tc>
        <w:tc>
          <w:tcPr>
            <w:tcW w:w="1120" w:type="dxa"/>
            <w:shd w:val="clear" w:color="auto" w:fill="EAEEF5"/>
            <w:tcMar>
              <w:top w:w="60" w:type="dxa"/>
              <w:left w:w="90" w:type="dxa"/>
              <w:bottom w:w="60" w:type="dxa"/>
              <w:right w:w="90" w:type="dxa"/>
            </w:tcMar>
            <w:vAlign w:val="center"/>
          </w:tcPr>
          <w:p w14:paraId="07ADF8A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1,072.6</w:t>
            </w:r>
          </w:p>
        </w:tc>
      </w:tr>
      <w:tr w:rsidR="004B578F" w14:paraId="0CDF1E8C" w14:textId="77777777" w:rsidTr="004B578F">
        <w:tc>
          <w:tcPr>
            <w:tcW w:w="3400" w:type="dxa"/>
            <w:shd w:val="clear" w:color="auto" w:fill="FFFFFF"/>
            <w:tcMar>
              <w:top w:w="60" w:type="dxa"/>
              <w:left w:w="90" w:type="dxa"/>
              <w:bottom w:w="60" w:type="dxa"/>
              <w:right w:w="90" w:type="dxa"/>
            </w:tcMar>
            <w:vAlign w:val="center"/>
          </w:tcPr>
          <w:p w14:paraId="10BF4ADE"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Net cash from operating activities</w:t>
            </w:r>
          </w:p>
        </w:tc>
        <w:tc>
          <w:tcPr>
            <w:tcW w:w="1120" w:type="dxa"/>
            <w:shd w:val="clear" w:color="auto" w:fill="FFFFFF"/>
            <w:tcMar>
              <w:top w:w="60" w:type="dxa"/>
              <w:left w:w="90" w:type="dxa"/>
              <w:bottom w:w="60" w:type="dxa"/>
              <w:right w:w="90" w:type="dxa"/>
            </w:tcMar>
            <w:vAlign w:val="center"/>
          </w:tcPr>
          <w:p w14:paraId="15A7DE1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508.7</w:t>
            </w:r>
          </w:p>
        </w:tc>
        <w:tc>
          <w:tcPr>
            <w:tcW w:w="1120" w:type="dxa"/>
            <w:shd w:val="clear" w:color="auto" w:fill="FFFFFF"/>
            <w:tcMar>
              <w:top w:w="60" w:type="dxa"/>
              <w:left w:w="90" w:type="dxa"/>
              <w:bottom w:w="60" w:type="dxa"/>
              <w:right w:w="90" w:type="dxa"/>
            </w:tcMar>
            <w:vAlign w:val="center"/>
          </w:tcPr>
          <w:p w14:paraId="64002871"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799.9</w:t>
            </w:r>
          </w:p>
        </w:tc>
        <w:tc>
          <w:tcPr>
            <w:tcW w:w="1120" w:type="dxa"/>
            <w:shd w:val="clear" w:color="auto" w:fill="FFFFFF"/>
            <w:tcMar>
              <w:top w:w="60" w:type="dxa"/>
              <w:left w:w="90" w:type="dxa"/>
              <w:bottom w:w="60" w:type="dxa"/>
              <w:right w:w="90" w:type="dxa"/>
            </w:tcMar>
            <w:vAlign w:val="center"/>
          </w:tcPr>
          <w:p w14:paraId="751C5C3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877.9</w:t>
            </w:r>
          </w:p>
        </w:tc>
        <w:tc>
          <w:tcPr>
            <w:tcW w:w="1120" w:type="dxa"/>
            <w:shd w:val="clear" w:color="auto" w:fill="FFFFFF"/>
            <w:tcMar>
              <w:top w:w="60" w:type="dxa"/>
              <w:left w:w="90" w:type="dxa"/>
              <w:bottom w:w="60" w:type="dxa"/>
              <w:right w:w="90" w:type="dxa"/>
            </w:tcMar>
            <w:vAlign w:val="center"/>
          </w:tcPr>
          <w:p w14:paraId="5C0A18F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761.7</w:t>
            </w:r>
          </w:p>
        </w:tc>
        <w:tc>
          <w:tcPr>
            <w:tcW w:w="1120" w:type="dxa"/>
            <w:shd w:val="clear" w:color="auto" w:fill="FFFFFF"/>
            <w:tcMar>
              <w:top w:w="60" w:type="dxa"/>
              <w:left w:w="90" w:type="dxa"/>
              <w:bottom w:w="60" w:type="dxa"/>
              <w:right w:w="90" w:type="dxa"/>
            </w:tcMar>
            <w:vAlign w:val="center"/>
          </w:tcPr>
          <w:p w14:paraId="0A6CD97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752.8</w:t>
            </w:r>
          </w:p>
        </w:tc>
      </w:tr>
      <w:tr w:rsidR="004B578F" w14:paraId="010F4A15" w14:textId="77777777" w:rsidTr="004B578F">
        <w:tc>
          <w:tcPr>
            <w:tcW w:w="3400" w:type="dxa"/>
            <w:shd w:val="clear" w:color="auto" w:fill="EAEEF5"/>
            <w:tcMar>
              <w:top w:w="60" w:type="dxa"/>
              <w:left w:w="90" w:type="dxa"/>
              <w:bottom w:w="60" w:type="dxa"/>
              <w:right w:w="90" w:type="dxa"/>
            </w:tcMar>
            <w:vAlign w:val="center"/>
          </w:tcPr>
          <w:p w14:paraId="66A3877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Purchase of property, plant and equipment</w:t>
            </w:r>
          </w:p>
        </w:tc>
        <w:tc>
          <w:tcPr>
            <w:tcW w:w="1120" w:type="dxa"/>
            <w:shd w:val="clear" w:color="auto" w:fill="EAEEF5"/>
            <w:tcMar>
              <w:top w:w="60" w:type="dxa"/>
              <w:left w:w="90" w:type="dxa"/>
              <w:bottom w:w="60" w:type="dxa"/>
              <w:right w:w="90" w:type="dxa"/>
            </w:tcMar>
            <w:vAlign w:val="center"/>
          </w:tcPr>
          <w:p w14:paraId="2A900F2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200.4</w:t>
            </w:r>
          </w:p>
        </w:tc>
        <w:tc>
          <w:tcPr>
            <w:tcW w:w="1120" w:type="dxa"/>
            <w:shd w:val="clear" w:color="auto" w:fill="EAEEF5"/>
            <w:tcMar>
              <w:top w:w="60" w:type="dxa"/>
              <w:left w:w="90" w:type="dxa"/>
              <w:bottom w:w="60" w:type="dxa"/>
              <w:right w:w="90" w:type="dxa"/>
            </w:tcMar>
            <w:vAlign w:val="center"/>
          </w:tcPr>
          <w:p w14:paraId="73A25D33"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482.0</w:t>
            </w:r>
          </w:p>
        </w:tc>
        <w:tc>
          <w:tcPr>
            <w:tcW w:w="1120" w:type="dxa"/>
            <w:shd w:val="clear" w:color="auto" w:fill="EAEEF5"/>
            <w:tcMar>
              <w:top w:w="60" w:type="dxa"/>
              <w:left w:w="90" w:type="dxa"/>
              <w:bottom w:w="60" w:type="dxa"/>
              <w:right w:w="90" w:type="dxa"/>
            </w:tcMar>
            <w:vAlign w:val="center"/>
          </w:tcPr>
          <w:p w14:paraId="36DE6E6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479.9</w:t>
            </w:r>
          </w:p>
        </w:tc>
        <w:tc>
          <w:tcPr>
            <w:tcW w:w="1120" w:type="dxa"/>
            <w:shd w:val="clear" w:color="auto" w:fill="EAEEF5"/>
            <w:tcMar>
              <w:top w:w="60" w:type="dxa"/>
              <w:left w:w="90" w:type="dxa"/>
              <w:bottom w:w="60" w:type="dxa"/>
              <w:right w:w="90" w:type="dxa"/>
            </w:tcMar>
            <w:vAlign w:val="center"/>
          </w:tcPr>
          <w:p w14:paraId="0E3E4F72"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466.4</w:t>
            </w:r>
          </w:p>
        </w:tc>
        <w:tc>
          <w:tcPr>
            <w:tcW w:w="1120" w:type="dxa"/>
            <w:shd w:val="clear" w:color="auto" w:fill="EAEEF5"/>
            <w:tcMar>
              <w:top w:w="60" w:type="dxa"/>
              <w:left w:w="90" w:type="dxa"/>
              <w:bottom w:w="60" w:type="dxa"/>
              <w:right w:w="90" w:type="dxa"/>
            </w:tcMar>
            <w:vAlign w:val="center"/>
          </w:tcPr>
          <w:p w14:paraId="077A7CB8"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655.7</w:t>
            </w:r>
          </w:p>
        </w:tc>
      </w:tr>
      <w:tr w:rsidR="004B578F" w14:paraId="2B0085EB" w14:textId="77777777" w:rsidTr="004B578F">
        <w:tc>
          <w:tcPr>
            <w:tcW w:w="3400" w:type="dxa"/>
            <w:shd w:val="clear" w:color="auto" w:fill="FFFFFF"/>
            <w:tcMar>
              <w:top w:w="60" w:type="dxa"/>
              <w:left w:w="90" w:type="dxa"/>
              <w:bottom w:w="60" w:type="dxa"/>
              <w:right w:w="90" w:type="dxa"/>
            </w:tcMar>
            <w:vAlign w:val="center"/>
          </w:tcPr>
          <w:p w14:paraId="4299B3B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Investment in intangible assets</w:t>
            </w:r>
          </w:p>
        </w:tc>
        <w:tc>
          <w:tcPr>
            <w:tcW w:w="1120" w:type="dxa"/>
            <w:shd w:val="clear" w:color="auto" w:fill="FFFFFF"/>
            <w:tcMar>
              <w:top w:w="60" w:type="dxa"/>
              <w:left w:w="90" w:type="dxa"/>
              <w:bottom w:w="60" w:type="dxa"/>
              <w:right w:w="90" w:type="dxa"/>
            </w:tcMar>
            <w:vAlign w:val="center"/>
          </w:tcPr>
          <w:p w14:paraId="1D8F394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21.1</w:t>
            </w:r>
          </w:p>
        </w:tc>
        <w:tc>
          <w:tcPr>
            <w:tcW w:w="1120" w:type="dxa"/>
            <w:shd w:val="clear" w:color="auto" w:fill="FFFFFF"/>
            <w:tcMar>
              <w:top w:w="60" w:type="dxa"/>
              <w:left w:w="90" w:type="dxa"/>
              <w:bottom w:w="60" w:type="dxa"/>
              <w:right w:w="90" w:type="dxa"/>
            </w:tcMar>
            <w:vAlign w:val="center"/>
          </w:tcPr>
          <w:p w14:paraId="1A957C5D"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36.8</w:t>
            </w:r>
          </w:p>
        </w:tc>
        <w:tc>
          <w:tcPr>
            <w:tcW w:w="1120" w:type="dxa"/>
            <w:shd w:val="clear" w:color="auto" w:fill="FFFFFF"/>
            <w:tcMar>
              <w:top w:w="60" w:type="dxa"/>
              <w:left w:w="90" w:type="dxa"/>
              <w:bottom w:w="60" w:type="dxa"/>
              <w:right w:w="90" w:type="dxa"/>
            </w:tcMar>
            <w:vAlign w:val="center"/>
          </w:tcPr>
          <w:p w14:paraId="73D0C34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28.6</w:t>
            </w:r>
          </w:p>
        </w:tc>
        <w:tc>
          <w:tcPr>
            <w:tcW w:w="1120" w:type="dxa"/>
            <w:shd w:val="clear" w:color="auto" w:fill="FFFFFF"/>
            <w:tcMar>
              <w:top w:w="60" w:type="dxa"/>
              <w:left w:w="90" w:type="dxa"/>
              <w:bottom w:w="60" w:type="dxa"/>
              <w:right w:w="90" w:type="dxa"/>
            </w:tcMar>
            <w:vAlign w:val="center"/>
          </w:tcPr>
          <w:p w14:paraId="2ADFEC7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19.6</w:t>
            </w:r>
          </w:p>
        </w:tc>
        <w:tc>
          <w:tcPr>
            <w:tcW w:w="1120" w:type="dxa"/>
            <w:shd w:val="clear" w:color="auto" w:fill="FFFFFF"/>
            <w:tcMar>
              <w:top w:w="60" w:type="dxa"/>
              <w:left w:w="90" w:type="dxa"/>
              <w:bottom w:w="60" w:type="dxa"/>
              <w:right w:w="90" w:type="dxa"/>
            </w:tcMar>
            <w:vAlign w:val="center"/>
          </w:tcPr>
          <w:p w14:paraId="6B80105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19.7</w:t>
            </w:r>
          </w:p>
        </w:tc>
      </w:tr>
      <w:tr w:rsidR="004B578F" w14:paraId="6696D0F5" w14:textId="77777777" w:rsidTr="004B578F">
        <w:tc>
          <w:tcPr>
            <w:tcW w:w="3400" w:type="dxa"/>
            <w:shd w:val="clear" w:color="auto" w:fill="EAEEF5"/>
            <w:tcMar>
              <w:top w:w="60" w:type="dxa"/>
              <w:left w:w="90" w:type="dxa"/>
              <w:bottom w:w="60" w:type="dxa"/>
              <w:right w:w="90" w:type="dxa"/>
            </w:tcMar>
            <w:vAlign w:val="center"/>
          </w:tcPr>
          <w:p w14:paraId="4E1E62C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Dividends paid</w:t>
            </w:r>
          </w:p>
        </w:tc>
        <w:tc>
          <w:tcPr>
            <w:tcW w:w="1120" w:type="dxa"/>
            <w:shd w:val="clear" w:color="auto" w:fill="EAEEF5"/>
            <w:tcMar>
              <w:top w:w="60" w:type="dxa"/>
              <w:left w:w="90" w:type="dxa"/>
              <w:bottom w:w="60" w:type="dxa"/>
              <w:right w:w="90" w:type="dxa"/>
            </w:tcMar>
            <w:vAlign w:val="center"/>
          </w:tcPr>
          <w:p w14:paraId="7EC1824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w:t>
            </w:r>
          </w:p>
        </w:tc>
        <w:tc>
          <w:tcPr>
            <w:tcW w:w="1120" w:type="dxa"/>
            <w:shd w:val="clear" w:color="auto" w:fill="EAEEF5"/>
            <w:tcMar>
              <w:top w:w="60" w:type="dxa"/>
              <w:left w:w="90" w:type="dxa"/>
              <w:bottom w:w="60" w:type="dxa"/>
              <w:right w:w="90" w:type="dxa"/>
            </w:tcMar>
            <w:vAlign w:val="center"/>
          </w:tcPr>
          <w:p w14:paraId="60AED665"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119.1</w:t>
            </w:r>
          </w:p>
        </w:tc>
        <w:tc>
          <w:tcPr>
            <w:tcW w:w="1120" w:type="dxa"/>
            <w:shd w:val="clear" w:color="auto" w:fill="EAEEF5"/>
            <w:tcMar>
              <w:top w:w="60" w:type="dxa"/>
              <w:left w:w="90" w:type="dxa"/>
              <w:bottom w:w="60" w:type="dxa"/>
              <w:right w:w="90" w:type="dxa"/>
            </w:tcMar>
            <w:vAlign w:val="center"/>
          </w:tcPr>
          <w:p w14:paraId="2E63D85A"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164.7</w:t>
            </w:r>
          </w:p>
        </w:tc>
        <w:tc>
          <w:tcPr>
            <w:tcW w:w="1120" w:type="dxa"/>
            <w:shd w:val="clear" w:color="auto" w:fill="EAEEF5"/>
            <w:tcMar>
              <w:top w:w="60" w:type="dxa"/>
              <w:left w:w="90" w:type="dxa"/>
              <w:bottom w:w="60" w:type="dxa"/>
              <w:right w:w="90" w:type="dxa"/>
            </w:tcMar>
            <w:vAlign w:val="center"/>
          </w:tcPr>
          <w:p w14:paraId="476FD19B"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178.1</w:t>
            </w:r>
          </w:p>
        </w:tc>
        <w:tc>
          <w:tcPr>
            <w:tcW w:w="1120" w:type="dxa"/>
            <w:shd w:val="clear" w:color="auto" w:fill="EAEEF5"/>
            <w:tcMar>
              <w:top w:w="60" w:type="dxa"/>
              <w:left w:w="90" w:type="dxa"/>
              <w:bottom w:w="60" w:type="dxa"/>
              <w:right w:w="90" w:type="dxa"/>
            </w:tcMar>
            <w:vAlign w:val="center"/>
          </w:tcPr>
          <w:p w14:paraId="27C90A24"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168.8</w:t>
            </w:r>
          </w:p>
        </w:tc>
      </w:tr>
      <w:tr w:rsidR="004B578F" w14:paraId="7B7A9556" w14:textId="77777777" w:rsidTr="004B578F">
        <w:tc>
          <w:tcPr>
            <w:tcW w:w="3400" w:type="dxa"/>
            <w:shd w:val="clear" w:color="auto" w:fill="FFFFFF"/>
            <w:tcMar>
              <w:top w:w="60" w:type="dxa"/>
              <w:left w:w="90" w:type="dxa"/>
              <w:bottom w:w="60" w:type="dxa"/>
              <w:right w:w="90" w:type="dxa"/>
            </w:tcMar>
            <w:vAlign w:val="center"/>
          </w:tcPr>
          <w:p w14:paraId="42DB2497"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Cost of inventories recognised as expense</w:t>
            </w:r>
          </w:p>
        </w:tc>
        <w:tc>
          <w:tcPr>
            <w:tcW w:w="1120" w:type="dxa"/>
            <w:shd w:val="clear" w:color="auto" w:fill="FFFFFF"/>
            <w:tcMar>
              <w:top w:w="60" w:type="dxa"/>
              <w:left w:w="90" w:type="dxa"/>
              <w:bottom w:w="60" w:type="dxa"/>
              <w:right w:w="90" w:type="dxa"/>
            </w:tcMar>
            <w:vAlign w:val="center"/>
          </w:tcPr>
          <w:p w14:paraId="6C1789A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146.6</w:t>
            </w:r>
          </w:p>
        </w:tc>
        <w:tc>
          <w:tcPr>
            <w:tcW w:w="1120" w:type="dxa"/>
            <w:shd w:val="clear" w:color="auto" w:fill="FFFFFF"/>
            <w:tcMar>
              <w:top w:w="60" w:type="dxa"/>
              <w:left w:w="90" w:type="dxa"/>
              <w:bottom w:w="60" w:type="dxa"/>
              <w:right w:w="90" w:type="dxa"/>
            </w:tcMar>
            <w:vAlign w:val="center"/>
          </w:tcPr>
          <w:p w14:paraId="5E097D00"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229.0</w:t>
            </w:r>
          </w:p>
        </w:tc>
        <w:tc>
          <w:tcPr>
            <w:tcW w:w="1120" w:type="dxa"/>
            <w:shd w:val="clear" w:color="auto" w:fill="FFFFFF"/>
            <w:tcMar>
              <w:top w:w="60" w:type="dxa"/>
              <w:left w:w="90" w:type="dxa"/>
              <w:bottom w:w="60" w:type="dxa"/>
              <w:right w:w="90" w:type="dxa"/>
            </w:tcMar>
            <w:vAlign w:val="center"/>
          </w:tcPr>
          <w:p w14:paraId="2D0D4A09"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255.1</w:t>
            </w:r>
          </w:p>
        </w:tc>
        <w:tc>
          <w:tcPr>
            <w:tcW w:w="1120" w:type="dxa"/>
            <w:shd w:val="clear" w:color="auto" w:fill="FFFFFF"/>
            <w:tcMar>
              <w:top w:w="60" w:type="dxa"/>
              <w:left w:w="90" w:type="dxa"/>
              <w:bottom w:w="60" w:type="dxa"/>
              <w:right w:w="90" w:type="dxa"/>
            </w:tcMar>
            <w:vAlign w:val="center"/>
          </w:tcPr>
          <w:p w14:paraId="71DDF75C"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225.7</w:t>
            </w:r>
          </w:p>
        </w:tc>
        <w:tc>
          <w:tcPr>
            <w:tcW w:w="1120" w:type="dxa"/>
            <w:shd w:val="clear" w:color="auto" w:fill="FFFFFF"/>
            <w:tcMar>
              <w:top w:w="60" w:type="dxa"/>
              <w:left w:w="90" w:type="dxa"/>
              <w:bottom w:w="60" w:type="dxa"/>
              <w:right w:w="90" w:type="dxa"/>
            </w:tcMar>
            <w:vAlign w:val="center"/>
          </w:tcPr>
          <w:p w14:paraId="6B67782F" w14:textId="77777777" w:rsidR="004B578F" w:rsidRPr="004B578F" w:rsidRDefault="004B578F" w:rsidP="004B578F">
            <w:pPr>
              <w:jc w:val="center"/>
              <w:rPr>
                <w:sz w:val="18"/>
                <w:szCs w:val="18"/>
              </w:rPr>
            </w:pPr>
            <w:r w:rsidRPr="004B578F">
              <w:rPr>
                <w:rFonts w:ascii="Calibri" w:eastAsia="Calibri" w:hAnsi="Calibri" w:cs="Calibri"/>
                <w:color w:val="000000"/>
                <w:sz w:val="18"/>
                <w:szCs w:val="18"/>
              </w:rPr>
              <w:t>215.1</w:t>
            </w:r>
          </w:p>
        </w:tc>
      </w:tr>
    </w:tbl>
    <w:p w14:paraId="28C00499" w14:textId="77777777" w:rsidR="004B578F" w:rsidRDefault="004B578F" w:rsidP="004B578F">
      <w:pPr>
        <w:spacing w:before="60" w:after="220"/>
        <w:rPr>
          <w:rFonts w:ascii="Calibri" w:eastAsia="Calibri" w:hAnsi="Calibri" w:cs="Calibri"/>
          <w:i/>
          <w:iCs/>
          <w:color w:val="555555"/>
          <w:sz w:val="17"/>
          <w:szCs w:val="17"/>
        </w:rPr>
      </w:pPr>
      <w:r>
        <w:rPr>
          <w:rFonts w:ascii="Calibri" w:eastAsia="Calibri" w:hAnsi="Calibri" w:cs="Calibri"/>
          <w:i/>
          <w:iCs/>
          <w:color w:val="555555"/>
          <w:sz w:val="17"/>
          <w:szCs w:val="17"/>
        </w:rPr>
        <w:t>Source: Whitbread PLC Annual Report and Accounts 2021/22, 2023/24 and 2025/26 (each report supplying the current year and the comparative year).</w:t>
      </w:r>
    </w:p>
    <w:p w14:paraId="70574768" w14:textId="77777777" w:rsidR="004B578F" w:rsidRDefault="004B578F" w:rsidP="004B578F">
      <w:pPr>
        <w:spacing w:before="60" w:after="220"/>
        <w:rPr>
          <w:rFonts w:ascii="Calibri" w:eastAsia="Calibri" w:hAnsi="Calibri" w:cs="Calibri"/>
          <w:i/>
          <w:iCs/>
          <w:color w:val="555555"/>
          <w:sz w:val="17"/>
          <w:szCs w:val="17"/>
        </w:rPr>
      </w:pPr>
    </w:p>
    <w:p w14:paraId="4E23469F" w14:textId="77777777" w:rsidR="004B578F" w:rsidRDefault="004B578F" w:rsidP="004B578F">
      <w:pPr>
        <w:spacing w:before="60" w:after="220"/>
        <w:rPr>
          <w:rFonts w:ascii="Calibri" w:eastAsia="Calibri" w:hAnsi="Calibri" w:cs="Calibri"/>
          <w:i/>
          <w:iCs/>
          <w:color w:val="555555"/>
          <w:sz w:val="17"/>
          <w:szCs w:val="17"/>
        </w:rPr>
      </w:pPr>
    </w:p>
    <w:p w14:paraId="0AC36F3F" w14:textId="77777777" w:rsidR="004B578F" w:rsidRDefault="004B578F" w:rsidP="004B578F">
      <w:pPr>
        <w:spacing w:before="60" w:after="220"/>
        <w:rPr>
          <w:rFonts w:ascii="Calibri" w:eastAsia="Calibri" w:hAnsi="Calibri" w:cs="Calibri"/>
          <w:i/>
          <w:iCs/>
          <w:color w:val="555555"/>
          <w:sz w:val="17"/>
          <w:szCs w:val="17"/>
        </w:rPr>
      </w:pPr>
    </w:p>
    <w:p w14:paraId="488FA035" w14:textId="77777777" w:rsidR="004B578F" w:rsidRDefault="004B578F" w:rsidP="004B578F">
      <w:pPr>
        <w:spacing w:before="60" w:after="220"/>
        <w:rPr>
          <w:rFonts w:ascii="Calibri" w:eastAsia="Calibri" w:hAnsi="Calibri" w:cs="Calibri"/>
          <w:i/>
          <w:iCs/>
          <w:color w:val="555555"/>
          <w:sz w:val="17"/>
          <w:szCs w:val="17"/>
        </w:rPr>
      </w:pPr>
    </w:p>
    <w:p w14:paraId="6A3D2289" w14:textId="77777777" w:rsidR="004B578F" w:rsidRDefault="004B578F" w:rsidP="004B578F">
      <w:pPr>
        <w:spacing w:before="60" w:after="220"/>
        <w:rPr>
          <w:rFonts w:ascii="Calibri" w:eastAsia="Calibri" w:hAnsi="Calibri" w:cs="Calibri"/>
          <w:i/>
          <w:iCs/>
          <w:color w:val="555555"/>
          <w:sz w:val="17"/>
          <w:szCs w:val="17"/>
        </w:rPr>
      </w:pPr>
    </w:p>
    <w:p w14:paraId="56762DD1" w14:textId="77777777" w:rsidR="004B578F" w:rsidRDefault="004B578F" w:rsidP="004B578F">
      <w:pPr>
        <w:spacing w:before="60" w:after="220"/>
        <w:rPr>
          <w:rFonts w:ascii="Calibri" w:eastAsia="Calibri" w:hAnsi="Calibri" w:cs="Calibri"/>
          <w:i/>
          <w:iCs/>
          <w:color w:val="555555"/>
          <w:sz w:val="17"/>
          <w:szCs w:val="17"/>
        </w:rPr>
      </w:pPr>
    </w:p>
    <w:p w14:paraId="3C441444" w14:textId="77777777" w:rsidR="004B578F" w:rsidRDefault="004B578F" w:rsidP="004B578F">
      <w:pPr>
        <w:spacing w:before="60" w:after="220"/>
        <w:rPr>
          <w:rFonts w:ascii="Calibri" w:eastAsia="Calibri" w:hAnsi="Calibri" w:cs="Calibri"/>
          <w:i/>
          <w:iCs/>
          <w:color w:val="555555"/>
          <w:sz w:val="17"/>
          <w:szCs w:val="17"/>
        </w:rPr>
      </w:pPr>
    </w:p>
    <w:p w14:paraId="5CE3AB4C" w14:textId="77777777" w:rsidR="004B578F" w:rsidRDefault="004B578F" w:rsidP="004B578F">
      <w:pPr>
        <w:spacing w:before="60" w:after="220"/>
        <w:rPr>
          <w:rFonts w:ascii="Calibri" w:eastAsia="Calibri" w:hAnsi="Calibri" w:cs="Calibri"/>
          <w:i/>
          <w:iCs/>
          <w:color w:val="555555"/>
          <w:sz w:val="17"/>
          <w:szCs w:val="17"/>
        </w:rPr>
      </w:pPr>
    </w:p>
    <w:p w14:paraId="282DB498" w14:textId="6FC34EC6" w:rsidR="004B578F" w:rsidRDefault="004B578F" w:rsidP="004B578F">
      <w:pPr>
        <w:pStyle w:val="Heading1"/>
        <w:numPr>
          <w:ilvl w:val="0"/>
          <w:numId w:val="0"/>
        </w:numPr>
        <w:ind w:left="432"/>
      </w:pPr>
      <w:bookmarkStart w:id="49" w:name="_Toc237514464"/>
      <w:r>
        <w:t>Appendix B: Full ratio calculation tables</w:t>
      </w:r>
      <w:bookmarkEnd w:id="49"/>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900"/>
        <w:gridCol w:w="1020"/>
        <w:gridCol w:w="1020"/>
        <w:gridCol w:w="1020"/>
        <w:gridCol w:w="1020"/>
        <w:gridCol w:w="1020"/>
      </w:tblGrid>
      <w:tr w:rsidR="004B578F" w:rsidRPr="004B578F" w14:paraId="7FAECE56" w14:textId="77777777" w:rsidTr="004B578F">
        <w:trPr>
          <w:tblHeader/>
        </w:trPr>
        <w:tc>
          <w:tcPr>
            <w:tcW w:w="3900" w:type="dxa"/>
            <w:shd w:val="clear" w:color="auto" w:fill="1F3864"/>
            <w:tcMar>
              <w:top w:w="60" w:type="dxa"/>
              <w:left w:w="90" w:type="dxa"/>
              <w:bottom w:w="60" w:type="dxa"/>
              <w:right w:w="90" w:type="dxa"/>
            </w:tcMar>
            <w:vAlign w:val="center"/>
          </w:tcPr>
          <w:p w14:paraId="649365B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Ratio and formula</w:t>
            </w:r>
          </w:p>
        </w:tc>
        <w:tc>
          <w:tcPr>
            <w:tcW w:w="1020" w:type="dxa"/>
            <w:shd w:val="clear" w:color="auto" w:fill="1F3864"/>
            <w:tcMar>
              <w:top w:w="60" w:type="dxa"/>
              <w:left w:w="90" w:type="dxa"/>
              <w:bottom w:w="60" w:type="dxa"/>
              <w:right w:w="90" w:type="dxa"/>
            </w:tcMar>
            <w:vAlign w:val="center"/>
          </w:tcPr>
          <w:p w14:paraId="05B30CC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FY2022</w:t>
            </w:r>
          </w:p>
        </w:tc>
        <w:tc>
          <w:tcPr>
            <w:tcW w:w="1020" w:type="dxa"/>
            <w:shd w:val="clear" w:color="auto" w:fill="1F3864"/>
            <w:tcMar>
              <w:top w:w="60" w:type="dxa"/>
              <w:left w:w="90" w:type="dxa"/>
              <w:bottom w:w="60" w:type="dxa"/>
              <w:right w:w="90" w:type="dxa"/>
            </w:tcMar>
            <w:vAlign w:val="center"/>
          </w:tcPr>
          <w:p w14:paraId="40FE179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FY2023</w:t>
            </w:r>
          </w:p>
        </w:tc>
        <w:tc>
          <w:tcPr>
            <w:tcW w:w="1020" w:type="dxa"/>
            <w:shd w:val="clear" w:color="auto" w:fill="1F3864"/>
            <w:tcMar>
              <w:top w:w="60" w:type="dxa"/>
              <w:left w:w="90" w:type="dxa"/>
              <w:bottom w:w="60" w:type="dxa"/>
              <w:right w:w="90" w:type="dxa"/>
            </w:tcMar>
            <w:vAlign w:val="center"/>
          </w:tcPr>
          <w:p w14:paraId="6EDAF76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FY2024</w:t>
            </w:r>
          </w:p>
        </w:tc>
        <w:tc>
          <w:tcPr>
            <w:tcW w:w="1020" w:type="dxa"/>
            <w:shd w:val="clear" w:color="auto" w:fill="1F3864"/>
            <w:tcMar>
              <w:top w:w="60" w:type="dxa"/>
              <w:left w:w="90" w:type="dxa"/>
              <w:bottom w:w="60" w:type="dxa"/>
              <w:right w:w="90" w:type="dxa"/>
            </w:tcMar>
            <w:vAlign w:val="center"/>
          </w:tcPr>
          <w:p w14:paraId="61513F0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FY2025</w:t>
            </w:r>
          </w:p>
        </w:tc>
        <w:tc>
          <w:tcPr>
            <w:tcW w:w="1020" w:type="dxa"/>
            <w:shd w:val="clear" w:color="auto" w:fill="1F3864"/>
            <w:tcMar>
              <w:top w:w="60" w:type="dxa"/>
              <w:left w:w="90" w:type="dxa"/>
              <w:bottom w:w="60" w:type="dxa"/>
              <w:right w:w="90" w:type="dxa"/>
            </w:tcMar>
            <w:vAlign w:val="center"/>
          </w:tcPr>
          <w:p w14:paraId="04EC7E1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b/>
                <w:bCs/>
                <w:color w:val="FFFFFF"/>
                <w:sz w:val="18"/>
                <w:szCs w:val="18"/>
              </w:rPr>
              <w:t>FY2026</w:t>
            </w:r>
          </w:p>
        </w:tc>
      </w:tr>
      <w:tr w:rsidR="004B578F" w:rsidRPr="004B578F" w14:paraId="339D55B2" w14:textId="77777777" w:rsidTr="004B578F">
        <w:tc>
          <w:tcPr>
            <w:tcW w:w="3900" w:type="dxa"/>
            <w:shd w:val="clear" w:color="auto" w:fill="FFFFFF"/>
            <w:tcMar>
              <w:top w:w="60" w:type="dxa"/>
              <w:left w:w="90" w:type="dxa"/>
              <w:bottom w:w="60" w:type="dxa"/>
              <w:right w:w="90" w:type="dxa"/>
            </w:tcMar>
            <w:vAlign w:val="center"/>
          </w:tcPr>
          <w:p w14:paraId="702EB51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Operating margin = operating profit ÷ revenue (%)</w:t>
            </w:r>
          </w:p>
        </w:tc>
        <w:tc>
          <w:tcPr>
            <w:tcW w:w="1020" w:type="dxa"/>
            <w:shd w:val="clear" w:color="auto" w:fill="FFFFFF"/>
            <w:tcMar>
              <w:top w:w="60" w:type="dxa"/>
              <w:left w:w="90" w:type="dxa"/>
              <w:bottom w:w="60" w:type="dxa"/>
              <w:right w:w="90" w:type="dxa"/>
            </w:tcMar>
            <w:vAlign w:val="center"/>
          </w:tcPr>
          <w:p w14:paraId="4AE663A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13.34</w:t>
            </w:r>
          </w:p>
        </w:tc>
        <w:tc>
          <w:tcPr>
            <w:tcW w:w="1020" w:type="dxa"/>
            <w:shd w:val="clear" w:color="auto" w:fill="FFFFFF"/>
            <w:tcMar>
              <w:top w:w="60" w:type="dxa"/>
              <w:left w:w="90" w:type="dxa"/>
              <w:bottom w:w="60" w:type="dxa"/>
              <w:right w:w="90" w:type="dxa"/>
            </w:tcMar>
            <w:vAlign w:val="center"/>
          </w:tcPr>
          <w:p w14:paraId="038A33A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19.24</w:t>
            </w:r>
          </w:p>
        </w:tc>
        <w:tc>
          <w:tcPr>
            <w:tcW w:w="1020" w:type="dxa"/>
            <w:shd w:val="clear" w:color="auto" w:fill="FFFFFF"/>
            <w:tcMar>
              <w:top w:w="60" w:type="dxa"/>
              <w:left w:w="90" w:type="dxa"/>
              <w:bottom w:w="60" w:type="dxa"/>
              <w:right w:w="90" w:type="dxa"/>
            </w:tcMar>
            <w:vAlign w:val="center"/>
          </w:tcPr>
          <w:p w14:paraId="67ED08D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19.08</w:t>
            </w:r>
          </w:p>
        </w:tc>
        <w:tc>
          <w:tcPr>
            <w:tcW w:w="1020" w:type="dxa"/>
            <w:shd w:val="clear" w:color="auto" w:fill="FFFFFF"/>
            <w:tcMar>
              <w:top w:w="60" w:type="dxa"/>
              <w:left w:w="90" w:type="dxa"/>
              <w:bottom w:w="60" w:type="dxa"/>
              <w:right w:w="90" w:type="dxa"/>
            </w:tcMar>
            <w:vAlign w:val="center"/>
          </w:tcPr>
          <w:p w14:paraId="0B78817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17.59</w:t>
            </w:r>
          </w:p>
        </w:tc>
        <w:tc>
          <w:tcPr>
            <w:tcW w:w="1020" w:type="dxa"/>
            <w:shd w:val="clear" w:color="auto" w:fill="FFFFFF"/>
            <w:tcMar>
              <w:top w:w="60" w:type="dxa"/>
              <w:left w:w="90" w:type="dxa"/>
              <w:bottom w:w="60" w:type="dxa"/>
              <w:right w:w="90" w:type="dxa"/>
            </w:tcMar>
            <w:vAlign w:val="center"/>
          </w:tcPr>
          <w:p w14:paraId="290B5A8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15.90</w:t>
            </w:r>
          </w:p>
        </w:tc>
      </w:tr>
      <w:tr w:rsidR="004B578F" w:rsidRPr="004B578F" w14:paraId="7B7A53C8" w14:textId="77777777" w:rsidTr="004B578F">
        <w:tc>
          <w:tcPr>
            <w:tcW w:w="3900" w:type="dxa"/>
            <w:shd w:val="clear" w:color="auto" w:fill="EAEEF5"/>
            <w:tcMar>
              <w:top w:w="60" w:type="dxa"/>
              <w:left w:w="90" w:type="dxa"/>
              <w:bottom w:w="60" w:type="dxa"/>
              <w:right w:w="90" w:type="dxa"/>
            </w:tcMar>
            <w:vAlign w:val="center"/>
          </w:tcPr>
          <w:p w14:paraId="35ED674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Adjusted operating margin (%)</w:t>
            </w:r>
          </w:p>
        </w:tc>
        <w:tc>
          <w:tcPr>
            <w:tcW w:w="1020" w:type="dxa"/>
            <w:shd w:val="clear" w:color="auto" w:fill="EAEEF5"/>
            <w:tcMar>
              <w:top w:w="60" w:type="dxa"/>
              <w:left w:w="90" w:type="dxa"/>
              <w:bottom w:w="60" w:type="dxa"/>
              <w:right w:w="90" w:type="dxa"/>
            </w:tcMar>
            <w:vAlign w:val="center"/>
          </w:tcPr>
          <w:p w14:paraId="6F9FF1E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9.00</w:t>
            </w:r>
          </w:p>
        </w:tc>
        <w:tc>
          <w:tcPr>
            <w:tcW w:w="1020" w:type="dxa"/>
            <w:shd w:val="clear" w:color="auto" w:fill="EAEEF5"/>
            <w:tcMar>
              <w:top w:w="60" w:type="dxa"/>
              <w:left w:w="90" w:type="dxa"/>
              <w:bottom w:w="60" w:type="dxa"/>
              <w:right w:w="90" w:type="dxa"/>
            </w:tcMar>
            <w:vAlign w:val="center"/>
          </w:tcPr>
          <w:p w14:paraId="6610D07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20.70</w:t>
            </w:r>
          </w:p>
        </w:tc>
        <w:tc>
          <w:tcPr>
            <w:tcW w:w="1020" w:type="dxa"/>
            <w:shd w:val="clear" w:color="auto" w:fill="EAEEF5"/>
            <w:tcMar>
              <w:top w:w="60" w:type="dxa"/>
              <w:left w:w="90" w:type="dxa"/>
              <w:bottom w:w="60" w:type="dxa"/>
              <w:right w:w="90" w:type="dxa"/>
            </w:tcMar>
            <w:vAlign w:val="center"/>
          </w:tcPr>
          <w:p w14:paraId="2E1B18A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22.78</w:t>
            </w:r>
          </w:p>
        </w:tc>
        <w:tc>
          <w:tcPr>
            <w:tcW w:w="1020" w:type="dxa"/>
            <w:shd w:val="clear" w:color="auto" w:fill="EAEEF5"/>
            <w:tcMar>
              <w:top w:w="60" w:type="dxa"/>
              <w:left w:w="90" w:type="dxa"/>
              <w:bottom w:w="60" w:type="dxa"/>
              <w:right w:w="90" w:type="dxa"/>
            </w:tcMar>
            <w:vAlign w:val="center"/>
          </w:tcPr>
          <w:p w14:paraId="608DEFA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21.55</w:t>
            </w:r>
          </w:p>
        </w:tc>
        <w:tc>
          <w:tcPr>
            <w:tcW w:w="1020" w:type="dxa"/>
            <w:shd w:val="clear" w:color="auto" w:fill="EAEEF5"/>
            <w:tcMar>
              <w:top w:w="60" w:type="dxa"/>
              <w:left w:w="90" w:type="dxa"/>
              <w:bottom w:w="60" w:type="dxa"/>
              <w:right w:w="90" w:type="dxa"/>
            </w:tcMar>
            <w:vAlign w:val="center"/>
          </w:tcPr>
          <w:p w14:paraId="402F8E7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22.22</w:t>
            </w:r>
          </w:p>
        </w:tc>
      </w:tr>
      <w:tr w:rsidR="004B578F" w:rsidRPr="004B578F" w14:paraId="76D52BF5" w14:textId="77777777" w:rsidTr="004B578F">
        <w:tc>
          <w:tcPr>
            <w:tcW w:w="3900" w:type="dxa"/>
            <w:shd w:val="clear" w:color="auto" w:fill="FFFFFF"/>
            <w:tcMar>
              <w:top w:w="60" w:type="dxa"/>
              <w:left w:w="90" w:type="dxa"/>
              <w:bottom w:w="60" w:type="dxa"/>
              <w:right w:w="90" w:type="dxa"/>
            </w:tcMar>
            <w:vAlign w:val="center"/>
          </w:tcPr>
          <w:p w14:paraId="1EED21F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Net profit margin = profit for year ÷ revenue (%)</w:t>
            </w:r>
          </w:p>
        </w:tc>
        <w:tc>
          <w:tcPr>
            <w:tcW w:w="1020" w:type="dxa"/>
            <w:shd w:val="clear" w:color="auto" w:fill="FFFFFF"/>
            <w:tcMar>
              <w:top w:w="60" w:type="dxa"/>
              <w:left w:w="90" w:type="dxa"/>
              <w:bottom w:w="60" w:type="dxa"/>
              <w:right w:w="90" w:type="dxa"/>
            </w:tcMar>
            <w:vAlign w:val="center"/>
          </w:tcPr>
          <w:p w14:paraId="0A3C890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2.50</w:t>
            </w:r>
          </w:p>
        </w:tc>
        <w:tc>
          <w:tcPr>
            <w:tcW w:w="1020" w:type="dxa"/>
            <w:shd w:val="clear" w:color="auto" w:fill="FFFFFF"/>
            <w:tcMar>
              <w:top w:w="60" w:type="dxa"/>
              <w:left w:w="90" w:type="dxa"/>
              <w:bottom w:w="60" w:type="dxa"/>
              <w:right w:w="90" w:type="dxa"/>
            </w:tcMar>
            <w:vAlign w:val="center"/>
          </w:tcPr>
          <w:p w14:paraId="4F62716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10.62</w:t>
            </w:r>
          </w:p>
        </w:tc>
        <w:tc>
          <w:tcPr>
            <w:tcW w:w="1020" w:type="dxa"/>
            <w:shd w:val="clear" w:color="auto" w:fill="FFFFFF"/>
            <w:tcMar>
              <w:top w:w="60" w:type="dxa"/>
              <w:left w:w="90" w:type="dxa"/>
              <w:bottom w:w="60" w:type="dxa"/>
              <w:right w:w="90" w:type="dxa"/>
            </w:tcMar>
            <w:vAlign w:val="center"/>
          </w:tcPr>
          <w:p w14:paraId="0EA5EA7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10.54</w:t>
            </w:r>
          </w:p>
        </w:tc>
        <w:tc>
          <w:tcPr>
            <w:tcW w:w="1020" w:type="dxa"/>
            <w:shd w:val="clear" w:color="auto" w:fill="FFFFFF"/>
            <w:tcMar>
              <w:top w:w="60" w:type="dxa"/>
              <w:left w:w="90" w:type="dxa"/>
              <w:bottom w:w="60" w:type="dxa"/>
              <w:right w:w="90" w:type="dxa"/>
            </w:tcMar>
            <w:vAlign w:val="center"/>
          </w:tcPr>
          <w:p w14:paraId="0E20B3D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8.68</w:t>
            </w:r>
          </w:p>
        </w:tc>
        <w:tc>
          <w:tcPr>
            <w:tcW w:w="1020" w:type="dxa"/>
            <w:shd w:val="clear" w:color="auto" w:fill="FFFFFF"/>
            <w:tcMar>
              <w:top w:w="60" w:type="dxa"/>
              <w:left w:w="90" w:type="dxa"/>
              <w:bottom w:w="60" w:type="dxa"/>
              <w:right w:w="90" w:type="dxa"/>
            </w:tcMar>
            <w:vAlign w:val="center"/>
          </w:tcPr>
          <w:p w14:paraId="17A02C6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7.29</w:t>
            </w:r>
          </w:p>
        </w:tc>
      </w:tr>
      <w:tr w:rsidR="004B578F" w:rsidRPr="004B578F" w14:paraId="66492254" w14:textId="77777777" w:rsidTr="004B578F">
        <w:tc>
          <w:tcPr>
            <w:tcW w:w="3900" w:type="dxa"/>
            <w:shd w:val="clear" w:color="auto" w:fill="EAEEF5"/>
            <w:tcMar>
              <w:top w:w="60" w:type="dxa"/>
              <w:left w:w="90" w:type="dxa"/>
              <w:bottom w:w="60" w:type="dxa"/>
              <w:right w:w="90" w:type="dxa"/>
            </w:tcMar>
            <w:vAlign w:val="center"/>
          </w:tcPr>
          <w:p w14:paraId="6B04587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ROCE = adj. operating profit ÷ (TA − CL) (%)</w:t>
            </w:r>
          </w:p>
        </w:tc>
        <w:tc>
          <w:tcPr>
            <w:tcW w:w="1020" w:type="dxa"/>
            <w:shd w:val="clear" w:color="auto" w:fill="EAEEF5"/>
            <w:tcMar>
              <w:top w:w="60" w:type="dxa"/>
              <w:left w:w="90" w:type="dxa"/>
              <w:bottom w:w="60" w:type="dxa"/>
              <w:right w:w="90" w:type="dxa"/>
            </w:tcMar>
            <w:vAlign w:val="center"/>
          </w:tcPr>
          <w:p w14:paraId="20C23D2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1.73</w:t>
            </w:r>
          </w:p>
        </w:tc>
        <w:tc>
          <w:tcPr>
            <w:tcW w:w="1020" w:type="dxa"/>
            <w:shd w:val="clear" w:color="auto" w:fill="EAEEF5"/>
            <w:tcMar>
              <w:top w:w="60" w:type="dxa"/>
              <w:left w:w="90" w:type="dxa"/>
              <w:bottom w:w="60" w:type="dxa"/>
              <w:right w:w="90" w:type="dxa"/>
            </w:tcMar>
            <w:vAlign w:val="center"/>
          </w:tcPr>
          <w:p w14:paraId="56AFA62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5.97</w:t>
            </w:r>
          </w:p>
        </w:tc>
        <w:tc>
          <w:tcPr>
            <w:tcW w:w="1020" w:type="dxa"/>
            <w:shd w:val="clear" w:color="auto" w:fill="EAEEF5"/>
            <w:tcMar>
              <w:top w:w="60" w:type="dxa"/>
              <w:left w:w="90" w:type="dxa"/>
              <w:bottom w:w="60" w:type="dxa"/>
              <w:right w:w="90" w:type="dxa"/>
            </w:tcMar>
            <w:vAlign w:val="center"/>
          </w:tcPr>
          <w:p w14:paraId="2B86027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7.79</w:t>
            </w:r>
          </w:p>
        </w:tc>
        <w:tc>
          <w:tcPr>
            <w:tcW w:w="1020" w:type="dxa"/>
            <w:shd w:val="clear" w:color="auto" w:fill="EAEEF5"/>
            <w:tcMar>
              <w:top w:w="60" w:type="dxa"/>
              <w:left w:w="90" w:type="dxa"/>
              <w:bottom w:w="60" w:type="dxa"/>
              <w:right w:w="90" w:type="dxa"/>
            </w:tcMar>
            <w:vAlign w:val="center"/>
          </w:tcPr>
          <w:p w14:paraId="4F19FA2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7.33</w:t>
            </w:r>
          </w:p>
        </w:tc>
        <w:tc>
          <w:tcPr>
            <w:tcW w:w="1020" w:type="dxa"/>
            <w:shd w:val="clear" w:color="auto" w:fill="EAEEF5"/>
            <w:tcMar>
              <w:top w:w="60" w:type="dxa"/>
              <w:left w:w="90" w:type="dxa"/>
              <w:bottom w:w="60" w:type="dxa"/>
              <w:right w:w="90" w:type="dxa"/>
            </w:tcMar>
            <w:vAlign w:val="center"/>
          </w:tcPr>
          <w:p w14:paraId="329DAED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7.48</w:t>
            </w:r>
          </w:p>
        </w:tc>
      </w:tr>
      <w:tr w:rsidR="004B578F" w:rsidRPr="004B578F" w14:paraId="6569AADC" w14:textId="77777777" w:rsidTr="004B578F">
        <w:tc>
          <w:tcPr>
            <w:tcW w:w="3900" w:type="dxa"/>
            <w:shd w:val="clear" w:color="auto" w:fill="FFFFFF"/>
            <w:tcMar>
              <w:top w:w="60" w:type="dxa"/>
              <w:left w:w="90" w:type="dxa"/>
              <w:bottom w:w="60" w:type="dxa"/>
              <w:right w:w="90" w:type="dxa"/>
            </w:tcMar>
            <w:vAlign w:val="center"/>
          </w:tcPr>
          <w:p w14:paraId="1EB6E18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ROE = profit for year ÷ equity (%)</w:t>
            </w:r>
          </w:p>
        </w:tc>
        <w:tc>
          <w:tcPr>
            <w:tcW w:w="1020" w:type="dxa"/>
            <w:shd w:val="clear" w:color="auto" w:fill="FFFFFF"/>
            <w:tcMar>
              <w:top w:w="60" w:type="dxa"/>
              <w:left w:w="90" w:type="dxa"/>
              <w:bottom w:w="60" w:type="dxa"/>
              <w:right w:w="90" w:type="dxa"/>
            </w:tcMar>
            <w:vAlign w:val="center"/>
          </w:tcPr>
          <w:p w14:paraId="68F60EC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1.03</w:t>
            </w:r>
          </w:p>
        </w:tc>
        <w:tc>
          <w:tcPr>
            <w:tcW w:w="1020" w:type="dxa"/>
            <w:shd w:val="clear" w:color="auto" w:fill="FFFFFF"/>
            <w:tcMar>
              <w:top w:w="60" w:type="dxa"/>
              <w:left w:w="90" w:type="dxa"/>
              <w:bottom w:w="60" w:type="dxa"/>
              <w:right w:w="90" w:type="dxa"/>
            </w:tcMar>
            <w:vAlign w:val="center"/>
          </w:tcPr>
          <w:p w14:paraId="42A16D8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6.78</w:t>
            </w:r>
          </w:p>
        </w:tc>
        <w:tc>
          <w:tcPr>
            <w:tcW w:w="1020" w:type="dxa"/>
            <w:shd w:val="clear" w:color="auto" w:fill="FFFFFF"/>
            <w:tcMar>
              <w:top w:w="60" w:type="dxa"/>
              <w:left w:w="90" w:type="dxa"/>
              <w:bottom w:w="60" w:type="dxa"/>
              <w:right w:w="90" w:type="dxa"/>
            </w:tcMar>
            <w:vAlign w:val="center"/>
          </w:tcPr>
          <w:p w14:paraId="45F4160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8.87</w:t>
            </w:r>
          </w:p>
        </w:tc>
        <w:tc>
          <w:tcPr>
            <w:tcW w:w="1020" w:type="dxa"/>
            <w:shd w:val="clear" w:color="auto" w:fill="FFFFFF"/>
            <w:tcMar>
              <w:top w:w="60" w:type="dxa"/>
              <w:left w:w="90" w:type="dxa"/>
              <w:bottom w:w="60" w:type="dxa"/>
              <w:right w:w="90" w:type="dxa"/>
            </w:tcMar>
            <w:vAlign w:val="center"/>
          </w:tcPr>
          <w:p w14:paraId="3FFE150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7.61</w:t>
            </w:r>
          </w:p>
        </w:tc>
        <w:tc>
          <w:tcPr>
            <w:tcW w:w="1020" w:type="dxa"/>
            <w:shd w:val="clear" w:color="auto" w:fill="FFFFFF"/>
            <w:tcMar>
              <w:top w:w="60" w:type="dxa"/>
              <w:left w:w="90" w:type="dxa"/>
              <w:bottom w:w="60" w:type="dxa"/>
              <w:right w:w="90" w:type="dxa"/>
            </w:tcMar>
            <w:vAlign w:val="center"/>
          </w:tcPr>
          <w:p w14:paraId="1178E15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6.79</w:t>
            </w:r>
          </w:p>
        </w:tc>
      </w:tr>
      <w:tr w:rsidR="004B578F" w:rsidRPr="004B578F" w14:paraId="00A348F2" w14:textId="77777777" w:rsidTr="004B578F">
        <w:tc>
          <w:tcPr>
            <w:tcW w:w="3900" w:type="dxa"/>
            <w:shd w:val="clear" w:color="auto" w:fill="EAEEF5"/>
            <w:tcMar>
              <w:top w:w="60" w:type="dxa"/>
              <w:left w:w="90" w:type="dxa"/>
              <w:bottom w:w="60" w:type="dxa"/>
              <w:right w:w="90" w:type="dxa"/>
            </w:tcMar>
            <w:vAlign w:val="center"/>
          </w:tcPr>
          <w:p w14:paraId="21CC951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Current ratio = CA ÷ CL (times)</w:t>
            </w:r>
          </w:p>
        </w:tc>
        <w:tc>
          <w:tcPr>
            <w:tcW w:w="1020" w:type="dxa"/>
            <w:shd w:val="clear" w:color="auto" w:fill="EAEEF5"/>
            <w:tcMar>
              <w:top w:w="60" w:type="dxa"/>
              <w:left w:w="90" w:type="dxa"/>
              <w:bottom w:w="60" w:type="dxa"/>
              <w:right w:w="90" w:type="dxa"/>
            </w:tcMar>
            <w:vAlign w:val="center"/>
          </w:tcPr>
          <w:p w14:paraId="40812F2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1.76</w:t>
            </w:r>
          </w:p>
        </w:tc>
        <w:tc>
          <w:tcPr>
            <w:tcW w:w="1020" w:type="dxa"/>
            <w:shd w:val="clear" w:color="auto" w:fill="EAEEF5"/>
            <w:tcMar>
              <w:top w:w="60" w:type="dxa"/>
              <w:left w:w="90" w:type="dxa"/>
              <w:bottom w:w="60" w:type="dxa"/>
              <w:right w:w="90" w:type="dxa"/>
            </w:tcMar>
            <w:vAlign w:val="center"/>
          </w:tcPr>
          <w:p w14:paraId="36FBFA0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1.57</w:t>
            </w:r>
          </w:p>
        </w:tc>
        <w:tc>
          <w:tcPr>
            <w:tcW w:w="1020" w:type="dxa"/>
            <w:shd w:val="clear" w:color="auto" w:fill="EAEEF5"/>
            <w:tcMar>
              <w:top w:w="60" w:type="dxa"/>
              <w:left w:w="90" w:type="dxa"/>
              <w:bottom w:w="60" w:type="dxa"/>
              <w:right w:w="90" w:type="dxa"/>
            </w:tcMar>
            <w:vAlign w:val="center"/>
          </w:tcPr>
          <w:p w14:paraId="7BB31A0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0.96</w:t>
            </w:r>
          </w:p>
        </w:tc>
        <w:tc>
          <w:tcPr>
            <w:tcW w:w="1020" w:type="dxa"/>
            <w:shd w:val="clear" w:color="auto" w:fill="EAEEF5"/>
            <w:tcMar>
              <w:top w:w="60" w:type="dxa"/>
              <w:left w:w="90" w:type="dxa"/>
              <w:bottom w:w="60" w:type="dxa"/>
              <w:right w:w="90" w:type="dxa"/>
            </w:tcMar>
            <w:vAlign w:val="center"/>
          </w:tcPr>
          <w:p w14:paraId="20FB8A8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0.81</w:t>
            </w:r>
          </w:p>
        </w:tc>
        <w:tc>
          <w:tcPr>
            <w:tcW w:w="1020" w:type="dxa"/>
            <w:shd w:val="clear" w:color="auto" w:fill="EAEEF5"/>
            <w:tcMar>
              <w:top w:w="60" w:type="dxa"/>
              <w:left w:w="90" w:type="dxa"/>
              <w:bottom w:w="60" w:type="dxa"/>
              <w:right w:w="90" w:type="dxa"/>
            </w:tcMar>
            <w:vAlign w:val="center"/>
          </w:tcPr>
          <w:p w14:paraId="6CFEA8E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0.44</w:t>
            </w:r>
          </w:p>
        </w:tc>
      </w:tr>
      <w:tr w:rsidR="004B578F" w:rsidRPr="004B578F" w14:paraId="43D91B7B" w14:textId="77777777" w:rsidTr="004B578F">
        <w:tc>
          <w:tcPr>
            <w:tcW w:w="3900" w:type="dxa"/>
            <w:shd w:val="clear" w:color="auto" w:fill="FFFFFF"/>
            <w:tcMar>
              <w:top w:w="60" w:type="dxa"/>
              <w:left w:w="90" w:type="dxa"/>
              <w:bottom w:w="60" w:type="dxa"/>
              <w:right w:w="90" w:type="dxa"/>
            </w:tcMar>
            <w:vAlign w:val="center"/>
          </w:tcPr>
          <w:p w14:paraId="13320BE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Quick ratio = (CA − inventories) ÷ CL (times)</w:t>
            </w:r>
          </w:p>
        </w:tc>
        <w:tc>
          <w:tcPr>
            <w:tcW w:w="1020" w:type="dxa"/>
            <w:shd w:val="clear" w:color="auto" w:fill="FFFFFF"/>
            <w:tcMar>
              <w:top w:w="60" w:type="dxa"/>
              <w:left w:w="90" w:type="dxa"/>
              <w:bottom w:w="60" w:type="dxa"/>
              <w:right w:w="90" w:type="dxa"/>
            </w:tcMar>
            <w:vAlign w:val="center"/>
          </w:tcPr>
          <w:p w14:paraId="01FFB2A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1.74</w:t>
            </w:r>
          </w:p>
        </w:tc>
        <w:tc>
          <w:tcPr>
            <w:tcW w:w="1020" w:type="dxa"/>
            <w:shd w:val="clear" w:color="auto" w:fill="FFFFFF"/>
            <w:tcMar>
              <w:top w:w="60" w:type="dxa"/>
              <w:left w:w="90" w:type="dxa"/>
              <w:bottom w:w="60" w:type="dxa"/>
              <w:right w:w="90" w:type="dxa"/>
            </w:tcMar>
            <w:vAlign w:val="center"/>
          </w:tcPr>
          <w:p w14:paraId="4974865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1.55</w:t>
            </w:r>
          </w:p>
        </w:tc>
        <w:tc>
          <w:tcPr>
            <w:tcW w:w="1020" w:type="dxa"/>
            <w:shd w:val="clear" w:color="auto" w:fill="FFFFFF"/>
            <w:tcMar>
              <w:top w:w="60" w:type="dxa"/>
              <w:left w:w="90" w:type="dxa"/>
              <w:bottom w:w="60" w:type="dxa"/>
              <w:right w:w="90" w:type="dxa"/>
            </w:tcMar>
            <w:vAlign w:val="center"/>
          </w:tcPr>
          <w:p w14:paraId="1651BFF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0.94</w:t>
            </w:r>
          </w:p>
        </w:tc>
        <w:tc>
          <w:tcPr>
            <w:tcW w:w="1020" w:type="dxa"/>
            <w:shd w:val="clear" w:color="auto" w:fill="FFFFFF"/>
            <w:tcMar>
              <w:top w:w="60" w:type="dxa"/>
              <w:left w:w="90" w:type="dxa"/>
              <w:bottom w:w="60" w:type="dxa"/>
              <w:right w:w="90" w:type="dxa"/>
            </w:tcMar>
            <w:vAlign w:val="center"/>
          </w:tcPr>
          <w:p w14:paraId="593F049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0.80</w:t>
            </w:r>
          </w:p>
        </w:tc>
        <w:tc>
          <w:tcPr>
            <w:tcW w:w="1020" w:type="dxa"/>
            <w:shd w:val="clear" w:color="auto" w:fill="FFFFFF"/>
            <w:tcMar>
              <w:top w:w="60" w:type="dxa"/>
              <w:left w:w="90" w:type="dxa"/>
              <w:bottom w:w="60" w:type="dxa"/>
              <w:right w:w="90" w:type="dxa"/>
            </w:tcMar>
            <w:vAlign w:val="center"/>
          </w:tcPr>
          <w:p w14:paraId="619FA06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0.42</w:t>
            </w:r>
          </w:p>
        </w:tc>
      </w:tr>
      <w:tr w:rsidR="004B578F" w:rsidRPr="004B578F" w14:paraId="3EDFB2CA" w14:textId="77777777" w:rsidTr="004B578F">
        <w:tc>
          <w:tcPr>
            <w:tcW w:w="3900" w:type="dxa"/>
            <w:shd w:val="clear" w:color="auto" w:fill="EAEEF5"/>
            <w:tcMar>
              <w:top w:w="60" w:type="dxa"/>
              <w:left w:w="90" w:type="dxa"/>
              <w:bottom w:w="60" w:type="dxa"/>
              <w:right w:w="90" w:type="dxa"/>
            </w:tcMar>
            <w:vAlign w:val="center"/>
          </w:tcPr>
          <w:p w14:paraId="7B0020E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Cash ratio = cash ÷ CL (times)</w:t>
            </w:r>
          </w:p>
        </w:tc>
        <w:tc>
          <w:tcPr>
            <w:tcW w:w="1020" w:type="dxa"/>
            <w:shd w:val="clear" w:color="auto" w:fill="EAEEF5"/>
            <w:tcMar>
              <w:top w:w="60" w:type="dxa"/>
              <w:left w:w="90" w:type="dxa"/>
              <w:bottom w:w="60" w:type="dxa"/>
              <w:right w:w="90" w:type="dxa"/>
            </w:tcMar>
            <w:vAlign w:val="center"/>
          </w:tcPr>
          <w:p w14:paraId="4EFA912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1.57</w:t>
            </w:r>
          </w:p>
        </w:tc>
        <w:tc>
          <w:tcPr>
            <w:tcW w:w="1020" w:type="dxa"/>
            <w:shd w:val="clear" w:color="auto" w:fill="EAEEF5"/>
            <w:tcMar>
              <w:top w:w="60" w:type="dxa"/>
              <w:left w:w="90" w:type="dxa"/>
              <w:bottom w:w="60" w:type="dxa"/>
              <w:right w:w="90" w:type="dxa"/>
            </w:tcMar>
            <w:vAlign w:val="center"/>
          </w:tcPr>
          <w:p w14:paraId="7DA0A77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1.38</w:t>
            </w:r>
          </w:p>
        </w:tc>
        <w:tc>
          <w:tcPr>
            <w:tcW w:w="1020" w:type="dxa"/>
            <w:shd w:val="clear" w:color="auto" w:fill="EAEEF5"/>
            <w:tcMar>
              <w:top w:w="60" w:type="dxa"/>
              <w:left w:w="90" w:type="dxa"/>
              <w:bottom w:w="60" w:type="dxa"/>
              <w:right w:w="90" w:type="dxa"/>
            </w:tcMar>
            <w:vAlign w:val="center"/>
          </w:tcPr>
          <w:p w14:paraId="17466A7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0.80</w:t>
            </w:r>
          </w:p>
        </w:tc>
        <w:tc>
          <w:tcPr>
            <w:tcW w:w="1020" w:type="dxa"/>
            <w:shd w:val="clear" w:color="auto" w:fill="EAEEF5"/>
            <w:tcMar>
              <w:top w:w="60" w:type="dxa"/>
              <w:left w:w="90" w:type="dxa"/>
              <w:bottom w:w="60" w:type="dxa"/>
              <w:right w:w="90" w:type="dxa"/>
            </w:tcMar>
            <w:vAlign w:val="center"/>
          </w:tcPr>
          <w:p w14:paraId="036E004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0.69</w:t>
            </w:r>
          </w:p>
        </w:tc>
        <w:tc>
          <w:tcPr>
            <w:tcW w:w="1020" w:type="dxa"/>
            <w:shd w:val="clear" w:color="auto" w:fill="EAEEF5"/>
            <w:tcMar>
              <w:top w:w="60" w:type="dxa"/>
              <w:left w:w="90" w:type="dxa"/>
              <w:bottom w:w="60" w:type="dxa"/>
              <w:right w:w="90" w:type="dxa"/>
            </w:tcMar>
            <w:vAlign w:val="center"/>
          </w:tcPr>
          <w:p w14:paraId="2E0CDF4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0.26</w:t>
            </w:r>
          </w:p>
        </w:tc>
      </w:tr>
      <w:tr w:rsidR="004B578F" w:rsidRPr="004B578F" w14:paraId="7B14BC7E" w14:textId="77777777" w:rsidTr="004B578F">
        <w:tc>
          <w:tcPr>
            <w:tcW w:w="3900" w:type="dxa"/>
            <w:shd w:val="clear" w:color="auto" w:fill="FFFFFF"/>
            <w:tcMar>
              <w:top w:w="60" w:type="dxa"/>
              <w:left w:w="90" w:type="dxa"/>
              <w:bottom w:w="60" w:type="dxa"/>
              <w:right w:w="90" w:type="dxa"/>
            </w:tcMar>
            <w:vAlign w:val="center"/>
          </w:tcPr>
          <w:p w14:paraId="26DAC81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Inventory days = inventories ÷ cost of inventories × 365</w:t>
            </w:r>
          </w:p>
        </w:tc>
        <w:tc>
          <w:tcPr>
            <w:tcW w:w="1020" w:type="dxa"/>
            <w:shd w:val="clear" w:color="auto" w:fill="FFFFFF"/>
            <w:tcMar>
              <w:top w:w="60" w:type="dxa"/>
              <w:left w:w="90" w:type="dxa"/>
              <w:bottom w:w="60" w:type="dxa"/>
              <w:right w:w="90" w:type="dxa"/>
            </w:tcMar>
            <w:vAlign w:val="center"/>
          </w:tcPr>
          <w:p w14:paraId="323B435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48.3</w:t>
            </w:r>
          </w:p>
        </w:tc>
        <w:tc>
          <w:tcPr>
            <w:tcW w:w="1020" w:type="dxa"/>
            <w:shd w:val="clear" w:color="auto" w:fill="FFFFFF"/>
            <w:tcMar>
              <w:top w:w="60" w:type="dxa"/>
              <w:left w:w="90" w:type="dxa"/>
              <w:bottom w:w="60" w:type="dxa"/>
              <w:right w:w="90" w:type="dxa"/>
            </w:tcMar>
            <w:vAlign w:val="center"/>
          </w:tcPr>
          <w:p w14:paraId="26926B4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34.6</w:t>
            </w:r>
          </w:p>
        </w:tc>
        <w:tc>
          <w:tcPr>
            <w:tcW w:w="1020" w:type="dxa"/>
            <w:shd w:val="clear" w:color="auto" w:fill="FFFFFF"/>
            <w:tcMar>
              <w:top w:w="60" w:type="dxa"/>
              <w:left w:w="90" w:type="dxa"/>
              <w:bottom w:w="60" w:type="dxa"/>
              <w:right w:w="90" w:type="dxa"/>
            </w:tcMar>
            <w:vAlign w:val="center"/>
          </w:tcPr>
          <w:p w14:paraId="5A29FEA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30.3</w:t>
            </w:r>
          </w:p>
        </w:tc>
        <w:tc>
          <w:tcPr>
            <w:tcW w:w="1020" w:type="dxa"/>
            <w:shd w:val="clear" w:color="auto" w:fill="FFFFFF"/>
            <w:tcMar>
              <w:top w:w="60" w:type="dxa"/>
              <w:left w:w="90" w:type="dxa"/>
              <w:bottom w:w="60" w:type="dxa"/>
              <w:right w:w="90" w:type="dxa"/>
            </w:tcMar>
            <w:vAlign w:val="center"/>
          </w:tcPr>
          <w:p w14:paraId="181BE6B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27.7</w:t>
            </w:r>
          </w:p>
        </w:tc>
        <w:tc>
          <w:tcPr>
            <w:tcW w:w="1020" w:type="dxa"/>
            <w:shd w:val="clear" w:color="auto" w:fill="FFFFFF"/>
            <w:tcMar>
              <w:top w:w="60" w:type="dxa"/>
              <w:left w:w="90" w:type="dxa"/>
              <w:bottom w:w="60" w:type="dxa"/>
              <w:right w:w="90" w:type="dxa"/>
            </w:tcMar>
            <w:vAlign w:val="center"/>
          </w:tcPr>
          <w:p w14:paraId="016E2F2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18.7</w:t>
            </w:r>
          </w:p>
        </w:tc>
      </w:tr>
      <w:tr w:rsidR="004B578F" w:rsidRPr="004B578F" w14:paraId="2C859414" w14:textId="77777777" w:rsidTr="004B578F">
        <w:tc>
          <w:tcPr>
            <w:tcW w:w="3900" w:type="dxa"/>
            <w:shd w:val="clear" w:color="auto" w:fill="EAEEF5"/>
            <w:tcMar>
              <w:top w:w="60" w:type="dxa"/>
              <w:left w:w="90" w:type="dxa"/>
              <w:bottom w:w="60" w:type="dxa"/>
              <w:right w:w="90" w:type="dxa"/>
            </w:tcMar>
            <w:vAlign w:val="center"/>
          </w:tcPr>
          <w:p w14:paraId="6590243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Receivable days = receivables ÷ revenue × 365</w:t>
            </w:r>
          </w:p>
        </w:tc>
        <w:tc>
          <w:tcPr>
            <w:tcW w:w="1020" w:type="dxa"/>
            <w:shd w:val="clear" w:color="auto" w:fill="EAEEF5"/>
            <w:tcMar>
              <w:top w:w="60" w:type="dxa"/>
              <w:left w:w="90" w:type="dxa"/>
              <w:bottom w:w="60" w:type="dxa"/>
              <w:right w:w="90" w:type="dxa"/>
            </w:tcMar>
            <w:vAlign w:val="center"/>
          </w:tcPr>
          <w:p w14:paraId="65CAFDE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24.9</w:t>
            </w:r>
          </w:p>
        </w:tc>
        <w:tc>
          <w:tcPr>
            <w:tcW w:w="1020" w:type="dxa"/>
            <w:shd w:val="clear" w:color="auto" w:fill="EAEEF5"/>
            <w:tcMar>
              <w:top w:w="60" w:type="dxa"/>
              <w:left w:w="90" w:type="dxa"/>
              <w:bottom w:w="60" w:type="dxa"/>
              <w:right w:w="90" w:type="dxa"/>
            </w:tcMar>
            <w:vAlign w:val="center"/>
          </w:tcPr>
          <w:p w14:paraId="377BFE5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19.7</w:t>
            </w:r>
          </w:p>
        </w:tc>
        <w:tc>
          <w:tcPr>
            <w:tcW w:w="1020" w:type="dxa"/>
            <w:shd w:val="clear" w:color="auto" w:fill="EAEEF5"/>
            <w:tcMar>
              <w:top w:w="60" w:type="dxa"/>
              <w:left w:w="90" w:type="dxa"/>
              <w:bottom w:w="60" w:type="dxa"/>
              <w:right w:w="90" w:type="dxa"/>
            </w:tcMar>
            <w:vAlign w:val="center"/>
          </w:tcPr>
          <w:p w14:paraId="2AD8D42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14.7</w:t>
            </w:r>
          </w:p>
        </w:tc>
        <w:tc>
          <w:tcPr>
            <w:tcW w:w="1020" w:type="dxa"/>
            <w:shd w:val="clear" w:color="auto" w:fill="EAEEF5"/>
            <w:tcMar>
              <w:top w:w="60" w:type="dxa"/>
              <w:left w:w="90" w:type="dxa"/>
              <w:bottom w:w="60" w:type="dxa"/>
              <w:right w:w="90" w:type="dxa"/>
            </w:tcMar>
            <w:vAlign w:val="center"/>
          </w:tcPr>
          <w:p w14:paraId="5B509F4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15.9</w:t>
            </w:r>
          </w:p>
        </w:tc>
        <w:tc>
          <w:tcPr>
            <w:tcW w:w="1020" w:type="dxa"/>
            <w:shd w:val="clear" w:color="auto" w:fill="EAEEF5"/>
            <w:tcMar>
              <w:top w:w="60" w:type="dxa"/>
              <w:left w:w="90" w:type="dxa"/>
              <w:bottom w:w="60" w:type="dxa"/>
              <w:right w:w="90" w:type="dxa"/>
            </w:tcMar>
            <w:vAlign w:val="center"/>
          </w:tcPr>
          <w:p w14:paraId="3EFA89C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17.1</w:t>
            </w:r>
          </w:p>
        </w:tc>
      </w:tr>
      <w:tr w:rsidR="004B578F" w:rsidRPr="004B578F" w14:paraId="697AD79A" w14:textId="77777777" w:rsidTr="004B578F">
        <w:tc>
          <w:tcPr>
            <w:tcW w:w="3900" w:type="dxa"/>
            <w:shd w:val="clear" w:color="auto" w:fill="FFFFFF"/>
            <w:tcMar>
              <w:top w:w="60" w:type="dxa"/>
              <w:left w:w="90" w:type="dxa"/>
              <w:bottom w:w="60" w:type="dxa"/>
              <w:right w:w="90" w:type="dxa"/>
            </w:tcMar>
            <w:vAlign w:val="center"/>
          </w:tcPr>
          <w:p w14:paraId="1B8EA0D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Payable days = payables ÷ operating costs × 365</w:t>
            </w:r>
          </w:p>
        </w:tc>
        <w:tc>
          <w:tcPr>
            <w:tcW w:w="1020" w:type="dxa"/>
            <w:shd w:val="clear" w:color="auto" w:fill="FFFFFF"/>
            <w:tcMar>
              <w:top w:w="60" w:type="dxa"/>
              <w:left w:w="90" w:type="dxa"/>
              <w:bottom w:w="60" w:type="dxa"/>
              <w:right w:w="90" w:type="dxa"/>
            </w:tcMar>
            <w:vAlign w:val="center"/>
          </w:tcPr>
          <w:p w14:paraId="49BDA00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129.7</w:t>
            </w:r>
          </w:p>
        </w:tc>
        <w:tc>
          <w:tcPr>
            <w:tcW w:w="1020" w:type="dxa"/>
            <w:shd w:val="clear" w:color="auto" w:fill="FFFFFF"/>
            <w:tcMar>
              <w:top w:w="60" w:type="dxa"/>
              <w:left w:w="90" w:type="dxa"/>
              <w:bottom w:w="60" w:type="dxa"/>
              <w:right w:w="90" w:type="dxa"/>
            </w:tcMar>
            <w:vAlign w:val="center"/>
          </w:tcPr>
          <w:p w14:paraId="0AB0849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115.8</w:t>
            </w:r>
          </w:p>
        </w:tc>
        <w:tc>
          <w:tcPr>
            <w:tcW w:w="1020" w:type="dxa"/>
            <w:shd w:val="clear" w:color="auto" w:fill="FFFFFF"/>
            <w:tcMar>
              <w:top w:w="60" w:type="dxa"/>
              <w:left w:w="90" w:type="dxa"/>
              <w:bottom w:w="60" w:type="dxa"/>
              <w:right w:w="90" w:type="dxa"/>
            </w:tcMar>
            <w:vAlign w:val="center"/>
          </w:tcPr>
          <w:p w14:paraId="30DC0F4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101.1</w:t>
            </w:r>
          </w:p>
        </w:tc>
        <w:tc>
          <w:tcPr>
            <w:tcW w:w="1020" w:type="dxa"/>
            <w:shd w:val="clear" w:color="auto" w:fill="FFFFFF"/>
            <w:tcMar>
              <w:top w:w="60" w:type="dxa"/>
              <w:left w:w="90" w:type="dxa"/>
              <w:bottom w:w="60" w:type="dxa"/>
              <w:right w:w="90" w:type="dxa"/>
            </w:tcMar>
            <w:vAlign w:val="center"/>
          </w:tcPr>
          <w:p w14:paraId="05427F3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99.7</w:t>
            </w:r>
          </w:p>
        </w:tc>
        <w:tc>
          <w:tcPr>
            <w:tcW w:w="1020" w:type="dxa"/>
            <w:shd w:val="clear" w:color="auto" w:fill="FFFFFF"/>
            <w:tcMar>
              <w:top w:w="60" w:type="dxa"/>
              <w:left w:w="90" w:type="dxa"/>
              <w:bottom w:w="60" w:type="dxa"/>
              <w:right w:w="90" w:type="dxa"/>
            </w:tcMar>
            <w:vAlign w:val="center"/>
          </w:tcPr>
          <w:p w14:paraId="63164C5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101.9</w:t>
            </w:r>
          </w:p>
        </w:tc>
      </w:tr>
      <w:tr w:rsidR="004B578F" w:rsidRPr="004B578F" w14:paraId="4F3CBC01" w14:textId="77777777" w:rsidTr="004B578F">
        <w:tc>
          <w:tcPr>
            <w:tcW w:w="3900" w:type="dxa"/>
            <w:shd w:val="clear" w:color="auto" w:fill="EAEEF5"/>
            <w:tcMar>
              <w:top w:w="60" w:type="dxa"/>
              <w:left w:w="90" w:type="dxa"/>
              <w:bottom w:w="60" w:type="dxa"/>
              <w:right w:w="90" w:type="dxa"/>
            </w:tcMar>
            <w:vAlign w:val="center"/>
          </w:tcPr>
          <w:p w14:paraId="28AE2BC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Asset turnover = revenue ÷ total assets (times)</w:t>
            </w:r>
          </w:p>
        </w:tc>
        <w:tc>
          <w:tcPr>
            <w:tcW w:w="1020" w:type="dxa"/>
            <w:shd w:val="clear" w:color="auto" w:fill="EAEEF5"/>
            <w:tcMar>
              <w:top w:w="60" w:type="dxa"/>
              <w:left w:w="90" w:type="dxa"/>
              <w:bottom w:w="60" w:type="dxa"/>
              <w:right w:w="90" w:type="dxa"/>
            </w:tcMar>
            <w:vAlign w:val="center"/>
          </w:tcPr>
          <w:p w14:paraId="3CD23C4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0.18</w:t>
            </w:r>
          </w:p>
        </w:tc>
        <w:tc>
          <w:tcPr>
            <w:tcW w:w="1020" w:type="dxa"/>
            <w:shd w:val="clear" w:color="auto" w:fill="EAEEF5"/>
            <w:tcMar>
              <w:top w:w="60" w:type="dxa"/>
              <w:left w:w="90" w:type="dxa"/>
              <w:bottom w:w="60" w:type="dxa"/>
              <w:right w:w="90" w:type="dxa"/>
            </w:tcMar>
            <w:vAlign w:val="center"/>
          </w:tcPr>
          <w:p w14:paraId="686002A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0.26</w:t>
            </w:r>
          </w:p>
        </w:tc>
        <w:tc>
          <w:tcPr>
            <w:tcW w:w="1020" w:type="dxa"/>
            <w:shd w:val="clear" w:color="auto" w:fill="EAEEF5"/>
            <w:tcMar>
              <w:top w:w="60" w:type="dxa"/>
              <w:left w:w="90" w:type="dxa"/>
              <w:bottom w:w="60" w:type="dxa"/>
              <w:right w:w="90" w:type="dxa"/>
            </w:tcMar>
            <w:vAlign w:val="center"/>
          </w:tcPr>
          <w:p w14:paraId="4651BE3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0.31</w:t>
            </w:r>
          </w:p>
        </w:tc>
        <w:tc>
          <w:tcPr>
            <w:tcW w:w="1020" w:type="dxa"/>
            <w:shd w:val="clear" w:color="auto" w:fill="EAEEF5"/>
            <w:tcMar>
              <w:top w:w="60" w:type="dxa"/>
              <w:left w:w="90" w:type="dxa"/>
              <w:bottom w:w="60" w:type="dxa"/>
              <w:right w:w="90" w:type="dxa"/>
            </w:tcMar>
            <w:vAlign w:val="center"/>
          </w:tcPr>
          <w:p w14:paraId="48FB3B1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0.30</w:t>
            </w:r>
          </w:p>
        </w:tc>
        <w:tc>
          <w:tcPr>
            <w:tcW w:w="1020" w:type="dxa"/>
            <w:shd w:val="clear" w:color="auto" w:fill="EAEEF5"/>
            <w:tcMar>
              <w:top w:w="60" w:type="dxa"/>
              <w:left w:w="90" w:type="dxa"/>
              <w:bottom w:w="60" w:type="dxa"/>
              <w:right w:w="90" w:type="dxa"/>
            </w:tcMar>
            <w:vAlign w:val="center"/>
          </w:tcPr>
          <w:p w14:paraId="6917C06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0.31</w:t>
            </w:r>
          </w:p>
        </w:tc>
      </w:tr>
      <w:tr w:rsidR="004B578F" w:rsidRPr="004B578F" w14:paraId="1A1E5A66" w14:textId="77777777" w:rsidTr="004B578F">
        <w:tc>
          <w:tcPr>
            <w:tcW w:w="3900" w:type="dxa"/>
            <w:shd w:val="clear" w:color="auto" w:fill="FFFFFF"/>
            <w:tcMar>
              <w:top w:w="60" w:type="dxa"/>
              <w:left w:w="90" w:type="dxa"/>
              <w:bottom w:w="60" w:type="dxa"/>
              <w:right w:w="90" w:type="dxa"/>
            </w:tcMar>
            <w:vAlign w:val="center"/>
          </w:tcPr>
          <w:p w14:paraId="68055FF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Total debt = borrowings + lease liabilities (£m)</w:t>
            </w:r>
          </w:p>
        </w:tc>
        <w:tc>
          <w:tcPr>
            <w:tcW w:w="1020" w:type="dxa"/>
            <w:shd w:val="clear" w:color="auto" w:fill="FFFFFF"/>
            <w:tcMar>
              <w:top w:w="60" w:type="dxa"/>
              <w:left w:w="90" w:type="dxa"/>
              <w:bottom w:w="60" w:type="dxa"/>
              <w:right w:w="90" w:type="dxa"/>
            </w:tcMar>
            <w:vAlign w:val="center"/>
          </w:tcPr>
          <w:p w14:paraId="3140166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4,693.7</w:t>
            </w:r>
          </w:p>
        </w:tc>
        <w:tc>
          <w:tcPr>
            <w:tcW w:w="1020" w:type="dxa"/>
            <w:shd w:val="clear" w:color="auto" w:fill="FFFFFF"/>
            <w:tcMar>
              <w:top w:w="60" w:type="dxa"/>
              <w:left w:w="90" w:type="dxa"/>
              <w:bottom w:w="60" w:type="dxa"/>
              <w:right w:w="90" w:type="dxa"/>
            </w:tcMar>
            <w:vAlign w:val="center"/>
          </w:tcPr>
          <w:p w14:paraId="02A8F8D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4,951.8</w:t>
            </w:r>
          </w:p>
        </w:tc>
        <w:tc>
          <w:tcPr>
            <w:tcW w:w="1020" w:type="dxa"/>
            <w:shd w:val="clear" w:color="auto" w:fill="FFFFFF"/>
            <w:tcMar>
              <w:top w:w="60" w:type="dxa"/>
              <w:left w:w="90" w:type="dxa"/>
              <w:bottom w:w="60" w:type="dxa"/>
              <w:right w:w="90" w:type="dxa"/>
            </w:tcMar>
            <w:vAlign w:val="center"/>
          </w:tcPr>
          <w:p w14:paraId="275F0E2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5,093.3</w:t>
            </w:r>
          </w:p>
        </w:tc>
        <w:tc>
          <w:tcPr>
            <w:tcW w:w="1020" w:type="dxa"/>
            <w:shd w:val="clear" w:color="auto" w:fill="FFFFFF"/>
            <w:tcMar>
              <w:top w:w="60" w:type="dxa"/>
              <w:left w:w="90" w:type="dxa"/>
              <w:bottom w:w="60" w:type="dxa"/>
              <w:right w:w="90" w:type="dxa"/>
            </w:tcMar>
            <w:vAlign w:val="center"/>
          </w:tcPr>
          <w:p w14:paraId="04AE8A9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5,626.2</w:t>
            </w:r>
          </w:p>
        </w:tc>
        <w:tc>
          <w:tcPr>
            <w:tcW w:w="1020" w:type="dxa"/>
            <w:shd w:val="clear" w:color="auto" w:fill="FFFFFF"/>
            <w:tcMar>
              <w:top w:w="60" w:type="dxa"/>
              <w:left w:w="90" w:type="dxa"/>
              <w:bottom w:w="60" w:type="dxa"/>
              <w:right w:w="90" w:type="dxa"/>
            </w:tcMar>
            <w:vAlign w:val="center"/>
          </w:tcPr>
          <w:p w14:paraId="3706C77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5,466.1</w:t>
            </w:r>
          </w:p>
        </w:tc>
      </w:tr>
      <w:tr w:rsidR="004B578F" w:rsidRPr="004B578F" w14:paraId="2529CBC0" w14:textId="77777777" w:rsidTr="004B578F">
        <w:tc>
          <w:tcPr>
            <w:tcW w:w="3900" w:type="dxa"/>
            <w:shd w:val="clear" w:color="auto" w:fill="EAEEF5"/>
            <w:tcMar>
              <w:top w:w="60" w:type="dxa"/>
              <w:left w:w="90" w:type="dxa"/>
              <w:bottom w:w="60" w:type="dxa"/>
              <w:right w:w="90" w:type="dxa"/>
            </w:tcMar>
            <w:vAlign w:val="center"/>
          </w:tcPr>
          <w:p w14:paraId="197EC9C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Net debt = total debt − cash (£m)</w:t>
            </w:r>
          </w:p>
        </w:tc>
        <w:tc>
          <w:tcPr>
            <w:tcW w:w="1020" w:type="dxa"/>
            <w:shd w:val="clear" w:color="auto" w:fill="EAEEF5"/>
            <w:tcMar>
              <w:top w:w="60" w:type="dxa"/>
              <w:left w:w="90" w:type="dxa"/>
              <w:bottom w:w="60" w:type="dxa"/>
              <w:right w:w="90" w:type="dxa"/>
            </w:tcMar>
            <w:vAlign w:val="center"/>
          </w:tcPr>
          <w:p w14:paraId="3010BA0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3,561.3</w:t>
            </w:r>
          </w:p>
        </w:tc>
        <w:tc>
          <w:tcPr>
            <w:tcW w:w="1020" w:type="dxa"/>
            <w:shd w:val="clear" w:color="auto" w:fill="EAEEF5"/>
            <w:tcMar>
              <w:top w:w="60" w:type="dxa"/>
              <w:left w:w="90" w:type="dxa"/>
              <w:bottom w:w="60" w:type="dxa"/>
              <w:right w:w="90" w:type="dxa"/>
            </w:tcMar>
            <w:vAlign w:val="center"/>
          </w:tcPr>
          <w:p w14:paraId="0CBC8DD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3,787.0</w:t>
            </w:r>
          </w:p>
        </w:tc>
        <w:tc>
          <w:tcPr>
            <w:tcW w:w="1020" w:type="dxa"/>
            <w:shd w:val="clear" w:color="auto" w:fill="EAEEF5"/>
            <w:tcMar>
              <w:top w:w="60" w:type="dxa"/>
              <w:left w:w="90" w:type="dxa"/>
              <w:bottom w:w="60" w:type="dxa"/>
              <w:right w:w="90" w:type="dxa"/>
            </w:tcMar>
            <w:vAlign w:val="center"/>
          </w:tcPr>
          <w:p w14:paraId="389AEE1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4,396.6</w:t>
            </w:r>
          </w:p>
        </w:tc>
        <w:tc>
          <w:tcPr>
            <w:tcW w:w="1020" w:type="dxa"/>
            <w:shd w:val="clear" w:color="auto" w:fill="EAEEF5"/>
            <w:tcMar>
              <w:top w:w="60" w:type="dxa"/>
              <w:left w:w="90" w:type="dxa"/>
              <w:bottom w:w="60" w:type="dxa"/>
              <w:right w:w="90" w:type="dxa"/>
            </w:tcMar>
            <w:vAlign w:val="center"/>
          </w:tcPr>
          <w:p w14:paraId="2AABBE0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4,717.2</w:t>
            </w:r>
          </w:p>
        </w:tc>
        <w:tc>
          <w:tcPr>
            <w:tcW w:w="1020" w:type="dxa"/>
            <w:shd w:val="clear" w:color="auto" w:fill="EAEEF5"/>
            <w:tcMar>
              <w:top w:w="60" w:type="dxa"/>
              <w:left w:w="90" w:type="dxa"/>
              <w:bottom w:w="60" w:type="dxa"/>
              <w:right w:w="90" w:type="dxa"/>
            </w:tcMar>
            <w:vAlign w:val="center"/>
          </w:tcPr>
          <w:p w14:paraId="19A68AD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5,232.4</w:t>
            </w:r>
          </w:p>
        </w:tc>
      </w:tr>
      <w:tr w:rsidR="004B578F" w:rsidRPr="004B578F" w14:paraId="65DA1CC2" w14:textId="77777777" w:rsidTr="004B578F">
        <w:tc>
          <w:tcPr>
            <w:tcW w:w="3900" w:type="dxa"/>
            <w:shd w:val="clear" w:color="auto" w:fill="FFFFFF"/>
            <w:tcMar>
              <w:top w:w="60" w:type="dxa"/>
              <w:left w:w="90" w:type="dxa"/>
              <w:bottom w:w="60" w:type="dxa"/>
              <w:right w:w="90" w:type="dxa"/>
            </w:tcMar>
            <w:vAlign w:val="center"/>
          </w:tcPr>
          <w:p w14:paraId="4F7A569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lastRenderedPageBreak/>
              <w:t>Gearing = debt ÷ equity (%)</w:t>
            </w:r>
          </w:p>
        </w:tc>
        <w:tc>
          <w:tcPr>
            <w:tcW w:w="1020" w:type="dxa"/>
            <w:shd w:val="clear" w:color="auto" w:fill="FFFFFF"/>
            <w:tcMar>
              <w:top w:w="60" w:type="dxa"/>
              <w:left w:w="90" w:type="dxa"/>
              <w:bottom w:w="60" w:type="dxa"/>
              <w:right w:w="90" w:type="dxa"/>
            </w:tcMar>
            <w:vAlign w:val="center"/>
          </w:tcPr>
          <w:p w14:paraId="2358065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113.9</w:t>
            </w:r>
          </w:p>
        </w:tc>
        <w:tc>
          <w:tcPr>
            <w:tcW w:w="1020" w:type="dxa"/>
            <w:shd w:val="clear" w:color="auto" w:fill="FFFFFF"/>
            <w:tcMar>
              <w:top w:w="60" w:type="dxa"/>
              <w:left w:w="90" w:type="dxa"/>
              <w:bottom w:w="60" w:type="dxa"/>
              <w:right w:w="90" w:type="dxa"/>
            </w:tcMar>
            <w:vAlign w:val="center"/>
          </w:tcPr>
          <w:p w14:paraId="02F90A2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120.4</w:t>
            </w:r>
          </w:p>
        </w:tc>
        <w:tc>
          <w:tcPr>
            <w:tcW w:w="1020" w:type="dxa"/>
            <w:shd w:val="clear" w:color="auto" w:fill="FFFFFF"/>
            <w:tcMar>
              <w:top w:w="60" w:type="dxa"/>
              <w:left w:w="90" w:type="dxa"/>
              <w:bottom w:w="60" w:type="dxa"/>
              <w:right w:w="90" w:type="dxa"/>
            </w:tcMar>
            <w:vAlign w:val="center"/>
          </w:tcPr>
          <w:p w14:paraId="270686D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144.7</w:t>
            </w:r>
          </w:p>
        </w:tc>
        <w:tc>
          <w:tcPr>
            <w:tcW w:w="1020" w:type="dxa"/>
            <w:shd w:val="clear" w:color="auto" w:fill="FFFFFF"/>
            <w:tcMar>
              <w:top w:w="60" w:type="dxa"/>
              <w:left w:w="90" w:type="dxa"/>
              <w:bottom w:w="60" w:type="dxa"/>
              <w:right w:w="90" w:type="dxa"/>
            </w:tcMar>
            <w:vAlign w:val="center"/>
          </w:tcPr>
          <w:p w14:paraId="4070447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168.7</w:t>
            </w:r>
          </w:p>
        </w:tc>
        <w:tc>
          <w:tcPr>
            <w:tcW w:w="1020" w:type="dxa"/>
            <w:shd w:val="clear" w:color="auto" w:fill="FFFFFF"/>
            <w:tcMar>
              <w:top w:w="60" w:type="dxa"/>
              <w:left w:w="90" w:type="dxa"/>
              <w:bottom w:w="60" w:type="dxa"/>
              <w:right w:w="90" w:type="dxa"/>
            </w:tcMar>
            <w:vAlign w:val="center"/>
          </w:tcPr>
          <w:p w14:paraId="2E008AD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174.3</w:t>
            </w:r>
          </w:p>
        </w:tc>
      </w:tr>
      <w:tr w:rsidR="004B578F" w:rsidRPr="004B578F" w14:paraId="1D6D1E25" w14:textId="77777777" w:rsidTr="004B578F">
        <w:tc>
          <w:tcPr>
            <w:tcW w:w="3900" w:type="dxa"/>
            <w:shd w:val="clear" w:color="auto" w:fill="EAEEF5"/>
            <w:tcMar>
              <w:top w:w="60" w:type="dxa"/>
              <w:left w:w="90" w:type="dxa"/>
              <w:bottom w:w="60" w:type="dxa"/>
              <w:right w:w="90" w:type="dxa"/>
            </w:tcMar>
            <w:vAlign w:val="center"/>
          </w:tcPr>
          <w:p w14:paraId="7B8E3E7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Gearing = debt ÷ (debt + equity) (%)</w:t>
            </w:r>
          </w:p>
        </w:tc>
        <w:tc>
          <w:tcPr>
            <w:tcW w:w="1020" w:type="dxa"/>
            <w:shd w:val="clear" w:color="auto" w:fill="EAEEF5"/>
            <w:tcMar>
              <w:top w:w="60" w:type="dxa"/>
              <w:left w:w="90" w:type="dxa"/>
              <w:bottom w:w="60" w:type="dxa"/>
              <w:right w:w="90" w:type="dxa"/>
            </w:tcMar>
            <w:vAlign w:val="center"/>
          </w:tcPr>
          <w:p w14:paraId="1AFECB4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53.3</w:t>
            </w:r>
          </w:p>
        </w:tc>
        <w:tc>
          <w:tcPr>
            <w:tcW w:w="1020" w:type="dxa"/>
            <w:shd w:val="clear" w:color="auto" w:fill="EAEEF5"/>
            <w:tcMar>
              <w:top w:w="60" w:type="dxa"/>
              <w:left w:w="90" w:type="dxa"/>
              <w:bottom w:w="60" w:type="dxa"/>
              <w:right w:w="90" w:type="dxa"/>
            </w:tcMar>
            <w:vAlign w:val="center"/>
          </w:tcPr>
          <w:p w14:paraId="3BC8FBE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54.6</w:t>
            </w:r>
          </w:p>
        </w:tc>
        <w:tc>
          <w:tcPr>
            <w:tcW w:w="1020" w:type="dxa"/>
            <w:shd w:val="clear" w:color="auto" w:fill="EAEEF5"/>
            <w:tcMar>
              <w:top w:w="60" w:type="dxa"/>
              <w:left w:w="90" w:type="dxa"/>
              <w:bottom w:w="60" w:type="dxa"/>
              <w:right w:w="90" w:type="dxa"/>
            </w:tcMar>
            <w:vAlign w:val="center"/>
          </w:tcPr>
          <w:p w14:paraId="2874544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59.1</w:t>
            </w:r>
          </w:p>
        </w:tc>
        <w:tc>
          <w:tcPr>
            <w:tcW w:w="1020" w:type="dxa"/>
            <w:shd w:val="clear" w:color="auto" w:fill="EAEEF5"/>
            <w:tcMar>
              <w:top w:w="60" w:type="dxa"/>
              <w:left w:w="90" w:type="dxa"/>
              <w:bottom w:w="60" w:type="dxa"/>
              <w:right w:w="90" w:type="dxa"/>
            </w:tcMar>
            <w:vAlign w:val="center"/>
          </w:tcPr>
          <w:p w14:paraId="11D1608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62.8</w:t>
            </w:r>
          </w:p>
        </w:tc>
        <w:tc>
          <w:tcPr>
            <w:tcW w:w="1020" w:type="dxa"/>
            <w:shd w:val="clear" w:color="auto" w:fill="EAEEF5"/>
            <w:tcMar>
              <w:top w:w="60" w:type="dxa"/>
              <w:left w:w="90" w:type="dxa"/>
              <w:bottom w:w="60" w:type="dxa"/>
              <w:right w:w="90" w:type="dxa"/>
            </w:tcMar>
            <w:vAlign w:val="center"/>
          </w:tcPr>
          <w:p w14:paraId="28714B9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63.5</w:t>
            </w:r>
          </w:p>
        </w:tc>
      </w:tr>
      <w:tr w:rsidR="004B578F" w:rsidRPr="004B578F" w14:paraId="4EC0E203" w14:textId="77777777" w:rsidTr="004B578F">
        <w:tc>
          <w:tcPr>
            <w:tcW w:w="3900" w:type="dxa"/>
            <w:shd w:val="clear" w:color="auto" w:fill="FFFFFF"/>
            <w:tcMar>
              <w:top w:w="60" w:type="dxa"/>
              <w:left w:w="90" w:type="dxa"/>
              <w:bottom w:w="60" w:type="dxa"/>
              <w:right w:w="90" w:type="dxa"/>
            </w:tcMar>
            <w:vAlign w:val="center"/>
          </w:tcPr>
          <w:p w14:paraId="7E2A3FD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Interest cover = operating profit ÷ finance costs (times)</w:t>
            </w:r>
          </w:p>
        </w:tc>
        <w:tc>
          <w:tcPr>
            <w:tcW w:w="1020" w:type="dxa"/>
            <w:shd w:val="clear" w:color="auto" w:fill="FFFFFF"/>
            <w:tcMar>
              <w:top w:w="60" w:type="dxa"/>
              <w:left w:w="90" w:type="dxa"/>
              <w:bottom w:w="60" w:type="dxa"/>
              <w:right w:w="90" w:type="dxa"/>
            </w:tcMar>
            <w:vAlign w:val="center"/>
          </w:tcPr>
          <w:p w14:paraId="35DF0E9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1.31</w:t>
            </w:r>
          </w:p>
        </w:tc>
        <w:tc>
          <w:tcPr>
            <w:tcW w:w="1020" w:type="dxa"/>
            <w:shd w:val="clear" w:color="auto" w:fill="FFFFFF"/>
            <w:tcMar>
              <w:top w:w="60" w:type="dxa"/>
              <w:left w:w="90" w:type="dxa"/>
              <w:bottom w:w="60" w:type="dxa"/>
              <w:right w:w="90" w:type="dxa"/>
            </w:tcMar>
            <w:vAlign w:val="center"/>
          </w:tcPr>
          <w:p w14:paraId="4940873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3.03</w:t>
            </w:r>
          </w:p>
        </w:tc>
        <w:tc>
          <w:tcPr>
            <w:tcW w:w="1020" w:type="dxa"/>
            <w:shd w:val="clear" w:color="auto" w:fill="FFFFFF"/>
            <w:tcMar>
              <w:top w:w="60" w:type="dxa"/>
              <w:left w:w="90" w:type="dxa"/>
              <w:bottom w:w="60" w:type="dxa"/>
              <w:right w:w="90" w:type="dxa"/>
            </w:tcMar>
            <w:vAlign w:val="center"/>
          </w:tcPr>
          <w:p w14:paraId="4B8FE4D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3.15</w:t>
            </w:r>
          </w:p>
        </w:tc>
        <w:tc>
          <w:tcPr>
            <w:tcW w:w="1020" w:type="dxa"/>
            <w:shd w:val="clear" w:color="auto" w:fill="FFFFFF"/>
            <w:tcMar>
              <w:top w:w="60" w:type="dxa"/>
              <w:left w:w="90" w:type="dxa"/>
              <w:bottom w:w="60" w:type="dxa"/>
              <w:right w:w="90" w:type="dxa"/>
            </w:tcMar>
            <w:vAlign w:val="center"/>
          </w:tcPr>
          <w:p w14:paraId="6A4B6EE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2.73</w:t>
            </w:r>
          </w:p>
        </w:tc>
        <w:tc>
          <w:tcPr>
            <w:tcW w:w="1020" w:type="dxa"/>
            <w:shd w:val="clear" w:color="auto" w:fill="FFFFFF"/>
            <w:tcMar>
              <w:top w:w="60" w:type="dxa"/>
              <w:left w:w="90" w:type="dxa"/>
              <w:bottom w:w="60" w:type="dxa"/>
              <w:right w:w="90" w:type="dxa"/>
            </w:tcMar>
            <w:vAlign w:val="center"/>
          </w:tcPr>
          <w:p w14:paraId="6AEADA2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2.32</w:t>
            </w:r>
          </w:p>
        </w:tc>
      </w:tr>
      <w:tr w:rsidR="004B578F" w:rsidRPr="004B578F" w14:paraId="4EB3210B" w14:textId="77777777" w:rsidTr="004B578F">
        <w:tc>
          <w:tcPr>
            <w:tcW w:w="3900" w:type="dxa"/>
            <w:shd w:val="clear" w:color="auto" w:fill="EAEEF5"/>
            <w:tcMar>
              <w:top w:w="60" w:type="dxa"/>
              <w:left w:w="90" w:type="dxa"/>
              <w:bottom w:w="60" w:type="dxa"/>
              <w:right w:w="90" w:type="dxa"/>
            </w:tcMar>
            <w:vAlign w:val="center"/>
          </w:tcPr>
          <w:p w14:paraId="58AB7C0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Adjusted interest cover (times)</w:t>
            </w:r>
          </w:p>
        </w:tc>
        <w:tc>
          <w:tcPr>
            <w:tcW w:w="1020" w:type="dxa"/>
            <w:shd w:val="clear" w:color="auto" w:fill="EAEEF5"/>
            <w:tcMar>
              <w:top w:w="60" w:type="dxa"/>
              <w:left w:w="90" w:type="dxa"/>
              <w:bottom w:w="60" w:type="dxa"/>
              <w:right w:w="90" w:type="dxa"/>
            </w:tcMar>
            <w:vAlign w:val="center"/>
          </w:tcPr>
          <w:p w14:paraId="45C325A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0.88</w:t>
            </w:r>
          </w:p>
        </w:tc>
        <w:tc>
          <w:tcPr>
            <w:tcW w:w="1020" w:type="dxa"/>
            <w:shd w:val="clear" w:color="auto" w:fill="EAEEF5"/>
            <w:tcMar>
              <w:top w:w="60" w:type="dxa"/>
              <w:left w:w="90" w:type="dxa"/>
              <w:bottom w:w="60" w:type="dxa"/>
              <w:right w:w="90" w:type="dxa"/>
            </w:tcMar>
            <w:vAlign w:val="center"/>
          </w:tcPr>
          <w:p w14:paraId="6A88B8E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3.26</w:t>
            </w:r>
          </w:p>
        </w:tc>
        <w:tc>
          <w:tcPr>
            <w:tcW w:w="1020" w:type="dxa"/>
            <w:shd w:val="clear" w:color="auto" w:fill="EAEEF5"/>
            <w:tcMar>
              <w:top w:w="60" w:type="dxa"/>
              <w:left w:w="90" w:type="dxa"/>
              <w:bottom w:w="60" w:type="dxa"/>
              <w:right w:w="90" w:type="dxa"/>
            </w:tcMar>
            <w:vAlign w:val="center"/>
          </w:tcPr>
          <w:p w14:paraId="1A2A876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3.76</w:t>
            </w:r>
          </w:p>
        </w:tc>
        <w:tc>
          <w:tcPr>
            <w:tcW w:w="1020" w:type="dxa"/>
            <w:shd w:val="clear" w:color="auto" w:fill="EAEEF5"/>
            <w:tcMar>
              <w:top w:w="60" w:type="dxa"/>
              <w:left w:w="90" w:type="dxa"/>
              <w:bottom w:w="60" w:type="dxa"/>
              <w:right w:w="90" w:type="dxa"/>
            </w:tcMar>
            <w:vAlign w:val="center"/>
          </w:tcPr>
          <w:p w14:paraId="6C9A570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3.34</w:t>
            </w:r>
          </w:p>
        </w:tc>
        <w:tc>
          <w:tcPr>
            <w:tcW w:w="1020" w:type="dxa"/>
            <w:shd w:val="clear" w:color="auto" w:fill="EAEEF5"/>
            <w:tcMar>
              <w:top w:w="60" w:type="dxa"/>
              <w:left w:w="90" w:type="dxa"/>
              <w:bottom w:w="60" w:type="dxa"/>
              <w:right w:w="90" w:type="dxa"/>
            </w:tcMar>
            <w:vAlign w:val="center"/>
          </w:tcPr>
          <w:p w14:paraId="780ABAF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3.24</w:t>
            </w:r>
          </w:p>
        </w:tc>
      </w:tr>
      <w:tr w:rsidR="004B578F" w:rsidRPr="004B578F" w14:paraId="0BFF3B21" w14:textId="77777777" w:rsidTr="004B578F">
        <w:tc>
          <w:tcPr>
            <w:tcW w:w="3900" w:type="dxa"/>
            <w:shd w:val="clear" w:color="auto" w:fill="FFFFFF"/>
            <w:tcMar>
              <w:top w:w="60" w:type="dxa"/>
              <w:left w:w="90" w:type="dxa"/>
              <w:bottom w:w="60" w:type="dxa"/>
              <w:right w:w="90" w:type="dxa"/>
            </w:tcMar>
            <w:vAlign w:val="center"/>
          </w:tcPr>
          <w:p w14:paraId="49078D5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Basic EPS (pence)</w:t>
            </w:r>
          </w:p>
        </w:tc>
        <w:tc>
          <w:tcPr>
            <w:tcW w:w="1020" w:type="dxa"/>
            <w:shd w:val="clear" w:color="auto" w:fill="FFFFFF"/>
            <w:tcMar>
              <w:top w:w="60" w:type="dxa"/>
              <w:left w:w="90" w:type="dxa"/>
              <w:bottom w:w="60" w:type="dxa"/>
              <w:right w:w="90" w:type="dxa"/>
            </w:tcMar>
            <w:vAlign w:val="center"/>
          </w:tcPr>
          <w:p w14:paraId="41C552F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21.1</w:t>
            </w:r>
          </w:p>
        </w:tc>
        <w:tc>
          <w:tcPr>
            <w:tcW w:w="1020" w:type="dxa"/>
            <w:shd w:val="clear" w:color="auto" w:fill="FFFFFF"/>
            <w:tcMar>
              <w:top w:w="60" w:type="dxa"/>
              <w:left w:w="90" w:type="dxa"/>
              <w:bottom w:w="60" w:type="dxa"/>
              <w:right w:w="90" w:type="dxa"/>
            </w:tcMar>
            <w:vAlign w:val="center"/>
          </w:tcPr>
          <w:p w14:paraId="4A0C8ED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138.4</w:t>
            </w:r>
          </w:p>
        </w:tc>
        <w:tc>
          <w:tcPr>
            <w:tcW w:w="1020" w:type="dxa"/>
            <w:shd w:val="clear" w:color="auto" w:fill="FFFFFF"/>
            <w:tcMar>
              <w:top w:w="60" w:type="dxa"/>
              <w:left w:w="90" w:type="dxa"/>
              <w:bottom w:w="60" w:type="dxa"/>
              <w:right w:w="90" w:type="dxa"/>
            </w:tcMar>
            <w:vAlign w:val="center"/>
          </w:tcPr>
          <w:p w14:paraId="5ED0C86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161.0</w:t>
            </w:r>
          </w:p>
        </w:tc>
        <w:tc>
          <w:tcPr>
            <w:tcW w:w="1020" w:type="dxa"/>
            <w:shd w:val="clear" w:color="auto" w:fill="FFFFFF"/>
            <w:tcMar>
              <w:top w:w="60" w:type="dxa"/>
              <w:left w:w="90" w:type="dxa"/>
              <w:bottom w:w="60" w:type="dxa"/>
              <w:right w:w="90" w:type="dxa"/>
            </w:tcMar>
            <w:vAlign w:val="center"/>
          </w:tcPr>
          <w:p w14:paraId="0AA4689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141.5</w:t>
            </w:r>
          </w:p>
        </w:tc>
        <w:tc>
          <w:tcPr>
            <w:tcW w:w="1020" w:type="dxa"/>
            <w:shd w:val="clear" w:color="auto" w:fill="FFFFFF"/>
            <w:tcMar>
              <w:top w:w="60" w:type="dxa"/>
              <w:left w:w="90" w:type="dxa"/>
              <w:bottom w:w="60" w:type="dxa"/>
              <w:right w:w="90" w:type="dxa"/>
            </w:tcMar>
            <w:vAlign w:val="center"/>
          </w:tcPr>
          <w:p w14:paraId="604D2E8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123.3</w:t>
            </w:r>
          </w:p>
        </w:tc>
      </w:tr>
      <w:tr w:rsidR="004B578F" w:rsidRPr="004B578F" w14:paraId="59C50F29" w14:textId="77777777" w:rsidTr="004B578F">
        <w:tc>
          <w:tcPr>
            <w:tcW w:w="3900" w:type="dxa"/>
            <w:shd w:val="clear" w:color="auto" w:fill="EAEEF5"/>
            <w:tcMar>
              <w:top w:w="60" w:type="dxa"/>
              <w:left w:w="90" w:type="dxa"/>
              <w:bottom w:w="60" w:type="dxa"/>
              <w:right w:w="90" w:type="dxa"/>
            </w:tcMar>
            <w:vAlign w:val="center"/>
          </w:tcPr>
          <w:p w14:paraId="598C100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Adjusted EPS (pence)</w:t>
            </w:r>
          </w:p>
        </w:tc>
        <w:tc>
          <w:tcPr>
            <w:tcW w:w="1020" w:type="dxa"/>
            <w:shd w:val="clear" w:color="auto" w:fill="EAEEF5"/>
            <w:tcMar>
              <w:top w:w="60" w:type="dxa"/>
              <w:left w:w="90" w:type="dxa"/>
              <w:bottom w:w="60" w:type="dxa"/>
              <w:right w:w="90" w:type="dxa"/>
            </w:tcMar>
            <w:vAlign w:val="center"/>
          </w:tcPr>
          <w:p w14:paraId="6D50528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(2.5)</w:t>
            </w:r>
          </w:p>
        </w:tc>
        <w:tc>
          <w:tcPr>
            <w:tcW w:w="1020" w:type="dxa"/>
            <w:shd w:val="clear" w:color="auto" w:fill="EAEEF5"/>
            <w:tcMar>
              <w:top w:w="60" w:type="dxa"/>
              <w:left w:w="90" w:type="dxa"/>
              <w:bottom w:w="60" w:type="dxa"/>
              <w:right w:w="90" w:type="dxa"/>
            </w:tcMar>
            <w:vAlign w:val="center"/>
          </w:tcPr>
          <w:p w14:paraId="3D7B11C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162.9</w:t>
            </w:r>
          </w:p>
        </w:tc>
        <w:tc>
          <w:tcPr>
            <w:tcW w:w="1020" w:type="dxa"/>
            <w:shd w:val="clear" w:color="auto" w:fill="EAEEF5"/>
            <w:tcMar>
              <w:top w:w="60" w:type="dxa"/>
              <w:left w:w="90" w:type="dxa"/>
              <w:bottom w:w="60" w:type="dxa"/>
              <w:right w:w="90" w:type="dxa"/>
            </w:tcMar>
            <w:vAlign w:val="center"/>
          </w:tcPr>
          <w:p w14:paraId="35651E1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206.9</w:t>
            </w:r>
          </w:p>
        </w:tc>
        <w:tc>
          <w:tcPr>
            <w:tcW w:w="1020" w:type="dxa"/>
            <w:shd w:val="clear" w:color="auto" w:fill="EAEEF5"/>
            <w:tcMar>
              <w:top w:w="60" w:type="dxa"/>
              <w:left w:w="90" w:type="dxa"/>
              <w:bottom w:w="60" w:type="dxa"/>
              <w:right w:w="90" w:type="dxa"/>
            </w:tcMar>
            <w:vAlign w:val="center"/>
          </w:tcPr>
          <w:p w14:paraId="034101D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194.6</w:t>
            </w:r>
          </w:p>
        </w:tc>
        <w:tc>
          <w:tcPr>
            <w:tcW w:w="1020" w:type="dxa"/>
            <w:shd w:val="clear" w:color="auto" w:fill="EAEEF5"/>
            <w:tcMar>
              <w:top w:w="60" w:type="dxa"/>
              <w:left w:w="90" w:type="dxa"/>
              <w:bottom w:w="60" w:type="dxa"/>
              <w:right w:w="90" w:type="dxa"/>
            </w:tcMar>
            <w:vAlign w:val="center"/>
          </w:tcPr>
          <w:p w14:paraId="6FEFB37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208.5</w:t>
            </w:r>
          </w:p>
        </w:tc>
      </w:tr>
      <w:tr w:rsidR="004B578F" w:rsidRPr="004B578F" w14:paraId="1B95FEF8" w14:textId="77777777" w:rsidTr="004B578F">
        <w:tc>
          <w:tcPr>
            <w:tcW w:w="3900" w:type="dxa"/>
            <w:shd w:val="clear" w:color="auto" w:fill="FFFFFF"/>
            <w:tcMar>
              <w:top w:w="60" w:type="dxa"/>
              <w:left w:w="90" w:type="dxa"/>
              <w:bottom w:w="60" w:type="dxa"/>
              <w:right w:w="90" w:type="dxa"/>
            </w:tcMar>
            <w:vAlign w:val="center"/>
          </w:tcPr>
          <w:p w14:paraId="77E37F8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Dividend per share (pence)</w:t>
            </w:r>
          </w:p>
        </w:tc>
        <w:tc>
          <w:tcPr>
            <w:tcW w:w="1020" w:type="dxa"/>
            <w:shd w:val="clear" w:color="auto" w:fill="FFFFFF"/>
            <w:tcMar>
              <w:top w:w="60" w:type="dxa"/>
              <w:left w:w="90" w:type="dxa"/>
              <w:bottom w:w="60" w:type="dxa"/>
              <w:right w:w="90" w:type="dxa"/>
            </w:tcMar>
            <w:vAlign w:val="center"/>
          </w:tcPr>
          <w:p w14:paraId="6D9FF32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34.7</w:t>
            </w:r>
          </w:p>
        </w:tc>
        <w:tc>
          <w:tcPr>
            <w:tcW w:w="1020" w:type="dxa"/>
            <w:shd w:val="clear" w:color="auto" w:fill="FFFFFF"/>
            <w:tcMar>
              <w:top w:w="60" w:type="dxa"/>
              <w:left w:w="90" w:type="dxa"/>
              <w:bottom w:w="60" w:type="dxa"/>
              <w:right w:w="90" w:type="dxa"/>
            </w:tcMar>
            <w:vAlign w:val="center"/>
          </w:tcPr>
          <w:p w14:paraId="2C40C18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74.2</w:t>
            </w:r>
          </w:p>
        </w:tc>
        <w:tc>
          <w:tcPr>
            <w:tcW w:w="1020" w:type="dxa"/>
            <w:shd w:val="clear" w:color="auto" w:fill="FFFFFF"/>
            <w:tcMar>
              <w:top w:w="60" w:type="dxa"/>
              <w:left w:w="90" w:type="dxa"/>
              <w:bottom w:w="60" w:type="dxa"/>
              <w:right w:w="90" w:type="dxa"/>
            </w:tcMar>
            <w:vAlign w:val="center"/>
          </w:tcPr>
          <w:p w14:paraId="4B4CB96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97.0</w:t>
            </w:r>
          </w:p>
        </w:tc>
        <w:tc>
          <w:tcPr>
            <w:tcW w:w="1020" w:type="dxa"/>
            <w:shd w:val="clear" w:color="auto" w:fill="FFFFFF"/>
            <w:tcMar>
              <w:top w:w="60" w:type="dxa"/>
              <w:left w:w="90" w:type="dxa"/>
              <w:bottom w:w="60" w:type="dxa"/>
              <w:right w:w="90" w:type="dxa"/>
            </w:tcMar>
            <w:vAlign w:val="center"/>
          </w:tcPr>
          <w:p w14:paraId="59714CB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97.0</w:t>
            </w:r>
          </w:p>
        </w:tc>
        <w:tc>
          <w:tcPr>
            <w:tcW w:w="1020" w:type="dxa"/>
            <w:shd w:val="clear" w:color="auto" w:fill="FFFFFF"/>
            <w:tcMar>
              <w:top w:w="60" w:type="dxa"/>
              <w:left w:w="90" w:type="dxa"/>
              <w:bottom w:w="60" w:type="dxa"/>
              <w:right w:w="90" w:type="dxa"/>
            </w:tcMar>
            <w:vAlign w:val="center"/>
          </w:tcPr>
          <w:p w14:paraId="6A99712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97.0</w:t>
            </w:r>
          </w:p>
        </w:tc>
      </w:tr>
      <w:tr w:rsidR="004B578F" w:rsidRPr="004B578F" w14:paraId="774F4BA8" w14:textId="77777777" w:rsidTr="004B578F">
        <w:tc>
          <w:tcPr>
            <w:tcW w:w="3900" w:type="dxa"/>
            <w:shd w:val="clear" w:color="auto" w:fill="EAEEF5"/>
            <w:tcMar>
              <w:top w:w="60" w:type="dxa"/>
              <w:left w:w="90" w:type="dxa"/>
              <w:bottom w:w="60" w:type="dxa"/>
              <w:right w:w="90" w:type="dxa"/>
            </w:tcMar>
            <w:vAlign w:val="center"/>
          </w:tcPr>
          <w:p w14:paraId="64632CD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Dividend cover = EPS ÷ DPS (times)</w:t>
            </w:r>
          </w:p>
        </w:tc>
        <w:tc>
          <w:tcPr>
            <w:tcW w:w="1020" w:type="dxa"/>
            <w:shd w:val="clear" w:color="auto" w:fill="EAEEF5"/>
            <w:tcMar>
              <w:top w:w="60" w:type="dxa"/>
              <w:left w:w="90" w:type="dxa"/>
              <w:bottom w:w="60" w:type="dxa"/>
              <w:right w:w="90" w:type="dxa"/>
            </w:tcMar>
            <w:vAlign w:val="center"/>
          </w:tcPr>
          <w:p w14:paraId="4BBCD9A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0.61</w:t>
            </w:r>
          </w:p>
        </w:tc>
        <w:tc>
          <w:tcPr>
            <w:tcW w:w="1020" w:type="dxa"/>
            <w:shd w:val="clear" w:color="auto" w:fill="EAEEF5"/>
            <w:tcMar>
              <w:top w:w="60" w:type="dxa"/>
              <w:left w:w="90" w:type="dxa"/>
              <w:bottom w:w="60" w:type="dxa"/>
              <w:right w:w="90" w:type="dxa"/>
            </w:tcMar>
            <w:vAlign w:val="center"/>
          </w:tcPr>
          <w:p w14:paraId="26F78EF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1.87</w:t>
            </w:r>
          </w:p>
        </w:tc>
        <w:tc>
          <w:tcPr>
            <w:tcW w:w="1020" w:type="dxa"/>
            <w:shd w:val="clear" w:color="auto" w:fill="EAEEF5"/>
            <w:tcMar>
              <w:top w:w="60" w:type="dxa"/>
              <w:left w:w="90" w:type="dxa"/>
              <w:bottom w:w="60" w:type="dxa"/>
              <w:right w:w="90" w:type="dxa"/>
            </w:tcMar>
            <w:vAlign w:val="center"/>
          </w:tcPr>
          <w:p w14:paraId="0233D69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1.66</w:t>
            </w:r>
          </w:p>
        </w:tc>
        <w:tc>
          <w:tcPr>
            <w:tcW w:w="1020" w:type="dxa"/>
            <w:shd w:val="clear" w:color="auto" w:fill="EAEEF5"/>
            <w:tcMar>
              <w:top w:w="60" w:type="dxa"/>
              <w:left w:w="90" w:type="dxa"/>
              <w:bottom w:w="60" w:type="dxa"/>
              <w:right w:w="90" w:type="dxa"/>
            </w:tcMar>
            <w:vAlign w:val="center"/>
          </w:tcPr>
          <w:p w14:paraId="19BC68A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1.46</w:t>
            </w:r>
          </w:p>
        </w:tc>
        <w:tc>
          <w:tcPr>
            <w:tcW w:w="1020" w:type="dxa"/>
            <w:shd w:val="clear" w:color="auto" w:fill="EAEEF5"/>
            <w:tcMar>
              <w:top w:w="60" w:type="dxa"/>
              <w:left w:w="90" w:type="dxa"/>
              <w:bottom w:w="60" w:type="dxa"/>
              <w:right w:w="90" w:type="dxa"/>
            </w:tcMar>
            <w:vAlign w:val="center"/>
          </w:tcPr>
          <w:p w14:paraId="6C07839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1.27</w:t>
            </w:r>
          </w:p>
        </w:tc>
      </w:tr>
      <w:tr w:rsidR="004B578F" w:rsidRPr="004B578F" w14:paraId="09878628" w14:textId="77777777" w:rsidTr="004B578F">
        <w:tc>
          <w:tcPr>
            <w:tcW w:w="3900" w:type="dxa"/>
            <w:shd w:val="clear" w:color="auto" w:fill="FFFFFF"/>
            <w:tcMar>
              <w:top w:w="60" w:type="dxa"/>
              <w:left w:w="90" w:type="dxa"/>
              <w:bottom w:w="60" w:type="dxa"/>
              <w:right w:w="90" w:type="dxa"/>
            </w:tcMar>
            <w:vAlign w:val="center"/>
          </w:tcPr>
          <w:p w14:paraId="3816612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Payout ratio = DPS ÷ EPS (%)</w:t>
            </w:r>
          </w:p>
        </w:tc>
        <w:tc>
          <w:tcPr>
            <w:tcW w:w="1020" w:type="dxa"/>
            <w:shd w:val="clear" w:color="auto" w:fill="FFFFFF"/>
            <w:tcMar>
              <w:top w:w="60" w:type="dxa"/>
              <w:left w:w="90" w:type="dxa"/>
              <w:bottom w:w="60" w:type="dxa"/>
              <w:right w:w="90" w:type="dxa"/>
            </w:tcMar>
            <w:vAlign w:val="center"/>
          </w:tcPr>
          <w:p w14:paraId="4D999EA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164.4</w:t>
            </w:r>
          </w:p>
        </w:tc>
        <w:tc>
          <w:tcPr>
            <w:tcW w:w="1020" w:type="dxa"/>
            <w:shd w:val="clear" w:color="auto" w:fill="FFFFFF"/>
            <w:tcMar>
              <w:top w:w="60" w:type="dxa"/>
              <w:left w:w="90" w:type="dxa"/>
              <w:bottom w:w="60" w:type="dxa"/>
              <w:right w:w="90" w:type="dxa"/>
            </w:tcMar>
            <w:vAlign w:val="center"/>
          </w:tcPr>
          <w:p w14:paraId="19697C0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53.6</w:t>
            </w:r>
          </w:p>
        </w:tc>
        <w:tc>
          <w:tcPr>
            <w:tcW w:w="1020" w:type="dxa"/>
            <w:shd w:val="clear" w:color="auto" w:fill="FFFFFF"/>
            <w:tcMar>
              <w:top w:w="60" w:type="dxa"/>
              <w:left w:w="90" w:type="dxa"/>
              <w:bottom w:w="60" w:type="dxa"/>
              <w:right w:w="90" w:type="dxa"/>
            </w:tcMar>
            <w:vAlign w:val="center"/>
          </w:tcPr>
          <w:p w14:paraId="7EC844A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60.3</w:t>
            </w:r>
          </w:p>
        </w:tc>
        <w:tc>
          <w:tcPr>
            <w:tcW w:w="1020" w:type="dxa"/>
            <w:shd w:val="clear" w:color="auto" w:fill="FFFFFF"/>
            <w:tcMar>
              <w:top w:w="60" w:type="dxa"/>
              <w:left w:w="90" w:type="dxa"/>
              <w:bottom w:w="60" w:type="dxa"/>
              <w:right w:w="90" w:type="dxa"/>
            </w:tcMar>
            <w:vAlign w:val="center"/>
          </w:tcPr>
          <w:p w14:paraId="63FE9D4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68.6</w:t>
            </w:r>
          </w:p>
        </w:tc>
        <w:tc>
          <w:tcPr>
            <w:tcW w:w="1020" w:type="dxa"/>
            <w:shd w:val="clear" w:color="auto" w:fill="FFFFFF"/>
            <w:tcMar>
              <w:top w:w="60" w:type="dxa"/>
              <w:left w:w="90" w:type="dxa"/>
              <w:bottom w:w="60" w:type="dxa"/>
              <w:right w:w="90" w:type="dxa"/>
            </w:tcMar>
            <w:vAlign w:val="center"/>
          </w:tcPr>
          <w:p w14:paraId="39E461C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78.7</w:t>
            </w:r>
          </w:p>
        </w:tc>
      </w:tr>
      <w:tr w:rsidR="004B578F" w:rsidRPr="004B578F" w14:paraId="1EB14FB5" w14:textId="77777777" w:rsidTr="004B578F">
        <w:tc>
          <w:tcPr>
            <w:tcW w:w="3900" w:type="dxa"/>
            <w:shd w:val="clear" w:color="auto" w:fill="EAEEF5"/>
            <w:tcMar>
              <w:top w:w="60" w:type="dxa"/>
              <w:left w:w="90" w:type="dxa"/>
              <w:bottom w:w="60" w:type="dxa"/>
              <w:right w:w="90" w:type="dxa"/>
            </w:tcMar>
            <w:vAlign w:val="center"/>
          </w:tcPr>
          <w:p w14:paraId="2F3259D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Operating cash flow ÷ revenue (%)</w:t>
            </w:r>
          </w:p>
        </w:tc>
        <w:tc>
          <w:tcPr>
            <w:tcW w:w="1020" w:type="dxa"/>
            <w:shd w:val="clear" w:color="auto" w:fill="EAEEF5"/>
            <w:tcMar>
              <w:top w:w="60" w:type="dxa"/>
              <w:left w:w="90" w:type="dxa"/>
              <w:bottom w:w="60" w:type="dxa"/>
              <w:right w:w="90" w:type="dxa"/>
            </w:tcMar>
            <w:vAlign w:val="center"/>
          </w:tcPr>
          <w:p w14:paraId="39AE490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29.86</w:t>
            </w:r>
          </w:p>
        </w:tc>
        <w:tc>
          <w:tcPr>
            <w:tcW w:w="1020" w:type="dxa"/>
            <w:shd w:val="clear" w:color="auto" w:fill="EAEEF5"/>
            <w:tcMar>
              <w:top w:w="60" w:type="dxa"/>
              <w:left w:w="90" w:type="dxa"/>
              <w:bottom w:w="60" w:type="dxa"/>
              <w:right w:w="90" w:type="dxa"/>
            </w:tcMar>
            <w:vAlign w:val="center"/>
          </w:tcPr>
          <w:p w14:paraId="6E337D6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30.47</w:t>
            </w:r>
          </w:p>
        </w:tc>
        <w:tc>
          <w:tcPr>
            <w:tcW w:w="1020" w:type="dxa"/>
            <w:shd w:val="clear" w:color="auto" w:fill="EAEEF5"/>
            <w:tcMar>
              <w:top w:w="60" w:type="dxa"/>
              <w:left w:w="90" w:type="dxa"/>
              <w:bottom w:w="60" w:type="dxa"/>
              <w:right w:w="90" w:type="dxa"/>
            </w:tcMar>
            <w:vAlign w:val="center"/>
          </w:tcPr>
          <w:p w14:paraId="485EFB0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29.66</w:t>
            </w:r>
          </w:p>
        </w:tc>
        <w:tc>
          <w:tcPr>
            <w:tcW w:w="1020" w:type="dxa"/>
            <w:shd w:val="clear" w:color="auto" w:fill="EAEEF5"/>
            <w:tcMar>
              <w:top w:w="60" w:type="dxa"/>
              <w:left w:w="90" w:type="dxa"/>
              <w:bottom w:w="60" w:type="dxa"/>
              <w:right w:w="90" w:type="dxa"/>
            </w:tcMar>
            <w:vAlign w:val="center"/>
          </w:tcPr>
          <w:p w14:paraId="7ED0823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26.07</w:t>
            </w:r>
          </w:p>
        </w:tc>
        <w:tc>
          <w:tcPr>
            <w:tcW w:w="1020" w:type="dxa"/>
            <w:shd w:val="clear" w:color="auto" w:fill="EAEEF5"/>
            <w:tcMar>
              <w:top w:w="60" w:type="dxa"/>
              <w:left w:w="90" w:type="dxa"/>
              <w:bottom w:w="60" w:type="dxa"/>
              <w:right w:w="90" w:type="dxa"/>
            </w:tcMar>
            <w:vAlign w:val="center"/>
          </w:tcPr>
          <w:p w14:paraId="2020A04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25.78</w:t>
            </w:r>
          </w:p>
        </w:tc>
      </w:tr>
      <w:tr w:rsidR="004B578F" w:rsidRPr="004B578F" w14:paraId="017E596A" w14:textId="77777777" w:rsidTr="004B578F">
        <w:tc>
          <w:tcPr>
            <w:tcW w:w="3900" w:type="dxa"/>
            <w:shd w:val="clear" w:color="auto" w:fill="FFFFFF"/>
            <w:tcMar>
              <w:top w:w="60" w:type="dxa"/>
              <w:left w:w="90" w:type="dxa"/>
              <w:bottom w:w="60" w:type="dxa"/>
              <w:right w:w="90" w:type="dxa"/>
            </w:tcMar>
            <w:vAlign w:val="center"/>
          </w:tcPr>
          <w:p w14:paraId="134BA806"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Operating cash flow ÷ current liabilities (times)</w:t>
            </w:r>
          </w:p>
        </w:tc>
        <w:tc>
          <w:tcPr>
            <w:tcW w:w="1020" w:type="dxa"/>
            <w:shd w:val="clear" w:color="auto" w:fill="FFFFFF"/>
            <w:tcMar>
              <w:top w:w="60" w:type="dxa"/>
              <w:left w:w="90" w:type="dxa"/>
              <w:bottom w:w="60" w:type="dxa"/>
              <w:right w:w="90" w:type="dxa"/>
            </w:tcMar>
            <w:vAlign w:val="center"/>
          </w:tcPr>
          <w:p w14:paraId="5879BCC7"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0.71</w:t>
            </w:r>
          </w:p>
        </w:tc>
        <w:tc>
          <w:tcPr>
            <w:tcW w:w="1020" w:type="dxa"/>
            <w:shd w:val="clear" w:color="auto" w:fill="FFFFFF"/>
            <w:tcMar>
              <w:top w:w="60" w:type="dxa"/>
              <w:left w:w="90" w:type="dxa"/>
              <w:bottom w:w="60" w:type="dxa"/>
              <w:right w:w="90" w:type="dxa"/>
            </w:tcMar>
            <w:vAlign w:val="center"/>
          </w:tcPr>
          <w:p w14:paraId="514C0CE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0.95</w:t>
            </w:r>
          </w:p>
        </w:tc>
        <w:tc>
          <w:tcPr>
            <w:tcW w:w="1020" w:type="dxa"/>
            <w:shd w:val="clear" w:color="auto" w:fill="FFFFFF"/>
            <w:tcMar>
              <w:top w:w="60" w:type="dxa"/>
              <w:left w:w="90" w:type="dxa"/>
              <w:bottom w:w="60" w:type="dxa"/>
              <w:right w:w="90" w:type="dxa"/>
            </w:tcMar>
            <w:vAlign w:val="center"/>
          </w:tcPr>
          <w:p w14:paraId="6D973E33"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1.01</w:t>
            </w:r>
          </w:p>
        </w:tc>
        <w:tc>
          <w:tcPr>
            <w:tcW w:w="1020" w:type="dxa"/>
            <w:shd w:val="clear" w:color="auto" w:fill="FFFFFF"/>
            <w:tcMar>
              <w:top w:w="60" w:type="dxa"/>
              <w:left w:w="90" w:type="dxa"/>
              <w:bottom w:w="60" w:type="dxa"/>
              <w:right w:w="90" w:type="dxa"/>
            </w:tcMar>
            <w:vAlign w:val="center"/>
          </w:tcPr>
          <w:p w14:paraId="5E3A0D48"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0.58</w:t>
            </w:r>
          </w:p>
        </w:tc>
        <w:tc>
          <w:tcPr>
            <w:tcW w:w="1020" w:type="dxa"/>
            <w:shd w:val="clear" w:color="auto" w:fill="FFFFFF"/>
            <w:tcMar>
              <w:top w:w="60" w:type="dxa"/>
              <w:left w:w="90" w:type="dxa"/>
              <w:bottom w:w="60" w:type="dxa"/>
              <w:right w:w="90" w:type="dxa"/>
            </w:tcMar>
            <w:vAlign w:val="center"/>
          </w:tcPr>
          <w:p w14:paraId="741C6C94"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0.85</w:t>
            </w:r>
          </w:p>
        </w:tc>
      </w:tr>
      <w:tr w:rsidR="004B578F" w:rsidRPr="004B578F" w14:paraId="4FC45682" w14:textId="77777777" w:rsidTr="004B578F">
        <w:tc>
          <w:tcPr>
            <w:tcW w:w="3900" w:type="dxa"/>
            <w:shd w:val="clear" w:color="auto" w:fill="EAEEF5"/>
            <w:tcMar>
              <w:top w:w="60" w:type="dxa"/>
              <w:left w:w="90" w:type="dxa"/>
              <w:bottom w:w="60" w:type="dxa"/>
              <w:right w:w="90" w:type="dxa"/>
            </w:tcMar>
            <w:vAlign w:val="center"/>
          </w:tcPr>
          <w:p w14:paraId="6738DD7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Free cash flow = OCF − total capex (£m)</w:t>
            </w:r>
          </w:p>
        </w:tc>
        <w:tc>
          <w:tcPr>
            <w:tcW w:w="1020" w:type="dxa"/>
            <w:shd w:val="clear" w:color="auto" w:fill="EAEEF5"/>
            <w:tcMar>
              <w:top w:w="60" w:type="dxa"/>
              <w:left w:w="90" w:type="dxa"/>
              <w:bottom w:w="60" w:type="dxa"/>
              <w:right w:w="90" w:type="dxa"/>
            </w:tcMar>
            <w:vAlign w:val="center"/>
          </w:tcPr>
          <w:p w14:paraId="0B962E8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287.2</w:t>
            </w:r>
          </w:p>
        </w:tc>
        <w:tc>
          <w:tcPr>
            <w:tcW w:w="1020" w:type="dxa"/>
            <w:shd w:val="clear" w:color="auto" w:fill="EAEEF5"/>
            <w:tcMar>
              <w:top w:w="60" w:type="dxa"/>
              <w:left w:w="90" w:type="dxa"/>
              <w:bottom w:w="60" w:type="dxa"/>
              <w:right w:w="90" w:type="dxa"/>
            </w:tcMar>
            <w:vAlign w:val="center"/>
          </w:tcPr>
          <w:p w14:paraId="1B82AFE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281.1</w:t>
            </w:r>
          </w:p>
        </w:tc>
        <w:tc>
          <w:tcPr>
            <w:tcW w:w="1020" w:type="dxa"/>
            <w:shd w:val="clear" w:color="auto" w:fill="EAEEF5"/>
            <w:tcMar>
              <w:top w:w="60" w:type="dxa"/>
              <w:left w:w="90" w:type="dxa"/>
              <w:bottom w:w="60" w:type="dxa"/>
              <w:right w:w="90" w:type="dxa"/>
            </w:tcMar>
            <w:vAlign w:val="center"/>
          </w:tcPr>
          <w:p w14:paraId="7FA21A3C"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369.4</w:t>
            </w:r>
          </w:p>
        </w:tc>
        <w:tc>
          <w:tcPr>
            <w:tcW w:w="1020" w:type="dxa"/>
            <w:shd w:val="clear" w:color="auto" w:fill="EAEEF5"/>
            <w:tcMar>
              <w:top w:w="60" w:type="dxa"/>
              <w:left w:w="90" w:type="dxa"/>
              <w:bottom w:w="60" w:type="dxa"/>
              <w:right w:w="90" w:type="dxa"/>
            </w:tcMar>
            <w:vAlign w:val="center"/>
          </w:tcPr>
          <w:p w14:paraId="08D5654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275.7</w:t>
            </w:r>
          </w:p>
        </w:tc>
        <w:tc>
          <w:tcPr>
            <w:tcW w:w="1020" w:type="dxa"/>
            <w:shd w:val="clear" w:color="auto" w:fill="EAEEF5"/>
            <w:tcMar>
              <w:top w:w="60" w:type="dxa"/>
              <w:left w:w="90" w:type="dxa"/>
              <w:bottom w:w="60" w:type="dxa"/>
              <w:right w:w="90" w:type="dxa"/>
            </w:tcMar>
            <w:vAlign w:val="center"/>
          </w:tcPr>
          <w:p w14:paraId="7D9B7429"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77.4</w:t>
            </w:r>
          </w:p>
        </w:tc>
      </w:tr>
      <w:tr w:rsidR="004B578F" w:rsidRPr="004B578F" w14:paraId="35A94970" w14:textId="77777777" w:rsidTr="004B578F">
        <w:tc>
          <w:tcPr>
            <w:tcW w:w="3900" w:type="dxa"/>
            <w:shd w:val="clear" w:color="auto" w:fill="FFFFFF"/>
            <w:tcMar>
              <w:top w:w="60" w:type="dxa"/>
              <w:left w:w="90" w:type="dxa"/>
              <w:bottom w:w="60" w:type="dxa"/>
              <w:right w:w="90" w:type="dxa"/>
            </w:tcMar>
            <w:vAlign w:val="center"/>
          </w:tcPr>
          <w:p w14:paraId="3A379EC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Operating cash flow ÷ net debt (%)</w:t>
            </w:r>
          </w:p>
        </w:tc>
        <w:tc>
          <w:tcPr>
            <w:tcW w:w="1020" w:type="dxa"/>
            <w:shd w:val="clear" w:color="auto" w:fill="FFFFFF"/>
            <w:tcMar>
              <w:top w:w="60" w:type="dxa"/>
              <w:left w:w="90" w:type="dxa"/>
              <w:bottom w:w="60" w:type="dxa"/>
              <w:right w:w="90" w:type="dxa"/>
            </w:tcMar>
            <w:vAlign w:val="center"/>
          </w:tcPr>
          <w:p w14:paraId="02D230A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14.28</w:t>
            </w:r>
          </w:p>
        </w:tc>
        <w:tc>
          <w:tcPr>
            <w:tcW w:w="1020" w:type="dxa"/>
            <w:shd w:val="clear" w:color="auto" w:fill="FFFFFF"/>
            <w:tcMar>
              <w:top w:w="60" w:type="dxa"/>
              <w:left w:w="90" w:type="dxa"/>
              <w:bottom w:w="60" w:type="dxa"/>
              <w:right w:w="90" w:type="dxa"/>
            </w:tcMar>
            <w:vAlign w:val="center"/>
          </w:tcPr>
          <w:p w14:paraId="54A2192A"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21.12</w:t>
            </w:r>
          </w:p>
        </w:tc>
        <w:tc>
          <w:tcPr>
            <w:tcW w:w="1020" w:type="dxa"/>
            <w:shd w:val="clear" w:color="auto" w:fill="FFFFFF"/>
            <w:tcMar>
              <w:top w:w="60" w:type="dxa"/>
              <w:left w:w="90" w:type="dxa"/>
              <w:bottom w:w="60" w:type="dxa"/>
              <w:right w:w="90" w:type="dxa"/>
            </w:tcMar>
            <w:vAlign w:val="center"/>
          </w:tcPr>
          <w:p w14:paraId="69AC4290"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19.97</w:t>
            </w:r>
          </w:p>
        </w:tc>
        <w:tc>
          <w:tcPr>
            <w:tcW w:w="1020" w:type="dxa"/>
            <w:shd w:val="clear" w:color="auto" w:fill="FFFFFF"/>
            <w:tcMar>
              <w:top w:w="60" w:type="dxa"/>
              <w:left w:w="90" w:type="dxa"/>
              <w:bottom w:w="60" w:type="dxa"/>
              <w:right w:w="90" w:type="dxa"/>
            </w:tcMar>
            <w:vAlign w:val="center"/>
          </w:tcPr>
          <w:p w14:paraId="10828B25"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16.15</w:t>
            </w:r>
          </w:p>
        </w:tc>
        <w:tc>
          <w:tcPr>
            <w:tcW w:w="1020" w:type="dxa"/>
            <w:shd w:val="clear" w:color="auto" w:fill="FFFFFF"/>
            <w:tcMar>
              <w:top w:w="60" w:type="dxa"/>
              <w:left w:w="90" w:type="dxa"/>
              <w:bottom w:w="60" w:type="dxa"/>
              <w:right w:w="90" w:type="dxa"/>
            </w:tcMar>
            <w:vAlign w:val="center"/>
          </w:tcPr>
          <w:p w14:paraId="7B20D571"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14.39</w:t>
            </w:r>
          </w:p>
        </w:tc>
      </w:tr>
      <w:tr w:rsidR="004B578F" w:rsidRPr="004B578F" w14:paraId="5B88399B" w14:textId="77777777" w:rsidTr="004B578F">
        <w:tc>
          <w:tcPr>
            <w:tcW w:w="3900" w:type="dxa"/>
            <w:shd w:val="clear" w:color="auto" w:fill="EAEEF5"/>
            <w:tcMar>
              <w:top w:w="60" w:type="dxa"/>
              <w:left w:w="90" w:type="dxa"/>
              <w:bottom w:w="60" w:type="dxa"/>
              <w:right w:w="90" w:type="dxa"/>
            </w:tcMar>
            <w:vAlign w:val="center"/>
          </w:tcPr>
          <w:p w14:paraId="3A730B0E"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Cash conversion = cash from ops ÷ adj. op. profit (%)</w:t>
            </w:r>
          </w:p>
        </w:tc>
        <w:tc>
          <w:tcPr>
            <w:tcW w:w="1020" w:type="dxa"/>
            <w:shd w:val="clear" w:color="auto" w:fill="EAEEF5"/>
            <w:tcMar>
              <w:top w:w="60" w:type="dxa"/>
              <w:left w:w="90" w:type="dxa"/>
              <w:bottom w:w="60" w:type="dxa"/>
              <w:right w:w="90" w:type="dxa"/>
            </w:tcMar>
            <w:vAlign w:val="center"/>
          </w:tcPr>
          <w:p w14:paraId="6A7BE8D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452.5</w:t>
            </w:r>
          </w:p>
        </w:tc>
        <w:tc>
          <w:tcPr>
            <w:tcW w:w="1020" w:type="dxa"/>
            <w:shd w:val="clear" w:color="auto" w:fill="EAEEF5"/>
            <w:tcMar>
              <w:top w:w="60" w:type="dxa"/>
              <w:left w:w="90" w:type="dxa"/>
              <w:bottom w:w="60" w:type="dxa"/>
              <w:right w:w="90" w:type="dxa"/>
            </w:tcMar>
            <w:vAlign w:val="center"/>
          </w:tcPr>
          <w:p w14:paraId="2EA1126B"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183.3</w:t>
            </w:r>
          </w:p>
        </w:tc>
        <w:tc>
          <w:tcPr>
            <w:tcW w:w="1020" w:type="dxa"/>
            <w:shd w:val="clear" w:color="auto" w:fill="EAEEF5"/>
            <w:tcMar>
              <w:top w:w="60" w:type="dxa"/>
              <w:left w:w="90" w:type="dxa"/>
              <w:bottom w:w="60" w:type="dxa"/>
              <w:right w:w="90" w:type="dxa"/>
            </w:tcMar>
            <w:vAlign w:val="center"/>
          </w:tcPr>
          <w:p w14:paraId="744C6C2F"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161.2</w:t>
            </w:r>
          </w:p>
        </w:tc>
        <w:tc>
          <w:tcPr>
            <w:tcW w:w="1020" w:type="dxa"/>
            <w:shd w:val="clear" w:color="auto" w:fill="EAEEF5"/>
            <w:tcMar>
              <w:top w:w="60" w:type="dxa"/>
              <w:left w:w="90" w:type="dxa"/>
              <w:bottom w:w="60" w:type="dxa"/>
              <w:right w:w="90" w:type="dxa"/>
            </w:tcMar>
            <w:vAlign w:val="center"/>
          </w:tcPr>
          <w:p w14:paraId="32DF34B2"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159.6</w:t>
            </w:r>
          </w:p>
        </w:tc>
        <w:tc>
          <w:tcPr>
            <w:tcW w:w="1020" w:type="dxa"/>
            <w:shd w:val="clear" w:color="auto" w:fill="EAEEF5"/>
            <w:tcMar>
              <w:top w:w="60" w:type="dxa"/>
              <w:left w:w="90" w:type="dxa"/>
              <w:bottom w:w="60" w:type="dxa"/>
              <w:right w:w="90" w:type="dxa"/>
            </w:tcMar>
            <w:vAlign w:val="center"/>
          </w:tcPr>
          <w:p w14:paraId="37F5609D" w14:textId="77777777" w:rsidR="004B578F" w:rsidRPr="004B578F" w:rsidRDefault="004B578F" w:rsidP="004B578F">
            <w:pPr>
              <w:jc w:val="center"/>
              <w:rPr>
                <w:rFonts w:ascii="Times New Roman" w:hAnsi="Times New Roman" w:cs="Times New Roman"/>
                <w:sz w:val="18"/>
                <w:szCs w:val="18"/>
              </w:rPr>
            </w:pPr>
            <w:r w:rsidRPr="004B578F">
              <w:rPr>
                <w:rFonts w:ascii="Times New Roman" w:eastAsia="Calibri" w:hAnsi="Times New Roman" w:cs="Times New Roman"/>
                <w:color w:val="000000"/>
                <w:sz w:val="18"/>
                <w:szCs w:val="18"/>
              </w:rPr>
              <w:t>165.3</w:t>
            </w:r>
          </w:p>
        </w:tc>
      </w:tr>
    </w:tbl>
    <w:p w14:paraId="30EBE3EA" w14:textId="77777777" w:rsidR="004B578F" w:rsidRPr="004B578F" w:rsidRDefault="004B578F" w:rsidP="004B578F"/>
    <w:p w14:paraId="17EA2B54" w14:textId="77777777" w:rsidR="004B578F" w:rsidRPr="004B578F" w:rsidRDefault="004B578F" w:rsidP="004B578F"/>
    <w:p w14:paraId="54B69685" w14:textId="77777777" w:rsidR="000D05E7" w:rsidRDefault="000D05E7" w:rsidP="000D05E7">
      <w:pPr>
        <w:rPr>
          <w:b/>
          <w:bCs/>
        </w:rPr>
      </w:pPr>
    </w:p>
    <w:p w14:paraId="0E88B56A" w14:textId="3E973FA7" w:rsidR="000D05E7" w:rsidRDefault="004B578F" w:rsidP="004B578F">
      <w:pPr>
        <w:pStyle w:val="Heading1"/>
        <w:numPr>
          <w:ilvl w:val="0"/>
          <w:numId w:val="0"/>
        </w:numPr>
        <w:ind w:left="432"/>
      </w:pPr>
      <w:bookmarkStart w:id="50" w:name="_Toc237514465"/>
      <w:r>
        <w:t xml:space="preserve">Appendix C: </w:t>
      </w:r>
      <w:r w:rsidRPr="004B578F">
        <w:t>Ratio trend charts</w:t>
      </w:r>
      <w:bookmarkEnd w:id="50"/>
    </w:p>
    <w:p w14:paraId="63276946" w14:textId="3623573C" w:rsidR="004B578F" w:rsidRPr="004B578F" w:rsidRDefault="004B578F" w:rsidP="004B578F">
      <w:r>
        <w:rPr>
          <w:noProof/>
        </w:rPr>
        <w:drawing>
          <wp:inline distT="0" distB="0" distL="0" distR="0" wp14:anchorId="04D67423" wp14:editId="3232264D">
            <wp:extent cx="5143500" cy="2428875"/>
            <wp:effectExtent l="0" t="0" r="0" b="0"/>
            <wp:docPr id="565555360" name="Picture 565555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143500" cy="2428875"/>
                    </a:xfrm>
                    <a:prstGeom prst="rect">
                      <a:avLst/>
                    </a:prstGeom>
                  </pic:spPr>
                </pic:pic>
              </a:graphicData>
            </a:graphic>
          </wp:inline>
        </w:drawing>
      </w:r>
    </w:p>
    <w:p w14:paraId="5D60E2C2" w14:textId="77777777" w:rsidR="004B578F" w:rsidRDefault="004B578F" w:rsidP="004B578F">
      <w:pPr>
        <w:spacing w:before="60" w:after="220"/>
      </w:pPr>
      <w:r>
        <w:rPr>
          <w:rFonts w:ascii="Calibri" w:eastAsia="Calibri" w:hAnsi="Calibri" w:cs="Calibri"/>
          <w:i/>
          <w:iCs/>
          <w:color w:val="555555"/>
          <w:sz w:val="17"/>
          <w:szCs w:val="17"/>
        </w:rPr>
        <w:t>Figure C1: Revenue and operating profit.</w:t>
      </w:r>
    </w:p>
    <w:p w14:paraId="517AA75E" w14:textId="77F45FA0" w:rsidR="004B578F" w:rsidRDefault="004B578F" w:rsidP="004B578F">
      <w:r>
        <w:rPr>
          <w:noProof/>
        </w:rPr>
        <w:drawing>
          <wp:inline distT="0" distB="0" distL="0" distR="0" wp14:anchorId="7A58ECA8" wp14:editId="56FD9657">
            <wp:extent cx="5143500" cy="2225040"/>
            <wp:effectExtent l="0" t="0" r="0" b="3810"/>
            <wp:docPr id="217854441" name="Picture 217854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143500" cy="2225040"/>
                    </a:xfrm>
                    <a:prstGeom prst="rect">
                      <a:avLst/>
                    </a:prstGeom>
                  </pic:spPr>
                </pic:pic>
              </a:graphicData>
            </a:graphic>
          </wp:inline>
        </w:drawing>
      </w:r>
      <w:r>
        <w:tab/>
      </w:r>
    </w:p>
    <w:p w14:paraId="62D65092" w14:textId="77777777" w:rsidR="004B578F" w:rsidRDefault="004B578F" w:rsidP="004B578F">
      <w:pPr>
        <w:spacing w:before="60" w:after="220"/>
      </w:pPr>
      <w:r>
        <w:rPr>
          <w:rFonts w:ascii="Calibri" w:eastAsia="Calibri" w:hAnsi="Calibri" w:cs="Calibri"/>
          <w:i/>
          <w:iCs/>
          <w:color w:val="555555"/>
          <w:sz w:val="17"/>
          <w:szCs w:val="17"/>
        </w:rPr>
        <w:t>Figure C2: Profitability ratios.</w:t>
      </w:r>
    </w:p>
    <w:p w14:paraId="7CD3C26A" w14:textId="6D28D3B0" w:rsidR="004B578F" w:rsidRDefault="004B578F" w:rsidP="004B578F">
      <w:r>
        <w:rPr>
          <w:noProof/>
        </w:rPr>
        <w:drawing>
          <wp:inline distT="0" distB="0" distL="0" distR="0" wp14:anchorId="524DFADA" wp14:editId="2A74C78A">
            <wp:extent cx="5143500" cy="2148840"/>
            <wp:effectExtent l="0" t="0" r="0" b="3810"/>
            <wp:docPr id="208586914" name="Picture 208586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143500" cy="2148840"/>
                    </a:xfrm>
                    <a:prstGeom prst="rect">
                      <a:avLst/>
                    </a:prstGeom>
                  </pic:spPr>
                </pic:pic>
              </a:graphicData>
            </a:graphic>
          </wp:inline>
        </w:drawing>
      </w:r>
    </w:p>
    <w:p w14:paraId="597D6065" w14:textId="77777777" w:rsidR="004B578F" w:rsidRDefault="004B578F" w:rsidP="004B578F">
      <w:pPr>
        <w:spacing w:before="60" w:after="220"/>
      </w:pPr>
      <w:r>
        <w:rPr>
          <w:rFonts w:ascii="Calibri" w:eastAsia="Calibri" w:hAnsi="Calibri" w:cs="Calibri"/>
          <w:i/>
          <w:iCs/>
          <w:color w:val="555555"/>
          <w:sz w:val="17"/>
          <w:szCs w:val="17"/>
        </w:rPr>
        <w:lastRenderedPageBreak/>
        <w:t>Figure C3: Liquidity ratios against the sector benchmark.</w:t>
      </w:r>
    </w:p>
    <w:p w14:paraId="731CED9F" w14:textId="3FDB1323" w:rsidR="004B578F" w:rsidRPr="004B578F" w:rsidRDefault="004B578F" w:rsidP="004B578F">
      <w:r>
        <w:rPr>
          <w:noProof/>
        </w:rPr>
        <w:drawing>
          <wp:inline distT="0" distB="0" distL="0" distR="0" wp14:anchorId="5279F583" wp14:editId="2BCC8D97">
            <wp:extent cx="5143500" cy="2162175"/>
            <wp:effectExtent l="0" t="0" r="0" b="0"/>
            <wp:docPr id="829902141" name="Picture 829902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143500" cy="2162175"/>
                    </a:xfrm>
                    <a:prstGeom prst="rect">
                      <a:avLst/>
                    </a:prstGeom>
                  </pic:spPr>
                </pic:pic>
              </a:graphicData>
            </a:graphic>
          </wp:inline>
        </w:drawing>
      </w:r>
    </w:p>
    <w:p w14:paraId="53E01085" w14:textId="77777777" w:rsidR="004B578F" w:rsidRDefault="004B578F" w:rsidP="004B578F">
      <w:pPr>
        <w:spacing w:before="60" w:after="220"/>
      </w:pPr>
      <w:r>
        <w:rPr>
          <w:rFonts w:ascii="Calibri" w:eastAsia="Calibri" w:hAnsi="Calibri" w:cs="Calibri"/>
          <w:i/>
          <w:iCs/>
          <w:color w:val="555555"/>
          <w:sz w:val="17"/>
          <w:szCs w:val="17"/>
        </w:rPr>
        <w:t>Figure C4: Net debt, gearing and interest cover.</w:t>
      </w:r>
    </w:p>
    <w:p w14:paraId="12DDE7EA" w14:textId="0078F0D5" w:rsidR="000D05E7" w:rsidRDefault="004B578F" w:rsidP="000D05E7">
      <w:pPr>
        <w:rPr>
          <w:b/>
          <w:bCs/>
        </w:rPr>
      </w:pPr>
      <w:r>
        <w:rPr>
          <w:noProof/>
        </w:rPr>
        <w:drawing>
          <wp:inline distT="0" distB="0" distL="0" distR="0" wp14:anchorId="3ABBC38B" wp14:editId="50496CC2">
            <wp:extent cx="5143500" cy="2495550"/>
            <wp:effectExtent l="0" t="0" r="0" b="0"/>
            <wp:docPr id="787165303" name="Picture 787165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43500" cy="2495550"/>
                    </a:xfrm>
                    <a:prstGeom prst="rect">
                      <a:avLst/>
                    </a:prstGeom>
                  </pic:spPr>
                </pic:pic>
              </a:graphicData>
            </a:graphic>
          </wp:inline>
        </w:drawing>
      </w:r>
    </w:p>
    <w:p w14:paraId="2E58DB51" w14:textId="77777777" w:rsidR="004B578F" w:rsidRDefault="004B578F" w:rsidP="004B578F">
      <w:pPr>
        <w:spacing w:before="60" w:after="220"/>
      </w:pPr>
      <w:r>
        <w:rPr>
          <w:rFonts w:ascii="Calibri" w:eastAsia="Calibri" w:hAnsi="Calibri" w:cs="Calibri"/>
          <w:i/>
          <w:iCs/>
          <w:color w:val="555555"/>
          <w:sz w:val="17"/>
          <w:szCs w:val="17"/>
        </w:rPr>
        <w:t>Figure C5: Cash operating cycle and its components.</w:t>
      </w:r>
    </w:p>
    <w:p w14:paraId="3A0008A8" w14:textId="061C83B3" w:rsidR="004B578F" w:rsidRDefault="00D31533" w:rsidP="000D05E7">
      <w:pPr>
        <w:rPr>
          <w:b/>
          <w:bCs/>
        </w:rPr>
      </w:pPr>
      <w:r>
        <w:rPr>
          <w:noProof/>
        </w:rPr>
        <w:drawing>
          <wp:inline distT="0" distB="0" distL="0" distR="0" wp14:anchorId="0EF513B1" wp14:editId="6B012079">
            <wp:extent cx="5143500" cy="2428875"/>
            <wp:effectExtent l="0" t="0" r="0" b="0"/>
            <wp:docPr id="1190522371" name="Picture 1190522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143500" cy="2428875"/>
                    </a:xfrm>
                    <a:prstGeom prst="rect">
                      <a:avLst/>
                    </a:prstGeom>
                  </pic:spPr>
                </pic:pic>
              </a:graphicData>
            </a:graphic>
          </wp:inline>
        </w:drawing>
      </w:r>
    </w:p>
    <w:p w14:paraId="3E2B3DF4" w14:textId="77777777" w:rsidR="00D31533" w:rsidRDefault="00D31533" w:rsidP="00D31533">
      <w:pPr>
        <w:spacing w:before="60" w:after="220"/>
      </w:pPr>
      <w:r>
        <w:rPr>
          <w:rFonts w:ascii="Calibri" w:eastAsia="Calibri" w:hAnsi="Calibri" w:cs="Calibri"/>
          <w:i/>
          <w:iCs/>
          <w:color w:val="555555"/>
          <w:sz w:val="17"/>
          <w:szCs w:val="17"/>
        </w:rPr>
        <w:lastRenderedPageBreak/>
        <w:t>Figure C6: Cash generation and reinvestment.</w:t>
      </w:r>
    </w:p>
    <w:p w14:paraId="68C08E98" w14:textId="5BD657F0" w:rsidR="00D31533" w:rsidRDefault="00D31533" w:rsidP="00D31533">
      <w:pPr>
        <w:pStyle w:val="Heading1"/>
        <w:numPr>
          <w:ilvl w:val="0"/>
          <w:numId w:val="0"/>
        </w:numPr>
        <w:ind w:left="432"/>
      </w:pPr>
      <w:bookmarkStart w:id="51" w:name="_Toc237514466"/>
      <w:r w:rsidRPr="00D31533">
        <w:t>Appendix D: Investment appraisal workings</w:t>
      </w:r>
      <w:bookmarkEnd w:id="51"/>
    </w:p>
    <w:p w14:paraId="2F1C9E53" w14:textId="339126FC" w:rsidR="00D31533" w:rsidRDefault="00D31533" w:rsidP="00D31533">
      <w:bookmarkStart w:id="52" w:name="_Toc237504427"/>
      <w:r>
        <w:t>Cash flows and discount factors</w:t>
      </w:r>
      <w:bookmarkEnd w:id="52"/>
    </w:p>
    <w:tbl>
      <w:tblPr>
        <w:tblW w:w="9000" w:type="dxa"/>
        <w:tblBorders>
          <w:top w:val="single" w:sz="4" w:space="0" w:color="1F3864"/>
          <w:bottom w:val="single" w:sz="4" w:space="0" w:color="1F3864"/>
          <w:insideH w:val="single" w:sz="2" w:space="0" w:color="BFBFBF"/>
        </w:tblBorders>
        <w:tblCellMar>
          <w:left w:w="10" w:type="dxa"/>
          <w:right w:w="10" w:type="dxa"/>
        </w:tblCellMar>
        <w:tblLook w:val="0000" w:firstRow="0" w:lastRow="0" w:firstColumn="0" w:lastColumn="0" w:noHBand="0" w:noVBand="0"/>
      </w:tblPr>
      <w:tblGrid>
        <w:gridCol w:w="800"/>
        <w:gridCol w:w="1300"/>
        <w:gridCol w:w="1300"/>
        <w:gridCol w:w="1300"/>
        <w:gridCol w:w="1000"/>
        <w:gridCol w:w="1100"/>
        <w:gridCol w:w="1100"/>
        <w:gridCol w:w="1100"/>
      </w:tblGrid>
      <w:tr w:rsidR="00D31533" w14:paraId="143DC128" w14:textId="77777777" w:rsidTr="00E20DB4">
        <w:trPr>
          <w:tblHeader/>
        </w:trPr>
        <w:tc>
          <w:tcPr>
            <w:tcW w:w="800" w:type="dxa"/>
            <w:shd w:val="clear" w:color="auto" w:fill="1F3864"/>
            <w:tcMar>
              <w:top w:w="60" w:type="dxa"/>
              <w:left w:w="90" w:type="dxa"/>
              <w:bottom w:w="60" w:type="dxa"/>
              <w:right w:w="90" w:type="dxa"/>
            </w:tcMar>
            <w:vAlign w:val="center"/>
          </w:tcPr>
          <w:p w14:paraId="77F29863" w14:textId="77777777" w:rsidR="00D31533" w:rsidRDefault="00D31533" w:rsidP="00E20DB4">
            <w:r>
              <w:rPr>
                <w:rFonts w:ascii="Calibri" w:eastAsia="Calibri" w:hAnsi="Calibri" w:cs="Calibri"/>
                <w:b/>
                <w:bCs/>
                <w:color w:val="FFFFFF"/>
                <w:sz w:val="17"/>
                <w:szCs w:val="17"/>
              </w:rPr>
              <w:t>Year</w:t>
            </w:r>
          </w:p>
        </w:tc>
        <w:tc>
          <w:tcPr>
            <w:tcW w:w="1300" w:type="dxa"/>
            <w:shd w:val="clear" w:color="auto" w:fill="1F3864"/>
            <w:tcMar>
              <w:top w:w="60" w:type="dxa"/>
              <w:left w:w="90" w:type="dxa"/>
              <w:bottom w:w="60" w:type="dxa"/>
              <w:right w:w="90" w:type="dxa"/>
            </w:tcMar>
            <w:vAlign w:val="center"/>
          </w:tcPr>
          <w:p w14:paraId="30CCFDAF" w14:textId="77777777" w:rsidR="00D31533" w:rsidRDefault="00D31533" w:rsidP="00E20DB4">
            <w:r>
              <w:rPr>
                <w:rFonts w:ascii="Calibri" w:eastAsia="Calibri" w:hAnsi="Calibri" w:cs="Calibri"/>
                <w:b/>
                <w:bCs/>
                <w:color w:val="FFFFFF"/>
                <w:sz w:val="17"/>
                <w:szCs w:val="17"/>
              </w:rPr>
              <w:t>Project A (£m)</w:t>
            </w:r>
          </w:p>
        </w:tc>
        <w:tc>
          <w:tcPr>
            <w:tcW w:w="1300" w:type="dxa"/>
            <w:shd w:val="clear" w:color="auto" w:fill="1F3864"/>
            <w:tcMar>
              <w:top w:w="60" w:type="dxa"/>
              <w:left w:w="90" w:type="dxa"/>
              <w:bottom w:w="60" w:type="dxa"/>
              <w:right w:w="90" w:type="dxa"/>
            </w:tcMar>
            <w:vAlign w:val="center"/>
          </w:tcPr>
          <w:p w14:paraId="432CF5D2" w14:textId="77777777" w:rsidR="00D31533" w:rsidRDefault="00D31533" w:rsidP="00E20DB4">
            <w:r>
              <w:rPr>
                <w:rFonts w:ascii="Calibri" w:eastAsia="Calibri" w:hAnsi="Calibri" w:cs="Calibri"/>
                <w:b/>
                <w:bCs/>
                <w:color w:val="FFFFFF"/>
                <w:sz w:val="17"/>
                <w:szCs w:val="17"/>
              </w:rPr>
              <w:t>Project B (£m)</w:t>
            </w:r>
          </w:p>
        </w:tc>
        <w:tc>
          <w:tcPr>
            <w:tcW w:w="1300" w:type="dxa"/>
            <w:shd w:val="clear" w:color="auto" w:fill="1F3864"/>
            <w:tcMar>
              <w:top w:w="60" w:type="dxa"/>
              <w:left w:w="90" w:type="dxa"/>
              <w:bottom w:w="60" w:type="dxa"/>
              <w:right w:w="90" w:type="dxa"/>
            </w:tcMar>
            <w:vAlign w:val="center"/>
          </w:tcPr>
          <w:p w14:paraId="2EDF4B90" w14:textId="77777777" w:rsidR="00D31533" w:rsidRDefault="00D31533" w:rsidP="00E20DB4">
            <w:r>
              <w:rPr>
                <w:rFonts w:ascii="Calibri" w:eastAsia="Calibri" w:hAnsi="Calibri" w:cs="Calibri"/>
                <w:b/>
                <w:bCs/>
                <w:color w:val="FFFFFF"/>
                <w:sz w:val="17"/>
                <w:szCs w:val="17"/>
              </w:rPr>
              <w:t>Project C (£m)</w:t>
            </w:r>
          </w:p>
        </w:tc>
        <w:tc>
          <w:tcPr>
            <w:tcW w:w="1000" w:type="dxa"/>
            <w:shd w:val="clear" w:color="auto" w:fill="1F3864"/>
            <w:tcMar>
              <w:top w:w="60" w:type="dxa"/>
              <w:left w:w="90" w:type="dxa"/>
              <w:bottom w:w="60" w:type="dxa"/>
              <w:right w:w="90" w:type="dxa"/>
            </w:tcMar>
            <w:vAlign w:val="center"/>
          </w:tcPr>
          <w:p w14:paraId="476297B9" w14:textId="77777777" w:rsidR="00D31533" w:rsidRDefault="00D31533" w:rsidP="00E20DB4">
            <w:r>
              <w:rPr>
                <w:rFonts w:ascii="Calibri" w:eastAsia="Calibri" w:hAnsi="Calibri" w:cs="Calibri"/>
                <w:b/>
                <w:bCs/>
                <w:color w:val="FFFFFF"/>
                <w:sz w:val="17"/>
                <w:szCs w:val="17"/>
              </w:rPr>
              <w:t>DF at 8%</w:t>
            </w:r>
          </w:p>
        </w:tc>
        <w:tc>
          <w:tcPr>
            <w:tcW w:w="1100" w:type="dxa"/>
            <w:shd w:val="clear" w:color="auto" w:fill="1F3864"/>
            <w:tcMar>
              <w:top w:w="60" w:type="dxa"/>
              <w:left w:w="90" w:type="dxa"/>
              <w:bottom w:w="60" w:type="dxa"/>
              <w:right w:w="90" w:type="dxa"/>
            </w:tcMar>
            <w:vAlign w:val="center"/>
          </w:tcPr>
          <w:p w14:paraId="2C6367D4" w14:textId="77777777" w:rsidR="00D31533" w:rsidRDefault="00D31533" w:rsidP="00E20DB4">
            <w:r>
              <w:rPr>
                <w:rFonts w:ascii="Calibri" w:eastAsia="Calibri" w:hAnsi="Calibri" w:cs="Calibri"/>
                <w:b/>
                <w:bCs/>
                <w:color w:val="FFFFFF"/>
                <w:sz w:val="17"/>
                <w:szCs w:val="17"/>
              </w:rPr>
              <w:t>PV A (£m)</w:t>
            </w:r>
          </w:p>
        </w:tc>
        <w:tc>
          <w:tcPr>
            <w:tcW w:w="1100" w:type="dxa"/>
            <w:shd w:val="clear" w:color="auto" w:fill="1F3864"/>
            <w:tcMar>
              <w:top w:w="60" w:type="dxa"/>
              <w:left w:w="90" w:type="dxa"/>
              <w:bottom w:w="60" w:type="dxa"/>
              <w:right w:w="90" w:type="dxa"/>
            </w:tcMar>
            <w:vAlign w:val="center"/>
          </w:tcPr>
          <w:p w14:paraId="7C92FEC3" w14:textId="77777777" w:rsidR="00D31533" w:rsidRDefault="00D31533" w:rsidP="00E20DB4">
            <w:r>
              <w:rPr>
                <w:rFonts w:ascii="Calibri" w:eastAsia="Calibri" w:hAnsi="Calibri" w:cs="Calibri"/>
                <w:b/>
                <w:bCs/>
                <w:color w:val="FFFFFF"/>
                <w:sz w:val="17"/>
                <w:szCs w:val="17"/>
              </w:rPr>
              <w:t>PV B (£m)</w:t>
            </w:r>
          </w:p>
        </w:tc>
        <w:tc>
          <w:tcPr>
            <w:tcW w:w="1100" w:type="dxa"/>
            <w:shd w:val="clear" w:color="auto" w:fill="1F3864"/>
            <w:tcMar>
              <w:top w:w="60" w:type="dxa"/>
              <w:left w:w="90" w:type="dxa"/>
              <w:bottom w:w="60" w:type="dxa"/>
              <w:right w:w="90" w:type="dxa"/>
            </w:tcMar>
            <w:vAlign w:val="center"/>
          </w:tcPr>
          <w:p w14:paraId="2E447B5F" w14:textId="77777777" w:rsidR="00D31533" w:rsidRDefault="00D31533" w:rsidP="00E20DB4">
            <w:r>
              <w:rPr>
                <w:rFonts w:ascii="Calibri" w:eastAsia="Calibri" w:hAnsi="Calibri" w:cs="Calibri"/>
                <w:b/>
                <w:bCs/>
                <w:color w:val="FFFFFF"/>
                <w:sz w:val="17"/>
                <w:szCs w:val="17"/>
              </w:rPr>
              <w:t>PV C (£m)</w:t>
            </w:r>
          </w:p>
        </w:tc>
      </w:tr>
      <w:tr w:rsidR="00D31533" w14:paraId="6DBE66FF" w14:textId="77777777" w:rsidTr="00E20DB4">
        <w:tc>
          <w:tcPr>
            <w:tcW w:w="800" w:type="dxa"/>
            <w:shd w:val="clear" w:color="auto" w:fill="FFFFFF"/>
            <w:tcMar>
              <w:top w:w="60" w:type="dxa"/>
              <w:left w:w="90" w:type="dxa"/>
              <w:bottom w:w="60" w:type="dxa"/>
              <w:right w:w="90" w:type="dxa"/>
            </w:tcMar>
            <w:vAlign w:val="center"/>
          </w:tcPr>
          <w:p w14:paraId="2027E69D" w14:textId="77777777" w:rsidR="00D31533" w:rsidRDefault="00D31533" w:rsidP="00E20DB4">
            <w:r>
              <w:rPr>
                <w:rFonts w:ascii="Calibri" w:eastAsia="Calibri" w:hAnsi="Calibri" w:cs="Calibri"/>
                <w:color w:val="000000"/>
                <w:sz w:val="17"/>
                <w:szCs w:val="17"/>
              </w:rPr>
              <w:t>0</w:t>
            </w:r>
          </w:p>
        </w:tc>
        <w:tc>
          <w:tcPr>
            <w:tcW w:w="1300" w:type="dxa"/>
            <w:shd w:val="clear" w:color="auto" w:fill="FFFFFF"/>
            <w:tcMar>
              <w:top w:w="60" w:type="dxa"/>
              <w:left w:w="90" w:type="dxa"/>
              <w:bottom w:w="60" w:type="dxa"/>
              <w:right w:w="90" w:type="dxa"/>
            </w:tcMar>
            <w:vAlign w:val="center"/>
          </w:tcPr>
          <w:p w14:paraId="35C6C8A9" w14:textId="77777777" w:rsidR="00D31533" w:rsidRDefault="00D31533" w:rsidP="00E20DB4">
            <w:pPr>
              <w:jc w:val="right"/>
            </w:pPr>
            <w:r>
              <w:rPr>
                <w:rFonts w:ascii="Calibri" w:eastAsia="Calibri" w:hAnsi="Calibri" w:cs="Calibri"/>
                <w:color w:val="000000"/>
                <w:sz w:val="17"/>
                <w:szCs w:val="17"/>
              </w:rPr>
              <w:t>(50.00)</w:t>
            </w:r>
          </w:p>
        </w:tc>
        <w:tc>
          <w:tcPr>
            <w:tcW w:w="1300" w:type="dxa"/>
            <w:shd w:val="clear" w:color="auto" w:fill="FFFFFF"/>
            <w:tcMar>
              <w:top w:w="60" w:type="dxa"/>
              <w:left w:w="90" w:type="dxa"/>
              <w:bottom w:w="60" w:type="dxa"/>
              <w:right w:w="90" w:type="dxa"/>
            </w:tcMar>
            <w:vAlign w:val="center"/>
          </w:tcPr>
          <w:p w14:paraId="260CDB01" w14:textId="77777777" w:rsidR="00D31533" w:rsidRDefault="00D31533" w:rsidP="00E20DB4">
            <w:pPr>
              <w:jc w:val="right"/>
            </w:pPr>
            <w:r>
              <w:rPr>
                <w:rFonts w:ascii="Calibri" w:eastAsia="Calibri" w:hAnsi="Calibri" w:cs="Calibri"/>
                <w:color w:val="000000"/>
                <w:sz w:val="17"/>
                <w:szCs w:val="17"/>
              </w:rPr>
              <w:t>(50.00)</w:t>
            </w:r>
          </w:p>
        </w:tc>
        <w:tc>
          <w:tcPr>
            <w:tcW w:w="1300" w:type="dxa"/>
            <w:shd w:val="clear" w:color="auto" w:fill="FFFFFF"/>
            <w:tcMar>
              <w:top w:w="60" w:type="dxa"/>
              <w:left w:w="90" w:type="dxa"/>
              <w:bottom w:w="60" w:type="dxa"/>
              <w:right w:w="90" w:type="dxa"/>
            </w:tcMar>
            <w:vAlign w:val="center"/>
          </w:tcPr>
          <w:p w14:paraId="563A8682" w14:textId="77777777" w:rsidR="00D31533" w:rsidRDefault="00D31533" w:rsidP="00E20DB4">
            <w:pPr>
              <w:jc w:val="right"/>
            </w:pPr>
            <w:r>
              <w:rPr>
                <w:rFonts w:ascii="Calibri" w:eastAsia="Calibri" w:hAnsi="Calibri" w:cs="Calibri"/>
                <w:color w:val="000000"/>
                <w:sz w:val="17"/>
                <w:szCs w:val="17"/>
              </w:rPr>
              <w:t>(50.00)</w:t>
            </w:r>
          </w:p>
        </w:tc>
        <w:tc>
          <w:tcPr>
            <w:tcW w:w="1000" w:type="dxa"/>
            <w:shd w:val="clear" w:color="auto" w:fill="FFFFFF"/>
            <w:tcMar>
              <w:top w:w="60" w:type="dxa"/>
              <w:left w:w="90" w:type="dxa"/>
              <w:bottom w:w="60" w:type="dxa"/>
              <w:right w:w="90" w:type="dxa"/>
            </w:tcMar>
            <w:vAlign w:val="center"/>
          </w:tcPr>
          <w:p w14:paraId="1E471E91" w14:textId="77777777" w:rsidR="00D31533" w:rsidRDefault="00D31533" w:rsidP="00E20DB4">
            <w:pPr>
              <w:jc w:val="right"/>
            </w:pPr>
            <w:r>
              <w:rPr>
                <w:rFonts w:ascii="Calibri" w:eastAsia="Calibri" w:hAnsi="Calibri" w:cs="Calibri"/>
                <w:color w:val="000000"/>
                <w:sz w:val="17"/>
                <w:szCs w:val="17"/>
              </w:rPr>
              <w:t>1.0000</w:t>
            </w:r>
          </w:p>
        </w:tc>
        <w:tc>
          <w:tcPr>
            <w:tcW w:w="1100" w:type="dxa"/>
            <w:shd w:val="clear" w:color="auto" w:fill="FFFFFF"/>
            <w:tcMar>
              <w:top w:w="60" w:type="dxa"/>
              <w:left w:w="90" w:type="dxa"/>
              <w:bottom w:w="60" w:type="dxa"/>
              <w:right w:w="90" w:type="dxa"/>
            </w:tcMar>
            <w:vAlign w:val="center"/>
          </w:tcPr>
          <w:p w14:paraId="296C6563" w14:textId="77777777" w:rsidR="00D31533" w:rsidRDefault="00D31533" w:rsidP="00E20DB4">
            <w:pPr>
              <w:jc w:val="right"/>
            </w:pPr>
            <w:r>
              <w:rPr>
                <w:rFonts w:ascii="Calibri" w:eastAsia="Calibri" w:hAnsi="Calibri" w:cs="Calibri"/>
                <w:color w:val="000000"/>
                <w:sz w:val="17"/>
                <w:szCs w:val="17"/>
              </w:rPr>
              <w:t>(50.00)</w:t>
            </w:r>
          </w:p>
        </w:tc>
        <w:tc>
          <w:tcPr>
            <w:tcW w:w="1100" w:type="dxa"/>
            <w:shd w:val="clear" w:color="auto" w:fill="FFFFFF"/>
            <w:tcMar>
              <w:top w:w="60" w:type="dxa"/>
              <w:left w:w="90" w:type="dxa"/>
              <w:bottom w:w="60" w:type="dxa"/>
              <w:right w:w="90" w:type="dxa"/>
            </w:tcMar>
            <w:vAlign w:val="center"/>
          </w:tcPr>
          <w:p w14:paraId="3E7A5018" w14:textId="77777777" w:rsidR="00D31533" w:rsidRDefault="00D31533" w:rsidP="00E20DB4">
            <w:pPr>
              <w:jc w:val="right"/>
            </w:pPr>
            <w:r>
              <w:rPr>
                <w:rFonts w:ascii="Calibri" w:eastAsia="Calibri" w:hAnsi="Calibri" w:cs="Calibri"/>
                <w:color w:val="000000"/>
                <w:sz w:val="17"/>
                <w:szCs w:val="17"/>
              </w:rPr>
              <w:t>(50.00)</w:t>
            </w:r>
          </w:p>
        </w:tc>
        <w:tc>
          <w:tcPr>
            <w:tcW w:w="1100" w:type="dxa"/>
            <w:shd w:val="clear" w:color="auto" w:fill="FFFFFF"/>
            <w:tcMar>
              <w:top w:w="60" w:type="dxa"/>
              <w:left w:w="90" w:type="dxa"/>
              <w:bottom w:w="60" w:type="dxa"/>
              <w:right w:w="90" w:type="dxa"/>
            </w:tcMar>
            <w:vAlign w:val="center"/>
          </w:tcPr>
          <w:p w14:paraId="755F8D58" w14:textId="77777777" w:rsidR="00D31533" w:rsidRDefault="00D31533" w:rsidP="00E20DB4">
            <w:pPr>
              <w:jc w:val="right"/>
            </w:pPr>
            <w:r>
              <w:rPr>
                <w:rFonts w:ascii="Calibri" w:eastAsia="Calibri" w:hAnsi="Calibri" w:cs="Calibri"/>
                <w:color w:val="000000"/>
                <w:sz w:val="17"/>
                <w:szCs w:val="17"/>
              </w:rPr>
              <w:t>(50.00)</w:t>
            </w:r>
          </w:p>
        </w:tc>
      </w:tr>
      <w:tr w:rsidR="00D31533" w14:paraId="76F4D534" w14:textId="77777777" w:rsidTr="00E20DB4">
        <w:tc>
          <w:tcPr>
            <w:tcW w:w="800" w:type="dxa"/>
            <w:shd w:val="clear" w:color="auto" w:fill="EAEEF5"/>
            <w:tcMar>
              <w:top w:w="60" w:type="dxa"/>
              <w:left w:w="90" w:type="dxa"/>
              <w:bottom w:w="60" w:type="dxa"/>
              <w:right w:w="90" w:type="dxa"/>
            </w:tcMar>
            <w:vAlign w:val="center"/>
          </w:tcPr>
          <w:p w14:paraId="3C82328F" w14:textId="77777777" w:rsidR="00D31533" w:rsidRDefault="00D31533" w:rsidP="00E20DB4">
            <w:r>
              <w:rPr>
                <w:rFonts w:ascii="Calibri" w:eastAsia="Calibri" w:hAnsi="Calibri" w:cs="Calibri"/>
                <w:color w:val="000000"/>
                <w:sz w:val="17"/>
                <w:szCs w:val="17"/>
              </w:rPr>
              <w:t>1</w:t>
            </w:r>
          </w:p>
        </w:tc>
        <w:tc>
          <w:tcPr>
            <w:tcW w:w="1300" w:type="dxa"/>
            <w:shd w:val="clear" w:color="auto" w:fill="EAEEF5"/>
            <w:tcMar>
              <w:top w:w="60" w:type="dxa"/>
              <w:left w:w="90" w:type="dxa"/>
              <w:bottom w:w="60" w:type="dxa"/>
              <w:right w:w="90" w:type="dxa"/>
            </w:tcMar>
            <w:vAlign w:val="center"/>
          </w:tcPr>
          <w:p w14:paraId="69DA5D68" w14:textId="77777777" w:rsidR="00D31533" w:rsidRDefault="00D31533" w:rsidP="00E20DB4">
            <w:pPr>
              <w:jc w:val="right"/>
            </w:pPr>
            <w:r>
              <w:rPr>
                <w:rFonts w:ascii="Calibri" w:eastAsia="Calibri" w:hAnsi="Calibri" w:cs="Calibri"/>
                <w:color w:val="000000"/>
                <w:sz w:val="17"/>
                <w:szCs w:val="17"/>
              </w:rPr>
              <w:t>10.00</w:t>
            </w:r>
          </w:p>
        </w:tc>
        <w:tc>
          <w:tcPr>
            <w:tcW w:w="1300" w:type="dxa"/>
            <w:shd w:val="clear" w:color="auto" w:fill="EAEEF5"/>
            <w:tcMar>
              <w:top w:w="60" w:type="dxa"/>
              <w:left w:w="90" w:type="dxa"/>
              <w:bottom w:w="60" w:type="dxa"/>
              <w:right w:w="90" w:type="dxa"/>
            </w:tcMar>
            <w:vAlign w:val="center"/>
          </w:tcPr>
          <w:p w14:paraId="793E473A" w14:textId="77777777" w:rsidR="00D31533" w:rsidRDefault="00D31533" w:rsidP="00E20DB4">
            <w:pPr>
              <w:jc w:val="right"/>
            </w:pPr>
            <w:r>
              <w:rPr>
                <w:rFonts w:ascii="Calibri" w:eastAsia="Calibri" w:hAnsi="Calibri" w:cs="Calibri"/>
                <w:color w:val="000000"/>
                <w:sz w:val="17"/>
                <w:szCs w:val="17"/>
              </w:rPr>
              <w:t>11.00</w:t>
            </w:r>
          </w:p>
        </w:tc>
        <w:tc>
          <w:tcPr>
            <w:tcW w:w="1300" w:type="dxa"/>
            <w:shd w:val="clear" w:color="auto" w:fill="EAEEF5"/>
            <w:tcMar>
              <w:top w:w="60" w:type="dxa"/>
              <w:left w:w="90" w:type="dxa"/>
              <w:bottom w:w="60" w:type="dxa"/>
              <w:right w:w="90" w:type="dxa"/>
            </w:tcMar>
            <w:vAlign w:val="center"/>
          </w:tcPr>
          <w:p w14:paraId="653F8437" w14:textId="77777777" w:rsidR="00D31533" w:rsidRDefault="00D31533" w:rsidP="00E20DB4">
            <w:pPr>
              <w:jc w:val="right"/>
            </w:pPr>
            <w:r>
              <w:rPr>
                <w:rFonts w:ascii="Calibri" w:eastAsia="Calibri" w:hAnsi="Calibri" w:cs="Calibri"/>
                <w:color w:val="000000"/>
                <w:sz w:val="17"/>
                <w:szCs w:val="17"/>
              </w:rPr>
              <w:t>5.00</w:t>
            </w:r>
          </w:p>
        </w:tc>
        <w:tc>
          <w:tcPr>
            <w:tcW w:w="1000" w:type="dxa"/>
            <w:shd w:val="clear" w:color="auto" w:fill="EAEEF5"/>
            <w:tcMar>
              <w:top w:w="60" w:type="dxa"/>
              <w:left w:w="90" w:type="dxa"/>
              <w:bottom w:w="60" w:type="dxa"/>
              <w:right w:w="90" w:type="dxa"/>
            </w:tcMar>
            <w:vAlign w:val="center"/>
          </w:tcPr>
          <w:p w14:paraId="50C00D78" w14:textId="77777777" w:rsidR="00D31533" w:rsidRDefault="00D31533" w:rsidP="00E20DB4">
            <w:pPr>
              <w:jc w:val="right"/>
            </w:pPr>
            <w:r>
              <w:rPr>
                <w:rFonts w:ascii="Calibri" w:eastAsia="Calibri" w:hAnsi="Calibri" w:cs="Calibri"/>
                <w:color w:val="000000"/>
                <w:sz w:val="17"/>
                <w:szCs w:val="17"/>
              </w:rPr>
              <w:t>0.9259</w:t>
            </w:r>
          </w:p>
        </w:tc>
        <w:tc>
          <w:tcPr>
            <w:tcW w:w="1100" w:type="dxa"/>
            <w:shd w:val="clear" w:color="auto" w:fill="EAEEF5"/>
            <w:tcMar>
              <w:top w:w="60" w:type="dxa"/>
              <w:left w:w="90" w:type="dxa"/>
              <w:bottom w:w="60" w:type="dxa"/>
              <w:right w:w="90" w:type="dxa"/>
            </w:tcMar>
            <w:vAlign w:val="center"/>
          </w:tcPr>
          <w:p w14:paraId="72D1861D" w14:textId="77777777" w:rsidR="00D31533" w:rsidRDefault="00D31533" w:rsidP="00E20DB4">
            <w:pPr>
              <w:jc w:val="right"/>
            </w:pPr>
            <w:r>
              <w:rPr>
                <w:rFonts w:ascii="Calibri" w:eastAsia="Calibri" w:hAnsi="Calibri" w:cs="Calibri"/>
                <w:color w:val="000000"/>
                <w:sz w:val="17"/>
                <w:szCs w:val="17"/>
              </w:rPr>
              <w:t>9.259</w:t>
            </w:r>
          </w:p>
        </w:tc>
        <w:tc>
          <w:tcPr>
            <w:tcW w:w="1100" w:type="dxa"/>
            <w:shd w:val="clear" w:color="auto" w:fill="EAEEF5"/>
            <w:tcMar>
              <w:top w:w="60" w:type="dxa"/>
              <w:left w:w="90" w:type="dxa"/>
              <w:bottom w:w="60" w:type="dxa"/>
              <w:right w:w="90" w:type="dxa"/>
            </w:tcMar>
            <w:vAlign w:val="center"/>
          </w:tcPr>
          <w:p w14:paraId="6B12F859" w14:textId="77777777" w:rsidR="00D31533" w:rsidRDefault="00D31533" w:rsidP="00E20DB4">
            <w:pPr>
              <w:jc w:val="right"/>
            </w:pPr>
            <w:r>
              <w:rPr>
                <w:rFonts w:ascii="Calibri" w:eastAsia="Calibri" w:hAnsi="Calibri" w:cs="Calibri"/>
                <w:color w:val="000000"/>
                <w:sz w:val="17"/>
                <w:szCs w:val="17"/>
              </w:rPr>
              <w:t>10.185</w:t>
            </w:r>
          </w:p>
        </w:tc>
        <w:tc>
          <w:tcPr>
            <w:tcW w:w="1100" w:type="dxa"/>
            <w:shd w:val="clear" w:color="auto" w:fill="EAEEF5"/>
            <w:tcMar>
              <w:top w:w="60" w:type="dxa"/>
              <w:left w:w="90" w:type="dxa"/>
              <w:bottom w:w="60" w:type="dxa"/>
              <w:right w:w="90" w:type="dxa"/>
            </w:tcMar>
            <w:vAlign w:val="center"/>
          </w:tcPr>
          <w:p w14:paraId="51CE6B3D" w14:textId="77777777" w:rsidR="00D31533" w:rsidRDefault="00D31533" w:rsidP="00E20DB4">
            <w:pPr>
              <w:jc w:val="right"/>
            </w:pPr>
            <w:r>
              <w:rPr>
                <w:rFonts w:ascii="Calibri" w:eastAsia="Calibri" w:hAnsi="Calibri" w:cs="Calibri"/>
                <w:color w:val="000000"/>
                <w:sz w:val="17"/>
                <w:szCs w:val="17"/>
              </w:rPr>
              <w:t>4.630</w:t>
            </w:r>
          </w:p>
        </w:tc>
      </w:tr>
      <w:tr w:rsidR="00D31533" w14:paraId="6ABA8614" w14:textId="77777777" w:rsidTr="00E20DB4">
        <w:tc>
          <w:tcPr>
            <w:tcW w:w="800" w:type="dxa"/>
            <w:shd w:val="clear" w:color="auto" w:fill="FFFFFF"/>
            <w:tcMar>
              <w:top w:w="60" w:type="dxa"/>
              <w:left w:w="90" w:type="dxa"/>
              <w:bottom w:w="60" w:type="dxa"/>
              <w:right w:w="90" w:type="dxa"/>
            </w:tcMar>
            <w:vAlign w:val="center"/>
          </w:tcPr>
          <w:p w14:paraId="29A42820" w14:textId="77777777" w:rsidR="00D31533" w:rsidRDefault="00D31533" w:rsidP="00E20DB4">
            <w:r>
              <w:rPr>
                <w:rFonts w:ascii="Calibri" w:eastAsia="Calibri" w:hAnsi="Calibri" w:cs="Calibri"/>
                <w:color w:val="000000"/>
                <w:sz w:val="17"/>
                <w:szCs w:val="17"/>
              </w:rPr>
              <w:t>2</w:t>
            </w:r>
          </w:p>
        </w:tc>
        <w:tc>
          <w:tcPr>
            <w:tcW w:w="1300" w:type="dxa"/>
            <w:shd w:val="clear" w:color="auto" w:fill="FFFFFF"/>
            <w:tcMar>
              <w:top w:w="60" w:type="dxa"/>
              <w:left w:w="90" w:type="dxa"/>
              <w:bottom w:w="60" w:type="dxa"/>
              <w:right w:w="90" w:type="dxa"/>
            </w:tcMar>
            <w:vAlign w:val="center"/>
          </w:tcPr>
          <w:p w14:paraId="19A40D66" w14:textId="77777777" w:rsidR="00D31533" w:rsidRDefault="00D31533" w:rsidP="00E20DB4">
            <w:pPr>
              <w:jc w:val="right"/>
            </w:pPr>
            <w:r>
              <w:rPr>
                <w:rFonts w:ascii="Calibri" w:eastAsia="Calibri" w:hAnsi="Calibri" w:cs="Calibri"/>
                <w:color w:val="000000"/>
                <w:sz w:val="17"/>
                <w:szCs w:val="17"/>
              </w:rPr>
              <w:t>12.00</w:t>
            </w:r>
          </w:p>
        </w:tc>
        <w:tc>
          <w:tcPr>
            <w:tcW w:w="1300" w:type="dxa"/>
            <w:shd w:val="clear" w:color="auto" w:fill="FFFFFF"/>
            <w:tcMar>
              <w:top w:w="60" w:type="dxa"/>
              <w:left w:w="90" w:type="dxa"/>
              <w:bottom w:w="60" w:type="dxa"/>
              <w:right w:w="90" w:type="dxa"/>
            </w:tcMar>
            <w:vAlign w:val="center"/>
          </w:tcPr>
          <w:p w14:paraId="45A2B741" w14:textId="77777777" w:rsidR="00D31533" w:rsidRDefault="00D31533" w:rsidP="00E20DB4">
            <w:pPr>
              <w:jc w:val="right"/>
            </w:pPr>
            <w:r>
              <w:rPr>
                <w:rFonts w:ascii="Calibri" w:eastAsia="Calibri" w:hAnsi="Calibri" w:cs="Calibri"/>
                <w:color w:val="000000"/>
                <w:sz w:val="17"/>
                <w:szCs w:val="17"/>
              </w:rPr>
              <w:t>11.00</w:t>
            </w:r>
          </w:p>
        </w:tc>
        <w:tc>
          <w:tcPr>
            <w:tcW w:w="1300" w:type="dxa"/>
            <w:shd w:val="clear" w:color="auto" w:fill="FFFFFF"/>
            <w:tcMar>
              <w:top w:w="60" w:type="dxa"/>
              <w:left w:w="90" w:type="dxa"/>
              <w:bottom w:w="60" w:type="dxa"/>
              <w:right w:w="90" w:type="dxa"/>
            </w:tcMar>
            <w:vAlign w:val="center"/>
          </w:tcPr>
          <w:p w14:paraId="0E5D111B" w14:textId="77777777" w:rsidR="00D31533" w:rsidRDefault="00D31533" w:rsidP="00E20DB4">
            <w:pPr>
              <w:jc w:val="right"/>
            </w:pPr>
            <w:r>
              <w:rPr>
                <w:rFonts w:ascii="Calibri" w:eastAsia="Calibri" w:hAnsi="Calibri" w:cs="Calibri"/>
                <w:color w:val="000000"/>
                <w:sz w:val="17"/>
                <w:szCs w:val="17"/>
              </w:rPr>
              <w:t>10.00</w:t>
            </w:r>
          </w:p>
        </w:tc>
        <w:tc>
          <w:tcPr>
            <w:tcW w:w="1000" w:type="dxa"/>
            <w:shd w:val="clear" w:color="auto" w:fill="FFFFFF"/>
            <w:tcMar>
              <w:top w:w="60" w:type="dxa"/>
              <w:left w:w="90" w:type="dxa"/>
              <w:bottom w:w="60" w:type="dxa"/>
              <w:right w:w="90" w:type="dxa"/>
            </w:tcMar>
            <w:vAlign w:val="center"/>
          </w:tcPr>
          <w:p w14:paraId="23660024" w14:textId="77777777" w:rsidR="00D31533" w:rsidRDefault="00D31533" w:rsidP="00E20DB4">
            <w:pPr>
              <w:jc w:val="right"/>
            </w:pPr>
            <w:r>
              <w:rPr>
                <w:rFonts w:ascii="Calibri" w:eastAsia="Calibri" w:hAnsi="Calibri" w:cs="Calibri"/>
                <w:color w:val="000000"/>
                <w:sz w:val="17"/>
                <w:szCs w:val="17"/>
              </w:rPr>
              <w:t>0.8573</w:t>
            </w:r>
          </w:p>
        </w:tc>
        <w:tc>
          <w:tcPr>
            <w:tcW w:w="1100" w:type="dxa"/>
            <w:shd w:val="clear" w:color="auto" w:fill="FFFFFF"/>
            <w:tcMar>
              <w:top w:w="60" w:type="dxa"/>
              <w:left w:w="90" w:type="dxa"/>
              <w:bottom w:w="60" w:type="dxa"/>
              <w:right w:w="90" w:type="dxa"/>
            </w:tcMar>
            <w:vAlign w:val="center"/>
          </w:tcPr>
          <w:p w14:paraId="1B203BEC" w14:textId="77777777" w:rsidR="00D31533" w:rsidRDefault="00D31533" w:rsidP="00E20DB4">
            <w:pPr>
              <w:jc w:val="right"/>
            </w:pPr>
            <w:r>
              <w:rPr>
                <w:rFonts w:ascii="Calibri" w:eastAsia="Calibri" w:hAnsi="Calibri" w:cs="Calibri"/>
                <w:color w:val="000000"/>
                <w:sz w:val="17"/>
                <w:szCs w:val="17"/>
              </w:rPr>
              <w:t>10.288</w:t>
            </w:r>
          </w:p>
        </w:tc>
        <w:tc>
          <w:tcPr>
            <w:tcW w:w="1100" w:type="dxa"/>
            <w:shd w:val="clear" w:color="auto" w:fill="FFFFFF"/>
            <w:tcMar>
              <w:top w:w="60" w:type="dxa"/>
              <w:left w:w="90" w:type="dxa"/>
              <w:bottom w:w="60" w:type="dxa"/>
              <w:right w:w="90" w:type="dxa"/>
            </w:tcMar>
            <w:vAlign w:val="center"/>
          </w:tcPr>
          <w:p w14:paraId="3EA79437" w14:textId="77777777" w:rsidR="00D31533" w:rsidRDefault="00D31533" w:rsidP="00E20DB4">
            <w:pPr>
              <w:jc w:val="right"/>
            </w:pPr>
            <w:r>
              <w:rPr>
                <w:rFonts w:ascii="Calibri" w:eastAsia="Calibri" w:hAnsi="Calibri" w:cs="Calibri"/>
                <w:color w:val="000000"/>
                <w:sz w:val="17"/>
                <w:szCs w:val="17"/>
              </w:rPr>
              <w:t>9.431</w:t>
            </w:r>
          </w:p>
        </w:tc>
        <w:tc>
          <w:tcPr>
            <w:tcW w:w="1100" w:type="dxa"/>
            <w:shd w:val="clear" w:color="auto" w:fill="FFFFFF"/>
            <w:tcMar>
              <w:top w:w="60" w:type="dxa"/>
              <w:left w:w="90" w:type="dxa"/>
              <w:bottom w:w="60" w:type="dxa"/>
              <w:right w:w="90" w:type="dxa"/>
            </w:tcMar>
            <w:vAlign w:val="center"/>
          </w:tcPr>
          <w:p w14:paraId="3DEDE6C2" w14:textId="77777777" w:rsidR="00D31533" w:rsidRDefault="00D31533" w:rsidP="00E20DB4">
            <w:pPr>
              <w:jc w:val="right"/>
            </w:pPr>
            <w:r>
              <w:rPr>
                <w:rFonts w:ascii="Calibri" w:eastAsia="Calibri" w:hAnsi="Calibri" w:cs="Calibri"/>
                <w:color w:val="000000"/>
                <w:sz w:val="17"/>
                <w:szCs w:val="17"/>
              </w:rPr>
              <w:t>8.573</w:t>
            </w:r>
          </w:p>
        </w:tc>
      </w:tr>
      <w:tr w:rsidR="00D31533" w14:paraId="08D38CDF" w14:textId="77777777" w:rsidTr="00E20DB4">
        <w:tc>
          <w:tcPr>
            <w:tcW w:w="800" w:type="dxa"/>
            <w:shd w:val="clear" w:color="auto" w:fill="EAEEF5"/>
            <w:tcMar>
              <w:top w:w="60" w:type="dxa"/>
              <w:left w:w="90" w:type="dxa"/>
              <w:bottom w:w="60" w:type="dxa"/>
              <w:right w:w="90" w:type="dxa"/>
            </w:tcMar>
            <w:vAlign w:val="center"/>
          </w:tcPr>
          <w:p w14:paraId="10B692CC" w14:textId="77777777" w:rsidR="00D31533" w:rsidRDefault="00D31533" w:rsidP="00E20DB4">
            <w:r>
              <w:rPr>
                <w:rFonts w:ascii="Calibri" w:eastAsia="Calibri" w:hAnsi="Calibri" w:cs="Calibri"/>
                <w:color w:val="000000"/>
                <w:sz w:val="17"/>
                <w:szCs w:val="17"/>
              </w:rPr>
              <w:t>3</w:t>
            </w:r>
          </w:p>
        </w:tc>
        <w:tc>
          <w:tcPr>
            <w:tcW w:w="1300" w:type="dxa"/>
            <w:shd w:val="clear" w:color="auto" w:fill="EAEEF5"/>
            <w:tcMar>
              <w:top w:w="60" w:type="dxa"/>
              <w:left w:w="90" w:type="dxa"/>
              <w:bottom w:w="60" w:type="dxa"/>
              <w:right w:w="90" w:type="dxa"/>
            </w:tcMar>
            <w:vAlign w:val="center"/>
          </w:tcPr>
          <w:p w14:paraId="472A544E" w14:textId="77777777" w:rsidR="00D31533" w:rsidRDefault="00D31533" w:rsidP="00E20DB4">
            <w:pPr>
              <w:jc w:val="right"/>
            </w:pPr>
            <w:r>
              <w:rPr>
                <w:rFonts w:ascii="Calibri" w:eastAsia="Calibri" w:hAnsi="Calibri" w:cs="Calibri"/>
                <w:color w:val="000000"/>
                <w:sz w:val="17"/>
                <w:szCs w:val="17"/>
              </w:rPr>
              <w:t>14.00</w:t>
            </w:r>
          </w:p>
        </w:tc>
        <w:tc>
          <w:tcPr>
            <w:tcW w:w="1300" w:type="dxa"/>
            <w:shd w:val="clear" w:color="auto" w:fill="EAEEF5"/>
            <w:tcMar>
              <w:top w:w="60" w:type="dxa"/>
              <w:left w:w="90" w:type="dxa"/>
              <w:bottom w:w="60" w:type="dxa"/>
              <w:right w:w="90" w:type="dxa"/>
            </w:tcMar>
            <w:vAlign w:val="center"/>
          </w:tcPr>
          <w:p w14:paraId="3DF11704" w14:textId="77777777" w:rsidR="00D31533" w:rsidRDefault="00D31533" w:rsidP="00E20DB4">
            <w:pPr>
              <w:jc w:val="right"/>
            </w:pPr>
            <w:r>
              <w:rPr>
                <w:rFonts w:ascii="Calibri" w:eastAsia="Calibri" w:hAnsi="Calibri" w:cs="Calibri"/>
                <w:color w:val="000000"/>
                <w:sz w:val="17"/>
                <w:szCs w:val="17"/>
              </w:rPr>
              <w:t>11.00</w:t>
            </w:r>
          </w:p>
        </w:tc>
        <w:tc>
          <w:tcPr>
            <w:tcW w:w="1300" w:type="dxa"/>
            <w:shd w:val="clear" w:color="auto" w:fill="EAEEF5"/>
            <w:tcMar>
              <w:top w:w="60" w:type="dxa"/>
              <w:left w:w="90" w:type="dxa"/>
              <w:bottom w:w="60" w:type="dxa"/>
              <w:right w:w="90" w:type="dxa"/>
            </w:tcMar>
            <w:vAlign w:val="center"/>
          </w:tcPr>
          <w:p w14:paraId="650CD6C2" w14:textId="77777777" w:rsidR="00D31533" w:rsidRDefault="00D31533" w:rsidP="00E20DB4">
            <w:pPr>
              <w:jc w:val="right"/>
            </w:pPr>
            <w:r>
              <w:rPr>
                <w:rFonts w:ascii="Calibri" w:eastAsia="Calibri" w:hAnsi="Calibri" w:cs="Calibri"/>
                <w:color w:val="000000"/>
                <w:sz w:val="17"/>
                <w:szCs w:val="17"/>
              </w:rPr>
              <w:t>20.00</w:t>
            </w:r>
          </w:p>
        </w:tc>
        <w:tc>
          <w:tcPr>
            <w:tcW w:w="1000" w:type="dxa"/>
            <w:shd w:val="clear" w:color="auto" w:fill="EAEEF5"/>
            <w:tcMar>
              <w:top w:w="60" w:type="dxa"/>
              <w:left w:w="90" w:type="dxa"/>
              <w:bottom w:w="60" w:type="dxa"/>
              <w:right w:w="90" w:type="dxa"/>
            </w:tcMar>
            <w:vAlign w:val="center"/>
          </w:tcPr>
          <w:p w14:paraId="3897B64E" w14:textId="77777777" w:rsidR="00D31533" w:rsidRDefault="00D31533" w:rsidP="00E20DB4">
            <w:pPr>
              <w:jc w:val="right"/>
            </w:pPr>
            <w:r>
              <w:rPr>
                <w:rFonts w:ascii="Calibri" w:eastAsia="Calibri" w:hAnsi="Calibri" w:cs="Calibri"/>
                <w:color w:val="000000"/>
                <w:sz w:val="17"/>
                <w:szCs w:val="17"/>
              </w:rPr>
              <w:t>0.7938</w:t>
            </w:r>
          </w:p>
        </w:tc>
        <w:tc>
          <w:tcPr>
            <w:tcW w:w="1100" w:type="dxa"/>
            <w:shd w:val="clear" w:color="auto" w:fill="EAEEF5"/>
            <w:tcMar>
              <w:top w:w="60" w:type="dxa"/>
              <w:left w:w="90" w:type="dxa"/>
              <w:bottom w:w="60" w:type="dxa"/>
              <w:right w:w="90" w:type="dxa"/>
            </w:tcMar>
            <w:vAlign w:val="center"/>
          </w:tcPr>
          <w:p w14:paraId="2F39A268" w14:textId="77777777" w:rsidR="00D31533" w:rsidRDefault="00D31533" w:rsidP="00E20DB4">
            <w:pPr>
              <w:jc w:val="right"/>
            </w:pPr>
            <w:r>
              <w:rPr>
                <w:rFonts w:ascii="Calibri" w:eastAsia="Calibri" w:hAnsi="Calibri" w:cs="Calibri"/>
                <w:color w:val="000000"/>
                <w:sz w:val="17"/>
                <w:szCs w:val="17"/>
              </w:rPr>
              <w:t>11.114</w:t>
            </w:r>
          </w:p>
        </w:tc>
        <w:tc>
          <w:tcPr>
            <w:tcW w:w="1100" w:type="dxa"/>
            <w:shd w:val="clear" w:color="auto" w:fill="EAEEF5"/>
            <w:tcMar>
              <w:top w:w="60" w:type="dxa"/>
              <w:left w:w="90" w:type="dxa"/>
              <w:bottom w:w="60" w:type="dxa"/>
              <w:right w:w="90" w:type="dxa"/>
            </w:tcMar>
            <w:vAlign w:val="center"/>
          </w:tcPr>
          <w:p w14:paraId="511841FA" w14:textId="77777777" w:rsidR="00D31533" w:rsidRDefault="00D31533" w:rsidP="00E20DB4">
            <w:pPr>
              <w:jc w:val="right"/>
            </w:pPr>
            <w:r>
              <w:rPr>
                <w:rFonts w:ascii="Calibri" w:eastAsia="Calibri" w:hAnsi="Calibri" w:cs="Calibri"/>
                <w:color w:val="000000"/>
                <w:sz w:val="17"/>
                <w:szCs w:val="17"/>
              </w:rPr>
              <w:t>8.732</w:t>
            </w:r>
          </w:p>
        </w:tc>
        <w:tc>
          <w:tcPr>
            <w:tcW w:w="1100" w:type="dxa"/>
            <w:shd w:val="clear" w:color="auto" w:fill="EAEEF5"/>
            <w:tcMar>
              <w:top w:w="60" w:type="dxa"/>
              <w:left w:w="90" w:type="dxa"/>
              <w:bottom w:w="60" w:type="dxa"/>
              <w:right w:w="90" w:type="dxa"/>
            </w:tcMar>
            <w:vAlign w:val="center"/>
          </w:tcPr>
          <w:p w14:paraId="2AA7F7A0" w14:textId="77777777" w:rsidR="00D31533" w:rsidRDefault="00D31533" w:rsidP="00E20DB4">
            <w:pPr>
              <w:jc w:val="right"/>
            </w:pPr>
            <w:r>
              <w:rPr>
                <w:rFonts w:ascii="Calibri" w:eastAsia="Calibri" w:hAnsi="Calibri" w:cs="Calibri"/>
                <w:color w:val="000000"/>
                <w:sz w:val="17"/>
                <w:szCs w:val="17"/>
              </w:rPr>
              <w:t>15.877</w:t>
            </w:r>
          </w:p>
        </w:tc>
      </w:tr>
      <w:tr w:rsidR="00D31533" w14:paraId="0B206DF9" w14:textId="77777777" w:rsidTr="00E20DB4">
        <w:tc>
          <w:tcPr>
            <w:tcW w:w="800" w:type="dxa"/>
            <w:shd w:val="clear" w:color="auto" w:fill="FFFFFF"/>
            <w:tcMar>
              <w:top w:w="60" w:type="dxa"/>
              <w:left w:w="90" w:type="dxa"/>
              <w:bottom w:w="60" w:type="dxa"/>
              <w:right w:w="90" w:type="dxa"/>
            </w:tcMar>
            <w:vAlign w:val="center"/>
          </w:tcPr>
          <w:p w14:paraId="36CFEF06" w14:textId="77777777" w:rsidR="00D31533" w:rsidRDefault="00D31533" w:rsidP="00E20DB4">
            <w:r>
              <w:rPr>
                <w:rFonts w:ascii="Calibri" w:eastAsia="Calibri" w:hAnsi="Calibri" w:cs="Calibri"/>
                <w:color w:val="000000"/>
                <w:sz w:val="17"/>
                <w:szCs w:val="17"/>
              </w:rPr>
              <w:t>4</w:t>
            </w:r>
          </w:p>
        </w:tc>
        <w:tc>
          <w:tcPr>
            <w:tcW w:w="1300" w:type="dxa"/>
            <w:shd w:val="clear" w:color="auto" w:fill="FFFFFF"/>
            <w:tcMar>
              <w:top w:w="60" w:type="dxa"/>
              <w:left w:w="90" w:type="dxa"/>
              <w:bottom w:w="60" w:type="dxa"/>
              <w:right w:w="90" w:type="dxa"/>
            </w:tcMar>
            <w:vAlign w:val="center"/>
          </w:tcPr>
          <w:p w14:paraId="621192DE" w14:textId="77777777" w:rsidR="00D31533" w:rsidRDefault="00D31533" w:rsidP="00E20DB4">
            <w:pPr>
              <w:jc w:val="right"/>
            </w:pPr>
            <w:r>
              <w:rPr>
                <w:rFonts w:ascii="Calibri" w:eastAsia="Calibri" w:hAnsi="Calibri" w:cs="Calibri"/>
                <w:color w:val="000000"/>
                <w:sz w:val="17"/>
                <w:szCs w:val="17"/>
              </w:rPr>
              <w:t>10.00</w:t>
            </w:r>
          </w:p>
        </w:tc>
        <w:tc>
          <w:tcPr>
            <w:tcW w:w="1300" w:type="dxa"/>
            <w:shd w:val="clear" w:color="auto" w:fill="FFFFFF"/>
            <w:tcMar>
              <w:top w:w="60" w:type="dxa"/>
              <w:left w:w="90" w:type="dxa"/>
              <w:bottom w:w="60" w:type="dxa"/>
              <w:right w:w="90" w:type="dxa"/>
            </w:tcMar>
            <w:vAlign w:val="center"/>
          </w:tcPr>
          <w:p w14:paraId="573C38BF" w14:textId="77777777" w:rsidR="00D31533" w:rsidRDefault="00D31533" w:rsidP="00E20DB4">
            <w:pPr>
              <w:jc w:val="right"/>
            </w:pPr>
            <w:r>
              <w:rPr>
                <w:rFonts w:ascii="Calibri" w:eastAsia="Calibri" w:hAnsi="Calibri" w:cs="Calibri"/>
                <w:color w:val="000000"/>
                <w:sz w:val="17"/>
                <w:szCs w:val="17"/>
              </w:rPr>
              <w:t>11.00</w:t>
            </w:r>
          </w:p>
        </w:tc>
        <w:tc>
          <w:tcPr>
            <w:tcW w:w="1300" w:type="dxa"/>
            <w:shd w:val="clear" w:color="auto" w:fill="FFFFFF"/>
            <w:tcMar>
              <w:top w:w="60" w:type="dxa"/>
              <w:left w:w="90" w:type="dxa"/>
              <w:bottom w:w="60" w:type="dxa"/>
              <w:right w:w="90" w:type="dxa"/>
            </w:tcMar>
            <w:vAlign w:val="center"/>
          </w:tcPr>
          <w:p w14:paraId="3C59D905" w14:textId="77777777" w:rsidR="00D31533" w:rsidRDefault="00D31533" w:rsidP="00E20DB4">
            <w:pPr>
              <w:jc w:val="right"/>
            </w:pPr>
            <w:r>
              <w:rPr>
                <w:rFonts w:ascii="Calibri" w:eastAsia="Calibri" w:hAnsi="Calibri" w:cs="Calibri"/>
                <w:color w:val="000000"/>
                <w:sz w:val="17"/>
                <w:szCs w:val="17"/>
              </w:rPr>
              <w:t>25.00</w:t>
            </w:r>
          </w:p>
        </w:tc>
        <w:tc>
          <w:tcPr>
            <w:tcW w:w="1000" w:type="dxa"/>
            <w:shd w:val="clear" w:color="auto" w:fill="FFFFFF"/>
            <w:tcMar>
              <w:top w:w="60" w:type="dxa"/>
              <w:left w:w="90" w:type="dxa"/>
              <w:bottom w:w="60" w:type="dxa"/>
              <w:right w:w="90" w:type="dxa"/>
            </w:tcMar>
            <w:vAlign w:val="center"/>
          </w:tcPr>
          <w:p w14:paraId="5DE7624A" w14:textId="77777777" w:rsidR="00D31533" w:rsidRDefault="00D31533" w:rsidP="00E20DB4">
            <w:pPr>
              <w:jc w:val="right"/>
            </w:pPr>
            <w:r>
              <w:rPr>
                <w:rFonts w:ascii="Calibri" w:eastAsia="Calibri" w:hAnsi="Calibri" w:cs="Calibri"/>
                <w:color w:val="000000"/>
                <w:sz w:val="17"/>
                <w:szCs w:val="17"/>
              </w:rPr>
              <w:t>0.7350</w:t>
            </w:r>
          </w:p>
        </w:tc>
        <w:tc>
          <w:tcPr>
            <w:tcW w:w="1100" w:type="dxa"/>
            <w:shd w:val="clear" w:color="auto" w:fill="FFFFFF"/>
            <w:tcMar>
              <w:top w:w="60" w:type="dxa"/>
              <w:left w:w="90" w:type="dxa"/>
              <w:bottom w:w="60" w:type="dxa"/>
              <w:right w:w="90" w:type="dxa"/>
            </w:tcMar>
            <w:vAlign w:val="center"/>
          </w:tcPr>
          <w:p w14:paraId="10B2AA0C" w14:textId="77777777" w:rsidR="00D31533" w:rsidRDefault="00D31533" w:rsidP="00E20DB4">
            <w:pPr>
              <w:jc w:val="right"/>
            </w:pPr>
            <w:r>
              <w:rPr>
                <w:rFonts w:ascii="Calibri" w:eastAsia="Calibri" w:hAnsi="Calibri" w:cs="Calibri"/>
                <w:color w:val="000000"/>
                <w:sz w:val="17"/>
                <w:szCs w:val="17"/>
              </w:rPr>
              <w:t>7.350</w:t>
            </w:r>
          </w:p>
        </w:tc>
        <w:tc>
          <w:tcPr>
            <w:tcW w:w="1100" w:type="dxa"/>
            <w:shd w:val="clear" w:color="auto" w:fill="FFFFFF"/>
            <w:tcMar>
              <w:top w:w="60" w:type="dxa"/>
              <w:left w:w="90" w:type="dxa"/>
              <w:bottom w:w="60" w:type="dxa"/>
              <w:right w:w="90" w:type="dxa"/>
            </w:tcMar>
            <w:vAlign w:val="center"/>
          </w:tcPr>
          <w:p w14:paraId="313236D2" w14:textId="77777777" w:rsidR="00D31533" w:rsidRDefault="00D31533" w:rsidP="00E20DB4">
            <w:pPr>
              <w:jc w:val="right"/>
            </w:pPr>
            <w:r>
              <w:rPr>
                <w:rFonts w:ascii="Calibri" w:eastAsia="Calibri" w:hAnsi="Calibri" w:cs="Calibri"/>
                <w:color w:val="000000"/>
                <w:sz w:val="17"/>
                <w:szCs w:val="17"/>
              </w:rPr>
              <w:t>8.085</w:t>
            </w:r>
          </w:p>
        </w:tc>
        <w:tc>
          <w:tcPr>
            <w:tcW w:w="1100" w:type="dxa"/>
            <w:shd w:val="clear" w:color="auto" w:fill="FFFFFF"/>
            <w:tcMar>
              <w:top w:w="60" w:type="dxa"/>
              <w:left w:w="90" w:type="dxa"/>
              <w:bottom w:w="60" w:type="dxa"/>
              <w:right w:w="90" w:type="dxa"/>
            </w:tcMar>
            <w:vAlign w:val="center"/>
          </w:tcPr>
          <w:p w14:paraId="6E6DF36C" w14:textId="77777777" w:rsidR="00D31533" w:rsidRDefault="00D31533" w:rsidP="00E20DB4">
            <w:pPr>
              <w:jc w:val="right"/>
            </w:pPr>
            <w:r>
              <w:rPr>
                <w:rFonts w:ascii="Calibri" w:eastAsia="Calibri" w:hAnsi="Calibri" w:cs="Calibri"/>
                <w:color w:val="000000"/>
                <w:sz w:val="17"/>
                <w:szCs w:val="17"/>
              </w:rPr>
              <w:t>18.376</w:t>
            </w:r>
          </w:p>
        </w:tc>
      </w:tr>
      <w:tr w:rsidR="00D31533" w14:paraId="10F8B38D" w14:textId="77777777" w:rsidTr="00E20DB4">
        <w:tc>
          <w:tcPr>
            <w:tcW w:w="800" w:type="dxa"/>
            <w:shd w:val="clear" w:color="auto" w:fill="EAEEF5"/>
            <w:tcMar>
              <w:top w:w="60" w:type="dxa"/>
              <w:left w:w="90" w:type="dxa"/>
              <w:bottom w:w="60" w:type="dxa"/>
              <w:right w:w="90" w:type="dxa"/>
            </w:tcMar>
            <w:vAlign w:val="center"/>
          </w:tcPr>
          <w:p w14:paraId="7627A71F" w14:textId="77777777" w:rsidR="00D31533" w:rsidRDefault="00D31533" w:rsidP="00E20DB4">
            <w:r>
              <w:rPr>
                <w:rFonts w:ascii="Calibri" w:eastAsia="Calibri" w:hAnsi="Calibri" w:cs="Calibri"/>
                <w:color w:val="000000"/>
                <w:sz w:val="17"/>
                <w:szCs w:val="17"/>
              </w:rPr>
              <w:t>5</w:t>
            </w:r>
          </w:p>
        </w:tc>
        <w:tc>
          <w:tcPr>
            <w:tcW w:w="1300" w:type="dxa"/>
            <w:shd w:val="clear" w:color="auto" w:fill="EAEEF5"/>
            <w:tcMar>
              <w:top w:w="60" w:type="dxa"/>
              <w:left w:w="90" w:type="dxa"/>
              <w:bottom w:w="60" w:type="dxa"/>
              <w:right w:w="90" w:type="dxa"/>
            </w:tcMar>
            <w:vAlign w:val="center"/>
          </w:tcPr>
          <w:p w14:paraId="6A433CE8" w14:textId="77777777" w:rsidR="00D31533" w:rsidRDefault="00D31533" w:rsidP="00E20DB4">
            <w:pPr>
              <w:jc w:val="right"/>
            </w:pPr>
            <w:r>
              <w:rPr>
                <w:rFonts w:ascii="Calibri" w:eastAsia="Calibri" w:hAnsi="Calibri" w:cs="Calibri"/>
                <w:color w:val="000000"/>
                <w:sz w:val="17"/>
                <w:szCs w:val="17"/>
              </w:rPr>
              <w:t>8.00</w:t>
            </w:r>
          </w:p>
        </w:tc>
        <w:tc>
          <w:tcPr>
            <w:tcW w:w="1300" w:type="dxa"/>
            <w:shd w:val="clear" w:color="auto" w:fill="EAEEF5"/>
            <w:tcMar>
              <w:top w:w="60" w:type="dxa"/>
              <w:left w:w="90" w:type="dxa"/>
              <w:bottom w:w="60" w:type="dxa"/>
              <w:right w:w="90" w:type="dxa"/>
            </w:tcMar>
            <w:vAlign w:val="center"/>
          </w:tcPr>
          <w:p w14:paraId="308478CF" w14:textId="77777777" w:rsidR="00D31533" w:rsidRDefault="00D31533" w:rsidP="00E20DB4">
            <w:pPr>
              <w:jc w:val="right"/>
            </w:pPr>
            <w:r>
              <w:rPr>
                <w:rFonts w:ascii="Calibri" w:eastAsia="Calibri" w:hAnsi="Calibri" w:cs="Calibri"/>
                <w:color w:val="000000"/>
                <w:sz w:val="17"/>
                <w:szCs w:val="17"/>
              </w:rPr>
              <w:t>11.00</w:t>
            </w:r>
          </w:p>
        </w:tc>
        <w:tc>
          <w:tcPr>
            <w:tcW w:w="1300" w:type="dxa"/>
            <w:shd w:val="clear" w:color="auto" w:fill="EAEEF5"/>
            <w:tcMar>
              <w:top w:w="60" w:type="dxa"/>
              <w:left w:w="90" w:type="dxa"/>
              <w:bottom w:w="60" w:type="dxa"/>
              <w:right w:w="90" w:type="dxa"/>
            </w:tcMar>
            <w:vAlign w:val="center"/>
          </w:tcPr>
          <w:p w14:paraId="651B5F95" w14:textId="77777777" w:rsidR="00D31533" w:rsidRDefault="00D31533" w:rsidP="00E20DB4">
            <w:pPr>
              <w:jc w:val="right"/>
            </w:pPr>
            <w:r>
              <w:rPr>
                <w:rFonts w:ascii="Calibri" w:eastAsia="Calibri" w:hAnsi="Calibri" w:cs="Calibri"/>
                <w:color w:val="000000"/>
                <w:sz w:val="17"/>
                <w:szCs w:val="17"/>
              </w:rPr>
              <w:t>5.00</w:t>
            </w:r>
          </w:p>
        </w:tc>
        <w:tc>
          <w:tcPr>
            <w:tcW w:w="1000" w:type="dxa"/>
            <w:shd w:val="clear" w:color="auto" w:fill="EAEEF5"/>
            <w:tcMar>
              <w:top w:w="60" w:type="dxa"/>
              <w:left w:w="90" w:type="dxa"/>
              <w:bottom w:w="60" w:type="dxa"/>
              <w:right w:w="90" w:type="dxa"/>
            </w:tcMar>
            <w:vAlign w:val="center"/>
          </w:tcPr>
          <w:p w14:paraId="662ED4C8" w14:textId="77777777" w:rsidR="00D31533" w:rsidRDefault="00D31533" w:rsidP="00E20DB4">
            <w:pPr>
              <w:jc w:val="right"/>
            </w:pPr>
            <w:r>
              <w:rPr>
                <w:rFonts w:ascii="Calibri" w:eastAsia="Calibri" w:hAnsi="Calibri" w:cs="Calibri"/>
                <w:color w:val="000000"/>
                <w:sz w:val="17"/>
                <w:szCs w:val="17"/>
              </w:rPr>
              <w:t>0.6806</w:t>
            </w:r>
          </w:p>
        </w:tc>
        <w:tc>
          <w:tcPr>
            <w:tcW w:w="1100" w:type="dxa"/>
            <w:shd w:val="clear" w:color="auto" w:fill="EAEEF5"/>
            <w:tcMar>
              <w:top w:w="60" w:type="dxa"/>
              <w:left w:w="90" w:type="dxa"/>
              <w:bottom w:w="60" w:type="dxa"/>
              <w:right w:w="90" w:type="dxa"/>
            </w:tcMar>
            <w:vAlign w:val="center"/>
          </w:tcPr>
          <w:p w14:paraId="2DA5EDF3" w14:textId="77777777" w:rsidR="00D31533" w:rsidRDefault="00D31533" w:rsidP="00E20DB4">
            <w:pPr>
              <w:jc w:val="right"/>
            </w:pPr>
            <w:r>
              <w:rPr>
                <w:rFonts w:ascii="Calibri" w:eastAsia="Calibri" w:hAnsi="Calibri" w:cs="Calibri"/>
                <w:color w:val="000000"/>
                <w:sz w:val="17"/>
                <w:szCs w:val="17"/>
              </w:rPr>
              <w:t>5.445</w:t>
            </w:r>
          </w:p>
        </w:tc>
        <w:tc>
          <w:tcPr>
            <w:tcW w:w="1100" w:type="dxa"/>
            <w:shd w:val="clear" w:color="auto" w:fill="EAEEF5"/>
            <w:tcMar>
              <w:top w:w="60" w:type="dxa"/>
              <w:left w:w="90" w:type="dxa"/>
              <w:bottom w:w="60" w:type="dxa"/>
              <w:right w:w="90" w:type="dxa"/>
            </w:tcMar>
            <w:vAlign w:val="center"/>
          </w:tcPr>
          <w:p w14:paraId="51A64F54" w14:textId="77777777" w:rsidR="00D31533" w:rsidRDefault="00D31533" w:rsidP="00E20DB4">
            <w:pPr>
              <w:jc w:val="right"/>
            </w:pPr>
            <w:r>
              <w:rPr>
                <w:rFonts w:ascii="Calibri" w:eastAsia="Calibri" w:hAnsi="Calibri" w:cs="Calibri"/>
                <w:color w:val="000000"/>
                <w:sz w:val="17"/>
                <w:szCs w:val="17"/>
              </w:rPr>
              <w:t>7.486</w:t>
            </w:r>
          </w:p>
        </w:tc>
        <w:tc>
          <w:tcPr>
            <w:tcW w:w="1100" w:type="dxa"/>
            <w:shd w:val="clear" w:color="auto" w:fill="EAEEF5"/>
            <w:tcMar>
              <w:top w:w="60" w:type="dxa"/>
              <w:left w:w="90" w:type="dxa"/>
              <w:bottom w:w="60" w:type="dxa"/>
              <w:right w:w="90" w:type="dxa"/>
            </w:tcMar>
            <w:vAlign w:val="center"/>
          </w:tcPr>
          <w:p w14:paraId="743E315D" w14:textId="77777777" w:rsidR="00D31533" w:rsidRDefault="00D31533" w:rsidP="00E20DB4">
            <w:pPr>
              <w:jc w:val="right"/>
            </w:pPr>
            <w:r>
              <w:rPr>
                <w:rFonts w:ascii="Calibri" w:eastAsia="Calibri" w:hAnsi="Calibri" w:cs="Calibri"/>
                <w:color w:val="000000"/>
                <w:sz w:val="17"/>
                <w:szCs w:val="17"/>
              </w:rPr>
              <w:t>3.403</w:t>
            </w:r>
          </w:p>
        </w:tc>
      </w:tr>
      <w:tr w:rsidR="00D31533" w14:paraId="1A9D3063" w14:textId="77777777" w:rsidTr="00E20DB4">
        <w:tc>
          <w:tcPr>
            <w:tcW w:w="800" w:type="dxa"/>
            <w:shd w:val="clear" w:color="auto" w:fill="FFFFFF"/>
            <w:tcMar>
              <w:top w:w="60" w:type="dxa"/>
              <w:left w:w="90" w:type="dxa"/>
              <w:bottom w:w="60" w:type="dxa"/>
              <w:right w:w="90" w:type="dxa"/>
            </w:tcMar>
            <w:vAlign w:val="center"/>
          </w:tcPr>
          <w:p w14:paraId="300CD7F4" w14:textId="77777777" w:rsidR="00D31533" w:rsidRDefault="00D31533" w:rsidP="00E20DB4">
            <w:r>
              <w:rPr>
                <w:rFonts w:ascii="Calibri" w:eastAsia="Calibri" w:hAnsi="Calibri" w:cs="Calibri"/>
                <w:b/>
                <w:bCs/>
                <w:color w:val="000000"/>
                <w:sz w:val="17"/>
                <w:szCs w:val="17"/>
              </w:rPr>
              <w:t>Total inflows</w:t>
            </w:r>
          </w:p>
        </w:tc>
        <w:tc>
          <w:tcPr>
            <w:tcW w:w="1300" w:type="dxa"/>
            <w:shd w:val="clear" w:color="auto" w:fill="FFFFFF"/>
            <w:tcMar>
              <w:top w:w="60" w:type="dxa"/>
              <w:left w:w="90" w:type="dxa"/>
              <w:bottom w:w="60" w:type="dxa"/>
              <w:right w:w="90" w:type="dxa"/>
            </w:tcMar>
            <w:vAlign w:val="center"/>
          </w:tcPr>
          <w:p w14:paraId="77C57A2A" w14:textId="77777777" w:rsidR="00D31533" w:rsidRDefault="00D31533" w:rsidP="00E20DB4">
            <w:pPr>
              <w:jc w:val="right"/>
            </w:pPr>
            <w:r>
              <w:rPr>
                <w:rFonts w:ascii="Calibri" w:eastAsia="Calibri" w:hAnsi="Calibri" w:cs="Calibri"/>
                <w:b/>
                <w:bCs/>
                <w:color w:val="000000"/>
                <w:sz w:val="17"/>
                <w:szCs w:val="17"/>
              </w:rPr>
              <w:t>54.00</w:t>
            </w:r>
          </w:p>
        </w:tc>
        <w:tc>
          <w:tcPr>
            <w:tcW w:w="1300" w:type="dxa"/>
            <w:shd w:val="clear" w:color="auto" w:fill="FFFFFF"/>
            <w:tcMar>
              <w:top w:w="60" w:type="dxa"/>
              <w:left w:w="90" w:type="dxa"/>
              <w:bottom w:w="60" w:type="dxa"/>
              <w:right w:w="90" w:type="dxa"/>
            </w:tcMar>
            <w:vAlign w:val="center"/>
          </w:tcPr>
          <w:p w14:paraId="6DEC84E2" w14:textId="77777777" w:rsidR="00D31533" w:rsidRDefault="00D31533" w:rsidP="00E20DB4">
            <w:pPr>
              <w:jc w:val="right"/>
            </w:pPr>
            <w:r>
              <w:rPr>
                <w:rFonts w:ascii="Calibri" w:eastAsia="Calibri" w:hAnsi="Calibri" w:cs="Calibri"/>
                <w:b/>
                <w:bCs/>
                <w:color w:val="000000"/>
                <w:sz w:val="17"/>
                <w:szCs w:val="17"/>
              </w:rPr>
              <w:t>55.00</w:t>
            </w:r>
          </w:p>
        </w:tc>
        <w:tc>
          <w:tcPr>
            <w:tcW w:w="1300" w:type="dxa"/>
            <w:shd w:val="clear" w:color="auto" w:fill="FFFFFF"/>
            <w:tcMar>
              <w:top w:w="60" w:type="dxa"/>
              <w:left w:w="90" w:type="dxa"/>
              <w:bottom w:w="60" w:type="dxa"/>
              <w:right w:w="90" w:type="dxa"/>
            </w:tcMar>
            <w:vAlign w:val="center"/>
          </w:tcPr>
          <w:p w14:paraId="25B2B409" w14:textId="77777777" w:rsidR="00D31533" w:rsidRDefault="00D31533" w:rsidP="00E20DB4">
            <w:pPr>
              <w:jc w:val="right"/>
            </w:pPr>
            <w:r>
              <w:rPr>
                <w:rFonts w:ascii="Calibri" w:eastAsia="Calibri" w:hAnsi="Calibri" w:cs="Calibri"/>
                <w:b/>
                <w:bCs/>
                <w:color w:val="000000"/>
                <w:sz w:val="17"/>
                <w:szCs w:val="17"/>
              </w:rPr>
              <w:t>65.00</w:t>
            </w:r>
          </w:p>
        </w:tc>
        <w:tc>
          <w:tcPr>
            <w:tcW w:w="1000" w:type="dxa"/>
            <w:shd w:val="clear" w:color="auto" w:fill="FFFFFF"/>
            <w:tcMar>
              <w:top w:w="60" w:type="dxa"/>
              <w:left w:w="90" w:type="dxa"/>
              <w:bottom w:w="60" w:type="dxa"/>
              <w:right w:w="90" w:type="dxa"/>
            </w:tcMar>
            <w:vAlign w:val="center"/>
          </w:tcPr>
          <w:p w14:paraId="53B18054" w14:textId="77777777" w:rsidR="00D31533" w:rsidRDefault="00D31533" w:rsidP="00E20DB4">
            <w:pPr>
              <w:jc w:val="right"/>
            </w:pPr>
            <w:r>
              <w:rPr>
                <w:rFonts w:ascii="Calibri" w:eastAsia="Calibri" w:hAnsi="Calibri" w:cs="Calibri"/>
                <w:b/>
                <w:bCs/>
                <w:color w:val="000000"/>
                <w:sz w:val="17"/>
                <w:szCs w:val="17"/>
              </w:rPr>
              <w:t>—</w:t>
            </w:r>
          </w:p>
        </w:tc>
        <w:tc>
          <w:tcPr>
            <w:tcW w:w="1100" w:type="dxa"/>
            <w:shd w:val="clear" w:color="auto" w:fill="FFFFFF"/>
            <w:tcMar>
              <w:top w:w="60" w:type="dxa"/>
              <w:left w:w="90" w:type="dxa"/>
              <w:bottom w:w="60" w:type="dxa"/>
              <w:right w:w="90" w:type="dxa"/>
            </w:tcMar>
            <w:vAlign w:val="center"/>
          </w:tcPr>
          <w:p w14:paraId="5B950628" w14:textId="77777777" w:rsidR="00D31533" w:rsidRDefault="00D31533" w:rsidP="00E20DB4">
            <w:pPr>
              <w:jc w:val="right"/>
            </w:pPr>
            <w:r>
              <w:rPr>
                <w:rFonts w:ascii="Calibri" w:eastAsia="Calibri" w:hAnsi="Calibri" w:cs="Calibri"/>
                <w:b/>
                <w:bCs/>
                <w:color w:val="000000"/>
                <w:sz w:val="17"/>
                <w:szCs w:val="17"/>
              </w:rPr>
              <w:t>43.456</w:t>
            </w:r>
          </w:p>
        </w:tc>
        <w:tc>
          <w:tcPr>
            <w:tcW w:w="1100" w:type="dxa"/>
            <w:shd w:val="clear" w:color="auto" w:fill="FFFFFF"/>
            <w:tcMar>
              <w:top w:w="60" w:type="dxa"/>
              <w:left w:w="90" w:type="dxa"/>
              <w:bottom w:w="60" w:type="dxa"/>
              <w:right w:w="90" w:type="dxa"/>
            </w:tcMar>
            <w:vAlign w:val="center"/>
          </w:tcPr>
          <w:p w14:paraId="7F1A1F18" w14:textId="77777777" w:rsidR="00D31533" w:rsidRDefault="00D31533" w:rsidP="00E20DB4">
            <w:pPr>
              <w:jc w:val="right"/>
            </w:pPr>
            <w:r>
              <w:rPr>
                <w:rFonts w:ascii="Calibri" w:eastAsia="Calibri" w:hAnsi="Calibri" w:cs="Calibri"/>
                <w:b/>
                <w:bCs/>
                <w:color w:val="000000"/>
                <w:sz w:val="17"/>
                <w:szCs w:val="17"/>
              </w:rPr>
              <w:t>43.920</w:t>
            </w:r>
          </w:p>
        </w:tc>
        <w:tc>
          <w:tcPr>
            <w:tcW w:w="1100" w:type="dxa"/>
            <w:shd w:val="clear" w:color="auto" w:fill="FFFFFF"/>
            <w:tcMar>
              <w:top w:w="60" w:type="dxa"/>
              <w:left w:w="90" w:type="dxa"/>
              <w:bottom w:w="60" w:type="dxa"/>
              <w:right w:w="90" w:type="dxa"/>
            </w:tcMar>
            <w:vAlign w:val="center"/>
          </w:tcPr>
          <w:p w14:paraId="2827D182" w14:textId="77777777" w:rsidR="00D31533" w:rsidRDefault="00D31533" w:rsidP="00E20DB4">
            <w:pPr>
              <w:jc w:val="right"/>
            </w:pPr>
            <w:r>
              <w:rPr>
                <w:rFonts w:ascii="Calibri" w:eastAsia="Calibri" w:hAnsi="Calibri" w:cs="Calibri"/>
                <w:b/>
                <w:bCs/>
                <w:color w:val="000000"/>
                <w:sz w:val="17"/>
                <w:szCs w:val="17"/>
              </w:rPr>
              <w:t>50.858</w:t>
            </w:r>
          </w:p>
        </w:tc>
      </w:tr>
      <w:tr w:rsidR="00D31533" w14:paraId="0D2CB9CE" w14:textId="77777777" w:rsidTr="00E20DB4">
        <w:tc>
          <w:tcPr>
            <w:tcW w:w="800" w:type="dxa"/>
            <w:shd w:val="clear" w:color="auto" w:fill="EAEEF5"/>
            <w:tcMar>
              <w:top w:w="60" w:type="dxa"/>
              <w:left w:w="90" w:type="dxa"/>
              <w:bottom w:w="60" w:type="dxa"/>
              <w:right w:w="90" w:type="dxa"/>
            </w:tcMar>
            <w:vAlign w:val="center"/>
          </w:tcPr>
          <w:p w14:paraId="1B55F65F" w14:textId="77777777" w:rsidR="00D31533" w:rsidRDefault="00D31533" w:rsidP="00E20DB4">
            <w:r>
              <w:rPr>
                <w:rFonts w:ascii="Calibri" w:eastAsia="Calibri" w:hAnsi="Calibri" w:cs="Calibri"/>
                <w:b/>
                <w:bCs/>
                <w:color w:val="000000"/>
                <w:sz w:val="17"/>
                <w:szCs w:val="17"/>
              </w:rPr>
              <w:t>Net present value</w:t>
            </w:r>
          </w:p>
        </w:tc>
        <w:tc>
          <w:tcPr>
            <w:tcW w:w="1300" w:type="dxa"/>
            <w:shd w:val="clear" w:color="auto" w:fill="EAEEF5"/>
            <w:tcMar>
              <w:top w:w="60" w:type="dxa"/>
              <w:left w:w="90" w:type="dxa"/>
              <w:bottom w:w="60" w:type="dxa"/>
              <w:right w:w="90" w:type="dxa"/>
            </w:tcMar>
            <w:vAlign w:val="center"/>
          </w:tcPr>
          <w:p w14:paraId="4BD95B06" w14:textId="77777777" w:rsidR="00D31533" w:rsidRDefault="00D31533" w:rsidP="00E20DB4"/>
        </w:tc>
        <w:tc>
          <w:tcPr>
            <w:tcW w:w="1300" w:type="dxa"/>
            <w:shd w:val="clear" w:color="auto" w:fill="EAEEF5"/>
            <w:tcMar>
              <w:top w:w="60" w:type="dxa"/>
              <w:left w:w="90" w:type="dxa"/>
              <w:bottom w:w="60" w:type="dxa"/>
              <w:right w:w="90" w:type="dxa"/>
            </w:tcMar>
            <w:vAlign w:val="center"/>
          </w:tcPr>
          <w:p w14:paraId="6C85DE14" w14:textId="77777777" w:rsidR="00D31533" w:rsidRDefault="00D31533" w:rsidP="00E20DB4"/>
        </w:tc>
        <w:tc>
          <w:tcPr>
            <w:tcW w:w="1300" w:type="dxa"/>
            <w:shd w:val="clear" w:color="auto" w:fill="EAEEF5"/>
            <w:tcMar>
              <w:top w:w="60" w:type="dxa"/>
              <w:left w:w="90" w:type="dxa"/>
              <w:bottom w:w="60" w:type="dxa"/>
              <w:right w:w="90" w:type="dxa"/>
            </w:tcMar>
            <w:vAlign w:val="center"/>
          </w:tcPr>
          <w:p w14:paraId="66A58A7E" w14:textId="77777777" w:rsidR="00D31533" w:rsidRDefault="00D31533" w:rsidP="00E20DB4"/>
        </w:tc>
        <w:tc>
          <w:tcPr>
            <w:tcW w:w="1000" w:type="dxa"/>
            <w:shd w:val="clear" w:color="auto" w:fill="EAEEF5"/>
            <w:tcMar>
              <w:top w:w="60" w:type="dxa"/>
              <w:left w:w="90" w:type="dxa"/>
              <w:bottom w:w="60" w:type="dxa"/>
              <w:right w:w="90" w:type="dxa"/>
            </w:tcMar>
            <w:vAlign w:val="center"/>
          </w:tcPr>
          <w:p w14:paraId="77BEECE5" w14:textId="77777777" w:rsidR="00D31533" w:rsidRDefault="00D31533" w:rsidP="00E20DB4"/>
        </w:tc>
        <w:tc>
          <w:tcPr>
            <w:tcW w:w="1100" w:type="dxa"/>
            <w:shd w:val="clear" w:color="auto" w:fill="EAEEF5"/>
            <w:tcMar>
              <w:top w:w="60" w:type="dxa"/>
              <w:left w:w="90" w:type="dxa"/>
              <w:bottom w:w="60" w:type="dxa"/>
              <w:right w:w="90" w:type="dxa"/>
            </w:tcMar>
            <w:vAlign w:val="center"/>
          </w:tcPr>
          <w:p w14:paraId="72930752" w14:textId="77777777" w:rsidR="00D31533" w:rsidRDefault="00D31533" w:rsidP="00E20DB4">
            <w:pPr>
              <w:jc w:val="right"/>
            </w:pPr>
            <w:r>
              <w:rPr>
                <w:rFonts w:ascii="Calibri" w:eastAsia="Calibri" w:hAnsi="Calibri" w:cs="Calibri"/>
                <w:b/>
                <w:bCs/>
                <w:color w:val="000000"/>
                <w:sz w:val="17"/>
                <w:szCs w:val="17"/>
              </w:rPr>
              <w:t>(6.544)</w:t>
            </w:r>
          </w:p>
        </w:tc>
        <w:tc>
          <w:tcPr>
            <w:tcW w:w="1100" w:type="dxa"/>
            <w:shd w:val="clear" w:color="auto" w:fill="EAEEF5"/>
            <w:tcMar>
              <w:top w:w="60" w:type="dxa"/>
              <w:left w:w="90" w:type="dxa"/>
              <w:bottom w:w="60" w:type="dxa"/>
              <w:right w:w="90" w:type="dxa"/>
            </w:tcMar>
            <w:vAlign w:val="center"/>
          </w:tcPr>
          <w:p w14:paraId="0D8CD7FE" w14:textId="77777777" w:rsidR="00D31533" w:rsidRDefault="00D31533" w:rsidP="00E20DB4">
            <w:pPr>
              <w:jc w:val="right"/>
            </w:pPr>
            <w:r>
              <w:rPr>
                <w:rFonts w:ascii="Calibri" w:eastAsia="Calibri" w:hAnsi="Calibri" w:cs="Calibri"/>
                <w:b/>
                <w:bCs/>
                <w:color w:val="000000"/>
                <w:sz w:val="17"/>
                <w:szCs w:val="17"/>
              </w:rPr>
              <w:t>(6.080)</w:t>
            </w:r>
          </w:p>
        </w:tc>
        <w:tc>
          <w:tcPr>
            <w:tcW w:w="1100" w:type="dxa"/>
            <w:shd w:val="clear" w:color="auto" w:fill="EAEEF5"/>
            <w:tcMar>
              <w:top w:w="60" w:type="dxa"/>
              <w:left w:w="90" w:type="dxa"/>
              <w:bottom w:w="60" w:type="dxa"/>
              <w:right w:w="90" w:type="dxa"/>
            </w:tcMar>
            <w:vAlign w:val="center"/>
          </w:tcPr>
          <w:p w14:paraId="6F46E0D8" w14:textId="77777777" w:rsidR="00D31533" w:rsidRDefault="00D31533" w:rsidP="00E20DB4">
            <w:pPr>
              <w:jc w:val="right"/>
            </w:pPr>
            <w:r>
              <w:rPr>
                <w:rFonts w:ascii="Calibri" w:eastAsia="Calibri" w:hAnsi="Calibri" w:cs="Calibri"/>
                <w:b/>
                <w:bCs/>
                <w:color w:val="000000"/>
                <w:sz w:val="17"/>
                <w:szCs w:val="17"/>
              </w:rPr>
              <w:t>0.858</w:t>
            </w:r>
          </w:p>
        </w:tc>
      </w:tr>
    </w:tbl>
    <w:p w14:paraId="07E0C6B7" w14:textId="4A39EA31" w:rsidR="00D31533" w:rsidRDefault="00D31533" w:rsidP="00D31533">
      <w:bookmarkStart w:id="53" w:name="_Toc237504428"/>
      <w:r>
        <w:t>Method-by-method results</w:t>
      </w:r>
      <w:bookmarkEnd w:id="53"/>
    </w:p>
    <w:tbl>
      <w:tblPr>
        <w:tblW w:w="9000" w:type="dxa"/>
        <w:tblBorders>
          <w:top w:val="single" w:sz="4" w:space="0" w:color="1F3864"/>
          <w:bottom w:val="single" w:sz="4" w:space="0" w:color="1F3864"/>
          <w:insideH w:val="single" w:sz="2" w:space="0" w:color="BFBFBF"/>
        </w:tblBorders>
        <w:tblCellMar>
          <w:left w:w="10" w:type="dxa"/>
          <w:right w:w="10" w:type="dxa"/>
        </w:tblCellMar>
        <w:tblLook w:val="0000" w:firstRow="0" w:lastRow="0" w:firstColumn="0" w:lastColumn="0" w:noHBand="0" w:noVBand="0"/>
      </w:tblPr>
      <w:tblGrid>
        <w:gridCol w:w="2000"/>
        <w:gridCol w:w="3200"/>
        <w:gridCol w:w="1250"/>
        <w:gridCol w:w="1250"/>
        <w:gridCol w:w="1300"/>
      </w:tblGrid>
      <w:tr w:rsidR="00D31533" w14:paraId="06A17DD4" w14:textId="77777777" w:rsidTr="00E20DB4">
        <w:trPr>
          <w:tblHeader/>
        </w:trPr>
        <w:tc>
          <w:tcPr>
            <w:tcW w:w="2000" w:type="dxa"/>
            <w:shd w:val="clear" w:color="auto" w:fill="1F3864"/>
            <w:tcMar>
              <w:top w:w="60" w:type="dxa"/>
              <w:left w:w="90" w:type="dxa"/>
              <w:bottom w:w="60" w:type="dxa"/>
              <w:right w:w="90" w:type="dxa"/>
            </w:tcMar>
            <w:vAlign w:val="center"/>
          </w:tcPr>
          <w:p w14:paraId="55341AC5" w14:textId="77777777" w:rsidR="00D31533" w:rsidRDefault="00D31533" w:rsidP="00E20DB4">
            <w:r>
              <w:rPr>
                <w:rFonts w:ascii="Calibri" w:eastAsia="Calibri" w:hAnsi="Calibri" w:cs="Calibri"/>
                <w:b/>
                <w:bCs/>
                <w:color w:val="FFFFFF"/>
                <w:sz w:val="17"/>
                <w:szCs w:val="17"/>
              </w:rPr>
              <w:t>Measure</w:t>
            </w:r>
          </w:p>
        </w:tc>
        <w:tc>
          <w:tcPr>
            <w:tcW w:w="3200" w:type="dxa"/>
            <w:shd w:val="clear" w:color="auto" w:fill="1F3864"/>
            <w:tcMar>
              <w:top w:w="60" w:type="dxa"/>
              <w:left w:w="90" w:type="dxa"/>
              <w:bottom w:w="60" w:type="dxa"/>
              <w:right w:w="90" w:type="dxa"/>
            </w:tcMar>
            <w:vAlign w:val="center"/>
          </w:tcPr>
          <w:p w14:paraId="4AF3CB90" w14:textId="77777777" w:rsidR="00D31533" w:rsidRDefault="00D31533" w:rsidP="00E20DB4">
            <w:r>
              <w:rPr>
                <w:rFonts w:ascii="Calibri" w:eastAsia="Calibri" w:hAnsi="Calibri" w:cs="Calibri"/>
                <w:b/>
                <w:bCs/>
                <w:color w:val="FFFFFF"/>
                <w:sz w:val="17"/>
                <w:szCs w:val="17"/>
              </w:rPr>
              <w:t>Formula applied</w:t>
            </w:r>
          </w:p>
        </w:tc>
        <w:tc>
          <w:tcPr>
            <w:tcW w:w="1250" w:type="dxa"/>
            <w:shd w:val="clear" w:color="auto" w:fill="1F3864"/>
            <w:tcMar>
              <w:top w:w="60" w:type="dxa"/>
              <w:left w:w="90" w:type="dxa"/>
              <w:bottom w:w="60" w:type="dxa"/>
              <w:right w:w="90" w:type="dxa"/>
            </w:tcMar>
            <w:vAlign w:val="center"/>
          </w:tcPr>
          <w:p w14:paraId="05D51E8B" w14:textId="77777777" w:rsidR="00D31533" w:rsidRDefault="00D31533" w:rsidP="00E20DB4">
            <w:r>
              <w:rPr>
                <w:rFonts w:ascii="Calibri" w:eastAsia="Calibri" w:hAnsi="Calibri" w:cs="Calibri"/>
                <w:b/>
                <w:bCs/>
                <w:color w:val="FFFFFF"/>
                <w:sz w:val="17"/>
                <w:szCs w:val="17"/>
              </w:rPr>
              <w:t>Project A</w:t>
            </w:r>
          </w:p>
        </w:tc>
        <w:tc>
          <w:tcPr>
            <w:tcW w:w="1250" w:type="dxa"/>
            <w:shd w:val="clear" w:color="auto" w:fill="1F3864"/>
            <w:tcMar>
              <w:top w:w="60" w:type="dxa"/>
              <w:left w:w="90" w:type="dxa"/>
              <w:bottom w:w="60" w:type="dxa"/>
              <w:right w:w="90" w:type="dxa"/>
            </w:tcMar>
            <w:vAlign w:val="center"/>
          </w:tcPr>
          <w:p w14:paraId="5C017C0F" w14:textId="77777777" w:rsidR="00D31533" w:rsidRDefault="00D31533" w:rsidP="00E20DB4">
            <w:r>
              <w:rPr>
                <w:rFonts w:ascii="Calibri" w:eastAsia="Calibri" w:hAnsi="Calibri" w:cs="Calibri"/>
                <w:b/>
                <w:bCs/>
                <w:color w:val="FFFFFF"/>
                <w:sz w:val="17"/>
                <w:szCs w:val="17"/>
              </w:rPr>
              <w:t>Project B</w:t>
            </w:r>
          </w:p>
        </w:tc>
        <w:tc>
          <w:tcPr>
            <w:tcW w:w="1300" w:type="dxa"/>
            <w:shd w:val="clear" w:color="auto" w:fill="1F3864"/>
            <w:tcMar>
              <w:top w:w="60" w:type="dxa"/>
              <w:left w:w="90" w:type="dxa"/>
              <w:bottom w:w="60" w:type="dxa"/>
              <w:right w:w="90" w:type="dxa"/>
            </w:tcMar>
            <w:vAlign w:val="center"/>
          </w:tcPr>
          <w:p w14:paraId="400122D1" w14:textId="77777777" w:rsidR="00D31533" w:rsidRDefault="00D31533" w:rsidP="00E20DB4">
            <w:r>
              <w:rPr>
                <w:rFonts w:ascii="Calibri" w:eastAsia="Calibri" w:hAnsi="Calibri" w:cs="Calibri"/>
                <w:b/>
                <w:bCs/>
                <w:color w:val="FFFFFF"/>
                <w:sz w:val="17"/>
                <w:szCs w:val="17"/>
              </w:rPr>
              <w:t>Project C</w:t>
            </w:r>
          </w:p>
        </w:tc>
      </w:tr>
      <w:tr w:rsidR="00D31533" w14:paraId="49D11837" w14:textId="77777777" w:rsidTr="00E20DB4">
        <w:tc>
          <w:tcPr>
            <w:tcW w:w="2000" w:type="dxa"/>
            <w:shd w:val="clear" w:color="auto" w:fill="FFFFFF"/>
            <w:tcMar>
              <w:top w:w="60" w:type="dxa"/>
              <w:left w:w="90" w:type="dxa"/>
              <w:bottom w:w="60" w:type="dxa"/>
              <w:right w:w="90" w:type="dxa"/>
            </w:tcMar>
            <w:vAlign w:val="center"/>
          </w:tcPr>
          <w:p w14:paraId="7C64CF95" w14:textId="77777777" w:rsidR="00D31533" w:rsidRDefault="00D31533" w:rsidP="00E20DB4">
            <w:r>
              <w:rPr>
                <w:rFonts w:ascii="Calibri" w:eastAsia="Calibri" w:hAnsi="Calibri" w:cs="Calibri"/>
                <w:color w:val="000000"/>
                <w:sz w:val="17"/>
                <w:szCs w:val="17"/>
              </w:rPr>
              <w:t>Payback period</w:t>
            </w:r>
          </w:p>
        </w:tc>
        <w:tc>
          <w:tcPr>
            <w:tcW w:w="3200" w:type="dxa"/>
            <w:shd w:val="clear" w:color="auto" w:fill="FFFFFF"/>
            <w:tcMar>
              <w:top w:w="60" w:type="dxa"/>
              <w:left w:w="90" w:type="dxa"/>
              <w:bottom w:w="60" w:type="dxa"/>
              <w:right w:w="90" w:type="dxa"/>
            </w:tcMar>
            <w:vAlign w:val="center"/>
          </w:tcPr>
          <w:p w14:paraId="427C6F5B" w14:textId="77777777" w:rsidR="00D31533" w:rsidRDefault="00D31533" w:rsidP="00E20DB4">
            <w:r>
              <w:rPr>
                <w:rFonts w:ascii="Calibri" w:eastAsia="Calibri" w:hAnsi="Calibri" w:cs="Calibri"/>
                <w:color w:val="000000"/>
                <w:sz w:val="17"/>
                <w:szCs w:val="17"/>
              </w:rPr>
              <w:t>Years to recover £50m from cumulative inflows</w:t>
            </w:r>
          </w:p>
        </w:tc>
        <w:tc>
          <w:tcPr>
            <w:tcW w:w="1250" w:type="dxa"/>
            <w:shd w:val="clear" w:color="auto" w:fill="FFFFFF"/>
            <w:tcMar>
              <w:top w:w="60" w:type="dxa"/>
              <w:left w:w="90" w:type="dxa"/>
              <w:bottom w:w="60" w:type="dxa"/>
              <w:right w:w="90" w:type="dxa"/>
            </w:tcMar>
            <w:vAlign w:val="center"/>
          </w:tcPr>
          <w:p w14:paraId="3AC8C303" w14:textId="77777777" w:rsidR="00D31533" w:rsidRDefault="00D31533" w:rsidP="00E20DB4">
            <w:r>
              <w:rPr>
                <w:rFonts w:ascii="Calibri" w:eastAsia="Calibri" w:hAnsi="Calibri" w:cs="Calibri"/>
                <w:color w:val="000000"/>
                <w:sz w:val="17"/>
                <w:szCs w:val="17"/>
              </w:rPr>
              <w:t>4.50 yrs</w:t>
            </w:r>
          </w:p>
        </w:tc>
        <w:tc>
          <w:tcPr>
            <w:tcW w:w="1250" w:type="dxa"/>
            <w:shd w:val="clear" w:color="auto" w:fill="FFFFFF"/>
            <w:tcMar>
              <w:top w:w="60" w:type="dxa"/>
              <w:left w:w="90" w:type="dxa"/>
              <w:bottom w:w="60" w:type="dxa"/>
              <w:right w:w="90" w:type="dxa"/>
            </w:tcMar>
            <w:vAlign w:val="center"/>
          </w:tcPr>
          <w:p w14:paraId="42EE1279" w14:textId="77777777" w:rsidR="00D31533" w:rsidRDefault="00D31533" w:rsidP="00E20DB4">
            <w:r>
              <w:rPr>
                <w:rFonts w:ascii="Calibri" w:eastAsia="Calibri" w:hAnsi="Calibri" w:cs="Calibri"/>
                <w:color w:val="000000"/>
                <w:sz w:val="17"/>
                <w:szCs w:val="17"/>
              </w:rPr>
              <w:t>4.55 yrs</w:t>
            </w:r>
          </w:p>
        </w:tc>
        <w:tc>
          <w:tcPr>
            <w:tcW w:w="1300" w:type="dxa"/>
            <w:shd w:val="clear" w:color="auto" w:fill="FFFFFF"/>
            <w:tcMar>
              <w:top w:w="60" w:type="dxa"/>
              <w:left w:w="90" w:type="dxa"/>
              <w:bottom w:w="60" w:type="dxa"/>
              <w:right w:w="90" w:type="dxa"/>
            </w:tcMar>
            <w:vAlign w:val="center"/>
          </w:tcPr>
          <w:p w14:paraId="42477144" w14:textId="77777777" w:rsidR="00D31533" w:rsidRDefault="00D31533" w:rsidP="00E20DB4">
            <w:r>
              <w:rPr>
                <w:rFonts w:ascii="Calibri" w:eastAsia="Calibri" w:hAnsi="Calibri" w:cs="Calibri"/>
                <w:color w:val="000000"/>
                <w:sz w:val="17"/>
                <w:szCs w:val="17"/>
              </w:rPr>
              <w:t>3.60 yrs</w:t>
            </w:r>
          </w:p>
        </w:tc>
      </w:tr>
      <w:tr w:rsidR="00D31533" w14:paraId="1DE9A6B1" w14:textId="77777777" w:rsidTr="00E20DB4">
        <w:tc>
          <w:tcPr>
            <w:tcW w:w="2000" w:type="dxa"/>
            <w:shd w:val="clear" w:color="auto" w:fill="EAEEF5"/>
            <w:tcMar>
              <w:top w:w="60" w:type="dxa"/>
              <w:left w:w="90" w:type="dxa"/>
              <w:bottom w:w="60" w:type="dxa"/>
              <w:right w:w="90" w:type="dxa"/>
            </w:tcMar>
            <w:vAlign w:val="center"/>
          </w:tcPr>
          <w:p w14:paraId="759AE000" w14:textId="77777777" w:rsidR="00D31533" w:rsidRDefault="00D31533" w:rsidP="00E20DB4">
            <w:r>
              <w:rPr>
                <w:rFonts w:ascii="Calibri" w:eastAsia="Calibri" w:hAnsi="Calibri" w:cs="Calibri"/>
                <w:color w:val="000000"/>
                <w:sz w:val="17"/>
                <w:szCs w:val="17"/>
              </w:rPr>
              <w:t>Average annual profit</w:t>
            </w:r>
          </w:p>
        </w:tc>
        <w:tc>
          <w:tcPr>
            <w:tcW w:w="3200" w:type="dxa"/>
            <w:shd w:val="clear" w:color="auto" w:fill="EAEEF5"/>
            <w:tcMar>
              <w:top w:w="60" w:type="dxa"/>
              <w:left w:w="90" w:type="dxa"/>
              <w:bottom w:w="60" w:type="dxa"/>
              <w:right w:w="90" w:type="dxa"/>
            </w:tcMar>
            <w:vAlign w:val="center"/>
          </w:tcPr>
          <w:p w14:paraId="51906107" w14:textId="77777777" w:rsidR="00D31533" w:rsidRDefault="00D31533" w:rsidP="00E20DB4">
            <w:r>
              <w:rPr>
                <w:rFonts w:ascii="Calibri" w:eastAsia="Calibri" w:hAnsi="Calibri" w:cs="Calibri"/>
                <w:color w:val="000000"/>
                <w:sz w:val="17"/>
                <w:szCs w:val="17"/>
              </w:rPr>
              <w:t>(Total inflows − £50m depreciation) ÷ 5</w:t>
            </w:r>
          </w:p>
        </w:tc>
        <w:tc>
          <w:tcPr>
            <w:tcW w:w="1250" w:type="dxa"/>
            <w:shd w:val="clear" w:color="auto" w:fill="EAEEF5"/>
            <w:tcMar>
              <w:top w:w="60" w:type="dxa"/>
              <w:left w:w="90" w:type="dxa"/>
              <w:bottom w:w="60" w:type="dxa"/>
              <w:right w:w="90" w:type="dxa"/>
            </w:tcMar>
            <w:vAlign w:val="center"/>
          </w:tcPr>
          <w:p w14:paraId="2AE71B4B" w14:textId="77777777" w:rsidR="00D31533" w:rsidRDefault="00D31533" w:rsidP="00E20DB4">
            <w:r>
              <w:rPr>
                <w:rFonts w:ascii="Calibri" w:eastAsia="Calibri" w:hAnsi="Calibri" w:cs="Calibri"/>
                <w:color w:val="000000"/>
                <w:sz w:val="17"/>
                <w:szCs w:val="17"/>
              </w:rPr>
              <w:t>£0.8m</w:t>
            </w:r>
          </w:p>
        </w:tc>
        <w:tc>
          <w:tcPr>
            <w:tcW w:w="1250" w:type="dxa"/>
            <w:shd w:val="clear" w:color="auto" w:fill="EAEEF5"/>
            <w:tcMar>
              <w:top w:w="60" w:type="dxa"/>
              <w:left w:w="90" w:type="dxa"/>
              <w:bottom w:w="60" w:type="dxa"/>
              <w:right w:w="90" w:type="dxa"/>
            </w:tcMar>
            <w:vAlign w:val="center"/>
          </w:tcPr>
          <w:p w14:paraId="7F0EC63D" w14:textId="77777777" w:rsidR="00D31533" w:rsidRDefault="00D31533" w:rsidP="00E20DB4">
            <w:r>
              <w:rPr>
                <w:rFonts w:ascii="Calibri" w:eastAsia="Calibri" w:hAnsi="Calibri" w:cs="Calibri"/>
                <w:color w:val="000000"/>
                <w:sz w:val="17"/>
                <w:szCs w:val="17"/>
              </w:rPr>
              <w:t>£1.0m</w:t>
            </w:r>
          </w:p>
        </w:tc>
        <w:tc>
          <w:tcPr>
            <w:tcW w:w="1300" w:type="dxa"/>
            <w:shd w:val="clear" w:color="auto" w:fill="EAEEF5"/>
            <w:tcMar>
              <w:top w:w="60" w:type="dxa"/>
              <w:left w:w="90" w:type="dxa"/>
              <w:bottom w:w="60" w:type="dxa"/>
              <w:right w:w="90" w:type="dxa"/>
            </w:tcMar>
            <w:vAlign w:val="center"/>
          </w:tcPr>
          <w:p w14:paraId="74D802A0" w14:textId="77777777" w:rsidR="00D31533" w:rsidRDefault="00D31533" w:rsidP="00E20DB4">
            <w:r>
              <w:rPr>
                <w:rFonts w:ascii="Calibri" w:eastAsia="Calibri" w:hAnsi="Calibri" w:cs="Calibri"/>
                <w:color w:val="000000"/>
                <w:sz w:val="17"/>
                <w:szCs w:val="17"/>
              </w:rPr>
              <w:t>£3.0m</w:t>
            </w:r>
          </w:p>
        </w:tc>
      </w:tr>
      <w:tr w:rsidR="00D31533" w14:paraId="61738B51" w14:textId="77777777" w:rsidTr="00E20DB4">
        <w:tc>
          <w:tcPr>
            <w:tcW w:w="2000" w:type="dxa"/>
            <w:shd w:val="clear" w:color="auto" w:fill="FFFFFF"/>
            <w:tcMar>
              <w:top w:w="60" w:type="dxa"/>
              <w:left w:w="90" w:type="dxa"/>
              <w:bottom w:w="60" w:type="dxa"/>
              <w:right w:w="90" w:type="dxa"/>
            </w:tcMar>
            <w:vAlign w:val="center"/>
          </w:tcPr>
          <w:p w14:paraId="27ACA3CD" w14:textId="77777777" w:rsidR="00D31533" w:rsidRDefault="00D31533" w:rsidP="00E20DB4">
            <w:r>
              <w:rPr>
                <w:rFonts w:ascii="Calibri" w:eastAsia="Calibri" w:hAnsi="Calibri" w:cs="Calibri"/>
                <w:color w:val="000000"/>
                <w:sz w:val="17"/>
                <w:szCs w:val="17"/>
              </w:rPr>
              <w:lastRenderedPageBreak/>
              <w:t>ARR (initial investment)</w:t>
            </w:r>
          </w:p>
        </w:tc>
        <w:tc>
          <w:tcPr>
            <w:tcW w:w="3200" w:type="dxa"/>
            <w:shd w:val="clear" w:color="auto" w:fill="FFFFFF"/>
            <w:tcMar>
              <w:top w:w="60" w:type="dxa"/>
              <w:left w:w="90" w:type="dxa"/>
              <w:bottom w:w="60" w:type="dxa"/>
              <w:right w:w="90" w:type="dxa"/>
            </w:tcMar>
            <w:vAlign w:val="center"/>
          </w:tcPr>
          <w:p w14:paraId="2514BE99" w14:textId="77777777" w:rsidR="00D31533" w:rsidRDefault="00D31533" w:rsidP="00E20DB4">
            <w:r>
              <w:rPr>
                <w:rFonts w:ascii="Calibri" w:eastAsia="Calibri" w:hAnsi="Calibri" w:cs="Calibri"/>
                <w:color w:val="000000"/>
                <w:sz w:val="17"/>
                <w:szCs w:val="17"/>
              </w:rPr>
              <w:t>Average profit ÷ £50m</w:t>
            </w:r>
          </w:p>
        </w:tc>
        <w:tc>
          <w:tcPr>
            <w:tcW w:w="1250" w:type="dxa"/>
            <w:shd w:val="clear" w:color="auto" w:fill="FFFFFF"/>
            <w:tcMar>
              <w:top w:w="60" w:type="dxa"/>
              <w:left w:w="90" w:type="dxa"/>
              <w:bottom w:w="60" w:type="dxa"/>
              <w:right w:w="90" w:type="dxa"/>
            </w:tcMar>
            <w:vAlign w:val="center"/>
          </w:tcPr>
          <w:p w14:paraId="27E0C63B" w14:textId="77777777" w:rsidR="00D31533" w:rsidRDefault="00D31533" w:rsidP="00E20DB4">
            <w:pPr>
              <w:jc w:val="right"/>
            </w:pPr>
            <w:r>
              <w:rPr>
                <w:rFonts w:ascii="Calibri" w:eastAsia="Calibri" w:hAnsi="Calibri" w:cs="Calibri"/>
                <w:color w:val="000000"/>
                <w:sz w:val="17"/>
                <w:szCs w:val="17"/>
              </w:rPr>
              <w:t>1.60%</w:t>
            </w:r>
          </w:p>
        </w:tc>
        <w:tc>
          <w:tcPr>
            <w:tcW w:w="1250" w:type="dxa"/>
            <w:shd w:val="clear" w:color="auto" w:fill="FFFFFF"/>
            <w:tcMar>
              <w:top w:w="60" w:type="dxa"/>
              <w:left w:w="90" w:type="dxa"/>
              <w:bottom w:w="60" w:type="dxa"/>
              <w:right w:w="90" w:type="dxa"/>
            </w:tcMar>
            <w:vAlign w:val="center"/>
          </w:tcPr>
          <w:p w14:paraId="75218652" w14:textId="77777777" w:rsidR="00D31533" w:rsidRDefault="00D31533" w:rsidP="00E20DB4">
            <w:pPr>
              <w:jc w:val="right"/>
            </w:pPr>
            <w:r>
              <w:rPr>
                <w:rFonts w:ascii="Calibri" w:eastAsia="Calibri" w:hAnsi="Calibri" w:cs="Calibri"/>
                <w:color w:val="000000"/>
                <w:sz w:val="17"/>
                <w:szCs w:val="17"/>
              </w:rPr>
              <w:t>2.00%</w:t>
            </w:r>
          </w:p>
        </w:tc>
        <w:tc>
          <w:tcPr>
            <w:tcW w:w="1300" w:type="dxa"/>
            <w:shd w:val="clear" w:color="auto" w:fill="FFFFFF"/>
            <w:tcMar>
              <w:top w:w="60" w:type="dxa"/>
              <w:left w:w="90" w:type="dxa"/>
              <w:bottom w:w="60" w:type="dxa"/>
              <w:right w:w="90" w:type="dxa"/>
            </w:tcMar>
            <w:vAlign w:val="center"/>
          </w:tcPr>
          <w:p w14:paraId="222ADD2B" w14:textId="77777777" w:rsidR="00D31533" w:rsidRDefault="00D31533" w:rsidP="00E20DB4">
            <w:pPr>
              <w:jc w:val="right"/>
            </w:pPr>
            <w:r>
              <w:rPr>
                <w:rFonts w:ascii="Calibri" w:eastAsia="Calibri" w:hAnsi="Calibri" w:cs="Calibri"/>
                <w:color w:val="000000"/>
                <w:sz w:val="17"/>
                <w:szCs w:val="17"/>
              </w:rPr>
              <w:t>6.00%</w:t>
            </w:r>
          </w:p>
        </w:tc>
      </w:tr>
      <w:tr w:rsidR="00D31533" w14:paraId="1A26D4EE" w14:textId="77777777" w:rsidTr="00E20DB4">
        <w:tc>
          <w:tcPr>
            <w:tcW w:w="2000" w:type="dxa"/>
            <w:shd w:val="clear" w:color="auto" w:fill="EAEEF5"/>
            <w:tcMar>
              <w:top w:w="60" w:type="dxa"/>
              <w:left w:w="90" w:type="dxa"/>
              <w:bottom w:w="60" w:type="dxa"/>
              <w:right w:w="90" w:type="dxa"/>
            </w:tcMar>
            <w:vAlign w:val="center"/>
          </w:tcPr>
          <w:p w14:paraId="28B49452" w14:textId="77777777" w:rsidR="00D31533" w:rsidRDefault="00D31533" w:rsidP="00E20DB4">
            <w:r>
              <w:rPr>
                <w:rFonts w:ascii="Calibri" w:eastAsia="Calibri" w:hAnsi="Calibri" w:cs="Calibri"/>
                <w:color w:val="000000"/>
                <w:sz w:val="17"/>
                <w:szCs w:val="17"/>
              </w:rPr>
              <w:t>ARR (average investment)</w:t>
            </w:r>
          </w:p>
        </w:tc>
        <w:tc>
          <w:tcPr>
            <w:tcW w:w="3200" w:type="dxa"/>
            <w:shd w:val="clear" w:color="auto" w:fill="EAEEF5"/>
            <w:tcMar>
              <w:top w:w="60" w:type="dxa"/>
              <w:left w:w="90" w:type="dxa"/>
              <w:bottom w:w="60" w:type="dxa"/>
              <w:right w:w="90" w:type="dxa"/>
            </w:tcMar>
            <w:vAlign w:val="center"/>
          </w:tcPr>
          <w:p w14:paraId="32AAC4DD" w14:textId="77777777" w:rsidR="00D31533" w:rsidRDefault="00D31533" w:rsidP="00E20DB4">
            <w:r>
              <w:rPr>
                <w:rFonts w:ascii="Calibri" w:eastAsia="Calibri" w:hAnsi="Calibri" w:cs="Calibri"/>
                <w:color w:val="000000"/>
                <w:sz w:val="17"/>
                <w:szCs w:val="17"/>
              </w:rPr>
              <w:t>Average profit ÷ £25m</w:t>
            </w:r>
          </w:p>
        </w:tc>
        <w:tc>
          <w:tcPr>
            <w:tcW w:w="1250" w:type="dxa"/>
            <w:shd w:val="clear" w:color="auto" w:fill="EAEEF5"/>
            <w:tcMar>
              <w:top w:w="60" w:type="dxa"/>
              <w:left w:w="90" w:type="dxa"/>
              <w:bottom w:w="60" w:type="dxa"/>
              <w:right w:w="90" w:type="dxa"/>
            </w:tcMar>
            <w:vAlign w:val="center"/>
          </w:tcPr>
          <w:p w14:paraId="5C4F192A" w14:textId="77777777" w:rsidR="00D31533" w:rsidRDefault="00D31533" w:rsidP="00E20DB4">
            <w:pPr>
              <w:jc w:val="right"/>
            </w:pPr>
            <w:r>
              <w:rPr>
                <w:rFonts w:ascii="Calibri" w:eastAsia="Calibri" w:hAnsi="Calibri" w:cs="Calibri"/>
                <w:color w:val="000000"/>
                <w:sz w:val="17"/>
                <w:szCs w:val="17"/>
              </w:rPr>
              <w:t>3.20%</w:t>
            </w:r>
          </w:p>
        </w:tc>
        <w:tc>
          <w:tcPr>
            <w:tcW w:w="1250" w:type="dxa"/>
            <w:shd w:val="clear" w:color="auto" w:fill="EAEEF5"/>
            <w:tcMar>
              <w:top w:w="60" w:type="dxa"/>
              <w:left w:w="90" w:type="dxa"/>
              <w:bottom w:w="60" w:type="dxa"/>
              <w:right w:w="90" w:type="dxa"/>
            </w:tcMar>
            <w:vAlign w:val="center"/>
          </w:tcPr>
          <w:p w14:paraId="61855A04" w14:textId="77777777" w:rsidR="00D31533" w:rsidRDefault="00D31533" w:rsidP="00E20DB4">
            <w:pPr>
              <w:jc w:val="right"/>
            </w:pPr>
            <w:r>
              <w:rPr>
                <w:rFonts w:ascii="Calibri" w:eastAsia="Calibri" w:hAnsi="Calibri" w:cs="Calibri"/>
                <w:color w:val="000000"/>
                <w:sz w:val="17"/>
                <w:szCs w:val="17"/>
              </w:rPr>
              <w:t>4.00%</w:t>
            </w:r>
          </w:p>
        </w:tc>
        <w:tc>
          <w:tcPr>
            <w:tcW w:w="1300" w:type="dxa"/>
            <w:shd w:val="clear" w:color="auto" w:fill="EAEEF5"/>
            <w:tcMar>
              <w:top w:w="60" w:type="dxa"/>
              <w:left w:w="90" w:type="dxa"/>
              <w:bottom w:w="60" w:type="dxa"/>
              <w:right w:w="90" w:type="dxa"/>
            </w:tcMar>
            <w:vAlign w:val="center"/>
          </w:tcPr>
          <w:p w14:paraId="53DB2BA9" w14:textId="77777777" w:rsidR="00D31533" w:rsidRDefault="00D31533" w:rsidP="00E20DB4">
            <w:pPr>
              <w:jc w:val="right"/>
            </w:pPr>
            <w:r>
              <w:rPr>
                <w:rFonts w:ascii="Calibri" w:eastAsia="Calibri" w:hAnsi="Calibri" w:cs="Calibri"/>
                <w:color w:val="000000"/>
                <w:sz w:val="17"/>
                <w:szCs w:val="17"/>
              </w:rPr>
              <w:t>12.00%</w:t>
            </w:r>
          </w:p>
        </w:tc>
      </w:tr>
      <w:tr w:rsidR="00D31533" w14:paraId="7020CC05" w14:textId="77777777" w:rsidTr="00E20DB4">
        <w:tc>
          <w:tcPr>
            <w:tcW w:w="2000" w:type="dxa"/>
            <w:shd w:val="clear" w:color="auto" w:fill="FFFFFF"/>
            <w:tcMar>
              <w:top w:w="60" w:type="dxa"/>
              <w:left w:w="90" w:type="dxa"/>
              <w:bottom w:w="60" w:type="dxa"/>
              <w:right w:w="90" w:type="dxa"/>
            </w:tcMar>
            <w:vAlign w:val="center"/>
          </w:tcPr>
          <w:p w14:paraId="5EC35C77" w14:textId="77777777" w:rsidR="00D31533" w:rsidRDefault="00D31533" w:rsidP="00E20DB4">
            <w:r>
              <w:rPr>
                <w:rFonts w:ascii="Calibri" w:eastAsia="Calibri" w:hAnsi="Calibri" w:cs="Calibri"/>
                <w:color w:val="000000"/>
                <w:sz w:val="17"/>
                <w:szCs w:val="17"/>
              </w:rPr>
              <w:t>Net present value</w:t>
            </w:r>
          </w:p>
        </w:tc>
        <w:tc>
          <w:tcPr>
            <w:tcW w:w="3200" w:type="dxa"/>
            <w:shd w:val="clear" w:color="auto" w:fill="FFFFFF"/>
            <w:tcMar>
              <w:top w:w="60" w:type="dxa"/>
              <w:left w:w="90" w:type="dxa"/>
              <w:bottom w:w="60" w:type="dxa"/>
              <w:right w:w="90" w:type="dxa"/>
            </w:tcMar>
            <w:vAlign w:val="center"/>
          </w:tcPr>
          <w:p w14:paraId="07BF2F4E" w14:textId="77777777" w:rsidR="00D31533" w:rsidRDefault="00D31533" w:rsidP="00E20DB4">
            <w:r>
              <w:rPr>
                <w:rFonts w:ascii="Calibri" w:eastAsia="Calibri" w:hAnsi="Calibri" w:cs="Calibri"/>
                <w:color w:val="000000"/>
                <w:sz w:val="17"/>
                <w:szCs w:val="17"/>
              </w:rPr>
              <w:t>PV of inflows − £50m</w:t>
            </w:r>
          </w:p>
        </w:tc>
        <w:tc>
          <w:tcPr>
            <w:tcW w:w="1250" w:type="dxa"/>
            <w:shd w:val="clear" w:color="auto" w:fill="FFFFFF"/>
            <w:tcMar>
              <w:top w:w="60" w:type="dxa"/>
              <w:left w:w="90" w:type="dxa"/>
              <w:bottom w:w="60" w:type="dxa"/>
              <w:right w:w="90" w:type="dxa"/>
            </w:tcMar>
            <w:vAlign w:val="center"/>
          </w:tcPr>
          <w:p w14:paraId="4C86704B" w14:textId="77777777" w:rsidR="00D31533" w:rsidRDefault="00D31533" w:rsidP="00E20DB4">
            <w:r>
              <w:rPr>
                <w:rFonts w:ascii="Calibri" w:eastAsia="Calibri" w:hAnsi="Calibri" w:cs="Calibri"/>
                <w:color w:val="000000"/>
                <w:sz w:val="17"/>
                <w:szCs w:val="17"/>
              </w:rPr>
              <w:t>(£6.544m)</w:t>
            </w:r>
          </w:p>
        </w:tc>
        <w:tc>
          <w:tcPr>
            <w:tcW w:w="1250" w:type="dxa"/>
            <w:shd w:val="clear" w:color="auto" w:fill="FFFFFF"/>
            <w:tcMar>
              <w:top w:w="60" w:type="dxa"/>
              <w:left w:w="90" w:type="dxa"/>
              <w:bottom w:w="60" w:type="dxa"/>
              <w:right w:w="90" w:type="dxa"/>
            </w:tcMar>
            <w:vAlign w:val="center"/>
          </w:tcPr>
          <w:p w14:paraId="5C8EC67C" w14:textId="77777777" w:rsidR="00D31533" w:rsidRDefault="00D31533" w:rsidP="00E20DB4">
            <w:r>
              <w:rPr>
                <w:rFonts w:ascii="Calibri" w:eastAsia="Calibri" w:hAnsi="Calibri" w:cs="Calibri"/>
                <w:color w:val="000000"/>
                <w:sz w:val="17"/>
                <w:szCs w:val="17"/>
              </w:rPr>
              <w:t>(£6.080m)</w:t>
            </w:r>
          </w:p>
        </w:tc>
        <w:tc>
          <w:tcPr>
            <w:tcW w:w="1300" w:type="dxa"/>
            <w:shd w:val="clear" w:color="auto" w:fill="FFFFFF"/>
            <w:tcMar>
              <w:top w:w="60" w:type="dxa"/>
              <w:left w:w="90" w:type="dxa"/>
              <w:bottom w:w="60" w:type="dxa"/>
              <w:right w:w="90" w:type="dxa"/>
            </w:tcMar>
            <w:vAlign w:val="center"/>
          </w:tcPr>
          <w:p w14:paraId="6C6169B2" w14:textId="77777777" w:rsidR="00D31533" w:rsidRDefault="00D31533" w:rsidP="00E20DB4">
            <w:r>
              <w:rPr>
                <w:rFonts w:ascii="Calibri" w:eastAsia="Calibri" w:hAnsi="Calibri" w:cs="Calibri"/>
                <w:color w:val="000000"/>
                <w:sz w:val="17"/>
                <w:szCs w:val="17"/>
              </w:rPr>
              <w:t>£0.858m</w:t>
            </w:r>
          </w:p>
        </w:tc>
      </w:tr>
      <w:tr w:rsidR="00D31533" w14:paraId="08995507" w14:textId="77777777" w:rsidTr="00E20DB4">
        <w:tc>
          <w:tcPr>
            <w:tcW w:w="2000" w:type="dxa"/>
            <w:shd w:val="clear" w:color="auto" w:fill="EAEEF5"/>
            <w:tcMar>
              <w:top w:w="60" w:type="dxa"/>
              <w:left w:w="90" w:type="dxa"/>
              <w:bottom w:w="60" w:type="dxa"/>
              <w:right w:w="90" w:type="dxa"/>
            </w:tcMar>
            <w:vAlign w:val="center"/>
          </w:tcPr>
          <w:p w14:paraId="353FCD7C" w14:textId="77777777" w:rsidR="00D31533" w:rsidRDefault="00D31533" w:rsidP="00E20DB4">
            <w:r>
              <w:rPr>
                <w:rFonts w:ascii="Calibri" w:eastAsia="Calibri" w:hAnsi="Calibri" w:cs="Calibri"/>
                <w:color w:val="000000"/>
                <w:sz w:val="17"/>
                <w:szCs w:val="17"/>
              </w:rPr>
              <w:t>Profitability index</w:t>
            </w:r>
          </w:p>
        </w:tc>
        <w:tc>
          <w:tcPr>
            <w:tcW w:w="3200" w:type="dxa"/>
            <w:shd w:val="clear" w:color="auto" w:fill="EAEEF5"/>
            <w:tcMar>
              <w:top w:w="60" w:type="dxa"/>
              <w:left w:w="90" w:type="dxa"/>
              <w:bottom w:w="60" w:type="dxa"/>
              <w:right w:w="90" w:type="dxa"/>
            </w:tcMar>
            <w:vAlign w:val="center"/>
          </w:tcPr>
          <w:p w14:paraId="6BBAD6A6" w14:textId="77777777" w:rsidR="00D31533" w:rsidRDefault="00D31533" w:rsidP="00E20DB4">
            <w:r>
              <w:rPr>
                <w:rFonts w:ascii="Calibri" w:eastAsia="Calibri" w:hAnsi="Calibri" w:cs="Calibri"/>
                <w:color w:val="000000"/>
                <w:sz w:val="17"/>
                <w:szCs w:val="17"/>
              </w:rPr>
              <w:t>PV of inflows ÷ £50m</w:t>
            </w:r>
          </w:p>
        </w:tc>
        <w:tc>
          <w:tcPr>
            <w:tcW w:w="1250" w:type="dxa"/>
            <w:shd w:val="clear" w:color="auto" w:fill="EAEEF5"/>
            <w:tcMar>
              <w:top w:w="60" w:type="dxa"/>
              <w:left w:w="90" w:type="dxa"/>
              <w:bottom w:w="60" w:type="dxa"/>
              <w:right w:w="90" w:type="dxa"/>
            </w:tcMar>
            <w:vAlign w:val="center"/>
          </w:tcPr>
          <w:p w14:paraId="79C99EE1" w14:textId="77777777" w:rsidR="00D31533" w:rsidRDefault="00D31533" w:rsidP="00E20DB4">
            <w:pPr>
              <w:jc w:val="right"/>
            </w:pPr>
            <w:r>
              <w:rPr>
                <w:rFonts w:ascii="Calibri" w:eastAsia="Calibri" w:hAnsi="Calibri" w:cs="Calibri"/>
                <w:color w:val="000000"/>
                <w:sz w:val="17"/>
                <w:szCs w:val="17"/>
              </w:rPr>
              <w:t>0.869</w:t>
            </w:r>
          </w:p>
        </w:tc>
        <w:tc>
          <w:tcPr>
            <w:tcW w:w="1250" w:type="dxa"/>
            <w:shd w:val="clear" w:color="auto" w:fill="EAEEF5"/>
            <w:tcMar>
              <w:top w:w="60" w:type="dxa"/>
              <w:left w:w="90" w:type="dxa"/>
              <w:bottom w:w="60" w:type="dxa"/>
              <w:right w:w="90" w:type="dxa"/>
            </w:tcMar>
            <w:vAlign w:val="center"/>
          </w:tcPr>
          <w:p w14:paraId="46E11240" w14:textId="77777777" w:rsidR="00D31533" w:rsidRDefault="00D31533" w:rsidP="00E20DB4">
            <w:pPr>
              <w:jc w:val="right"/>
            </w:pPr>
            <w:r>
              <w:rPr>
                <w:rFonts w:ascii="Calibri" w:eastAsia="Calibri" w:hAnsi="Calibri" w:cs="Calibri"/>
                <w:color w:val="000000"/>
                <w:sz w:val="17"/>
                <w:szCs w:val="17"/>
              </w:rPr>
              <w:t>0.878</w:t>
            </w:r>
          </w:p>
        </w:tc>
        <w:tc>
          <w:tcPr>
            <w:tcW w:w="1300" w:type="dxa"/>
            <w:shd w:val="clear" w:color="auto" w:fill="EAEEF5"/>
            <w:tcMar>
              <w:top w:w="60" w:type="dxa"/>
              <w:left w:w="90" w:type="dxa"/>
              <w:bottom w:w="60" w:type="dxa"/>
              <w:right w:w="90" w:type="dxa"/>
            </w:tcMar>
            <w:vAlign w:val="center"/>
          </w:tcPr>
          <w:p w14:paraId="43860C79" w14:textId="77777777" w:rsidR="00D31533" w:rsidRDefault="00D31533" w:rsidP="00E20DB4">
            <w:pPr>
              <w:jc w:val="right"/>
            </w:pPr>
            <w:r>
              <w:rPr>
                <w:rFonts w:ascii="Calibri" w:eastAsia="Calibri" w:hAnsi="Calibri" w:cs="Calibri"/>
                <w:color w:val="000000"/>
                <w:sz w:val="17"/>
                <w:szCs w:val="17"/>
              </w:rPr>
              <w:t>1.017</w:t>
            </w:r>
          </w:p>
        </w:tc>
      </w:tr>
      <w:tr w:rsidR="00D31533" w14:paraId="7D1E9573" w14:textId="77777777" w:rsidTr="00E20DB4">
        <w:tc>
          <w:tcPr>
            <w:tcW w:w="2000" w:type="dxa"/>
            <w:shd w:val="clear" w:color="auto" w:fill="FFFFFF"/>
            <w:tcMar>
              <w:top w:w="60" w:type="dxa"/>
              <w:left w:w="90" w:type="dxa"/>
              <w:bottom w:w="60" w:type="dxa"/>
              <w:right w:w="90" w:type="dxa"/>
            </w:tcMar>
            <w:vAlign w:val="center"/>
          </w:tcPr>
          <w:p w14:paraId="7D5FA390" w14:textId="77777777" w:rsidR="00D31533" w:rsidRDefault="00D31533" w:rsidP="00E20DB4">
            <w:r>
              <w:rPr>
                <w:rFonts w:ascii="Calibri" w:eastAsia="Calibri" w:hAnsi="Calibri" w:cs="Calibri"/>
                <w:color w:val="000000"/>
                <w:sz w:val="17"/>
                <w:szCs w:val="17"/>
              </w:rPr>
              <w:t>Internal rate of return</w:t>
            </w:r>
          </w:p>
        </w:tc>
        <w:tc>
          <w:tcPr>
            <w:tcW w:w="3200" w:type="dxa"/>
            <w:shd w:val="clear" w:color="auto" w:fill="FFFFFF"/>
            <w:tcMar>
              <w:top w:w="60" w:type="dxa"/>
              <w:left w:w="90" w:type="dxa"/>
              <w:bottom w:w="60" w:type="dxa"/>
              <w:right w:w="90" w:type="dxa"/>
            </w:tcMar>
            <w:vAlign w:val="center"/>
          </w:tcPr>
          <w:p w14:paraId="5912CA17" w14:textId="77777777" w:rsidR="00D31533" w:rsidRDefault="00D31533" w:rsidP="00E20DB4">
            <w:r>
              <w:rPr>
                <w:rFonts w:ascii="Calibri" w:eastAsia="Calibri" w:hAnsi="Calibri" w:cs="Calibri"/>
                <w:color w:val="000000"/>
                <w:sz w:val="17"/>
                <w:szCs w:val="17"/>
              </w:rPr>
              <w:t>Rate at which NPV = 0</w:t>
            </w:r>
          </w:p>
        </w:tc>
        <w:tc>
          <w:tcPr>
            <w:tcW w:w="1250" w:type="dxa"/>
            <w:shd w:val="clear" w:color="auto" w:fill="FFFFFF"/>
            <w:tcMar>
              <w:top w:w="60" w:type="dxa"/>
              <w:left w:w="90" w:type="dxa"/>
              <w:bottom w:w="60" w:type="dxa"/>
              <w:right w:w="90" w:type="dxa"/>
            </w:tcMar>
            <w:vAlign w:val="center"/>
          </w:tcPr>
          <w:p w14:paraId="40DFBB15" w14:textId="77777777" w:rsidR="00D31533" w:rsidRDefault="00D31533" w:rsidP="00E20DB4">
            <w:pPr>
              <w:jc w:val="right"/>
            </w:pPr>
            <w:r>
              <w:rPr>
                <w:rFonts w:ascii="Calibri" w:eastAsia="Calibri" w:hAnsi="Calibri" w:cs="Calibri"/>
                <w:color w:val="000000"/>
                <w:sz w:val="17"/>
                <w:szCs w:val="17"/>
              </w:rPr>
              <w:t>2.72%</w:t>
            </w:r>
          </w:p>
        </w:tc>
        <w:tc>
          <w:tcPr>
            <w:tcW w:w="1250" w:type="dxa"/>
            <w:shd w:val="clear" w:color="auto" w:fill="FFFFFF"/>
            <w:tcMar>
              <w:top w:w="60" w:type="dxa"/>
              <w:left w:w="90" w:type="dxa"/>
              <w:bottom w:w="60" w:type="dxa"/>
              <w:right w:w="90" w:type="dxa"/>
            </w:tcMar>
            <w:vAlign w:val="center"/>
          </w:tcPr>
          <w:p w14:paraId="6218EF97" w14:textId="77777777" w:rsidR="00D31533" w:rsidRDefault="00D31533" w:rsidP="00E20DB4">
            <w:pPr>
              <w:jc w:val="right"/>
            </w:pPr>
            <w:r>
              <w:rPr>
                <w:rFonts w:ascii="Calibri" w:eastAsia="Calibri" w:hAnsi="Calibri" w:cs="Calibri"/>
                <w:color w:val="000000"/>
                <w:sz w:val="17"/>
                <w:szCs w:val="17"/>
              </w:rPr>
              <w:t>3.26%</w:t>
            </w:r>
          </w:p>
        </w:tc>
        <w:tc>
          <w:tcPr>
            <w:tcW w:w="1300" w:type="dxa"/>
            <w:shd w:val="clear" w:color="auto" w:fill="FFFFFF"/>
            <w:tcMar>
              <w:top w:w="60" w:type="dxa"/>
              <w:left w:w="90" w:type="dxa"/>
              <w:bottom w:w="60" w:type="dxa"/>
              <w:right w:w="90" w:type="dxa"/>
            </w:tcMar>
            <w:vAlign w:val="center"/>
          </w:tcPr>
          <w:p w14:paraId="71AC6153" w14:textId="77777777" w:rsidR="00D31533" w:rsidRDefault="00D31533" w:rsidP="00E20DB4">
            <w:pPr>
              <w:jc w:val="right"/>
            </w:pPr>
            <w:r>
              <w:rPr>
                <w:rFonts w:ascii="Calibri" w:eastAsia="Calibri" w:hAnsi="Calibri" w:cs="Calibri"/>
                <w:color w:val="000000"/>
                <w:sz w:val="17"/>
                <w:szCs w:val="17"/>
              </w:rPr>
              <w:t>8.59%</w:t>
            </w:r>
          </w:p>
        </w:tc>
      </w:tr>
    </w:tbl>
    <w:p w14:paraId="195856FD" w14:textId="2ADA34D7" w:rsidR="00D31533" w:rsidRDefault="00D31533" w:rsidP="00D31533">
      <w:bookmarkStart w:id="54" w:name="_Toc237504429"/>
      <w:r>
        <w:t>Capital rationing analysis (£100 million ceiling)</w:t>
      </w:r>
      <w:bookmarkEnd w:id="54"/>
    </w:p>
    <w:tbl>
      <w:tblPr>
        <w:tblW w:w="9000" w:type="dxa"/>
        <w:tblBorders>
          <w:top w:val="single" w:sz="4" w:space="0" w:color="1F3864"/>
          <w:bottom w:val="single" w:sz="4" w:space="0" w:color="1F3864"/>
          <w:insideH w:val="single" w:sz="2" w:space="0" w:color="BFBFBF"/>
        </w:tblBorders>
        <w:tblCellMar>
          <w:left w:w="10" w:type="dxa"/>
          <w:right w:w="10" w:type="dxa"/>
        </w:tblCellMar>
        <w:tblLook w:val="0000" w:firstRow="0" w:lastRow="0" w:firstColumn="0" w:lastColumn="0" w:noHBand="0" w:noVBand="0"/>
      </w:tblPr>
      <w:tblGrid>
        <w:gridCol w:w="3400"/>
        <w:gridCol w:w="1300"/>
        <w:gridCol w:w="1500"/>
        <w:gridCol w:w="1400"/>
        <w:gridCol w:w="1400"/>
      </w:tblGrid>
      <w:tr w:rsidR="00D31533" w14:paraId="1BE9E3CA" w14:textId="77777777" w:rsidTr="00E20DB4">
        <w:trPr>
          <w:tblHeader/>
        </w:trPr>
        <w:tc>
          <w:tcPr>
            <w:tcW w:w="3400" w:type="dxa"/>
            <w:shd w:val="clear" w:color="auto" w:fill="1F3864"/>
            <w:tcMar>
              <w:top w:w="60" w:type="dxa"/>
              <w:left w:w="90" w:type="dxa"/>
              <w:bottom w:w="60" w:type="dxa"/>
              <w:right w:w="90" w:type="dxa"/>
            </w:tcMar>
            <w:vAlign w:val="center"/>
          </w:tcPr>
          <w:p w14:paraId="6D0DE546" w14:textId="77777777" w:rsidR="00D31533" w:rsidRDefault="00D31533" w:rsidP="00E20DB4">
            <w:r>
              <w:rPr>
                <w:rFonts w:ascii="Calibri" w:eastAsia="Calibri" w:hAnsi="Calibri" w:cs="Calibri"/>
                <w:b/>
                <w:bCs/>
                <w:color w:val="FFFFFF"/>
                <w:sz w:val="17"/>
                <w:szCs w:val="17"/>
              </w:rPr>
              <w:t>Ranking by profitability index</w:t>
            </w:r>
          </w:p>
        </w:tc>
        <w:tc>
          <w:tcPr>
            <w:tcW w:w="1300" w:type="dxa"/>
            <w:shd w:val="clear" w:color="auto" w:fill="1F3864"/>
            <w:tcMar>
              <w:top w:w="60" w:type="dxa"/>
              <w:left w:w="90" w:type="dxa"/>
              <w:bottom w:w="60" w:type="dxa"/>
              <w:right w:w="90" w:type="dxa"/>
            </w:tcMar>
            <w:vAlign w:val="center"/>
          </w:tcPr>
          <w:p w14:paraId="4921A591" w14:textId="77777777" w:rsidR="00D31533" w:rsidRDefault="00D31533" w:rsidP="00E20DB4">
            <w:r>
              <w:rPr>
                <w:rFonts w:ascii="Calibri" w:eastAsia="Calibri" w:hAnsi="Calibri" w:cs="Calibri"/>
                <w:b/>
                <w:bCs/>
                <w:color w:val="FFFFFF"/>
                <w:sz w:val="17"/>
                <w:szCs w:val="17"/>
              </w:rPr>
              <w:t>PI</w:t>
            </w:r>
          </w:p>
        </w:tc>
        <w:tc>
          <w:tcPr>
            <w:tcW w:w="1500" w:type="dxa"/>
            <w:shd w:val="clear" w:color="auto" w:fill="1F3864"/>
            <w:tcMar>
              <w:top w:w="60" w:type="dxa"/>
              <w:left w:w="90" w:type="dxa"/>
              <w:bottom w:w="60" w:type="dxa"/>
              <w:right w:w="90" w:type="dxa"/>
            </w:tcMar>
            <w:vAlign w:val="center"/>
          </w:tcPr>
          <w:p w14:paraId="2AD97E53" w14:textId="77777777" w:rsidR="00D31533" w:rsidRDefault="00D31533" w:rsidP="00E20DB4">
            <w:r>
              <w:rPr>
                <w:rFonts w:ascii="Calibri" w:eastAsia="Calibri" w:hAnsi="Calibri" w:cs="Calibri"/>
                <w:b/>
                <w:bCs/>
                <w:color w:val="FFFFFF"/>
                <w:sz w:val="17"/>
                <w:szCs w:val="17"/>
              </w:rPr>
              <w:t>NPV (£m)</w:t>
            </w:r>
          </w:p>
        </w:tc>
        <w:tc>
          <w:tcPr>
            <w:tcW w:w="1400" w:type="dxa"/>
            <w:shd w:val="clear" w:color="auto" w:fill="1F3864"/>
            <w:tcMar>
              <w:top w:w="60" w:type="dxa"/>
              <w:left w:w="90" w:type="dxa"/>
              <w:bottom w:w="60" w:type="dxa"/>
              <w:right w:w="90" w:type="dxa"/>
            </w:tcMar>
            <w:vAlign w:val="center"/>
          </w:tcPr>
          <w:p w14:paraId="74CFF70A" w14:textId="77777777" w:rsidR="00D31533" w:rsidRDefault="00D31533" w:rsidP="00E20DB4">
            <w:r>
              <w:rPr>
                <w:rFonts w:ascii="Calibri" w:eastAsia="Calibri" w:hAnsi="Calibri" w:cs="Calibri"/>
                <w:b/>
                <w:bCs/>
                <w:color w:val="FFFFFF"/>
                <w:sz w:val="17"/>
                <w:szCs w:val="17"/>
              </w:rPr>
              <w:t>Capital (£m)</w:t>
            </w:r>
          </w:p>
        </w:tc>
        <w:tc>
          <w:tcPr>
            <w:tcW w:w="1400" w:type="dxa"/>
            <w:shd w:val="clear" w:color="auto" w:fill="1F3864"/>
            <w:tcMar>
              <w:top w:w="60" w:type="dxa"/>
              <w:left w:w="90" w:type="dxa"/>
              <w:bottom w:w="60" w:type="dxa"/>
              <w:right w:w="90" w:type="dxa"/>
            </w:tcMar>
            <w:vAlign w:val="center"/>
          </w:tcPr>
          <w:p w14:paraId="69452002" w14:textId="77777777" w:rsidR="00D31533" w:rsidRDefault="00D31533" w:rsidP="00E20DB4">
            <w:r>
              <w:rPr>
                <w:rFonts w:ascii="Calibri" w:eastAsia="Calibri" w:hAnsi="Calibri" w:cs="Calibri"/>
                <w:b/>
                <w:bCs/>
                <w:color w:val="FFFFFF"/>
                <w:sz w:val="17"/>
                <w:szCs w:val="17"/>
              </w:rPr>
              <w:t>Decision</w:t>
            </w:r>
          </w:p>
        </w:tc>
      </w:tr>
      <w:tr w:rsidR="00D31533" w14:paraId="113B5450" w14:textId="77777777" w:rsidTr="00E20DB4">
        <w:tc>
          <w:tcPr>
            <w:tcW w:w="3400" w:type="dxa"/>
            <w:shd w:val="clear" w:color="auto" w:fill="FFFFFF"/>
            <w:tcMar>
              <w:top w:w="60" w:type="dxa"/>
              <w:left w:w="90" w:type="dxa"/>
              <w:bottom w:w="60" w:type="dxa"/>
              <w:right w:w="90" w:type="dxa"/>
            </w:tcMar>
            <w:vAlign w:val="center"/>
          </w:tcPr>
          <w:p w14:paraId="76D487E8" w14:textId="77777777" w:rsidR="00D31533" w:rsidRDefault="00D31533" w:rsidP="00E20DB4">
            <w:r>
              <w:rPr>
                <w:rFonts w:ascii="Calibri" w:eastAsia="Calibri" w:hAnsi="Calibri" w:cs="Calibri"/>
                <w:color w:val="000000"/>
                <w:sz w:val="17"/>
                <w:szCs w:val="17"/>
              </w:rPr>
              <w:t>1. Project C</w:t>
            </w:r>
          </w:p>
        </w:tc>
        <w:tc>
          <w:tcPr>
            <w:tcW w:w="1300" w:type="dxa"/>
            <w:shd w:val="clear" w:color="auto" w:fill="FFFFFF"/>
            <w:tcMar>
              <w:top w:w="60" w:type="dxa"/>
              <w:left w:w="90" w:type="dxa"/>
              <w:bottom w:w="60" w:type="dxa"/>
              <w:right w:w="90" w:type="dxa"/>
            </w:tcMar>
            <w:vAlign w:val="center"/>
          </w:tcPr>
          <w:p w14:paraId="526ED314" w14:textId="77777777" w:rsidR="00D31533" w:rsidRDefault="00D31533" w:rsidP="00E20DB4">
            <w:pPr>
              <w:jc w:val="right"/>
            </w:pPr>
            <w:r>
              <w:rPr>
                <w:rFonts w:ascii="Calibri" w:eastAsia="Calibri" w:hAnsi="Calibri" w:cs="Calibri"/>
                <w:color w:val="000000"/>
                <w:sz w:val="17"/>
                <w:szCs w:val="17"/>
              </w:rPr>
              <w:t>1.017</w:t>
            </w:r>
          </w:p>
        </w:tc>
        <w:tc>
          <w:tcPr>
            <w:tcW w:w="1500" w:type="dxa"/>
            <w:shd w:val="clear" w:color="auto" w:fill="FFFFFF"/>
            <w:tcMar>
              <w:top w:w="60" w:type="dxa"/>
              <w:left w:w="90" w:type="dxa"/>
              <w:bottom w:w="60" w:type="dxa"/>
              <w:right w:w="90" w:type="dxa"/>
            </w:tcMar>
            <w:vAlign w:val="center"/>
          </w:tcPr>
          <w:p w14:paraId="00A49397" w14:textId="77777777" w:rsidR="00D31533" w:rsidRDefault="00D31533" w:rsidP="00E20DB4">
            <w:pPr>
              <w:jc w:val="right"/>
            </w:pPr>
            <w:r>
              <w:rPr>
                <w:rFonts w:ascii="Calibri" w:eastAsia="Calibri" w:hAnsi="Calibri" w:cs="Calibri"/>
                <w:color w:val="000000"/>
                <w:sz w:val="17"/>
                <w:szCs w:val="17"/>
              </w:rPr>
              <w:t>0.858</w:t>
            </w:r>
          </w:p>
        </w:tc>
        <w:tc>
          <w:tcPr>
            <w:tcW w:w="1400" w:type="dxa"/>
            <w:shd w:val="clear" w:color="auto" w:fill="FFFFFF"/>
            <w:tcMar>
              <w:top w:w="60" w:type="dxa"/>
              <w:left w:w="90" w:type="dxa"/>
              <w:bottom w:w="60" w:type="dxa"/>
              <w:right w:w="90" w:type="dxa"/>
            </w:tcMar>
            <w:vAlign w:val="center"/>
          </w:tcPr>
          <w:p w14:paraId="44BEBBDB" w14:textId="77777777" w:rsidR="00D31533" w:rsidRDefault="00D31533" w:rsidP="00E20DB4">
            <w:pPr>
              <w:jc w:val="right"/>
            </w:pPr>
            <w:r>
              <w:rPr>
                <w:rFonts w:ascii="Calibri" w:eastAsia="Calibri" w:hAnsi="Calibri" w:cs="Calibri"/>
                <w:color w:val="000000"/>
                <w:sz w:val="17"/>
                <w:szCs w:val="17"/>
              </w:rPr>
              <w:t>50</w:t>
            </w:r>
          </w:p>
        </w:tc>
        <w:tc>
          <w:tcPr>
            <w:tcW w:w="1400" w:type="dxa"/>
            <w:shd w:val="clear" w:color="auto" w:fill="FFFFFF"/>
            <w:tcMar>
              <w:top w:w="60" w:type="dxa"/>
              <w:left w:w="90" w:type="dxa"/>
              <w:bottom w:w="60" w:type="dxa"/>
              <w:right w:w="90" w:type="dxa"/>
            </w:tcMar>
            <w:vAlign w:val="center"/>
          </w:tcPr>
          <w:p w14:paraId="64399CA5" w14:textId="77777777" w:rsidR="00D31533" w:rsidRDefault="00D31533" w:rsidP="00E20DB4">
            <w:r>
              <w:rPr>
                <w:rFonts w:ascii="Calibri" w:eastAsia="Calibri" w:hAnsi="Calibri" w:cs="Calibri"/>
                <w:color w:val="000000"/>
                <w:sz w:val="17"/>
                <w:szCs w:val="17"/>
              </w:rPr>
              <w:t>Accept</w:t>
            </w:r>
          </w:p>
        </w:tc>
      </w:tr>
      <w:tr w:rsidR="00D31533" w14:paraId="3D8F4CF8" w14:textId="77777777" w:rsidTr="00E20DB4">
        <w:tc>
          <w:tcPr>
            <w:tcW w:w="3400" w:type="dxa"/>
            <w:shd w:val="clear" w:color="auto" w:fill="EAEEF5"/>
            <w:tcMar>
              <w:top w:w="60" w:type="dxa"/>
              <w:left w:w="90" w:type="dxa"/>
              <w:bottom w:w="60" w:type="dxa"/>
              <w:right w:w="90" w:type="dxa"/>
            </w:tcMar>
            <w:vAlign w:val="center"/>
          </w:tcPr>
          <w:p w14:paraId="2C1E49E5" w14:textId="77777777" w:rsidR="00D31533" w:rsidRDefault="00D31533" w:rsidP="00E20DB4">
            <w:r>
              <w:rPr>
                <w:rFonts w:ascii="Calibri" w:eastAsia="Calibri" w:hAnsi="Calibri" w:cs="Calibri"/>
                <w:color w:val="000000"/>
                <w:sz w:val="17"/>
                <w:szCs w:val="17"/>
              </w:rPr>
              <w:t>2. Project B</w:t>
            </w:r>
          </w:p>
        </w:tc>
        <w:tc>
          <w:tcPr>
            <w:tcW w:w="1300" w:type="dxa"/>
            <w:shd w:val="clear" w:color="auto" w:fill="EAEEF5"/>
            <w:tcMar>
              <w:top w:w="60" w:type="dxa"/>
              <w:left w:w="90" w:type="dxa"/>
              <w:bottom w:w="60" w:type="dxa"/>
              <w:right w:w="90" w:type="dxa"/>
            </w:tcMar>
            <w:vAlign w:val="center"/>
          </w:tcPr>
          <w:p w14:paraId="21059EF3" w14:textId="77777777" w:rsidR="00D31533" w:rsidRDefault="00D31533" w:rsidP="00E20DB4">
            <w:pPr>
              <w:jc w:val="right"/>
            </w:pPr>
            <w:r>
              <w:rPr>
                <w:rFonts w:ascii="Calibri" w:eastAsia="Calibri" w:hAnsi="Calibri" w:cs="Calibri"/>
                <w:color w:val="000000"/>
                <w:sz w:val="17"/>
                <w:szCs w:val="17"/>
              </w:rPr>
              <w:t>0.878</w:t>
            </w:r>
          </w:p>
        </w:tc>
        <w:tc>
          <w:tcPr>
            <w:tcW w:w="1500" w:type="dxa"/>
            <w:shd w:val="clear" w:color="auto" w:fill="EAEEF5"/>
            <w:tcMar>
              <w:top w:w="60" w:type="dxa"/>
              <w:left w:w="90" w:type="dxa"/>
              <w:bottom w:w="60" w:type="dxa"/>
              <w:right w:w="90" w:type="dxa"/>
            </w:tcMar>
            <w:vAlign w:val="center"/>
          </w:tcPr>
          <w:p w14:paraId="6FAF9210" w14:textId="77777777" w:rsidR="00D31533" w:rsidRDefault="00D31533" w:rsidP="00E20DB4">
            <w:pPr>
              <w:jc w:val="right"/>
            </w:pPr>
            <w:r>
              <w:rPr>
                <w:rFonts w:ascii="Calibri" w:eastAsia="Calibri" w:hAnsi="Calibri" w:cs="Calibri"/>
                <w:color w:val="000000"/>
                <w:sz w:val="17"/>
                <w:szCs w:val="17"/>
              </w:rPr>
              <w:t>(6.080)</w:t>
            </w:r>
          </w:p>
        </w:tc>
        <w:tc>
          <w:tcPr>
            <w:tcW w:w="1400" w:type="dxa"/>
            <w:shd w:val="clear" w:color="auto" w:fill="EAEEF5"/>
            <w:tcMar>
              <w:top w:w="60" w:type="dxa"/>
              <w:left w:w="90" w:type="dxa"/>
              <w:bottom w:w="60" w:type="dxa"/>
              <w:right w:w="90" w:type="dxa"/>
            </w:tcMar>
            <w:vAlign w:val="center"/>
          </w:tcPr>
          <w:p w14:paraId="3D835C16" w14:textId="77777777" w:rsidR="00D31533" w:rsidRDefault="00D31533" w:rsidP="00E20DB4">
            <w:pPr>
              <w:jc w:val="right"/>
            </w:pPr>
            <w:r>
              <w:rPr>
                <w:rFonts w:ascii="Calibri" w:eastAsia="Calibri" w:hAnsi="Calibri" w:cs="Calibri"/>
                <w:color w:val="000000"/>
                <w:sz w:val="17"/>
                <w:szCs w:val="17"/>
              </w:rPr>
              <w:t>50</w:t>
            </w:r>
          </w:p>
        </w:tc>
        <w:tc>
          <w:tcPr>
            <w:tcW w:w="1400" w:type="dxa"/>
            <w:shd w:val="clear" w:color="auto" w:fill="EAEEF5"/>
            <w:tcMar>
              <w:top w:w="60" w:type="dxa"/>
              <w:left w:w="90" w:type="dxa"/>
              <w:bottom w:w="60" w:type="dxa"/>
              <w:right w:w="90" w:type="dxa"/>
            </w:tcMar>
            <w:vAlign w:val="center"/>
          </w:tcPr>
          <w:p w14:paraId="73707D99" w14:textId="77777777" w:rsidR="00D31533" w:rsidRDefault="00D31533" w:rsidP="00E20DB4">
            <w:r>
              <w:rPr>
                <w:rFonts w:ascii="Calibri" w:eastAsia="Calibri" w:hAnsi="Calibri" w:cs="Calibri"/>
                <w:color w:val="000000"/>
                <w:sz w:val="17"/>
                <w:szCs w:val="17"/>
              </w:rPr>
              <w:t>Reject</w:t>
            </w:r>
          </w:p>
        </w:tc>
      </w:tr>
      <w:tr w:rsidR="00D31533" w14:paraId="6C247DA3" w14:textId="77777777" w:rsidTr="00E20DB4">
        <w:tc>
          <w:tcPr>
            <w:tcW w:w="3400" w:type="dxa"/>
            <w:shd w:val="clear" w:color="auto" w:fill="FFFFFF"/>
            <w:tcMar>
              <w:top w:w="60" w:type="dxa"/>
              <w:left w:w="90" w:type="dxa"/>
              <w:bottom w:w="60" w:type="dxa"/>
              <w:right w:w="90" w:type="dxa"/>
            </w:tcMar>
            <w:vAlign w:val="center"/>
          </w:tcPr>
          <w:p w14:paraId="3D889FA2" w14:textId="77777777" w:rsidR="00D31533" w:rsidRDefault="00D31533" w:rsidP="00E20DB4">
            <w:r>
              <w:rPr>
                <w:rFonts w:ascii="Calibri" w:eastAsia="Calibri" w:hAnsi="Calibri" w:cs="Calibri"/>
                <w:color w:val="000000"/>
                <w:sz w:val="17"/>
                <w:szCs w:val="17"/>
              </w:rPr>
              <w:t>3. Project A</w:t>
            </w:r>
          </w:p>
        </w:tc>
        <w:tc>
          <w:tcPr>
            <w:tcW w:w="1300" w:type="dxa"/>
            <w:shd w:val="clear" w:color="auto" w:fill="FFFFFF"/>
            <w:tcMar>
              <w:top w:w="60" w:type="dxa"/>
              <w:left w:w="90" w:type="dxa"/>
              <w:bottom w:w="60" w:type="dxa"/>
              <w:right w:w="90" w:type="dxa"/>
            </w:tcMar>
            <w:vAlign w:val="center"/>
          </w:tcPr>
          <w:p w14:paraId="3D60E604" w14:textId="77777777" w:rsidR="00D31533" w:rsidRDefault="00D31533" w:rsidP="00E20DB4">
            <w:pPr>
              <w:jc w:val="right"/>
            </w:pPr>
            <w:r>
              <w:rPr>
                <w:rFonts w:ascii="Calibri" w:eastAsia="Calibri" w:hAnsi="Calibri" w:cs="Calibri"/>
                <w:color w:val="000000"/>
                <w:sz w:val="17"/>
                <w:szCs w:val="17"/>
              </w:rPr>
              <w:t>0.869</w:t>
            </w:r>
          </w:p>
        </w:tc>
        <w:tc>
          <w:tcPr>
            <w:tcW w:w="1500" w:type="dxa"/>
            <w:shd w:val="clear" w:color="auto" w:fill="FFFFFF"/>
            <w:tcMar>
              <w:top w:w="60" w:type="dxa"/>
              <w:left w:w="90" w:type="dxa"/>
              <w:bottom w:w="60" w:type="dxa"/>
              <w:right w:w="90" w:type="dxa"/>
            </w:tcMar>
            <w:vAlign w:val="center"/>
          </w:tcPr>
          <w:p w14:paraId="4964EAF7" w14:textId="77777777" w:rsidR="00D31533" w:rsidRDefault="00D31533" w:rsidP="00E20DB4">
            <w:pPr>
              <w:jc w:val="right"/>
            </w:pPr>
            <w:r>
              <w:rPr>
                <w:rFonts w:ascii="Calibri" w:eastAsia="Calibri" w:hAnsi="Calibri" w:cs="Calibri"/>
                <w:color w:val="000000"/>
                <w:sz w:val="17"/>
                <w:szCs w:val="17"/>
              </w:rPr>
              <w:t>(6.544)</w:t>
            </w:r>
          </w:p>
        </w:tc>
        <w:tc>
          <w:tcPr>
            <w:tcW w:w="1400" w:type="dxa"/>
            <w:shd w:val="clear" w:color="auto" w:fill="FFFFFF"/>
            <w:tcMar>
              <w:top w:w="60" w:type="dxa"/>
              <w:left w:w="90" w:type="dxa"/>
              <w:bottom w:w="60" w:type="dxa"/>
              <w:right w:w="90" w:type="dxa"/>
            </w:tcMar>
            <w:vAlign w:val="center"/>
          </w:tcPr>
          <w:p w14:paraId="3F96D275" w14:textId="77777777" w:rsidR="00D31533" w:rsidRDefault="00D31533" w:rsidP="00E20DB4">
            <w:pPr>
              <w:jc w:val="right"/>
            </w:pPr>
            <w:r>
              <w:rPr>
                <w:rFonts w:ascii="Calibri" w:eastAsia="Calibri" w:hAnsi="Calibri" w:cs="Calibri"/>
                <w:color w:val="000000"/>
                <w:sz w:val="17"/>
                <w:szCs w:val="17"/>
              </w:rPr>
              <w:t>50</w:t>
            </w:r>
          </w:p>
        </w:tc>
        <w:tc>
          <w:tcPr>
            <w:tcW w:w="1400" w:type="dxa"/>
            <w:shd w:val="clear" w:color="auto" w:fill="FFFFFF"/>
            <w:tcMar>
              <w:top w:w="60" w:type="dxa"/>
              <w:left w:w="90" w:type="dxa"/>
              <w:bottom w:w="60" w:type="dxa"/>
              <w:right w:w="90" w:type="dxa"/>
            </w:tcMar>
            <w:vAlign w:val="center"/>
          </w:tcPr>
          <w:p w14:paraId="1814AC58" w14:textId="77777777" w:rsidR="00D31533" w:rsidRDefault="00D31533" w:rsidP="00E20DB4">
            <w:r>
              <w:rPr>
                <w:rFonts w:ascii="Calibri" w:eastAsia="Calibri" w:hAnsi="Calibri" w:cs="Calibri"/>
                <w:color w:val="000000"/>
                <w:sz w:val="17"/>
                <w:szCs w:val="17"/>
              </w:rPr>
              <w:t>Reject</w:t>
            </w:r>
          </w:p>
        </w:tc>
      </w:tr>
      <w:tr w:rsidR="00D31533" w14:paraId="7F724FFD" w14:textId="77777777" w:rsidTr="00E20DB4">
        <w:tc>
          <w:tcPr>
            <w:tcW w:w="3400" w:type="dxa"/>
            <w:shd w:val="clear" w:color="auto" w:fill="EAEEF5"/>
            <w:tcMar>
              <w:top w:w="60" w:type="dxa"/>
              <w:left w:w="90" w:type="dxa"/>
              <w:bottom w:w="60" w:type="dxa"/>
              <w:right w:w="90" w:type="dxa"/>
            </w:tcMar>
            <w:vAlign w:val="center"/>
          </w:tcPr>
          <w:p w14:paraId="4EF4D5F8" w14:textId="77777777" w:rsidR="00D31533" w:rsidRDefault="00D31533" w:rsidP="00E20DB4">
            <w:r>
              <w:rPr>
                <w:rFonts w:ascii="Calibri" w:eastAsia="Calibri" w:hAnsi="Calibri" w:cs="Calibri"/>
                <w:b/>
                <w:bCs/>
                <w:color w:val="000000"/>
                <w:sz w:val="17"/>
                <w:szCs w:val="17"/>
              </w:rPr>
              <w:t>Optimal portfolio: Project C only</w:t>
            </w:r>
          </w:p>
        </w:tc>
        <w:tc>
          <w:tcPr>
            <w:tcW w:w="1300" w:type="dxa"/>
            <w:shd w:val="clear" w:color="auto" w:fill="EAEEF5"/>
            <w:tcMar>
              <w:top w:w="60" w:type="dxa"/>
              <w:left w:w="90" w:type="dxa"/>
              <w:bottom w:w="60" w:type="dxa"/>
              <w:right w:w="90" w:type="dxa"/>
            </w:tcMar>
            <w:vAlign w:val="center"/>
          </w:tcPr>
          <w:p w14:paraId="21C15965" w14:textId="77777777" w:rsidR="00D31533" w:rsidRDefault="00D31533" w:rsidP="00E20DB4">
            <w:pPr>
              <w:jc w:val="right"/>
            </w:pPr>
            <w:r>
              <w:rPr>
                <w:rFonts w:ascii="Calibri" w:eastAsia="Calibri" w:hAnsi="Calibri" w:cs="Calibri"/>
                <w:b/>
                <w:bCs/>
                <w:color w:val="000000"/>
                <w:sz w:val="17"/>
                <w:szCs w:val="17"/>
              </w:rPr>
              <w:t>1.017</w:t>
            </w:r>
          </w:p>
        </w:tc>
        <w:tc>
          <w:tcPr>
            <w:tcW w:w="1500" w:type="dxa"/>
            <w:shd w:val="clear" w:color="auto" w:fill="EAEEF5"/>
            <w:tcMar>
              <w:top w:w="60" w:type="dxa"/>
              <w:left w:w="90" w:type="dxa"/>
              <w:bottom w:w="60" w:type="dxa"/>
              <w:right w:w="90" w:type="dxa"/>
            </w:tcMar>
            <w:vAlign w:val="center"/>
          </w:tcPr>
          <w:p w14:paraId="118F4A6A" w14:textId="77777777" w:rsidR="00D31533" w:rsidRDefault="00D31533" w:rsidP="00E20DB4">
            <w:pPr>
              <w:jc w:val="right"/>
            </w:pPr>
            <w:r>
              <w:rPr>
                <w:rFonts w:ascii="Calibri" w:eastAsia="Calibri" w:hAnsi="Calibri" w:cs="Calibri"/>
                <w:b/>
                <w:bCs/>
                <w:color w:val="000000"/>
                <w:sz w:val="17"/>
                <w:szCs w:val="17"/>
              </w:rPr>
              <w:t>0.858</w:t>
            </w:r>
          </w:p>
        </w:tc>
        <w:tc>
          <w:tcPr>
            <w:tcW w:w="1400" w:type="dxa"/>
            <w:shd w:val="clear" w:color="auto" w:fill="EAEEF5"/>
            <w:tcMar>
              <w:top w:w="60" w:type="dxa"/>
              <w:left w:w="90" w:type="dxa"/>
              <w:bottom w:w="60" w:type="dxa"/>
              <w:right w:w="90" w:type="dxa"/>
            </w:tcMar>
            <w:vAlign w:val="center"/>
          </w:tcPr>
          <w:p w14:paraId="41268C5D" w14:textId="77777777" w:rsidR="00D31533" w:rsidRDefault="00D31533" w:rsidP="00E20DB4">
            <w:pPr>
              <w:jc w:val="right"/>
            </w:pPr>
            <w:r>
              <w:rPr>
                <w:rFonts w:ascii="Calibri" w:eastAsia="Calibri" w:hAnsi="Calibri" w:cs="Calibri"/>
                <w:b/>
                <w:bCs/>
                <w:color w:val="000000"/>
                <w:sz w:val="17"/>
                <w:szCs w:val="17"/>
              </w:rPr>
              <w:t>50</w:t>
            </w:r>
          </w:p>
        </w:tc>
        <w:tc>
          <w:tcPr>
            <w:tcW w:w="1400" w:type="dxa"/>
            <w:shd w:val="clear" w:color="auto" w:fill="EAEEF5"/>
            <w:tcMar>
              <w:top w:w="60" w:type="dxa"/>
              <w:left w:w="90" w:type="dxa"/>
              <w:bottom w:w="60" w:type="dxa"/>
              <w:right w:w="90" w:type="dxa"/>
            </w:tcMar>
            <w:vAlign w:val="center"/>
          </w:tcPr>
          <w:p w14:paraId="7EE3AD0A" w14:textId="77777777" w:rsidR="00D31533" w:rsidRDefault="00D31533" w:rsidP="00E20DB4">
            <w:r>
              <w:rPr>
                <w:rFonts w:ascii="Calibri" w:eastAsia="Calibri" w:hAnsi="Calibri" w:cs="Calibri"/>
                <w:b/>
                <w:bCs/>
                <w:color w:val="000000"/>
                <w:sz w:val="17"/>
                <w:szCs w:val="17"/>
              </w:rPr>
              <w:t>£50m unspent</w:t>
            </w:r>
          </w:p>
        </w:tc>
      </w:tr>
    </w:tbl>
    <w:p w14:paraId="5F73AABF" w14:textId="77777777" w:rsidR="00D31533" w:rsidRDefault="00D31533" w:rsidP="00D31533">
      <w:pPr>
        <w:spacing w:before="60" w:after="220"/>
      </w:pPr>
      <w:r>
        <w:rPr>
          <w:rFonts w:ascii="Calibri" w:eastAsia="Calibri" w:hAnsi="Calibri" w:cs="Calibri"/>
          <w:i/>
          <w:iCs/>
          <w:color w:val="555555"/>
          <w:sz w:val="17"/>
          <w:szCs w:val="17"/>
        </w:rPr>
        <w:t>The remaining £50 million should be applied to rebuilding liquidity rather than to a negative-NPV project.</w:t>
      </w:r>
    </w:p>
    <w:p w14:paraId="29BFBB46" w14:textId="4B9FA8AF" w:rsidR="000D05E7" w:rsidRPr="00D31533" w:rsidRDefault="00D31533" w:rsidP="000D05E7">
      <w:r>
        <w:br w:type="page"/>
      </w:r>
    </w:p>
    <w:p w14:paraId="4A2DD7FE" w14:textId="35D3D494" w:rsidR="00F274C7" w:rsidRDefault="00CF2044" w:rsidP="00CF2044">
      <w:pPr>
        <w:pStyle w:val="Heading1"/>
        <w:numPr>
          <w:ilvl w:val="0"/>
          <w:numId w:val="0"/>
        </w:numPr>
        <w:ind w:left="432"/>
      </w:pPr>
      <w:bookmarkStart w:id="55" w:name="_Toc237514467"/>
      <w:r>
        <w:lastRenderedPageBreak/>
        <w:t>Appendix E: AI Acknowledgement Form</w:t>
      </w:r>
      <w:bookmarkEnd w:id="5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6"/>
        <w:gridCol w:w="7000"/>
      </w:tblGrid>
      <w:tr w:rsidR="00FE0B4A" w:rsidRPr="00FE0B4A" w14:paraId="05CBCAAE" w14:textId="77777777" w:rsidTr="00FE0B4A">
        <w:trPr>
          <w:tblHeader/>
          <w:tblCellSpacing w:w="15" w:type="dxa"/>
        </w:trPr>
        <w:tc>
          <w:tcPr>
            <w:tcW w:w="0" w:type="auto"/>
            <w:vAlign w:val="center"/>
            <w:hideMark/>
          </w:tcPr>
          <w:p w14:paraId="7BB521FD" w14:textId="77777777" w:rsidR="00FE0B4A" w:rsidRPr="00FE0B4A" w:rsidRDefault="00FE0B4A" w:rsidP="00C87DDF">
            <w:pPr>
              <w:jc w:val="center"/>
              <w:rPr>
                <w:b/>
                <w:bCs/>
                <w:sz w:val="20"/>
                <w:szCs w:val="20"/>
              </w:rPr>
            </w:pPr>
            <w:r w:rsidRPr="00FE0B4A">
              <w:rPr>
                <w:b/>
                <w:bCs/>
                <w:sz w:val="20"/>
                <w:szCs w:val="20"/>
              </w:rPr>
              <w:t>Item</w:t>
            </w:r>
          </w:p>
        </w:tc>
        <w:tc>
          <w:tcPr>
            <w:tcW w:w="0" w:type="auto"/>
            <w:vAlign w:val="center"/>
            <w:hideMark/>
          </w:tcPr>
          <w:p w14:paraId="6EE5ED41" w14:textId="77777777" w:rsidR="00FE0B4A" w:rsidRPr="00FE0B4A" w:rsidRDefault="00FE0B4A" w:rsidP="00FE0B4A">
            <w:pPr>
              <w:jc w:val="center"/>
              <w:rPr>
                <w:b/>
                <w:bCs/>
                <w:sz w:val="20"/>
                <w:szCs w:val="20"/>
              </w:rPr>
            </w:pPr>
            <w:r w:rsidRPr="00FE0B4A">
              <w:rPr>
                <w:b/>
                <w:bCs/>
                <w:sz w:val="20"/>
                <w:szCs w:val="20"/>
              </w:rPr>
              <w:t>Declaration</w:t>
            </w:r>
          </w:p>
        </w:tc>
      </w:tr>
      <w:tr w:rsidR="00FE0B4A" w:rsidRPr="00FE0B4A" w14:paraId="653A5EB9" w14:textId="77777777" w:rsidTr="00FE0B4A">
        <w:trPr>
          <w:tblCellSpacing w:w="15" w:type="dxa"/>
        </w:trPr>
        <w:tc>
          <w:tcPr>
            <w:tcW w:w="0" w:type="auto"/>
            <w:vAlign w:val="center"/>
            <w:hideMark/>
          </w:tcPr>
          <w:p w14:paraId="762B369F" w14:textId="77777777" w:rsidR="00FE0B4A" w:rsidRPr="00FE0B4A" w:rsidRDefault="00FE0B4A" w:rsidP="00C87DDF">
            <w:pPr>
              <w:jc w:val="center"/>
              <w:rPr>
                <w:sz w:val="20"/>
                <w:szCs w:val="20"/>
              </w:rPr>
            </w:pPr>
            <w:r w:rsidRPr="00FE0B4A">
              <w:rPr>
                <w:sz w:val="20"/>
                <w:szCs w:val="20"/>
              </w:rPr>
              <w:t>Was generative AI used?</w:t>
            </w:r>
          </w:p>
        </w:tc>
        <w:tc>
          <w:tcPr>
            <w:tcW w:w="0" w:type="auto"/>
            <w:vAlign w:val="center"/>
            <w:hideMark/>
          </w:tcPr>
          <w:p w14:paraId="72DB618D" w14:textId="77777777" w:rsidR="00FE0B4A" w:rsidRPr="00FE0B4A" w:rsidRDefault="00FE0B4A" w:rsidP="00FE0B4A">
            <w:pPr>
              <w:jc w:val="center"/>
              <w:rPr>
                <w:sz w:val="20"/>
                <w:szCs w:val="20"/>
              </w:rPr>
            </w:pPr>
            <w:r w:rsidRPr="00FE0B4A">
              <w:rPr>
                <w:sz w:val="20"/>
                <w:szCs w:val="20"/>
              </w:rPr>
              <w:t>Yes</w:t>
            </w:r>
          </w:p>
        </w:tc>
      </w:tr>
      <w:tr w:rsidR="00FE0B4A" w:rsidRPr="00FE0B4A" w14:paraId="5564E66E" w14:textId="77777777" w:rsidTr="00FE0B4A">
        <w:trPr>
          <w:tblCellSpacing w:w="15" w:type="dxa"/>
        </w:trPr>
        <w:tc>
          <w:tcPr>
            <w:tcW w:w="0" w:type="auto"/>
            <w:vAlign w:val="center"/>
            <w:hideMark/>
          </w:tcPr>
          <w:p w14:paraId="0B50CCD5" w14:textId="77777777" w:rsidR="00FE0B4A" w:rsidRPr="00FE0B4A" w:rsidRDefault="00FE0B4A" w:rsidP="00C87DDF">
            <w:pPr>
              <w:jc w:val="center"/>
              <w:rPr>
                <w:sz w:val="20"/>
                <w:szCs w:val="20"/>
              </w:rPr>
            </w:pPr>
            <w:r w:rsidRPr="00FE0B4A">
              <w:rPr>
                <w:sz w:val="20"/>
                <w:szCs w:val="20"/>
              </w:rPr>
              <w:t>Tool(s) used</w:t>
            </w:r>
          </w:p>
        </w:tc>
        <w:tc>
          <w:tcPr>
            <w:tcW w:w="0" w:type="auto"/>
            <w:vAlign w:val="center"/>
            <w:hideMark/>
          </w:tcPr>
          <w:p w14:paraId="35CEB0E4" w14:textId="77777777" w:rsidR="00FE0B4A" w:rsidRPr="00FE0B4A" w:rsidRDefault="00FE0B4A" w:rsidP="00FE0B4A">
            <w:pPr>
              <w:jc w:val="center"/>
              <w:rPr>
                <w:sz w:val="20"/>
                <w:szCs w:val="20"/>
              </w:rPr>
            </w:pPr>
            <w:r w:rsidRPr="00FE0B4A">
              <w:rPr>
                <w:sz w:val="20"/>
                <w:szCs w:val="20"/>
              </w:rPr>
              <w:t>Microsoft Copilot; Google AI</w:t>
            </w:r>
          </w:p>
        </w:tc>
      </w:tr>
      <w:tr w:rsidR="00FE0B4A" w:rsidRPr="00FE0B4A" w14:paraId="1A99146B" w14:textId="77777777" w:rsidTr="00FE0B4A">
        <w:trPr>
          <w:tblCellSpacing w:w="15" w:type="dxa"/>
        </w:trPr>
        <w:tc>
          <w:tcPr>
            <w:tcW w:w="0" w:type="auto"/>
            <w:vAlign w:val="center"/>
            <w:hideMark/>
          </w:tcPr>
          <w:p w14:paraId="1AE8EE5E" w14:textId="77777777" w:rsidR="00FE0B4A" w:rsidRPr="00FE0B4A" w:rsidRDefault="00FE0B4A" w:rsidP="00C87DDF">
            <w:pPr>
              <w:jc w:val="center"/>
              <w:rPr>
                <w:sz w:val="20"/>
                <w:szCs w:val="20"/>
              </w:rPr>
            </w:pPr>
            <w:r w:rsidRPr="00FE0B4A">
              <w:rPr>
                <w:sz w:val="20"/>
                <w:szCs w:val="20"/>
              </w:rPr>
              <w:t>Date(s) of use</w:t>
            </w:r>
          </w:p>
        </w:tc>
        <w:tc>
          <w:tcPr>
            <w:tcW w:w="0" w:type="auto"/>
            <w:vAlign w:val="center"/>
            <w:hideMark/>
          </w:tcPr>
          <w:p w14:paraId="750D4EE8" w14:textId="2983C683" w:rsidR="00FE0B4A" w:rsidRPr="00FE0B4A" w:rsidRDefault="00FE0B4A" w:rsidP="00FE0B4A">
            <w:pPr>
              <w:jc w:val="center"/>
              <w:rPr>
                <w:sz w:val="20"/>
                <w:szCs w:val="20"/>
              </w:rPr>
            </w:pPr>
            <w:r>
              <w:rPr>
                <w:sz w:val="20"/>
                <w:szCs w:val="20"/>
              </w:rPr>
              <w:t>18</w:t>
            </w:r>
            <w:r w:rsidRPr="00FE0B4A">
              <w:rPr>
                <w:sz w:val="20"/>
                <w:szCs w:val="20"/>
                <w:vertAlign w:val="superscript"/>
              </w:rPr>
              <w:t>th</w:t>
            </w:r>
            <w:r>
              <w:rPr>
                <w:sz w:val="20"/>
                <w:szCs w:val="20"/>
              </w:rPr>
              <w:t xml:space="preserve"> July till 4</w:t>
            </w:r>
            <w:r w:rsidRPr="00FE0B4A">
              <w:rPr>
                <w:sz w:val="20"/>
                <w:szCs w:val="20"/>
                <w:vertAlign w:val="superscript"/>
              </w:rPr>
              <w:t>th</w:t>
            </w:r>
            <w:r>
              <w:rPr>
                <w:sz w:val="20"/>
                <w:szCs w:val="20"/>
              </w:rPr>
              <w:t xml:space="preserve"> August</w:t>
            </w:r>
            <w:r w:rsidR="00C87DDF">
              <w:rPr>
                <w:sz w:val="20"/>
                <w:szCs w:val="20"/>
              </w:rPr>
              <w:t xml:space="preserve"> 2026</w:t>
            </w:r>
          </w:p>
        </w:tc>
      </w:tr>
      <w:tr w:rsidR="00FE0B4A" w:rsidRPr="00FE0B4A" w14:paraId="6D771387" w14:textId="77777777" w:rsidTr="00FE0B4A">
        <w:trPr>
          <w:tblCellSpacing w:w="15" w:type="dxa"/>
        </w:trPr>
        <w:tc>
          <w:tcPr>
            <w:tcW w:w="0" w:type="auto"/>
            <w:vAlign w:val="center"/>
            <w:hideMark/>
          </w:tcPr>
          <w:p w14:paraId="7DB10357" w14:textId="12F622D6" w:rsidR="00FE0B4A" w:rsidRPr="00FE0B4A" w:rsidRDefault="00FE0B4A" w:rsidP="00C87DDF">
            <w:pPr>
              <w:jc w:val="center"/>
              <w:rPr>
                <w:sz w:val="20"/>
                <w:szCs w:val="20"/>
              </w:rPr>
            </w:pPr>
            <w:r>
              <w:rPr>
                <w:b/>
                <w:bCs/>
                <w:sz w:val="20"/>
                <w:szCs w:val="20"/>
              </w:rPr>
              <w:t>For Creative Purposed</w:t>
            </w:r>
          </w:p>
        </w:tc>
        <w:tc>
          <w:tcPr>
            <w:tcW w:w="0" w:type="auto"/>
            <w:vAlign w:val="center"/>
            <w:hideMark/>
          </w:tcPr>
          <w:p w14:paraId="0ADA22D6" w14:textId="7F43ACD5" w:rsidR="00FE0B4A" w:rsidRPr="00FE0B4A" w:rsidRDefault="00FE0B4A" w:rsidP="00FE0B4A">
            <w:pPr>
              <w:jc w:val="center"/>
              <w:rPr>
                <w:sz w:val="20"/>
                <w:szCs w:val="20"/>
              </w:rPr>
            </w:pPr>
            <w:r>
              <w:rPr>
                <w:sz w:val="20"/>
                <w:szCs w:val="20"/>
              </w:rPr>
              <w:t>Got help with</w:t>
            </w:r>
            <w:r w:rsidRPr="00FE0B4A">
              <w:rPr>
                <w:sz w:val="20"/>
                <w:szCs w:val="20"/>
              </w:rPr>
              <w:t xml:space="preserve"> production of charts and the formatting of tables presented in the report and appendices.</w:t>
            </w:r>
          </w:p>
        </w:tc>
      </w:tr>
      <w:tr w:rsidR="00FE0B4A" w:rsidRPr="00FE0B4A" w14:paraId="629177CD" w14:textId="77777777" w:rsidTr="00FE0B4A">
        <w:trPr>
          <w:tblCellSpacing w:w="15" w:type="dxa"/>
        </w:trPr>
        <w:tc>
          <w:tcPr>
            <w:tcW w:w="0" w:type="auto"/>
            <w:vAlign w:val="center"/>
            <w:hideMark/>
          </w:tcPr>
          <w:p w14:paraId="0C350D32" w14:textId="6141B189" w:rsidR="00FE0B4A" w:rsidRPr="00FE0B4A" w:rsidRDefault="00FE0B4A" w:rsidP="00C87DDF">
            <w:pPr>
              <w:jc w:val="center"/>
              <w:rPr>
                <w:sz w:val="20"/>
                <w:szCs w:val="20"/>
              </w:rPr>
            </w:pPr>
            <w:r w:rsidRPr="00FE0B4A">
              <w:rPr>
                <w:b/>
                <w:bCs/>
                <w:sz w:val="20"/>
                <w:szCs w:val="20"/>
              </w:rPr>
              <w:t>PROOFREADING</w:t>
            </w:r>
          </w:p>
        </w:tc>
        <w:tc>
          <w:tcPr>
            <w:tcW w:w="0" w:type="auto"/>
            <w:vAlign w:val="center"/>
            <w:hideMark/>
          </w:tcPr>
          <w:p w14:paraId="6A47E10C" w14:textId="433E88ED" w:rsidR="00FE0B4A" w:rsidRPr="00FE0B4A" w:rsidRDefault="00FE0B4A" w:rsidP="00FE0B4A">
            <w:pPr>
              <w:jc w:val="center"/>
              <w:rPr>
                <w:sz w:val="20"/>
                <w:szCs w:val="20"/>
              </w:rPr>
            </w:pPr>
            <w:r w:rsidRPr="00FE0B4A">
              <w:rPr>
                <w:sz w:val="20"/>
                <w:szCs w:val="20"/>
              </w:rPr>
              <w:t xml:space="preserve">Checking grammar and syntax in my own draft text, and obtaining suggestions to rephrase sentences for clarity. All rewording was reviewed and </w:t>
            </w:r>
            <w:r>
              <w:rPr>
                <w:sz w:val="20"/>
                <w:szCs w:val="20"/>
              </w:rPr>
              <w:t>edited it in the document in my own words</w:t>
            </w:r>
          </w:p>
        </w:tc>
      </w:tr>
      <w:tr w:rsidR="00FE0B4A" w:rsidRPr="00FE0B4A" w14:paraId="0A872B5D" w14:textId="77777777" w:rsidTr="00FE0B4A">
        <w:trPr>
          <w:tblCellSpacing w:w="15" w:type="dxa"/>
        </w:trPr>
        <w:tc>
          <w:tcPr>
            <w:tcW w:w="0" w:type="auto"/>
            <w:vAlign w:val="center"/>
            <w:hideMark/>
          </w:tcPr>
          <w:p w14:paraId="01ADE9A4" w14:textId="3044B0C8" w:rsidR="00FE0B4A" w:rsidRPr="00FE0B4A" w:rsidRDefault="00FE0B4A" w:rsidP="00C87DDF">
            <w:pPr>
              <w:jc w:val="center"/>
              <w:rPr>
                <w:sz w:val="20"/>
                <w:szCs w:val="20"/>
              </w:rPr>
            </w:pPr>
            <w:r w:rsidRPr="00FE0B4A">
              <w:rPr>
                <w:b/>
                <w:bCs/>
                <w:sz w:val="20"/>
                <w:szCs w:val="20"/>
              </w:rPr>
              <w:t>RESEARCH</w:t>
            </w:r>
          </w:p>
        </w:tc>
        <w:tc>
          <w:tcPr>
            <w:tcW w:w="0" w:type="auto"/>
            <w:vAlign w:val="center"/>
            <w:hideMark/>
          </w:tcPr>
          <w:p w14:paraId="07E8D6DA" w14:textId="183F57CB" w:rsidR="00FE0B4A" w:rsidRPr="00FE0B4A" w:rsidRDefault="00FE0B4A" w:rsidP="00FE0B4A">
            <w:pPr>
              <w:jc w:val="center"/>
              <w:rPr>
                <w:sz w:val="20"/>
                <w:szCs w:val="20"/>
              </w:rPr>
            </w:pPr>
            <w:r w:rsidRPr="00FE0B4A">
              <w:rPr>
                <w:sz w:val="20"/>
                <w:szCs w:val="20"/>
              </w:rPr>
              <w:t>Locating the relevant financial statements within Whitbread's five annual reports, and independently verifying the arithmetic of ratio and investment appraisal calculations that I had first prepared in a spreadsheet.</w:t>
            </w:r>
          </w:p>
        </w:tc>
      </w:tr>
      <w:tr w:rsidR="00FE0B4A" w:rsidRPr="00FE0B4A" w14:paraId="0210C1FD" w14:textId="77777777" w:rsidTr="00FE0B4A">
        <w:trPr>
          <w:tblCellSpacing w:w="15" w:type="dxa"/>
        </w:trPr>
        <w:tc>
          <w:tcPr>
            <w:tcW w:w="0" w:type="auto"/>
            <w:vAlign w:val="center"/>
            <w:hideMark/>
          </w:tcPr>
          <w:p w14:paraId="7E9741CC" w14:textId="0CD4F82E" w:rsidR="00FE0B4A" w:rsidRPr="00FE0B4A" w:rsidRDefault="00C87DDF" w:rsidP="00C87DDF">
            <w:pPr>
              <w:jc w:val="center"/>
              <w:rPr>
                <w:sz w:val="20"/>
                <w:szCs w:val="20"/>
              </w:rPr>
            </w:pPr>
            <w:r>
              <w:rPr>
                <w:sz w:val="20"/>
                <w:szCs w:val="20"/>
              </w:rPr>
              <w:t>Tasks I have Performed</w:t>
            </w:r>
          </w:p>
        </w:tc>
        <w:tc>
          <w:tcPr>
            <w:tcW w:w="0" w:type="auto"/>
            <w:vAlign w:val="center"/>
            <w:hideMark/>
          </w:tcPr>
          <w:p w14:paraId="0BC43ACF" w14:textId="77777777" w:rsidR="00FE0B4A" w:rsidRPr="00FE0B4A" w:rsidRDefault="00FE0B4A" w:rsidP="00FE0B4A">
            <w:pPr>
              <w:jc w:val="center"/>
              <w:rPr>
                <w:sz w:val="20"/>
                <w:szCs w:val="20"/>
              </w:rPr>
            </w:pPr>
            <w:r w:rsidRPr="00FE0B4A">
              <w:rPr>
                <w:sz w:val="20"/>
                <w:szCs w:val="20"/>
              </w:rPr>
              <w:t>Selection of Whitbread as the case company; choice and construction of ratios; interpretation of results; benchmarking judgement; restructuring recommendations; investment decision and capital rationing conclusion; overall conclusion.</w:t>
            </w:r>
          </w:p>
        </w:tc>
      </w:tr>
      <w:tr w:rsidR="00FE0B4A" w:rsidRPr="00FE0B4A" w14:paraId="28DB1876" w14:textId="77777777" w:rsidTr="00FE0B4A">
        <w:trPr>
          <w:tblCellSpacing w:w="15" w:type="dxa"/>
        </w:trPr>
        <w:tc>
          <w:tcPr>
            <w:tcW w:w="0" w:type="auto"/>
            <w:vAlign w:val="center"/>
            <w:hideMark/>
          </w:tcPr>
          <w:p w14:paraId="57EEAF85" w14:textId="77777777" w:rsidR="00FE0B4A" w:rsidRPr="00FE0B4A" w:rsidRDefault="00FE0B4A" w:rsidP="00C87DDF">
            <w:pPr>
              <w:jc w:val="center"/>
              <w:rPr>
                <w:sz w:val="20"/>
                <w:szCs w:val="20"/>
              </w:rPr>
            </w:pPr>
            <w:r w:rsidRPr="00FE0B4A">
              <w:rPr>
                <w:sz w:val="20"/>
                <w:szCs w:val="20"/>
              </w:rPr>
              <w:t>Verification method</w:t>
            </w:r>
          </w:p>
        </w:tc>
        <w:tc>
          <w:tcPr>
            <w:tcW w:w="0" w:type="auto"/>
            <w:vAlign w:val="center"/>
            <w:hideMark/>
          </w:tcPr>
          <w:p w14:paraId="7AD06C63" w14:textId="77777777" w:rsidR="00FE0B4A" w:rsidRPr="00FE0B4A" w:rsidRDefault="00FE0B4A" w:rsidP="00FE0B4A">
            <w:pPr>
              <w:jc w:val="center"/>
              <w:rPr>
                <w:sz w:val="20"/>
                <w:szCs w:val="20"/>
              </w:rPr>
            </w:pPr>
            <w:r w:rsidRPr="00FE0B4A">
              <w:rPr>
                <w:sz w:val="20"/>
                <w:szCs w:val="20"/>
              </w:rPr>
              <w:t>Every financial figure was traced back to the audited consolidated income statement, balance sheet or cash flow statement in the relevant annual report. No figure was accepted on the authority of an AI tool alone.</w:t>
            </w:r>
          </w:p>
        </w:tc>
      </w:tr>
      <w:tr w:rsidR="00FE0B4A" w:rsidRPr="00FE0B4A" w14:paraId="4967E983" w14:textId="77777777" w:rsidTr="00FE0B4A">
        <w:trPr>
          <w:tblCellSpacing w:w="15" w:type="dxa"/>
        </w:trPr>
        <w:tc>
          <w:tcPr>
            <w:tcW w:w="0" w:type="auto"/>
            <w:vAlign w:val="center"/>
            <w:hideMark/>
          </w:tcPr>
          <w:p w14:paraId="78464280" w14:textId="77777777" w:rsidR="00FE0B4A" w:rsidRPr="00FE0B4A" w:rsidRDefault="00FE0B4A" w:rsidP="00C87DDF">
            <w:pPr>
              <w:jc w:val="center"/>
              <w:rPr>
                <w:sz w:val="20"/>
                <w:szCs w:val="20"/>
              </w:rPr>
            </w:pPr>
            <w:r w:rsidRPr="00FE0B4A">
              <w:rPr>
                <w:sz w:val="20"/>
                <w:szCs w:val="20"/>
              </w:rPr>
              <w:t>Errors identified and corrected</w:t>
            </w:r>
          </w:p>
        </w:tc>
        <w:tc>
          <w:tcPr>
            <w:tcW w:w="0" w:type="auto"/>
            <w:vAlign w:val="center"/>
            <w:hideMark/>
          </w:tcPr>
          <w:p w14:paraId="3A722E53" w14:textId="77777777" w:rsidR="00FE0B4A" w:rsidRPr="00FE0B4A" w:rsidRDefault="00FE0B4A" w:rsidP="00FE0B4A">
            <w:pPr>
              <w:jc w:val="center"/>
              <w:rPr>
                <w:sz w:val="20"/>
                <w:szCs w:val="20"/>
              </w:rPr>
            </w:pPr>
            <w:r w:rsidRPr="00FE0B4A">
              <w:rPr>
                <w:sz w:val="20"/>
                <w:szCs w:val="20"/>
              </w:rPr>
              <w:t>Incorrectly recalled revenue figures; incorrect denominator used for payable days; adjusted operating profit confused with the statutory figure.</w:t>
            </w:r>
          </w:p>
        </w:tc>
      </w:tr>
      <w:tr w:rsidR="00FE0B4A" w:rsidRPr="00FE0B4A" w14:paraId="0E1FAEBC" w14:textId="77777777" w:rsidTr="00FE0B4A">
        <w:trPr>
          <w:tblCellSpacing w:w="15" w:type="dxa"/>
        </w:trPr>
        <w:tc>
          <w:tcPr>
            <w:tcW w:w="0" w:type="auto"/>
            <w:vAlign w:val="center"/>
            <w:hideMark/>
          </w:tcPr>
          <w:p w14:paraId="32762BBF" w14:textId="77777777" w:rsidR="00FE0B4A" w:rsidRPr="00FE0B4A" w:rsidRDefault="00FE0B4A" w:rsidP="00FE0B4A">
            <w:pPr>
              <w:rPr>
                <w:sz w:val="20"/>
                <w:szCs w:val="20"/>
              </w:rPr>
            </w:pPr>
            <w:r w:rsidRPr="00FE0B4A">
              <w:rPr>
                <w:sz w:val="20"/>
                <w:szCs w:val="20"/>
              </w:rPr>
              <w:lastRenderedPageBreak/>
              <w:t>Student declaration</w:t>
            </w:r>
          </w:p>
        </w:tc>
        <w:tc>
          <w:tcPr>
            <w:tcW w:w="0" w:type="auto"/>
            <w:vAlign w:val="center"/>
            <w:hideMark/>
          </w:tcPr>
          <w:p w14:paraId="7A78FA1A" w14:textId="77777777" w:rsidR="00FE0B4A" w:rsidRPr="00FE0B4A" w:rsidRDefault="00FE0B4A" w:rsidP="00FE0B4A">
            <w:pPr>
              <w:jc w:val="center"/>
              <w:rPr>
                <w:sz w:val="20"/>
                <w:szCs w:val="20"/>
              </w:rPr>
            </w:pPr>
            <w:r w:rsidRPr="00FE0B4A">
              <w:rPr>
                <w:sz w:val="20"/>
                <w:szCs w:val="20"/>
              </w:rPr>
              <w:t>I confirm that the analysis, interpretation and conclusions in this report are my own work, and that generative AI was used only within the permitted categories declared above.</w:t>
            </w:r>
          </w:p>
        </w:tc>
      </w:tr>
      <w:tr w:rsidR="00FE0B4A" w:rsidRPr="00FE0B4A" w14:paraId="019E39DE" w14:textId="77777777" w:rsidTr="00FE0B4A">
        <w:trPr>
          <w:tblCellSpacing w:w="15" w:type="dxa"/>
        </w:trPr>
        <w:tc>
          <w:tcPr>
            <w:tcW w:w="0" w:type="auto"/>
            <w:vAlign w:val="center"/>
            <w:hideMark/>
          </w:tcPr>
          <w:p w14:paraId="707F1C5D" w14:textId="77777777" w:rsidR="00FE0B4A" w:rsidRPr="00FE0B4A" w:rsidRDefault="00FE0B4A" w:rsidP="00FE0B4A">
            <w:pPr>
              <w:rPr>
                <w:sz w:val="20"/>
                <w:szCs w:val="20"/>
              </w:rPr>
            </w:pPr>
            <w:r w:rsidRPr="00FE0B4A">
              <w:rPr>
                <w:sz w:val="20"/>
                <w:szCs w:val="20"/>
              </w:rPr>
              <w:t>Name and student ID</w:t>
            </w:r>
          </w:p>
        </w:tc>
        <w:tc>
          <w:tcPr>
            <w:tcW w:w="0" w:type="auto"/>
            <w:vAlign w:val="center"/>
            <w:hideMark/>
          </w:tcPr>
          <w:p w14:paraId="57701338" w14:textId="77777777" w:rsidR="00FE0B4A" w:rsidRPr="00FE0B4A" w:rsidRDefault="00FE0B4A" w:rsidP="00FE0B4A">
            <w:pPr>
              <w:jc w:val="center"/>
              <w:rPr>
                <w:sz w:val="20"/>
                <w:szCs w:val="20"/>
              </w:rPr>
            </w:pPr>
            <w:r w:rsidRPr="00FE0B4A">
              <w:rPr>
                <w:sz w:val="20"/>
                <w:szCs w:val="20"/>
              </w:rPr>
              <w:t>Vraj Patel — 2538982</w:t>
            </w:r>
          </w:p>
        </w:tc>
      </w:tr>
      <w:tr w:rsidR="00FE0B4A" w:rsidRPr="00FE0B4A" w14:paraId="535430FB" w14:textId="77777777" w:rsidTr="00FE0B4A">
        <w:trPr>
          <w:tblCellSpacing w:w="15" w:type="dxa"/>
        </w:trPr>
        <w:tc>
          <w:tcPr>
            <w:tcW w:w="0" w:type="auto"/>
            <w:vAlign w:val="center"/>
            <w:hideMark/>
          </w:tcPr>
          <w:p w14:paraId="2E1EAA0E" w14:textId="77777777" w:rsidR="00FE0B4A" w:rsidRPr="00FE0B4A" w:rsidRDefault="00FE0B4A" w:rsidP="00FE0B4A">
            <w:pPr>
              <w:rPr>
                <w:sz w:val="20"/>
                <w:szCs w:val="20"/>
              </w:rPr>
            </w:pPr>
            <w:r w:rsidRPr="00FE0B4A">
              <w:rPr>
                <w:sz w:val="20"/>
                <w:szCs w:val="20"/>
              </w:rPr>
              <w:t>Signature and date</w:t>
            </w:r>
          </w:p>
        </w:tc>
        <w:tc>
          <w:tcPr>
            <w:tcW w:w="0" w:type="auto"/>
            <w:vAlign w:val="center"/>
            <w:hideMark/>
          </w:tcPr>
          <w:p w14:paraId="696E9B99" w14:textId="074D428C" w:rsidR="00FE0B4A" w:rsidRPr="00FE0B4A" w:rsidRDefault="00FE0B4A" w:rsidP="00FE0B4A">
            <w:pPr>
              <w:jc w:val="center"/>
              <w:rPr>
                <w:i/>
                <w:iCs/>
                <w:sz w:val="20"/>
                <w:szCs w:val="20"/>
              </w:rPr>
            </w:pPr>
            <w:r w:rsidRPr="00FE0B4A">
              <w:rPr>
                <w:i/>
                <w:iCs/>
                <w:sz w:val="20"/>
                <w:szCs w:val="20"/>
              </w:rPr>
              <w:t>V Patel</w:t>
            </w:r>
          </w:p>
        </w:tc>
      </w:tr>
    </w:tbl>
    <w:p w14:paraId="7930B3D8" w14:textId="77777777" w:rsidR="00CF2044" w:rsidRPr="00CF2044" w:rsidRDefault="00CF2044" w:rsidP="00CF2044"/>
    <w:p w14:paraId="3BF9230B" w14:textId="77777777" w:rsidR="00F274C7" w:rsidRDefault="00F274C7" w:rsidP="000D05E7">
      <w:pPr>
        <w:jc w:val="center"/>
        <w:rPr>
          <w:b/>
          <w:bCs/>
          <w:color w:val="FF0000"/>
          <w:sz w:val="36"/>
          <w:szCs w:val="36"/>
        </w:rPr>
      </w:pPr>
    </w:p>
    <w:p w14:paraId="3A764DA1" w14:textId="77777777" w:rsidR="00F274C7" w:rsidRPr="000D05E7" w:rsidRDefault="00F274C7" w:rsidP="00F274C7">
      <w:pPr>
        <w:rPr>
          <w:b/>
          <w:bCs/>
          <w:color w:val="FF0000"/>
          <w:sz w:val="36"/>
          <w:szCs w:val="36"/>
        </w:rPr>
      </w:pPr>
    </w:p>
    <w:sectPr w:rsidR="00F274C7" w:rsidRPr="000D05E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25637" w14:textId="77777777" w:rsidR="00CB5A43" w:rsidRDefault="00CB5A43" w:rsidP="00D272C5">
      <w:pPr>
        <w:spacing w:before="0" w:after="0" w:line="240" w:lineRule="auto"/>
      </w:pPr>
      <w:r>
        <w:separator/>
      </w:r>
    </w:p>
  </w:endnote>
  <w:endnote w:type="continuationSeparator" w:id="0">
    <w:p w14:paraId="001408C4" w14:textId="77777777" w:rsidR="00CB5A43" w:rsidRDefault="00CB5A43" w:rsidP="00D272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172807"/>
      <w:docPartObj>
        <w:docPartGallery w:val="Page Numbers (Bottom of Page)"/>
        <w:docPartUnique/>
      </w:docPartObj>
    </w:sdtPr>
    <w:sdtContent>
      <w:sdt>
        <w:sdtPr>
          <w:id w:val="-1769616900"/>
          <w:docPartObj>
            <w:docPartGallery w:val="Page Numbers (Top of Page)"/>
            <w:docPartUnique/>
          </w:docPartObj>
        </w:sdtPr>
        <w:sdtContent>
          <w:p w14:paraId="19722FEC" w14:textId="18F636D1" w:rsidR="00D272C5" w:rsidRDefault="00D272C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A5E2EEA" w14:textId="77777777" w:rsidR="00D272C5" w:rsidRDefault="00D27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2834D" w14:textId="77777777" w:rsidR="00CB5A43" w:rsidRDefault="00CB5A43" w:rsidP="00D272C5">
      <w:pPr>
        <w:spacing w:before="0" w:after="0" w:line="240" w:lineRule="auto"/>
      </w:pPr>
      <w:r>
        <w:separator/>
      </w:r>
    </w:p>
  </w:footnote>
  <w:footnote w:type="continuationSeparator" w:id="0">
    <w:p w14:paraId="5249698F" w14:textId="77777777" w:rsidR="00CB5A43" w:rsidRDefault="00CB5A43" w:rsidP="00D272C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7021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1B2F71"/>
    <w:multiLevelType w:val="hybridMultilevel"/>
    <w:tmpl w:val="9C003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4"/>
  </w:num>
  <w:num w:numId="2" w16cid:durableId="966158073">
    <w:abstractNumId w:val="5"/>
  </w:num>
  <w:num w:numId="3" w16cid:durableId="877475478">
    <w:abstractNumId w:val="13"/>
  </w:num>
  <w:num w:numId="4" w16cid:durableId="1865439684">
    <w:abstractNumId w:val="14"/>
  </w:num>
  <w:num w:numId="5" w16cid:durableId="296037109">
    <w:abstractNumId w:val="15"/>
  </w:num>
  <w:num w:numId="6" w16cid:durableId="1857650049">
    <w:abstractNumId w:val="7"/>
  </w:num>
  <w:num w:numId="7" w16cid:durableId="1295714836">
    <w:abstractNumId w:val="0"/>
  </w:num>
  <w:num w:numId="8" w16cid:durableId="1104423434">
    <w:abstractNumId w:val="9"/>
  </w:num>
  <w:num w:numId="9" w16cid:durableId="785196607">
    <w:abstractNumId w:val="17"/>
  </w:num>
  <w:num w:numId="10" w16cid:durableId="1805731991">
    <w:abstractNumId w:val="16"/>
  </w:num>
  <w:num w:numId="11" w16cid:durableId="508838147">
    <w:abstractNumId w:val="2"/>
  </w:num>
  <w:num w:numId="12" w16cid:durableId="477303180">
    <w:abstractNumId w:val="11"/>
  </w:num>
  <w:num w:numId="13" w16cid:durableId="1043408458">
    <w:abstractNumId w:val="10"/>
  </w:num>
  <w:num w:numId="14" w16cid:durableId="453400969">
    <w:abstractNumId w:val="1"/>
  </w:num>
  <w:num w:numId="15" w16cid:durableId="1524706236">
    <w:abstractNumId w:val="19"/>
  </w:num>
  <w:num w:numId="16" w16cid:durableId="1474368624">
    <w:abstractNumId w:val="8"/>
  </w:num>
  <w:num w:numId="17" w16cid:durableId="1082482068">
    <w:abstractNumId w:val="6"/>
  </w:num>
  <w:num w:numId="18" w16cid:durableId="356203542">
    <w:abstractNumId w:val="12"/>
  </w:num>
  <w:num w:numId="19" w16cid:durableId="586883724">
    <w:abstractNumId w:val="3"/>
  </w:num>
  <w:num w:numId="20" w16cid:durableId="165256035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6783"/>
    <w:rsid w:val="000C3926"/>
    <w:rsid w:val="000D05E7"/>
    <w:rsid w:val="001003E8"/>
    <w:rsid w:val="00136289"/>
    <w:rsid w:val="00187CEF"/>
    <w:rsid w:val="00276CA7"/>
    <w:rsid w:val="003D7299"/>
    <w:rsid w:val="00406FDA"/>
    <w:rsid w:val="004122F8"/>
    <w:rsid w:val="004B578F"/>
    <w:rsid w:val="004F2663"/>
    <w:rsid w:val="0054078A"/>
    <w:rsid w:val="0059547A"/>
    <w:rsid w:val="005A570C"/>
    <w:rsid w:val="005C6E29"/>
    <w:rsid w:val="00617CF1"/>
    <w:rsid w:val="0063268C"/>
    <w:rsid w:val="00646406"/>
    <w:rsid w:val="006B4918"/>
    <w:rsid w:val="006F7DA4"/>
    <w:rsid w:val="00700EDB"/>
    <w:rsid w:val="0073681E"/>
    <w:rsid w:val="007B30DF"/>
    <w:rsid w:val="007B6C6E"/>
    <w:rsid w:val="00810534"/>
    <w:rsid w:val="0082333F"/>
    <w:rsid w:val="0094615D"/>
    <w:rsid w:val="00957660"/>
    <w:rsid w:val="009E58AF"/>
    <w:rsid w:val="00A5421A"/>
    <w:rsid w:val="00A665D5"/>
    <w:rsid w:val="00B11B57"/>
    <w:rsid w:val="00B337B9"/>
    <w:rsid w:val="00B41804"/>
    <w:rsid w:val="00B64CDE"/>
    <w:rsid w:val="00BD204D"/>
    <w:rsid w:val="00C31005"/>
    <w:rsid w:val="00C43625"/>
    <w:rsid w:val="00C57D61"/>
    <w:rsid w:val="00C87DDF"/>
    <w:rsid w:val="00CB01F0"/>
    <w:rsid w:val="00CB5A43"/>
    <w:rsid w:val="00CF2044"/>
    <w:rsid w:val="00D272C5"/>
    <w:rsid w:val="00D31533"/>
    <w:rsid w:val="00D452F0"/>
    <w:rsid w:val="00D54E78"/>
    <w:rsid w:val="00D55D1A"/>
    <w:rsid w:val="00D624EF"/>
    <w:rsid w:val="00D6742B"/>
    <w:rsid w:val="00D9321D"/>
    <w:rsid w:val="00DB45BA"/>
    <w:rsid w:val="00DC440F"/>
    <w:rsid w:val="00DF1635"/>
    <w:rsid w:val="00E65818"/>
    <w:rsid w:val="00EC6978"/>
    <w:rsid w:val="00EF094F"/>
    <w:rsid w:val="00F274C7"/>
    <w:rsid w:val="00F75D9C"/>
    <w:rsid w:val="00FE0B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D1A"/>
    <w:pPr>
      <w:spacing w:before="120" w:after="24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59547A"/>
    <w:pPr>
      <w:keepNext/>
      <w:keepLines/>
      <w:numPr>
        <w:numId w:val="19"/>
      </w:numPr>
      <w:spacing w:line="24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D9321D"/>
    <w:pPr>
      <w:keepNext/>
      <w:keepLines/>
      <w:numPr>
        <w:ilvl w:val="1"/>
        <w:numId w:val="19"/>
      </w:numPr>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semiHidden/>
    <w:unhideWhenUsed/>
    <w:qFormat/>
    <w:rsid w:val="00646406"/>
    <w:pPr>
      <w:keepNext/>
      <w:keepLines/>
      <w:numPr>
        <w:ilvl w:val="2"/>
        <w:numId w:val="1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numPr>
        <w:ilvl w:val="3"/>
        <w:numId w:val="1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numPr>
        <w:ilvl w:val="4"/>
        <w:numId w:val="1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numPr>
        <w:ilvl w:val="5"/>
        <w:numId w:val="19"/>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numPr>
        <w:ilvl w:val="6"/>
        <w:numId w:val="19"/>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numPr>
        <w:ilvl w:val="7"/>
        <w:numId w:val="19"/>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numPr>
        <w:ilvl w:val="8"/>
        <w:numId w:val="19"/>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47A"/>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9321D"/>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CB01F0"/>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Caption">
    <w:name w:val="caption"/>
    <w:basedOn w:val="Normal"/>
    <w:next w:val="Normal"/>
    <w:uiPriority w:val="35"/>
    <w:unhideWhenUsed/>
    <w:qFormat/>
    <w:rsid w:val="00F75D9C"/>
    <w:pPr>
      <w:spacing w:before="0" w:after="200" w:line="240" w:lineRule="auto"/>
    </w:pPr>
    <w:rPr>
      <w:i/>
      <w:iCs/>
      <w:color w:val="0E2841" w:themeColor="text2"/>
      <w:sz w:val="18"/>
      <w:szCs w:val="18"/>
    </w:rPr>
  </w:style>
  <w:style w:type="paragraph" w:styleId="Header">
    <w:name w:val="header"/>
    <w:basedOn w:val="Normal"/>
    <w:link w:val="HeaderChar"/>
    <w:uiPriority w:val="99"/>
    <w:unhideWhenUsed/>
    <w:rsid w:val="00D272C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272C5"/>
    <w:rPr>
      <w:rFonts w:ascii="Times New Roman" w:hAnsi="Times New Roman"/>
      <w:color w:val="000000" w:themeColor="text1"/>
    </w:rPr>
  </w:style>
  <w:style w:type="paragraph" w:styleId="Footer">
    <w:name w:val="footer"/>
    <w:basedOn w:val="Normal"/>
    <w:link w:val="FooterChar"/>
    <w:uiPriority w:val="99"/>
    <w:unhideWhenUsed/>
    <w:rsid w:val="00D272C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272C5"/>
    <w:rPr>
      <w:rFonts w:ascii="Times New Roman" w:hAnsi="Times New Roman"/>
      <w:color w:val="000000" w:themeColor="text1"/>
    </w:rPr>
  </w:style>
  <w:style w:type="paragraph" w:styleId="TableofFigures">
    <w:name w:val="table of figures"/>
    <w:basedOn w:val="Normal"/>
    <w:next w:val="Normal"/>
    <w:uiPriority w:val="99"/>
    <w:unhideWhenUsed/>
    <w:rsid w:val="007B6C6E"/>
    <w:pPr>
      <w:spacing w:after="0"/>
    </w:pPr>
  </w:style>
  <w:style w:type="paragraph" w:customStyle="1" w:styleId="font-claude-response-body">
    <w:name w:val="font-claude-response-body"/>
    <w:basedOn w:val="Normal"/>
    <w:rsid w:val="00BD204D"/>
    <w:pPr>
      <w:spacing w:before="100" w:beforeAutospacing="1" w:after="100" w:afterAutospacing="1" w:line="240" w:lineRule="auto"/>
      <w:jc w:val="left"/>
    </w:pPr>
    <w:rPr>
      <w:rFonts w:eastAsia="Times New Roman" w:cs="Times New Roman"/>
      <w:color w:val="auto"/>
      <w:kern w:val="0"/>
      <w:lang w:eastAsia="en-GB"/>
      <w14:ligatures w14:val="none"/>
    </w:rPr>
  </w:style>
  <w:style w:type="character" w:styleId="Emphasis">
    <w:name w:val="Emphasis"/>
    <w:basedOn w:val="DefaultParagraphFont"/>
    <w:uiPriority w:val="20"/>
    <w:qFormat/>
    <w:rsid w:val="00BD20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rc.org.uk/library/standards-codes-policy/corporate-governance/uk-corporate-governance-code/" TargetMode="External"/><Relationship Id="rId26" Type="http://schemas.openxmlformats.org/officeDocument/2006/relationships/hyperlink" Target="https://cdn.whitbread.co.uk/media/2026/05/Whitbread-PLC-Annual-Report-and-Accounts-2025-26.pdf" TargetMode="External"/><Relationship Id="rId3" Type="http://schemas.openxmlformats.org/officeDocument/2006/relationships/styles" Target="styles.xml"/><Relationship Id="rId21" Type="http://schemas.openxmlformats.org/officeDocument/2006/relationships/hyperlink" Target="https://www.ifrs.org/issued-standards/list-of-standards/ifrs-16-leas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simarket.com/Industry/industry_Financial_Strength_Ratios.php?ind=906" TargetMode="External"/><Relationship Id="rId25" Type="http://schemas.openxmlformats.org/officeDocument/2006/relationships/hyperlink" Target="https://cdn.whitbread.co.uk/media/2025/05/Whitbread-PLC-Annual-Report-and-Accounts-2024-25.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ospitality.institute/mha805/key-liquidity-ratios-hotel-financial-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dn.whitbread.co.uk/media/2024/05/Whitbread-PLC-Annual-Report-and-Accounts-2023_Single_pages-1.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dn.whitbread.co.uk/media/2023/05/Whitbread_AR22_Interactive.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urufocus.com/term/current-ratio/IH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dn.whitbread.co.uk/media/2022/05/Whitbread_AR21-1.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38</Pages>
  <Words>7972</Words>
  <Characters>45442</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 Patel</dc:creator>
  <cp:keywords/>
  <dc:description/>
  <cp:lastModifiedBy>Vrajkumar Rajeshbhai Patel (2538982)</cp:lastModifiedBy>
  <cp:revision>32</cp:revision>
  <cp:lastPrinted>2026-08-13T10:41:00Z</cp:lastPrinted>
  <dcterms:created xsi:type="dcterms:W3CDTF">2026-08-13T07:48:00Z</dcterms:created>
  <dcterms:modified xsi:type="dcterms:W3CDTF">2026-08-13T11:04:00Z</dcterms:modified>
</cp:coreProperties>
</file>