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32292F8C" w:rsidR="004E568D"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669E2EF8" w14:textId="5231B435" w:rsidR="008C4ACD" w:rsidRDefault="008C4ACD" w:rsidP="00C319EB">
      <w:pPr>
        <w:rPr>
          <w:rFonts w:ascii="Arial" w:hAnsi="Arial" w:cs="Arial"/>
          <w:b/>
          <w:sz w:val="22"/>
          <w:u w:val="single"/>
          <w:lang w:val="en-US" w:eastAsia="en-US"/>
        </w:rPr>
      </w:pPr>
    </w:p>
    <w:p w14:paraId="0F3B043F" w14:textId="661E942A" w:rsidR="008C4ACD" w:rsidRDefault="008C4ACD" w:rsidP="00C319EB">
      <w:pPr>
        <w:rPr>
          <w:rFonts w:ascii="Arial" w:hAnsi="Arial" w:cs="Arial"/>
          <w:b/>
          <w:sz w:val="22"/>
          <w:u w:val="single"/>
          <w:lang w:val="en-US" w:eastAsia="en-US"/>
        </w:rPr>
      </w:pPr>
    </w:p>
    <w:p w14:paraId="5D481136" w14:textId="4DD125C1" w:rsidR="00A071E4" w:rsidRPr="00166B38" w:rsidRDefault="00A071E4" w:rsidP="00A071E4">
      <w:pPr>
        <w:pStyle w:val="NormalWeb"/>
        <w:shd w:val="clear" w:color="auto" w:fill="FFFFFF"/>
        <w:spacing w:before="0"/>
        <w:rPr>
          <w:rFonts w:ascii="Arial" w:hAnsi="Arial" w:cs="Arial"/>
          <w:b/>
          <w:bCs/>
          <w:color w:val="FF0000"/>
          <w:sz w:val="22"/>
          <w:szCs w:val="22"/>
        </w:rPr>
      </w:pPr>
      <w:bookmarkStart w:id="0" w:name="_GoBack"/>
      <w:r w:rsidRPr="00166B38">
        <w:rPr>
          <w:rFonts w:ascii="Arial" w:hAnsi="Arial" w:cs="Arial"/>
          <w:b/>
          <w:bCs/>
          <w:color w:val="FF0000"/>
          <w:sz w:val="22"/>
          <w:szCs w:val="22"/>
        </w:rPr>
        <w:t>Internet Protocol (IP) is the system that allows devices to find and connect to each other online. IPv4 was designed in the early 1980s</w:t>
      </w:r>
    </w:p>
    <w:p w14:paraId="30C93742" w14:textId="6BD00BC8" w:rsidR="00A071E4" w:rsidRPr="00166B38" w:rsidRDefault="00A071E4" w:rsidP="00A071E4">
      <w:pPr>
        <w:pStyle w:val="NormalWeb"/>
        <w:shd w:val="clear" w:color="auto" w:fill="FFFFFF"/>
        <w:spacing w:before="0"/>
        <w:rPr>
          <w:rFonts w:ascii="Arial" w:hAnsi="Arial" w:cs="Arial"/>
          <w:b/>
          <w:bCs/>
          <w:color w:val="FF0000"/>
          <w:sz w:val="22"/>
          <w:szCs w:val="22"/>
        </w:rPr>
      </w:pPr>
      <w:r w:rsidRPr="00166B38">
        <w:rPr>
          <w:rFonts w:ascii="Arial" w:hAnsi="Arial" w:cs="Arial"/>
          <w:b/>
          <w:bCs/>
          <w:color w:val="FF0000"/>
          <w:sz w:val="22"/>
          <w:szCs w:val="22"/>
        </w:rPr>
        <w:t>For</w:t>
      </w:r>
      <w:r w:rsidR="00BA38AF" w:rsidRPr="00166B38">
        <w:rPr>
          <w:rFonts w:ascii="Arial" w:hAnsi="Arial" w:cs="Arial"/>
          <w:b/>
          <w:bCs/>
          <w:color w:val="FF0000"/>
          <w:sz w:val="22"/>
          <w:szCs w:val="22"/>
        </w:rPr>
        <w:t xml:space="preserve"> many</w:t>
      </w:r>
      <w:r w:rsidRPr="00166B38">
        <w:rPr>
          <w:rFonts w:ascii="Arial" w:hAnsi="Arial" w:cs="Arial"/>
          <w:b/>
          <w:bCs/>
          <w:color w:val="FF0000"/>
          <w:sz w:val="22"/>
          <w:szCs w:val="22"/>
        </w:rPr>
        <w:t xml:space="preserve"> years, regulators and experts warned about IPv4’s limited pool of addresses. Its successor, IPv6, has the features and solutions the modern Internet requires: greater connection integrity and security, as well as the ability to support web-capable devices. IPv6 has been available for years, and 2016 marked the year when IPv6 </w:t>
      </w:r>
      <w:r w:rsidR="00BA38AF" w:rsidRPr="00166B38">
        <w:rPr>
          <w:rFonts w:ascii="Arial" w:hAnsi="Arial" w:cs="Arial"/>
          <w:b/>
          <w:bCs/>
          <w:color w:val="FF0000"/>
          <w:sz w:val="22"/>
          <w:szCs w:val="22"/>
        </w:rPr>
        <w:t>reached 10%</w:t>
      </w:r>
      <w:r w:rsidRPr="00166B38">
        <w:rPr>
          <w:rFonts w:ascii="Arial" w:hAnsi="Arial" w:cs="Arial"/>
          <w:b/>
          <w:bCs/>
          <w:color w:val="FF0000"/>
          <w:sz w:val="22"/>
          <w:szCs w:val="22"/>
        </w:rPr>
        <w:t xml:space="preserve"> full 20 years after it was first implemented.</w:t>
      </w:r>
      <w:r w:rsidR="00997432" w:rsidRPr="00166B38">
        <w:rPr>
          <w:rFonts w:ascii="Arial" w:hAnsi="Arial" w:cs="Arial"/>
          <w:b/>
          <w:bCs/>
          <w:color w:val="FF0000"/>
          <w:sz w:val="22"/>
          <w:szCs w:val="22"/>
        </w:rPr>
        <w:fldChar w:fldCharType="begin" w:fldLock="1"/>
      </w:r>
      <w:r w:rsidR="007A1F98">
        <w:rPr>
          <w:rFonts w:ascii="Arial" w:hAnsi="Arial" w:cs="Arial"/>
          <w:b/>
          <w:bCs/>
          <w:color w:val="FF0000"/>
          <w:sz w:val="22"/>
          <w:szCs w:val="22"/>
        </w:rPr>
        <w:instrText>ADDIN CSL_CITATION {"citationItems":[{"id":"ITEM-1","itemData":{"URL":"https://www.sophos.com/en-us/security-news-trends/security-trends/why-switch-to-ipv6.aspx","accessed":{"date-parts":[["2019","12","18"]]},"id":"ITEM-1","issued":{"date-parts":[["0"]]},"title":"Why IPv6 Matters for Your Security | Sophos","type":"webpage"},"uris":["http://www.mendeley.com/documents/?uuid=1c44e1ac-64f2-3595-8b58-be3a27c58c87"]}],"mendeley":{"formattedCitation":"[1]","plainTextFormattedCitation":"[1]","previouslyFormattedCitation":"[1]"},"properties":{"noteIndex":0},"schema":"https://github.com/citation-style-language/schema/raw/master/csl-citation.json"}</w:instrText>
      </w:r>
      <w:r w:rsidR="00997432" w:rsidRPr="00166B38">
        <w:rPr>
          <w:rFonts w:ascii="Arial" w:hAnsi="Arial" w:cs="Arial"/>
          <w:b/>
          <w:bCs/>
          <w:color w:val="FF0000"/>
          <w:sz w:val="22"/>
          <w:szCs w:val="22"/>
        </w:rPr>
        <w:fldChar w:fldCharType="separate"/>
      </w:r>
      <w:r w:rsidR="00997432" w:rsidRPr="00166B38">
        <w:rPr>
          <w:rFonts w:ascii="Arial" w:hAnsi="Arial" w:cs="Arial"/>
          <w:b/>
          <w:bCs/>
          <w:noProof/>
          <w:color w:val="FF0000"/>
          <w:sz w:val="22"/>
          <w:szCs w:val="22"/>
        </w:rPr>
        <w:t>[1]</w:t>
      </w:r>
      <w:r w:rsidR="00997432" w:rsidRPr="00166B38">
        <w:rPr>
          <w:rFonts w:ascii="Arial" w:hAnsi="Arial" w:cs="Arial"/>
          <w:b/>
          <w:bCs/>
          <w:color w:val="FF0000"/>
          <w:sz w:val="22"/>
          <w:szCs w:val="22"/>
        </w:rPr>
        <w:fldChar w:fldCharType="end"/>
      </w:r>
    </w:p>
    <w:p w14:paraId="3259B55F" w14:textId="77777777" w:rsidR="00A071E4" w:rsidRPr="00166B38" w:rsidRDefault="00A071E4" w:rsidP="00A071E4">
      <w:pPr>
        <w:pStyle w:val="NormalWeb"/>
        <w:shd w:val="clear" w:color="auto" w:fill="FFFFFF"/>
        <w:spacing w:before="0"/>
        <w:rPr>
          <w:rFonts w:ascii="Arial" w:hAnsi="Arial" w:cs="Arial"/>
          <w:b/>
          <w:bCs/>
          <w:color w:val="FF0000"/>
          <w:sz w:val="22"/>
          <w:szCs w:val="22"/>
        </w:rPr>
      </w:pPr>
      <w:r w:rsidRPr="00166B38">
        <w:rPr>
          <w:rFonts w:ascii="Arial" w:hAnsi="Arial" w:cs="Arial"/>
          <w:b/>
          <w:bCs/>
          <w:color w:val="FF0000"/>
          <w:sz w:val="22"/>
          <w:szCs w:val="22"/>
        </w:rPr>
        <w:t>IPv6 was developed by the Internet Engineering Task Force (IETF) to replace IPv4. Launched in 1998, the main and most obvious feature of IPv6 is extending IP addresses from 32 bits to 128 bits, allowing for more growth in the future and relief for the shrinking number of available network addresses.</w:t>
      </w:r>
    </w:p>
    <w:p w14:paraId="6F9D3D6B" w14:textId="0A568E2C" w:rsidR="00A071E4" w:rsidRPr="00166B38" w:rsidRDefault="00A071E4" w:rsidP="004D2066">
      <w:pPr>
        <w:pStyle w:val="NormalWeb"/>
        <w:shd w:val="clear" w:color="auto" w:fill="FFFFFF"/>
        <w:spacing w:before="0"/>
        <w:rPr>
          <w:rFonts w:ascii="Arial" w:hAnsi="Arial" w:cs="Arial"/>
          <w:b/>
          <w:bCs/>
          <w:color w:val="FF0000"/>
          <w:sz w:val="22"/>
          <w:szCs w:val="22"/>
        </w:rPr>
      </w:pPr>
      <w:r w:rsidRPr="00166B38">
        <w:rPr>
          <w:rFonts w:ascii="Arial" w:hAnsi="Arial" w:cs="Arial"/>
          <w:b/>
          <w:bCs/>
          <w:color w:val="FF0000"/>
          <w:sz w:val="22"/>
          <w:szCs w:val="22"/>
        </w:rPr>
        <w:t xml:space="preserve">In 1981, the four billion addresses IPv4 could provide seemed ample given the relatively limited number of computers back then. Three and a half decades later, computers and a wide variety of other devices also use network connections, from smartphones, tablets and game consoles, to TVs and even cars and fridges. </w:t>
      </w:r>
    </w:p>
    <w:p w14:paraId="75984704" w14:textId="47C241E5" w:rsidR="006F076D" w:rsidRDefault="00A071E4" w:rsidP="00A071E4">
      <w:pPr>
        <w:pStyle w:val="NormalWeb"/>
        <w:shd w:val="clear" w:color="auto" w:fill="FFFFFF"/>
        <w:spacing w:before="0" w:after="210"/>
        <w:rPr>
          <w:rFonts w:ascii="Arial" w:hAnsi="Arial" w:cs="Arial"/>
          <w:b/>
          <w:bCs/>
          <w:color w:val="FF0000"/>
          <w:sz w:val="32"/>
          <w:szCs w:val="32"/>
        </w:rPr>
      </w:pPr>
      <w:r w:rsidRPr="006F076D">
        <w:rPr>
          <w:rFonts w:ascii="Arial" w:hAnsi="Arial" w:cs="Arial"/>
          <w:b/>
          <w:bCs/>
          <w:color w:val="FF0000"/>
          <w:sz w:val="22"/>
          <w:szCs w:val="22"/>
        </w:rPr>
        <w:t>IPv6 offers a significantly larger pool of addresses by using 128-bit addresses: 340 undecillion (3.4×10</w:t>
      </w:r>
      <w:r w:rsidRPr="006F076D">
        <w:rPr>
          <w:rFonts w:ascii="Arial" w:hAnsi="Arial" w:cs="Arial"/>
          <w:b/>
          <w:bCs/>
          <w:color w:val="FF0000"/>
          <w:sz w:val="22"/>
          <w:szCs w:val="22"/>
          <w:vertAlign w:val="superscript"/>
        </w:rPr>
        <w:t>38</w:t>
      </w:r>
      <w:r w:rsidRPr="006F076D">
        <w:rPr>
          <w:rFonts w:ascii="Arial" w:hAnsi="Arial" w:cs="Arial"/>
          <w:b/>
          <w:bCs/>
          <w:color w:val="FF0000"/>
          <w:sz w:val="22"/>
          <w:szCs w:val="22"/>
        </w:rPr>
        <w:t>), compared with the 4.3 billion available in 32-bit IPv4 addresses.</w:t>
      </w:r>
      <w:r w:rsidR="00F924FC" w:rsidRPr="006F076D">
        <w:rPr>
          <w:rFonts w:ascii="Arial" w:hAnsi="Arial" w:cs="Arial"/>
          <w:b/>
          <w:bCs/>
          <w:color w:val="FF0000"/>
          <w:sz w:val="22"/>
          <w:szCs w:val="22"/>
          <w:shd w:val="clear" w:color="auto" w:fill="FFFFFF"/>
        </w:rPr>
        <w:t xml:space="preserve"> The address space is the main difference between IPv4 (32-bit) and IPv6 (64-bit). The text representation has also been changed from a 2-digit partitioning for IPv4 to 4-digits for IPv6. An IPv4 example address is 12:34:56:78. An IPv6 example address is 1234:5678:9abc:def0:1234:5678:9abc:def0. The IPv6 representation also allows double colons (::) to represent a string of zero entries so 1234:0:9abc:0:0:0:0:def0 could be 1234:0:9abc::def0.</w:t>
      </w:r>
      <w:r w:rsidR="007A1F98" w:rsidRPr="006F076D">
        <w:rPr>
          <w:rFonts w:ascii="Arial" w:hAnsi="Arial" w:cs="Arial"/>
          <w:b/>
          <w:bCs/>
          <w:color w:val="FF0000"/>
          <w:sz w:val="22"/>
          <w:szCs w:val="22"/>
          <w:shd w:val="clear" w:color="auto" w:fill="FFFFFF"/>
        </w:rPr>
        <w:fldChar w:fldCharType="begin" w:fldLock="1"/>
      </w:r>
      <w:r w:rsidR="00944C82">
        <w:rPr>
          <w:rFonts w:ascii="Arial" w:hAnsi="Arial" w:cs="Arial"/>
          <w:b/>
          <w:bCs/>
          <w:color w:val="FF0000"/>
          <w:sz w:val="22"/>
          <w:szCs w:val="22"/>
          <w:shd w:val="clear" w:color="auto" w:fill="FFFFFF"/>
        </w:rPr>
        <w:instrText>ADDIN CSL_CITATION {"citationItems":[{"id":"ITEM-1","itemData":{"URL":"https://www.electronicdesign.com/technologies/embedded-revolution/article/21802146/whats-the-difference-between-ipv4-and-ipv6","accessed":{"date-parts":[["2019","12","18"]]},"id":"ITEM-1","issued":{"date-parts":[["0"]]},"title":"What's The Difference Between IPv4 and IPv6? | Electronic Design","type":"webpage"},"uris":["http://www.mendeley.com/documents/?uuid=700c97e5-fa14-3d5b-a3f6-283ef91f1162"]}],"mendeley":{"formattedCitation":"[2]","plainTextFormattedCitation":"[2]","previouslyFormattedCitation":"[2]"},"properties":{"noteIndex":0},"schema":"https://github.com/citation-style-language/schema/raw/master/csl-citation.json"}</w:instrText>
      </w:r>
      <w:r w:rsidR="007A1F98" w:rsidRPr="006F076D">
        <w:rPr>
          <w:rFonts w:ascii="Arial" w:hAnsi="Arial" w:cs="Arial"/>
          <w:b/>
          <w:bCs/>
          <w:color w:val="FF0000"/>
          <w:sz w:val="22"/>
          <w:szCs w:val="22"/>
          <w:shd w:val="clear" w:color="auto" w:fill="FFFFFF"/>
        </w:rPr>
        <w:fldChar w:fldCharType="separate"/>
      </w:r>
      <w:r w:rsidR="007A1F98" w:rsidRPr="006F076D">
        <w:rPr>
          <w:rFonts w:ascii="Arial" w:hAnsi="Arial" w:cs="Arial"/>
          <w:b/>
          <w:bCs/>
          <w:noProof/>
          <w:color w:val="FF0000"/>
          <w:sz w:val="22"/>
          <w:szCs w:val="22"/>
          <w:shd w:val="clear" w:color="auto" w:fill="FFFFFF"/>
        </w:rPr>
        <w:t>[2]</w:t>
      </w:r>
      <w:r w:rsidR="007A1F98" w:rsidRPr="006F076D">
        <w:rPr>
          <w:rFonts w:ascii="Arial" w:hAnsi="Arial" w:cs="Arial"/>
          <w:b/>
          <w:bCs/>
          <w:color w:val="FF0000"/>
          <w:sz w:val="22"/>
          <w:szCs w:val="22"/>
          <w:shd w:val="clear" w:color="auto" w:fill="FFFFFF"/>
        </w:rPr>
        <w:fldChar w:fldCharType="end"/>
      </w:r>
      <w:r w:rsidRPr="006F076D">
        <w:rPr>
          <w:rFonts w:ascii="Arial" w:hAnsi="Arial" w:cs="Arial"/>
          <w:b/>
          <w:bCs/>
          <w:color w:val="FF0000"/>
          <w:sz w:val="32"/>
          <w:szCs w:val="32"/>
        </w:rPr>
        <w:t xml:space="preserve"> </w:t>
      </w:r>
    </w:p>
    <w:p w14:paraId="7E4A2CFA" w14:textId="13C13198" w:rsidR="00A071E4" w:rsidRPr="00166B38" w:rsidRDefault="00A071E4" w:rsidP="00A071E4">
      <w:pPr>
        <w:pStyle w:val="NormalWeb"/>
        <w:shd w:val="clear" w:color="auto" w:fill="FFFFFF"/>
        <w:spacing w:before="0" w:after="210"/>
        <w:rPr>
          <w:rFonts w:ascii="Arial" w:hAnsi="Arial" w:cs="Arial"/>
          <w:b/>
          <w:bCs/>
          <w:color w:val="FF0000"/>
          <w:sz w:val="22"/>
          <w:szCs w:val="22"/>
        </w:rPr>
      </w:pPr>
      <w:r w:rsidRPr="00166B38">
        <w:rPr>
          <w:rFonts w:ascii="Arial" w:hAnsi="Arial" w:cs="Arial"/>
          <w:b/>
          <w:bCs/>
          <w:color w:val="FF0000"/>
          <w:sz w:val="22"/>
          <w:szCs w:val="22"/>
        </w:rPr>
        <w:t>This extended pool provides scalability, but also introduces additional security by making host scanning and identification more challenging for attackers. Along with new addresses, IPv6 also provides a range of benefits for security, integrity and performance.</w:t>
      </w:r>
    </w:p>
    <w:p w14:paraId="3589A42C" w14:textId="77777777" w:rsidR="00A071E4" w:rsidRPr="00166B38" w:rsidRDefault="00A071E4" w:rsidP="00A071E4">
      <w:pPr>
        <w:pStyle w:val="NormalWeb"/>
        <w:shd w:val="clear" w:color="auto" w:fill="FFFFFF"/>
        <w:spacing w:before="0"/>
        <w:rPr>
          <w:rFonts w:ascii="Arial" w:hAnsi="Arial" w:cs="Arial"/>
          <w:b/>
          <w:bCs/>
          <w:color w:val="FF0000"/>
          <w:sz w:val="22"/>
          <w:szCs w:val="22"/>
        </w:rPr>
      </w:pPr>
      <w:r w:rsidRPr="00166B38">
        <w:rPr>
          <w:rFonts w:ascii="Arial" w:hAnsi="Arial" w:cs="Arial"/>
          <w:b/>
          <w:bCs/>
          <w:color w:val="FF0000"/>
          <w:sz w:val="22"/>
          <w:szCs w:val="22"/>
        </w:rPr>
        <w:t>IPv6 can run end-to-end encryption. While this technology was retrofitted into IPv4, it remains an optional extra that isn’t universally used. The encryption and integrity-checking used in current VPNs is a standard component in IPv6, available for all connections and supported by all compatible devices and systems. Widespread adoption of IPv6 will therefore make man-in-the-middle attacks significantly more difficult.</w:t>
      </w:r>
    </w:p>
    <w:p w14:paraId="7C6C0A04" w14:textId="17700B24" w:rsidR="00A071E4" w:rsidRDefault="00A071E4" w:rsidP="00A071E4">
      <w:pPr>
        <w:pStyle w:val="NormalWeb"/>
        <w:shd w:val="clear" w:color="auto" w:fill="FFFFFF"/>
        <w:spacing w:before="0"/>
        <w:rPr>
          <w:rFonts w:ascii="Arial" w:hAnsi="Arial" w:cs="Arial"/>
          <w:b/>
          <w:bCs/>
          <w:color w:val="FF0000"/>
          <w:sz w:val="22"/>
          <w:szCs w:val="22"/>
        </w:rPr>
      </w:pPr>
      <w:r w:rsidRPr="00166B38">
        <w:rPr>
          <w:rFonts w:ascii="Arial" w:hAnsi="Arial" w:cs="Arial"/>
          <w:b/>
          <w:bCs/>
          <w:color w:val="FF0000"/>
          <w:sz w:val="22"/>
          <w:szCs w:val="22"/>
        </w:rPr>
        <w:t>IPv6 also supports more-secure name resolution. The Secure Neighbo</w:t>
      </w:r>
      <w:r w:rsidR="004D2066" w:rsidRPr="00166B38">
        <w:rPr>
          <w:rFonts w:ascii="Arial" w:hAnsi="Arial" w:cs="Arial"/>
          <w:b/>
          <w:bCs/>
          <w:color w:val="FF0000"/>
          <w:sz w:val="22"/>
          <w:szCs w:val="22"/>
        </w:rPr>
        <w:t>u</w:t>
      </w:r>
      <w:r w:rsidRPr="00166B38">
        <w:rPr>
          <w:rFonts w:ascii="Arial" w:hAnsi="Arial" w:cs="Arial"/>
          <w:b/>
          <w:bCs/>
          <w:color w:val="FF0000"/>
          <w:sz w:val="22"/>
          <w:szCs w:val="22"/>
        </w:rPr>
        <w:t>r Discovery (SEND) protocol is capable of enabling cryptographic confirmation that a host is who it claims to be at connection time. This renders Address Resolution Protocol (ARP) poisoning and other naming-based attacks more difficult. And while not a replacement for application- or service-</w:t>
      </w:r>
      <w:r w:rsidRPr="00166B38">
        <w:rPr>
          <w:rFonts w:ascii="Arial" w:hAnsi="Arial" w:cs="Arial"/>
          <w:b/>
          <w:bCs/>
          <w:color w:val="FF0000"/>
          <w:sz w:val="22"/>
          <w:szCs w:val="22"/>
        </w:rPr>
        <w:lastRenderedPageBreak/>
        <w:t>layer verification, it still offers an improved level of trust in connections. With IPv4 it’s fairly easy for an attacker to redirect traffic between two legitimate hosts and manipulate the conversation or at least observe it. IPv6 makes this very hard.</w:t>
      </w:r>
    </w:p>
    <w:bookmarkEnd w:id="0"/>
    <w:p w14:paraId="40682BC9" w14:textId="6B431F4E" w:rsidR="00A16BBB" w:rsidRDefault="00A16BBB" w:rsidP="00A071E4">
      <w:pPr>
        <w:pStyle w:val="NormalWeb"/>
        <w:shd w:val="clear" w:color="auto" w:fill="FFFFFF"/>
        <w:spacing w:before="0"/>
        <w:rPr>
          <w:rFonts w:ascii="Arial" w:hAnsi="Arial" w:cs="Arial"/>
          <w:b/>
          <w:bCs/>
          <w:color w:val="FF0000"/>
          <w:sz w:val="22"/>
          <w:szCs w:val="22"/>
        </w:rPr>
      </w:pPr>
    </w:p>
    <w:p w14:paraId="0914F50A" w14:textId="13E30493" w:rsidR="00944C82" w:rsidRDefault="00944C82" w:rsidP="00A071E4">
      <w:pPr>
        <w:pStyle w:val="NormalWeb"/>
        <w:shd w:val="clear" w:color="auto" w:fill="FFFFFF"/>
        <w:spacing w:before="0"/>
        <w:rPr>
          <w:rFonts w:ascii="Arial" w:hAnsi="Arial" w:cs="Arial"/>
          <w:b/>
          <w:bCs/>
          <w:color w:val="FF0000"/>
          <w:sz w:val="22"/>
          <w:szCs w:val="22"/>
        </w:rPr>
      </w:pPr>
      <w:r>
        <w:rPr>
          <w:rFonts w:ascii="Arial" w:hAnsi="Arial" w:cs="Arial"/>
          <w:b/>
          <w:bCs/>
          <w:color w:val="FF0000"/>
          <w:sz w:val="22"/>
          <w:szCs w:val="22"/>
        </w:rPr>
        <w:t>References</w:t>
      </w:r>
    </w:p>
    <w:p w14:paraId="63BDFF83" w14:textId="69B4768D" w:rsidR="00944C82" w:rsidRPr="00183C17" w:rsidRDefault="00944C82" w:rsidP="00944C82">
      <w:pPr>
        <w:widowControl w:val="0"/>
        <w:autoSpaceDE w:val="0"/>
        <w:autoSpaceDN w:val="0"/>
        <w:adjustRightInd w:val="0"/>
        <w:spacing w:after="100"/>
        <w:ind w:left="640" w:hanging="640"/>
        <w:rPr>
          <w:rFonts w:ascii="Arial" w:hAnsi="Arial" w:cs="Arial"/>
          <w:b/>
          <w:bCs/>
          <w:noProof/>
          <w:color w:val="FF0000"/>
          <w:sz w:val="22"/>
          <w:szCs w:val="24"/>
        </w:rPr>
      </w:pPr>
      <w:r w:rsidRPr="00183C17">
        <w:rPr>
          <w:rFonts w:ascii="Arial" w:hAnsi="Arial" w:cs="Arial"/>
          <w:b/>
          <w:bCs/>
          <w:color w:val="FF0000"/>
          <w:sz w:val="22"/>
          <w:szCs w:val="22"/>
        </w:rPr>
        <w:fldChar w:fldCharType="begin" w:fldLock="1"/>
      </w:r>
      <w:r w:rsidRPr="00183C17">
        <w:rPr>
          <w:rFonts w:ascii="Arial" w:hAnsi="Arial" w:cs="Arial"/>
          <w:b/>
          <w:bCs/>
          <w:color w:val="FF0000"/>
          <w:sz w:val="22"/>
          <w:szCs w:val="22"/>
        </w:rPr>
        <w:instrText xml:space="preserve">ADDIN Mendeley Bibliography CSL_BIBLIOGRAPHY </w:instrText>
      </w:r>
      <w:r w:rsidRPr="00183C17">
        <w:rPr>
          <w:rFonts w:ascii="Arial" w:hAnsi="Arial" w:cs="Arial"/>
          <w:b/>
          <w:bCs/>
          <w:color w:val="FF0000"/>
          <w:sz w:val="22"/>
          <w:szCs w:val="22"/>
        </w:rPr>
        <w:fldChar w:fldCharType="separate"/>
      </w:r>
      <w:r w:rsidRPr="00183C17">
        <w:rPr>
          <w:rFonts w:ascii="Arial" w:hAnsi="Arial" w:cs="Arial"/>
          <w:b/>
          <w:bCs/>
          <w:noProof/>
          <w:color w:val="FF0000"/>
          <w:sz w:val="22"/>
          <w:szCs w:val="24"/>
        </w:rPr>
        <w:t>[1]</w:t>
      </w:r>
      <w:r w:rsidRPr="00183C17">
        <w:rPr>
          <w:rFonts w:ascii="Arial" w:hAnsi="Arial" w:cs="Arial"/>
          <w:b/>
          <w:bCs/>
          <w:noProof/>
          <w:color w:val="FF0000"/>
          <w:sz w:val="22"/>
          <w:szCs w:val="24"/>
        </w:rPr>
        <w:tab/>
        <w:t>“Why IPv6 Matters for Your Security | Sophos.” [Online]. Available: https://www.sophos.com/en-us/security-news-trends/security-trends/why-switch-to-ipv6.aspx. [Accessed: 1</w:t>
      </w:r>
      <w:r w:rsidR="00183C17" w:rsidRPr="00183C17">
        <w:rPr>
          <w:rFonts w:ascii="Arial" w:hAnsi="Arial" w:cs="Arial"/>
          <w:b/>
          <w:bCs/>
          <w:noProof/>
          <w:color w:val="FF0000"/>
          <w:sz w:val="22"/>
          <w:szCs w:val="24"/>
        </w:rPr>
        <w:t>0</w:t>
      </w:r>
      <w:r w:rsidRPr="00183C17">
        <w:rPr>
          <w:rFonts w:ascii="Arial" w:hAnsi="Arial" w:cs="Arial"/>
          <w:b/>
          <w:bCs/>
          <w:noProof/>
          <w:color w:val="FF0000"/>
          <w:sz w:val="22"/>
          <w:szCs w:val="24"/>
        </w:rPr>
        <w:t>-Dec-2019].</w:t>
      </w:r>
    </w:p>
    <w:p w14:paraId="0B002A1F" w14:textId="4A1E16F1" w:rsidR="00944C82" w:rsidRPr="00183C17" w:rsidRDefault="00944C82" w:rsidP="00944C82">
      <w:pPr>
        <w:widowControl w:val="0"/>
        <w:autoSpaceDE w:val="0"/>
        <w:autoSpaceDN w:val="0"/>
        <w:adjustRightInd w:val="0"/>
        <w:spacing w:after="100"/>
        <w:ind w:left="640" w:hanging="640"/>
        <w:rPr>
          <w:rFonts w:ascii="Arial" w:hAnsi="Arial" w:cs="Arial"/>
          <w:b/>
          <w:bCs/>
          <w:noProof/>
          <w:color w:val="FF0000"/>
          <w:sz w:val="22"/>
        </w:rPr>
      </w:pPr>
      <w:r w:rsidRPr="00183C17">
        <w:rPr>
          <w:rFonts w:ascii="Arial" w:hAnsi="Arial" w:cs="Arial"/>
          <w:b/>
          <w:bCs/>
          <w:noProof/>
          <w:color w:val="FF0000"/>
          <w:sz w:val="22"/>
          <w:szCs w:val="24"/>
        </w:rPr>
        <w:t>[2]</w:t>
      </w:r>
      <w:r w:rsidRPr="00183C17">
        <w:rPr>
          <w:rFonts w:ascii="Arial" w:hAnsi="Arial" w:cs="Arial"/>
          <w:b/>
          <w:bCs/>
          <w:noProof/>
          <w:color w:val="FF0000"/>
          <w:sz w:val="22"/>
          <w:szCs w:val="24"/>
        </w:rPr>
        <w:tab/>
        <w:t>“What’s The Difference Between IPv4 and IPv6? | Electronic Design.” [Online]. Available: https://www.electronicdesign.com/technologies/embedded-revolution/article/21802146/whats-the-difference-between-ipv4-and-ipv6. [Accessed: 1</w:t>
      </w:r>
      <w:r w:rsidR="00183C17" w:rsidRPr="00183C17">
        <w:rPr>
          <w:rFonts w:ascii="Arial" w:hAnsi="Arial" w:cs="Arial"/>
          <w:b/>
          <w:bCs/>
          <w:noProof/>
          <w:color w:val="FF0000"/>
          <w:sz w:val="22"/>
          <w:szCs w:val="24"/>
        </w:rPr>
        <w:t>4</w:t>
      </w:r>
      <w:r w:rsidRPr="00183C17">
        <w:rPr>
          <w:rFonts w:ascii="Arial" w:hAnsi="Arial" w:cs="Arial"/>
          <w:b/>
          <w:bCs/>
          <w:noProof/>
          <w:color w:val="FF0000"/>
          <w:sz w:val="22"/>
          <w:szCs w:val="24"/>
        </w:rPr>
        <w:t>-Dec-2019].</w:t>
      </w:r>
    </w:p>
    <w:p w14:paraId="073331BB" w14:textId="641EA361" w:rsidR="00944C82" w:rsidRPr="00166B38" w:rsidRDefault="00944C82" w:rsidP="00A071E4">
      <w:pPr>
        <w:pStyle w:val="NormalWeb"/>
        <w:shd w:val="clear" w:color="auto" w:fill="FFFFFF"/>
        <w:spacing w:before="0"/>
        <w:rPr>
          <w:rFonts w:ascii="Arial" w:hAnsi="Arial" w:cs="Arial"/>
          <w:b/>
          <w:bCs/>
          <w:color w:val="FF0000"/>
          <w:sz w:val="22"/>
          <w:szCs w:val="22"/>
        </w:rPr>
      </w:pPr>
      <w:r w:rsidRPr="00183C17">
        <w:rPr>
          <w:rFonts w:ascii="Arial" w:hAnsi="Arial" w:cs="Arial"/>
          <w:b/>
          <w:bCs/>
          <w:color w:val="FF0000"/>
          <w:sz w:val="22"/>
          <w:szCs w:val="22"/>
        </w:rPr>
        <w:fldChar w:fldCharType="end"/>
      </w:r>
    </w:p>
    <w:p w14:paraId="3E2700B3" w14:textId="4D8D00F6" w:rsidR="008C4ACD" w:rsidRPr="00A071E4" w:rsidRDefault="008C4ACD" w:rsidP="00C319EB">
      <w:pPr>
        <w:rPr>
          <w:rFonts w:ascii="Arial" w:hAnsi="Arial" w:cs="Arial"/>
          <w:b/>
          <w:sz w:val="22"/>
          <w:u w:val="single"/>
          <w:lang w:eastAsia="en-US"/>
        </w:rPr>
      </w:pPr>
    </w:p>
    <w:p w14:paraId="356AAC6B" w14:textId="5865508C" w:rsidR="008C4ACD" w:rsidRDefault="008C4ACD" w:rsidP="00C319EB">
      <w:pPr>
        <w:rPr>
          <w:rFonts w:ascii="Arial" w:hAnsi="Arial" w:cs="Arial"/>
          <w:b/>
          <w:sz w:val="22"/>
          <w:u w:val="single"/>
          <w:lang w:val="en-US" w:eastAsia="en-US"/>
        </w:rPr>
      </w:pPr>
    </w:p>
    <w:p w14:paraId="73C4520F" w14:textId="77777777" w:rsidR="008C4ACD" w:rsidRDefault="008C4ACD" w:rsidP="00C319EB">
      <w:pPr>
        <w:rPr>
          <w:rFonts w:ascii="Arial" w:hAnsi="Arial" w:cs="Arial"/>
          <w:b/>
          <w:sz w:val="22"/>
          <w:u w:val="single"/>
          <w:lang w:val="en-US" w:eastAsia="en-US"/>
        </w:rPr>
      </w:pPr>
    </w:p>
    <w:p w14:paraId="243BDEB3" w14:textId="77777777" w:rsidR="008C4ACD" w:rsidRPr="008C4ACD" w:rsidRDefault="008C4ACD" w:rsidP="00C319EB">
      <w:pPr>
        <w:rPr>
          <w:rFonts w:ascii="Arial" w:hAnsi="Arial" w:cs="Arial"/>
          <w:b/>
          <w:sz w:val="22"/>
          <w:u w:val="single"/>
          <w:lang w:val="en-US" w:eastAsia="en-US"/>
        </w:rPr>
      </w:pPr>
    </w:p>
    <w:p w14:paraId="21915CA5" w14:textId="1E0BCCFB" w:rsidR="008C4ACD" w:rsidRDefault="008C4ACD" w:rsidP="00C319EB">
      <w:pPr>
        <w:rPr>
          <w:rFonts w:ascii="Arial" w:hAnsi="Arial" w:cs="Arial"/>
          <w:b/>
          <w:sz w:val="24"/>
          <w:u w:val="single"/>
          <w:lang w:val="en-US" w:eastAsia="en-US"/>
        </w:rPr>
      </w:pPr>
    </w:p>
    <w:p w14:paraId="45C38204" w14:textId="77777777" w:rsidR="00B10873" w:rsidRPr="008C4ACD" w:rsidRDefault="00B10873" w:rsidP="00C319EB">
      <w:pPr>
        <w:rPr>
          <w:rFonts w:ascii="Arial" w:hAnsi="Arial" w:cs="Arial"/>
          <w:b/>
          <w:sz w:val="24"/>
          <w:u w:val="single"/>
          <w:lang w:val="en-US" w:eastAsia="en-US"/>
        </w:rPr>
      </w:pPr>
    </w:p>
    <w:p w14:paraId="0B59047A" w14:textId="77777777" w:rsidR="00685B3F" w:rsidRPr="00C319EB" w:rsidRDefault="00685B3F" w:rsidP="00C319EB">
      <w:pPr>
        <w:rPr>
          <w:rFonts w:ascii="Arial" w:hAnsi="Arial" w:cs="Arial"/>
          <w:sz w:val="22"/>
          <w:lang w:val="en-US" w:eastAsia="en-US"/>
        </w:rPr>
      </w:pP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E7B8C" w:rsidRPr="004A1148" w14:paraId="166CE3E7" w14:textId="77777777" w:rsidTr="005554AB">
        <w:trPr>
          <w:cantSplit/>
          <w:trHeight w:val="510"/>
          <w:jc w:val="center"/>
        </w:trPr>
        <w:tc>
          <w:tcPr>
            <w:tcW w:w="1412" w:type="dxa"/>
            <w:vAlign w:val="bottom"/>
          </w:tcPr>
          <w:p w14:paraId="2C3618AC" w14:textId="7AC5EFD0" w:rsidR="004E7B8C" w:rsidRPr="004A1148" w:rsidRDefault="004E7B8C" w:rsidP="004E7B8C">
            <w:pPr>
              <w:pStyle w:val="TableText"/>
              <w:ind w:left="284"/>
              <w:rPr>
                <w:rFonts w:cs="Arial"/>
              </w:rPr>
            </w:pPr>
            <w:r>
              <w:rPr>
                <w:rFonts w:cs="Arial"/>
              </w:rPr>
              <w:t>B</w:t>
            </w:r>
          </w:p>
        </w:tc>
        <w:tc>
          <w:tcPr>
            <w:tcW w:w="2561" w:type="dxa"/>
            <w:vAlign w:val="bottom"/>
          </w:tcPr>
          <w:p w14:paraId="325D5AA6" w14:textId="1C577B47" w:rsidR="004E7B8C" w:rsidRPr="004A1148" w:rsidRDefault="004E7B8C" w:rsidP="004E7B8C">
            <w:pPr>
              <w:pStyle w:val="TableText"/>
              <w:rPr>
                <w:rFonts w:cs="Arial"/>
              </w:rPr>
            </w:pPr>
            <w:r>
              <w:rPr>
                <w:rFonts w:cs="Arial"/>
              </w:rPr>
              <w:t>172.16.2.0</w:t>
            </w:r>
          </w:p>
        </w:tc>
        <w:tc>
          <w:tcPr>
            <w:tcW w:w="2552" w:type="dxa"/>
          </w:tcPr>
          <w:p w14:paraId="64D79944" w14:textId="0DAFFAA1" w:rsidR="004E7B8C" w:rsidRPr="004A1148" w:rsidRDefault="004E7B8C" w:rsidP="004E7B8C">
            <w:pPr>
              <w:pStyle w:val="TableText"/>
              <w:rPr>
                <w:rFonts w:cs="Arial"/>
              </w:rPr>
            </w:pPr>
            <w:r>
              <w:rPr>
                <w:rFonts w:cs="Arial"/>
              </w:rPr>
              <w:t>255.255.248.0</w:t>
            </w:r>
          </w:p>
        </w:tc>
        <w:tc>
          <w:tcPr>
            <w:tcW w:w="2724" w:type="dxa"/>
            <w:vAlign w:val="bottom"/>
          </w:tcPr>
          <w:p w14:paraId="426B55D1" w14:textId="38E02C0B" w:rsidR="004E7B8C" w:rsidRPr="004A1148" w:rsidRDefault="004E7B8C" w:rsidP="004E7B8C">
            <w:pPr>
              <w:pStyle w:val="TableText"/>
              <w:rPr>
                <w:rFonts w:cs="Arial"/>
              </w:rPr>
            </w:pPr>
            <w:r>
              <w:rPr>
                <w:rFonts w:cs="Arial"/>
              </w:rPr>
              <w:t>172.16.2.1</w:t>
            </w:r>
          </w:p>
        </w:tc>
        <w:tc>
          <w:tcPr>
            <w:tcW w:w="2922" w:type="dxa"/>
            <w:vAlign w:val="bottom"/>
          </w:tcPr>
          <w:p w14:paraId="2AC7FFA7" w14:textId="0F87F7EC" w:rsidR="004E7B8C" w:rsidRPr="004A1148" w:rsidRDefault="004E7B8C" w:rsidP="004E7B8C">
            <w:pPr>
              <w:pStyle w:val="TableText"/>
              <w:rPr>
                <w:rFonts w:cs="Arial"/>
              </w:rPr>
            </w:pPr>
            <w:r>
              <w:rPr>
                <w:rFonts w:cs="Arial"/>
              </w:rPr>
              <w:t>172.16.9.254</w:t>
            </w:r>
          </w:p>
        </w:tc>
        <w:tc>
          <w:tcPr>
            <w:tcW w:w="2905" w:type="dxa"/>
            <w:vAlign w:val="bottom"/>
          </w:tcPr>
          <w:p w14:paraId="55A78382" w14:textId="7BA6A357" w:rsidR="004E7B8C" w:rsidRPr="004A1148" w:rsidRDefault="004E7B8C" w:rsidP="004E7B8C">
            <w:pPr>
              <w:pStyle w:val="TableText"/>
              <w:ind w:left="284"/>
              <w:rPr>
                <w:rFonts w:cs="Arial"/>
              </w:rPr>
            </w:pPr>
            <w:r>
              <w:rPr>
                <w:rFonts w:cs="Arial"/>
              </w:rPr>
              <w:t>172.16.9.255</w:t>
            </w:r>
          </w:p>
        </w:tc>
      </w:tr>
      <w:tr w:rsidR="004E7B8C" w:rsidRPr="004A1148" w14:paraId="25431512" w14:textId="77777777" w:rsidTr="005554AB">
        <w:trPr>
          <w:cantSplit/>
          <w:trHeight w:val="510"/>
          <w:jc w:val="center"/>
        </w:trPr>
        <w:tc>
          <w:tcPr>
            <w:tcW w:w="1412" w:type="dxa"/>
            <w:vAlign w:val="bottom"/>
          </w:tcPr>
          <w:p w14:paraId="6A6FC7F1" w14:textId="53B25151" w:rsidR="004E7B8C" w:rsidRPr="004A1148" w:rsidRDefault="004E7B8C" w:rsidP="004E7B8C">
            <w:pPr>
              <w:pStyle w:val="TableText"/>
              <w:ind w:left="284"/>
              <w:rPr>
                <w:rFonts w:cs="Arial"/>
              </w:rPr>
            </w:pPr>
            <w:r>
              <w:rPr>
                <w:rFonts w:cs="Arial"/>
              </w:rPr>
              <w:t>D</w:t>
            </w:r>
          </w:p>
        </w:tc>
        <w:tc>
          <w:tcPr>
            <w:tcW w:w="2561" w:type="dxa"/>
            <w:vAlign w:val="bottom"/>
          </w:tcPr>
          <w:p w14:paraId="5D565D23" w14:textId="3A9C19B6" w:rsidR="004E7B8C" w:rsidRPr="004A1148" w:rsidRDefault="004E7B8C" w:rsidP="004E7B8C">
            <w:pPr>
              <w:pStyle w:val="TableText"/>
              <w:rPr>
                <w:rFonts w:cs="Arial"/>
              </w:rPr>
            </w:pPr>
            <w:r>
              <w:rPr>
                <w:rFonts w:cs="Arial"/>
              </w:rPr>
              <w:t>172.16.10.0</w:t>
            </w:r>
          </w:p>
        </w:tc>
        <w:tc>
          <w:tcPr>
            <w:tcW w:w="2552" w:type="dxa"/>
          </w:tcPr>
          <w:p w14:paraId="5E77A652" w14:textId="3699727C" w:rsidR="004E7B8C" w:rsidRPr="004A1148" w:rsidRDefault="004E7B8C" w:rsidP="004E7B8C">
            <w:pPr>
              <w:pStyle w:val="TableText"/>
              <w:rPr>
                <w:rFonts w:cs="Arial"/>
              </w:rPr>
            </w:pPr>
            <w:r>
              <w:rPr>
                <w:rFonts w:cs="Arial"/>
              </w:rPr>
              <w:t>255.255.254.0</w:t>
            </w:r>
          </w:p>
        </w:tc>
        <w:tc>
          <w:tcPr>
            <w:tcW w:w="2724" w:type="dxa"/>
            <w:vAlign w:val="bottom"/>
          </w:tcPr>
          <w:p w14:paraId="553FF9D4" w14:textId="68E3FB45" w:rsidR="004E7B8C" w:rsidRPr="004A1148" w:rsidRDefault="004E7B8C" w:rsidP="004E7B8C">
            <w:pPr>
              <w:pStyle w:val="TableText"/>
              <w:rPr>
                <w:rFonts w:cs="Arial"/>
              </w:rPr>
            </w:pPr>
            <w:r>
              <w:rPr>
                <w:rFonts w:cs="Arial"/>
              </w:rPr>
              <w:t>172.16.10.1</w:t>
            </w:r>
          </w:p>
        </w:tc>
        <w:tc>
          <w:tcPr>
            <w:tcW w:w="2922" w:type="dxa"/>
            <w:vAlign w:val="bottom"/>
          </w:tcPr>
          <w:p w14:paraId="12602C5C" w14:textId="4E2076E7" w:rsidR="004E7B8C" w:rsidRPr="004A1148" w:rsidRDefault="004E7B8C" w:rsidP="004E7B8C">
            <w:pPr>
              <w:pStyle w:val="TableText"/>
              <w:rPr>
                <w:rFonts w:cs="Arial"/>
              </w:rPr>
            </w:pPr>
            <w:r>
              <w:rPr>
                <w:rFonts w:cs="Arial"/>
              </w:rPr>
              <w:t>172.16.11.254</w:t>
            </w:r>
          </w:p>
        </w:tc>
        <w:tc>
          <w:tcPr>
            <w:tcW w:w="2905" w:type="dxa"/>
            <w:vAlign w:val="bottom"/>
          </w:tcPr>
          <w:p w14:paraId="0E927FF2" w14:textId="279A0351" w:rsidR="004E7B8C" w:rsidRPr="004A1148" w:rsidRDefault="004E7B8C" w:rsidP="004E7B8C">
            <w:pPr>
              <w:pStyle w:val="TableText"/>
              <w:ind w:left="284"/>
              <w:rPr>
                <w:rFonts w:cs="Arial"/>
              </w:rPr>
            </w:pPr>
            <w:r>
              <w:rPr>
                <w:rFonts w:cs="Arial"/>
              </w:rPr>
              <w:t>172.16.11.255</w:t>
            </w:r>
          </w:p>
        </w:tc>
      </w:tr>
      <w:tr w:rsidR="004E7B8C" w:rsidRPr="004A1148" w14:paraId="1804910C" w14:textId="77777777" w:rsidTr="005554AB">
        <w:trPr>
          <w:cantSplit/>
          <w:trHeight w:val="510"/>
          <w:jc w:val="center"/>
        </w:trPr>
        <w:tc>
          <w:tcPr>
            <w:tcW w:w="1412" w:type="dxa"/>
            <w:vAlign w:val="bottom"/>
          </w:tcPr>
          <w:p w14:paraId="198C292F" w14:textId="7AE66F0F" w:rsidR="004E7B8C" w:rsidRPr="004A1148" w:rsidRDefault="004E7B8C" w:rsidP="004E7B8C">
            <w:pPr>
              <w:pStyle w:val="TableText"/>
              <w:ind w:left="284"/>
              <w:rPr>
                <w:rFonts w:cs="Arial"/>
              </w:rPr>
            </w:pPr>
            <w:r>
              <w:rPr>
                <w:rFonts w:cs="Arial"/>
              </w:rPr>
              <w:t>F</w:t>
            </w:r>
          </w:p>
        </w:tc>
        <w:tc>
          <w:tcPr>
            <w:tcW w:w="2561" w:type="dxa"/>
            <w:vAlign w:val="bottom"/>
          </w:tcPr>
          <w:p w14:paraId="3114BB27" w14:textId="4FF49C53" w:rsidR="004E7B8C" w:rsidRPr="004A1148" w:rsidRDefault="004E7B8C" w:rsidP="004E7B8C">
            <w:pPr>
              <w:pStyle w:val="TableText"/>
              <w:rPr>
                <w:rFonts w:cs="Arial"/>
              </w:rPr>
            </w:pPr>
            <w:r>
              <w:rPr>
                <w:rFonts w:cs="Arial"/>
              </w:rPr>
              <w:t>172.16.12.0</w:t>
            </w:r>
          </w:p>
        </w:tc>
        <w:tc>
          <w:tcPr>
            <w:tcW w:w="2552" w:type="dxa"/>
          </w:tcPr>
          <w:p w14:paraId="0D8FD5C7" w14:textId="37582F53" w:rsidR="004E7B8C" w:rsidRPr="004A1148" w:rsidRDefault="004E7B8C" w:rsidP="004E7B8C">
            <w:pPr>
              <w:pStyle w:val="TableText"/>
              <w:rPr>
                <w:rFonts w:cs="Arial"/>
              </w:rPr>
            </w:pPr>
            <w:r>
              <w:rPr>
                <w:rFonts w:cs="Arial"/>
              </w:rPr>
              <w:t>255.255.255.0</w:t>
            </w:r>
          </w:p>
        </w:tc>
        <w:tc>
          <w:tcPr>
            <w:tcW w:w="2724" w:type="dxa"/>
            <w:vAlign w:val="bottom"/>
          </w:tcPr>
          <w:p w14:paraId="035CA129" w14:textId="44A54F23" w:rsidR="004E7B8C" w:rsidRPr="004A1148" w:rsidRDefault="004E7B8C" w:rsidP="004E7B8C">
            <w:pPr>
              <w:pStyle w:val="TableText"/>
              <w:rPr>
                <w:rFonts w:cs="Arial"/>
              </w:rPr>
            </w:pPr>
            <w:r>
              <w:rPr>
                <w:rFonts w:cs="Arial"/>
              </w:rPr>
              <w:t>172.16.12.1</w:t>
            </w:r>
          </w:p>
        </w:tc>
        <w:tc>
          <w:tcPr>
            <w:tcW w:w="2922" w:type="dxa"/>
            <w:vAlign w:val="bottom"/>
          </w:tcPr>
          <w:p w14:paraId="139F5B25" w14:textId="6754564A" w:rsidR="004E7B8C" w:rsidRPr="004A1148" w:rsidRDefault="004E7B8C" w:rsidP="004E7B8C">
            <w:pPr>
              <w:pStyle w:val="TableText"/>
              <w:rPr>
                <w:rFonts w:cs="Arial"/>
              </w:rPr>
            </w:pPr>
            <w:r>
              <w:rPr>
                <w:rFonts w:cs="Arial"/>
              </w:rPr>
              <w:t>172.16.12.254</w:t>
            </w:r>
          </w:p>
        </w:tc>
        <w:tc>
          <w:tcPr>
            <w:tcW w:w="2905" w:type="dxa"/>
            <w:vAlign w:val="bottom"/>
          </w:tcPr>
          <w:p w14:paraId="63784539" w14:textId="0AB28390" w:rsidR="004E7B8C" w:rsidRPr="004A1148" w:rsidRDefault="004E7B8C" w:rsidP="004E7B8C">
            <w:pPr>
              <w:pStyle w:val="TableText"/>
              <w:ind w:left="284"/>
              <w:rPr>
                <w:rFonts w:cs="Arial"/>
              </w:rPr>
            </w:pPr>
            <w:r>
              <w:rPr>
                <w:rFonts w:cs="Arial"/>
              </w:rPr>
              <w:t>172.16.12.255</w:t>
            </w:r>
          </w:p>
        </w:tc>
      </w:tr>
      <w:tr w:rsidR="004E7B8C" w:rsidRPr="004A1148" w14:paraId="6FCEA750" w14:textId="77777777" w:rsidTr="005554AB">
        <w:trPr>
          <w:cantSplit/>
          <w:trHeight w:val="510"/>
          <w:jc w:val="center"/>
        </w:trPr>
        <w:tc>
          <w:tcPr>
            <w:tcW w:w="1412" w:type="dxa"/>
            <w:vAlign w:val="bottom"/>
          </w:tcPr>
          <w:p w14:paraId="023D3E13" w14:textId="753F7C18" w:rsidR="004E7B8C" w:rsidRPr="004A1148" w:rsidRDefault="004E7B8C" w:rsidP="004E7B8C">
            <w:pPr>
              <w:pStyle w:val="TableText"/>
              <w:ind w:left="284"/>
              <w:rPr>
                <w:rFonts w:cs="Arial"/>
              </w:rPr>
            </w:pPr>
            <w:r>
              <w:rPr>
                <w:rFonts w:cs="Arial"/>
              </w:rPr>
              <w:t>E</w:t>
            </w:r>
          </w:p>
        </w:tc>
        <w:tc>
          <w:tcPr>
            <w:tcW w:w="2561" w:type="dxa"/>
            <w:vAlign w:val="bottom"/>
          </w:tcPr>
          <w:p w14:paraId="028301AC" w14:textId="7CCA2AE6" w:rsidR="004E7B8C" w:rsidRPr="004A1148" w:rsidRDefault="004E7B8C" w:rsidP="004E7B8C">
            <w:pPr>
              <w:pStyle w:val="TableText"/>
              <w:rPr>
                <w:rFonts w:cs="Arial"/>
              </w:rPr>
            </w:pPr>
            <w:r>
              <w:rPr>
                <w:rFonts w:cs="Arial"/>
              </w:rPr>
              <w:t>712.16.13.0</w:t>
            </w:r>
          </w:p>
        </w:tc>
        <w:tc>
          <w:tcPr>
            <w:tcW w:w="2552" w:type="dxa"/>
          </w:tcPr>
          <w:p w14:paraId="0E107CA2" w14:textId="6496124A" w:rsidR="004E7B8C" w:rsidRPr="004A1148" w:rsidRDefault="004E7B8C" w:rsidP="004E7B8C">
            <w:pPr>
              <w:pStyle w:val="TableText"/>
              <w:rPr>
                <w:rFonts w:cs="Arial"/>
              </w:rPr>
            </w:pPr>
            <w:r>
              <w:rPr>
                <w:rFonts w:cs="Arial"/>
              </w:rPr>
              <w:t>255.255.255.192</w:t>
            </w:r>
          </w:p>
        </w:tc>
        <w:tc>
          <w:tcPr>
            <w:tcW w:w="2724" w:type="dxa"/>
            <w:vAlign w:val="bottom"/>
          </w:tcPr>
          <w:p w14:paraId="76E3E1C0" w14:textId="3289CBF0" w:rsidR="004E7B8C" w:rsidRPr="004A1148" w:rsidRDefault="004E7B8C" w:rsidP="004E7B8C">
            <w:pPr>
              <w:pStyle w:val="TableText"/>
              <w:rPr>
                <w:rFonts w:cs="Arial"/>
              </w:rPr>
            </w:pPr>
            <w:r>
              <w:rPr>
                <w:rFonts w:cs="Arial"/>
              </w:rPr>
              <w:t>172.16.13.1</w:t>
            </w:r>
          </w:p>
        </w:tc>
        <w:tc>
          <w:tcPr>
            <w:tcW w:w="2922" w:type="dxa"/>
            <w:vAlign w:val="bottom"/>
          </w:tcPr>
          <w:p w14:paraId="1F58716B" w14:textId="1CDE207A" w:rsidR="004E7B8C" w:rsidRPr="004A1148" w:rsidRDefault="004E7B8C" w:rsidP="004E7B8C">
            <w:pPr>
              <w:pStyle w:val="TableText"/>
              <w:rPr>
                <w:rFonts w:cs="Arial"/>
              </w:rPr>
            </w:pPr>
            <w:r>
              <w:rPr>
                <w:rFonts w:cs="Arial"/>
              </w:rPr>
              <w:t>172.16.13.62</w:t>
            </w:r>
          </w:p>
        </w:tc>
        <w:tc>
          <w:tcPr>
            <w:tcW w:w="2905" w:type="dxa"/>
            <w:vAlign w:val="bottom"/>
          </w:tcPr>
          <w:p w14:paraId="1F03CCA5" w14:textId="707B4AE9" w:rsidR="004E7B8C" w:rsidRPr="004A1148" w:rsidRDefault="004E7B8C" w:rsidP="004E7B8C">
            <w:pPr>
              <w:pStyle w:val="TableText"/>
              <w:ind w:left="284"/>
              <w:rPr>
                <w:rFonts w:cs="Arial"/>
              </w:rPr>
            </w:pPr>
            <w:r>
              <w:rPr>
                <w:rFonts w:cs="Arial"/>
              </w:rPr>
              <w:t>172.16.13.63</w:t>
            </w:r>
          </w:p>
        </w:tc>
      </w:tr>
      <w:tr w:rsidR="004E7B8C" w:rsidRPr="004A1148" w14:paraId="6B34B8B1" w14:textId="77777777" w:rsidTr="005554AB">
        <w:trPr>
          <w:cantSplit/>
          <w:trHeight w:val="510"/>
          <w:jc w:val="center"/>
        </w:trPr>
        <w:tc>
          <w:tcPr>
            <w:tcW w:w="1412" w:type="dxa"/>
            <w:vAlign w:val="bottom"/>
          </w:tcPr>
          <w:p w14:paraId="65F58BF1" w14:textId="1F88A96B" w:rsidR="004E7B8C" w:rsidRPr="004A1148" w:rsidRDefault="004E7B8C" w:rsidP="004E7B8C">
            <w:pPr>
              <w:pStyle w:val="TableText"/>
              <w:ind w:left="284"/>
              <w:rPr>
                <w:rFonts w:cs="Arial"/>
              </w:rPr>
            </w:pPr>
            <w:r>
              <w:rPr>
                <w:rFonts w:cs="Arial"/>
              </w:rPr>
              <w:t>A</w:t>
            </w:r>
          </w:p>
        </w:tc>
        <w:tc>
          <w:tcPr>
            <w:tcW w:w="2561" w:type="dxa"/>
            <w:vAlign w:val="bottom"/>
          </w:tcPr>
          <w:p w14:paraId="18067B56" w14:textId="51810F36" w:rsidR="004E7B8C" w:rsidRPr="004A1148" w:rsidRDefault="004E7B8C" w:rsidP="004E7B8C">
            <w:pPr>
              <w:pStyle w:val="TableText"/>
              <w:rPr>
                <w:rFonts w:cs="Arial"/>
              </w:rPr>
            </w:pPr>
            <w:r>
              <w:rPr>
                <w:rFonts w:cs="Arial"/>
              </w:rPr>
              <w:t>172.16.13.64</w:t>
            </w:r>
          </w:p>
        </w:tc>
        <w:tc>
          <w:tcPr>
            <w:tcW w:w="2552" w:type="dxa"/>
          </w:tcPr>
          <w:p w14:paraId="309D051E" w14:textId="22817EAF" w:rsidR="004E7B8C" w:rsidRPr="004A1148" w:rsidRDefault="004E7B8C" w:rsidP="004E7B8C">
            <w:pPr>
              <w:pStyle w:val="TableText"/>
              <w:rPr>
                <w:rFonts w:cs="Arial"/>
              </w:rPr>
            </w:pPr>
            <w:r>
              <w:rPr>
                <w:rFonts w:cs="Arial"/>
              </w:rPr>
              <w:t>255.255.255.224</w:t>
            </w:r>
          </w:p>
        </w:tc>
        <w:tc>
          <w:tcPr>
            <w:tcW w:w="2724" w:type="dxa"/>
            <w:vAlign w:val="bottom"/>
          </w:tcPr>
          <w:p w14:paraId="4BB66377" w14:textId="0FBD746D" w:rsidR="004E7B8C" w:rsidRPr="004A1148" w:rsidRDefault="004E7B8C" w:rsidP="004E7B8C">
            <w:pPr>
              <w:pStyle w:val="TableText"/>
              <w:rPr>
                <w:rFonts w:cs="Arial"/>
              </w:rPr>
            </w:pPr>
            <w:r>
              <w:rPr>
                <w:rFonts w:cs="Arial"/>
              </w:rPr>
              <w:t>172.16.13.65</w:t>
            </w:r>
          </w:p>
        </w:tc>
        <w:tc>
          <w:tcPr>
            <w:tcW w:w="2922" w:type="dxa"/>
            <w:vAlign w:val="bottom"/>
          </w:tcPr>
          <w:p w14:paraId="2F12A22D" w14:textId="18B8FFA1" w:rsidR="004E7B8C" w:rsidRPr="004A1148" w:rsidRDefault="004E7B8C" w:rsidP="004E7B8C">
            <w:pPr>
              <w:pStyle w:val="TableText"/>
              <w:rPr>
                <w:rFonts w:cs="Arial"/>
              </w:rPr>
            </w:pPr>
            <w:r>
              <w:rPr>
                <w:rFonts w:cs="Arial"/>
              </w:rPr>
              <w:t>172.16.13.94</w:t>
            </w:r>
          </w:p>
        </w:tc>
        <w:tc>
          <w:tcPr>
            <w:tcW w:w="2905" w:type="dxa"/>
            <w:vAlign w:val="bottom"/>
          </w:tcPr>
          <w:p w14:paraId="78E458EF" w14:textId="6A15EB7F" w:rsidR="004E7B8C" w:rsidRPr="004A1148" w:rsidRDefault="004E7B8C" w:rsidP="004E7B8C">
            <w:pPr>
              <w:pStyle w:val="TableText"/>
              <w:ind w:left="284"/>
              <w:rPr>
                <w:rFonts w:cs="Arial"/>
              </w:rPr>
            </w:pPr>
            <w:r>
              <w:rPr>
                <w:rFonts w:cs="Arial"/>
              </w:rPr>
              <w:t>172.16.13.95</w:t>
            </w:r>
          </w:p>
        </w:tc>
      </w:tr>
      <w:tr w:rsidR="004E7B8C" w:rsidRPr="004A1148" w14:paraId="0B4ED2B0" w14:textId="77777777" w:rsidTr="005554AB">
        <w:trPr>
          <w:cantSplit/>
          <w:trHeight w:val="510"/>
          <w:jc w:val="center"/>
        </w:trPr>
        <w:tc>
          <w:tcPr>
            <w:tcW w:w="1412" w:type="dxa"/>
            <w:vAlign w:val="bottom"/>
          </w:tcPr>
          <w:p w14:paraId="609E3F7B" w14:textId="73AD242A" w:rsidR="004E7B8C" w:rsidRPr="004A1148" w:rsidRDefault="004E7B8C" w:rsidP="004E7B8C">
            <w:pPr>
              <w:pStyle w:val="TableText"/>
              <w:ind w:left="284"/>
              <w:rPr>
                <w:rFonts w:cs="Arial"/>
              </w:rPr>
            </w:pPr>
            <w:r>
              <w:rPr>
                <w:rFonts w:cs="Arial"/>
              </w:rPr>
              <w:t>C</w:t>
            </w:r>
          </w:p>
        </w:tc>
        <w:tc>
          <w:tcPr>
            <w:tcW w:w="2561" w:type="dxa"/>
            <w:vAlign w:val="bottom"/>
          </w:tcPr>
          <w:p w14:paraId="31F64227" w14:textId="0EAE3680" w:rsidR="004E7B8C" w:rsidRPr="004A1148" w:rsidRDefault="004E7B8C" w:rsidP="004E7B8C">
            <w:pPr>
              <w:pStyle w:val="TableText"/>
              <w:rPr>
                <w:rFonts w:cs="Arial"/>
              </w:rPr>
            </w:pPr>
            <w:r>
              <w:rPr>
                <w:rFonts w:cs="Arial"/>
              </w:rPr>
              <w:t>172.16.19.96</w:t>
            </w:r>
          </w:p>
        </w:tc>
        <w:tc>
          <w:tcPr>
            <w:tcW w:w="2552" w:type="dxa"/>
          </w:tcPr>
          <w:p w14:paraId="55665601" w14:textId="1DB65F74" w:rsidR="004E7B8C" w:rsidRPr="004A1148" w:rsidRDefault="004E7B8C" w:rsidP="004E7B8C">
            <w:pPr>
              <w:pStyle w:val="TableText"/>
              <w:rPr>
                <w:rFonts w:cs="Arial"/>
              </w:rPr>
            </w:pPr>
            <w:r>
              <w:rPr>
                <w:rFonts w:cs="Arial"/>
              </w:rPr>
              <w:t>255.255.255.248</w:t>
            </w:r>
          </w:p>
        </w:tc>
        <w:tc>
          <w:tcPr>
            <w:tcW w:w="2724" w:type="dxa"/>
            <w:vAlign w:val="bottom"/>
          </w:tcPr>
          <w:p w14:paraId="4F549E4B" w14:textId="51447F69" w:rsidR="004E7B8C" w:rsidRPr="004A1148" w:rsidRDefault="004E7B8C" w:rsidP="004E7B8C">
            <w:pPr>
              <w:pStyle w:val="TableText"/>
              <w:rPr>
                <w:rFonts w:cs="Arial"/>
              </w:rPr>
            </w:pPr>
            <w:r>
              <w:rPr>
                <w:rFonts w:cs="Arial"/>
              </w:rPr>
              <w:t>172.16.13.97</w:t>
            </w:r>
          </w:p>
        </w:tc>
        <w:tc>
          <w:tcPr>
            <w:tcW w:w="2922" w:type="dxa"/>
            <w:vAlign w:val="bottom"/>
          </w:tcPr>
          <w:p w14:paraId="7C499210" w14:textId="2055F794" w:rsidR="004E7B8C" w:rsidRPr="004A1148" w:rsidRDefault="004E7B8C" w:rsidP="004E7B8C">
            <w:pPr>
              <w:pStyle w:val="TableText"/>
              <w:rPr>
                <w:rFonts w:cs="Arial"/>
              </w:rPr>
            </w:pPr>
            <w:r>
              <w:rPr>
                <w:rFonts w:cs="Arial"/>
              </w:rPr>
              <w:t>172.16.13.102</w:t>
            </w:r>
          </w:p>
        </w:tc>
        <w:tc>
          <w:tcPr>
            <w:tcW w:w="2905" w:type="dxa"/>
            <w:vAlign w:val="bottom"/>
          </w:tcPr>
          <w:p w14:paraId="2D756274" w14:textId="259F925F" w:rsidR="004E7B8C" w:rsidRPr="004A1148" w:rsidRDefault="004E7B8C" w:rsidP="004E7B8C">
            <w:pPr>
              <w:pStyle w:val="TableText"/>
              <w:ind w:left="284"/>
              <w:rPr>
                <w:rFonts w:cs="Arial"/>
              </w:rPr>
            </w:pPr>
            <w:r>
              <w:rPr>
                <w:rFonts w:cs="Arial"/>
              </w:rPr>
              <w:t>172.16.13.103</w:t>
            </w:r>
          </w:p>
        </w:tc>
      </w:tr>
      <w:tr w:rsidR="004E7B8C" w:rsidRPr="004A1148" w14:paraId="27709968" w14:textId="77777777" w:rsidTr="005554AB">
        <w:trPr>
          <w:cantSplit/>
          <w:trHeight w:val="510"/>
          <w:jc w:val="center"/>
        </w:trPr>
        <w:tc>
          <w:tcPr>
            <w:tcW w:w="1412" w:type="dxa"/>
            <w:vAlign w:val="bottom"/>
          </w:tcPr>
          <w:p w14:paraId="20984A5F" w14:textId="162FDB88" w:rsidR="004E7B8C" w:rsidRPr="004A1148" w:rsidRDefault="004E7B8C" w:rsidP="004E7B8C">
            <w:pPr>
              <w:pStyle w:val="TableText"/>
              <w:ind w:left="284"/>
              <w:rPr>
                <w:rFonts w:cs="Arial"/>
              </w:rPr>
            </w:pPr>
            <w:r>
              <w:rPr>
                <w:rFonts w:cs="Arial"/>
              </w:rPr>
              <w:t>Serial link R1-R2</w:t>
            </w:r>
          </w:p>
        </w:tc>
        <w:tc>
          <w:tcPr>
            <w:tcW w:w="2561" w:type="dxa"/>
            <w:vAlign w:val="bottom"/>
          </w:tcPr>
          <w:p w14:paraId="0D69D9DC" w14:textId="14FFC19D" w:rsidR="004E7B8C" w:rsidRPr="004A1148" w:rsidRDefault="004E7B8C" w:rsidP="004E7B8C">
            <w:pPr>
              <w:pStyle w:val="TableText"/>
              <w:rPr>
                <w:rFonts w:cs="Arial"/>
              </w:rPr>
            </w:pPr>
            <w:r>
              <w:rPr>
                <w:rFonts w:cs="Arial"/>
              </w:rPr>
              <w:t>172.16.13.104</w:t>
            </w:r>
          </w:p>
        </w:tc>
        <w:tc>
          <w:tcPr>
            <w:tcW w:w="2552" w:type="dxa"/>
          </w:tcPr>
          <w:p w14:paraId="30D77B01" w14:textId="17EA1D67" w:rsidR="004E7B8C" w:rsidRPr="004A1148" w:rsidRDefault="004E7B8C" w:rsidP="004E7B8C">
            <w:pPr>
              <w:pStyle w:val="TableText"/>
              <w:rPr>
                <w:rFonts w:cs="Arial"/>
              </w:rPr>
            </w:pPr>
            <w:r>
              <w:rPr>
                <w:rFonts w:cs="Arial"/>
              </w:rPr>
              <w:t>255.255.255.248</w:t>
            </w:r>
          </w:p>
        </w:tc>
        <w:tc>
          <w:tcPr>
            <w:tcW w:w="2724" w:type="dxa"/>
            <w:vAlign w:val="bottom"/>
          </w:tcPr>
          <w:p w14:paraId="5596A409" w14:textId="1E9E487C" w:rsidR="004E7B8C" w:rsidRPr="004A1148" w:rsidRDefault="004E7B8C" w:rsidP="004E7B8C">
            <w:pPr>
              <w:pStyle w:val="TableText"/>
              <w:rPr>
                <w:rFonts w:cs="Arial"/>
              </w:rPr>
            </w:pPr>
            <w:r>
              <w:rPr>
                <w:rFonts w:cs="Arial"/>
              </w:rPr>
              <w:t>172.16.13.105</w:t>
            </w:r>
          </w:p>
        </w:tc>
        <w:tc>
          <w:tcPr>
            <w:tcW w:w="2922" w:type="dxa"/>
            <w:vAlign w:val="bottom"/>
          </w:tcPr>
          <w:p w14:paraId="0F1FE2D6" w14:textId="07381F97" w:rsidR="004E7B8C" w:rsidRPr="004A1148" w:rsidRDefault="004E7B8C" w:rsidP="004E7B8C">
            <w:pPr>
              <w:pStyle w:val="TableText"/>
              <w:rPr>
                <w:rFonts w:cs="Arial"/>
              </w:rPr>
            </w:pPr>
            <w:r>
              <w:rPr>
                <w:rFonts w:cs="Arial"/>
              </w:rPr>
              <w:t>172.16.13.106</w:t>
            </w:r>
          </w:p>
        </w:tc>
        <w:tc>
          <w:tcPr>
            <w:tcW w:w="2905" w:type="dxa"/>
            <w:vAlign w:val="bottom"/>
          </w:tcPr>
          <w:p w14:paraId="554DDEFE" w14:textId="557E3596" w:rsidR="004E7B8C" w:rsidRPr="004A1148" w:rsidRDefault="004E7B8C" w:rsidP="004E7B8C">
            <w:pPr>
              <w:pStyle w:val="TableText"/>
              <w:ind w:left="284"/>
              <w:rPr>
                <w:rFonts w:cs="Arial"/>
              </w:rPr>
            </w:pPr>
            <w:r>
              <w:rPr>
                <w:rFonts w:cs="Arial"/>
              </w:rPr>
              <w:t>172.16.13.107</w:t>
            </w:r>
          </w:p>
        </w:tc>
      </w:tr>
      <w:tr w:rsidR="004E7B8C" w:rsidRPr="004A1148" w14:paraId="0B6C4A12" w14:textId="77777777" w:rsidTr="005554AB">
        <w:trPr>
          <w:cantSplit/>
          <w:trHeight w:val="510"/>
          <w:jc w:val="center"/>
        </w:trPr>
        <w:tc>
          <w:tcPr>
            <w:tcW w:w="1412" w:type="dxa"/>
            <w:vAlign w:val="bottom"/>
          </w:tcPr>
          <w:p w14:paraId="61BCB553" w14:textId="2635616E" w:rsidR="004E7B8C" w:rsidRPr="004A1148" w:rsidRDefault="004E7B8C" w:rsidP="004E7B8C">
            <w:pPr>
              <w:pStyle w:val="TableText"/>
              <w:ind w:left="284"/>
              <w:rPr>
                <w:rFonts w:cs="Arial"/>
              </w:rPr>
            </w:pPr>
            <w:r>
              <w:rPr>
                <w:rFonts w:cs="Arial"/>
              </w:rPr>
              <w:t>Serial link R2-R3</w:t>
            </w:r>
          </w:p>
        </w:tc>
        <w:tc>
          <w:tcPr>
            <w:tcW w:w="2561" w:type="dxa"/>
            <w:vAlign w:val="bottom"/>
          </w:tcPr>
          <w:p w14:paraId="1F850D77" w14:textId="74D6ECB2" w:rsidR="004E7B8C" w:rsidRPr="004A1148" w:rsidRDefault="004E7B8C" w:rsidP="004E7B8C">
            <w:pPr>
              <w:pStyle w:val="TableText"/>
              <w:rPr>
                <w:rFonts w:cs="Arial"/>
              </w:rPr>
            </w:pPr>
            <w:r>
              <w:rPr>
                <w:rFonts w:cs="Arial"/>
              </w:rPr>
              <w:t>172.16.13.108</w:t>
            </w:r>
          </w:p>
        </w:tc>
        <w:tc>
          <w:tcPr>
            <w:tcW w:w="2552" w:type="dxa"/>
          </w:tcPr>
          <w:p w14:paraId="4E625FAD" w14:textId="5B35BF2F" w:rsidR="004E7B8C" w:rsidRPr="004A1148" w:rsidRDefault="004E7B8C" w:rsidP="004E7B8C">
            <w:pPr>
              <w:pStyle w:val="TableText"/>
              <w:rPr>
                <w:rFonts w:cs="Arial"/>
              </w:rPr>
            </w:pPr>
            <w:r>
              <w:rPr>
                <w:rFonts w:cs="Arial"/>
              </w:rPr>
              <w:t>255.255.255.248</w:t>
            </w:r>
          </w:p>
        </w:tc>
        <w:tc>
          <w:tcPr>
            <w:tcW w:w="2724" w:type="dxa"/>
            <w:vAlign w:val="bottom"/>
          </w:tcPr>
          <w:p w14:paraId="2EFD5AB2" w14:textId="7B08EDFA" w:rsidR="004E7B8C" w:rsidRPr="004A1148" w:rsidRDefault="004E7B8C" w:rsidP="004E7B8C">
            <w:pPr>
              <w:pStyle w:val="TableText"/>
              <w:rPr>
                <w:rFonts w:cs="Arial"/>
              </w:rPr>
            </w:pPr>
            <w:r>
              <w:rPr>
                <w:rFonts w:cs="Arial"/>
              </w:rPr>
              <w:t>172.16.13.109</w:t>
            </w:r>
          </w:p>
        </w:tc>
        <w:tc>
          <w:tcPr>
            <w:tcW w:w="2922" w:type="dxa"/>
            <w:vAlign w:val="bottom"/>
          </w:tcPr>
          <w:p w14:paraId="488D3941" w14:textId="7F6C2FBF" w:rsidR="004E7B8C" w:rsidRPr="004A1148" w:rsidRDefault="004E7B8C" w:rsidP="004E7B8C">
            <w:pPr>
              <w:pStyle w:val="TableText"/>
              <w:rPr>
                <w:rFonts w:cs="Arial"/>
              </w:rPr>
            </w:pPr>
            <w:r>
              <w:rPr>
                <w:rFonts w:cs="Arial"/>
              </w:rPr>
              <w:t>172.16.13.110</w:t>
            </w:r>
          </w:p>
        </w:tc>
        <w:tc>
          <w:tcPr>
            <w:tcW w:w="2905" w:type="dxa"/>
            <w:vAlign w:val="bottom"/>
          </w:tcPr>
          <w:p w14:paraId="6CDA3D3D" w14:textId="495C87A6" w:rsidR="004E7B8C" w:rsidRPr="004A1148" w:rsidRDefault="004E7B8C" w:rsidP="004E7B8C">
            <w:pPr>
              <w:pStyle w:val="TableText"/>
              <w:ind w:left="284"/>
              <w:rPr>
                <w:rFonts w:cs="Arial"/>
              </w:rPr>
            </w:pPr>
            <w:r>
              <w:rPr>
                <w:rFonts w:cs="Arial"/>
              </w:rPr>
              <w:t>172.16.13.111</w:t>
            </w:r>
          </w:p>
        </w:tc>
      </w:tr>
      <w:tr w:rsidR="004E7B8C" w:rsidRPr="004A1148" w14:paraId="7FC18FDC" w14:textId="77777777" w:rsidTr="005554AB">
        <w:trPr>
          <w:cantSplit/>
          <w:trHeight w:val="510"/>
          <w:jc w:val="center"/>
        </w:trPr>
        <w:tc>
          <w:tcPr>
            <w:tcW w:w="1412" w:type="dxa"/>
            <w:vAlign w:val="bottom"/>
          </w:tcPr>
          <w:p w14:paraId="1FB33D0A" w14:textId="77777777" w:rsidR="004E7B8C" w:rsidRPr="004A1148" w:rsidRDefault="004E7B8C" w:rsidP="004E7B8C">
            <w:pPr>
              <w:pStyle w:val="TableText"/>
              <w:ind w:left="284"/>
              <w:rPr>
                <w:rFonts w:cs="Arial"/>
              </w:rPr>
            </w:pPr>
          </w:p>
        </w:tc>
        <w:tc>
          <w:tcPr>
            <w:tcW w:w="2561" w:type="dxa"/>
            <w:vAlign w:val="bottom"/>
          </w:tcPr>
          <w:p w14:paraId="3A3974FC" w14:textId="77777777" w:rsidR="004E7B8C" w:rsidRPr="004A1148" w:rsidRDefault="004E7B8C" w:rsidP="004E7B8C">
            <w:pPr>
              <w:pStyle w:val="TableText"/>
              <w:rPr>
                <w:rFonts w:cs="Arial"/>
              </w:rPr>
            </w:pPr>
          </w:p>
        </w:tc>
        <w:tc>
          <w:tcPr>
            <w:tcW w:w="2552" w:type="dxa"/>
          </w:tcPr>
          <w:p w14:paraId="4949C4E8" w14:textId="77777777" w:rsidR="004E7B8C" w:rsidRPr="004A1148" w:rsidRDefault="004E7B8C" w:rsidP="004E7B8C">
            <w:pPr>
              <w:pStyle w:val="TableText"/>
              <w:rPr>
                <w:rFonts w:cs="Arial"/>
              </w:rPr>
            </w:pPr>
          </w:p>
        </w:tc>
        <w:tc>
          <w:tcPr>
            <w:tcW w:w="2724" w:type="dxa"/>
            <w:vAlign w:val="bottom"/>
          </w:tcPr>
          <w:p w14:paraId="2E13DE8F" w14:textId="77777777" w:rsidR="004E7B8C" w:rsidRPr="004A1148" w:rsidRDefault="004E7B8C" w:rsidP="004E7B8C">
            <w:pPr>
              <w:pStyle w:val="TableText"/>
              <w:rPr>
                <w:rFonts w:cs="Arial"/>
              </w:rPr>
            </w:pPr>
          </w:p>
        </w:tc>
        <w:tc>
          <w:tcPr>
            <w:tcW w:w="2922" w:type="dxa"/>
            <w:vAlign w:val="bottom"/>
          </w:tcPr>
          <w:p w14:paraId="4B4DEB77" w14:textId="77777777" w:rsidR="004E7B8C" w:rsidRPr="004A1148" w:rsidRDefault="004E7B8C" w:rsidP="004E7B8C">
            <w:pPr>
              <w:pStyle w:val="TableText"/>
              <w:rPr>
                <w:rFonts w:cs="Arial"/>
              </w:rPr>
            </w:pPr>
          </w:p>
        </w:tc>
        <w:tc>
          <w:tcPr>
            <w:tcW w:w="2905" w:type="dxa"/>
            <w:vAlign w:val="bottom"/>
          </w:tcPr>
          <w:p w14:paraId="074F1411" w14:textId="77777777" w:rsidR="004E7B8C" w:rsidRPr="004A1148" w:rsidRDefault="004E7B8C" w:rsidP="004E7B8C">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6DC80" w14:textId="77777777" w:rsidR="00F22F9E" w:rsidRDefault="00F22F9E">
      <w:r>
        <w:separator/>
      </w:r>
    </w:p>
  </w:endnote>
  <w:endnote w:type="continuationSeparator" w:id="0">
    <w:p w14:paraId="3AFA92D3" w14:textId="77777777" w:rsidR="00F22F9E" w:rsidRDefault="00F22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802FB" w14:textId="77777777" w:rsidR="00F22F9E" w:rsidRDefault="00F22F9E">
      <w:r>
        <w:separator/>
      </w:r>
    </w:p>
  </w:footnote>
  <w:footnote w:type="continuationSeparator" w:id="0">
    <w:p w14:paraId="039B4365" w14:textId="77777777" w:rsidR="00F22F9E" w:rsidRDefault="00F22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6F76A2A"/>
    <w:multiLevelType w:val="multilevel"/>
    <w:tmpl w:val="4EE2A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8"/>
  </w:num>
  <w:num w:numId="3">
    <w:abstractNumId w:val="13"/>
  </w:num>
  <w:num w:numId="4">
    <w:abstractNumId w:val="0"/>
  </w:num>
  <w:num w:numId="5">
    <w:abstractNumId w:val="1"/>
  </w:num>
  <w:num w:numId="6">
    <w:abstractNumId w:val="11"/>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4"/>
  </w:num>
  <w:num w:numId="15">
    <w:abstractNumId w:val="15"/>
  </w:num>
  <w:num w:numId="16">
    <w:abstractNumId w:val="10"/>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4"/>
  </w:num>
  <w:num w:numId="20">
    <w:abstractNumId w:val="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B0F19"/>
    <w:rsid w:val="000B5644"/>
    <w:rsid w:val="000C1C4B"/>
    <w:rsid w:val="000C23E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66B38"/>
    <w:rsid w:val="00170256"/>
    <w:rsid w:val="00175630"/>
    <w:rsid w:val="00183C17"/>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87ECA"/>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012D"/>
    <w:rsid w:val="0033182A"/>
    <w:rsid w:val="003370E7"/>
    <w:rsid w:val="00340740"/>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101"/>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C7ACE"/>
    <w:rsid w:val="004D2066"/>
    <w:rsid w:val="004E0538"/>
    <w:rsid w:val="004E568D"/>
    <w:rsid w:val="004E61B1"/>
    <w:rsid w:val="004E7B8C"/>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85B3F"/>
    <w:rsid w:val="006907D2"/>
    <w:rsid w:val="006934D4"/>
    <w:rsid w:val="006941F9"/>
    <w:rsid w:val="006945A0"/>
    <w:rsid w:val="00697883"/>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76D"/>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1F98"/>
    <w:rsid w:val="007A4950"/>
    <w:rsid w:val="007B0E70"/>
    <w:rsid w:val="007B1BD0"/>
    <w:rsid w:val="007B5081"/>
    <w:rsid w:val="007B58FD"/>
    <w:rsid w:val="007B796B"/>
    <w:rsid w:val="007C2987"/>
    <w:rsid w:val="007C4AB6"/>
    <w:rsid w:val="007C4C48"/>
    <w:rsid w:val="007D2A88"/>
    <w:rsid w:val="007D2CDF"/>
    <w:rsid w:val="007D43D0"/>
    <w:rsid w:val="007F44F2"/>
    <w:rsid w:val="007F4DA4"/>
    <w:rsid w:val="007F5D21"/>
    <w:rsid w:val="00800069"/>
    <w:rsid w:val="00800C74"/>
    <w:rsid w:val="00801FAF"/>
    <w:rsid w:val="00802E62"/>
    <w:rsid w:val="00807B02"/>
    <w:rsid w:val="00807F3C"/>
    <w:rsid w:val="00812373"/>
    <w:rsid w:val="00812B59"/>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C4ACD"/>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4C82"/>
    <w:rsid w:val="00945C29"/>
    <w:rsid w:val="0095477A"/>
    <w:rsid w:val="00955B4C"/>
    <w:rsid w:val="00961967"/>
    <w:rsid w:val="009630B3"/>
    <w:rsid w:val="00965881"/>
    <w:rsid w:val="00971B1E"/>
    <w:rsid w:val="00972701"/>
    <w:rsid w:val="009753C1"/>
    <w:rsid w:val="009767C6"/>
    <w:rsid w:val="00982290"/>
    <w:rsid w:val="00983C7E"/>
    <w:rsid w:val="009871FF"/>
    <w:rsid w:val="00997432"/>
    <w:rsid w:val="009A1145"/>
    <w:rsid w:val="009A43AF"/>
    <w:rsid w:val="009C68DF"/>
    <w:rsid w:val="009C6E95"/>
    <w:rsid w:val="009E11D1"/>
    <w:rsid w:val="009E183D"/>
    <w:rsid w:val="009E541B"/>
    <w:rsid w:val="009F0BE7"/>
    <w:rsid w:val="009F5486"/>
    <w:rsid w:val="009F7BAE"/>
    <w:rsid w:val="00A05A11"/>
    <w:rsid w:val="00A071E4"/>
    <w:rsid w:val="00A153E4"/>
    <w:rsid w:val="00A1663B"/>
    <w:rsid w:val="00A16BB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40A"/>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327F"/>
    <w:rsid w:val="00AF4F17"/>
    <w:rsid w:val="00AF6826"/>
    <w:rsid w:val="00B004E6"/>
    <w:rsid w:val="00B00906"/>
    <w:rsid w:val="00B00E19"/>
    <w:rsid w:val="00B10873"/>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2EA5"/>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38AF"/>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BF7CB7"/>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28EB"/>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2F9E"/>
    <w:rsid w:val="00F249F1"/>
    <w:rsid w:val="00F25B9D"/>
    <w:rsid w:val="00F25EE5"/>
    <w:rsid w:val="00F2664E"/>
    <w:rsid w:val="00F31B81"/>
    <w:rsid w:val="00F3740B"/>
    <w:rsid w:val="00F47520"/>
    <w:rsid w:val="00F511F5"/>
    <w:rsid w:val="00F541DB"/>
    <w:rsid w:val="00F6103A"/>
    <w:rsid w:val="00F63D13"/>
    <w:rsid w:val="00F74F12"/>
    <w:rsid w:val="00F77099"/>
    <w:rsid w:val="00F83D44"/>
    <w:rsid w:val="00F841F7"/>
    <w:rsid w:val="00F90D08"/>
    <w:rsid w:val="00F9122A"/>
    <w:rsid w:val="00F924FC"/>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2DF5"/>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character" w:styleId="FollowedHyperlink">
    <w:name w:val="FollowedHyperlink"/>
    <w:basedOn w:val="DefaultParagraphFont"/>
    <w:semiHidden/>
    <w:unhideWhenUsed/>
    <w:rsid w:val="00A071E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08923923">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10579668">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2101559156">
      <w:bodyDiv w:val="1"/>
      <w:marLeft w:val="0"/>
      <w:marRight w:val="0"/>
      <w:marTop w:val="0"/>
      <w:marBottom w:val="0"/>
      <w:divBdr>
        <w:top w:val="none" w:sz="0" w:space="0" w:color="auto"/>
        <w:left w:val="none" w:sz="0" w:space="0" w:color="auto"/>
        <w:bottom w:val="none" w:sz="0" w:space="0" w:color="auto"/>
        <w:right w:val="none" w:sz="0" w:space="0" w:color="auto"/>
      </w:divBdr>
      <w:divsChild>
        <w:div w:id="1899054839">
          <w:marLeft w:val="0"/>
          <w:marRight w:val="0"/>
          <w:marTop w:val="0"/>
          <w:marBottom w:val="0"/>
          <w:divBdr>
            <w:top w:val="none" w:sz="0" w:space="0" w:color="auto"/>
            <w:left w:val="none" w:sz="0" w:space="0" w:color="auto"/>
            <w:bottom w:val="none" w:sz="0" w:space="0" w:color="auto"/>
            <w:right w:val="none" w:sz="0" w:space="0" w:color="auto"/>
          </w:divBdr>
        </w:div>
        <w:div w:id="1498371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3A198AF-03EC-42A8-A8E2-8DFC6E531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5</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6328</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Harry Byrne</cp:lastModifiedBy>
  <cp:revision>171</cp:revision>
  <cp:lastPrinted>2014-11-07T14:47:00Z</cp:lastPrinted>
  <dcterms:created xsi:type="dcterms:W3CDTF">2014-11-07T15:09:00Z</dcterms:created>
  <dcterms:modified xsi:type="dcterms:W3CDTF">2019-12-18T14:50:00Z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26ce99b2-0ad7-3ab3-b766-58ac0aa641ed</vt:lpwstr>
  </property>
  <property fmtid="{D5CDD505-2E9C-101B-9397-08002B2CF9AE}" pid="27" name="Mendeley Citation Style_1">
    <vt:lpwstr>http://www.zotero.org/styles/ieee</vt:lpwstr>
  </property>
</Properties>
</file>