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E2FE7" w14:textId="77777777" w:rsidR="00300044" w:rsidRDefault="00300044">
      <w:pPr>
        <w:spacing w:before="0" w:after="160" w:line="259" w:lineRule="auto"/>
        <w:jc w:val="center"/>
        <w:rPr>
          <w:b/>
          <w:bCs/>
          <w:sz w:val="36"/>
          <w:szCs w:val="36"/>
        </w:rPr>
      </w:pPr>
    </w:p>
    <w:p w14:paraId="648095EB" w14:textId="77777777" w:rsidR="00300044" w:rsidRDefault="00300044">
      <w:pPr>
        <w:spacing w:before="0" w:after="160" w:line="259" w:lineRule="auto"/>
        <w:jc w:val="center"/>
        <w:rPr>
          <w:b/>
          <w:bCs/>
          <w:sz w:val="36"/>
          <w:szCs w:val="36"/>
        </w:rPr>
      </w:pPr>
    </w:p>
    <w:p w14:paraId="340452E1" w14:textId="77777777" w:rsidR="00300044" w:rsidRDefault="00300044">
      <w:pPr>
        <w:spacing w:before="0" w:after="160" w:line="259" w:lineRule="auto"/>
        <w:jc w:val="center"/>
        <w:rPr>
          <w:b/>
          <w:bCs/>
          <w:sz w:val="36"/>
          <w:szCs w:val="36"/>
        </w:rPr>
      </w:pPr>
    </w:p>
    <w:p w14:paraId="24EC5AE8" w14:textId="77777777" w:rsidR="00300044" w:rsidRDefault="00300044">
      <w:pPr>
        <w:spacing w:before="0" w:after="160" w:line="259" w:lineRule="auto"/>
        <w:jc w:val="center"/>
        <w:rPr>
          <w:b/>
          <w:bCs/>
          <w:sz w:val="36"/>
          <w:szCs w:val="36"/>
        </w:rPr>
      </w:pPr>
    </w:p>
    <w:p w14:paraId="1A682F9B" w14:textId="77777777" w:rsidR="00300044" w:rsidRDefault="002602FB">
      <w:pPr>
        <w:spacing w:before="0" w:after="160" w:line="259" w:lineRule="auto"/>
        <w:jc w:val="center"/>
        <w:rPr>
          <w:b/>
          <w:bCs/>
          <w:sz w:val="36"/>
          <w:szCs w:val="36"/>
        </w:rPr>
      </w:pPr>
      <w:r>
        <w:rPr>
          <w:b/>
          <w:bCs/>
          <w:noProof/>
          <w:sz w:val="36"/>
          <w:szCs w:val="36"/>
        </w:rPr>
        <w:drawing>
          <wp:inline distT="0" distB="0" distL="0" distR="0" wp14:anchorId="3B2ADDCC" wp14:editId="768BB026">
            <wp:extent cx="3343742" cy="1209844"/>
            <wp:effectExtent l="0" t="0" r="0" b="0"/>
            <wp:docPr id="158910353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343742" cy="1209844"/>
                    </a:xfrm>
                    <a:prstGeom prst="rect">
                      <a:avLst/>
                    </a:prstGeom>
                    <a:ln/>
                  </pic:spPr>
                </pic:pic>
              </a:graphicData>
            </a:graphic>
          </wp:inline>
        </w:drawing>
      </w:r>
    </w:p>
    <w:p w14:paraId="29F6FF10" w14:textId="77777777" w:rsidR="00300044" w:rsidRDefault="002602FB">
      <w:pPr>
        <w:spacing w:before="0" w:after="160" w:line="259" w:lineRule="auto"/>
        <w:jc w:val="center"/>
        <w:rPr>
          <w:b/>
          <w:bCs/>
          <w:sz w:val="36"/>
          <w:szCs w:val="36"/>
        </w:rPr>
      </w:pPr>
      <w:r>
        <w:rPr>
          <w:b/>
          <w:bCs/>
          <w:sz w:val="36"/>
          <w:szCs w:val="36"/>
        </w:rPr>
        <w:t>THE IMPACT OF SUSTAINABLE PACKAGING PERCEPTIONS ON BRAND LOYALTY IN THE UK FOOD AND BEVERAGE INDUSTRY</w:t>
      </w:r>
    </w:p>
    <w:p w14:paraId="03A3D3AB" w14:textId="77777777" w:rsidR="00300044" w:rsidRDefault="00300044">
      <w:pPr>
        <w:spacing w:before="0" w:after="160" w:line="259" w:lineRule="auto"/>
        <w:jc w:val="center"/>
      </w:pPr>
    </w:p>
    <w:p w14:paraId="3EFC0C35" w14:textId="0A396337" w:rsidR="00300044" w:rsidRDefault="002602FB">
      <w:pPr>
        <w:spacing w:before="0" w:after="160" w:line="259" w:lineRule="auto"/>
        <w:jc w:val="center"/>
      </w:pPr>
      <w:r>
        <w:t xml:space="preserve">Student </w:t>
      </w:r>
      <w:proofErr w:type="spellStart"/>
      <w:proofErr w:type="gramStart"/>
      <w:r>
        <w:t>Name:</w:t>
      </w:r>
      <w:r w:rsidR="00521FE3">
        <w:t>Prajapati</w:t>
      </w:r>
      <w:proofErr w:type="spellEnd"/>
      <w:proofErr w:type="gramEnd"/>
      <w:r w:rsidR="00521FE3">
        <w:t xml:space="preserve"> </w:t>
      </w:r>
      <w:proofErr w:type="spellStart"/>
      <w:r w:rsidR="00521FE3">
        <w:t>Jigarkumar</w:t>
      </w:r>
      <w:proofErr w:type="spellEnd"/>
      <w:r w:rsidR="00521FE3">
        <w:t xml:space="preserve"> </w:t>
      </w:r>
      <w:proofErr w:type="spellStart"/>
      <w:r w:rsidR="00521FE3">
        <w:t>Yogeshbhai</w:t>
      </w:r>
      <w:proofErr w:type="spellEnd"/>
    </w:p>
    <w:p w14:paraId="666D12DC" w14:textId="77777777" w:rsidR="00300044" w:rsidRDefault="00300044">
      <w:pPr>
        <w:spacing w:before="0" w:after="160" w:line="259" w:lineRule="auto"/>
        <w:jc w:val="center"/>
      </w:pPr>
    </w:p>
    <w:p w14:paraId="01797850" w14:textId="04B8B7E8" w:rsidR="00300044" w:rsidRDefault="002602FB">
      <w:pPr>
        <w:spacing w:before="0" w:after="160" w:line="259" w:lineRule="auto"/>
        <w:jc w:val="center"/>
      </w:pPr>
      <w:r>
        <w:t>Student ID:</w:t>
      </w:r>
      <w:r w:rsidR="00521FE3">
        <w:t>2430810</w:t>
      </w:r>
    </w:p>
    <w:p w14:paraId="2C09483D" w14:textId="77777777" w:rsidR="00300044" w:rsidRDefault="00300044">
      <w:pPr>
        <w:spacing w:before="0" w:after="160" w:line="259" w:lineRule="auto"/>
        <w:jc w:val="center"/>
      </w:pPr>
    </w:p>
    <w:p w14:paraId="7B252852" w14:textId="77777777" w:rsidR="00300044" w:rsidRDefault="002602FB">
      <w:pPr>
        <w:spacing w:before="0" w:after="160" w:line="259" w:lineRule="auto"/>
        <w:jc w:val="center"/>
      </w:pPr>
      <w:r>
        <w:t>Module Name: Dissertation</w:t>
      </w:r>
    </w:p>
    <w:p w14:paraId="5B88C72A" w14:textId="77777777" w:rsidR="00300044" w:rsidRDefault="00300044">
      <w:pPr>
        <w:spacing w:before="0" w:after="160" w:line="259" w:lineRule="auto"/>
        <w:jc w:val="center"/>
      </w:pPr>
    </w:p>
    <w:p w14:paraId="294D71BF" w14:textId="77777777" w:rsidR="00300044" w:rsidRDefault="002602FB">
      <w:pPr>
        <w:spacing w:before="0" w:after="160" w:line="259" w:lineRule="auto"/>
        <w:jc w:val="center"/>
      </w:pPr>
      <w:r>
        <w:t>Module Code: LCMB7035</w:t>
      </w:r>
    </w:p>
    <w:p w14:paraId="1B117DE9" w14:textId="77777777" w:rsidR="00300044" w:rsidRDefault="002602FB">
      <w:pPr>
        <w:spacing w:before="0" w:after="160" w:line="259" w:lineRule="auto"/>
        <w:jc w:val="left"/>
      </w:pPr>
      <w:r>
        <w:br w:type="page"/>
      </w:r>
    </w:p>
    <w:p w14:paraId="09181F1A" w14:textId="77777777" w:rsidR="00300044" w:rsidRDefault="002602FB">
      <w:pPr>
        <w:rPr>
          <w:b/>
          <w:bCs/>
        </w:rPr>
      </w:pPr>
      <w:r>
        <w:rPr>
          <w:b/>
          <w:bCs/>
        </w:rPr>
        <w:lastRenderedPageBreak/>
        <w:t>Abstract</w:t>
      </w:r>
    </w:p>
    <w:p w14:paraId="7D6DD88C" w14:textId="77777777" w:rsidR="00300044" w:rsidRDefault="002602FB">
      <w:r>
        <w:t xml:space="preserve">Green packaging has become a significant issue in the food and beverage industry as organisations responded to the question of the environment, the changing consumer preferences and needs and the need to be responsible in their business operations. However, the same positive attitudes to sustainable packaging might be not translated into a long-lasting loyalty towards any </w:t>
      </w:r>
      <w:proofErr w:type="gramStart"/>
      <w:r>
        <w:t>particular brand</w:t>
      </w:r>
      <w:proofErr w:type="gramEnd"/>
      <w:r>
        <w:t xml:space="preserve">. This dissertation examines the role of consumer perception of sustainable packaging as a determinant of brand loyalty in UK food and beverage industry. </w:t>
      </w:r>
      <w:proofErr w:type="gramStart"/>
      <w:r>
        <w:t>In particular, perceived</w:t>
      </w:r>
      <w:proofErr w:type="gramEnd"/>
      <w:r>
        <w:t xml:space="preserve"> recyclability, environmental information and </w:t>
      </w:r>
      <w:proofErr w:type="spellStart"/>
      <w:r>
        <w:t>labeling</w:t>
      </w:r>
      <w:proofErr w:type="spellEnd"/>
      <w:r>
        <w:t xml:space="preserve">, packaging functionality, convenience, trust, intentions to repeat purchase, commitment and brand preference are </w:t>
      </w:r>
      <w:proofErr w:type="gramStart"/>
      <w:r>
        <w:t>taken into account</w:t>
      </w:r>
      <w:proofErr w:type="gramEnd"/>
      <w:r>
        <w:t>. This was a quantitative study adopted and structured online questionnaire was used whereby the adult consumers in the UK were incorporated as the target respondents. To analyse the data collected, descriptive statistics, reliability analysis, Pearson correlation and multiple regression were used. Results indicate that even though consumers know that there are several environmental and functional benefits of sustainable packaging, the attitudes towards the considered packaging failed to demonstrate statistically significant direct relationships with brand preference. The results of the reliability also show that the measurement structure in general is not that reliable and that the items differ (demographically and conceptually) should be measured independently. Overall, the study is conducted with the aim of concluding that sustainable packaging will be capable of increasing positive attitudes towards it, but it cannot be considered as a factor that will affect the brand loyalties by its own. The food and beverage organisations should accompany sustainable packaging with realistic communication, functionality, consumer watching and prolific strategy in the relationship building process.</w:t>
      </w:r>
      <w:r>
        <w:br w:type="page"/>
      </w:r>
    </w:p>
    <w:p w14:paraId="7A196439" w14:textId="77777777" w:rsidR="00300044" w:rsidRDefault="002602FB">
      <w:pPr>
        <w:jc w:val="center"/>
        <w:rPr>
          <w:b/>
          <w:bCs/>
          <w:sz w:val="28"/>
          <w:szCs w:val="28"/>
        </w:rPr>
      </w:pPr>
      <w:r>
        <w:rPr>
          <w:b/>
          <w:bCs/>
          <w:sz w:val="28"/>
          <w:szCs w:val="28"/>
        </w:rPr>
        <w:lastRenderedPageBreak/>
        <w:t>Table of Contents</w:t>
      </w:r>
    </w:p>
    <w:sdt>
      <w:sdtPr>
        <w:id w:val="-503075298"/>
        <w:docPartObj>
          <w:docPartGallery w:val="Table of Contents"/>
          <w:docPartUnique/>
        </w:docPartObj>
      </w:sdtPr>
      <w:sdtEndPr/>
      <w:sdtContent>
        <w:p w14:paraId="3B26D82B" w14:textId="77777777" w:rsidR="00300044" w:rsidRDefault="002602FB">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ptvkg5h6830y">
            <w:r>
              <w:rPr>
                <w:color w:val="000000"/>
              </w:rPr>
              <w:t>Chapter 1: Introduction</w:t>
            </w:r>
            <w:r>
              <w:rPr>
                <w:color w:val="000000"/>
              </w:rPr>
              <w:tab/>
              <w:t>7</w:t>
            </w:r>
          </w:hyperlink>
        </w:p>
        <w:p w14:paraId="5C3FAE07"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m9e4cgnszc7d">
            <w:r>
              <w:rPr>
                <w:color w:val="000000"/>
              </w:rPr>
              <w:t>1.1 Background</w:t>
            </w:r>
            <w:r>
              <w:rPr>
                <w:color w:val="000000"/>
              </w:rPr>
              <w:tab/>
              <w:t>7</w:t>
            </w:r>
          </w:hyperlink>
        </w:p>
        <w:p w14:paraId="12043C88"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1hd6hb3zfo79">
            <w:r>
              <w:rPr>
                <w:color w:val="000000"/>
              </w:rPr>
              <w:t>1.2 Sustainable Packaging and Consumer Behaviour</w:t>
            </w:r>
            <w:r>
              <w:rPr>
                <w:color w:val="000000"/>
              </w:rPr>
              <w:tab/>
              <w:t>8</w:t>
            </w:r>
          </w:hyperlink>
        </w:p>
        <w:p w14:paraId="4792D5CB"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qh6svz5lq2xo">
            <w:r>
              <w:rPr>
                <w:color w:val="000000"/>
              </w:rPr>
              <w:t>1.3 Problem Statement</w:t>
            </w:r>
            <w:r>
              <w:rPr>
                <w:color w:val="000000"/>
              </w:rPr>
              <w:tab/>
              <w:t>9</w:t>
            </w:r>
          </w:hyperlink>
        </w:p>
        <w:p w14:paraId="6720A2E9"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fbt4xfu3d3qa">
            <w:r>
              <w:rPr>
                <w:color w:val="000000"/>
              </w:rPr>
              <w:t>1.4 Research Aim</w:t>
            </w:r>
            <w:r>
              <w:rPr>
                <w:color w:val="000000"/>
              </w:rPr>
              <w:tab/>
              <w:t>10</w:t>
            </w:r>
          </w:hyperlink>
        </w:p>
        <w:p w14:paraId="6A16C080"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xdxrl8tt43oo">
            <w:r>
              <w:rPr>
                <w:color w:val="000000"/>
              </w:rPr>
              <w:t>1.5 Research Objectives</w:t>
            </w:r>
            <w:r>
              <w:rPr>
                <w:color w:val="000000"/>
              </w:rPr>
              <w:tab/>
              <w:t>10</w:t>
            </w:r>
          </w:hyperlink>
        </w:p>
        <w:p w14:paraId="05E3D202"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lieo8arfowuf">
            <w:r>
              <w:rPr>
                <w:color w:val="000000"/>
              </w:rPr>
              <w:t>1.6 Research Questions</w:t>
            </w:r>
            <w:r>
              <w:rPr>
                <w:color w:val="000000"/>
              </w:rPr>
              <w:tab/>
              <w:t>10</w:t>
            </w:r>
          </w:hyperlink>
        </w:p>
        <w:p w14:paraId="0FFC5299"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p5wi8k3av7n1">
            <w:r>
              <w:rPr>
                <w:color w:val="000000"/>
              </w:rPr>
              <w:t>1.7 Importance of the Research</w:t>
            </w:r>
            <w:r>
              <w:rPr>
                <w:color w:val="000000"/>
              </w:rPr>
              <w:tab/>
              <w:t>10</w:t>
            </w:r>
          </w:hyperlink>
        </w:p>
        <w:p w14:paraId="5DF97014"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xrg6foyrflkx">
            <w:r>
              <w:rPr>
                <w:color w:val="000000"/>
              </w:rPr>
              <w:t>1.8 Scope of the Study</w:t>
            </w:r>
            <w:r>
              <w:rPr>
                <w:color w:val="000000"/>
              </w:rPr>
              <w:tab/>
              <w:t>11</w:t>
            </w:r>
          </w:hyperlink>
        </w:p>
        <w:p w14:paraId="454D8775"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6sg2z6bzkw4f">
            <w:r>
              <w:rPr>
                <w:color w:val="000000"/>
              </w:rPr>
              <w:t>1.9 Dissertation Structure</w:t>
            </w:r>
            <w:r>
              <w:rPr>
                <w:color w:val="000000"/>
              </w:rPr>
              <w:tab/>
              <w:t>11</w:t>
            </w:r>
          </w:hyperlink>
        </w:p>
        <w:p w14:paraId="4A526553" w14:textId="77777777" w:rsidR="00300044" w:rsidRDefault="002602FB">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q8dhwa8bg8as">
            <w:r>
              <w:rPr>
                <w:color w:val="000000"/>
              </w:rPr>
              <w:t>Chapter 2: Literature Review</w:t>
            </w:r>
            <w:r>
              <w:rPr>
                <w:color w:val="000000"/>
              </w:rPr>
              <w:tab/>
              <w:t>13</w:t>
            </w:r>
          </w:hyperlink>
        </w:p>
        <w:p w14:paraId="5606087A"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licne8erlxy0">
            <w:r>
              <w:rPr>
                <w:color w:val="000000"/>
              </w:rPr>
              <w:t>2.1 Introduction</w:t>
            </w:r>
            <w:r>
              <w:rPr>
                <w:color w:val="000000"/>
              </w:rPr>
              <w:tab/>
              <w:t>13</w:t>
            </w:r>
          </w:hyperlink>
        </w:p>
        <w:p w14:paraId="40801CAB"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dqxvedkqqvhw">
            <w:r>
              <w:rPr>
                <w:color w:val="000000"/>
              </w:rPr>
              <w:t>2.2 Critical Review of Articles</w:t>
            </w:r>
            <w:r>
              <w:rPr>
                <w:color w:val="000000"/>
              </w:rPr>
              <w:tab/>
              <w:t>14</w:t>
            </w:r>
          </w:hyperlink>
        </w:p>
        <w:p w14:paraId="0DD898A0" w14:textId="77777777" w:rsidR="00300044" w:rsidRDefault="002602FB">
          <w:pPr>
            <w:pBdr>
              <w:top w:val="nil"/>
              <w:left w:val="nil"/>
              <w:bottom w:val="nil"/>
              <w:right w:val="nil"/>
              <w:between w:val="nil"/>
            </w:pBdr>
            <w:tabs>
              <w:tab w:val="right" w:leader="dot" w:pos="9016"/>
            </w:tabs>
            <w:spacing w:after="100"/>
            <w:ind w:left="480"/>
            <w:rPr>
              <w:rFonts w:ascii="Calibri" w:eastAsia="Calibri" w:hAnsi="Calibri" w:cs="Calibri"/>
              <w:color w:val="000000"/>
            </w:rPr>
          </w:pPr>
          <w:hyperlink w:anchor="_heading=h.kpf8ru34mquf">
            <w:r>
              <w:rPr>
                <w:color w:val="000000"/>
              </w:rPr>
              <w:t>2.2.1 Sustainable Packaging and Consumer Behaviour</w:t>
            </w:r>
            <w:r>
              <w:rPr>
                <w:color w:val="000000"/>
              </w:rPr>
              <w:tab/>
              <w:t>14</w:t>
            </w:r>
          </w:hyperlink>
        </w:p>
        <w:p w14:paraId="4963F70F" w14:textId="77777777" w:rsidR="00300044" w:rsidRDefault="002602FB">
          <w:pPr>
            <w:pBdr>
              <w:top w:val="nil"/>
              <w:left w:val="nil"/>
              <w:bottom w:val="nil"/>
              <w:right w:val="nil"/>
              <w:between w:val="nil"/>
            </w:pBdr>
            <w:tabs>
              <w:tab w:val="right" w:leader="dot" w:pos="9016"/>
            </w:tabs>
            <w:spacing w:after="100"/>
            <w:ind w:left="480"/>
            <w:rPr>
              <w:rFonts w:ascii="Calibri" w:eastAsia="Calibri" w:hAnsi="Calibri" w:cs="Calibri"/>
              <w:color w:val="000000"/>
            </w:rPr>
          </w:pPr>
          <w:hyperlink w:anchor="_heading=h.rws5asnokhbj">
            <w:r>
              <w:rPr>
                <w:color w:val="000000"/>
              </w:rPr>
              <w:t>2.2.2 Environmentally Friendly Packaging and Brand Image</w:t>
            </w:r>
            <w:r>
              <w:rPr>
                <w:color w:val="000000"/>
              </w:rPr>
              <w:tab/>
              <w:t>16</w:t>
            </w:r>
          </w:hyperlink>
        </w:p>
        <w:p w14:paraId="1B09D87D" w14:textId="77777777" w:rsidR="00300044" w:rsidRDefault="002602FB">
          <w:pPr>
            <w:pBdr>
              <w:top w:val="nil"/>
              <w:left w:val="nil"/>
              <w:bottom w:val="nil"/>
              <w:right w:val="nil"/>
              <w:between w:val="nil"/>
            </w:pBdr>
            <w:tabs>
              <w:tab w:val="right" w:leader="dot" w:pos="9016"/>
            </w:tabs>
            <w:spacing w:after="100"/>
            <w:ind w:left="480"/>
            <w:rPr>
              <w:rFonts w:ascii="Calibri" w:eastAsia="Calibri" w:hAnsi="Calibri" w:cs="Calibri"/>
              <w:color w:val="000000"/>
            </w:rPr>
          </w:pPr>
          <w:hyperlink w:anchor="_heading=h.zaysvbxgoalf">
            <w:r>
              <w:rPr>
                <w:color w:val="000000"/>
              </w:rPr>
              <w:t>2.2.3 Sustainable Packaging, Trust and Satisfaction</w:t>
            </w:r>
            <w:r>
              <w:rPr>
                <w:color w:val="000000"/>
              </w:rPr>
              <w:tab/>
              <w:t>17</w:t>
            </w:r>
          </w:hyperlink>
        </w:p>
        <w:p w14:paraId="63C2E54F" w14:textId="77777777" w:rsidR="00300044" w:rsidRDefault="002602FB">
          <w:pPr>
            <w:pBdr>
              <w:top w:val="nil"/>
              <w:left w:val="nil"/>
              <w:bottom w:val="nil"/>
              <w:right w:val="nil"/>
              <w:between w:val="nil"/>
            </w:pBdr>
            <w:tabs>
              <w:tab w:val="right" w:leader="dot" w:pos="9016"/>
            </w:tabs>
            <w:spacing w:after="100"/>
            <w:ind w:left="480"/>
            <w:rPr>
              <w:rFonts w:ascii="Calibri" w:eastAsia="Calibri" w:hAnsi="Calibri" w:cs="Calibri"/>
              <w:color w:val="000000"/>
            </w:rPr>
          </w:pPr>
          <w:hyperlink w:anchor="_heading=h.7lb8jftvhjth">
            <w:r>
              <w:rPr>
                <w:color w:val="000000"/>
              </w:rPr>
              <w:t>2.2.4 Brand Loyalty</w:t>
            </w:r>
            <w:r>
              <w:rPr>
                <w:color w:val="000000"/>
              </w:rPr>
              <w:tab/>
              <w:t>19</w:t>
            </w:r>
          </w:hyperlink>
        </w:p>
        <w:p w14:paraId="46E406DA" w14:textId="77777777" w:rsidR="00300044" w:rsidRDefault="002602FB">
          <w:pPr>
            <w:pBdr>
              <w:top w:val="nil"/>
              <w:left w:val="nil"/>
              <w:bottom w:val="nil"/>
              <w:right w:val="nil"/>
              <w:between w:val="nil"/>
            </w:pBdr>
            <w:tabs>
              <w:tab w:val="right" w:leader="dot" w:pos="9016"/>
            </w:tabs>
            <w:spacing w:after="100"/>
            <w:ind w:left="480"/>
            <w:rPr>
              <w:rFonts w:ascii="Calibri" w:eastAsia="Calibri" w:hAnsi="Calibri" w:cs="Calibri"/>
              <w:color w:val="000000"/>
            </w:rPr>
          </w:pPr>
          <w:hyperlink w:anchor="_heading=h.xtjijj5zln4m">
            <w:r>
              <w:rPr>
                <w:color w:val="000000"/>
              </w:rPr>
              <w:t>2.2.5 Relationship Between Sustainable Packaging Perceptions and Brand Loyalty</w:t>
            </w:r>
            <w:r>
              <w:rPr>
                <w:color w:val="000000"/>
              </w:rPr>
              <w:tab/>
              <w:t>19</w:t>
            </w:r>
          </w:hyperlink>
        </w:p>
        <w:p w14:paraId="34E7BC67"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4al5fur3lycx">
            <w:r>
              <w:rPr>
                <w:color w:val="000000"/>
              </w:rPr>
              <w:t>2.3 Critical review of Theoretical Framework</w:t>
            </w:r>
            <w:r>
              <w:rPr>
                <w:color w:val="000000"/>
              </w:rPr>
              <w:tab/>
              <w:t>21</w:t>
            </w:r>
          </w:hyperlink>
        </w:p>
        <w:p w14:paraId="393381C7"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vp6rwgpt8mfg">
            <w:r>
              <w:rPr>
                <w:color w:val="000000"/>
              </w:rPr>
              <w:t>2.4 Conceptual Framework</w:t>
            </w:r>
            <w:r>
              <w:rPr>
                <w:color w:val="000000"/>
              </w:rPr>
              <w:tab/>
              <w:t>23</w:t>
            </w:r>
          </w:hyperlink>
        </w:p>
        <w:p w14:paraId="08067847"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s17j36gmnbow">
            <w:r>
              <w:rPr>
                <w:color w:val="000000"/>
              </w:rPr>
              <w:t>2.5 Research Gap</w:t>
            </w:r>
            <w:r>
              <w:rPr>
                <w:color w:val="000000"/>
              </w:rPr>
              <w:tab/>
              <w:t>24</w:t>
            </w:r>
          </w:hyperlink>
        </w:p>
        <w:p w14:paraId="7B40EC1E"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hubj19k14f5">
            <w:r>
              <w:rPr>
                <w:color w:val="000000"/>
              </w:rPr>
              <w:t>2.6 Summary</w:t>
            </w:r>
            <w:r>
              <w:rPr>
                <w:color w:val="000000"/>
              </w:rPr>
              <w:tab/>
              <w:t>24</w:t>
            </w:r>
          </w:hyperlink>
        </w:p>
        <w:p w14:paraId="04AF412D" w14:textId="77777777" w:rsidR="00300044" w:rsidRDefault="002602FB">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wkos49ef66af">
            <w:r>
              <w:rPr>
                <w:color w:val="000000"/>
              </w:rPr>
              <w:t>Chapter 3: Research Methodology</w:t>
            </w:r>
            <w:r>
              <w:rPr>
                <w:color w:val="000000"/>
              </w:rPr>
              <w:tab/>
              <w:t>26</w:t>
            </w:r>
          </w:hyperlink>
        </w:p>
        <w:p w14:paraId="5263FBA4"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h55z11umo1xa">
            <w:r>
              <w:rPr>
                <w:color w:val="000000"/>
              </w:rPr>
              <w:t>3.1 Introduction</w:t>
            </w:r>
            <w:r>
              <w:rPr>
                <w:color w:val="000000"/>
              </w:rPr>
              <w:tab/>
              <w:t>26</w:t>
            </w:r>
          </w:hyperlink>
        </w:p>
        <w:p w14:paraId="60B9A76E"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bjdhjpwrzwlw">
            <w:r>
              <w:rPr>
                <w:color w:val="000000"/>
              </w:rPr>
              <w:t>3.2 Research Philosophy</w:t>
            </w:r>
            <w:r>
              <w:rPr>
                <w:color w:val="000000"/>
              </w:rPr>
              <w:tab/>
              <w:t>26</w:t>
            </w:r>
          </w:hyperlink>
        </w:p>
        <w:p w14:paraId="4D591388"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grvll0y6cibr">
            <w:r>
              <w:rPr>
                <w:color w:val="000000"/>
              </w:rPr>
              <w:t>3.3 Research Approach</w:t>
            </w:r>
            <w:r>
              <w:rPr>
                <w:color w:val="000000"/>
              </w:rPr>
              <w:tab/>
              <w:t>27</w:t>
            </w:r>
          </w:hyperlink>
        </w:p>
        <w:p w14:paraId="6D4F29D0"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s3cllyj3jzgt">
            <w:r>
              <w:rPr>
                <w:color w:val="000000"/>
              </w:rPr>
              <w:t>3.4 Research Methodology</w:t>
            </w:r>
            <w:r>
              <w:rPr>
                <w:color w:val="000000"/>
              </w:rPr>
              <w:tab/>
              <w:t>27</w:t>
            </w:r>
          </w:hyperlink>
        </w:p>
        <w:p w14:paraId="1103EF80"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yvbadlriu232">
            <w:r>
              <w:rPr>
                <w:color w:val="000000"/>
              </w:rPr>
              <w:t>3.5 Research Strategy</w:t>
            </w:r>
            <w:r>
              <w:rPr>
                <w:color w:val="000000"/>
              </w:rPr>
              <w:tab/>
              <w:t>28</w:t>
            </w:r>
          </w:hyperlink>
        </w:p>
        <w:p w14:paraId="5F07BA5E"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hh9ne99b8gx2">
            <w:r>
              <w:rPr>
                <w:color w:val="000000"/>
              </w:rPr>
              <w:t>3.6 Research Design</w:t>
            </w:r>
            <w:r>
              <w:rPr>
                <w:color w:val="000000"/>
              </w:rPr>
              <w:tab/>
              <w:t>28</w:t>
            </w:r>
          </w:hyperlink>
        </w:p>
        <w:p w14:paraId="4685A32E"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uaaz7afwmthz">
            <w:r>
              <w:rPr>
                <w:color w:val="000000"/>
              </w:rPr>
              <w:t>3.7 Target Population</w:t>
            </w:r>
            <w:r>
              <w:rPr>
                <w:color w:val="000000"/>
              </w:rPr>
              <w:tab/>
              <w:t>29</w:t>
            </w:r>
          </w:hyperlink>
        </w:p>
        <w:p w14:paraId="0FD1FF4B"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mszk65wiwk9b">
            <w:r>
              <w:rPr>
                <w:color w:val="000000"/>
              </w:rPr>
              <w:t>3.8 Massive sampling</w:t>
            </w:r>
            <w:r>
              <w:rPr>
                <w:color w:val="000000"/>
              </w:rPr>
              <w:tab/>
              <w:t>29</w:t>
            </w:r>
          </w:hyperlink>
        </w:p>
        <w:p w14:paraId="063BA316"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kob0l960toky">
            <w:r>
              <w:rPr>
                <w:color w:val="000000"/>
              </w:rPr>
              <w:t>3.9 Data Collection Method</w:t>
            </w:r>
            <w:r>
              <w:rPr>
                <w:color w:val="000000"/>
              </w:rPr>
              <w:tab/>
              <w:t>30</w:t>
            </w:r>
          </w:hyperlink>
        </w:p>
        <w:p w14:paraId="38EC375E"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p11z3f4t89n0">
            <w:r>
              <w:rPr>
                <w:color w:val="000000"/>
              </w:rPr>
              <w:t>3.10 Data Analysis</w:t>
            </w:r>
            <w:r>
              <w:rPr>
                <w:color w:val="000000"/>
              </w:rPr>
              <w:tab/>
              <w:t>31</w:t>
            </w:r>
          </w:hyperlink>
        </w:p>
        <w:p w14:paraId="5914E9B6"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tmwomr2bjzdi">
            <w:r>
              <w:rPr>
                <w:color w:val="000000"/>
              </w:rPr>
              <w:t>3.11 Reliability and Validity</w:t>
            </w:r>
            <w:r>
              <w:rPr>
                <w:color w:val="000000"/>
              </w:rPr>
              <w:tab/>
              <w:t>31</w:t>
            </w:r>
          </w:hyperlink>
        </w:p>
        <w:p w14:paraId="1256DFC9"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z52lm2pctujy">
            <w:r>
              <w:rPr>
                <w:color w:val="000000"/>
              </w:rPr>
              <w:t>3.12 Ethical Considerations</w:t>
            </w:r>
            <w:r>
              <w:rPr>
                <w:color w:val="000000"/>
              </w:rPr>
              <w:tab/>
              <w:t>32</w:t>
            </w:r>
          </w:hyperlink>
        </w:p>
        <w:p w14:paraId="29D3CE61"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lc3ng6727v2j">
            <w:r>
              <w:rPr>
                <w:color w:val="000000"/>
              </w:rPr>
              <w:t>3.13 Methodological Limitations</w:t>
            </w:r>
            <w:r>
              <w:rPr>
                <w:color w:val="000000"/>
              </w:rPr>
              <w:tab/>
              <w:t>33</w:t>
            </w:r>
          </w:hyperlink>
        </w:p>
        <w:p w14:paraId="3DA12718"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irvh6xx3cdzk">
            <w:r>
              <w:rPr>
                <w:color w:val="000000"/>
              </w:rPr>
              <w:t>3.14 Chapter Summary</w:t>
            </w:r>
            <w:r>
              <w:rPr>
                <w:color w:val="000000"/>
              </w:rPr>
              <w:tab/>
              <w:t>33</w:t>
            </w:r>
          </w:hyperlink>
        </w:p>
        <w:p w14:paraId="6A65A4F9" w14:textId="77777777" w:rsidR="00300044" w:rsidRDefault="002602FB">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qxjv49ukprxm">
            <w:r>
              <w:rPr>
                <w:color w:val="000000"/>
              </w:rPr>
              <w:t>Chapter 4: Findings</w:t>
            </w:r>
            <w:r>
              <w:rPr>
                <w:color w:val="000000"/>
              </w:rPr>
              <w:tab/>
              <w:t>34</w:t>
            </w:r>
          </w:hyperlink>
        </w:p>
        <w:p w14:paraId="5876DBD1"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vdtvxayv2t9n">
            <w:r>
              <w:rPr>
                <w:color w:val="000000"/>
              </w:rPr>
              <w:t>4.1 Introduction</w:t>
            </w:r>
            <w:r>
              <w:rPr>
                <w:color w:val="000000"/>
              </w:rPr>
              <w:tab/>
              <w:t>34</w:t>
            </w:r>
          </w:hyperlink>
        </w:p>
        <w:p w14:paraId="62DBC853"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8c6gf1kr53vt">
            <w:r>
              <w:rPr>
                <w:color w:val="000000"/>
              </w:rPr>
              <w:t>4.2 Descriptive statistical analysis</w:t>
            </w:r>
            <w:r>
              <w:rPr>
                <w:color w:val="000000"/>
              </w:rPr>
              <w:tab/>
              <w:t>35</w:t>
            </w:r>
          </w:hyperlink>
        </w:p>
        <w:p w14:paraId="24A10B78"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x0swg0cyx5fj">
            <w:r>
              <w:rPr>
                <w:color w:val="000000"/>
              </w:rPr>
              <w:t>4.3 Pearson Correlation Analysis</w:t>
            </w:r>
            <w:r>
              <w:rPr>
                <w:color w:val="000000"/>
              </w:rPr>
              <w:tab/>
              <w:t>44</w:t>
            </w:r>
          </w:hyperlink>
        </w:p>
        <w:p w14:paraId="5141C2F9"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kuahyguktukv">
            <w:r>
              <w:rPr>
                <w:color w:val="000000"/>
              </w:rPr>
              <w:t>4.4 Cronbach’s Alpha Reliability</w:t>
            </w:r>
            <w:r>
              <w:rPr>
                <w:color w:val="000000"/>
              </w:rPr>
              <w:tab/>
              <w:t>48</w:t>
            </w:r>
          </w:hyperlink>
        </w:p>
        <w:p w14:paraId="62E1B621"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pvtfwwm2uvto">
            <w:r>
              <w:rPr>
                <w:color w:val="000000"/>
              </w:rPr>
              <w:t>4.5 Multiple Regression</w:t>
            </w:r>
            <w:r>
              <w:rPr>
                <w:color w:val="000000"/>
              </w:rPr>
              <w:tab/>
              <w:t>51</w:t>
            </w:r>
          </w:hyperlink>
        </w:p>
        <w:p w14:paraId="0814EA81"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k46uvw7zwqt5">
            <w:r>
              <w:rPr>
                <w:color w:val="000000"/>
              </w:rPr>
              <w:t>4.6 Summary</w:t>
            </w:r>
            <w:r>
              <w:rPr>
                <w:color w:val="000000"/>
              </w:rPr>
              <w:tab/>
              <w:t>54</w:t>
            </w:r>
          </w:hyperlink>
        </w:p>
        <w:p w14:paraId="25751A87" w14:textId="77777777" w:rsidR="00300044" w:rsidRDefault="002602FB">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b7ciwpgim8cf">
            <w:r>
              <w:rPr>
                <w:color w:val="000000"/>
              </w:rPr>
              <w:t>Chapter 5: Discussion</w:t>
            </w:r>
            <w:r>
              <w:rPr>
                <w:color w:val="000000"/>
              </w:rPr>
              <w:tab/>
              <w:t>55</w:t>
            </w:r>
          </w:hyperlink>
        </w:p>
        <w:p w14:paraId="18876158"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5wolonjnsan4">
            <w:r>
              <w:rPr>
                <w:color w:val="000000"/>
              </w:rPr>
              <w:t>5.1 Introduction</w:t>
            </w:r>
            <w:r>
              <w:rPr>
                <w:color w:val="000000"/>
              </w:rPr>
              <w:tab/>
              <w:t>55</w:t>
            </w:r>
          </w:hyperlink>
        </w:p>
        <w:p w14:paraId="1CAE3E91"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l4ip1ltjzj4e">
            <w:r>
              <w:rPr>
                <w:color w:val="000000"/>
              </w:rPr>
              <w:t>5.2 Discussion</w:t>
            </w:r>
            <w:r>
              <w:rPr>
                <w:color w:val="000000"/>
              </w:rPr>
              <w:tab/>
              <w:t>55</w:t>
            </w:r>
          </w:hyperlink>
        </w:p>
        <w:p w14:paraId="63A31318"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paportr7eqx5">
            <w:r>
              <w:rPr>
                <w:color w:val="000000"/>
              </w:rPr>
              <w:t>5.3 Summary</w:t>
            </w:r>
            <w:r>
              <w:rPr>
                <w:color w:val="000000"/>
              </w:rPr>
              <w:tab/>
              <w:t>58</w:t>
            </w:r>
          </w:hyperlink>
        </w:p>
        <w:p w14:paraId="0220786F" w14:textId="77777777" w:rsidR="00300044" w:rsidRDefault="002602FB">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kgirqk7p2o44">
            <w:r>
              <w:rPr>
                <w:color w:val="000000"/>
              </w:rPr>
              <w:t>Chapter 6: Conclusion and Recommendation</w:t>
            </w:r>
            <w:r>
              <w:rPr>
                <w:color w:val="000000"/>
              </w:rPr>
              <w:tab/>
              <w:t>59</w:t>
            </w:r>
          </w:hyperlink>
        </w:p>
        <w:p w14:paraId="32B8DF57"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segvpivgx3dj">
            <w:r>
              <w:rPr>
                <w:color w:val="000000"/>
              </w:rPr>
              <w:t>6.1 Conclusion</w:t>
            </w:r>
            <w:r>
              <w:rPr>
                <w:color w:val="000000"/>
              </w:rPr>
              <w:tab/>
              <w:t>59</w:t>
            </w:r>
          </w:hyperlink>
        </w:p>
        <w:p w14:paraId="795CDC1B"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ub3uiyhfhwb6">
            <w:r>
              <w:rPr>
                <w:color w:val="000000"/>
              </w:rPr>
              <w:t>6.2 Linking with Objectives</w:t>
            </w:r>
            <w:r>
              <w:rPr>
                <w:color w:val="000000"/>
              </w:rPr>
              <w:tab/>
              <w:t>59</w:t>
            </w:r>
          </w:hyperlink>
        </w:p>
        <w:p w14:paraId="7A74DDEF"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9ap4polfbdcv">
            <w:r>
              <w:rPr>
                <w:color w:val="000000"/>
              </w:rPr>
              <w:t>6.3 Recommendations</w:t>
            </w:r>
            <w:r>
              <w:rPr>
                <w:color w:val="000000"/>
              </w:rPr>
              <w:tab/>
              <w:t>60</w:t>
            </w:r>
          </w:hyperlink>
        </w:p>
        <w:p w14:paraId="707309D7"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ks181cihdgzg">
            <w:r>
              <w:rPr>
                <w:color w:val="000000"/>
              </w:rPr>
              <w:t>6.4 Future scope</w:t>
            </w:r>
            <w:r>
              <w:rPr>
                <w:color w:val="000000"/>
              </w:rPr>
              <w:tab/>
              <w:t>61</w:t>
            </w:r>
          </w:hyperlink>
        </w:p>
        <w:p w14:paraId="084D6C3A" w14:textId="77777777" w:rsidR="00300044" w:rsidRDefault="002602FB">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vx2mwe8rch8m">
            <w:r>
              <w:rPr>
                <w:color w:val="000000"/>
              </w:rPr>
              <w:t>Reference List</w:t>
            </w:r>
            <w:r>
              <w:rPr>
                <w:color w:val="000000"/>
              </w:rPr>
              <w:tab/>
              <w:t>63</w:t>
            </w:r>
          </w:hyperlink>
        </w:p>
        <w:p w14:paraId="1D3DAEEF" w14:textId="77777777" w:rsidR="00300044" w:rsidRDefault="002602FB">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7rgnvyqg870f">
            <w:r>
              <w:rPr>
                <w:color w:val="000000"/>
              </w:rPr>
              <w:t>Appendix</w:t>
            </w:r>
            <w:r>
              <w:rPr>
                <w:color w:val="000000"/>
              </w:rPr>
              <w:tab/>
              <w:t>73</w:t>
            </w:r>
          </w:hyperlink>
        </w:p>
        <w:p w14:paraId="626CD3B3"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e5knttr6uruv">
            <w:r>
              <w:rPr>
                <w:color w:val="000000"/>
              </w:rPr>
              <w:t>Literature Matrix</w:t>
            </w:r>
            <w:r>
              <w:rPr>
                <w:color w:val="000000"/>
              </w:rPr>
              <w:tab/>
              <w:t>73</w:t>
            </w:r>
          </w:hyperlink>
        </w:p>
        <w:p w14:paraId="040261CF"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uodxvomb9w0p">
            <w:r>
              <w:rPr>
                <w:color w:val="000000"/>
              </w:rPr>
              <w:t>Descriptive statistical analysis</w:t>
            </w:r>
            <w:r>
              <w:rPr>
                <w:color w:val="000000"/>
              </w:rPr>
              <w:tab/>
              <w:t>79</w:t>
            </w:r>
          </w:hyperlink>
        </w:p>
        <w:p w14:paraId="6A6EE543"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q58b91lxqmq0">
            <w:r>
              <w:rPr>
                <w:color w:val="000000"/>
              </w:rPr>
              <w:t>SPSS Results</w:t>
            </w:r>
            <w:r>
              <w:rPr>
                <w:color w:val="000000"/>
              </w:rPr>
              <w:tab/>
              <w:t>83</w:t>
            </w:r>
          </w:hyperlink>
        </w:p>
        <w:p w14:paraId="3B5E3BD8" w14:textId="77777777" w:rsidR="00300044" w:rsidRDefault="002602FB">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eading=h.imzovndkytkz">
            <w:r>
              <w:rPr>
                <w:color w:val="000000"/>
              </w:rPr>
              <w:t>Survey questionnaire</w:t>
            </w:r>
            <w:r>
              <w:rPr>
                <w:color w:val="000000"/>
              </w:rPr>
              <w:tab/>
              <w:t>86</w:t>
            </w:r>
          </w:hyperlink>
        </w:p>
        <w:p w14:paraId="292A94A7" w14:textId="77777777" w:rsidR="00300044" w:rsidRDefault="002602FB">
          <w:r>
            <w:fldChar w:fldCharType="end"/>
          </w:r>
        </w:p>
      </w:sdtContent>
    </w:sdt>
    <w:p w14:paraId="61959392" w14:textId="77777777" w:rsidR="00300044" w:rsidRDefault="002602FB">
      <w:pPr>
        <w:spacing w:before="0" w:after="160" w:line="259" w:lineRule="auto"/>
        <w:jc w:val="left"/>
      </w:pPr>
      <w:r>
        <w:br w:type="page"/>
      </w:r>
    </w:p>
    <w:p w14:paraId="424B3E20" w14:textId="77777777" w:rsidR="00300044" w:rsidRDefault="002602FB">
      <w:pPr>
        <w:spacing w:before="0" w:after="160" w:line="259" w:lineRule="auto"/>
        <w:jc w:val="left"/>
        <w:rPr>
          <w:b/>
          <w:bCs/>
        </w:rPr>
      </w:pPr>
      <w:r>
        <w:rPr>
          <w:b/>
          <w:bCs/>
        </w:rPr>
        <w:lastRenderedPageBreak/>
        <w:t xml:space="preserve">List of Figures </w:t>
      </w:r>
    </w:p>
    <w:sdt>
      <w:sdtPr>
        <w:id w:val="1731507839"/>
        <w:docPartObj>
          <w:docPartGallery w:val="Table of Contents"/>
          <w:docPartUnique/>
        </w:docPartObj>
      </w:sdtPr>
      <w:sdtEndPr/>
      <w:sdtContent>
        <w:p w14:paraId="5B9B35A7" w14:textId="77777777" w:rsidR="00300044" w:rsidRDefault="002602FB">
          <w:pPr>
            <w:pBdr>
              <w:top w:val="nil"/>
              <w:left w:val="nil"/>
              <w:bottom w:val="nil"/>
              <w:right w:val="nil"/>
              <w:between w:val="nil"/>
            </w:pBdr>
            <w:tabs>
              <w:tab w:val="right" w:pos="9016"/>
            </w:tabs>
            <w:spacing w:after="0"/>
            <w:rPr>
              <w:color w:val="000000"/>
            </w:rPr>
          </w:pPr>
          <w:r>
            <w:fldChar w:fldCharType="begin"/>
          </w:r>
          <w:r>
            <w:instrText xml:space="preserve"> TOC \h \u \z \t "Heading 1,1,Heading 2,2,Heading 3,3,Heading 4,4,Heading 5,5,Heading 6,6,"</w:instrText>
          </w:r>
          <w:r>
            <w:fldChar w:fldCharType="separate"/>
          </w:r>
          <w:hyperlink w:anchor="_heading=h.vi51oporxbrj">
            <w:r>
              <w:rPr>
                <w:color w:val="000000"/>
              </w:rPr>
              <w:t>Figure 1: Eco-Friendly Food Packaging Market</w:t>
            </w:r>
            <w:r>
              <w:rPr>
                <w:color w:val="000000"/>
              </w:rPr>
              <w:tab/>
              <w:t>7</w:t>
            </w:r>
          </w:hyperlink>
        </w:p>
        <w:p w14:paraId="6C663450" w14:textId="77777777" w:rsidR="00300044" w:rsidRDefault="002602FB">
          <w:pPr>
            <w:pBdr>
              <w:top w:val="nil"/>
              <w:left w:val="nil"/>
              <w:bottom w:val="nil"/>
              <w:right w:val="nil"/>
              <w:between w:val="nil"/>
            </w:pBdr>
            <w:tabs>
              <w:tab w:val="right" w:pos="9016"/>
            </w:tabs>
            <w:spacing w:after="0"/>
            <w:rPr>
              <w:color w:val="000000"/>
            </w:rPr>
          </w:pPr>
          <w:hyperlink w:anchor="_heading=h.cpf39j63hfv1">
            <w:r>
              <w:rPr>
                <w:color w:val="000000"/>
              </w:rPr>
              <w:t>Figure 2.1: Theory of Planned behaviour</w:t>
            </w:r>
            <w:r>
              <w:rPr>
                <w:color w:val="000000"/>
              </w:rPr>
              <w:tab/>
              <w:t>22</w:t>
            </w:r>
          </w:hyperlink>
        </w:p>
        <w:p w14:paraId="27F1C970" w14:textId="77777777" w:rsidR="00300044" w:rsidRDefault="002602FB">
          <w:pPr>
            <w:pBdr>
              <w:top w:val="nil"/>
              <w:left w:val="nil"/>
              <w:bottom w:val="nil"/>
              <w:right w:val="nil"/>
              <w:between w:val="nil"/>
            </w:pBdr>
            <w:tabs>
              <w:tab w:val="right" w:pos="9016"/>
            </w:tabs>
            <w:spacing w:after="0"/>
            <w:rPr>
              <w:color w:val="000000"/>
            </w:rPr>
          </w:pPr>
          <w:hyperlink w:anchor="_heading=h.s0fvtcfoh4i8">
            <w:r>
              <w:rPr>
                <w:color w:val="000000"/>
              </w:rPr>
              <w:t>Figure 2.2: Conceptual Framework</w:t>
            </w:r>
            <w:r>
              <w:rPr>
                <w:color w:val="000000"/>
              </w:rPr>
              <w:tab/>
              <w:t>23</w:t>
            </w:r>
          </w:hyperlink>
        </w:p>
        <w:p w14:paraId="01C9A894" w14:textId="77777777" w:rsidR="00300044" w:rsidRDefault="002602FB">
          <w:pPr>
            <w:pBdr>
              <w:top w:val="nil"/>
              <w:left w:val="nil"/>
              <w:bottom w:val="nil"/>
              <w:right w:val="nil"/>
              <w:between w:val="nil"/>
            </w:pBdr>
            <w:tabs>
              <w:tab w:val="right" w:pos="9016"/>
            </w:tabs>
            <w:spacing w:after="0"/>
            <w:rPr>
              <w:color w:val="000000"/>
            </w:rPr>
          </w:pPr>
          <w:hyperlink w:anchor="_heading=h.1a2puxihchfd">
            <w:r>
              <w:rPr>
                <w:color w:val="000000"/>
              </w:rPr>
              <w:t>Figure 4.1 Descriptive analysis</w:t>
            </w:r>
            <w:r>
              <w:rPr>
                <w:color w:val="000000"/>
              </w:rPr>
              <w:tab/>
              <w:t>38</w:t>
            </w:r>
          </w:hyperlink>
        </w:p>
        <w:p w14:paraId="3054F5E8" w14:textId="77777777" w:rsidR="00300044" w:rsidRDefault="002602FB">
          <w:pPr>
            <w:pBdr>
              <w:top w:val="nil"/>
              <w:left w:val="nil"/>
              <w:bottom w:val="nil"/>
              <w:right w:val="nil"/>
              <w:between w:val="nil"/>
            </w:pBdr>
            <w:tabs>
              <w:tab w:val="right" w:pos="9016"/>
            </w:tabs>
            <w:spacing w:after="0"/>
            <w:rPr>
              <w:color w:val="000000"/>
            </w:rPr>
          </w:pPr>
          <w:hyperlink w:anchor="_heading=h.dvw5uchygmd2">
            <w:r>
              <w:rPr>
                <w:color w:val="000000"/>
              </w:rPr>
              <w:t>Figure 4.2: Correlation Results</w:t>
            </w:r>
            <w:r>
              <w:rPr>
                <w:color w:val="000000"/>
              </w:rPr>
              <w:tab/>
              <w:t>46</w:t>
            </w:r>
          </w:hyperlink>
        </w:p>
        <w:p w14:paraId="466A8B57" w14:textId="77777777" w:rsidR="00300044" w:rsidRDefault="002602FB">
          <w:pPr>
            <w:pBdr>
              <w:top w:val="nil"/>
              <w:left w:val="nil"/>
              <w:bottom w:val="nil"/>
              <w:right w:val="nil"/>
              <w:between w:val="nil"/>
            </w:pBdr>
            <w:tabs>
              <w:tab w:val="right" w:pos="9016"/>
            </w:tabs>
            <w:spacing w:after="0"/>
            <w:rPr>
              <w:color w:val="000000"/>
            </w:rPr>
          </w:pPr>
          <w:hyperlink w:anchor="_heading=h.pz16roku9036">
            <w:r>
              <w:rPr>
                <w:color w:val="000000"/>
              </w:rPr>
              <w:t>Figure 4.3: Reliability Results</w:t>
            </w:r>
            <w:r>
              <w:rPr>
                <w:color w:val="000000"/>
              </w:rPr>
              <w:tab/>
              <w:t>48</w:t>
            </w:r>
          </w:hyperlink>
        </w:p>
        <w:p w14:paraId="00707315" w14:textId="77777777" w:rsidR="00300044" w:rsidRDefault="002602FB">
          <w:pPr>
            <w:pBdr>
              <w:top w:val="nil"/>
              <w:left w:val="nil"/>
              <w:bottom w:val="nil"/>
              <w:right w:val="nil"/>
              <w:between w:val="nil"/>
            </w:pBdr>
            <w:tabs>
              <w:tab w:val="right" w:pos="9016"/>
            </w:tabs>
            <w:spacing w:after="0"/>
            <w:rPr>
              <w:color w:val="000000"/>
            </w:rPr>
          </w:pPr>
          <w:hyperlink w:anchor="_heading=h.fvb55w739svg">
            <w:r>
              <w:rPr>
                <w:color w:val="000000"/>
              </w:rPr>
              <w:t>Figure 4.4: Regression Results</w:t>
            </w:r>
            <w:r>
              <w:rPr>
                <w:color w:val="000000"/>
              </w:rPr>
              <w:tab/>
              <w:t>50</w:t>
            </w:r>
          </w:hyperlink>
          <w:r>
            <w:fldChar w:fldCharType="end"/>
          </w:r>
        </w:p>
      </w:sdtContent>
    </w:sdt>
    <w:p w14:paraId="74FBA45F" w14:textId="77777777" w:rsidR="00300044" w:rsidRDefault="002602FB">
      <w:pPr>
        <w:spacing w:before="0" w:after="160" w:line="259" w:lineRule="auto"/>
        <w:jc w:val="left"/>
        <w:rPr>
          <w:b/>
          <w:bCs/>
          <w:color w:val="000000"/>
          <w:sz w:val="28"/>
          <w:szCs w:val="28"/>
        </w:rPr>
      </w:pPr>
      <w:r>
        <w:br w:type="page"/>
      </w:r>
    </w:p>
    <w:p w14:paraId="74DDD61B" w14:textId="77777777" w:rsidR="00300044" w:rsidRDefault="002602FB">
      <w:pPr>
        <w:pStyle w:val="Heading1"/>
      </w:pPr>
      <w:bookmarkStart w:id="0" w:name="_heading=h.ptvkg5h6830y" w:colFirst="0" w:colLast="0"/>
      <w:bookmarkEnd w:id="0"/>
      <w:r>
        <w:lastRenderedPageBreak/>
        <w:t>Chapter 1: Introduction</w:t>
      </w:r>
    </w:p>
    <w:p w14:paraId="7D6BD074" w14:textId="77777777" w:rsidR="00300044" w:rsidRDefault="002602FB">
      <w:pPr>
        <w:pStyle w:val="Heading2"/>
      </w:pPr>
      <w:bookmarkStart w:id="1" w:name="_heading=h.m9e4cgnszc7d" w:colFirst="0" w:colLast="0"/>
      <w:bookmarkEnd w:id="1"/>
      <w:r>
        <w:t>1.1 Background</w:t>
      </w:r>
    </w:p>
    <w:p w14:paraId="2C28DBB7" w14:textId="77777777" w:rsidR="00300044" w:rsidRDefault="002602FB">
      <w:r>
        <w:t>In recent years, the food and beverage industry has changed a lot because of the grave issue of environmental sustainability for companies and consumers. The growing anxieties regarding the matters of climate change, plastic waste, over-packaging waste, and the utilisation of natural resources have advocated more sustainable practices by organisations (</w:t>
      </w:r>
      <w:proofErr w:type="spellStart"/>
      <w:r>
        <w:t>Wandhekar</w:t>
      </w:r>
      <w:proofErr w:type="spellEnd"/>
      <w:r>
        <w:t xml:space="preserve"> et al., 2026). Among the developments, packaging has gained special consideration as it is among the initial contacts between products and consumers. Consumers are also starting to think in terms of materials used in packaging, recyclability, biodegradability, reusability and environmental impact to make a buying decision (Farzana and </w:t>
      </w:r>
      <w:proofErr w:type="spellStart"/>
      <w:r>
        <w:t>Pheettschomphuu</w:t>
      </w:r>
      <w:proofErr w:type="spellEnd"/>
      <w:r>
        <w:t>, 2023).</w:t>
      </w:r>
    </w:p>
    <w:p w14:paraId="3681D2C6" w14:textId="77777777" w:rsidR="00300044" w:rsidRDefault="002602FB">
      <w:pPr>
        <w:jc w:val="center"/>
      </w:pPr>
      <w:r>
        <w:rPr>
          <w:noProof/>
        </w:rPr>
        <w:drawing>
          <wp:inline distT="0" distB="0" distL="0" distR="0" wp14:anchorId="67F1A839" wp14:editId="3CCF8DD1">
            <wp:extent cx="4828747" cy="3621561"/>
            <wp:effectExtent l="0" t="0" r="0" b="0"/>
            <wp:docPr id="158910353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
                    <a:srcRect/>
                    <a:stretch>
                      <a:fillRect/>
                    </a:stretch>
                  </pic:blipFill>
                  <pic:spPr>
                    <a:xfrm>
                      <a:off x="0" y="0"/>
                      <a:ext cx="4828747" cy="3621561"/>
                    </a:xfrm>
                    <a:prstGeom prst="rect">
                      <a:avLst/>
                    </a:prstGeom>
                    <a:ln/>
                  </pic:spPr>
                </pic:pic>
              </a:graphicData>
            </a:graphic>
          </wp:inline>
        </w:drawing>
      </w:r>
    </w:p>
    <w:p w14:paraId="2D7FC0DC" w14:textId="77777777" w:rsidR="00300044" w:rsidRDefault="002602FB">
      <w:pPr>
        <w:pStyle w:val="Heading4"/>
      </w:pPr>
      <w:bookmarkStart w:id="2" w:name="_heading=h.vi51oporxbrj" w:colFirst="0" w:colLast="0"/>
      <w:bookmarkEnd w:id="2"/>
      <w:r>
        <w:t>Figure 1: Eco-Friendly Food Packaging Market</w:t>
      </w:r>
    </w:p>
    <w:p w14:paraId="191683FA" w14:textId="77777777" w:rsidR="00300044" w:rsidRDefault="002602FB">
      <w:pPr>
        <w:jc w:val="center"/>
      </w:pPr>
      <w:r>
        <w:t>(Source: The Business Research Company, 2026)</w:t>
      </w:r>
    </w:p>
    <w:p w14:paraId="0FD1CF50" w14:textId="77777777" w:rsidR="00300044" w:rsidRDefault="002602FB">
      <w:r>
        <w:lastRenderedPageBreak/>
        <w:t xml:space="preserve">Sustainable packaging is also a key issue </w:t>
      </w:r>
      <w:proofErr w:type="gramStart"/>
      <w:r>
        <w:t>in regard to</w:t>
      </w:r>
      <w:proofErr w:type="gramEnd"/>
      <w:r>
        <w:t xml:space="preserve"> the increasing rise of the worldwide capable environmental food packaging industry. It is estimated that the market will hit USD 271.54 in the course of 2025 and USD 439.90 in the year 2030. Geographical growth is associated with the growing environmental concerns, technological growth, government policies, and sustainable business activities (The Business Research Company, 2026). It goes to show how sustainable packaging is an important element of the general development of the food and beverage industry.</w:t>
      </w:r>
    </w:p>
    <w:p w14:paraId="7F0ADA18" w14:textId="77777777" w:rsidR="00300044" w:rsidRDefault="002602FB">
      <w:r>
        <w:t xml:space="preserve">UK is a useful background to this problem. It is one of the biggest and most competitive food and beverage markets in Europe, whose consumers are always in love with brands that are caring towards the environment and commercially ethical practices (Vuk and </w:t>
      </w:r>
      <w:proofErr w:type="spellStart"/>
      <w:r>
        <w:t>Bauerné</w:t>
      </w:r>
      <w:proofErr w:type="spellEnd"/>
      <w:r>
        <w:t xml:space="preserve"> Gáthy, 2026). As a result of this, various food and beverage companies are making increased investments in reusable, biodegradable, compostable and recyclable packaging that can meet the needs of consumers and environmental needs that are emerging. Sustainable packaging is thereby turning into more of a green activity. It can also be used as a marketing tool that can propel the brand image, consumer confidence and customer relations (Bih, 2026).</w:t>
      </w:r>
    </w:p>
    <w:p w14:paraId="5E5DC719" w14:textId="77777777" w:rsidR="00300044" w:rsidRDefault="002602FB">
      <w:r>
        <w:t>Consumer perception is critical because it might be perceived differently by different consumers regarding sustainable packaging. These perceptions might be characterised by such features as recyclability, biodegradability, transparency and eco-labelling (</w:t>
      </w:r>
      <w:proofErr w:type="spellStart"/>
      <w:r>
        <w:t>Anquez</w:t>
      </w:r>
      <w:proofErr w:type="spellEnd"/>
      <w:r>
        <w:t xml:space="preserve"> et al., 2022). The brand can be associated with responsible behaviour, good and ethical values by the impression created by the consumers. The perceptions can also underpin trust, emotional attachments, repeat purchasing and brand loyalty (Bih, 2026). Therefore, the problem of the sustainable packaging image of customers and the influence of these images on brand loyalty would be interesting to research in the context of the ability to understand the interdependence of sustainability and long-term brand success in the UK food and beverage sector. </w:t>
      </w:r>
    </w:p>
    <w:p w14:paraId="4EABF800" w14:textId="77777777" w:rsidR="00300044" w:rsidRDefault="002602FB">
      <w:pPr>
        <w:pStyle w:val="Heading2"/>
      </w:pPr>
      <w:bookmarkStart w:id="3" w:name="_heading=h.1hd6hb3zfo79" w:colFirst="0" w:colLast="0"/>
      <w:bookmarkEnd w:id="3"/>
      <w:r>
        <w:t>1.2 Sustainable Packaging and Consumer Behaviour</w:t>
      </w:r>
    </w:p>
    <w:p w14:paraId="365603BF" w14:textId="77777777" w:rsidR="00300044" w:rsidRDefault="002602FB">
      <w:r>
        <w:t>Sustainable packaging perceptions refer to the consumer perceptions concerning packaging, which aims at reducing effects on the environment and yet offers quality and functionality to the products. Such packaging can comprise recyclable, biodegradable, reusable and renewable materials (Kozik-</w:t>
      </w:r>
      <w:proofErr w:type="spellStart"/>
      <w:r>
        <w:t>Kołodziej</w:t>
      </w:r>
      <w:proofErr w:type="spellEnd"/>
      <w:r>
        <w:t xml:space="preserve">, 2026). </w:t>
      </w:r>
      <w:r>
        <w:lastRenderedPageBreak/>
        <w:t>Consumers can analyse sustainable packaging in the food and beverage industry along a series of attributes, and these attributes are perceived recyclability, environmental information in eco-labels, and convenience or functionality in packaging.</w:t>
      </w:r>
    </w:p>
    <w:p w14:paraId="1CDA97DF" w14:textId="77777777" w:rsidR="00300044" w:rsidRDefault="002602FB">
      <w:r>
        <w:t>The perceived recyclability may determine the degree to which consumers think that packaging has less negative impact on the environment. Consumers can also be informed by environmental information and eco-labels on the environmental qualities of a product and have an influence on the credibility of sustainability claims. However, consumers also consider practicality. Green packaging must offer convenience, safety, food safety and freshness in addition to environmental values (</w:t>
      </w:r>
      <w:proofErr w:type="spellStart"/>
      <w:r>
        <w:t>d'Astous</w:t>
      </w:r>
      <w:proofErr w:type="spellEnd"/>
      <w:r>
        <w:t xml:space="preserve"> and Labrecque, 2021). Therefore, even the positive perceptions about the environment may not be so substantial to trigger consumer behaviour. </w:t>
      </w:r>
    </w:p>
    <w:p w14:paraId="0901058E" w14:textId="77777777" w:rsidR="00300044" w:rsidRDefault="002602FB">
      <w:pPr>
        <w:pStyle w:val="Heading2"/>
      </w:pPr>
      <w:bookmarkStart w:id="4" w:name="_heading=h.qh6svz5lq2xo" w:colFirst="0" w:colLast="0"/>
      <w:bookmarkEnd w:id="4"/>
      <w:r>
        <w:t>1.3 Problem Statement</w:t>
      </w:r>
    </w:p>
    <w:p w14:paraId="073ECD44" w14:textId="77777777" w:rsidR="00300044" w:rsidRDefault="002602FB">
      <w:r>
        <w:t>The growing environmental awareness, regulatory demands, and consumer expectations have led to sustainability becoming a key consideration for food and beverage companies. Companies are therefore attempting to reduce the amount of plastic waste, improve recyclability, and utilise greener packaging materials (</w:t>
      </w:r>
      <w:proofErr w:type="spellStart"/>
      <w:r>
        <w:t>Wandhekar</w:t>
      </w:r>
      <w:proofErr w:type="spellEnd"/>
      <w:r>
        <w:t xml:space="preserve"> et al., 2026). Sustainable packaging usage does not, however, mean that consumers will be loyal to a brand in the long term.</w:t>
      </w:r>
    </w:p>
    <w:p w14:paraId="0F55516B" w14:textId="77777777" w:rsidR="00300044" w:rsidRDefault="002602FB">
      <w:r>
        <w:t xml:space="preserve">The previous sustainability-related studies have examined sustainable packaging in terms of its power to shape purchasing intention, consumer attitudes to environmental factors, perceived quality of the product, a green brand image and purchasing behaviour (Amani, 2024). Sustainable packaging is also studied in the framework of more expanded concepts such as eco-labelling, corporate social responsibility and green marketing (Siuda and Grębosz-Krawczyk, 2025). However, </w:t>
      </w:r>
      <w:proofErr w:type="gramStart"/>
      <w:r>
        <w:t>a number of</w:t>
      </w:r>
      <w:proofErr w:type="gramEnd"/>
      <w:r>
        <w:t xml:space="preserve"> empirical studies have explored the direct effect of consumer-perceived sustainable packaging on brand loyalty in the UK food and beverage sector (Watson et al., 2024).</w:t>
      </w:r>
    </w:p>
    <w:p w14:paraId="572133B0" w14:textId="77777777" w:rsidR="00300044" w:rsidRDefault="002602FB">
      <w:r>
        <w:t xml:space="preserve">This poses a significant issue for food and beverage companies. Companies ought to have information on whether making their investment in sustainable packaging can enable them to create trust, repeat purchase, customer loyalty, commitment and </w:t>
      </w:r>
      <w:r>
        <w:lastRenderedPageBreak/>
        <w:t xml:space="preserve">lasting brand relationships, other than the simple effects of having customers purchase the product. </w:t>
      </w:r>
    </w:p>
    <w:p w14:paraId="2FC8BB29" w14:textId="77777777" w:rsidR="00300044" w:rsidRDefault="002602FB">
      <w:pPr>
        <w:pStyle w:val="Heading2"/>
      </w:pPr>
      <w:bookmarkStart w:id="5" w:name="_heading=h.fbt4xfu3d3qa" w:colFirst="0" w:colLast="0"/>
      <w:bookmarkEnd w:id="5"/>
      <w:r>
        <w:t>1.4 Research Aim</w:t>
      </w:r>
    </w:p>
    <w:p w14:paraId="42C0CDAA" w14:textId="77777777" w:rsidR="00300044" w:rsidRDefault="002602FB">
      <w:r>
        <w:t>To examine the impact of sustainable packaging perceptions on brand loyalty in the UK food and beverage industry.</w:t>
      </w:r>
    </w:p>
    <w:p w14:paraId="799ECE51" w14:textId="77777777" w:rsidR="00300044" w:rsidRDefault="002602FB">
      <w:pPr>
        <w:pStyle w:val="Heading2"/>
      </w:pPr>
      <w:bookmarkStart w:id="6" w:name="_heading=h.xdxrl8tt43oo" w:colFirst="0" w:colLast="0"/>
      <w:bookmarkEnd w:id="6"/>
      <w:r>
        <w:t>1.5 Research Objectives</w:t>
      </w:r>
    </w:p>
    <w:p w14:paraId="5C5DF847" w14:textId="77777777" w:rsidR="00300044" w:rsidRDefault="002602FB">
      <w:pPr>
        <w:numPr>
          <w:ilvl w:val="0"/>
          <w:numId w:val="11"/>
        </w:numPr>
        <w:pBdr>
          <w:top w:val="nil"/>
          <w:left w:val="nil"/>
          <w:bottom w:val="nil"/>
          <w:right w:val="nil"/>
          <w:between w:val="nil"/>
        </w:pBdr>
        <w:spacing w:after="0"/>
        <w:rPr>
          <w:color w:val="000000"/>
        </w:rPr>
      </w:pPr>
      <w:r>
        <w:rPr>
          <w:color w:val="000000"/>
        </w:rPr>
        <w:t>To identify the key dimensions of consumers' perceptions of sustainable packaging in the UK food and beverage industry.</w:t>
      </w:r>
    </w:p>
    <w:p w14:paraId="1C0AA991" w14:textId="77777777" w:rsidR="00300044" w:rsidRDefault="002602FB">
      <w:pPr>
        <w:numPr>
          <w:ilvl w:val="0"/>
          <w:numId w:val="11"/>
        </w:numPr>
        <w:pBdr>
          <w:top w:val="nil"/>
          <w:left w:val="nil"/>
          <w:bottom w:val="nil"/>
          <w:right w:val="nil"/>
          <w:between w:val="nil"/>
        </w:pBdr>
        <w:spacing w:before="0" w:after="0"/>
        <w:rPr>
          <w:color w:val="000000"/>
        </w:rPr>
      </w:pPr>
      <w:r>
        <w:rPr>
          <w:color w:val="000000"/>
        </w:rPr>
        <w:t>To examine the relationship between consumers' perceptions of sustainable packaging and brand loyalty in the UK food and beverage industry.</w:t>
      </w:r>
    </w:p>
    <w:p w14:paraId="6017D71F" w14:textId="77777777" w:rsidR="00300044" w:rsidRDefault="002602FB">
      <w:pPr>
        <w:numPr>
          <w:ilvl w:val="0"/>
          <w:numId w:val="11"/>
        </w:numPr>
        <w:pBdr>
          <w:top w:val="nil"/>
          <w:left w:val="nil"/>
          <w:bottom w:val="nil"/>
          <w:right w:val="nil"/>
          <w:between w:val="nil"/>
        </w:pBdr>
        <w:spacing w:before="0"/>
        <w:rPr>
          <w:color w:val="000000"/>
        </w:rPr>
      </w:pPr>
      <w:r>
        <w:rPr>
          <w:color w:val="000000"/>
        </w:rPr>
        <w:t>To provide recommendations for food and beverage companies to strengthen brand loyalty through sustainable packaging strategies.</w:t>
      </w:r>
    </w:p>
    <w:p w14:paraId="0DA4A9FD" w14:textId="77777777" w:rsidR="00300044" w:rsidRDefault="002602FB">
      <w:pPr>
        <w:pStyle w:val="Heading2"/>
      </w:pPr>
      <w:bookmarkStart w:id="7" w:name="_heading=h.lieo8arfowuf" w:colFirst="0" w:colLast="0"/>
      <w:bookmarkEnd w:id="7"/>
      <w:r>
        <w:t>1.6 Research Questions</w:t>
      </w:r>
    </w:p>
    <w:p w14:paraId="011A0DB4" w14:textId="77777777" w:rsidR="00300044" w:rsidRDefault="002602FB">
      <w:pPr>
        <w:numPr>
          <w:ilvl w:val="0"/>
          <w:numId w:val="10"/>
        </w:numPr>
        <w:pBdr>
          <w:top w:val="nil"/>
          <w:left w:val="nil"/>
          <w:bottom w:val="nil"/>
          <w:right w:val="nil"/>
          <w:between w:val="nil"/>
        </w:pBdr>
        <w:spacing w:after="0"/>
        <w:rPr>
          <w:color w:val="000000"/>
        </w:rPr>
      </w:pPr>
      <w:r>
        <w:rPr>
          <w:color w:val="000000"/>
        </w:rPr>
        <w:t xml:space="preserve">What are the key dimensions of consumers' perceptions of sustainable packaging in the UK food and beverage industry? </w:t>
      </w:r>
    </w:p>
    <w:p w14:paraId="5F8C6E1B" w14:textId="77777777" w:rsidR="00300044" w:rsidRDefault="002602FB">
      <w:pPr>
        <w:numPr>
          <w:ilvl w:val="0"/>
          <w:numId w:val="10"/>
        </w:numPr>
        <w:pBdr>
          <w:top w:val="nil"/>
          <w:left w:val="nil"/>
          <w:bottom w:val="nil"/>
          <w:right w:val="nil"/>
          <w:between w:val="nil"/>
        </w:pBdr>
        <w:spacing w:before="0" w:after="0"/>
        <w:rPr>
          <w:color w:val="000000"/>
        </w:rPr>
      </w:pPr>
      <w:r>
        <w:rPr>
          <w:color w:val="000000"/>
        </w:rPr>
        <w:t xml:space="preserve">What is the relationship between consumers' perceptions of sustainable packaging and brand loyalty in the UK food and beverage industry? </w:t>
      </w:r>
    </w:p>
    <w:p w14:paraId="2968F919" w14:textId="77777777" w:rsidR="00300044" w:rsidRDefault="002602FB">
      <w:pPr>
        <w:numPr>
          <w:ilvl w:val="0"/>
          <w:numId w:val="10"/>
        </w:numPr>
        <w:pBdr>
          <w:top w:val="nil"/>
          <w:left w:val="nil"/>
          <w:bottom w:val="nil"/>
          <w:right w:val="nil"/>
          <w:between w:val="nil"/>
        </w:pBdr>
        <w:spacing w:before="0"/>
        <w:rPr>
          <w:color w:val="000000"/>
        </w:rPr>
      </w:pPr>
      <w:r>
        <w:rPr>
          <w:color w:val="000000"/>
        </w:rPr>
        <w:t>What recommendations can be provided to food and beverage companies to strengthen brand loyalty through sustainable packaging strategies?</w:t>
      </w:r>
    </w:p>
    <w:p w14:paraId="3B28F99E" w14:textId="77777777" w:rsidR="00300044" w:rsidRDefault="002602FB">
      <w:pPr>
        <w:pStyle w:val="Heading2"/>
      </w:pPr>
      <w:bookmarkStart w:id="8" w:name="_heading=h.p5wi8k3av7n1" w:colFirst="0" w:colLast="0"/>
      <w:bookmarkEnd w:id="8"/>
      <w:r>
        <w:t>1.7 Importance of the Research</w:t>
      </w:r>
    </w:p>
    <w:p w14:paraId="2DFCEB74" w14:textId="77777777" w:rsidR="00300044" w:rsidRDefault="002602FB">
      <w:r>
        <w:t xml:space="preserve">This study has educational, administrative and ecological consequences. It has helped in research on eco-friendly consumer behaviour, green marketing and relationship marketing since it has investigated the perceptions of sustainable packaging as a determinant of the attraction of brand loyalty in the longer term and not just purchase intention or environmental attitude. Regarding the managerial level, the results can be used to assist food and beverage manufacturing companies, marketers, retailers and packaging designers to see what consumers expect. This could assist organisations </w:t>
      </w:r>
      <w:r>
        <w:lastRenderedPageBreak/>
        <w:t>in creating packaging solutions, which enhance brand image, consumer confidence, repeat buying and customer retention. The research will also be useful in assisting policymakers and environmental organisations during evidence presentation on sustainable packaging and consumer behaviour. It can help to secure sustainable consumption and help businesses to find a balance between environmental responsibility and long-term marketing performance and competitive advantage.</w:t>
      </w:r>
    </w:p>
    <w:p w14:paraId="5AE19ECD" w14:textId="77777777" w:rsidR="00300044" w:rsidRDefault="002602FB">
      <w:pPr>
        <w:pStyle w:val="Heading2"/>
      </w:pPr>
      <w:bookmarkStart w:id="9" w:name="_heading=h.xrg6foyrflkx" w:colFirst="0" w:colLast="0"/>
      <w:bookmarkEnd w:id="9"/>
      <w:r>
        <w:t>1.8 Scope of the Study</w:t>
      </w:r>
    </w:p>
    <w:p w14:paraId="1C95FA43" w14:textId="77777777" w:rsidR="00300044" w:rsidRDefault="002602FB">
      <w:r>
        <w:t>The research targets the U.K. food and beverage industry and consumers who are 18 years old and older and who consume food and beverage products. It is a test of sustainability packaging perception as a form of independent variable and leaning towards brand loyalty as a dependent variable. The aspects considered during the research are perceived recyclability, eco-labels and environmental information and the convenience of the package or functionality. Primary data, which will include the responses of consumers in the UK, will be gathered using a structured online questionnaire.</w:t>
      </w:r>
    </w:p>
    <w:p w14:paraId="40AEA35F" w14:textId="77777777" w:rsidR="00300044" w:rsidRDefault="002602FB">
      <w:pPr>
        <w:pStyle w:val="Heading2"/>
      </w:pPr>
      <w:bookmarkStart w:id="10" w:name="_heading=h.6sg2z6bzkw4f" w:colFirst="0" w:colLast="0"/>
      <w:bookmarkEnd w:id="10"/>
      <w:r>
        <w:t>1.9 Dissertation Structure</w:t>
      </w:r>
    </w:p>
    <w:tbl>
      <w:tblPr>
        <w:tblStyle w:val="a"/>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73"/>
        <w:gridCol w:w="2364"/>
        <w:gridCol w:w="5505"/>
      </w:tblGrid>
      <w:tr w:rsidR="00300044" w14:paraId="675062A2" w14:textId="77777777">
        <w:tc>
          <w:tcPr>
            <w:tcW w:w="1373" w:type="dxa"/>
          </w:tcPr>
          <w:p w14:paraId="06BE54D9" w14:textId="77777777" w:rsidR="00300044" w:rsidRDefault="002602FB">
            <w:pPr>
              <w:spacing w:before="200"/>
              <w:rPr>
                <w:b/>
                <w:bCs/>
              </w:rPr>
            </w:pPr>
            <w:r>
              <w:rPr>
                <w:b/>
                <w:bCs/>
              </w:rPr>
              <w:t>Chapter</w:t>
            </w:r>
          </w:p>
        </w:tc>
        <w:tc>
          <w:tcPr>
            <w:tcW w:w="2364" w:type="dxa"/>
          </w:tcPr>
          <w:p w14:paraId="4EC9BA6F" w14:textId="77777777" w:rsidR="00300044" w:rsidRDefault="002602FB">
            <w:pPr>
              <w:spacing w:before="200"/>
              <w:rPr>
                <w:b/>
                <w:bCs/>
              </w:rPr>
            </w:pPr>
            <w:r>
              <w:rPr>
                <w:b/>
                <w:bCs/>
              </w:rPr>
              <w:t>Title</w:t>
            </w:r>
          </w:p>
        </w:tc>
        <w:tc>
          <w:tcPr>
            <w:tcW w:w="5505" w:type="dxa"/>
          </w:tcPr>
          <w:p w14:paraId="2C02179B" w14:textId="77777777" w:rsidR="00300044" w:rsidRDefault="002602FB">
            <w:pPr>
              <w:spacing w:before="200"/>
              <w:rPr>
                <w:b/>
                <w:bCs/>
              </w:rPr>
            </w:pPr>
            <w:r>
              <w:rPr>
                <w:b/>
                <w:bCs/>
              </w:rPr>
              <w:t>Content</w:t>
            </w:r>
          </w:p>
        </w:tc>
      </w:tr>
      <w:tr w:rsidR="00300044" w14:paraId="0A8AD81A" w14:textId="77777777">
        <w:tc>
          <w:tcPr>
            <w:tcW w:w="1373" w:type="dxa"/>
          </w:tcPr>
          <w:p w14:paraId="11E4CC14" w14:textId="77777777" w:rsidR="00300044" w:rsidRDefault="002602FB">
            <w:pPr>
              <w:spacing w:before="200"/>
            </w:pPr>
            <w:r>
              <w:rPr>
                <w:b/>
                <w:bCs/>
              </w:rPr>
              <w:t>Chapter 1</w:t>
            </w:r>
          </w:p>
        </w:tc>
        <w:tc>
          <w:tcPr>
            <w:tcW w:w="2364" w:type="dxa"/>
          </w:tcPr>
          <w:p w14:paraId="1175CBF9" w14:textId="77777777" w:rsidR="00300044" w:rsidRDefault="002602FB">
            <w:pPr>
              <w:spacing w:before="200"/>
            </w:pPr>
            <w:r>
              <w:rPr>
                <w:b/>
                <w:bCs/>
              </w:rPr>
              <w:t>Introduction</w:t>
            </w:r>
          </w:p>
        </w:tc>
        <w:tc>
          <w:tcPr>
            <w:tcW w:w="5505" w:type="dxa"/>
          </w:tcPr>
          <w:p w14:paraId="6F1EC57A" w14:textId="77777777" w:rsidR="00300044" w:rsidRDefault="002602FB">
            <w:pPr>
              <w:spacing w:before="200"/>
            </w:pPr>
            <w:r>
              <w:t>Introduces the research background, problem statement, research gap, aim, objectives, research questions, significance and scope of the study.</w:t>
            </w:r>
          </w:p>
        </w:tc>
      </w:tr>
      <w:tr w:rsidR="00300044" w14:paraId="1F04D316" w14:textId="77777777">
        <w:tc>
          <w:tcPr>
            <w:tcW w:w="1373" w:type="dxa"/>
          </w:tcPr>
          <w:p w14:paraId="0B911DD0" w14:textId="77777777" w:rsidR="00300044" w:rsidRDefault="002602FB">
            <w:pPr>
              <w:spacing w:before="200"/>
            </w:pPr>
            <w:r>
              <w:rPr>
                <w:b/>
                <w:bCs/>
              </w:rPr>
              <w:t>Chapter 2</w:t>
            </w:r>
          </w:p>
        </w:tc>
        <w:tc>
          <w:tcPr>
            <w:tcW w:w="2364" w:type="dxa"/>
          </w:tcPr>
          <w:p w14:paraId="59316929" w14:textId="77777777" w:rsidR="00300044" w:rsidRDefault="002602FB">
            <w:pPr>
              <w:spacing w:before="200"/>
            </w:pPr>
            <w:r>
              <w:rPr>
                <w:b/>
                <w:bCs/>
              </w:rPr>
              <w:t>Literature Review</w:t>
            </w:r>
          </w:p>
        </w:tc>
        <w:tc>
          <w:tcPr>
            <w:tcW w:w="5505" w:type="dxa"/>
          </w:tcPr>
          <w:p w14:paraId="579C375D" w14:textId="77777777" w:rsidR="00300044" w:rsidRDefault="002602FB">
            <w:pPr>
              <w:spacing w:before="200"/>
            </w:pPr>
            <w:r>
              <w:t>Reviews sustainable packaging perceptions, brand loyalty, their relationship, the Theory of Planned Behaviour, empirical studies, research gap and conceptual framework.</w:t>
            </w:r>
          </w:p>
        </w:tc>
      </w:tr>
      <w:tr w:rsidR="00300044" w14:paraId="4197938A" w14:textId="77777777">
        <w:tc>
          <w:tcPr>
            <w:tcW w:w="1373" w:type="dxa"/>
          </w:tcPr>
          <w:p w14:paraId="1722C6D7" w14:textId="77777777" w:rsidR="00300044" w:rsidRDefault="002602FB">
            <w:pPr>
              <w:spacing w:before="200"/>
            </w:pPr>
            <w:r>
              <w:rPr>
                <w:b/>
                <w:bCs/>
              </w:rPr>
              <w:t>Chapter 3</w:t>
            </w:r>
          </w:p>
        </w:tc>
        <w:tc>
          <w:tcPr>
            <w:tcW w:w="2364" w:type="dxa"/>
          </w:tcPr>
          <w:p w14:paraId="2C32E366" w14:textId="77777777" w:rsidR="00300044" w:rsidRDefault="002602FB">
            <w:pPr>
              <w:spacing w:before="200"/>
            </w:pPr>
            <w:r>
              <w:rPr>
                <w:b/>
                <w:bCs/>
              </w:rPr>
              <w:t>Methodology</w:t>
            </w:r>
          </w:p>
        </w:tc>
        <w:tc>
          <w:tcPr>
            <w:tcW w:w="5505" w:type="dxa"/>
          </w:tcPr>
          <w:p w14:paraId="374A89DC" w14:textId="77777777" w:rsidR="00300044" w:rsidRDefault="002602FB">
            <w:pPr>
              <w:spacing w:before="200"/>
            </w:pPr>
            <w:r>
              <w:t>Explains the research philosophy, approach, strategy, design, data collection, target population, sampling, sample size, data analysis, reliability, validity and ethics.</w:t>
            </w:r>
          </w:p>
        </w:tc>
      </w:tr>
      <w:tr w:rsidR="00300044" w14:paraId="0FA06BC6" w14:textId="77777777">
        <w:tc>
          <w:tcPr>
            <w:tcW w:w="1373" w:type="dxa"/>
          </w:tcPr>
          <w:p w14:paraId="6F03EE12" w14:textId="77777777" w:rsidR="00300044" w:rsidRDefault="002602FB">
            <w:pPr>
              <w:spacing w:before="200"/>
            </w:pPr>
            <w:r>
              <w:rPr>
                <w:b/>
                <w:bCs/>
              </w:rPr>
              <w:t>Chapter 4</w:t>
            </w:r>
          </w:p>
        </w:tc>
        <w:tc>
          <w:tcPr>
            <w:tcW w:w="2364" w:type="dxa"/>
          </w:tcPr>
          <w:p w14:paraId="04D119AF" w14:textId="77777777" w:rsidR="00300044" w:rsidRDefault="002602FB">
            <w:pPr>
              <w:spacing w:before="200"/>
            </w:pPr>
            <w:r>
              <w:rPr>
                <w:b/>
                <w:bCs/>
              </w:rPr>
              <w:t>Findings</w:t>
            </w:r>
          </w:p>
        </w:tc>
        <w:tc>
          <w:tcPr>
            <w:tcW w:w="5505" w:type="dxa"/>
          </w:tcPr>
          <w:p w14:paraId="64D30CD6" w14:textId="77777777" w:rsidR="00300044" w:rsidRDefault="002602FB">
            <w:pPr>
              <w:spacing w:before="200"/>
            </w:pPr>
            <w:r>
              <w:t>Presents and analyses the findings from the questionnaire using appropriate statistical techniques.</w:t>
            </w:r>
          </w:p>
        </w:tc>
      </w:tr>
      <w:tr w:rsidR="00300044" w14:paraId="15920992" w14:textId="77777777">
        <w:tc>
          <w:tcPr>
            <w:tcW w:w="1373" w:type="dxa"/>
          </w:tcPr>
          <w:p w14:paraId="18535257" w14:textId="77777777" w:rsidR="00300044" w:rsidRDefault="002602FB">
            <w:pPr>
              <w:spacing w:before="200"/>
            </w:pPr>
            <w:r>
              <w:rPr>
                <w:b/>
                <w:bCs/>
              </w:rPr>
              <w:lastRenderedPageBreak/>
              <w:t>Chapter 5</w:t>
            </w:r>
          </w:p>
        </w:tc>
        <w:tc>
          <w:tcPr>
            <w:tcW w:w="2364" w:type="dxa"/>
          </w:tcPr>
          <w:p w14:paraId="4F8A8B0D" w14:textId="77777777" w:rsidR="00300044" w:rsidRDefault="002602FB">
            <w:pPr>
              <w:spacing w:before="200"/>
            </w:pPr>
            <w:r>
              <w:rPr>
                <w:b/>
                <w:bCs/>
              </w:rPr>
              <w:t>Discussion</w:t>
            </w:r>
          </w:p>
        </w:tc>
        <w:tc>
          <w:tcPr>
            <w:tcW w:w="5505" w:type="dxa"/>
          </w:tcPr>
          <w:p w14:paraId="11055B73" w14:textId="77777777" w:rsidR="00300044" w:rsidRDefault="002602FB">
            <w:pPr>
              <w:spacing w:before="200"/>
            </w:pPr>
            <w:r>
              <w:t>Discusses the findings in relation to the research questions, objectives, literature and theoretical framework.</w:t>
            </w:r>
          </w:p>
        </w:tc>
      </w:tr>
      <w:tr w:rsidR="00300044" w14:paraId="6350117B" w14:textId="77777777">
        <w:tc>
          <w:tcPr>
            <w:tcW w:w="1373" w:type="dxa"/>
          </w:tcPr>
          <w:p w14:paraId="1E85E1C2" w14:textId="77777777" w:rsidR="00300044" w:rsidRDefault="002602FB">
            <w:pPr>
              <w:spacing w:before="200"/>
            </w:pPr>
            <w:r>
              <w:rPr>
                <w:b/>
                <w:bCs/>
              </w:rPr>
              <w:t>Chapter 6</w:t>
            </w:r>
          </w:p>
        </w:tc>
        <w:tc>
          <w:tcPr>
            <w:tcW w:w="2364" w:type="dxa"/>
          </w:tcPr>
          <w:p w14:paraId="1132A067" w14:textId="77777777" w:rsidR="00300044" w:rsidRDefault="002602FB">
            <w:pPr>
              <w:spacing w:before="200"/>
            </w:pPr>
            <w:r>
              <w:rPr>
                <w:b/>
                <w:bCs/>
              </w:rPr>
              <w:t>Conclusion and Recommendations</w:t>
            </w:r>
          </w:p>
        </w:tc>
        <w:tc>
          <w:tcPr>
            <w:tcW w:w="5505" w:type="dxa"/>
          </w:tcPr>
          <w:p w14:paraId="5E40497C" w14:textId="77777777" w:rsidR="00300044" w:rsidRDefault="002602FB">
            <w:pPr>
              <w:spacing w:before="200"/>
            </w:pPr>
            <w:r>
              <w:t>Summarises the main findings, presents conclusions and recommendations, discusses limitations and identifies areas for future research.</w:t>
            </w:r>
          </w:p>
        </w:tc>
      </w:tr>
    </w:tbl>
    <w:p w14:paraId="11BB8A0E" w14:textId="77777777" w:rsidR="00300044" w:rsidRDefault="00300044"/>
    <w:p w14:paraId="62AC03EA" w14:textId="77777777" w:rsidR="00300044" w:rsidRDefault="002602FB">
      <w:pPr>
        <w:spacing w:before="0" w:after="160" w:line="259" w:lineRule="auto"/>
        <w:jc w:val="left"/>
      </w:pPr>
      <w:r>
        <w:br w:type="page"/>
      </w:r>
    </w:p>
    <w:p w14:paraId="7C1F1720" w14:textId="77777777" w:rsidR="00300044" w:rsidRDefault="002602FB">
      <w:pPr>
        <w:pStyle w:val="Heading1"/>
      </w:pPr>
      <w:bookmarkStart w:id="11" w:name="_heading=h.q8dhwa8bg8as" w:colFirst="0" w:colLast="0"/>
      <w:bookmarkEnd w:id="11"/>
      <w:r>
        <w:lastRenderedPageBreak/>
        <w:t>Chapter 2: Literature Review</w:t>
      </w:r>
    </w:p>
    <w:p w14:paraId="4FC70EC6" w14:textId="77777777" w:rsidR="00300044" w:rsidRDefault="002602FB">
      <w:pPr>
        <w:pStyle w:val="Heading2"/>
      </w:pPr>
      <w:bookmarkStart w:id="12" w:name="_heading=h.licne8erlxy0" w:colFirst="0" w:colLast="0"/>
      <w:bookmarkEnd w:id="12"/>
      <w:r>
        <w:t>2.1 Introduction </w:t>
      </w:r>
    </w:p>
    <w:p w14:paraId="228EAE5A" w14:textId="77777777" w:rsidR="00300044" w:rsidRDefault="002602FB">
      <w:r>
        <w:t>The concept of sustainable packaging has become an increasingly responsible partner of the food and beverage industry partly because packaging per se is an environmental concern and partly because this is where there is contact between the consumer and the company. Recyclable, biodegradable, reusable and reduced-material packaging is one of the indicators of improved environmental awareness, but consumers do not always respond homogeneously to changes. Attitude to a particular brand can be improved, and through the idea of sustainable packaging, the convenience, product quality, cost, trust, and credibility of the environmental statements may influence the consumer. Sustainable packaging is therefore not an operative environmental project that can be easily thought about or perceived but can also be regarded as an approach of marketing procedures with potential impacts on consumer relations or brand loyalty.</w:t>
      </w:r>
    </w:p>
    <w:p w14:paraId="56C3862A" w14:textId="77777777" w:rsidR="00300044" w:rsidRDefault="002602FB">
      <w:r>
        <w:t>Norton et al. (2022), in their study conducted in the United Kingdom, which researched 405 consumers, prove that consumers tend to care about the sustainability of packaging in general, but they might not have the necessary information about sustainable materials and correct ways of recycling. Their results are significant since they refute the hypothesis that consumers recognise by default environmentally preferable packaging. In a similar manner, Vo et al. (2025) illustrate that consumer perceptions constitute a crucial aspect of sustainable packaging adoption in the beverage industry, which implies that the organisational practices of sustainability have negligible value unless they are in line with what the consumers perceive them to be.</w:t>
      </w:r>
    </w:p>
    <w:p w14:paraId="25FEE070" w14:textId="77777777" w:rsidR="00300044" w:rsidRDefault="002602FB">
      <w:r>
        <w:t xml:space="preserve">There is no more literature that discusses better evidence on sustainable packaging that builds long-term brand loyalty, however, compared to the effects of sustainable packaging on attitudes and perceptions and purchase intentions. Specifically, Faris et al. (2024) examine green packaging (primarily purchase intention) and Quoc et al. (2025) examine green packaging, branding and eco-labelling in terms of perception and reaction of young consumers. In these papers, it was suggested that sustainable packaging may make a difference in consumer response, but no studies were </w:t>
      </w:r>
      <w:r>
        <w:lastRenderedPageBreak/>
        <w:t>sufficient to show whether consumers can become loyal to a particular brand forever in response to the sustainable packaging.</w:t>
      </w:r>
    </w:p>
    <w:p w14:paraId="3DF4E0BC" w14:textId="77777777" w:rsidR="00300044" w:rsidRDefault="002602FB">
      <w:pPr>
        <w:pStyle w:val="Heading2"/>
      </w:pPr>
      <w:bookmarkStart w:id="13" w:name="_heading=h.dqxvedkqqvhw" w:colFirst="0" w:colLast="0"/>
      <w:bookmarkEnd w:id="13"/>
      <w:r>
        <w:t>2.2 Critical Review of Articles</w:t>
      </w:r>
    </w:p>
    <w:p w14:paraId="765E610A" w14:textId="77777777" w:rsidR="00300044" w:rsidRDefault="002602FB">
      <w:r>
        <w:t xml:space="preserve">According to empirical research, sustainable packaging can influence the reaction of consumers, although the quality and nature of these effects can also be different in studies. Another postulation in the literature is that the indirect impact of the packaging on loyalty can be through attitudes, brand image and trust. In this regard, the evidence ought to be counter-balanced and not assume the presumption that sustainable packaging can make loyal </w:t>
      </w:r>
      <w:proofErr w:type="gramStart"/>
      <w:r>
        <w:t>customers in itself</w:t>
      </w:r>
      <w:proofErr w:type="gramEnd"/>
      <w:r>
        <w:t>. (Refer to literature matrix in appendix)</w:t>
      </w:r>
    </w:p>
    <w:p w14:paraId="1DBDA72F" w14:textId="77777777" w:rsidR="00300044" w:rsidRDefault="002602FB">
      <w:pPr>
        <w:pStyle w:val="Heading3"/>
      </w:pPr>
      <w:bookmarkStart w:id="14" w:name="_heading=h.kpf8ru34mquf" w:colFirst="0" w:colLast="0"/>
      <w:bookmarkEnd w:id="14"/>
      <w:r>
        <w:t>2.2.1 Sustainable Packaging and Consumer Behaviour</w:t>
      </w:r>
    </w:p>
    <w:p w14:paraId="0FC374F1" w14:textId="77777777" w:rsidR="00300044" w:rsidRDefault="002602FB">
      <w:r>
        <w:t xml:space="preserve">Murtas, </w:t>
      </w:r>
      <w:proofErr w:type="spellStart"/>
      <w:r>
        <w:t>Pedeliento</w:t>
      </w:r>
      <w:proofErr w:type="spellEnd"/>
      <w:r>
        <w:t xml:space="preserve"> and Andreini (2022) note that the procedures of sustainable packaging influence consumer behaviour as they make them more ecologically mindful, but the authors also note the difficulty of their choices that involve packaging. Sustainable packaging can help create a sustainable image of a company, but consumer responses will be determined by attitudes towards packaging qualities. These findings are supported by Duarte et al. (2024), who </w:t>
      </w:r>
      <w:proofErr w:type="gramStart"/>
      <w:r>
        <w:t>came to the conclusion</w:t>
      </w:r>
      <w:proofErr w:type="gramEnd"/>
      <w:r>
        <w:t xml:space="preserve"> that environmental concern, perceived value, attitudes towards sustainable packaging and willingness to pay emerge as major determinants of purchase intentions, but willingness to pay became a dominant factor. However, this does not mean that environmental concern is adequate to explain behaviour. Though customers can be conscious of sustainability, they can </w:t>
      </w:r>
      <w:proofErr w:type="gramStart"/>
      <w:r>
        <w:t>take into account</w:t>
      </w:r>
      <w:proofErr w:type="gramEnd"/>
      <w:r>
        <w:t xml:space="preserve"> economic and functional benefits and buy.</w:t>
      </w:r>
    </w:p>
    <w:p w14:paraId="586A043C" w14:textId="77777777" w:rsidR="00300044" w:rsidRDefault="002602FB">
      <w:r>
        <w:t>There is support for this by beverage products. In their study, Faris et al. (2024) examined the applications of environmentally friendly packaging in the beverage sector and found that awareness of the issue and sustainable packaging can be utilised to influence the intention to buy. However, this kind of evidence never primarily explains the behaviour of consumers at first purchase, but rather the utilisation of evidence to explain consumer loyalty to a brand. This variation matters in that the intention to purchase is not necessarily followed by repeated consumption or commitment.</w:t>
      </w:r>
    </w:p>
    <w:p w14:paraId="763164F5" w14:textId="77777777" w:rsidR="00300044" w:rsidRDefault="002602FB">
      <w:r>
        <w:lastRenderedPageBreak/>
        <w:t>Sustainable packaging can be understood in a broader context, as packaging used to reduce the impact of harming the environment without antagonising the other roles of packaging, which are product protection, quality assurance, distribution and consumption of products. Literature has, however, indicated that the term sustainability cannot be a unitary characteristic at the consumer level of consideration. Rather, consumers base their evaluation on packaging in terms of various characteristics such as recyclability, disposal, renewable materials, biodegradability, excess packaging and product quality.</w:t>
      </w:r>
    </w:p>
    <w:p w14:paraId="5FFB122C" w14:textId="77777777" w:rsidR="00300044" w:rsidRDefault="002602FB">
      <w:r>
        <w:t xml:space="preserve">The relevance of Norton et al. (2022) evidence is especially relevant as the research is dedicated to UK consumers. They conducted a survey among 405 individuals and discovered that biodegradability, methods of disposal, recyclable materials, reducing packaging and quality of products were considered by the consumers as more sustainable aspects of packaging. This means that customers view the idea of sustainability with a blend of functional and environmental criteria. Remarkably, Norton et al. (2022) also found that it often occurred that consumers did not know what is correct in recycling. This observation challenges one of the naive thoughts that environmental consciousness can straightforwardly correlate to positive sustainable consumption. It is possible that consumers can be dedicated to </w:t>
      </w:r>
      <w:proofErr w:type="gramStart"/>
      <w:r>
        <w:t>sustainability, but</w:t>
      </w:r>
      <w:proofErr w:type="gramEnd"/>
      <w:r>
        <w:t xml:space="preserve"> still lack the knowledge to be able to distinguish the </w:t>
      </w:r>
      <w:proofErr w:type="gramStart"/>
      <w:r>
        <w:t>actually sustainable</w:t>
      </w:r>
      <w:proofErr w:type="gramEnd"/>
      <w:r>
        <w:t xml:space="preserve"> packaging option.</w:t>
      </w:r>
    </w:p>
    <w:p w14:paraId="3DF515E6" w14:textId="77777777" w:rsidR="00300044" w:rsidRDefault="002602FB">
      <w:r>
        <w:t>Norton et al. (2022) found that labelling would change behaviour and lead to more sustainable decisions being made by consumers. This supports the argument that environmental information can be an effective mediating variable between packaging characteristics and consumer perceptions. However, labelling cannot be considered evidence of successful sustainability communication without a doubt. In cases where consumers lack sufficient knowledge necessary to process the environmental information, even the presence of a product with an eco-label will not always present a meaningful interpretation of the environmental performance of a product.</w:t>
      </w:r>
    </w:p>
    <w:p w14:paraId="7E55F251" w14:textId="77777777" w:rsidR="00300044" w:rsidRDefault="002602FB">
      <w:r>
        <w:t xml:space="preserve">Another challenge to the assumption that any green packaging project will have a positive response amongst consumers is presented by Quoc et al. (2025). Their case study of 308 young Vietnamese customers has identified that green packaging and branding were unlikely to impact a significant change in the cognitive attitudes given </w:t>
      </w:r>
      <w:r>
        <w:lastRenderedPageBreak/>
        <w:t xml:space="preserve">that they might occur as intended, but the eco-labelling proved to be a potentially powerful marketing instrument. </w:t>
      </w:r>
    </w:p>
    <w:p w14:paraId="423DFE7E" w14:textId="77777777" w:rsidR="00300044" w:rsidRDefault="002602FB">
      <w:r>
        <w:t>Also, Faris et al. (2024) indicate that in the beverage context, consumer purchase intention can be influenced, at the same time, by environmentally conscious packaging. The study is, however, based on 50 consumers of Coca-Cola and is based on purchasing intent and not on loyalty. As a result, the results may indicate that there is a relationship between the environmental packaging perceptions and immediate consumer reactions, but these results cannot determine whether the perceptions that people develop in this regard result in buying the same product again or attachment to the brand in the long term.</w:t>
      </w:r>
    </w:p>
    <w:p w14:paraId="5F59055B" w14:textId="77777777" w:rsidR="00300044" w:rsidRDefault="002602FB">
      <w:r>
        <w:t xml:space="preserve">Vo et al. (2025) take this debate further by considering sustainable packaging via the prism of production, supply-chain and consumer. They statistically analysed 385 respondents and found that sustainable manufacturing positively affected supply-chain and packaging performance; the readiness to pay and favourable consumer attitudes were conducive to implementing sustainable packaging. This implies that consumer love is not uniform to organisational and supply-chain decision-making. </w:t>
      </w:r>
    </w:p>
    <w:p w14:paraId="752F6F3D" w14:textId="77777777" w:rsidR="00300044" w:rsidRDefault="002602FB">
      <w:r>
        <w:t>Looking anew, Kumar and Khanna (2025) also assume that sustainable packaging can influence buying habits and brand recognition within the beverage industry. However, they have written the chapter in a theoretical manner and use the example of a business dealing with fruit drinks to illustrate how sustainable packaging can work. So, it has a valid theoretical explanation of the strategic value of sustainable packaging, but it is not as powerful as a statistical investigation realised by the consumer.</w:t>
      </w:r>
    </w:p>
    <w:p w14:paraId="37CB68AD" w14:textId="77777777" w:rsidR="00300044" w:rsidRDefault="002602FB">
      <w:pPr>
        <w:pStyle w:val="Heading3"/>
      </w:pPr>
      <w:bookmarkStart w:id="15" w:name="_heading=h.rws5asnokhbj" w:colFirst="0" w:colLast="0"/>
      <w:bookmarkEnd w:id="15"/>
      <w:r>
        <w:t>2.2.2 Environmentally Friendly Packaging and Brand Image</w:t>
      </w:r>
    </w:p>
    <w:p w14:paraId="117B95E2" w14:textId="77777777" w:rsidR="00300044" w:rsidRDefault="002602FB">
      <w:r>
        <w:t xml:space="preserve">Sustainable packaging can also be used as a communication tool on which consumers judge a brand. Bai (2024) identified sustainable packaging and brand perception to be positively correlated, and consumers expressed a link between sustainable packaging and trustworthiness and social responsibility. The research then indicates that packaging </w:t>
      </w:r>
      <w:proofErr w:type="gramStart"/>
      <w:r>
        <w:t>is able to</w:t>
      </w:r>
      <w:proofErr w:type="gramEnd"/>
      <w:r>
        <w:t xml:space="preserve"> convey broader corporate values as opposed to merely safeguarding a product. </w:t>
      </w:r>
      <w:proofErr w:type="spellStart"/>
      <w:r>
        <w:t>Plotkina</w:t>
      </w:r>
      <w:proofErr w:type="spellEnd"/>
      <w:r>
        <w:t xml:space="preserve">, </w:t>
      </w:r>
      <w:proofErr w:type="spellStart"/>
      <w:r>
        <w:t>Rabeson</w:t>
      </w:r>
      <w:proofErr w:type="spellEnd"/>
      <w:r>
        <w:t xml:space="preserve"> and Bambauer-Sachse (2025), researching the concept of green brand image among European customers, found </w:t>
      </w:r>
      <w:r>
        <w:lastRenderedPageBreak/>
        <w:t>that sustainable packaging could significantly impact purchase intentions and willingness to pay using the mediators within green brand image. Comparison of biodegradable, reusable and recyclable packaging proves that the type of packaging is important; green brand image is a valuable tool to bridge consumer responses and the packaging. This is significant in the sense that it implies that packaging might not significantly lead to positive behaviour. Instead, sustainable packaging can be perceived as an indicator of a conscientious brand, which consumers can initially perceive.</w:t>
      </w:r>
    </w:p>
    <w:p w14:paraId="4D31BB32" w14:textId="77777777" w:rsidR="00300044" w:rsidRDefault="002602FB">
      <w:pPr>
        <w:pStyle w:val="Heading3"/>
      </w:pPr>
      <w:bookmarkStart w:id="16" w:name="_heading=h.zaysvbxgoalf" w:colFirst="0" w:colLast="0"/>
      <w:bookmarkEnd w:id="16"/>
      <w:r>
        <w:t>2.2.3 Sustainable Packaging, Trust and Satisfaction</w:t>
      </w:r>
    </w:p>
    <w:p w14:paraId="07E73A92" w14:textId="77777777" w:rsidR="00300044" w:rsidRDefault="002602FB">
      <w:r>
        <w:t>The element of trust is particularly important as consumers may not find the legitimacy of environmental assertions satisfactory. Ding, Meng and Sun (2024) have found that the impact of minimal packaging on the formation of green trust is also more prominent, and</w:t>
      </w:r>
      <w:proofErr w:type="gramStart"/>
      <w:r>
        <w:t>, in reality, more</w:t>
      </w:r>
      <w:proofErr w:type="gramEnd"/>
      <w:r>
        <w:t xml:space="preserve"> extensive packaging does not always trigger higher trust. Their results indicate that simplicity may alleviate consumer scepticism of potentially manipulative sustainability communication. This provides a prominent argument that more apparent sustainability information responds better in the eyes of the consumer. On the same note, sustainable packaging is linked to trust and perceived social responsibility as well (Bai, 2024). Together, these findings suggest that sustainability in packaging can lead to value creation </w:t>
      </w:r>
      <w:proofErr w:type="gramStart"/>
      <w:r>
        <w:t>provided that</w:t>
      </w:r>
      <w:proofErr w:type="gramEnd"/>
      <w:r>
        <w:t xml:space="preserve"> consumers are convinced that the environmental statements are plausible and the packaging design is in line with the brand values. This evidence concerns trust and perception, and not loyalty. This brings about the need to research whether it is the longer-term consumer relations that are promoted by these positive ratings.</w:t>
      </w:r>
    </w:p>
    <w:p w14:paraId="4CBE9881" w14:textId="77777777" w:rsidR="00300044" w:rsidRDefault="002602FB">
      <w:r>
        <w:t xml:space="preserve">Brand loyalty refers to a renewal of preference and commitment of a consumer to a particular brand and is expressed through repeated purchases, positive attitude and desire to maintain the relationship with the brand. It is especially important in the food and beverage industries as consumers are likely to make a purchase of the product which has been researched and may even continue to purchase the identical brands </w:t>
      </w:r>
      <w:proofErr w:type="gramStart"/>
      <w:r>
        <w:t>over and over</w:t>
      </w:r>
      <w:proofErr w:type="gramEnd"/>
      <w:r>
        <w:t xml:space="preserve">. </w:t>
      </w:r>
    </w:p>
    <w:p w14:paraId="46ED5FCF" w14:textId="77777777" w:rsidR="00300044" w:rsidRDefault="002602FB">
      <w:r>
        <w:t xml:space="preserve">Ines and Moreira (2023), whose findings are built on the elucidation of the sample (n=216) of plant-based beverage consumers in Portugal, reflect this difference. Using </w:t>
      </w:r>
      <w:r>
        <w:lastRenderedPageBreak/>
        <w:t xml:space="preserve">PLS-SEM, they found that perceived value and brand equity could provide the context to elucidate satisfaction and loyalty intentions, and brand equity interceded in the relationship between perceived value and satisfaction and loyalty intention. Their results suggest that loyalty is apt to be formed under a more general psychological analysis of the brand and not due to one single product attribute. </w:t>
      </w:r>
    </w:p>
    <w:p w14:paraId="1B8164F7" w14:textId="77777777" w:rsidR="00300044" w:rsidRDefault="002602FB">
      <w:r>
        <w:t>Insofar as the importance of fulfilling and developing brand loyalty is concerned, Koay and Low (2025) are correct. They analysed 284 consumers of chain coffee shops and discovered that to achieve brand loyalty, satisfaction with the brand is an indispensable condition and that the connection between various types of innovativeness and brand loyalty is mediated. This also held for Emilia and Olulu-Briggs (2026), who exemplify the continued value of brand loyalty in the existing food and beverage competitive environments. Their Nigerian study was on digital marketing strategy and brand loyalty, in which brand trust was perceived as a moderator. Although the context is much different to the UK packaging context, the argument about loyalty being created by consumer involvement and creating a relationship and not by isolated product features is supported by the research.</w:t>
      </w:r>
    </w:p>
    <w:p w14:paraId="4E0B0643" w14:textId="77777777" w:rsidR="00300044" w:rsidRDefault="002602FB">
      <w:r>
        <w:t xml:space="preserve">Another helpful approach is offered by Samuel (2026), since it helps to demonstrate that the packaging characteristics can be included in the brand equity and differentiation, and that the consumer aspect might impact the quality of this association. In surveying 346 postgraduate students in Rivers State, the research revealed that packaging features play a role in consumer judgements on value and that age mediated the packaging-brand equity relationship. This throws doubt on the belief that packaging has a consistent impact on consumers. The various consumer groups may be different; that is, they will interpret the packaging differently depending on the nature of the consumer and expectations. </w:t>
      </w:r>
    </w:p>
    <w:p w14:paraId="17FC0A77" w14:textId="77777777" w:rsidR="00300044" w:rsidRDefault="002602FB">
      <w:pPr>
        <w:pStyle w:val="Heading3"/>
      </w:pPr>
      <w:bookmarkStart w:id="17" w:name="_heading=h.7lb8jftvhjth" w:colFirst="0" w:colLast="0"/>
      <w:bookmarkEnd w:id="17"/>
      <w:r>
        <w:t>2.2.4 Brand Loyalty</w:t>
      </w:r>
    </w:p>
    <w:p w14:paraId="3B2A2DB4" w14:textId="77777777" w:rsidR="00300044" w:rsidRDefault="002602FB">
      <w:r>
        <w:t>Literature on the relationship between sustainable packaging and loyalty is not at the same level as the purchase intention studies. According to Bai (2024), sustainable packaging would help to create customer loyalty through a better brand image and perceived responsibility. Nonetheless, evidence must be treated with caution since brand image and brand loyalty are synonymous and differentiated results.</w:t>
      </w:r>
    </w:p>
    <w:p w14:paraId="5C282E40" w14:textId="77777777" w:rsidR="00300044" w:rsidRDefault="002602FB">
      <w:r>
        <w:lastRenderedPageBreak/>
        <w:t xml:space="preserve">The literature at large is thus an indication of a possible path that can be pursued: sustainable packaging, good brand perception, confidence and satisfaction that result in repeat purchase and loyalty. Murtas et al. (2022) discover sustainable packaging as a potential origin of sustainable brand image and competitive advantage, and Ding et al. (2024) disclose that plausibly designed packaging </w:t>
      </w:r>
      <w:proofErr w:type="gramStart"/>
      <w:r>
        <w:t>is able to</w:t>
      </w:r>
      <w:proofErr w:type="gramEnd"/>
      <w:r>
        <w:t xml:space="preserve"> increase green trust. In contrast, Duarte et al. (2024) and Faris et al. (2024) testify to the fact that a considerable portion of empirical studies is still dedicated to purchase intent. Therefore, it has been established in the literature that there is a likely correlation but has failed entirely to establish the extent to which sustainable packaging perceptions must be provided insofar as repeat purchases, commitment, recommendation and brand loyalty are concerned, particularly among consumers of foods and beverages in the UK. This is a good basis for the existing research.</w:t>
      </w:r>
    </w:p>
    <w:p w14:paraId="0C83419E" w14:textId="77777777" w:rsidR="00300044" w:rsidRDefault="002602FB">
      <w:pPr>
        <w:pStyle w:val="Heading3"/>
      </w:pPr>
      <w:bookmarkStart w:id="18" w:name="_heading=h.xtjijj5zln4m" w:colFirst="0" w:colLast="0"/>
      <w:bookmarkEnd w:id="18"/>
      <w:r>
        <w:t>2.2.5 Relationship Between Sustainable Packaging Perceptions and Brand Loyalty</w:t>
      </w:r>
    </w:p>
    <w:p w14:paraId="22790140" w14:textId="77777777" w:rsidR="00300044" w:rsidRDefault="002602FB">
      <w:r>
        <w:t xml:space="preserve">The connection between brand loyalty and sustainable packaging perceptions is the pressing issue of the current study. In the current literature, there are certain reasons to be optimistic about the positive association, but the data does not show consistency in their distribution, as to induce the view that sustainable packaging inevitably brings about the good effect of loyalty. Kumar and Khanna (2025) particularly associate sustainable packaging with brand loyalty by affirming that socially responsible packaging will assist in attracting socially responsible customers and creating strategic value to beverage companies. This offers a rational rationale as to why sustainable packaging would enhance consumer brand associations. </w:t>
      </w:r>
    </w:p>
    <w:p w14:paraId="1731A63B" w14:textId="77777777" w:rsidR="00300044" w:rsidRDefault="002602FB">
      <w:r>
        <w:t>According to Faris et al. (2024), empirical evidence of packaging intervention has been listed as a key aspect in consumer purchasing intention due to its being eco-friendly. However, two different results are purchasing intention and brand loyalty. The packaging may make a consumer feel like they are ready to purchase a product to present a perception to others that they are environmentally responsible, but they do not become loyal to the product. The purchase intention as an alternative to loyalty can, therefore, overestimate the long-term impacts of sustainable packaging.</w:t>
      </w:r>
    </w:p>
    <w:p w14:paraId="66C2DED4" w14:textId="77777777" w:rsidR="00300044" w:rsidRDefault="002602FB">
      <w:r>
        <w:lastRenderedPageBreak/>
        <w:t xml:space="preserve">The results of Norton et al. (2022) make the suggested relationship more complicated as well. In the UK, their consumers knew the different characteristics of sustainable packages, yet they did not demonstrate that they knew a lot about recycling processes. This implies that being optimistic towards a certain environment cannot always mean that you will act similarly. </w:t>
      </w:r>
      <w:proofErr w:type="gramStart"/>
      <w:r>
        <w:t>As long as</w:t>
      </w:r>
      <w:proofErr w:type="gramEnd"/>
      <w:r>
        <w:t xml:space="preserve"> consumers cannot readily identify or evaluate sustainable packaging, it could have less chance of establishing a durable brand affinity.</w:t>
      </w:r>
    </w:p>
    <w:p w14:paraId="5CEB4A19" w14:textId="77777777" w:rsidR="00300044" w:rsidRDefault="002602FB">
      <w:r>
        <w:t xml:space="preserve">Quoc et al. (2025) substantiate this argument by demonstrating the fact that green packaging was not found to be significantly correlated with cognitive attitude in young consumers, but eco-labelling was. This observation indicates that the connection between packaging and brand performance is relative to the </w:t>
      </w:r>
      <w:proofErr w:type="gramStart"/>
      <w:r>
        <w:t>particular information</w:t>
      </w:r>
      <w:proofErr w:type="gramEnd"/>
      <w:r>
        <w:t xml:space="preserve"> on packaging that consumers get. Sustainable packaging as a concept, then, can only be useful as a means of earning loyalty in a situation whereby the consumer is aware of what it is, as far as the environment and the claims made on it are realistic. Vo et al. (2025) present data showing that positive consumer perception increases the adoption of sustainable packaging, and willingness-to-pay correlates with package sustainability. </w:t>
      </w:r>
    </w:p>
    <w:p w14:paraId="49868E2D" w14:textId="77777777" w:rsidR="00300044" w:rsidRDefault="002602FB">
      <w:r>
        <w:t xml:space="preserve">The literature on brand loyalty also implies that sustainable packaging can indirectly affect loyalty. Inês and Moreira (2023) show that the perceived value and brand equity influence satisfaction and intention to be loyal, and Koay and Low (2025) show that satisfaction is a requirement of loyalty. These results suggest a possible series of events by which sustainable packaging can enhance perceived value or brand image, which then enhances satisfaction, over time leading to loyalty. Nonetheless, this channel is not thoroughly explored </w:t>
      </w:r>
      <w:proofErr w:type="gramStart"/>
      <w:r>
        <w:t>in regard to</w:t>
      </w:r>
      <w:proofErr w:type="gramEnd"/>
      <w:r>
        <w:t xml:space="preserve"> sustainable packaging.</w:t>
      </w:r>
    </w:p>
    <w:p w14:paraId="4A09402B" w14:textId="77777777" w:rsidR="00300044" w:rsidRDefault="002602FB">
      <w:r>
        <w:t xml:space="preserve">It is also important that it is geographically limited. Norton et al. (2022) are robust in the UK-specific evidence on the perceptions of packaging, and their study is aimed at understanding preferences and sustainable behaviour as opposed to brand loyalty. Quoc et al. (2025) research young consumers in Vietnam, and Ineses and Moreira (2023) research Portuguese consumers of plant-based beverages, as well as Koay and Low (2025) research Malaysian chain coffee-shop consumers. The cultures cannot be transferred to the consumers of the UK because the environment is </w:t>
      </w:r>
      <w:r>
        <w:lastRenderedPageBreak/>
        <w:t>different, since it may be different in its cultural expectations, regulation, packaging regimes and consumer sensibility on sustainability.</w:t>
      </w:r>
    </w:p>
    <w:p w14:paraId="5FEF9A12" w14:textId="77777777" w:rsidR="00300044" w:rsidRDefault="002602FB">
      <w:pPr>
        <w:pStyle w:val="Heading2"/>
      </w:pPr>
      <w:bookmarkStart w:id="19" w:name="_heading=h.4al5fur3lycx" w:colFirst="0" w:colLast="0"/>
      <w:bookmarkEnd w:id="19"/>
      <w:r>
        <w:t>2.3 Critical review of Theoretical Framework</w:t>
      </w:r>
    </w:p>
    <w:p w14:paraId="05F68653" w14:textId="77777777" w:rsidR="00300044" w:rsidRDefault="002602FB">
      <w:pPr>
        <w:rPr>
          <w:color w:val="000000"/>
        </w:rPr>
      </w:pPr>
      <w:r>
        <w:rPr>
          <w:color w:val="000000"/>
        </w:rPr>
        <w:t xml:space="preserve">There are three theories that explain and argue on similar but conflicting perceptions regarding sustainable packaging and the extent that it may lead to brand loyalty. </w:t>
      </w:r>
      <w:r>
        <w:rPr>
          <w:b/>
          <w:bCs/>
          <w:color w:val="000000"/>
        </w:rPr>
        <w:t>Theory of Planned Behaviour (TPB)</w:t>
      </w:r>
      <w:r>
        <w:rPr>
          <w:color w:val="000000"/>
        </w:rPr>
        <w:t xml:space="preserve"> explains a sustainable consumer behaviour in terms of the attitudes, subjective norms and behavioural control. It is strong since it is the most suitable at quantitatively measuring the perceptions and behavioural intentions of consumers which is best suited with survey method but using a questionnaire of this study. TPP is relatively inadequate, however, in the context of explaining emotional and relational aspects of brand loyalty like trust, attachment and long-term commitment. The present study also recognises the fact that loyalty transcends the intention to behaviour.</w:t>
      </w:r>
    </w:p>
    <w:p w14:paraId="5D8BD333" w14:textId="77777777" w:rsidR="00300044" w:rsidRDefault="002602FB">
      <w:r>
        <w:t xml:space="preserve">Articles by Lee, Kim and Roh (2023) introduce the contemporary evidence that supports the idea of regarding TPB as the instrument which should be utilised to pro-environmental behaviour. Their research combined TPB with Value-Belief- Norm theory and assessed the results of 403 participants. The modellers of the article found that attitudes, subjective norm and perceived behavioural control find support as an explanation of behavioural intent in the adoption of electric vehicles. </w:t>
      </w:r>
    </w:p>
    <w:p w14:paraId="58323C71" w14:textId="77777777" w:rsidR="00300044" w:rsidRDefault="002602FB">
      <w:r>
        <w:t>Attitude may be a manifestation in sustainable packaging of how consumers view sustainable packaging as useful, ecologically friendly and desirable. Norton and others (2022) confirm that recyclability and biodegradability of their packs are qualities valued by UK consumers, supporting the notion that consumers can form positive judgements about sustainable packaging. This is particularly the case of packaging since total control of decisions on packaging cannot be taken by the consumers. It works in that way where a consumer is not given a lot of options when purchasing a particular brand of food or beverage that must be packaged in such a way that it can be recycled. Norton et al. (2022) also show that uncertainty regarding the process of recycling can constrain the ability of consumers to act in a sustainable way when they are ready to do so.</w:t>
      </w:r>
    </w:p>
    <w:p w14:paraId="1A45B0FE" w14:textId="77777777" w:rsidR="00300044" w:rsidRDefault="002602FB">
      <w:r>
        <w:lastRenderedPageBreak/>
        <w:t xml:space="preserve">The value of TPB can therefore be seen in comprehending the possibility that the positive views people have on sustainable packaging may not translate into consumer behaviours. The TPB has shortcomings in the current study, however. Brand loyalty is a relational outcome that is more complex than the theory, which focuses more on behavioural intention and behaviour. Inês and Moreira (2023) as well as Koay and Low (2025) include satisfaction, perceived value, trust, brand equity and repeated experience in their list of things that can be called loyalty. </w:t>
      </w:r>
    </w:p>
    <w:p w14:paraId="7EA3B000" w14:textId="77777777" w:rsidR="00300044" w:rsidRDefault="002602FB">
      <w:pPr>
        <w:jc w:val="center"/>
      </w:pPr>
      <w:r>
        <w:rPr>
          <w:noProof/>
        </w:rPr>
        <w:drawing>
          <wp:inline distT="0" distB="0" distL="0" distR="0" wp14:anchorId="01804F1D" wp14:editId="3267CA40">
            <wp:extent cx="5657850" cy="3375660"/>
            <wp:effectExtent l="0" t="0" r="0" b="0"/>
            <wp:docPr id="158910353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l="1263" t="1336"/>
                    <a:stretch>
                      <a:fillRect/>
                    </a:stretch>
                  </pic:blipFill>
                  <pic:spPr>
                    <a:xfrm>
                      <a:off x="0" y="0"/>
                      <a:ext cx="5657850" cy="3375660"/>
                    </a:xfrm>
                    <a:prstGeom prst="rect">
                      <a:avLst/>
                    </a:prstGeom>
                    <a:ln/>
                  </pic:spPr>
                </pic:pic>
              </a:graphicData>
            </a:graphic>
          </wp:inline>
        </w:drawing>
      </w:r>
    </w:p>
    <w:p w14:paraId="68A3E4E3" w14:textId="77777777" w:rsidR="00300044" w:rsidRDefault="002602FB">
      <w:pPr>
        <w:pStyle w:val="Heading4"/>
      </w:pPr>
      <w:bookmarkStart w:id="20" w:name="_heading=h.cpf39j63hfv1" w:colFirst="0" w:colLast="0"/>
      <w:bookmarkEnd w:id="20"/>
      <w:r>
        <w:t>Figure 2.1: Theory of Planned behaviour</w:t>
      </w:r>
    </w:p>
    <w:p w14:paraId="7290C017" w14:textId="77777777" w:rsidR="00300044" w:rsidRDefault="002602FB">
      <w:pPr>
        <w:jc w:val="center"/>
        <w:rPr>
          <w:color w:val="000000"/>
        </w:rPr>
      </w:pPr>
      <w:r>
        <w:t xml:space="preserve">(Source: </w:t>
      </w:r>
      <w:r>
        <w:rPr>
          <w:color w:val="000000"/>
        </w:rPr>
        <w:t>Sansom, 2021)</w:t>
      </w:r>
    </w:p>
    <w:p w14:paraId="36261436" w14:textId="77777777" w:rsidR="00300044" w:rsidRDefault="002602FB">
      <w:pPr>
        <w:rPr>
          <w:color w:val="000000"/>
        </w:rPr>
      </w:pPr>
      <w:r>
        <w:rPr>
          <w:color w:val="000000"/>
        </w:rPr>
        <w:t xml:space="preserve">On the other hand, </w:t>
      </w:r>
      <w:r>
        <w:rPr>
          <w:b/>
          <w:bCs/>
          <w:color w:val="000000"/>
        </w:rPr>
        <w:t>the Social Identity Theory (SIT)</w:t>
      </w:r>
      <w:r>
        <w:rPr>
          <w:color w:val="000000"/>
        </w:rPr>
        <w:t xml:space="preserve"> deals with identification an individual can adopt towards group and brand that express their identity and values </w:t>
      </w:r>
      <w:proofErr w:type="gramStart"/>
      <w:r>
        <w:rPr>
          <w:color w:val="000000"/>
        </w:rPr>
        <w:t>and also</w:t>
      </w:r>
      <w:proofErr w:type="gramEnd"/>
      <w:r>
        <w:rPr>
          <w:color w:val="000000"/>
        </w:rPr>
        <w:t xml:space="preserve"> their self-conceptualization. Social identity could influence the brand-loyalty and purchase-intention through the example of </w:t>
      </w:r>
      <w:proofErr w:type="spellStart"/>
      <w:r>
        <w:rPr>
          <w:color w:val="000000"/>
        </w:rPr>
        <w:t>Jalilvand</w:t>
      </w:r>
      <w:proofErr w:type="spellEnd"/>
      <w:r>
        <w:rPr>
          <w:color w:val="000000"/>
        </w:rPr>
        <w:t xml:space="preserve"> (2026) and the application of the social medium and the </w:t>
      </w:r>
      <w:proofErr w:type="spellStart"/>
      <w:r>
        <w:rPr>
          <w:color w:val="000000"/>
        </w:rPr>
        <w:t>eWOM</w:t>
      </w:r>
      <w:proofErr w:type="spellEnd"/>
      <w:r>
        <w:rPr>
          <w:color w:val="000000"/>
        </w:rPr>
        <w:t xml:space="preserve"> could likewise be included in the process. Thus, SIT is not so powerful in explanation compared to TPB that carefully focuses on practical aspects of behavioural control, especially when it comes to the aspects of convenience and recyclability.</w:t>
      </w:r>
    </w:p>
    <w:p w14:paraId="6DE23E25" w14:textId="77777777" w:rsidR="00300044" w:rsidRDefault="002602FB">
      <w:pPr>
        <w:rPr>
          <w:color w:val="000000"/>
        </w:rPr>
      </w:pPr>
      <w:r>
        <w:rPr>
          <w:color w:val="000000"/>
        </w:rPr>
        <w:lastRenderedPageBreak/>
        <w:t xml:space="preserve">Another solution is </w:t>
      </w:r>
      <w:r>
        <w:rPr>
          <w:b/>
          <w:bCs/>
          <w:color w:val="000000"/>
        </w:rPr>
        <w:t>Signalling Theory,</w:t>
      </w:r>
      <w:r>
        <w:rPr>
          <w:color w:val="000000"/>
        </w:rPr>
        <w:t xml:space="preserve"> which views sustainable packaging and environmental information as an indicator of brand quality, and environmental responsibility. Suryani, Fauzi and </w:t>
      </w:r>
      <w:proofErr w:type="spellStart"/>
      <w:r>
        <w:rPr>
          <w:color w:val="000000"/>
        </w:rPr>
        <w:t>Nurhadi</w:t>
      </w:r>
      <w:proofErr w:type="spellEnd"/>
      <w:r>
        <w:rPr>
          <w:color w:val="000000"/>
        </w:rPr>
        <w:t xml:space="preserve"> (2022) prove that the result of the brand awareness can be increased with the assistance of the relevant and high-quality information. The signalling theory may not, however, take personal values and social identity of the consumers into account. In this way, SIT can be explained using TPB to explain behaviour, identity and attachment, and Signalling Theory to explain communication and credibility to combine the strategies to make a more holistic approach.</w:t>
      </w:r>
    </w:p>
    <w:p w14:paraId="1B770C2D" w14:textId="77777777" w:rsidR="00300044" w:rsidRDefault="002602FB">
      <w:pPr>
        <w:pStyle w:val="Heading2"/>
      </w:pPr>
      <w:bookmarkStart w:id="21" w:name="_heading=h.vp6rwgpt8mfg" w:colFirst="0" w:colLast="0"/>
      <w:bookmarkEnd w:id="21"/>
      <w:r>
        <w:t>2.4 Conceptual Framework</w:t>
      </w:r>
    </w:p>
    <w:p w14:paraId="411AE234" w14:textId="77777777" w:rsidR="00300044" w:rsidRDefault="002602FB">
      <w:pPr>
        <w:jc w:val="center"/>
      </w:pPr>
      <w:r>
        <w:rPr>
          <w:noProof/>
        </w:rPr>
        <w:drawing>
          <wp:inline distT="0" distB="0" distL="0" distR="0" wp14:anchorId="52C6D45D" wp14:editId="30CDD455">
            <wp:extent cx="5731510" cy="2784143"/>
            <wp:effectExtent l="0" t="0" r="0" b="0"/>
            <wp:docPr id="158910353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b="27132"/>
                    <a:stretch>
                      <a:fillRect/>
                    </a:stretch>
                  </pic:blipFill>
                  <pic:spPr>
                    <a:xfrm>
                      <a:off x="0" y="0"/>
                      <a:ext cx="5731510" cy="2784143"/>
                    </a:xfrm>
                    <a:prstGeom prst="rect">
                      <a:avLst/>
                    </a:prstGeom>
                    <a:ln/>
                  </pic:spPr>
                </pic:pic>
              </a:graphicData>
            </a:graphic>
          </wp:inline>
        </w:drawing>
      </w:r>
    </w:p>
    <w:p w14:paraId="3F64C626" w14:textId="77777777" w:rsidR="00300044" w:rsidRDefault="002602FB">
      <w:pPr>
        <w:pStyle w:val="Heading4"/>
      </w:pPr>
      <w:bookmarkStart w:id="22" w:name="_heading=h.s0fvtcfoh4i8" w:colFirst="0" w:colLast="0"/>
      <w:bookmarkEnd w:id="22"/>
      <w:r>
        <w:t>Figure 2.2: Conceptual Framework</w:t>
      </w:r>
    </w:p>
    <w:p w14:paraId="181270CE" w14:textId="01B0D149" w:rsidR="00300044" w:rsidRDefault="002602FB">
      <w:pPr>
        <w:spacing w:before="200" w:after="0"/>
        <w:jc w:val="center"/>
      </w:pPr>
      <w:r>
        <w:t xml:space="preserve">(Source: </w:t>
      </w:r>
      <w:r w:rsidR="00595C83">
        <w:t>Author</w:t>
      </w:r>
      <w:r>
        <w:t>)</w:t>
      </w:r>
    </w:p>
    <w:p w14:paraId="167E4FE0" w14:textId="77777777" w:rsidR="00300044" w:rsidRDefault="002602FB">
      <w:pPr>
        <w:rPr>
          <w:b/>
          <w:bCs/>
        </w:rPr>
      </w:pPr>
      <w:r>
        <w:t xml:space="preserve">The conceptual framework was developed with reference to the Theory of Planned Behaviour (TPB) that is used to explain consumer perceptions and their impact on behaviour. But if we consider only TPB, long-term brand loyalty is not fully </w:t>
      </w:r>
      <w:proofErr w:type="gramStart"/>
      <w:r>
        <w:t>explained</w:t>
      </w:r>
      <w:proofErr w:type="gramEnd"/>
      <w:r>
        <w:t xml:space="preserve"> and the principles of TPB are applied to sustainable packaging and to loyalty outcomes. The independent variable is the sustainable packaging perceptions which are perceived recyclability, eco-labels and environmental information, and packaging functionality or convenience. The dependent variable is brand loyalty which is the </w:t>
      </w:r>
      <w:r>
        <w:lastRenderedPageBreak/>
        <w:t xml:space="preserve">behaviour of customers to repeat purchases, customer commitment, trust and positive attitude, and positive word of mouth. The framework thus suggests that positive sustainable packaging perceptions may reinforce consumer </w:t>
      </w:r>
      <w:proofErr w:type="gramStart"/>
      <w:r>
        <w:t>reactions, and</w:t>
      </w:r>
      <w:proofErr w:type="gramEnd"/>
      <w:r>
        <w:t xml:space="preserve"> help to build consumer loyalty.</w:t>
      </w:r>
    </w:p>
    <w:p w14:paraId="06CB1155" w14:textId="77777777" w:rsidR="00300044" w:rsidRDefault="002602FB">
      <w:pPr>
        <w:pStyle w:val="Heading2"/>
      </w:pPr>
      <w:bookmarkStart w:id="23" w:name="_heading=h.s17j36gmnbow" w:colFirst="0" w:colLast="0"/>
      <w:bookmarkEnd w:id="23"/>
      <w:r>
        <w:t>2.5 Research Gap</w:t>
      </w:r>
    </w:p>
    <w:p w14:paraId="37648BE6" w14:textId="77777777" w:rsidR="00300044" w:rsidRDefault="002602FB">
      <w:r>
        <w:t xml:space="preserve">The previous studies revealed that sustainable packaging can impact consumer attitudes, purchase intentions, trust and brand perceptions. However, there are four gaps. </w:t>
      </w:r>
      <w:proofErr w:type="gramStart"/>
      <w:r>
        <w:t>First of all</w:t>
      </w:r>
      <w:proofErr w:type="gramEnd"/>
      <w:r>
        <w:t>, conceptually, research is not about brand loyalty but rather about purchase intention. Secondly, in context, there is limited evidence that focuses on UK food and beverage consumers (Murtas et al., 2022; Duarte et al., 2024). Third, at the variable level, when sustainable packaging is analysed in relation to broader green marketing efforts, its impact is hard to measure. Lastly, from an empirical perspective, there is limited quantitative research to directly test the relationship between sustainable packaging perceptions and brand loyalty. To this end, this research will focus upon UK consumers and statistically analyse the relationship between recyclability, eco-labels, environmental information and packaging functionality with brand loyalty, thereby filling these gaps.</w:t>
      </w:r>
    </w:p>
    <w:p w14:paraId="2757BBDD" w14:textId="77777777" w:rsidR="00300044" w:rsidRDefault="002602FB">
      <w:pPr>
        <w:pStyle w:val="Heading2"/>
      </w:pPr>
      <w:bookmarkStart w:id="24" w:name="_heading=h.hubj19k14f5" w:colFirst="0" w:colLast="0"/>
      <w:bookmarkEnd w:id="24"/>
      <w:r>
        <w:t>2.6 Summary</w:t>
      </w:r>
    </w:p>
    <w:p w14:paraId="6BCEE7CC" w14:textId="77777777" w:rsidR="00300044" w:rsidRDefault="002602FB">
      <w:r>
        <w:t>This was a critical literature review on both sustainable packaging perception and brand loyalty. It also explored consumer behaviour, brand perception, trust, satisfaction and loyalty regarding sustainable packaging. Identification of gaps in the review was the emphasis on purchase intention, the absence of research on sustainable packaging perceptions in the UK and the absence of research which has undertaken the segregation of sustainable packaging perceptions. The chapter has gone further to develop the conceptual framework linking the above concepts and brand loyalty, including the following: recyclability, eco-labels, environmental information, functionality and convenience. Last, the questionable postulations were formulated to underpin the quantitative examination.</w:t>
      </w:r>
    </w:p>
    <w:p w14:paraId="7B9F6721" w14:textId="77777777" w:rsidR="00300044" w:rsidRDefault="002602FB">
      <w:pPr>
        <w:spacing w:before="0" w:after="160" w:line="259" w:lineRule="auto"/>
        <w:jc w:val="left"/>
        <w:rPr>
          <w:b/>
          <w:bCs/>
          <w:color w:val="000000"/>
          <w:sz w:val="28"/>
          <w:szCs w:val="28"/>
        </w:rPr>
      </w:pPr>
      <w:r>
        <w:br w:type="page"/>
      </w:r>
    </w:p>
    <w:p w14:paraId="2D445E17" w14:textId="77777777" w:rsidR="00300044" w:rsidRDefault="002602FB">
      <w:pPr>
        <w:pStyle w:val="Heading1"/>
      </w:pPr>
      <w:bookmarkStart w:id="25" w:name="_heading=h.wkos49ef66af" w:colFirst="0" w:colLast="0"/>
      <w:bookmarkEnd w:id="25"/>
      <w:r>
        <w:lastRenderedPageBreak/>
        <w:t>Chapter 3: Research Methodology</w:t>
      </w:r>
    </w:p>
    <w:p w14:paraId="32DA70FF" w14:textId="77777777" w:rsidR="00300044" w:rsidRDefault="002602FB">
      <w:pPr>
        <w:pStyle w:val="Heading2"/>
      </w:pPr>
      <w:bookmarkStart w:id="26" w:name="_heading=h.h55z11umo1xa" w:colFirst="0" w:colLast="0"/>
      <w:bookmarkEnd w:id="26"/>
      <w:r>
        <w:t>3.1 Introduction</w:t>
      </w:r>
    </w:p>
    <w:p w14:paraId="012DBBE9" w14:textId="77777777" w:rsidR="00300044" w:rsidRDefault="002602FB">
      <w:r>
        <w:t>This chapter explains the approach used to study the impact of the perceptions of sustainable packaging on brand loyalty amongst consumers in the UK food/ beverage industry. Research methodology introduces the systematic style of the selection of the appropriate philosophical assumptions, research methods, research approaches, data collection methods, sampling procedures and methods of analysis (Saunders, Lewis and Thornhill, 2019; Dubey and Kothari, 2022). The research aims, objectives and questions were established in Chapter 1, and the methodological options employed in the research are in line with the research aim.</w:t>
      </w:r>
    </w:p>
    <w:p w14:paraId="528E81E1" w14:textId="77777777" w:rsidR="00300044" w:rsidRDefault="002602FB">
      <w:r>
        <w:t>The research follows a positivist research philosophy, deductive research method, quantitative research design, cross-sectional research design and survey strategy. The main research data will be gathered using a designed online questionnaire of about 53 adults aged 18 years or older residing in the UK who consume food and beverage products. This questionnaire is going to be closed-ended, with a Likert scale to establish the perceptions of brand loyalty and the perceptions of sustainability of packaging. The data collected will be analysed using IBM SPSS, and this data will be analysed using descriptive statistics, reliability analysis, correlation analysis and multiple regression analysis. The Ethics documentation will ensure the online questionnaire instrument is used, and about 53 adult participants in the US will be utilised.</w:t>
      </w:r>
    </w:p>
    <w:p w14:paraId="40198355" w14:textId="77777777" w:rsidR="00300044" w:rsidRDefault="002602FB">
      <w:pPr>
        <w:pStyle w:val="Heading2"/>
      </w:pPr>
      <w:bookmarkStart w:id="27" w:name="_heading=h.bjdhjpwrzwlw" w:colFirst="0" w:colLast="0"/>
      <w:bookmarkEnd w:id="27"/>
      <w:r>
        <w:t>3.2 Research Philosophy</w:t>
      </w:r>
    </w:p>
    <w:p w14:paraId="2DD03D14" w14:textId="77777777" w:rsidR="00300044" w:rsidRDefault="002602FB">
      <w:r>
        <w:t xml:space="preserve">Research philosophy is a collection of assumptions regarding how knowledge can be generated and the valid knowledge in a research study (Saunders, Lewis and Thornhill, 2019). This study uses positivist philosophy as it aims at objectively quantifying the relationship between sustainable packaging perceptions and brand loyalty using numeric data. Positivism endorses the study of observable phenomena by ensuring systematic measurements and empirical analysis as opposed to subjective understanding as the </w:t>
      </w:r>
      <w:proofErr w:type="gramStart"/>
      <w:r>
        <w:t>first priority</w:t>
      </w:r>
      <w:proofErr w:type="gramEnd"/>
      <w:r>
        <w:t xml:space="preserve"> (</w:t>
      </w:r>
      <w:proofErr w:type="spellStart"/>
      <w:r>
        <w:t>Arbale</w:t>
      </w:r>
      <w:proofErr w:type="spellEnd"/>
      <w:r>
        <w:t xml:space="preserve"> and Mutisya, 2024).</w:t>
      </w:r>
    </w:p>
    <w:p w14:paraId="28C40301" w14:textId="77777777" w:rsidR="00300044" w:rsidRDefault="002602FB">
      <w:r>
        <w:lastRenderedPageBreak/>
        <w:t xml:space="preserve">Positivism will be applicable since </w:t>
      </w:r>
      <w:proofErr w:type="gramStart"/>
      <w:r>
        <w:t>both of the primary</w:t>
      </w:r>
      <w:proofErr w:type="gramEnd"/>
      <w:r>
        <w:t xml:space="preserve"> constructs can be measured in the form of variables. The perception of sustainability packaging can be explored based on the perceptions of recyclability, information and packaging functionality related to the environment, and brand loyalty can be calculated using indicators like repeat purchasing, commitment and willingness to recommend a brand. These can be transformed into numerical figures and statistically analysed. Positivism therefore fits in with the objective of the research to determine the existence of a statistically significant relationship that can exist between perceptions of sustainable packaging and brand loyalty.</w:t>
      </w:r>
    </w:p>
    <w:p w14:paraId="02B415EF" w14:textId="77777777" w:rsidR="00300044" w:rsidRDefault="002602FB">
      <w:pPr>
        <w:pStyle w:val="Heading2"/>
      </w:pPr>
      <w:bookmarkStart w:id="28" w:name="_heading=h.grvll0y6cibr" w:colFirst="0" w:colLast="0"/>
      <w:bookmarkEnd w:id="28"/>
      <w:r>
        <w:t>3.3 Research Approach</w:t>
      </w:r>
    </w:p>
    <w:p w14:paraId="51BA19C3" w14:textId="77777777" w:rsidR="00300044" w:rsidRDefault="002602FB">
      <w:r>
        <w:t xml:space="preserve">The research has a deductive nature. Deductive research starts with already established theories and knowledge and formulates propositions or hypotheses and then tests them with empirical evidence (Saunders, Lewis and Thornhill, 2019; </w:t>
      </w:r>
      <w:proofErr w:type="spellStart"/>
      <w:r>
        <w:t>Taherdoost</w:t>
      </w:r>
      <w:proofErr w:type="spellEnd"/>
      <w:r>
        <w:t>, 2022). Such a method is suitable as the research is based on the existing body of literature on the topic of sustainable packaging, consumer behaviour and brand loyalty, and the Theory of Planned Behaviour is utilised as its theoretical basis.</w:t>
      </w:r>
    </w:p>
    <w:p w14:paraId="6B7B2090" w14:textId="77777777" w:rsidR="00300044" w:rsidRDefault="002602FB">
      <w:r>
        <w:t>The research will establish the extent to which positive perceptions of sustainable packaging are associated with increased brand loyalty. The main hypothesis is as follows: sustainable packaging perceptions significantly and positively relate to brand loyalty among UK food and beverage consumers. The trial process then begins with the existing literature and theory, which is followed by the conceptual framework, development of the questionnaire, data collection and statistical testing of the hypothesis. This offers a reasonable linkage of the literature review and empirical exploration.</w:t>
      </w:r>
    </w:p>
    <w:p w14:paraId="6D9D132B" w14:textId="77777777" w:rsidR="00300044" w:rsidRDefault="002602FB">
      <w:pPr>
        <w:pStyle w:val="Heading2"/>
      </w:pPr>
      <w:bookmarkStart w:id="29" w:name="_heading=h.s3cllyj3jzgt" w:colFirst="0" w:colLast="0"/>
      <w:bookmarkEnd w:id="29"/>
      <w:r>
        <w:t>3.4 Research Methodology</w:t>
      </w:r>
    </w:p>
    <w:p w14:paraId="3DF55753" w14:textId="77777777" w:rsidR="00300044" w:rsidRDefault="002602FB">
      <w:r>
        <w:t>The quantitative approach is used since the research needs numerical measurements to analyse the relationships among the measurably defined variables. Quantitative research makes it possible to quantify perceptions, behavioural intentions and attitudes and then test statistically (Dubey and Kothari, 2022).</w:t>
      </w:r>
    </w:p>
    <w:p w14:paraId="0823EAFD" w14:textId="77777777" w:rsidR="00300044" w:rsidRDefault="002602FB">
      <w:r>
        <w:lastRenderedPageBreak/>
        <w:t>Sustainable packaging perceptions, as the independent variable, and brand loyalty as the dependent variable. The respondents will respond to the structured statements by indicating the levels of their agreement or disagreement with the statements using the five-point Likert scale from strongly disagree to strongly agree. In this way, it is possible to quantify and compare responses among participants. This results in a quantitative approach to the study, which is more appropriate since the study aims at identifying the strength and statistical significance of relationships and not to investigate the lives of the participants in as much detail as a qualitative study would.</w:t>
      </w:r>
    </w:p>
    <w:p w14:paraId="64FAAB99" w14:textId="77777777" w:rsidR="00300044" w:rsidRDefault="002602FB">
      <w:pPr>
        <w:pStyle w:val="Heading2"/>
      </w:pPr>
      <w:bookmarkStart w:id="30" w:name="_heading=h.yvbadlriu232" w:colFirst="0" w:colLast="0"/>
      <w:bookmarkEnd w:id="30"/>
      <w:r>
        <w:t>3.5 Research Strategy</w:t>
      </w:r>
    </w:p>
    <w:p w14:paraId="7F95F58E" w14:textId="77777777" w:rsidR="00300044" w:rsidRDefault="002602FB">
      <w:r>
        <w:t>The method of data collection in this study is a survey. By using surveys, the researcher will be able to get standardised data on a rather high number of respondents with the assistance of structured questions (Saunders, Lewis and Thornhill, 2019; BTL, 2022). An online survey is appropriate because the target population is a group of consumers that are distributed throughout the UK, and it is thus easy and convenient to conduct the study using an online resource.</w:t>
      </w:r>
    </w:p>
    <w:p w14:paraId="36FA34C9" w14:textId="77777777" w:rsidR="00300044" w:rsidRDefault="002602FB">
      <w:r>
        <w:t xml:space="preserve">The questionnaire will consist of closed-ended questions as </w:t>
      </w:r>
      <w:proofErr w:type="gramStart"/>
      <w:r>
        <w:t>well, but</w:t>
      </w:r>
      <w:proofErr w:type="gramEnd"/>
      <w:r>
        <w:t xml:space="preserve"> will be designed according to the research goals and concept of research. Sustainable packaging queries will address such aspects as recyclability, environmental labels, environmental data, functionality and convenience. The brand loyalty questions will be investigated to find out repeat- purchase and commitment, preference and recommendation intention. Standardised questions will make sure that all participants will answer measures which are substantially the same and justify consistency in the further statistical analysis. In the approved ethics form, it is stated that the research will not involve any interviews, use focus groups, audio recordings or video recordings.</w:t>
      </w:r>
    </w:p>
    <w:p w14:paraId="37C7C196" w14:textId="77777777" w:rsidR="00300044" w:rsidRDefault="002602FB">
      <w:pPr>
        <w:pStyle w:val="Heading2"/>
      </w:pPr>
      <w:bookmarkStart w:id="31" w:name="_heading=h.hh9ne99b8gx2" w:colFirst="0" w:colLast="0"/>
      <w:bookmarkEnd w:id="31"/>
      <w:r>
        <w:t>3.6 Research Design</w:t>
      </w:r>
    </w:p>
    <w:p w14:paraId="055A64AC" w14:textId="77777777" w:rsidR="00300044" w:rsidRDefault="002602FB">
      <w:r>
        <w:t>The study design is a cross-sectional design. Cross-sectional studies refer to the collection of data from respondents at a specific point in time and are a good choice when examining known relationships between variables (Saunders, Lewis and Thornhill, 2019). The study will measure the perceptions of the consumers towards sustainable packaging and brand loyalty in the set-up data collection period.</w:t>
      </w:r>
    </w:p>
    <w:p w14:paraId="77D4D167" w14:textId="77777777" w:rsidR="00300044" w:rsidRDefault="002602FB">
      <w:r>
        <w:lastRenderedPageBreak/>
        <w:t xml:space="preserve">The design is suitable since the research does not aim at tracking study participants over a </w:t>
      </w:r>
      <w:proofErr w:type="gramStart"/>
      <w:r>
        <w:t>long time</w:t>
      </w:r>
      <w:proofErr w:type="gramEnd"/>
      <w:r>
        <w:t xml:space="preserve"> span. Instead, it aims at providing an empirical assessment of the current relationship considering perceptions on sustainable packaging and brand loyalty in the food and beverage industry of the UK. However, the cross-sectional design implies that the results will be able to show a statistical association instead of showing conclusive results on changes in consumer behaviour across time.</w:t>
      </w:r>
    </w:p>
    <w:p w14:paraId="3A726217" w14:textId="77777777" w:rsidR="00300044" w:rsidRDefault="002602FB">
      <w:pPr>
        <w:pStyle w:val="Heading2"/>
      </w:pPr>
      <w:bookmarkStart w:id="32" w:name="_heading=h.uaaz7afwmthz" w:colFirst="0" w:colLast="0"/>
      <w:bookmarkEnd w:id="32"/>
      <w:r>
        <w:t>3.7 Target Population</w:t>
      </w:r>
    </w:p>
    <w:p w14:paraId="5129E7FE" w14:textId="77777777" w:rsidR="00300044" w:rsidRDefault="002602FB">
      <w:r>
        <w:t>Target population refers to the population where the research is applicable (Willie, 2024). The sample population of this research will consist of adults who are 18 years and above and reside in the United Kingdom and who purchase food and beverage items. Such consumers are suitable since they constantly come across food and beverage packaging and can thus compare its sustainability attributes and their association with brands.</w:t>
      </w:r>
    </w:p>
    <w:p w14:paraId="4FB5DABB" w14:textId="77777777" w:rsidR="00300044" w:rsidRDefault="002602FB">
      <w:r>
        <w:t xml:space="preserve">The target population for this study comprises </w:t>
      </w:r>
      <w:r>
        <w:rPr>
          <w:b/>
          <w:bCs/>
        </w:rPr>
        <w:t>retail customers aged 18 years and above who reside in the UK and purchase food and beverage products</w:t>
      </w:r>
      <w:r>
        <w:t xml:space="preserve">. These participants are appropriate because they regularly encounter different types of product packaging and can therefore evaluate its recyclability, environmental information, functionality and convenience. They can also assess whether sustainable packaging influences their brand preference, repeat purchasing, commitment and recommendation intentions. The study will focus exclusively on </w:t>
      </w:r>
      <w:r>
        <w:rPr>
          <w:b/>
          <w:bCs/>
        </w:rPr>
        <w:t>retail customers rather than business managers</w:t>
      </w:r>
      <w:r>
        <w:t>, as confirmed during the supervisor feedback.</w:t>
      </w:r>
    </w:p>
    <w:p w14:paraId="0E952183" w14:textId="77777777" w:rsidR="00300044" w:rsidRDefault="002602FB">
      <w:pPr>
        <w:pStyle w:val="Heading2"/>
      </w:pPr>
      <w:bookmarkStart w:id="33" w:name="_heading=h.mszk65wiwk9b" w:colFirst="0" w:colLast="0"/>
      <w:bookmarkEnd w:id="33"/>
      <w:r>
        <w:t>3.8 Massive sampling</w:t>
      </w:r>
    </w:p>
    <w:p w14:paraId="0A334F72" w14:textId="77777777" w:rsidR="00300044" w:rsidRDefault="002602FB">
      <w:r>
        <w:t xml:space="preserve">Sampling refers to the process of selecting a sample size (number of sampled respondents) from the larger target population (Dubey and Kothari, 2022). A structured random sampling approach will be used to obtain a balanced representation of UK retail customers. </w:t>
      </w:r>
      <w:r w:rsidRPr="008347B6">
        <w:t>A minimum of 200 participants will be targeted, with the objective of obtaining at least 53 completed responses, as recommended during the supervisor feedback</w:t>
      </w:r>
      <w:r>
        <w:rPr>
          <w:highlight w:val="yellow"/>
        </w:rPr>
        <w:t>.</w:t>
      </w:r>
      <w:r>
        <w:t xml:space="preserve"> Participants will be approached through appropriate digital platforms such as Facebook, Instagram and TikTok, as well as selected physical retail locations </w:t>
      </w:r>
      <w:r w:rsidRPr="008347B6">
        <w:t xml:space="preserve">where appropriate. The sample will be structured across different age groups to avoid </w:t>
      </w:r>
      <w:r>
        <w:lastRenderedPageBreak/>
        <w:t>over-representation of younger or older respondents. Responses will be collected voluntarily through the online questionnaire using the five-point Likert scale. The sampling and recruitment process will be documented clearly, including the platforms or locations used and the number of questionnaires distributed and returned, ensuring transparency and robustness of the quantitative research process.</w:t>
      </w:r>
    </w:p>
    <w:p w14:paraId="6D7B8C5F" w14:textId="77777777" w:rsidR="00300044" w:rsidRDefault="002602FB">
      <w:pPr>
        <w:pStyle w:val="Heading2"/>
      </w:pPr>
      <w:bookmarkStart w:id="34" w:name="_heading=h.kob0l960toky" w:colFirst="0" w:colLast="0"/>
      <w:bookmarkEnd w:id="34"/>
      <w:r>
        <w:t>3.9 Data Collection Method</w:t>
      </w:r>
    </w:p>
    <w:p w14:paraId="37C50F0D" w14:textId="77777777" w:rsidR="00300044" w:rsidRDefault="002602FB">
      <w:r>
        <w:t xml:space="preserve">In the presentation of primary data, the structured online questionnaire will be employed in the collection of primary data. Primary data works best since the research needs first-hand data regarding the perception of sustainable packaging and brand loyalty, as well as the perception of consumers, which is not necessarily present in other secondary sources (Mazhar et al., 2021; </w:t>
      </w:r>
      <w:proofErr w:type="spellStart"/>
      <w:r>
        <w:t>Taherdoost</w:t>
      </w:r>
      <w:proofErr w:type="spellEnd"/>
      <w:r>
        <w:t>, 2021).</w:t>
      </w:r>
    </w:p>
    <w:p w14:paraId="1DDF26FD" w14:textId="77777777" w:rsidR="00300044" w:rsidRDefault="002602FB">
      <w:r>
        <w:t>The questionnaire will be based on question-and-answer questions with mainly closed-ended questions that will be based on the five-point Likert scale. The demographic information which they will be required to provide will be gathered in Section A, and further questions will be used to determine the perception of sustainable packaging and brand loyalty. It will also entail sustainable packaging perceptions, which include perception of recyclability, perception of environmental information and packaging functionality. The loyalty to the brands will be gauged through the aspect of repeat buying, devotion and brand recommendation.</w:t>
      </w:r>
    </w:p>
    <w:p w14:paraId="14E77368" w14:textId="77777777" w:rsidR="00300044" w:rsidRDefault="002602FB">
      <w:r>
        <w:t xml:space="preserve">The participants will be informed about the questionnaire to be filled out in the research before signing a consent form. The involvement will be voluntary. </w:t>
      </w:r>
      <w:proofErr w:type="gramStart"/>
      <w:r>
        <w:t>In order to</w:t>
      </w:r>
      <w:proofErr w:type="gramEnd"/>
      <w:r>
        <w:t xml:space="preserve"> guarantee a study, about 15 questionnaires are to be provided, and the answers will be anonymous and will also be safely stored; the ethics documentation will be provided.</w:t>
      </w:r>
    </w:p>
    <w:p w14:paraId="0E4318CD" w14:textId="77777777" w:rsidR="00300044" w:rsidRDefault="002602FB">
      <w:pPr>
        <w:pStyle w:val="Heading2"/>
      </w:pPr>
      <w:bookmarkStart w:id="35" w:name="_heading=h.p11z3f4t89n0" w:colFirst="0" w:colLast="0"/>
      <w:bookmarkEnd w:id="35"/>
      <w:r>
        <w:t>3.10 Data Analysis</w:t>
      </w:r>
    </w:p>
    <w:p w14:paraId="3F1B36E8" w14:textId="77777777" w:rsidR="00300044" w:rsidRDefault="002602FB">
      <w:r>
        <w:t xml:space="preserve">IBM SPSS Statistics will be used to analyse the data collected. Data analysis will involve starting with data screening and data preparation to identify incomplete responses, any missing values and potential mistakes in the data entry. Characteristics and response patterns of the participants will then be summarised </w:t>
      </w:r>
      <w:r>
        <w:lastRenderedPageBreak/>
        <w:t>using descriptive statistics. To a great degree, frequencies, percentages, means and standard deviations will provide the summary information on the data.</w:t>
      </w:r>
    </w:p>
    <w:p w14:paraId="1216323C" w14:textId="77777777" w:rsidR="00300044" w:rsidRDefault="002602FB">
      <w:r>
        <w:t>In the name of finding internal consistency, Cronbach's alpha will be applied in the analysis of the reliability of the questionnaire items, which are meant to measure similar constructs. The acceptable coefficient will be an average coefficient of around 0.70 or higher; however, it will be construed following the nature and quantity of the items (Dubey and Kothari, 2022).</w:t>
      </w:r>
    </w:p>
    <w:p w14:paraId="7891D400" w14:textId="77777777" w:rsidR="00300044" w:rsidRDefault="002602FB">
      <w:r>
        <w:t>A Pearson correlation analysis will then be performed to ascertain the direction of the relationship and how strong the relationship is between perceptions of sustainable packaging and brand loyalty. The interpretation will be to assess whether brand loyalty is greater in cases of increased perceptions of sustainable packaging. A 5% level of significance will be used to assess statistical significance, where p &lt; 0.05 means statistically significant.</w:t>
      </w:r>
    </w:p>
    <w:p w14:paraId="0D7F0AA6" w14:textId="77777777" w:rsidR="00300044" w:rsidRDefault="002602FB">
      <w:r>
        <w:t xml:space="preserve">Finally, as a form of testing the hypothesis that the dimension of individual sustainable packaging is a strong predictor of brand loyalty, the multiple regression analysis will be conducted. Multiple regression would be appropriate when the dependent variable is being examined against several independent predictors (Rizka Ibdayanti, </w:t>
      </w:r>
      <w:proofErr w:type="spellStart"/>
      <w:r>
        <w:t>Zukhrina</w:t>
      </w:r>
      <w:proofErr w:type="spellEnd"/>
      <w:r>
        <w:t xml:space="preserve"> </w:t>
      </w:r>
      <w:proofErr w:type="spellStart"/>
      <w:r>
        <w:t>Oktaviani</w:t>
      </w:r>
      <w:proofErr w:type="spellEnd"/>
      <w:r>
        <w:t xml:space="preserve"> and Husin, 2024). To determine the capability of sustainable packaging perceptions to influence brand loyalty, regression coefficients and significance values, plus R2, are going to be analysed.</w:t>
      </w:r>
    </w:p>
    <w:p w14:paraId="5DC84584" w14:textId="77777777" w:rsidR="00300044" w:rsidRDefault="002602FB">
      <w:pPr>
        <w:pStyle w:val="Heading2"/>
      </w:pPr>
      <w:bookmarkStart w:id="36" w:name="_heading=h.tmwomr2bjzdi" w:colFirst="0" w:colLast="0"/>
      <w:bookmarkEnd w:id="36"/>
      <w:r>
        <w:t>3.11 Reliability and Validity</w:t>
      </w:r>
    </w:p>
    <w:p w14:paraId="671FB02B" w14:textId="77777777" w:rsidR="00300044" w:rsidRDefault="002602FB">
      <w:r>
        <w:t xml:space="preserve">Reliability: It is concerned with the consistency of a research instrument, and validity is concerned with </w:t>
      </w:r>
      <w:proofErr w:type="gramStart"/>
      <w:r>
        <w:t>whether or not</w:t>
      </w:r>
      <w:proofErr w:type="gramEnd"/>
      <w:r>
        <w:t xml:space="preserve"> a research instrument is measuring what it claims to measure (</w:t>
      </w:r>
      <w:proofErr w:type="spellStart"/>
      <w:r>
        <w:t>Taherdoost</w:t>
      </w:r>
      <w:proofErr w:type="spellEnd"/>
      <w:r>
        <w:t>, 2021). The internal consistency of the two scales of perception of sustainable packaging and brand loyalty will determine the Cronbach's alpha.</w:t>
      </w:r>
    </w:p>
    <w:p w14:paraId="45B64BF2" w14:textId="77777777" w:rsidR="00300044" w:rsidRDefault="002602FB">
      <w:r>
        <w:t xml:space="preserve">A pilot test will be used as well before the actual survey </w:t>
      </w:r>
      <w:proofErr w:type="gramStart"/>
      <w:r>
        <w:t>so as to</w:t>
      </w:r>
      <w:proofErr w:type="gramEnd"/>
      <w:r>
        <w:t xml:space="preserve"> identify language use that is ambiguous, redundant and issues with understanding of the questionnaire. The pilot testing helps to enhance the readability and accuracy of a research instrument (Mazhar et al., 2021).</w:t>
      </w:r>
    </w:p>
    <w:p w14:paraId="7D8C5315" w14:textId="77777777" w:rsidR="00300044" w:rsidRDefault="002602FB">
      <w:r>
        <w:lastRenderedPageBreak/>
        <w:t xml:space="preserve">Questionnaire items will be designed </w:t>
      </w:r>
      <w:proofErr w:type="gramStart"/>
      <w:r>
        <w:t>on the basis of</w:t>
      </w:r>
      <w:proofErr w:type="gramEnd"/>
      <w:r>
        <w:t xml:space="preserve"> the literature review conducted in Chapter 2, which will ensure content validity. Construct validity will be enhanced by making sure that questionnaire measures are aligned with the conceptual framework. Consistency between the research questions, hypotheses, and questionnaire items with the research objectives will also help to give credence to the validity of the study.</w:t>
      </w:r>
    </w:p>
    <w:p w14:paraId="0B5C5A79" w14:textId="77777777" w:rsidR="00300044" w:rsidRDefault="002602FB">
      <w:pPr>
        <w:pStyle w:val="Heading2"/>
      </w:pPr>
      <w:bookmarkStart w:id="37" w:name="_heading=h.z52lm2pctujy" w:colFirst="0" w:colLast="0"/>
      <w:bookmarkEnd w:id="37"/>
      <w:r>
        <w:t>3.12 Ethical Considerations</w:t>
      </w:r>
    </w:p>
    <w:p w14:paraId="71078196" w14:textId="77777777" w:rsidR="00300044" w:rsidRDefault="002602FB">
      <w:r>
        <w:t xml:space="preserve">The ethics strategy will be utilised in the study. As guides, the ethics documentation refrains from highlighting additional </w:t>
      </w:r>
      <w:proofErr w:type="gramStart"/>
      <w:r>
        <w:t>guides, but</w:t>
      </w:r>
      <w:proofErr w:type="gramEnd"/>
      <w:r>
        <w:t xml:space="preserve"> instead identifies UWTSD Research Ethics and Integrity Code of Practice, UWTSD Research Data Management Policy, UK GDPR and Data Protection Act 2018. The collection of data will be done only in compliance with the necessary approvals.</w:t>
      </w:r>
    </w:p>
    <w:p w14:paraId="48034915" w14:textId="77777777" w:rsidR="00300044" w:rsidRDefault="002602FB">
      <w:r>
        <w:t xml:space="preserve">The interviews will be voluntary, and informed consent will be given before filling out the questionnaires. The participants will be made aware of our research process </w:t>
      </w:r>
      <w:proofErr w:type="gramStart"/>
      <w:r>
        <w:t>and also</w:t>
      </w:r>
      <w:proofErr w:type="gramEnd"/>
      <w:r>
        <w:t xml:space="preserve"> their right to withdraw before giving their answers. They will also be able to avoid answering the questions that they do not want to.</w:t>
      </w:r>
    </w:p>
    <w:p w14:paraId="4117928E" w14:textId="77777777" w:rsidR="00300044" w:rsidRDefault="002602FB">
      <w:r>
        <w:t xml:space="preserve">By not gathering direct identifiers like names, addresses and telephone numbers, confidentiality and anonymity will be ensured. The sensitive questions about health conditions, religion, views on political issues or illegal activity will not be included in the questionnaire. The level of risk is very low in the study, but there is slight discomfort in the case of the participants in relation to their attitudes towards the environment or buying behaviour. The </w:t>
      </w:r>
      <w:proofErr w:type="gramStart"/>
      <w:r>
        <w:t>information</w:t>
      </w:r>
      <w:proofErr w:type="gramEnd"/>
      <w:r>
        <w:t xml:space="preserve"> therefore, will be safely stored and hence exploited academically.</w:t>
      </w:r>
    </w:p>
    <w:p w14:paraId="405E28F4" w14:textId="77777777" w:rsidR="00300044" w:rsidRDefault="002602FB">
      <w:pPr>
        <w:pStyle w:val="Heading2"/>
      </w:pPr>
      <w:bookmarkStart w:id="38" w:name="_heading=h.lc3ng6727v2j" w:colFirst="0" w:colLast="0"/>
      <w:bookmarkEnd w:id="38"/>
      <w:r>
        <w:t>3.13 Methodological Limitations</w:t>
      </w:r>
    </w:p>
    <w:p w14:paraId="7755EA89" w14:textId="77777777" w:rsidR="00300044" w:rsidRDefault="002602FB">
      <w:r>
        <w:t xml:space="preserve">There are </w:t>
      </w:r>
      <w:proofErr w:type="gramStart"/>
      <w:r>
        <w:t>a number of</w:t>
      </w:r>
      <w:proofErr w:type="gramEnd"/>
      <w:r>
        <w:t xml:space="preserve"> limitations in the methodology. The cross-sectional design simply captures the consumer perceptions at one moment and does not give any means of ascertaining how the perceptions evolve in the long term. Moreover, self-reporting is used in deriving the responses of the questionnaire; the questionnaire may present a respondent bias as the respondents will provide socially desirable responses about environmental responsibility.</w:t>
      </w:r>
    </w:p>
    <w:p w14:paraId="36137811" w14:textId="66AB8AF8" w:rsidR="00300044" w:rsidRDefault="002602FB">
      <w:r>
        <w:lastRenderedPageBreak/>
        <w:t xml:space="preserve">Online recruiting can decrease representativeness, as those people who are using social media and online consumer groups might be more inclined to engage. </w:t>
      </w:r>
      <w:r w:rsidRPr="008347B6">
        <w:t>Besides, the number of participants used 53 might not fully reflect the overall number of consumers of food and beverages in the UK.</w:t>
      </w:r>
      <w:r w:rsidR="00813BE4">
        <w:t xml:space="preserve"> </w:t>
      </w:r>
      <w:r>
        <w:t xml:space="preserve">As such, they ought to reason according to the extent of the sample </w:t>
      </w:r>
      <w:proofErr w:type="gramStart"/>
      <w:r>
        <w:t>chosen, but</w:t>
      </w:r>
      <w:proofErr w:type="gramEnd"/>
      <w:r>
        <w:t xml:space="preserve"> not necessarily expect that every consumer across the UK is </w:t>
      </w:r>
      <w:proofErr w:type="gramStart"/>
      <w:r>
        <w:t>similar to</w:t>
      </w:r>
      <w:proofErr w:type="gramEnd"/>
      <w:r>
        <w:t xml:space="preserve"> the sample they have taken.</w:t>
      </w:r>
    </w:p>
    <w:p w14:paraId="23F1E60A" w14:textId="77777777" w:rsidR="00300044" w:rsidRDefault="002602FB">
      <w:pPr>
        <w:pStyle w:val="Heading2"/>
      </w:pPr>
      <w:bookmarkStart w:id="39" w:name="_heading=h.irvh6xx3cdzk" w:colFirst="0" w:colLast="0"/>
      <w:bookmarkEnd w:id="39"/>
      <w:r>
        <w:t>3.14 Chapter Summary</w:t>
      </w:r>
    </w:p>
    <w:p w14:paraId="1212DA83" w14:textId="5875A6F0" w:rsidR="00300044" w:rsidRDefault="002602FB">
      <w:r>
        <w:t xml:space="preserve">The chapter has laid down the methodological basis of analysing the effect of the perceptions of sustainable packaging on branding loyalty in the UK food and beverage industry. This study offers positivist philosophy, deductive design, quantitative research, a survey plan, as well as a cross-sectional design. </w:t>
      </w:r>
      <w:r w:rsidRPr="008347B6">
        <w:t>Primary data approximately 53 UK adults who purchase food and beverage products aged 18 years and above will be collected with the help of an online questionnaire.</w:t>
      </w:r>
      <w:r w:rsidR="00813BE4">
        <w:t xml:space="preserve"> </w:t>
      </w:r>
      <w:r>
        <w:t>Among the SPSS data analysis techniques, there will be descriptive statistics, Cronbach's alpha, Pearson correlation and multiple regression. Informed consent, voluntary participation, anonymity, confidentiality and data protection are ethical issues that will be upheld during the research process. These methodological options offer a relevant empirical background to the study of the research aims and experimental evidence of the existence of the proposed relationship between the perceptions of sustainable packaging and brand loyalty.</w:t>
      </w:r>
    </w:p>
    <w:p w14:paraId="78559500" w14:textId="77777777" w:rsidR="00300044" w:rsidRDefault="002602FB">
      <w:pPr>
        <w:spacing w:before="0" w:after="160" w:line="259" w:lineRule="auto"/>
        <w:jc w:val="left"/>
      </w:pPr>
      <w:r>
        <w:br w:type="page"/>
      </w:r>
    </w:p>
    <w:p w14:paraId="064210CC" w14:textId="77777777" w:rsidR="00300044" w:rsidRDefault="00300044"/>
    <w:p w14:paraId="2F8B15E3" w14:textId="77777777" w:rsidR="00300044" w:rsidRDefault="002602FB">
      <w:pPr>
        <w:pStyle w:val="Heading1"/>
      </w:pPr>
      <w:bookmarkStart w:id="40" w:name="_heading=h.qxjv49ukprxm" w:colFirst="0" w:colLast="0"/>
      <w:bookmarkEnd w:id="40"/>
      <w:r>
        <w:t xml:space="preserve">Chapter 4: Findings </w:t>
      </w:r>
    </w:p>
    <w:p w14:paraId="05D36CA7" w14:textId="77777777" w:rsidR="00300044" w:rsidRDefault="002602FB">
      <w:pPr>
        <w:pStyle w:val="Heading2"/>
      </w:pPr>
      <w:bookmarkStart w:id="41" w:name="_heading=h.vdtvxayv2t9n" w:colFirst="0" w:colLast="0"/>
      <w:bookmarkEnd w:id="41"/>
      <w:r>
        <w:t xml:space="preserve">4.1 Introduction  </w:t>
      </w:r>
    </w:p>
    <w:p w14:paraId="1AFBE536" w14:textId="77777777" w:rsidR="00300044" w:rsidRDefault="002602FB">
      <w:pPr>
        <w:pBdr>
          <w:top w:val="nil"/>
          <w:left w:val="nil"/>
          <w:bottom w:val="nil"/>
          <w:right w:val="nil"/>
          <w:between w:val="nil"/>
        </w:pBdr>
        <w:spacing w:before="200" w:after="200"/>
        <w:rPr>
          <w:color w:val="000000"/>
        </w:rPr>
      </w:pPr>
      <w:r>
        <w:rPr>
          <w:color w:val="000000"/>
        </w:rPr>
        <w:t xml:space="preserve">This chapter presents the findings from the questionnaire that was conducted to investigate the impact of sustainable packaging perceptions on brand loyalty in the food and beverage sector in the UK. The researchers concentrated on consumer perception towards sustainable packaging and whether these perceptions can be linked to any signs of brand loyalty. The research was quantitative in nature, whereby the questionnaires were answered, and the answers were analysed in IBM SPSS, where the estimation was informed </w:t>
      </w:r>
      <w:proofErr w:type="gramStart"/>
      <w:r>
        <w:rPr>
          <w:color w:val="000000"/>
        </w:rPr>
        <w:t>on the basis of</w:t>
      </w:r>
      <w:proofErr w:type="gramEnd"/>
      <w:r>
        <w:rPr>
          <w:color w:val="000000"/>
        </w:rPr>
        <w:t xml:space="preserve"> descriptive statistics. The methodology concluded that the establishment of a summary of response patterns would be through the descriptive statistics measures that characterise the mean, median, mode, standard deviation, minimum, maximum and sum.</w:t>
      </w:r>
    </w:p>
    <w:p w14:paraId="4C951857" w14:textId="77777777" w:rsidR="00300044" w:rsidRDefault="002602FB">
      <w:pPr>
        <w:pBdr>
          <w:top w:val="nil"/>
          <w:left w:val="nil"/>
          <w:bottom w:val="nil"/>
          <w:right w:val="nil"/>
          <w:between w:val="nil"/>
        </w:pBdr>
        <w:spacing w:before="200" w:after="200"/>
        <w:rPr>
          <w:color w:val="000000"/>
        </w:rPr>
      </w:pPr>
      <w:r w:rsidRPr="00813BE4">
        <w:rPr>
          <w:color w:val="000000"/>
        </w:rPr>
        <w:t>The responses obtained in the statistical output in terms of question validity were 5</w:t>
      </w:r>
      <w:r w:rsidRPr="00813BE4">
        <w:t>3</w:t>
      </w:r>
      <w:r w:rsidRPr="00813BE4">
        <w:rPr>
          <w:color w:val="000000"/>
        </w:rPr>
        <w:t xml:space="preserve"> responses valid for the analysis, with no responses missing in any question. </w:t>
      </w:r>
      <w:r>
        <w:rPr>
          <w:color w:val="000000"/>
        </w:rPr>
        <w:t xml:space="preserve">This implies that the descriptive analysis was ideal </w:t>
      </w:r>
      <w:proofErr w:type="gramStart"/>
      <w:r>
        <w:rPr>
          <w:color w:val="000000"/>
        </w:rPr>
        <w:t>with regard to</w:t>
      </w:r>
      <w:proofErr w:type="gramEnd"/>
      <w:r>
        <w:rPr>
          <w:color w:val="000000"/>
        </w:rPr>
        <w:t xml:space="preserve"> the dataset. Demographics selected for the questionnaire included age, gender and statements that quantified perceptions about sustainable packaging and brand loyalty. The sustainable packaging actions were taken based on key aspects that were found in the conceptual framework, and these dimensions were perceived as recyclability, environmental information, eco- labelling, packaging functionality and convenience.</w:t>
      </w:r>
    </w:p>
    <w:p w14:paraId="0ED3A5A3" w14:textId="77777777" w:rsidR="00300044" w:rsidRDefault="002602FB">
      <w:pPr>
        <w:pBdr>
          <w:top w:val="nil"/>
          <w:left w:val="nil"/>
          <w:bottom w:val="nil"/>
          <w:right w:val="nil"/>
          <w:between w:val="nil"/>
        </w:pBdr>
        <w:spacing w:before="200" w:after="200"/>
        <w:rPr>
          <w:color w:val="000000"/>
        </w:rPr>
      </w:pPr>
      <w:r>
        <w:rPr>
          <w:color w:val="000000"/>
        </w:rPr>
        <w:t xml:space="preserve">This chapter is thus aimed at detailing the observed patterns in responses, not causation. The results give preliminary knowledge on how the respondents perceived sustainable packaging and the degree to which they professed positive feelings about brands that used sustainable packaging. Additional statistical analysis, like correlation and regression analysis, would be needed to establish the strength and statistical significance of correlations between the perception of sustainable packaging and brand loyalty, which is envisaged in the research methodology. </w:t>
      </w:r>
    </w:p>
    <w:p w14:paraId="6886247F" w14:textId="77777777" w:rsidR="00300044" w:rsidRDefault="002602FB">
      <w:pPr>
        <w:pStyle w:val="Heading2"/>
      </w:pPr>
      <w:bookmarkStart w:id="42" w:name="_heading=h.8c6gf1kr53vt" w:colFirst="0" w:colLast="0"/>
      <w:bookmarkEnd w:id="42"/>
      <w:r>
        <w:lastRenderedPageBreak/>
        <w:t xml:space="preserve">4.2 Descriptive statistical analysis </w:t>
      </w:r>
    </w:p>
    <w:p w14:paraId="7D330482" w14:textId="77777777" w:rsidR="00300044" w:rsidRPr="008347B6" w:rsidRDefault="002602FB">
      <w:pPr>
        <w:pBdr>
          <w:top w:val="nil"/>
          <w:left w:val="nil"/>
          <w:bottom w:val="nil"/>
          <w:right w:val="nil"/>
          <w:between w:val="nil"/>
        </w:pBdr>
        <w:spacing w:before="200" w:after="200"/>
        <w:rPr>
          <w:color w:val="000000"/>
        </w:rPr>
      </w:pPr>
      <w:r w:rsidRPr="008347B6">
        <w:rPr>
          <w:color w:val="000000"/>
        </w:rPr>
        <w:t>The answers from the 5</w:t>
      </w:r>
      <w:r w:rsidRPr="008347B6">
        <w:t>3</w:t>
      </w:r>
      <w:r w:rsidRPr="008347B6">
        <w:rPr>
          <w:color w:val="000000"/>
        </w:rPr>
        <w:t xml:space="preserve"> participants were summarised using descriptive statistics. According to the SPSS results, there were N = 5</w:t>
      </w:r>
      <w:r w:rsidRPr="008347B6">
        <w:t>3</w:t>
      </w:r>
      <w:r w:rsidRPr="008347B6">
        <w:rPr>
          <w:color w:val="000000"/>
        </w:rPr>
        <w:t xml:space="preserve"> in all 15 questions. The findings indicate that there are moderate perceptions of sustainable packaging and are not strongly positive. The average scores of the questions on sustainable packaging were 2.84-3.30. The mean of 3.</w:t>
      </w:r>
      <w:r w:rsidRPr="008347B6">
        <w:t>17</w:t>
      </w:r>
      <w:r w:rsidRPr="008347B6">
        <w:rPr>
          <w:color w:val="000000"/>
        </w:rPr>
        <w:t xml:space="preserve"> was the highest recorded under Q8, which examined the effects of environmental labels on perceptions of a brand. This tells us that the position of environmental labels was quite significant in influencing the respondents to form perceptions towards the brands. The middle tendency was around the mean values of the response scale, since the median was 3.00, and the mode was 3.</w:t>
      </w:r>
    </w:p>
    <w:p w14:paraId="2940F068" w14:textId="77777777" w:rsidR="00300044" w:rsidRPr="008347B6" w:rsidRDefault="002602FB">
      <w:pPr>
        <w:pBdr>
          <w:top w:val="nil"/>
          <w:left w:val="nil"/>
          <w:bottom w:val="nil"/>
          <w:right w:val="nil"/>
          <w:between w:val="nil"/>
        </w:pBdr>
        <w:spacing w:before="200" w:after="200"/>
        <w:rPr>
          <w:color w:val="000000"/>
        </w:rPr>
      </w:pPr>
      <w:r w:rsidRPr="008347B6">
        <w:rPr>
          <w:color w:val="000000"/>
        </w:rPr>
        <w:t>Q7 was the highest with a mean of 3.</w:t>
      </w:r>
      <w:r w:rsidRPr="008347B6">
        <w:t>16</w:t>
      </w:r>
      <w:r w:rsidRPr="008347B6">
        <w:rPr>
          <w:color w:val="000000"/>
        </w:rPr>
        <w:t>, indicating that there was a relatively positive response to the statement that customers place more trust in brands when they have clear packaging that tells them the environmental benefits of the packaging. The research can apply this conclusion because knowledge about the environment and trust are an important part of the proposed association between perceptions about sustainable packaging and brand loyalty. Another key consideration that influences consumer perceptions, discussed in the literature review, is information about the environment that, alongside credible sustainability communication, is a critical element.</w:t>
      </w:r>
    </w:p>
    <w:p w14:paraId="3B537EF4" w14:textId="77777777" w:rsidR="00300044" w:rsidRPr="008347B6" w:rsidRDefault="002602FB">
      <w:pPr>
        <w:pBdr>
          <w:top w:val="nil"/>
          <w:left w:val="nil"/>
          <w:bottom w:val="nil"/>
          <w:right w:val="nil"/>
          <w:between w:val="nil"/>
        </w:pBdr>
        <w:spacing w:before="200" w:after="200"/>
        <w:rPr>
          <w:color w:val="000000"/>
        </w:rPr>
      </w:pPr>
      <w:r w:rsidRPr="008347B6">
        <w:rPr>
          <w:color w:val="000000"/>
        </w:rPr>
        <w:t>Q5 mean was 3.1</w:t>
      </w:r>
      <w:r w:rsidRPr="008347B6">
        <w:t>0</w:t>
      </w:r>
      <w:r w:rsidRPr="008347B6">
        <w:rPr>
          <w:color w:val="000000"/>
        </w:rPr>
        <w:t xml:space="preserve">, which means that the respondents were moderately in agreement that recyclable packaging is an environmental responsibility. The average of Q10 was 3.00, which represents a neutral-neutral-moderate preference for sustainable packaging when convenient and easy to use. On the same note, Q9 generated an average of </w:t>
      </w:r>
      <w:r w:rsidRPr="008347B6">
        <w:t>3.03</w:t>
      </w:r>
      <w:r w:rsidRPr="008347B6">
        <w:rPr>
          <w:color w:val="000000"/>
        </w:rPr>
        <w:t xml:space="preserve">, which means that the respondents were quite hesitant about whether sustainable packaging is a stable solution to offer the same protection to products compared to traditional packaging. </w:t>
      </w:r>
    </w:p>
    <w:p w14:paraId="0D3A20D3" w14:textId="77777777" w:rsidR="00300044" w:rsidRPr="008347B6" w:rsidRDefault="002602FB">
      <w:pPr>
        <w:pBdr>
          <w:top w:val="nil"/>
          <w:left w:val="nil"/>
          <w:bottom w:val="nil"/>
          <w:right w:val="nil"/>
          <w:between w:val="nil"/>
        </w:pBdr>
        <w:spacing w:before="200" w:after="200"/>
        <w:rPr>
          <w:color w:val="000000"/>
        </w:rPr>
      </w:pPr>
      <w:r w:rsidRPr="008347B6">
        <w:rPr>
          <w:color w:val="000000"/>
        </w:rPr>
        <w:t>Q3 and Q4 showed the lowest mean scores, with means of 2.</w:t>
      </w:r>
      <w:r w:rsidRPr="008347B6">
        <w:t>90</w:t>
      </w:r>
      <w:r w:rsidRPr="008347B6">
        <w:rPr>
          <w:color w:val="000000"/>
        </w:rPr>
        <w:t xml:space="preserve"> and 2.8</w:t>
      </w:r>
      <w:r w:rsidRPr="008347B6">
        <w:t>0</w:t>
      </w:r>
      <w:r w:rsidRPr="008347B6">
        <w:rPr>
          <w:color w:val="000000"/>
        </w:rPr>
        <w:t>, respectively, for the sustainable packaging perception items. In this way, the convenience of recycling packaging or the importance of the ability to recycle a packaging product did not receive a high rating among the respondents. The standard deviations of 1.1</w:t>
      </w:r>
      <w:r w:rsidRPr="008347B6">
        <w:t>29</w:t>
      </w:r>
      <w:r w:rsidRPr="008347B6">
        <w:rPr>
          <w:color w:val="000000"/>
        </w:rPr>
        <w:t xml:space="preserve"> to 1.570 also show that there was a bit of variability in the opinions </w:t>
      </w:r>
      <w:r w:rsidRPr="008347B6">
        <w:rPr>
          <w:color w:val="000000"/>
        </w:rPr>
        <w:lastRenderedPageBreak/>
        <w:t xml:space="preserve">of the respondents. This shows that the perceptions of sustainable packaging by participants were not </w:t>
      </w:r>
      <w:proofErr w:type="gramStart"/>
      <w:r w:rsidRPr="008347B6">
        <w:rPr>
          <w:color w:val="000000"/>
        </w:rPr>
        <w:t>absolutely unanimous</w:t>
      </w:r>
      <w:proofErr w:type="gramEnd"/>
      <w:r w:rsidRPr="008347B6">
        <w:rPr>
          <w:color w:val="000000"/>
        </w:rPr>
        <w:t xml:space="preserve">. The results, as far as brand loyalty was concerned, were also ambivalent. L14 was on readiness to recommend a brand based on packaging that is environmentally friendly, with a </w:t>
      </w:r>
      <w:proofErr w:type="gramStart"/>
      <w:r w:rsidRPr="008347B6">
        <w:rPr>
          <w:color w:val="000000"/>
        </w:rPr>
        <w:t>fairly high</w:t>
      </w:r>
      <w:proofErr w:type="gramEnd"/>
      <w:r w:rsidRPr="008347B6">
        <w:rPr>
          <w:color w:val="000000"/>
        </w:rPr>
        <w:t xml:space="preserve"> mean of 3.</w:t>
      </w:r>
      <w:r w:rsidRPr="008347B6">
        <w:t>03</w:t>
      </w:r>
      <w:r w:rsidRPr="008347B6">
        <w:rPr>
          <w:color w:val="000000"/>
        </w:rPr>
        <w:t>. Q13, the measure of commitment to a brand via sustainable packaging and Q15, the measure of preference for a brand via sustainable packaging against a competing brand, had a mean of 2.</w:t>
      </w:r>
      <w:r w:rsidRPr="008347B6">
        <w:t>76</w:t>
      </w:r>
      <w:r w:rsidRPr="008347B6">
        <w:rPr>
          <w:color w:val="000000"/>
        </w:rPr>
        <w:t xml:space="preserve"> and </w:t>
      </w:r>
      <w:r w:rsidRPr="008347B6">
        <w:t>3.04</w:t>
      </w:r>
      <w:r w:rsidRPr="008347B6">
        <w:rPr>
          <w:color w:val="000000"/>
        </w:rPr>
        <w:t>, respectively. These results demonstrate moderate indications that there is an opportunity for sustainable packaging to similarly result in a positive brand-related response.</w:t>
      </w:r>
    </w:p>
    <w:p w14:paraId="0A09EB63" w14:textId="77777777" w:rsidR="00300044" w:rsidRDefault="002602FB">
      <w:pPr>
        <w:pBdr>
          <w:top w:val="nil"/>
          <w:left w:val="nil"/>
          <w:bottom w:val="nil"/>
          <w:right w:val="nil"/>
          <w:between w:val="nil"/>
        </w:pBdr>
        <w:spacing w:before="200" w:after="200"/>
        <w:rPr>
          <w:color w:val="000000"/>
        </w:rPr>
      </w:pPr>
      <w:r w:rsidRPr="008347B6">
        <w:rPr>
          <w:color w:val="000000"/>
        </w:rPr>
        <w:t>The mean of brand loyalty was 2.7</w:t>
      </w:r>
      <w:r w:rsidRPr="008347B6">
        <w:t>6</w:t>
      </w:r>
      <w:r w:rsidRPr="008347B6">
        <w:rPr>
          <w:color w:val="000000"/>
        </w:rPr>
        <w:t>, but it was the lowest of all, and probably, that meant that the respondents were not overly convinced that sustainability in packaging was exclusive to an extent that it would make them buy another brand again. This observation is also significant as brand loyalty and immediate purchase intention have been uniquely separated in the study.</w:t>
      </w:r>
      <w:r>
        <w:rPr>
          <w:color w:val="000000"/>
        </w:rPr>
        <w:t xml:space="preserve"> The literature review also discovers that earlier research has tended to focus on purchase intention, contrary to long-term loyalty. The descriptive statistics thus give a valuable basis for future analysis. Although the means indicate the overall direction of perceptions held by the respondents, they do not determine whether there is a statistically significant relationship between sustainable packaging perceptions and brand loyalty. This relationship would need to be looked at more directly by Pearson correlation and multiple regression, as outlined in the methodology.</w:t>
      </w:r>
    </w:p>
    <w:p w14:paraId="3997F94D" w14:textId="77777777" w:rsidR="00300044" w:rsidRDefault="002602FB">
      <w:pPr>
        <w:pBdr>
          <w:top w:val="nil"/>
          <w:left w:val="nil"/>
          <w:bottom w:val="nil"/>
          <w:right w:val="nil"/>
          <w:between w:val="nil"/>
        </w:pBdr>
        <w:spacing w:before="200" w:after="200"/>
        <w:rPr>
          <w:color w:val="000000"/>
        </w:rPr>
      </w:pPr>
      <w:r>
        <w:rPr>
          <w:noProof/>
        </w:rPr>
        <w:lastRenderedPageBreak/>
        <w:drawing>
          <wp:inline distT="114300" distB="114300" distL="114300" distR="114300" wp14:anchorId="63578942" wp14:editId="303994A6">
            <wp:extent cx="5731200" cy="5232400"/>
            <wp:effectExtent l="0" t="0" r="0" b="0"/>
            <wp:docPr id="158910353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2"/>
                    <a:srcRect/>
                    <a:stretch>
                      <a:fillRect/>
                    </a:stretch>
                  </pic:blipFill>
                  <pic:spPr>
                    <a:xfrm>
                      <a:off x="0" y="0"/>
                      <a:ext cx="5731200" cy="5232400"/>
                    </a:xfrm>
                    <a:prstGeom prst="rect">
                      <a:avLst/>
                    </a:prstGeom>
                    <a:ln/>
                  </pic:spPr>
                </pic:pic>
              </a:graphicData>
            </a:graphic>
          </wp:inline>
        </w:drawing>
      </w:r>
    </w:p>
    <w:p w14:paraId="1643CBA1" w14:textId="77777777" w:rsidR="00300044" w:rsidRDefault="002602FB">
      <w:pPr>
        <w:pStyle w:val="Heading4"/>
      </w:pPr>
      <w:bookmarkStart w:id="43" w:name="_heading=h.1a2puxihchfd" w:colFirst="0" w:colLast="0"/>
      <w:bookmarkEnd w:id="43"/>
      <w:r>
        <w:t>Figure 4.1 Descriptive analysis</w:t>
      </w:r>
    </w:p>
    <w:p w14:paraId="41E78BFF" w14:textId="77777777" w:rsidR="00300044" w:rsidRDefault="002602FB">
      <w:pPr>
        <w:pBdr>
          <w:top w:val="nil"/>
          <w:left w:val="nil"/>
          <w:bottom w:val="nil"/>
          <w:right w:val="nil"/>
          <w:between w:val="nil"/>
        </w:pBdr>
        <w:spacing w:before="200" w:after="200"/>
        <w:jc w:val="center"/>
        <w:rPr>
          <w:color w:val="000000"/>
        </w:rPr>
      </w:pPr>
      <w:r>
        <w:rPr>
          <w:color w:val="000000"/>
        </w:rPr>
        <w:t>(Source: SPSS)</w:t>
      </w:r>
    </w:p>
    <w:p w14:paraId="6AF28B6D" w14:textId="77777777" w:rsidR="00300044" w:rsidRDefault="002602FB">
      <w:pPr>
        <w:pBdr>
          <w:top w:val="nil"/>
          <w:left w:val="nil"/>
          <w:bottom w:val="nil"/>
          <w:right w:val="nil"/>
          <w:between w:val="nil"/>
        </w:pBdr>
        <w:spacing w:before="200" w:after="200"/>
        <w:rPr>
          <w:b/>
          <w:bCs/>
          <w:color w:val="000000"/>
        </w:rPr>
      </w:pPr>
      <w:r>
        <w:rPr>
          <w:b/>
          <w:bCs/>
          <w:color w:val="000000"/>
        </w:rPr>
        <w:t>Frequency analysis</w:t>
      </w:r>
    </w:p>
    <w:p w14:paraId="75DBD3F9" w14:textId="77777777" w:rsidR="00300044" w:rsidRDefault="002602FB">
      <w:pPr>
        <w:pBdr>
          <w:top w:val="nil"/>
          <w:left w:val="nil"/>
          <w:bottom w:val="nil"/>
          <w:right w:val="nil"/>
          <w:between w:val="nil"/>
        </w:pBdr>
        <w:spacing w:before="200" w:after="200"/>
        <w:rPr>
          <w:color w:val="000000"/>
        </w:rPr>
      </w:pPr>
      <w:r>
        <w:rPr>
          <w:color w:val="000000"/>
        </w:rPr>
        <w:t>This section presents the table with the frequency analysis of 15 items in the questionnaire. It was examined on 5</w:t>
      </w:r>
      <w:r>
        <w:t>3</w:t>
      </w:r>
      <w:r>
        <w:rPr>
          <w:color w:val="000000"/>
        </w:rPr>
        <w:t xml:space="preserve"> valid answers, and the questions did not have any missing answers. Questions 1-2 contain demographic information, and questions 3-10 examine how consumers perceive sustainable packaging, while questions 11-15 examine brand loyalty. The questionnaire was based on a five-point Likert scale that gave the respondent the flexibility to answer the statements based on their level of agreement. The research strategy finds that this aspect of sustainable packaging was researched on the factors of recycling, environmental data, eco-labelling, functionality </w:t>
      </w:r>
      <w:r>
        <w:rPr>
          <w:color w:val="000000"/>
        </w:rPr>
        <w:lastRenderedPageBreak/>
        <w:t>and convenience and brand loyalty on the factors of rebuys, loyalty and recommendation.</w:t>
      </w:r>
    </w:p>
    <w:p w14:paraId="0D5FEF92" w14:textId="77777777" w:rsidR="00300044" w:rsidRDefault="002602FB">
      <w:pPr>
        <w:pBdr>
          <w:top w:val="nil"/>
          <w:left w:val="nil"/>
          <w:bottom w:val="nil"/>
          <w:right w:val="nil"/>
          <w:between w:val="nil"/>
        </w:pBdr>
        <w:spacing w:before="200" w:after="200"/>
        <w:rPr>
          <w:color w:val="000000"/>
        </w:rPr>
      </w:pPr>
      <w:r>
        <w:rPr>
          <w:color w:val="000000"/>
        </w:rPr>
        <w:t>The frequency outcome is useful in meeting the two initial research objectives. The former (Objective 1) will be used to define the key dimensions of consumer perception of sustainable packaging, and the latter (Objective 2) will investigate the relationship between perceptions of sustainable packaging and brand loyalty. The research questions concerning the most important factors of the perception of sustainable packaging and their relationship with brand loyalty may be supported by the findings as well. (Refer to appendix)</w:t>
      </w:r>
    </w:p>
    <w:p w14:paraId="34766E1C" w14:textId="77777777" w:rsidR="00300044" w:rsidRDefault="002602FB">
      <w:pPr>
        <w:pBdr>
          <w:top w:val="nil"/>
          <w:left w:val="nil"/>
          <w:bottom w:val="nil"/>
          <w:right w:val="nil"/>
          <w:between w:val="nil"/>
        </w:pBdr>
        <w:spacing w:before="200" w:after="200"/>
        <w:rPr>
          <w:i/>
          <w:iCs/>
          <w:color w:val="000000"/>
        </w:rPr>
      </w:pPr>
      <w:r>
        <w:rPr>
          <w:i/>
          <w:iCs/>
          <w:color w:val="000000"/>
        </w:rPr>
        <w:t xml:space="preserve">Q1. What is your age? </w:t>
      </w:r>
    </w:p>
    <w:p w14:paraId="3E6AF93F" w14:textId="77777777" w:rsidR="00300044" w:rsidRDefault="002602FB">
      <w:pPr>
        <w:pBdr>
          <w:top w:val="nil"/>
          <w:left w:val="nil"/>
          <w:bottom w:val="nil"/>
          <w:right w:val="nil"/>
          <w:between w:val="nil"/>
        </w:pBdr>
        <w:spacing w:before="200" w:after="200"/>
        <w:rPr>
          <w:color w:val="000000"/>
          <w:highlight w:val="yellow"/>
        </w:rPr>
      </w:pPr>
      <w:r w:rsidRPr="008347B6">
        <w:rPr>
          <w:color w:val="000000"/>
        </w:rPr>
        <w:t>There were 5</w:t>
      </w:r>
      <w:r w:rsidRPr="008347B6">
        <w:t>3</w:t>
      </w:r>
      <w:r w:rsidRPr="008347B6">
        <w:rPr>
          <w:color w:val="000000"/>
        </w:rPr>
        <w:t xml:space="preserve"> valid responses to the age question. Categories 1 and 3 consisted of 2</w:t>
      </w:r>
      <w:r w:rsidRPr="008347B6">
        <w:t>1.6</w:t>
      </w:r>
      <w:r w:rsidRPr="008347B6">
        <w:rPr>
          <w:color w:val="000000"/>
        </w:rPr>
        <w:t xml:space="preserve"> and </w:t>
      </w:r>
      <w:r w:rsidRPr="008347B6">
        <w:t>17.3</w:t>
      </w:r>
      <w:r w:rsidRPr="008347B6">
        <w:rPr>
          <w:color w:val="000000"/>
        </w:rPr>
        <w:t>%, respectively (13 people each). The number of respondents in the categories was also 14 in both categories 2 and 4, with seven respondents each, and vice versa for categories 5 and 6, with five respondents. Thus, the sample had respondents from all six codified age groups as opposed to selecting one group.</w:t>
      </w:r>
    </w:p>
    <w:p w14:paraId="28E8ADE5" w14:textId="77777777" w:rsidR="00300044" w:rsidRDefault="002602FB">
      <w:pPr>
        <w:pBdr>
          <w:top w:val="nil"/>
          <w:left w:val="nil"/>
          <w:bottom w:val="nil"/>
          <w:right w:val="nil"/>
          <w:between w:val="nil"/>
        </w:pBdr>
        <w:spacing w:before="200" w:after="200"/>
        <w:rPr>
          <w:color w:val="000000"/>
        </w:rPr>
      </w:pPr>
      <w:r>
        <w:rPr>
          <w:color w:val="000000"/>
        </w:rPr>
        <w:t xml:space="preserve">This is the merit of this distribution since the study aims to discover perceptions of the consumers and not that of a specific group of people based on their age group. Having the respondents under various age groups gives the study greater grounds on which the perceptions of sustainable packaging could be investigated. Yet, since the age groups are represented numerically coded in the SPSS output, the frequency table by itself does not depict the exact age groups of the categories, 1-6. This table alone, therefore, cannot be used to draw up a particular interpretation by age group. </w:t>
      </w:r>
    </w:p>
    <w:p w14:paraId="0163F307" w14:textId="77777777" w:rsidR="00300044" w:rsidRDefault="002602FB">
      <w:pPr>
        <w:pBdr>
          <w:top w:val="nil"/>
          <w:left w:val="nil"/>
          <w:bottom w:val="nil"/>
          <w:right w:val="nil"/>
          <w:between w:val="nil"/>
        </w:pBdr>
        <w:spacing w:before="200" w:after="200"/>
        <w:rPr>
          <w:i/>
          <w:iCs/>
          <w:color w:val="000000"/>
        </w:rPr>
      </w:pPr>
      <w:r>
        <w:rPr>
          <w:i/>
          <w:iCs/>
          <w:color w:val="000000"/>
        </w:rPr>
        <w:t xml:space="preserve">Q2. What is your gender? </w:t>
      </w:r>
    </w:p>
    <w:p w14:paraId="726EF5EF" w14:textId="77777777" w:rsidR="00300044" w:rsidRDefault="002602FB">
      <w:pPr>
        <w:pBdr>
          <w:top w:val="nil"/>
          <w:left w:val="nil"/>
          <w:bottom w:val="nil"/>
          <w:right w:val="nil"/>
          <w:between w:val="nil"/>
        </w:pBdr>
        <w:spacing w:before="200" w:after="200"/>
        <w:rPr>
          <w:color w:val="000000"/>
        </w:rPr>
      </w:pPr>
      <w:r w:rsidRPr="008347B6">
        <w:rPr>
          <w:color w:val="000000"/>
        </w:rPr>
        <w:t xml:space="preserve">The gender distribution </w:t>
      </w:r>
      <w:proofErr w:type="gramStart"/>
      <w:r w:rsidRPr="008347B6">
        <w:rPr>
          <w:color w:val="000000"/>
        </w:rPr>
        <w:t>is:</w:t>
      </w:r>
      <w:proofErr w:type="gramEnd"/>
      <w:r w:rsidRPr="008347B6">
        <w:rPr>
          <w:color w:val="000000"/>
        </w:rPr>
        <w:t xml:space="preserve"> category 1 had the highest number of respondents, with 17 (</w:t>
      </w:r>
      <w:r w:rsidRPr="008347B6">
        <w:t>25.5%</w:t>
      </w:r>
      <w:r w:rsidRPr="008347B6">
        <w:rPr>
          <w:color w:val="000000"/>
        </w:rPr>
        <w:t>). The number of respondents in category 3 (2</w:t>
      </w:r>
      <w:r w:rsidRPr="008347B6">
        <w:t>5</w:t>
      </w:r>
      <w:r w:rsidRPr="008347B6">
        <w:rPr>
          <w:color w:val="000000"/>
        </w:rPr>
        <w:t>%), category 2 (2</w:t>
      </w:r>
      <w:r w:rsidRPr="008347B6">
        <w:t>4</w:t>
      </w:r>
      <w:r w:rsidRPr="008347B6">
        <w:rPr>
          <w:color w:val="000000"/>
        </w:rPr>
        <w:t>%), and category 4 (</w:t>
      </w:r>
      <w:r w:rsidRPr="008347B6">
        <w:t>25.5</w:t>
      </w:r>
      <w:r w:rsidRPr="008347B6">
        <w:rPr>
          <w:color w:val="000000"/>
        </w:rPr>
        <w:t xml:space="preserve">%) was 14 respondents, 11 respondents, and 8 respondents, respectively. The findings therefore suggest that there is a variation between the four types of gender coding. </w:t>
      </w:r>
      <w:r>
        <w:rPr>
          <w:color w:val="000000"/>
        </w:rPr>
        <w:t xml:space="preserve">This difference comes in handy as consumers may vary in their reaction to sustainable packaging. However, as the SPSS output is numerically coded, the real gender category of the results cannot be used; therefore, the result </w:t>
      </w:r>
      <w:proofErr w:type="gramStart"/>
      <w:r>
        <w:rPr>
          <w:color w:val="000000"/>
        </w:rPr>
        <w:t>has to</w:t>
      </w:r>
      <w:proofErr w:type="gramEnd"/>
      <w:r>
        <w:rPr>
          <w:color w:val="000000"/>
        </w:rPr>
        <w:t xml:space="preserve"> be displayed in the form of the coded categories unless the questionnaire </w:t>
      </w:r>
      <w:r>
        <w:rPr>
          <w:color w:val="000000"/>
        </w:rPr>
        <w:lastRenderedPageBreak/>
        <w:t xml:space="preserve">coding scheme is received. The demographic findings will give a background to understanding the next findings on sustainable packaging and loyalty. </w:t>
      </w:r>
    </w:p>
    <w:p w14:paraId="25DDB9FA" w14:textId="77777777" w:rsidR="00300044" w:rsidRDefault="002602FB">
      <w:pPr>
        <w:pBdr>
          <w:top w:val="nil"/>
          <w:left w:val="nil"/>
          <w:bottom w:val="nil"/>
          <w:right w:val="nil"/>
          <w:between w:val="nil"/>
        </w:pBdr>
        <w:spacing w:before="200" w:after="200"/>
        <w:rPr>
          <w:i/>
          <w:iCs/>
          <w:color w:val="000000"/>
        </w:rPr>
      </w:pPr>
      <w:r>
        <w:rPr>
          <w:i/>
          <w:iCs/>
          <w:color w:val="000000"/>
        </w:rPr>
        <w:t xml:space="preserve">Q3. How strongly do consumers prefer easily recyclable packaging? </w:t>
      </w:r>
    </w:p>
    <w:p w14:paraId="46347D44" w14:textId="77777777" w:rsidR="00300044" w:rsidRDefault="002602FB">
      <w:pPr>
        <w:pBdr>
          <w:top w:val="nil"/>
          <w:left w:val="nil"/>
          <w:bottom w:val="nil"/>
          <w:right w:val="nil"/>
          <w:between w:val="nil"/>
        </w:pBdr>
        <w:spacing w:before="200" w:after="200"/>
        <w:rPr>
          <w:color w:val="000000"/>
        </w:rPr>
      </w:pPr>
      <w:r w:rsidRPr="008347B6">
        <w:rPr>
          <w:color w:val="000000"/>
        </w:rPr>
        <w:t xml:space="preserve">The results show that 14 respondents (28%) and 10 respondents (20%) chose this option. The other 9 respondents (18) answered category 3. There were four respondents (8%) and 13 respondents (26) who responded to categories 4 and 5, respectively. </w:t>
      </w:r>
      <w:proofErr w:type="gramStart"/>
      <w:r w:rsidRPr="008347B6">
        <w:rPr>
          <w:color w:val="000000"/>
        </w:rPr>
        <w:t>On the whole</w:t>
      </w:r>
      <w:proofErr w:type="gramEnd"/>
      <w:r w:rsidRPr="008347B6">
        <w:rPr>
          <w:color w:val="000000"/>
        </w:rPr>
        <w:t xml:space="preserve">, there is a lot of diversity in the responses. The high rate in category 1 indicates that the number of respondents who did not strongly affirm the statement was rather high as well, and </w:t>
      </w:r>
      <w:r w:rsidRPr="008347B6">
        <w:t>22.6</w:t>
      </w:r>
      <w:r w:rsidRPr="008347B6">
        <w:rPr>
          <w:color w:val="000000"/>
        </w:rPr>
        <w:t xml:space="preserve"> of them picked category </w:t>
      </w:r>
      <w:r w:rsidRPr="008347B6">
        <w:t>1</w:t>
      </w:r>
      <w:r w:rsidRPr="008347B6">
        <w:rPr>
          <w:color w:val="000000"/>
        </w:rPr>
        <w:t>. The mean of this question was 2.</w:t>
      </w:r>
      <w:r w:rsidRPr="008347B6">
        <w:t>90</w:t>
      </w:r>
      <w:r w:rsidRPr="008347B6">
        <w:rPr>
          <w:color w:val="000000"/>
        </w:rPr>
        <w:t xml:space="preserve">, </w:t>
      </w:r>
      <w:r>
        <w:rPr>
          <w:color w:val="000000"/>
        </w:rPr>
        <w:t xml:space="preserve">with a moderate response on average. The given discovery can be applicable to Objective 1 since recyclability belongs to the primary aspects of sustainable packaging perception that have been observed in the conceptual framework. </w:t>
      </w:r>
    </w:p>
    <w:p w14:paraId="66B6848D" w14:textId="77777777" w:rsidR="00300044" w:rsidRDefault="002602FB">
      <w:pPr>
        <w:pBdr>
          <w:top w:val="nil"/>
          <w:left w:val="nil"/>
          <w:bottom w:val="nil"/>
          <w:right w:val="nil"/>
          <w:between w:val="nil"/>
        </w:pBdr>
        <w:spacing w:before="200" w:after="200"/>
        <w:rPr>
          <w:i/>
          <w:iCs/>
          <w:color w:val="000000"/>
        </w:rPr>
      </w:pPr>
      <w:r>
        <w:rPr>
          <w:i/>
          <w:iCs/>
          <w:color w:val="000000"/>
        </w:rPr>
        <w:t xml:space="preserve">Q4. Does packaging recyclability influence purchasing decisions? </w:t>
      </w:r>
    </w:p>
    <w:p w14:paraId="0307EFD1" w14:textId="77777777" w:rsidR="00300044" w:rsidRDefault="002602FB">
      <w:pPr>
        <w:pBdr>
          <w:top w:val="nil"/>
          <w:left w:val="nil"/>
          <w:bottom w:val="nil"/>
          <w:right w:val="nil"/>
          <w:between w:val="nil"/>
        </w:pBdr>
        <w:spacing w:before="200" w:after="200"/>
        <w:rPr>
          <w:color w:val="000000"/>
        </w:rPr>
      </w:pPr>
      <w:r>
        <w:rPr>
          <w:color w:val="000000"/>
        </w:rPr>
        <w:t xml:space="preserve">At Q4, </w:t>
      </w:r>
      <w:r>
        <w:t>13</w:t>
      </w:r>
      <w:r>
        <w:rPr>
          <w:color w:val="000000"/>
        </w:rPr>
        <w:t xml:space="preserve"> (</w:t>
      </w:r>
      <w:r>
        <w:t>25</w:t>
      </w:r>
      <w:r>
        <w:rPr>
          <w:color w:val="000000"/>
        </w:rPr>
        <w:t xml:space="preserve">%) respondents chose to work with category 1 and seven (14%) with category 2. There were twelve (24) who chose category 3, ten (20) who chose category 4 and eight (16) who chose category 5. The distribution is indicative that there was a mixed opinion on recyclability as a factor of purchase. This can be independent of the fact that there are some respondents who answered positively, yet the percentage of those respondents who chose either lower or the mean was quite high. This mean of 2.86 is used to justify this interpretation that recyclability was not all that strong. This applies to Research Question 1 because this can endorse the factual reality of the importance of recyclability as a disposal method for sustainable packaging among consumers. </w:t>
      </w:r>
    </w:p>
    <w:p w14:paraId="6287C930" w14:textId="77777777" w:rsidR="00300044" w:rsidRDefault="002602FB">
      <w:pPr>
        <w:pBdr>
          <w:top w:val="nil"/>
          <w:left w:val="nil"/>
          <w:bottom w:val="nil"/>
          <w:right w:val="nil"/>
          <w:between w:val="nil"/>
        </w:pBdr>
        <w:spacing w:before="200" w:after="200"/>
        <w:rPr>
          <w:i/>
          <w:iCs/>
          <w:color w:val="000000"/>
        </w:rPr>
      </w:pPr>
      <w:r>
        <w:rPr>
          <w:i/>
          <w:iCs/>
          <w:color w:val="000000"/>
        </w:rPr>
        <w:t xml:space="preserve">Q5. Do consumers view recyclable packaging as an indicator of environmental responsibility? </w:t>
      </w:r>
    </w:p>
    <w:p w14:paraId="0E3E3359" w14:textId="77777777" w:rsidR="00300044" w:rsidRDefault="002602FB">
      <w:pPr>
        <w:pBdr>
          <w:top w:val="nil"/>
          <w:left w:val="nil"/>
          <w:bottom w:val="nil"/>
          <w:right w:val="nil"/>
          <w:between w:val="nil"/>
        </w:pBdr>
        <w:spacing w:before="200" w:after="200"/>
        <w:rPr>
          <w:color w:val="000000"/>
        </w:rPr>
      </w:pPr>
      <w:r>
        <w:rPr>
          <w:color w:val="000000"/>
        </w:rPr>
        <w:t>Q5 gave a slightly more favourable distribution. Only category 1 and eight (1</w:t>
      </w:r>
      <w:r>
        <w:t>3</w:t>
      </w:r>
      <w:r>
        <w:rPr>
          <w:color w:val="000000"/>
        </w:rPr>
        <w:t>) and category 2 were selected by 6 (</w:t>
      </w:r>
      <w:r>
        <w:t>19.7%</w:t>
      </w:r>
      <w:r>
        <w:rPr>
          <w:color w:val="000000"/>
        </w:rPr>
        <w:t xml:space="preserve">) and eight people, respectively. The greatest number, 16 respondents (32), were in category 3. There were 11 respondents (22%) and nine respondents (18%) who selected categories 4 and 5, respectively. This was among the superior sustainable packaging perception scores; the average was 3.18. </w:t>
      </w:r>
      <w:r>
        <w:rPr>
          <w:color w:val="000000"/>
        </w:rPr>
        <w:lastRenderedPageBreak/>
        <w:t xml:space="preserve">The results show that customers, in general, can realise that there is something linked between recyclable packaging and environmental responsibility. It corresponds to Objective 1 since consumers are going to examine sustainable packaging in comparison to the considerations of environmental responsibility, which is relative. This is also the same result as the general study hypothesis, which implies that packaging can give a brand a set of environmental values. </w:t>
      </w:r>
    </w:p>
    <w:p w14:paraId="03449FF3" w14:textId="77777777" w:rsidR="00300044" w:rsidRDefault="002602FB">
      <w:pPr>
        <w:pBdr>
          <w:top w:val="nil"/>
          <w:left w:val="nil"/>
          <w:bottom w:val="nil"/>
          <w:right w:val="nil"/>
          <w:between w:val="nil"/>
        </w:pBdr>
        <w:spacing w:before="200" w:after="200"/>
        <w:rPr>
          <w:i/>
          <w:iCs/>
          <w:color w:val="000000"/>
        </w:rPr>
      </w:pPr>
      <w:r>
        <w:rPr>
          <w:i/>
          <w:iCs/>
          <w:color w:val="000000"/>
        </w:rPr>
        <w:t xml:space="preserve">Q6. Does clear environmental information support purchasing decisions? </w:t>
      </w:r>
    </w:p>
    <w:p w14:paraId="7AB8CCBE" w14:textId="77777777" w:rsidR="00300044" w:rsidRDefault="002602FB">
      <w:pPr>
        <w:pBdr>
          <w:top w:val="nil"/>
          <w:left w:val="nil"/>
          <w:bottom w:val="nil"/>
          <w:right w:val="nil"/>
          <w:between w:val="nil"/>
        </w:pBdr>
        <w:spacing w:before="200" w:after="200"/>
        <w:rPr>
          <w:color w:val="000000"/>
        </w:rPr>
      </w:pPr>
      <w:r>
        <w:rPr>
          <w:color w:val="000000"/>
        </w:rPr>
        <w:t xml:space="preserve">The frequency results show that 10 respondents (20%), 13 (26%) and 10 patients selected categories 1, 2, and 3, respectively. Six respondents (12%) chose to use category 4, and 11 respondents (22%) chose category 5. The responses are also quite diffuse, which can be characteristic of the dissimilarities in the level of importance which the respondents assign to the environmental information. However, 22% picked the uppermost category, and 20 % picked the lowest. The total impression is medium, as shown in the mean of 2.90. This finding is particularly relevant to Objective 1, bearing in mind that the dimensions of sustainable packaging perceptions identified by the research framework accurately contained environmental data and eco-labelling. </w:t>
      </w:r>
    </w:p>
    <w:p w14:paraId="1E93A052" w14:textId="77777777" w:rsidR="00300044" w:rsidRDefault="002602FB">
      <w:pPr>
        <w:pBdr>
          <w:top w:val="nil"/>
          <w:left w:val="nil"/>
          <w:bottom w:val="nil"/>
          <w:right w:val="nil"/>
          <w:between w:val="nil"/>
        </w:pBdr>
        <w:spacing w:before="200" w:after="200"/>
        <w:rPr>
          <w:i/>
          <w:iCs/>
          <w:color w:val="000000"/>
        </w:rPr>
      </w:pPr>
      <w:r>
        <w:rPr>
          <w:i/>
          <w:iCs/>
          <w:color w:val="000000"/>
        </w:rPr>
        <w:t xml:space="preserve">Q7. Does clear environmental information increase trust in brands? </w:t>
      </w:r>
    </w:p>
    <w:p w14:paraId="207A279B" w14:textId="77777777" w:rsidR="00300044" w:rsidRDefault="002602FB">
      <w:pPr>
        <w:pBdr>
          <w:top w:val="nil"/>
          <w:left w:val="nil"/>
          <w:bottom w:val="nil"/>
          <w:right w:val="nil"/>
          <w:between w:val="nil"/>
        </w:pBdr>
        <w:spacing w:before="200" w:after="200"/>
        <w:rPr>
          <w:color w:val="000000"/>
        </w:rPr>
      </w:pPr>
      <w:r>
        <w:rPr>
          <w:color w:val="000000"/>
        </w:rPr>
        <w:t xml:space="preserve">Within category 7, eight (16) respondents provided their answers as those under category 1, nine (18) respondents provided their answers as those under category 2 and </w:t>
      </w:r>
      <w:proofErr w:type="gramStart"/>
      <w:r>
        <w:rPr>
          <w:color w:val="000000"/>
        </w:rPr>
        <w:t>eight(</w:t>
      </w:r>
      <w:proofErr w:type="gramEnd"/>
      <w:r>
        <w:rPr>
          <w:color w:val="000000"/>
        </w:rPr>
        <w:t xml:space="preserve">16) respondents provided their answers as those under category 3. However, 14 % (28) and 11 % (22) of the respondents chose category 4 and category 5, respectively. This generates quite a favourable trend, with the biggest single group of people choosing category 4. The mean, 3.22, was also quite high. Findings imply that environmental benefits should be clearly communicated </w:t>
      </w:r>
      <w:proofErr w:type="gramStart"/>
      <w:r>
        <w:rPr>
          <w:color w:val="000000"/>
        </w:rPr>
        <w:t>in order to</w:t>
      </w:r>
      <w:proofErr w:type="gramEnd"/>
      <w:r>
        <w:rPr>
          <w:color w:val="000000"/>
        </w:rPr>
        <w:t xml:space="preserve"> promote consumer trust. This is notable since trust is part of the study's conceptualisation of brand loyalty, in conjunction with repeat purchasing, commitment and positive word-of-mouth. </w:t>
      </w:r>
    </w:p>
    <w:p w14:paraId="094E3988" w14:textId="77777777" w:rsidR="00300044" w:rsidRDefault="002602FB">
      <w:pPr>
        <w:pBdr>
          <w:top w:val="nil"/>
          <w:left w:val="nil"/>
          <w:bottom w:val="nil"/>
          <w:right w:val="nil"/>
          <w:between w:val="nil"/>
        </w:pBdr>
        <w:spacing w:before="200" w:after="200"/>
        <w:rPr>
          <w:i/>
          <w:iCs/>
          <w:color w:val="000000"/>
        </w:rPr>
      </w:pPr>
      <w:r>
        <w:rPr>
          <w:i/>
          <w:iCs/>
          <w:color w:val="000000"/>
        </w:rPr>
        <w:t xml:space="preserve">Q8. Do environmental labels influence perceptions of a brand? </w:t>
      </w:r>
    </w:p>
    <w:p w14:paraId="1901D02E" w14:textId="77777777" w:rsidR="00300044" w:rsidRDefault="002602FB">
      <w:pPr>
        <w:pBdr>
          <w:top w:val="nil"/>
          <w:left w:val="nil"/>
          <w:bottom w:val="nil"/>
          <w:right w:val="nil"/>
          <w:between w:val="nil"/>
        </w:pBdr>
        <w:spacing w:before="200" w:after="200"/>
        <w:rPr>
          <w:color w:val="000000"/>
        </w:rPr>
      </w:pPr>
      <w:r>
        <w:rPr>
          <w:color w:val="000000"/>
        </w:rPr>
        <w:t xml:space="preserve">Q8 recorded eight respondents (16%) in category 1, five (10%) in category 2, 13 (26%) in category 3, 12 (24%) in category 4 and 12 (24%) in category 5. Thus, almost half of the respondents were in categories 4 and 5. The highest score among the questions </w:t>
      </w:r>
      <w:r>
        <w:rPr>
          <w:color w:val="000000"/>
        </w:rPr>
        <w:lastRenderedPageBreak/>
        <w:t xml:space="preserve">in the sustainable perception package was 3.30. This implies that brand perception considered the issue of environmental labels as an important issue among the respondents. The finding directly links to Objective 1 and Research Question 1 in that it proves that eco-labelling is a significant aspect of sustainable packaging perception. Brand loyalty is also relevant because of the capability of brand perceptions in influencing consumer attitudes and long-term relationships. </w:t>
      </w:r>
    </w:p>
    <w:p w14:paraId="759C29E8" w14:textId="77777777" w:rsidR="00300044" w:rsidRDefault="002602FB">
      <w:pPr>
        <w:pBdr>
          <w:top w:val="nil"/>
          <w:left w:val="nil"/>
          <w:bottom w:val="nil"/>
          <w:right w:val="nil"/>
          <w:between w:val="nil"/>
        </w:pBdr>
        <w:spacing w:before="200" w:after="200"/>
        <w:rPr>
          <w:i/>
          <w:iCs/>
          <w:color w:val="000000"/>
        </w:rPr>
      </w:pPr>
      <w:r>
        <w:rPr>
          <w:i/>
          <w:iCs/>
          <w:color w:val="000000"/>
        </w:rPr>
        <w:t xml:space="preserve">Q9. Can sustainable packaging provide the same product protection as conventional packaging? </w:t>
      </w:r>
    </w:p>
    <w:p w14:paraId="0300A824" w14:textId="77777777" w:rsidR="00300044" w:rsidRDefault="002602FB">
      <w:pPr>
        <w:pBdr>
          <w:top w:val="nil"/>
          <w:left w:val="nil"/>
          <w:bottom w:val="nil"/>
          <w:right w:val="nil"/>
          <w:between w:val="nil"/>
        </w:pBdr>
        <w:spacing w:before="200" w:after="200"/>
        <w:rPr>
          <w:color w:val="000000"/>
        </w:rPr>
      </w:pPr>
      <w:r>
        <w:rPr>
          <w:color w:val="000000"/>
        </w:rPr>
        <w:t xml:space="preserve">Seven respondents (14%), 11 respondents (22%),15 respondents (30%),13 respondents (26%), and 4 respondents (8% all picked categories 1, 2, 3 and 4, respectively. The largest proportion of 30 % responded to the medium category, which was in the middle. This suggests that sustainable packaging has the same level of protective packaging for the products. Only 8% selected category 5. The average of 2.92 thus represents a </w:t>
      </w:r>
      <w:proofErr w:type="gramStart"/>
      <w:r>
        <w:rPr>
          <w:color w:val="000000"/>
        </w:rPr>
        <w:t>fairly moderate</w:t>
      </w:r>
      <w:proofErr w:type="gramEnd"/>
      <w:r>
        <w:rPr>
          <w:color w:val="000000"/>
        </w:rPr>
        <w:t xml:space="preserve"> perception. This is a significant outcome since the work always considers sustainability as the only necessity of a package; however, functionality and product protection are also important. Another aspect recognised in the literature is that sustainable packaging should be capable of maintaining its functionality, such as shielding of the product, quality and convenience. </w:t>
      </w:r>
    </w:p>
    <w:p w14:paraId="4B3F0E1F" w14:textId="77777777" w:rsidR="00300044" w:rsidRDefault="002602FB">
      <w:pPr>
        <w:pBdr>
          <w:top w:val="nil"/>
          <w:left w:val="nil"/>
          <w:bottom w:val="nil"/>
          <w:right w:val="nil"/>
          <w:between w:val="nil"/>
        </w:pBdr>
        <w:spacing w:before="200" w:after="200"/>
        <w:rPr>
          <w:i/>
          <w:iCs/>
          <w:color w:val="000000"/>
        </w:rPr>
      </w:pPr>
      <w:r>
        <w:rPr>
          <w:i/>
          <w:iCs/>
          <w:color w:val="000000"/>
        </w:rPr>
        <w:t xml:space="preserve">Q10. Do consumers prefer sustainable packaging when it is convenient and easy to use? </w:t>
      </w:r>
    </w:p>
    <w:p w14:paraId="4D0D9913" w14:textId="77777777" w:rsidR="00300044" w:rsidRDefault="002602FB">
      <w:pPr>
        <w:pBdr>
          <w:top w:val="nil"/>
          <w:left w:val="nil"/>
          <w:bottom w:val="nil"/>
          <w:right w:val="nil"/>
          <w:between w:val="nil"/>
        </w:pBdr>
        <w:spacing w:before="200" w:after="200"/>
        <w:rPr>
          <w:color w:val="000000"/>
        </w:rPr>
      </w:pPr>
      <w:r>
        <w:rPr>
          <w:color w:val="000000"/>
        </w:rPr>
        <w:t xml:space="preserve">Those results demonstrate that 10 respondents (20 %) chose the first category (number 1), 11 (22 %) chose the second category (number 2), nine (18 %) chose the third category (number 3), nine (18 %) chose the fourth category (number 4), and 11 (22 %) chose the fifth category (number 5). The responses are fairly distributed within the five categories. The average of 3.00 shows that there is a moderate to neutral general response. This means that the consideration of environmental benefits when it comes to convenience itself has great weight. The finding fits Objective 1 since functionality and convenience were also mentioned in the conceptual framework as being the key components of sustainable perceptions of packaging. </w:t>
      </w:r>
    </w:p>
    <w:p w14:paraId="1DB64845" w14:textId="77777777" w:rsidR="00300044" w:rsidRDefault="002602FB">
      <w:pPr>
        <w:pBdr>
          <w:top w:val="nil"/>
          <w:left w:val="nil"/>
          <w:bottom w:val="nil"/>
          <w:right w:val="nil"/>
          <w:between w:val="nil"/>
        </w:pBdr>
        <w:spacing w:before="200" w:after="200"/>
        <w:rPr>
          <w:i/>
          <w:iCs/>
          <w:color w:val="000000"/>
        </w:rPr>
      </w:pPr>
      <w:r>
        <w:rPr>
          <w:i/>
          <w:iCs/>
          <w:color w:val="000000"/>
        </w:rPr>
        <w:t xml:space="preserve">Q11. How important is packaging functionality when choosing products? </w:t>
      </w:r>
    </w:p>
    <w:p w14:paraId="74FF34C9" w14:textId="77777777" w:rsidR="00300044" w:rsidRDefault="002602FB">
      <w:pPr>
        <w:pBdr>
          <w:top w:val="nil"/>
          <w:left w:val="nil"/>
          <w:bottom w:val="nil"/>
          <w:right w:val="nil"/>
          <w:between w:val="nil"/>
        </w:pBdr>
        <w:spacing w:before="200" w:after="200"/>
        <w:rPr>
          <w:color w:val="000000"/>
        </w:rPr>
      </w:pPr>
      <w:r>
        <w:rPr>
          <w:color w:val="000000"/>
        </w:rPr>
        <w:lastRenderedPageBreak/>
        <w:t xml:space="preserve">The </w:t>
      </w:r>
      <w:proofErr w:type="gramStart"/>
      <w:r>
        <w:rPr>
          <w:color w:val="000000"/>
        </w:rPr>
        <w:t>most commonly picked</w:t>
      </w:r>
      <w:proofErr w:type="gramEnd"/>
      <w:r>
        <w:rPr>
          <w:color w:val="000000"/>
        </w:rPr>
        <w:t xml:space="preserve"> response was category 4. This implies that functionality is an aspect that remains with consumers during the decision-making process for products. This was an average of 2.88, where the overall response was moderate. The outcome is noteworthy since it demonstrates that there is no way to displace sustainable packaging within the framework of sensible consumer-based expectations. The environmental features may not necessarily be significant by themselves, but consumers may be concerned about whether the packaging is performing a great job of its core duties. </w:t>
      </w:r>
    </w:p>
    <w:p w14:paraId="7D990C49" w14:textId="77777777" w:rsidR="00300044" w:rsidRDefault="002602FB">
      <w:pPr>
        <w:pBdr>
          <w:top w:val="nil"/>
          <w:left w:val="nil"/>
          <w:bottom w:val="nil"/>
          <w:right w:val="nil"/>
          <w:between w:val="nil"/>
        </w:pBdr>
        <w:spacing w:before="200" w:after="200"/>
        <w:rPr>
          <w:i/>
          <w:iCs/>
          <w:color w:val="000000"/>
        </w:rPr>
      </w:pPr>
      <w:r>
        <w:rPr>
          <w:i/>
          <w:iCs/>
          <w:color w:val="000000"/>
        </w:rPr>
        <w:t xml:space="preserve">Q12. Does sustainable packaging encourage consumers to buy the brand again? </w:t>
      </w:r>
    </w:p>
    <w:p w14:paraId="737943BA" w14:textId="77777777" w:rsidR="00300044" w:rsidRDefault="002602FB">
      <w:pPr>
        <w:pBdr>
          <w:top w:val="nil"/>
          <w:left w:val="nil"/>
          <w:bottom w:val="nil"/>
          <w:right w:val="nil"/>
          <w:between w:val="nil"/>
        </w:pBdr>
        <w:spacing w:before="200" w:after="200"/>
        <w:rPr>
          <w:color w:val="000000"/>
        </w:rPr>
      </w:pPr>
      <w:r>
        <w:rPr>
          <w:color w:val="000000"/>
        </w:rPr>
        <w:t xml:space="preserve">The largest number of respondents selected number 1, then only 20% selected number 5. The lowest measure of brand loyalty was 2.70. This implies that sustainable packaging could not be a necessary element to stimulate repeat buying among a large percentage of respondents. This is particularly important to Research Question 2 and Objective 2. The research question will be used to find out whether the sustainable packaging perceptions relate to brand loyalty as opposed to instant purchase intention. The finding shows that the association might not be linear. Other past studies contained in the dissertation also draw the distinction between purchase intention and longer-term loyalty and document that positive packaging perceptions do not necessarily result in long-lasting brand loyalty. </w:t>
      </w:r>
    </w:p>
    <w:p w14:paraId="0E28367A" w14:textId="77777777" w:rsidR="00300044" w:rsidRDefault="002602FB">
      <w:pPr>
        <w:pBdr>
          <w:top w:val="nil"/>
          <w:left w:val="nil"/>
          <w:bottom w:val="nil"/>
          <w:right w:val="nil"/>
          <w:between w:val="nil"/>
        </w:pBdr>
        <w:spacing w:before="200" w:after="200"/>
        <w:rPr>
          <w:i/>
          <w:iCs/>
          <w:color w:val="000000"/>
        </w:rPr>
      </w:pPr>
      <w:r>
        <w:rPr>
          <w:i/>
          <w:iCs/>
          <w:color w:val="000000"/>
        </w:rPr>
        <w:t xml:space="preserve">Q13. Does sustainable packaging increase commitment to a brand? </w:t>
      </w:r>
    </w:p>
    <w:p w14:paraId="37BE9C32" w14:textId="77777777" w:rsidR="00300044" w:rsidRDefault="002602FB">
      <w:pPr>
        <w:pBdr>
          <w:top w:val="nil"/>
          <w:left w:val="nil"/>
          <w:bottom w:val="nil"/>
          <w:right w:val="nil"/>
          <w:between w:val="nil"/>
        </w:pBdr>
        <w:spacing w:before="200" w:after="200"/>
        <w:rPr>
          <w:color w:val="000000"/>
        </w:rPr>
      </w:pPr>
      <w:r>
        <w:rPr>
          <w:color w:val="000000"/>
        </w:rPr>
        <w:t xml:space="preserve">In Q13, nine (18) respondents (18) selected category 1, ten (20) respondents (20) selected category 2, 14 (28) respondents (28) selected category 3, nine (18) respondents (18) selected category 4 and eight (16) respondents (16). The one with the most was neutral; hence, this means that the respondents were rather uncertain as to whether sustainable packaging increases their loyalty to a brand. The mean is 2.94, which is close to the centre. Sustainable packaging, therefore, seems to bear a certain possibility of correlation with commitment; however, the frequency distribution does not present good evidence on the degree of </w:t>
      </w:r>
      <w:proofErr w:type="gramStart"/>
      <w:r>
        <w:rPr>
          <w:color w:val="000000"/>
        </w:rPr>
        <w:t>commitment in itself</w:t>
      </w:r>
      <w:proofErr w:type="gramEnd"/>
      <w:r>
        <w:rPr>
          <w:color w:val="000000"/>
        </w:rPr>
        <w:t xml:space="preserve">. </w:t>
      </w:r>
    </w:p>
    <w:p w14:paraId="267AF4A5" w14:textId="77777777" w:rsidR="00300044" w:rsidRDefault="002602FB">
      <w:pPr>
        <w:pBdr>
          <w:top w:val="nil"/>
          <w:left w:val="nil"/>
          <w:bottom w:val="nil"/>
          <w:right w:val="nil"/>
          <w:between w:val="nil"/>
        </w:pBdr>
        <w:spacing w:before="200" w:after="200"/>
        <w:rPr>
          <w:i/>
          <w:iCs/>
          <w:color w:val="000000"/>
        </w:rPr>
      </w:pPr>
      <w:r>
        <w:rPr>
          <w:i/>
          <w:iCs/>
          <w:color w:val="000000"/>
        </w:rPr>
        <w:t xml:space="preserve">Q14. Would consumers recommend a brand because its packaging is environmentally responsible? </w:t>
      </w:r>
    </w:p>
    <w:p w14:paraId="5608268C" w14:textId="77777777" w:rsidR="00300044" w:rsidRDefault="002602FB">
      <w:pPr>
        <w:pBdr>
          <w:top w:val="nil"/>
          <w:left w:val="nil"/>
          <w:bottom w:val="nil"/>
          <w:right w:val="nil"/>
          <w:between w:val="nil"/>
        </w:pBdr>
        <w:spacing w:before="200" w:after="200"/>
        <w:rPr>
          <w:color w:val="000000"/>
        </w:rPr>
      </w:pPr>
      <w:r>
        <w:rPr>
          <w:color w:val="000000"/>
        </w:rPr>
        <w:lastRenderedPageBreak/>
        <w:t xml:space="preserve">The number of responses that fell under category 5, which implied that a comparatively high number responded strongly in support of recommending environmentally responsible brands, was higher. A mean of 3.10 also reflects quite a positive reaction. Significant in this discovery is that, for Objective 2, recommendation is one of the behavioural indicators embraced to express brand loyalty. It suggests that sustainable packaging </w:t>
      </w:r>
      <w:proofErr w:type="gramStart"/>
      <w:r>
        <w:rPr>
          <w:color w:val="000000"/>
        </w:rPr>
        <w:t>is capable of supporting</w:t>
      </w:r>
      <w:proofErr w:type="gramEnd"/>
      <w:r>
        <w:rPr>
          <w:color w:val="000000"/>
        </w:rPr>
        <w:t xml:space="preserve"> more potential positive word-of-mouth in its creation than repeat purchasing. However, this frequency analysis </w:t>
      </w:r>
      <w:proofErr w:type="gramStart"/>
      <w:r>
        <w:rPr>
          <w:color w:val="000000"/>
        </w:rPr>
        <w:t>in itself cannot</w:t>
      </w:r>
      <w:proofErr w:type="gramEnd"/>
      <w:r>
        <w:rPr>
          <w:color w:val="000000"/>
        </w:rPr>
        <w:t xml:space="preserve"> aid in determining whether this relationship is statistically significant or not. </w:t>
      </w:r>
    </w:p>
    <w:p w14:paraId="11BBA314" w14:textId="77777777" w:rsidR="00300044" w:rsidRDefault="002602FB">
      <w:pPr>
        <w:pBdr>
          <w:top w:val="nil"/>
          <w:left w:val="nil"/>
          <w:bottom w:val="nil"/>
          <w:right w:val="nil"/>
          <w:between w:val="nil"/>
        </w:pBdr>
        <w:spacing w:before="200" w:after="200"/>
        <w:rPr>
          <w:i/>
          <w:iCs/>
          <w:color w:val="000000"/>
        </w:rPr>
      </w:pPr>
      <w:r>
        <w:rPr>
          <w:i/>
          <w:iCs/>
          <w:color w:val="000000"/>
        </w:rPr>
        <w:t xml:space="preserve">Q15. Would consumers prefer a brand using sustainable packaging over a similar competitor? </w:t>
      </w:r>
    </w:p>
    <w:p w14:paraId="666BDE0D" w14:textId="77777777" w:rsidR="00300044" w:rsidRDefault="002602FB">
      <w:pPr>
        <w:pBdr>
          <w:top w:val="nil"/>
          <w:left w:val="nil"/>
          <w:bottom w:val="nil"/>
          <w:right w:val="nil"/>
          <w:between w:val="nil"/>
        </w:pBdr>
        <w:spacing w:before="200" w:after="200"/>
        <w:rPr>
          <w:color w:val="000000"/>
        </w:rPr>
      </w:pPr>
      <w:r>
        <w:rPr>
          <w:color w:val="000000"/>
        </w:rPr>
        <w:t xml:space="preserve">It is relatively even in the response categories. At 2.90, the mean value indicates that there was no strikingly high general inclination towards sustainable-packaging brands as compared to competing brands. This is significant since brand preference is yet another form of loyalty. It would mean that sustainable packaging can assist in assessing brands to some extent but not invariably on its own in the final decision by consumers in terms of brand. </w:t>
      </w:r>
    </w:p>
    <w:p w14:paraId="533283DF" w14:textId="77777777" w:rsidR="00300044" w:rsidRDefault="002602FB">
      <w:pPr>
        <w:pStyle w:val="Heading2"/>
        <w:rPr>
          <w:b w:val="0"/>
          <w:bCs w:val="0"/>
        </w:rPr>
      </w:pPr>
      <w:bookmarkStart w:id="44" w:name="_heading=h.x0swg0cyx5fj" w:colFirst="0" w:colLast="0"/>
      <w:bookmarkEnd w:id="44"/>
      <w:r>
        <w:t>4.3 Pearson Correlation Analysis</w:t>
      </w:r>
    </w:p>
    <w:p w14:paraId="53F9D21C" w14:textId="77777777" w:rsidR="00300044" w:rsidRDefault="002602FB">
      <w:r>
        <w:t>Pearson correlation analysis was used to examine the direction of the relationship between the perception of sustainable packaging by the consumer and preferences towards the brand that uses sustainable packaging. The analysis was conducted on 53 valid respondents, and none of the variables to be correlated had any missing records in the SPSS correlation analysis. The Q15 that was used as a dependent indicator of brand loyalty was: I would choose a brand with sustainable packaging over the same competing brand. The perception variables of sustainable packaging consisted of recyclability, environmental information, trust, environmental labels, functionality, convenience and perception of product protection.</w:t>
      </w:r>
    </w:p>
    <w:p w14:paraId="31FE5CAE" w14:textId="77777777" w:rsidR="00300044" w:rsidRDefault="002602FB">
      <w:r>
        <w:t xml:space="preserve">The findings reveal that the links among the individual variables of sustainable packaging perception and Q15 were mostly low and not significantly different. Age had an almost zero correlation with Q15 (r = -0.009, p = .949), while gender showed a weak negative relationship (r = -0.134, p = .353). These findings indicate that there </w:t>
      </w:r>
      <w:r>
        <w:lastRenderedPageBreak/>
        <w:t>was no significant linear relationship between demographics and the opinions of the respondents in selecting a brand in a sustainable package.</w:t>
      </w:r>
    </w:p>
    <w:p w14:paraId="06365741" w14:textId="77777777" w:rsidR="00300044" w:rsidRDefault="002602FB">
      <w:r>
        <w:t>Similarly, the statement of preference for easily recyclable packaging (Q3) was negatively associated with Q15 (r = -0.263, p =.065). This is one of the more considerable relationships shown in the analysis but not crucial to the point where the standard 5 per cent falls. Relationships between Q4 and Q15 (Q4, the recyclability influences a purchasing decision) and between Q5 and Q4 (Q5, the recyclable packaging as a sign of environmentally responsible actions) were weak (r = -0.075, p =.607 and r =.076, p=.600, respectively). Q6, also concerned with the usefulness of environmental information in making purchasing decisions, was also weakly negative (r = -.120, p =.408).</w:t>
      </w:r>
    </w:p>
    <w:p w14:paraId="6DBE1C7F" w14:textId="77777777" w:rsidR="00300044" w:rsidRDefault="002602FB">
      <w:r>
        <w:t>There were also quite low trust and environmental communication results. Q7 (the question requested the respondents to answer whether they base their trust in the brands more on the fact that the packaging should have clear explanations of the benefits it has on the environment) had a negative relationship with Q15 (r = -.255, p =.073). This is an interesting detail since, theoretically, trust may be expected to increase brand preference, but the current sample lacks enough statistical data indicating that there are indeed relationships between the two. Q8, which measures the effects of environmental labels or information on brand perception, was close to zero with respect to Q15 (r =.025, p =.862). Question 9, which touches on the problem of sustainable packaging providing the same protection to the product in comparison to the traditional one, had practically no connection with the same question (r = -.028, p = .845).</w:t>
      </w:r>
    </w:p>
    <w:p w14:paraId="315823B5" w14:textId="77777777" w:rsidR="00300044" w:rsidRDefault="002602FB">
      <w:pPr>
        <w:jc w:val="center"/>
        <w:rPr>
          <w:b/>
          <w:bCs/>
        </w:rPr>
      </w:pPr>
      <w:r>
        <w:rPr>
          <w:b/>
          <w:bCs/>
          <w:noProof/>
        </w:rPr>
        <w:lastRenderedPageBreak/>
        <w:drawing>
          <wp:inline distT="0" distB="0" distL="0" distR="0" wp14:anchorId="2C087ED2" wp14:editId="5CF601F3">
            <wp:extent cx="5731510" cy="3836035"/>
            <wp:effectExtent l="0" t="0" r="0" b="0"/>
            <wp:docPr id="158910353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510" cy="3836035"/>
                    </a:xfrm>
                    <a:prstGeom prst="rect">
                      <a:avLst/>
                    </a:prstGeom>
                    <a:ln/>
                  </pic:spPr>
                </pic:pic>
              </a:graphicData>
            </a:graphic>
          </wp:inline>
        </w:drawing>
      </w:r>
    </w:p>
    <w:p w14:paraId="1D5E9C11" w14:textId="77777777" w:rsidR="00300044" w:rsidRDefault="002602FB">
      <w:pPr>
        <w:jc w:val="center"/>
        <w:rPr>
          <w:b/>
          <w:bCs/>
        </w:rPr>
      </w:pPr>
      <w:r>
        <w:rPr>
          <w:b/>
          <w:bCs/>
          <w:noProof/>
        </w:rPr>
        <w:drawing>
          <wp:inline distT="0" distB="0" distL="0" distR="0" wp14:anchorId="64B5A1F0" wp14:editId="27126C26">
            <wp:extent cx="5731510" cy="3777615"/>
            <wp:effectExtent l="0" t="0" r="0" b="0"/>
            <wp:docPr id="158910354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731510" cy="3777615"/>
                    </a:xfrm>
                    <a:prstGeom prst="rect">
                      <a:avLst/>
                    </a:prstGeom>
                    <a:ln/>
                  </pic:spPr>
                </pic:pic>
              </a:graphicData>
            </a:graphic>
          </wp:inline>
        </w:drawing>
      </w:r>
    </w:p>
    <w:p w14:paraId="5195EC53" w14:textId="77777777" w:rsidR="00300044" w:rsidRDefault="002602FB">
      <w:pPr>
        <w:jc w:val="center"/>
        <w:rPr>
          <w:b/>
          <w:bCs/>
        </w:rPr>
      </w:pPr>
      <w:r>
        <w:rPr>
          <w:b/>
          <w:bCs/>
          <w:noProof/>
        </w:rPr>
        <w:lastRenderedPageBreak/>
        <w:drawing>
          <wp:inline distT="0" distB="0" distL="0" distR="0" wp14:anchorId="08CBC03B" wp14:editId="0B9A436C">
            <wp:extent cx="5731510" cy="3658870"/>
            <wp:effectExtent l="0" t="0" r="0" b="0"/>
            <wp:docPr id="158910353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5731510" cy="3658870"/>
                    </a:xfrm>
                    <a:prstGeom prst="rect">
                      <a:avLst/>
                    </a:prstGeom>
                    <a:ln/>
                  </pic:spPr>
                </pic:pic>
              </a:graphicData>
            </a:graphic>
          </wp:inline>
        </w:drawing>
      </w:r>
    </w:p>
    <w:p w14:paraId="7F98162C" w14:textId="77777777" w:rsidR="00300044" w:rsidRDefault="002602FB">
      <w:pPr>
        <w:pStyle w:val="Heading4"/>
      </w:pPr>
      <w:bookmarkStart w:id="45" w:name="_heading=h.dvw5uchygmd2" w:colFirst="0" w:colLast="0"/>
      <w:bookmarkEnd w:id="45"/>
      <w:r>
        <w:t>Figure 4.2: Correlation Results</w:t>
      </w:r>
    </w:p>
    <w:p w14:paraId="08979704" w14:textId="77777777" w:rsidR="00300044" w:rsidRDefault="002602FB">
      <w:pPr>
        <w:jc w:val="center"/>
      </w:pPr>
      <w:r>
        <w:t>(Source: SPSS)</w:t>
      </w:r>
    </w:p>
    <w:p w14:paraId="3A891FD6" w14:textId="77777777" w:rsidR="00300044" w:rsidRDefault="002602FB">
      <w:r>
        <w:t>The convenience dimension and the functional dimension had similarly weak results. Q10, an item which determined preference for sustainable packaging that is convenient and easy to use, correlated with Q15 with a negative value of -.038 (p =.793). Q11, referring to the functionality of packaging, produced the least positive correlation (r =.107, p =.461). Based on this, although the concept of functionality theoretically can be applied in the adoption of sustainable packaging, the current sample does not indicate a close tie between functionality and the willingness to buy a sustainable-packaging brand.</w:t>
      </w:r>
    </w:p>
    <w:p w14:paraId="3997351A" w14:textId="77777777" w:rsidR="00300044" w:rsidRDefault="002602FB">
      <w:r>
        <w:t xml:space="preserve">Questions which were directly connected with the issue of loyalty provided ambiguous answers. Q12 (Likert scale to repurchase a brand in case of satisfaction with sustainable packaging) had almost no correlation with Q15 (r =.040, p =.782). Q13, based on perceived continued commitment to a brand, was weakly positively correlated with the construct (r =.205, p=.154), but Q14, based on recommending a brand because of environmentally responsible packaging, was weakly negatively </w:t>
      </w:r>
      <w:r>
        <w:lastRenderedPageBreak/>
        <w:t>correlated with the construct (r = -.132, p=.359). All these relationships were not statistically significant.</w:t>
      </w:r>
    </w:p>
    <w:p w14:paraId="78DCF08C" w14:textId="77777777" w:rsidR="00300044" w:rsidRDefault="002602FB">
      <w:r>
        <w:t xml:space="preserve">The findings provide an opportunity with a great difference to large-scale literature. Berthold, Guion and Siegrist (2024) have concluded that the package material </w:t>
      </w:r>
      <w:proofErr w:type="gramStart"/>
      <w:r>
        <w:t>actually made</w:t>
      </w:r>
      <w:proofErr w:type="gramEnd"/>
      <w:r>
        <w:t xml:space="preserve"> a difference in terms of perception of sustainability and that the negative perceptions of sustainability were associated with willingness to consume, so that packaging can affect consumer judgement. The available evidence, however, has shown that the positive perceptions of certain attributes of sustainable packaging might not have a direct effect on brand preference or brand loyalty.</w:t>
      </w:r>
    </w:p>
    <w:p w14:paraId="4F051D59" w14:textId="77777777" w:rsidR="00300044" w:rsidRDefault="002602FB">
      <w:r>
        <w:t>Likewise, positive correlations between the environmental and social sustainability attributes of packaging and the purchase intention were observed in a large European sample by Lopez-Miguens, Alvarez-Gonzalez and Dopico-Parada (2025). Their results may have a little bit of variation with the current results due to the purchase intention-brand loyalty difference. A consumer may think that the packaging is good, or s/he may like to purchase a product without forming an interest in the brand in the long run.</w:t>
      </w:r>
    </w:p>
    <w:p w14:paraId="1243CE27" w14:textId="77777777" w:rsidR="00300044" w:rsidRDefault="002602FB">
      <w:r>
        <w:t>The studies by Herbes et al. (2024) also help to provide the appropriate context since they presented the results of their interviews with food packaging professionals who perceived some uncertainty about how important sustainability is to consumers. This is consistent with the existing finding that future results, as an extension of the perception of sustainable packaging, did not correlate with a stronger preference towards the brand.</w:t>
      </w:r>
    </w:p>
    <w:p w14:paraId="4E487A72" w14:textId="77777777" w:rsidR="00300044" w:rsidRDefault="002602FB">
      <w:pPr>
        <w:pStyle w:val="Heading2"/>
      </w:pPr>
      <w:bookmarkStart w:id="46" w:name="_heading=h.kuahyguktukv" w:colFirst="0" w:colLast="0"/>
      <w:bookmarkEnd w:id="46"/>
      <w:r>
        <w:t>4.4 Cronbach’s Alpha Reliability</w:t>
      </w:r>
    </w:p>
    <w:p w14:paraId="4D8E3DCE" w14:textId="77777777" w:rsidR="00300044" w:rsidRDefault="002602FB">
      <w:r>
        <w:t xml:space="preserve">The internal consistency of 15 variables of the questionnaire was estimated </w:t>
      </w:r>
      <w:proofErr w:type="gramStart"/>
      <w:r>
        <w:t>by the use of</w:t>
      </w:r>
      <w:proofErr w:type="gramEnd"/>
      <w:r>
        <w:t xml:space="preserve"> Cronbach's Alpha. Reliability analysis is important as it determines whether the items used in a measurement scale present a certain degree of consistency to reflect a common underlying construct. The number of valid cases was </w:t>
      </w:r>
      <w:proofErr w:type="gramStart"/>
      <w:r>
        <w:t>53</w:t>
      </w:r>
      <w:proofErr w:type="gramEnd"/>
      <w:r>
        <w:t xml:space="preserve"> and no case was dropped in the SPSS output that gave an implication that the analysis on the reliability was done with respect to the total number of respondents, 53.</w:t>
      </w:r>
    </w:p>
    <w:p w14:paraId="64E5F23B" w14:textId="77777777" w:rsidR="00300044" w:rsidRDefault="002602FB">
      <w:r>
        <w:lastRenderedPageBreak/>
        <w:t>One should not, however, presume that the negative alpha is simply an indicator of a poor questionnaire or that sustainable packaging perceptions are not as trustworthy as they ought to be. Rather, the output suggests that there was an issue concerning the combination of the 15 variables used to conduct the reliability test. Specifically, Q1 and Q2 are demographic measures (age and gender), and Q3-Q14 are measures of perceptions, attitudes and behavioural intentions in reference to sustainable packaging, and Q15 is the preference for a sustainable-packaging brand. These are not variables that are theoretically supposed to be a measurement of a single construct. Then there is the next combination of the demographic variables with the attitudinal/behavioural variables, which can lead to weak/negative inter-item covariance.</w:t>
      </w:r>
    </w:p>
    <w:p w14:paraId="648ABEF0" w14:textId="77777777" w:rsidR="00300044" w:rsidRDefault="002602FB">
      <w:pPr>
        <w:jc w:val="center"/>
        <w:rPr>
          <w:b/>
          <w:bCs/>
        </w:rPr>
      </w:pPr>
      <w:r>
        <w:rPr>
          <w:b/>
          <w:bCs/>
          <w:noProof/>
        </w:rPr>
        <w:drawing>
          <wp:inline distT="114300" distB="114300" distL="114300" distR="114300" wp14:anchorId="38192B40" wp14:editId="389D05C0">
            <wp:extent cx="5686425" cy="3228975"/>
            <wp:effectExtent l="0" t="0" r="0" b="0"/>
            <wp:docPr id="158910352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6"/>
                    <a:srcRect/>
                    <a:stretch>
                      <a:fillRect/>
                    </a:stretch>
                  </pic:blipFill>
                  <pic:spPr>
                    <a:xfrm>
                      <a:off x="0" y="0"/>
                      <a:ext cx="5686425" cy="3228975"/>
                    </a:xfrm>
                    <a:prstGeom prst="rect">
                      <a:avLst/>
                    </a:prstGeom>
                    <a:ln/>
                  </pic:spPr>
                </pic:pic>
              </a:graphicData>
            </a:graphic>
          </wp:inline>
        </w:drawing>
      </w:r>
    </w:p>
    <w:p w14:paraId="39CBE08B" w14:textId="77777777" w:rsidR="00300044" w:rsidRDefault="002602FB">
      <w:pPr>
        <w:pStyle w:val="Heading4"/>
      </w:pPr>
      <w:bookmarkStart w:id="47" w:name="_heading=h.pz16roku9036" w:colFirst="0" w:colLast="0"/>
      <w:bookmarkEnd w:id="47"/>
      <w:r>
        <w:t>Figure 4.3: Reliability Results</w:t>
      </w:r>
    </w:p>
    <w:p w14:paraId="5D7208CA" w14:textId="77777777" w:rsidR="00300044" w:rsidRDefault="002602FB">
      <w:pPr>
        <w:jc w:val="center"/>
      </w:pPr>
      <w:r>
        <w:t>(Source: SPSS)</w:t>
      </w:r>
    </w:p>
    <w:p w14:paraId="7AC8147B" w14:textId="77777777" w:rsidR="00300044" w:rsidRDefault="002602FB">
      <w:r>
        <w:t xml:space="preserve">This can be noticed in the item-total statistics. Q1 has an adjusted item-total correlation of -.044, with Q2 being -.249. Q4 has -.232, Q6 has -.118, Q7 has -.149, Q8 has -.169, Q9 has -.003, and Q14 has -.139. The number of other items with very low values of corrected item-total correlations is also large. Besides, the values of Cronbach's Alpha in the case of item deletion remain negative </w:t>
      </w:r>
      <w:proofErr w:type="gramStart"/>
      <w:r>
        <w:t>with regard to</w:t>
      </w:r>
      <w:proofErr w:type="gramEnd"/>
      <w:r>
        <w:t xml:space="preserve"> the individual items, consequently ensuring the absence of the problem being caused by a single item.</w:t>
      </w:r>
    </w:p>
    <w:p w14:paraId="68C6B07C" w14:textId="77777777" w:rsidR="00300044" w:rsidRDefault="002602FB">
      <w:r>
        <w:lastRenderedPageBreak/>
        <w:t xml:space="preserve">The descriptive statistics also show that the items measure various things in the research model. The mean of Q5 is 3.18, Q7 is 3.22, and Q8 is the maximum at 3.30; therefore, one could argue in a relatively positive manner that there is a good response </w:t>
      </w:r>
      <w:proofErr w:type="gramStart"/>
      <w:r>
        <w:t>with regard to</w:t>
      </w:r>
      <w:proofErr w:type="gramEnd"/>
      <w:r>
        <w:t xml:space="preserve"> environmental responsibility, trust and information about the environment. In comparison, Q2 mean =2.26, as it is characterised by gender categories rather than each attitudinal Likert-scale item. Q12, which is a measure of repeat purchasing, has a mean of 2.70, whereas Q14, which is a measure of recommendation, has a mean of 3.10.  An example of this would be that recyclability perceptions would be Q3-Q5 and environmental information and trust would be Q6-Q8, functionality and convenience would be Q9-Q11, and brand loyalty/preference outcome would be Q12-Q15. Cronbach's alpha is then computed for each multi-item construct. These reliability scales should not include age and gender.</w:t>
      </w:r>
    </w:p>
    <w:p w14:paraId="296D845A" w14:textId="77777777" w:rsidR="00300044" w:rsidRDefault="002602FB">
      <w:r>
        <w:t>This description is in line with the literature that talks of sustainable packaging as a multidimensional construct, and not a monolithic quality. One such example is Atta-Delgado et al. (2024), who treat consumer perceptions of different types of sustainable packaging, rather than treating all the perceptions of packaging as a single variable. Similarly, Berthold et al. (2024) disclose that customers are discriminative in terms of packaging material, colour and sustainability (among other perceptions of products).</w:t>
      </w:r>
    </w:p>
    <w:p w14:paraId="697B3B79" w14:textId="77777777" w:rsidR="00300044" w:rsidRDefault="002602FB">
      <w:r>
        <w:t>The importance of the multidimensional aspect of sustainable packaging lies especially in the fact that consumers might be more interested in recyclability, environmental information and convenience. Another distinction between consumer reactions to active and intelligent packaging is made by Lopez-Miguens et al. (2025) on the measures of environmental, social and economic sustainability.</w:t>
      </w:r>
    </w:p>
    <w:p w14:paraId="37A57570" w14:textId="77777777" w:rsidR="00300044" w:rsidRDefault="002602FB">
      <w:pPr>
        <w:pStyle w:val="Heading2"/>
      </w:pPr>
      <w:bookmarkStart w:id="48" w:name="_heading=h.pvtfwwm2uvto" w:colFirst="0" w:colLast="0"/>
      <w:bookmarkEnd w:id="48"/>
      <w:r>
        <w:lastRenderedPageBreak/>
        <w:t>4.5 Multiple Regression</w:t>
      </w:r>
    </w:p>
    <w:p w14:paraId="6197136A" w14:textId="77777777" w:rsidR="00300044" w:rsidRDefault="002602FB">
      <w:pPr>
        <w:jc w:val="center"/>
        <w:rPr>
          <w:b/>
          <w:bCs/>
        </w:rPr>
      </w:pPr>
      <w:r>
        <w:rPr>
          <w:b/>
          <w:bCs/>
          <w:noProof/>
        </w:rPr>
        <w:drawing>
          <wp:inline distT="114300" distB="114300" distL="114300" distR="114300" wp14:anchorId="7AF265DF" wp14:editId="403B1505">
            <wp:extent cx="5133975" cy="3400425"/>
            <wp:effectExtent l="0" t="0" r="0" b="0"/>
            <wp:docPr id="158910354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133975" cy="3400425"/>
                    </a:xfrm>
                    <a:prstGeom prst="rect">
                      <a:avLst/>
                    </a:prstGeom>
                    <a:ln/>
                  </pic:spPr>
                </pic:pic>
              </a:graphicData>
            </a:graphic>
          </wp:inline>
        </w:drawing>
      </w:r>
    </w:p>
    <w:p w14:paraId="7BD0BF84" w14:textId="77777777" w:rsidR="00300044" w:rsidRDefault="002602FB">
      <w:pPr>
        <w:jc w:val="center"/>
        <w:rPr>
          <w:b/>
          <w:bCs/>
        </w:rPr>
      </w:pPr>
      <w:r>
        <w:rPr>
          <w:b/>
          <w:bCs/>
          <w:noProof/>
        </w:rPr>
        <w:drawing>
          <wp:inline distT="114300" distB="114300" distL="114300" distR="114300" wp14:anchorId="35A24825" wp14:editId="2DB6796D">
            <wp:extent cx="5438775" cy="3476625"/>
            <wp:effectExtent l="0" t="0" r="0" b="0"/>
            <wp:docPr id="158910354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438775" cy="3476625"/>
                    </a:xfrm>
                    <a:prstGeom prst="rect">
                      <a:avLst/>
                    </a:prstGeom>
                    <a:ln/>
                  </pic:spPr>
                </pic:pic>
              </a:graphicData>
            </a:graphic>
          </wp:inline>
        </w:drawing>
      </w:r>
    </w:p>
    <w:p w14:paraId="12502E61" w14:textId="77777777" w:rsidR="00300044" w:rsidRDefault="002602FB">
      <w:pPr>
        <w:pStyle w:val="Heading4"/>
      </w:pPr>
      <w:bookmarkStart w:id="49" w:name="_heading=h.fvb55w739svg" w:colFirst="0" w:colLast="0"/>
      <w:bookmarkEnd w:id="49"/>
      <w:r>
        <w:t>Figure 4.4: Regression Results</w:t>
      </w:r>
    </w:p>
    <w:p w14:paraId="291009CB" w14:textId="77777777" w:rsidR="00300044" w:rsidRDefault="002602FB">
      <w:pPr>
        <w:jc w:val="center"/>
      </w:pPr>
      <w:r>
        <w:t>(Source: SPSS)</w:t>
      </w:r>
    </w:p>
    <w:p w14:paraId="67548051" w14:textId="77777777" w:rsidR="00300044" w:rsidRDefault="002602FB">
      <w:r>
        <w:lastRenderedPageBreak/>
        <w:t>To examine the interaction between perception of sustainable packaging and the selection of a brand, which the respondents made when using sustainable packaging, a multiple regression analysis was conducted. Q15: My choice would be a brand that employs sustainable packaging over a competitor brand of similar type. The model was run using 14 predictors, including age, gender and the perception variable of the sustainable packaging (Q3-Q14) as predictors at the same time. The overall explanatory power of the effect of demographic and packaging-related variables, including these products, was therefore determined by SPSS.</w:t>
      </w:r>
    </w:p>
    <w:p w14:paraId="2FCB9FE2" w14:textId="77777777" w:rsidR="00300044" w:rsidRDefault="002602FB">
      <w:r>
        <w:t xml:space="preserve">The Model Summary indicates that R = .556, meaning the overall correlation that exists between the observed dependent </w:t>
      </w:r>
      <w:proofErr w:type="gramStart"/>
      <w:r>
        <w:t>variable</w:t>
      </w:r>
      <w:proofErr w:type="gramEnd"/>
      <w:r>
        <w:t xml:space="preserve"> and the set of predictors is moderate. This produced an R-square of 0.309, indicating that the portion of variance that the predictors in the model accounted for was approximately 30.9. However, the adjusted R2 was rather poor.032, that is, the power of the model to explain was much lower given the number of predictors and the sample size. The value of the standard error of the estimate was 1.450.</w:t>
      </w:r>
    </w:p>
    <w:p w14:paraId="31C16FA1" w14:textId="77777777" w:rsidR="00300044" w:rsidRDefault="002602FB">
      <w:r>
        <w:t>Of significance is the difference between R 2 and adjusted R 2. This model has 14 predictors and 53 respondents, which means that there were a fair number of predictors compared to the sample. As a result, the general explanatory ability of the model could be overestimated by the unadjusted R 2 of 30.9%. A lower measure of the explanatory power of the model is provided by the adjusted R 2 of 3.2 percent.</w:t>
      </w:r>
    </w:p>
    <w:p w14:paraId="64E434C0" w14:textId="77777777" w:rsidR="00300044" w:rsidRDefault="002602FB">
      <w:r>
        <w:t xml:space="preserve">These are also the results of ANOVA that indicate that the regression model does not give significant results. The regression sum of squares was equal to 32.877, and the residual sum of squares was equal to 73.623, making the overall sum of squares equal to 106.500. The model produced </w:t>
      </w:r>
      <w:proofErr w:type="gramStart"/>
      <w:r>
        <w:t>F(</w:t>
      </w:r>
      <w:proofErr w:type="gramEnd"/>
      <w:r>
        <w:t xml:space="preserve">14,35) = 1.116, p = .378. The null hypothesis that the predictors jointly do not have a significant linear explanatory relationship at all with Q15 </w:t>
      </w:r>
      <w:proofErr w:type="spellStart"/>
      <w:r>
        <w:t>can not</w:t>
      </w:r>
      <w:proofErr w:type="spellEnd"/>
      <w:r>
        <w:t xml:space="preserve"> be rejected since p &gt; .05. The regression ANOVA produced an F-value of 1.116 and a significance value of .378. Since the significance value is above .05, the overall regression model is not statistically significant. Therefore, the sustainable packaging variables collectively did not significantly predict brand preference.</w:t>
      </w:r>
    </w:p>
    <w:p w14:paraId="21C88B9C" w14:textId="77777777" w:rsidR="00300044" w:rsidRDefault="002602FB">
      <w:r>
        <w:t xml:space="preserve">This decision is supported by these personal coefficients. Age had a negative but non-significant effect (B = -.040, β = -.044, p = .781), while gender also had a negative and </w:t>
      </w:r>
      <w:r>
        <w:lastRenderedPageBreak/>
        <w:t>non-significant coefficient (B = -.337, β = -.252, p = .127). Q3, preference for easily recyclable packaging, had B = -.245, β = -.261, p = .108, while Q4, recyclability influencing purchasing decisions, had B = -.159, β = -.154, p = .327. Q5 was positive (B = .103, β = .088, p = .549), while Q6 was negative (B = -.201, β = -.197, p = .227).</w:t>
      </w:r>
    </w:p>
    <w:p w14:paraId="25A09BB1" w14:textId="77777777" w:rsidR="00300044" w:rsidRDefault="002602FB">
      <w:r>
        <w:t>B = = -.281, β = -.268, p =.094; the result of trust was when taking information regarding environmental packaging Q7. This was among the bigger standardised effects in the model, yet a mark above the 0.05 significance level. Q8 produced β = -.046, p = .784, while Q9 produced β = -.042, p = .800. Q10 also had a negative but non-significant effect (β = -.112, p = .487), whereas Q11 had a small positive effect (β = .091, p = .569).</w:t>
      </w:r>
    </w:p>
    <w:p w14:paraId="1D819BBC" w14:textId="77777777" w:rsidR="00300044" w:rsidRDefault="002602FB">
      <w:r>
        <w:t>Of the variables that are directly related to loyalty, Q12 was associated with B = -.029, 8 = -.030, p = .852, which implies that it has no significant independent predictive value. Among these measures of loyalty, Q13 coincided with the most positive coefficient (B =.264, β =.238, p=.146), which indicates that commitment to a brand was positively related to preference for sustainable-packaging brands, but the value was not statistically significant. Q14 had a negative coefficient (B = -.250, β = -.257, p = .148).</w:t>
      </w:r>
    </w:p>
    <w:p w14:paraId="10404B40" w14:textId="77777777" w:rsidR="00300044" w:rsidRDefault="002602FB">
      <w:pPr>
        <w:rPr>
          <w:b/>
          <w:bCs/>
        </w:rPr>
      </w:pPr>
      <w:r>
        <w:rPr>
          <w:b/>
          <w:bCs/>
        </w:rPr>
        <w:t>Hypotheses</w:t>
      </w:r>
    </w:p>
    <w:p w14:paraId="0D938276" w14:textId="77777777" w:rsidR="00300044" w:rsidRDefault="002602FB">
      <w:pPr>
        <w:rPr>
          <w:i/>
          <w:iCs/>
        </w:rPr>
      </w:pPr>
      <w:r>
        <w:rPr>
          <w:b/>
          <w:bCs/>
          <w:i/>
          <w:iCs/>
        </w:rPr>
        <w:t>H1:</w:t>
      </w:r>
      <w:r>
        <w:rPr>
          <w:i/>
          <w:iCs/>
        </w:rPr>
        <w:t xml:space="preserve"> Sustainable packaging perceptions have a significant positive relationship with brand loyalty among UK food and beverage consumers.</w:t>
      </w:r>
    </w:p>
    <w:p w14:paraId="6F00A2C9" w14:textId="77777777" w:rsidR="00300044" w:rsidRDefault="002602FB">
      <w:r>
        <w:t xml:space="preserve">This hypothesis proposes that consumers who perceive sustainable packaging positively are more likely to show brand loyalty through brand preference, commitment, repeat purchasing and recommendation. Pearson correlation was used to test this relationship. The results showed that the relationships between the sustainable packaging variables and brand preference were not statistically significant. Therefore, </w:t>
      </w:r>
      <w:r>
        <w:rPr>
          <w:b/>
          <w:bCs/>
        </w:rPr>
        <w:t>H1 is not supported</w:t>
      </w:r>
      <w:r>
        <w:t xml:space="preserve">. </w:t>
      </w:r>
    </w:p>
    <w:p w14:paraId="0671E286" w14:textId="77777777" w:rsidR="00300044" w:rsidRDefault="002602FB">
      <w:pPr>
        <w:rPr>
          <w:i/>
          <w:iCs/>
        </w:rPr>
      </w:pPr>
      <w:r>
        <w:rPr>
          <w:b/>
          <w:bCs/>
          <w:i/>
          <w:iCs/>
        </w:rPr>
        <w:t>H2:</w:t>
      </w:r>
      <w:r>
        <w:rPr>
          <w:i/>
          <w:iCs/>
        </w:rPr>
        <w:t xml:space="preserve"> Individual dimensions of sustainable packaging perceptions significantly predict brand loyalty among UK food and beverage consumers.</w:t>
      </w:r>
    </w:p>
    <w:p w14:paraId="5A0BD890" w14:textId="77777777" w:rsidR="00300044" w:rsidRDefault="002602FB">
      <w:r>
        <w:lastRenderedPageBreak/>
        <w:t xml:space="preserve">This hypothesis examines whether factors such as recyclability, environmental information, trust, convenience, functionality and perceived protection collectively predict brand preference. Multiple regression was conducted to test this hypothesis. The overall regression model was not statistically significant, indicating insufficient evidence that these factors collectively predicted brand preference. Therefore, </w:t>
      </w:r>
      <w:r>
        <w:rPr>
          <w:b/>
          <w:bCs/>
        </w:rPr>
        <w:t>H2 is not supported</w:t>
      </w:r>
    </w:p>
    <w:p w14:paraId="137FFAC3" w14:textId="77777777" w:rsidR="00300044" w:rsidRDefault="002602FB">
      <w:pPr>
        <w:pStyle w:val="Heading2"/>
      </w:pPr>
      <w:bookmarkStart w:id="50" w:name="_heading=h.k46uvw7zwqt5" w:colFirst="0" w:colLast="0"/>
      <w:bookmarkEnd w:id="50"/>
      <w:r>
        <w:t>4.6 Summary</w:t>
      </w:r>
    </w:p>
    <w:p w14:paraId="2FC3B447" w14:textId="77777777" w:rsidR="00300044" w:rsidRDefault="002602FB">
      <w:r>
        <w:t xml:space="preserve">The statistical results have provided both a positive and a negative picture of the perception of sustainable packaging and brand loyalty of the 53 respondents. Such findings suggest that sustainable packaging will not naturally result in brand loyalty. This result is in line with the literature, which reveals a distinction between packaging perceptions, purchase intention and extended loyalty. Packaging characteristics can influence consumer sustainability perceptions and purchase intention, whereas environmental and social sustainability are also noteworthy factors that can impact purchase intention. However, the current results will show that the effects might not be directly transferred to brand preference or loyalty. </w:t>
      </w:r>
    </w:p>
    <w:p w14:paraId="01E7CC6E" w14:textId="77777777" w:rsidR="00300044" w:rsidRDefault="002602FB">
      <w:pPr>
        <w:spacing w:before="0" w:after="160" w:line="259" w:lineRule="auto"/>
        <w:jc w:val="left"/>
      </w:pPr>
      <w:r>
        <w:br w:type="page"/>
      </w:r>
    </w:p>
    <w:p w14:paraId="349A5A20" w14:textId="77777777" w:rsidR="00300044" w:rsidRDefault="002602FB">
      <w:pPr>
        <w:pStyle w:val="Heading1"/>
      </w:pPr>
      <w:bookmarkStart w:id="51" w:name="_heading=h.b7ciwpgim8cf" w:colFirst="0" w:colLast="0"/>
      <w:bookmarkEnd w:id="51"/>
      <w:r>
        <w:lastRenderedPageBreak/>
        <w:t xml:space="preserve">Chapter 5: Discussion </w:t>
      </w:r>
    </w:p>
    <w:p w14:paraId="20804004" w14:textId="77777777" w:rsidR="00300044" w:rsidRDefault="002602FB">
      <w:pPr>
        <w:pStyle w:val="Heading2"/>
      </w:pPr>
      <w:bookmarkStart w:id="52" w:name="_heading=h.5wolonjnsan4" w:colFirst="0" w:colLast="0"/>
      <w:bookmarkEnd w:id="52"/>
      <w:r>
        <w:t xml:space="preserve">5.1 Introduction </w:t>
      </w:r>
    </w:p>
    <w:p w14:paraId="7324A162" w14:textId="77777777" w:rsidR="00300044" w:rsidRDefault="002602FB">
      <w:pPr>
        <w:pBdr>
          <w:top w:val="nil"/>
          <w:left w:val="nil"/>
          <w:bottom w:val="nil"/>
          <w:right w:val="nil"/>
          <w:between w:val="nil"/>
        </w:pBdr>
        <w:spacing w:before="200" w:after="200"/>
        <w:rPr>
          <w:color w:val="000000"/>
        </w:rPr>
      </w:pPr>
      <w:r>
        <w:rPr>
          <w:color w:val="000000"/>
        </w:rPr>
        <w:t xml:space="preserve">This research question </w:t>
      </w:r>
      <w:proofErr w:type="gramStart"/>
      <w:r>
        <w:rPr>
          <w:color w:val="000000"/>
        </w:rPr>
        <w:t>looked into</w:t>
      </w:r>
      <w:proofErr w:type="gramEnd"/>
      <w:r>
        <w:rPr>
          <w:color w:val="000000"/>
        </w:rPr>
        <w:t xml:space="preserve"> whether perceptions of sustainable packaging had any effects in terms of brand loyalty among consumers in the food and beverage industries in the UK. Sustainable packaging was measured in terms of recyclability, environmental information, eco-labelling, functionality and convenience; brand loyalty was measured in terms of repeat purchasing, commitment, recommendation and brand preference. </w:t>
      </w:r>
      <w:proofErr w:type="gramStart"/>
      <w:r>
        <w:rPr>
          <w:color w:val="000000"/>
        </w:rPr>
        <w:t>The final result</w:t>
      </w:r>
      <w:proofErr w:type="gramEnd"/>
      <w:r>
        <w:rPr>
          <w:color w:val="000000"/>
        </w:rPr>
        <w:t xml:space="preserve"> of the 5</w:t>
      </w:r>
      <w:r>
        <w:t>3</w:t>
      </w:r>
      <w:r>
        <w:rPr>
          <w:color w:val="000000"/>
        </w:rPr>
        <w:t xml:space="preserve"> respondents is that consumers have a moderately positive opinion concerning sustainable packaging, and it is not an assurance that this will translate into high brand loyalty. This is a great paradox to literature that presents sustainable packaging as a direct determinant of consumer loyalty.</w:t>
      </w:r>
    </w:p>
    <w:p w14:paraId="5F5014D3" w14:textId="77777777" w:rsidR="00300044" w:rsidRDefault="002602FB">
      <w:pPr>
        <w:pStyle w:val="Heading2"/>
      </w:pPr>
      <w:bookmarkStart w:id="53" w:name="_heading=h.l4ip1ltjzj4e" w:colFirst="0" w:colLast="0"/>
      <w:bookmarkEnd w:id="53"/>
      <w:r>
        <w:t xml:space="preserve">5.2 Discussion </w:t>
      </w:r>
    </w:p>
    <w:p w14:paraId="1E3BD5F8" w14:textId="77777777" w:rsidR="00300044" w:rsidRDefault="002602FB">
      <w:pPr>
        <w:pBdr>
          <w:top w:val="nil"/>
          <w:left w:val="nil"/>
          <w:bottom w:val="nil"/>
          <w:right w:val="nil"/>
          <w:between w:val="nil"/>
        </w:pBdr>
        <w:spacing w:before="200" w:after="200"/>
        <w:rPr>
          <w:color w:val="000000"/>
        </w:rPr>
      </w:pPr>
      <w:r>
        <w:rPr>
          <w:color w:val="000000"/>
        </w:rPr>
        <w:t xml:space="preserve">The original research question </w:t>
      </w:r>
      <w:proofErr w:type="gramStart"/>
      <w:r>
        <w:rPr>
          <w:color w:val="000000"/>
        </w:rPr>
        <w:t>took into account</w:t>
      </w:r>
      <w:proofErr w:type="gramEnd"/>
      <w:r>
        <w:rPr>
          <w:color w:val="000000"/>
        </w:rPr>
        <w:t xml:space="preserve"> the important dimensions of perception of sustainable packaging by consumers. The findings reveal that there was a special influence of environmental information and eco-labelling. Q8, which focused on the effects of the use of environmental labels or information on brand perception, had the greatest mean of 3.30, and Q7, which focused on the effects of generating trust by the presence of clear environmental benefits, had a mean of 3.22. This can be validated by the results of the study conducted by Norton et al. (2022), which suggested that it can affect consumer behaviour and encourage consumers in the UK to make more sustainable decisions. But Norton et al. also discovered that sustainability packaging might be of interest to consumers even though there is a lack of adequate information about sustainable materials and recycling.  Thus, the existing results indicate that there is importance of communication, although this must not be mixed up with awareness and actual sustainable behaviour.</w:t>
      </w:r>
    </w:p>
    <w:p w14:paraId="788C5379" w14:textId="77777777" w:rsidR="00300044" w:rsidRDefault="002602FB">
      <w:pPr>
        <w:pBdr>
          <w:top w:val="nil"/>
          <w:left w:val="nil"/>
          <w:bottom w:val="nil"/>
          <w:right w:val="nil"/>
          <w:between w:val="nil"/>
        </w:pBdr>
        <w:spacing w:before="200" w:after="200"/>
        <w:rPr>
          <w:color w:val="000000"/>
        </w:rPr>
      </w:pPr>
      <w:r>
        <w:rPr>
          <w:color w:val="000000"/>
        </w:rPr>
        <w:t xml:space="preserve">This finding also conforms to that of Quoc et al. (2025), who also established that green packaging and green branding did not have much effect on cognitive attitudes, but eco-labelling might prove to be a greater marketing tool.  The response to Q8 is </w:t>
      </w:r>
      <w:r>
        <w:rPr>
          <w:color w:val="000000"/>
        </w:rPr>
        <w:lastRenderedPageBreak/>
        <w:t xml:space="preserve">quite high, hence suggesting that consumers might react more to unambiguous environmental information than a notion of sustainable </w:t>
      </w:r>
      <w:proofErr w:type="gramStart"/>
      <w:r>
        <w:rPr>
          <w:color w:val="000000"/>
        </w:rPr>
        <w:t>packaging as a whole</w:t>
      </w:r>
      <w:proofErr w:type="gramEnd"/>
      <w:r>
        <w:rPr>
          <w:color w:val="000000"/>
        </w:rPr>
        <w:t>.</w:t>
      </w:r>
    </w:p>
    <w:p w14:paraId="3A6B34A1" w14:textId="77777777" w:rsidR="00300044" w:rsidRDefault="002602FB">
      <w:pPr>
        <w:pBdr>
          <w:top w:val="nil"/>
          <w:left w:val="nil"/>
          <w:bottom w:val="nil"/>
          <w:right w:val="nil"/>
          <w:between w:val="nil"/>
        </w:pBdr>
        <w:spacing w:before="200" w:after="200"/>
        <w:rPr>
          <w:color w:val="000000"/>
        </w:rPr>
      </w:pPr>
      <w:r>
        <w:rPr>
          <w:color w:val="000000"/>
        </w:rPr>
        <w:t xml:space="preserve">The findings are, however, quite contrary to the assumption that recyclability is an important buying determinant as a matter of fact. Q3, which dealt with likeable packaging that can be easily recycled, gave a mean of 2.84, and Q4, which dealt with the impact of recyclability on buying decisions, gave 2.86. These were lower scores as compared to the environmental labels and information scores. This supports Duarte et al. (2024), who stated in the paper that the attitude towards sustainable packaging and environmental concern might also moderate purchase intention; however, economic and functional factors might also play a significant role in influencing the behaviour.  In theory, if recyclable packaging is produced, it then follows that consumers are not necessarily </w:t>
      </w:r>
      <w:proofErr w:type="gramStart"/>
      <w:r>
        <w:rPr>
          <w:color w:val="000000"/>
        </w:rPr>
        <w:t>in a position</w:t>
      </w:r>
      <w:proofErr w:type="gramEnd"/>
      <w:r>
        <w:rPr>
          <w:color w:val="000000"/>
        </w:rPr>
        <w:t xml:space="preserve"> to reject such recyclable packaging, but rather the decision to recycle determines what decisions they make in terms of recyclability.</w:t>
      </w:r>
    </w:p>
    <w:p w14:paraId="3DCEDF14" w14:textId="77777777" w:rsidR="00300044" w:rsidRDefault="002602FB">
      <w:pPr>
        <w:pBdr>
          <w:top w:val="nil"/>
          <w:left w:val="nil"/>
          <w:bottom w:val="nil"/>
          <w:right w:val="nil"/>
          <w:between w:val="nil"/>
        </w:pBdr>
        <w:spacing w:before="200" w:after="200"/>
        <w:rPr>
          <w:color w:val="000000"/>
        </w:rPr>
      </w:pPr>
      <w:r>
        <w:rPr>
          <w:color w:val="000000"/>
        </w:rPr>
        <w:t xml:space="preserve">The mean of Q5 was greater at 3.18, which </w:t>
      </w:r>
      <w:proofErr w:type="gramStart"/>
      <w:r>
        <w:rPr>
          <w:color w:val="000000"/>
        </w:rPr>
        <w:t>serves to show</w:t>
      </w:r>
      <w:proofErr w:type="gramEnd"/>
      <w:r>
        <w:rPr>
          <w:color w:val="000000"/>
        </w:rPr>
        <w:t xml:space="preserve"> that respondents were </w:t>
      </w:r>
      <w:proofErr w:type="gramStart"/>
      <w:r>
        <w:rPr>
          <w:color w:val="000000"/>
        </w:rPr>
        <w:t>more or less in</w:t>
      </w:r>
      <w:proofErr w:type="gramEnd"/>
      <w:r>
        <w:rPr>
          <w:color w:val="000000"/>
        </w:rPr>
        <w:t xml:space="preserve"> terms of identifying with the recyclable packaging </w:t>
      </w:r>
      <w:proofErr w:type="gramStart"/>
      <w:r>
        <w:rPr>
          <w:color w:val="000000"/>
        </w:rPr>
        <w:t>with regard to</w:t>
      </w:r>
      <w:proofErr w:type="gramEnd"/>
      <w:r>
        <w:rPr>
          <w:color w:val="000000"/>
        </w:rPr>
        <w:t xml:space="preserve"> environmental responsibility. It agrees with Bai (2024), who found that there was a positive correlation between sustainable packaging and brand perception, trustworthiness and social responsibility.  Nevertheless, the positive expression of a feeling towards environmental responsibility does not innately imply brand loyalty. As perceived in the literature, brand image and brand loyalty are not one thing, and they cannot be used in interchangeable terms. </w:t>
      </w:r>
    </w:p>
    <w:p w14:paraId="4450CCE5" w14:textId="77777777" w:rsidR="00300044" w:rsidRDefault="002602FB">
      <w:pPr>
        <w:pBdr>
          <w:top w:val="nil"/>
          <w:left w:val="nil"/>
          <w:bottom w:val="nil"/>
          <w:right w:val="nil"/>
          <w:between w:val="nil"/>
        </w:pBdr>
        <w:spacing w:before="200" w:after="200"/>
        <w:rPr>
          <w:color w:val="000000"/>
        </w:rPr>
      </w:pPr>
      <w:r>
        <w:rPr>
          <w:color w:val="000000"/>
        </w:rPr>
        <w:t>Moderate results were found for functionality and convenience. Q9, which investigates the same protection of sustainable packaging vs conventional packaging, resulted in a mean of 2.92, and Q10, which investigates convenience and ease of use, in 3.00. This begs the achievement of practical performance as well as environmental benefits by the consumers. This finding is consistent with that of Norton et al. (2022) who found that consumers in the UK base their judgments regarding their packaging on a combination of their recycling potential, disposal, quality of the materials and the product.  It is therefore noteworthy that corporations are not assuming a founded notion that consumers will adopt sustainable packaging to the detriment of convenience, or preservation of their product.</w:t>
      </w:r>
    </w:p>
    <w:p w14:paraId="6AD143BB" w14:textId="77777777" w:rsidR="00300044" w:rsidRDefault="002602FB">
      <w:pPr>
        <w:pBdr>
          <w:top w:val="nil"/>
          <w:left w:val="nil"/>
          <w:bottom w:val="nil"/>
          <w:right w:val="nil"/>
          <w:between w:val="nil"/>
        </w:pBdr>
        <w:spacing w:before="200" w:after="200"/>
        <w:rPr>
          <w:color w:val="000000"/>
        </w:rPr>
      </w:pPr>
      <w:r>
        <w:rPr>
          <w:color w:val="000000"/>
        </w:rPr>
        <w:lastRenderedPageBreak/>
        <w:t xml:space="preserve">The second research question investigated the connection between the perceptions of sustainable packaging and brand loyalty. Contradictory evidence is given in the results. Q12 is the lowest producing 2.70 which tested how sustainable packaging could help a brand to extend the chances of a consumer rebuying it. On top of that, the proportion of respondents who selected category 1 and 22 percent category 2 was 32 percent and 22 percent respectively. This implies that sustainable packaging per se could not create high repeat-purchase intentions amongst </w:t>
      </w:r>
      <w:proofErr w:type="gramStart"/>
      <w:r>
        <w:rPr>
          <w:color w:val="000000"/>
        </w:rPr>
        <w:t>a number of</w:t>
      </w:r>
      <w:proofErr w:type="gramEnd"/>
      <w:r>
        <w:rPr>
          <w:color w:val="000000"/>
        </w:rPr>
        <w:t xml:space="preserve"> the respondents.</w:t>
      </w:r>
    </w:p>
    <w:p w14:paraId="79205544" w14:textId="77777777" w:rsidR="00300044" w:rsidRDefault="002602FB">
      <w:pPr>
        <w:pBdr>
          <w:top w:val="nil"/>
          <w:left w:val="nil"/>
          <w:bottom w:val="nil"/>
          <w:right w:val="nil"/>
          <w:between w:val="nil"/>
        </w:pBdr>
        <w:spacing w:before="200" w:after="200"/>
        <w:rPr>
          <w:color w:val="000000"/>
        </w:rPr>
      </w:pPr>
      <w:r>
        <w:rPr>
          <w:color w:val="000000"/>
        </w:rPr>
        <w:t>This discovery is counterintuitive to more optimistic argument of Kumar and Khanna (2025) that associate socially responsible packaging and socially responsible customers, brand recognition and strategic value.  It goes as far as to challenge the notion that sustainable packaging equals productivity in the issue of creating loyalty. However, it is compatible with Faris et al. (2024), which conducted the research stating that despite the successful findings that the intention to buy the product was also influenced by the intention to use the environmentally friendly packaging, the long-term brand loyalty was not directly measured.  The difference is significant as a consumer can desire to buy an environmentally packed product and do not form a permanent relationship with a brand of the product.</w:t>
      </w:r>
    </w:p>
    <w:p w14:paraId="6874071D" w14:textId="77777777" w:rsidR="00300044" w:rsidRDefault="002602FB">
      <w:pPr>
        <w:pBdr>
          <w:top w:val="nil"/>
          <w:left w:val="nil"/>
          <w:bottom w:val="nil"/>
          <w:right w:val="nil"/>
          <w:between w:val="nil"/>
        </w:pBdr>
        <w:spacing w:before="200" w:after="200"/>
        <w:rPr>
          <w:color w:val="000000"/>
        </w:rPr>
      </w:pPr>
      <w:r>
        <w:rPr>
          <w:color w:val="000000"/>
        </w:rPr>
        <w:t>Q13, which deals with brand awareness, got 2.94 as a mean score and Q15, which deals with the preference of a brand with sustainable packaging over a similar competitor, had 2.90. The results were close to the mid of the two cases; that is, sustainable packaging mediumly influenced these results of loyalty. Conversely, the Q14 in relation to a recommendation of an environmentally responsible brand produced an average of 3.10 thus a more positive answer.</w:t>
      </w:r>
    </w:p>
    <w:p w14:paraId="4641D5A7" w14:textId="77777777" w:rsidR="00300044" w:rsidRDefault="002602FB">
      <w:pPr>
        <w:pBdr>
          <w:top w:val="nil"/>
          <w:left w:val="nil"/>
          <w:bottom w:val="nil"/>
          <w:right w:val="nil"/>
          <w:between w:val="nil"/>
        </w:pBdr>
        <w:spacing w:before="200" w:after="200"/>
        <w:rPr>
          <w:color w:val="000000"/>
        </w:rPr>
      </w:pPr>
      <w:r>
        <w:rPr>
          <w:color w:val="000000"/>
        </w:rPr>
        <w:t>Through these results, it can be suggested that sustainable packaging can have more utility to positive brand perceptions and recommendations than repeat purchase or long-term commitment. This is in line with the conclusions of Inês and Moreira (2023), which discovered that the perceived value and brand equity are related to satisfaction and intentions to be loyal, and Koay and Low (2025), who discovered satisfaction to be a significant requirement to be a loyal customer.  Sustainable packaging therefore could be nothing more than one part of a larger process and may not always be the reason that people will remain loyal.</w:t>
      </w:r>
    </w:p>
    <w:p w14:paraId="66AE33A5" w14:textId="77777777" w:rsidR="00300044" w:rsidRDefault="002602FB">
      <w:pPr>
        <w:pBdr>
          <w:top w:val="nil"/>
          <w:left w:val="nil"/>
          <w:bottom w:val="nil"/>
          <w:right w:val="nil"/>
          <w:between w:val="nil"/>
        </w:pBdr>
        <w:spacing w:before="200" w:after="200"/>
        <w:rPr>
          <w:color w:val="000000"/>
        </w:rPr>
      </w:pPr>
      <w:r>
        <w:rPr>
          <w:color w:val="000000"/>
        </w:rPr>
        <w:lastRenderedPageBreak/>
        <w:t xml:space="preserve">The literature review gap can also be regarded as critical and justifiable in the results. According to Murtas et al. (2022), sustainable packaging was linked with sustainable brand image and competitive advantage, whereas Ding et al. (2024) also indicated that the suitable packaging can lead to the growth in green trust. Nonetheless, Duarte et al. (2024) and Faris et al. (2024) primarily emphasized purchase intention as opposed to repeat purchasing, commitment and long-term loyalty.  The existing results thus offer a more </w:t>
      </w:r>
      <w:proofErr w:type="spellStart"/>
      <w:r>
        <w:rPr>
          <w:color w:val="000000"/>
        </w:rPr>
        <w:t>skeptical</w:t>
      </w:r>
      <w:proofErr w:type="spellEnd"/>
      <w:r>
        <w:rPr>
          <w:color w:val="000000"/>
        </w:rPr>
        <w:t xml:space="preserve"> conclusion: sustainable packaging can be used to foster </w:t>
      </w:r>
      <w:proofErr w:type="gramStart"/>
      <w:r>
        <w:rPr>
          <w:color w:val="000000"/>
        </w:rPr>
        <w:t>loyalty,</w:t>
      </w:r>
      <w:proofErr w:type="gramEnd"/>
      <w:r>
        <w:rPr>
          <w:color w:val="000000"/>
        </w:rPr>
        <w:t xml:space="preserve"> however, it cannot be achieved independently.</w:t>
      </w:r>
    </w:p>
    <w:p w14:paraId="440021D3" w14:textId="77777777" w:rsidR="00300044" w:rsidRDefault="002602FB">
      <w:pPr>
        <w:pBdr>
          <w:top w:val="nil"/>
          <w:left w:val="nil"/>
          <w:bottom w:val="nil"/>
          <w:right w:val="nil"/>
          <w:between w:val="nil"/>
        </w:pBdr>
        <w:spacing w:before="200" w:after="200"/>
        <w:rPr>
          <w:color w:val="000000"/>
        </w:rPr>
      </w:pPr>
      <w:r>
        <w:rPr>
          <w:color w:val="000000"/>
        </w:rPr>
        <w:t xml:space="preserve">The Theory of Planned Behaviour (TPB) is partially supported by the findings as well. Positive perception was observed towards sustainable packaging and environmental information and labelling </w:t>
      </w:r>
      <w:proofErr w:type="gramStart"/>
      <w:r>
        <w:rPr>
          <w:color w:val="000000"/>
        </w:rPr>
        <w:t>in particular but</w:t>
      </w:r>
      <w:proofErr w:type="gramEnd"/>
      <w:r>
        <w:rPr>
          <w:color w:val="000000"/>
        </w:rPr>
        <w:t xml:space="preserve"> more loyalty behaviours were not necessarily the same. This serves as an indicator of the difference between the positive attitudes and the actual behaviours. The literature review also indicates the same limitation of TPB as brand loyalty is a relational outcome which is concerned with satisfaction, trust, perceived value, brand equity and repeated experience.  Consequently, the research posits that sustainable packaging can have an indirect effect on the loyalty by creating loyalty in terms of trust, satisfaction and brand value as opposed to creating loyalty due to the influence of attitude.</w:t>
      </w:r>
    </w:p>
    <w:p w14:paraId="541E702C" w14:textId="77777777" w:rsidR="00300044" w:rsidRDefault="002602FB">
      <w:pPr>
        <w:pStyle w:val="Heading2"/>
      </w:pPr>
      <w:bookmarkStart w:id="54" w:name="_heading=h.paportr7eqx5" w:colFirst="0" w:colLast="0"/>
      <w:bookmarkEnd w:id="54"/>
      <w:r>
        <w:t xml:space="preserve">5.3 Summary </w:t>
      </w:r>
    </w:p>
    <w:p w14:paraId="2EC21DA1" w14:textId="77777777" w:rsidR="00300044" w:rsidRDefault="002602FB">
      <w:pPr>
        <w:pBdr>
          <w:top w:val="nil"/>
          <w:left w:val="nil"/>
          <w:bottom w:val="nil"/>
          <w:right w:val="nil"/>
          <w:between w:val="nil"/>
        </w:pBdr>
        <w:spacing w:before="200" w:after="200"/>
        <w:rPr>
          <w:color w:val="000000"/>
        </w:rPr>
      </w:pPr>
      <w:r>
        <w:rPr>
          <w:color w:val="000000"/>
        </w:rPr>
        <w:t xml:space="preserve">Overall, the findings partially support and refute previous research findings. They substantiate the studies that showed the importance of environmental information, eco-labelling, trust and brand perception but disprove the assumption that sustainable packaging is more powerful to produce repeat purchases and loyalty. This provides a more rational environment regarding sustainable packaging in food and beverages in the UK. </w:t>
      </w:r>
    </w:p>
    <w:p w14:paraId="67F77490" w14:textId="77777777" w:rsidR="00300044" w:rsidRDefault="002602FB">
      <w:pPr>
        <w:pStyle w:val="Heading1"/>
      </w:pPr>
      <w:bookmarkStart w:id="55" w:name="_heading=h.kgirqk7p2o44" w:colFirst="0" w:colLast="0"/>
      <w:bookmarkEnd w:id="55"/>
      <w:r>
        <w:t xml:space="preserve">Chapter 6: Conclusion and Recommendation </w:t>
      </w:r>
    </w:p>
    <w:p w14:paraId="1B3FB8AB" w14:textId="77777777" w:rsidR="00300044" w:rsidRDefault="002602FB">
      <w:pPr>
        <w:pStyle w:val="Heading2"/>
      </w:pPr>
      <w:bookmarkStart w:id="56" w:name="_heading=h.segvpivgx3dj" w:colFirst="0" w:colLast="0"/>
      <w:bookmarkEnd w:id="56"/>
      <w:r>
        <w:t xml:space="preserve">6.1 Conclusion </w:t>
      </w:r>
    </w:p>
    <w:p w14:paraId="769C315D" w14:textId="77777777" w:rsidR="00300044" w:rsidRDefault="002602FB">
      <w:pPr>
        <w:pBdr>
          <w:top w:val="nil"/>
          <w:left w:val="nil"/>
          <w:bottom w:val="nil"/>
          <w:right w:val="nil"/>
          <w:between w:val="nil"/>
        </w:pBdr>
        <w:spacing w:before="200" w:after="200"/>
        <w:rPr>
          <w:color w:val="000000"/>
        </w:rPr>
      </w:pPr>
      <w:r>
        <w:rPr>
          <w:color w:val="000000"/>
        </w:rPr>
        <w:t xml:space="preserve">The study article </w:t>
      </w:r>
      <w:proofErr w:type="gramStart"/>
      <w:r>
        <w:rPr>
          <w:color w:val="000000"/>
        </w:rPr>
        <w:t>looked into</w:t>
      </w:r>
      <w:proofErr w:type="gramEnd"/>
      <w:r>
        <w:rPr>
          <w:color w:val="000000"/>
        </w:rPr>
        <w:t xml:space="preserve"> the effects of perceptions of sustainable packaging on brand loyalty among UK consumers of food and beverages. The focus of the study </w:t>
      </w:r>
      <w:r>
        <w:rPr>
          <w:color w:val="000000"/>
        </w:rPr>
        <w:lastRenderedPageBreak/>
        <w:t xml:space="preserve">was on recyclability, environmental information, eco-labelling, functionality and convenience and their contribution </w:t>
      </w:r>
      <w:proofErr w:type="gramStart"/>
      <w:r>
        <w:rPr>
          <w:color w:val="000000"/>
        </w:rPr>
        <w:t>with regard to</w:t>
      </w:r>
      <w:proofErr w:type="gramEnd"/>
      <w:r>
        <w:rPr>
          <w:color w:val="000000"/>
        </w:rPr>
        <w:t xml:space="preserve"> repeat buying, commitment, recommendation and brand preference. The results indicate that the average perception that consumers have towards sustainable packaging is moderate. Especially, the importance was found to be on the environmental labels and information, with the highest mean of 3.30 on Q8 and Q7 with a mean of 3.22. These findings have the following implications: packaging is one of the ways of communicating environmental responsibility and influences consumer perception towards brands.</w:t>
      </w:r>
    </w:p>
    <w:p w14:paraId="611EB44B" w14:textId="77777777" w:rsidR="00300044" w:rsidRDefault="002602FB">
      <w:pPr>
        <w:pBdr>
          <w:top w:val="nil"/>
          <w:left w:val="nil"/>
          <w:bottom w:val="nil"/>
          <w:right w:val="nil"/>
          <w:between w:val="nil"/>
        </w:pBdr>
        <w:spacing w:before="200" w:after="200"/>
        <w:rPr>
          <w:color w:val="000000"/>
        </w:rPr>
      </w:pPr>
      <w:r>
        <w:rPr>
          <w:color w:val="000000"/>
        </w:rPr>
        <w:t>Nonetheless, the results also show that the positive perceptions do not necessarily result in great loyalty. Repeat buying recorded the lowest brand-loyalty result with an average of Q12 score of 2.70. Some level of brand preference/commitment and high recommendation existed. As such, sustainable packaging also seems to have a more direct impact on brand perception and recommendation compared to long-term purchasing behaviour.</w:t>
      </w:r>
    </w:p>
    <w:p w14:paraId="71F796A8" w14:textId="77777777" w:rsidR="00300044" w:rsidRDefault="002602FB">
      <w:pPr>
        <w:pStyle w:val="Heading2"/>
      </w:pPr>
      <w:bookmarkStart w:id="57" w:name="_heading=h.ub3uiyhfhwb6" w:colFirst="0" w:colLast="0"/>
      <w:bookmarkEnd w:id="57"/>
      <w:r>
        <w:t xml:space="preserve">6.2 Linking with Objectives </w:t>
      </w:r>
    </w:p>
    <w:p w14:paraId="425B9D13" w14:textId="77777777" w:rsidR="00300044" w:rsidRDefault="002602FB">
      <w:pPr>
        <w:pBdr>
          <w:top w:val="nil"/>
          <w:left w:val="nil"/>
          <w:bottom w:val="nil"/>
          <w:right w:val="nil"/>
          <w:between w:val="nil"/>
        </w:pBdr>
        <w:spacing w:before="200" w:after="200"/>
        <w:rPr>
          <w:b/>
          <w:bCs/>
          <w:color w:val="000000"/>
        </w:rPr>
      </w:pPr>
      <w:r>
        <w:rPr>
          <w:b/>
          <w:bCs/>
          <w:color w:val="000000"/>
        </w:rPr>
        <w:t>6.2.1 To identify the key dimensions of consumers' perceptions of sustainable packaging in the UK food and beverage industry.</w:t>
      </w:r>
    </w:p>
    <w:p w14:paraId="4FA5A70F" w14:textId="77777777" w:rsidR="00300044" w:rsidRDefault="002602FB">
      <w:pPr>
        <w:pBdr>
          <w:top w:val="nil"/>
          <w:left w:val="nil"/>
          <w:bottom w:val="nil"/>
          <w:right w:val="nil"/>
          <w:between w:val="nil"/>
        </w:pBdr>
        <w:spacing w:before="200" w:after="200"/>
        <w:rPr>
          <w:color w:val="000000"/>
        </w:rPr>
      </w:pPr>
      <w:r>
        <w:rPr>
          <w:color w:val="000000"/>
        </w:rPr>
        <w:t xml:space="preserve">This was accomplished. Recyclability, environmental responsibility, environmental information, eco- labelling, functionality and convenience are the dimensions that were found to be relevant. However, apparent information and recyclability of the products in the environment seemed to be considered stronger than the recyclability. This confirms that sustainable packaging is a physical aspect and a communication tool. </w:t>
      </w:r>
    </w:p>
    <w:p w14:paraId="2106DD64" w14:textId="77777777" w:rsidR="00300044" w:rsidRDefault="002602FB">
      <w:pPr>
        <w:pBdr>
          <w:top w:val="nil"/>
          <w:left w:val="nil"/>
          <w:bottom w:val="nil"/>
          <w:right w:val="nil"/>
          <w:between w:val="nil"/>
        </w:pBdr>
        <w:spacing w:before="200" w:after="200"/>
        <w:rPr>
          <w:b/>
          <w:bCs/>
          <w:color w:val="000000"/>
        </w:rPr>
      </w:pPr>
      <w:r>
        <w:rPr>
          <w:b/>
          <w:bCs/>
          <w:color w:val="000000"/>
        </w:rPr>
        <w:t>6.2.2 To examine the relationship between consumers' perceptions of sustainable packaging and brand loyalty in the UK food and beverage industry.</w:t>
      </w:r>
    </w:p>
    <w:p w14:paraId="1F68113C" w14:textId="77777777" w:rsidR="00300044" w:rsidRDefault="002602FB">
      <w:pPr>
        <w:pBdr>
          <w:top w:val="nil"/>
          <w:left w:val="nil"/>
          <w:bottom w:val="nil"/>
          <w:right w:val="nil"/>
          <w:between w:val="nil"/>
        </w:pBdr>
        <w:spacing w:before="200" w:after="200"/>
        <w:rPr>
          <w:color w:val="000000"/>
        </w:rPr>
      </w:pPr>
      <w:r>
        <w:rPr>
          <w:color w:val="000000"/>
        </w:rPr>
        <w:t xml:space="preserve">In part this objective was achieved through the assistance of the descriptive results. The result shows that the possible positive relationship exists, </w:t>
      </w:r>
      <w:proofErr w:type="gramStart"/>
      <w:r>
        <w:rPr>
          <w:color w:val="000000"/>
        </w:rPr>
        <w:t>in particular the</w:t>
      </w:r>
      <w:proofErr w:type="gramEnd"/>
      <w:r>
        <w:rPr>
          <w:color w:val="000000"/>
        </w:rPr>
        <w:t xml:space="preserve"> recommendation and trust, but the non-significant stronger result with reference to the purchasing repeat, commitment and brand preference signify the automatic relationship. Further correlation and regression analysis would be required that would </w:t>
      </w:r>
      <w:r>
        <w:rPr>
          <w:color w:val="000000"/>
        </w:rPr>
        <w:lastRenderedPageBreak/>
        <w:t xml:space="preserve">generate a statistical significance. The methodology through which these were identified to be the correct ways of testing this relationship was through Pearson correlation and multiple regression. </w:t>
      </w:r>
    </w:p>
    <w:p w14:paraId="7669DE58" w14:textId="77777777" w:rsidR="00300044" w:rsidRDefault="002602FB">
      <w:pPr>
        <w:pBdr>
          <w:top w:val="nil"/>
          <w:left w:val="nil"/>
          <w:bottom w:val="nil"/>
          <w:right w:val="nil"/>
          <w:between w:val="nil"/>
        </w:pBdr>
        <w:spacing w:before="200" w:after="200"/>
        <w:rPr>
          <w:b/>
          <w:bCs/>
          <w:color w:val="000000"/>
        </w:rPr>
      </w:pPr>
      <w:proofErr w:type="gramStart"/>
      <w:r>
        <w:rPr>
          <w:b/>
          <w:bCs/>
          <w:color w:val="000000"/>
        </w:rPr>
        <w:t>6.2.3  To</w:t>
      </w:r>
      <w:proofErr w:type="gramEnd"/>
      <w:r>
        <w:rPr>
          <w:b/>
          <w:bCs/>
          <w:color w:val="000000"/>
        </w:rPr>
        <w:t xml:space="preserve"> provide recommendations for food and beverage companies to strengthen brand loyalty through sustainable packaging strategies.</w:t>
      </w:r>
    </w:p>
    <w:p w14:paraId="5683D4F9" w14:textId="77777777" w:rsidR="00300044" w:rsidRDefault="002602FB">
      <w:pPr>
        <w:pBdr>
          <w:top w:val="nil"/>
          <w:left w:val="nil"/>
          <w:bottom w:val="nil"/>
          <w:right w:val="nil"/>
          <w:between w:val="nil"/>
        </w:pBdr>
        <w:spacing w:before="200" w:after="200"/>
        <w:rPr>
          <w:color w:val="000000"/>
        </w:rPr>
      </w:pPr>
      <w:r>
        <w:rPr>
          <w:color w:val="000000"/>
        </w:rPr>
        <w:t xml:space="preserve">The results show that sustainable packaging is not trusted by businesses. Instead, packaging and articulate environmental expression, functionality, convenience, product quality, customer satisfaction and expanded brand value. </w:t>
      </w:r>
    </w:p>
    <w:p w14:paraId="1A8E29CE" w14:textId="77777777" w:rsidR="00300044" w:rsidRDefault="002602FB">
      <w:pPr>
        <w:pStyle w:val="Heading2"/>
      </w:pPr>
      <w:bookmarkStart w:id="58" w:name="_heading=h.9ap4polfbdcv" w:colFirst="0" w:colLast="0"/>
      <w:bookmarkEnd w:id="58"/>
      <w:r>
        <w:t xml:space="preserve">6.3 Recommendations </w:t>
      </w:r>
    </w:p>
    <w:p w14:paraId="5AE6730A" w14:textId="77777777" w:rsidR="00300044" w:rsidRDefault="002602FB">
      <w:pPr>
        <w:pBdr>
          <w:top w:val="nil"/>
          <w:left w:val="nil"/>
          <w:bottom w:val="nil"/>
          <w:right w:val="nil"/>
          <w:between w:val="nil"/>
        </w:pBdr>
        <w:spacing w:before="200" w:after="200"/>
        <w:rPr>
          <w:color w:val="000000"/>
        </w:rPr>
      </w:pPr>
      <w:r>
        <w:rPr>
          <w:color w:val="000000"/>
        </w:rPr>
        <w:t>1. Develop news about the environment and eco-label.</w:t>
      </w:r>
    </w:p>
    <w:p w14:paraId="55D8311B" w14:textId="77777777" w:rsidR="00300044" w:rsidRDefault="002602FB">
      <w:pPr>
        <w:pBdr>
          <w:top w:val="nil"/>
          <w:left w:val="nil"/>
          <w:bottom w:val="nil"/>
          <w:right w:val="nil"/>
          <w:between w:val="nil"/>
        </w:pBdr>
        <w:spacing w:before="200" w:after="200"/>
        <w:rPr>
          <w:color w:val="000000"/>
        </w:rPr>
      </w:pPr>
      <w:r>
        <w:rPr>
          <w:color w:val="000000"/>
        </w:rPr>
        <w:t xml:space="preserve">Clear, simple and credible environmental information on packaging should be used by food and beverage companies. The comparatively good Q7 and Q8 findings indicate the value of environmental communication. Companies should teach about recycling with language that can be easily understood by </w:t>
      </w:r>
      <w:proofErr w:type="gramStart"/>
      <w:r>
        <w:rPr>
          <w:color w:val="000000"/>
        </w:rPr>
        <w:t>consumers</w:t>
      </w:r>
      <w:proofErr w:type="gramEnd"/>
      <w:r>
        <w:rPr>
          <w:color w:val="000000"/>
        </w:rPr>
        <w:t xml:space="preserve"> and which adds advantages to the environment.</w:t>
      </w:r>
    </w:p>
    <w:p w14:paraId="61E0B6EB" w14:textId="77777777" w:rsidR="00300044" w:rsidRDefault="002602FB">
      <w:pPr>
        <w:pBdr>
          <w:top w:val="nil"/>
          <w:left w:val="nil"/>
          <w:bottom w:val="nil"/>
          <w:right w:val="nil"/>
          <w:between w:val="nil"/>
        </w:pBdr>
        <w:spacing w:before="200" w:after="200"/>
        <w:rPr>
          <w:color w:val="000000"/>
        </w:rPr>
      </w:pPr>
      <w:r>
        <w:rPr>
          <w:color w:val="000000"/>
        </w:rPr>
        <w:t xml:space="preserve"> 2. Make environmental assertions plausible.</w:t>
      </w:r>
    </w:p>
    <w:p w14:paraId="04D6349C" w14:textId="77777777" w:rsidR="00300044" w:rsidRDefault="002602FB">
      <w:pPr>
        <w:pBdr>
          <w:top w:val="nil"/>
          <w:left w:val="nil"/>
          <w:bottom w:val="nil"/>
          <w:right w:val="nil"/>
          <w:between w:val="nil"/>
        </w:pBdr>
        <w:spacing w:before="200" w:after="200"/>
        <w:rPr>
          <w:color w:val="000000"/>
        </w:rPr>
      </w:pPr>
      <w:r>
        <w:rPr>
          <w:color w:val="000000"/>
        </w:rPr>
        <w:t>Exaggerated and unclear sustainability claims should be avoided by businesses. Evidence for environmental statements should be provided, since trust is critical in creating positive brand relationships. Understandable and open information can contribute to the reduction of uncertainty for consumers and raise credibility.</w:t>
      </w:r>
    </w:p>
    <w:p w14:paraId="28ACF2FB" w14:textId="77777777" w:rsidR="00300044" w:rsidRDefault="002602FB">
      <w:pPr>
        <w:pBdr>
          <w:top w:val="nil"/>
          <w:left w:val="nil"/>
          <w:bottom w:val="nil"/>
          <w:right w:val="nil"/>
          <w:between w:val="nil"/>
        </w:pBdr>
        <w:spacing w:before="200" w:after="200"/>
        <w:rPr>
          <w:color w:val="000000"/>
        </w:rPr>
      </w:pPr>
      <w:r>
        <w:rPr>
          <w:color w:val="000000"/>
        </w:rPr>
        <w:t xml:space="preserve"> 3. Fuse sustainability and functionality.</w:t>
      </w:r>
    </w:p>
    <w:p w14:paraId="0DF24467" w14:textId="77777777" w:rsidR="00300044" w:rsidRDefault="002602FB">
      <w:pPr>
        <w:pBdr>
          <w:top w:val="nil"/>
          <w:left w:val="nil"/>
          <w:bottom w:val="nil"/>
          <w:right w:val="nil"/>
          <w:between w:val="nil"/>
        </w:pBdr>
        <w:spacing w:before="200" w:after="200"/>
        <w:rPr>
          <w:color w:val="000000"/>
        </w:rPr>
      </w:pPr>
      <w:r>
        <w:rPr>
          <w:color w:val="000000"/>
        </w:rPr>
        <w:t>Sustainable packaging must be easy, convenient and able to keep the products safe. The mean score of Q9 and Q10 shows that consumers will not rate sustainability separately of functionality. A compromise based on environmental good and bad needs and the sacrifice of the quality and convenience in products should hence be favoured in the packaging.</w:t>
      </w:r>
    </w:p>
    <w:p w14:paraId="2236E642" w14:textId="77777777" w:rsidR="00300044" w:rsidRDefault="002602FB">
      <w:pPr>
        <w:pBdr>
          <w:top w:val="nil"/>
          <w:left w:val="nil"/>
          <w:bottom w:val="nil"/>
          <w:right w:val="nil"/>
          <w:between w:val="nil"/>
        </w:pBdr>
        <w:spacing w:before="200" w:after="200"/>
        <w:rPr>
          <w:color w:val="000000"/>
        </w:rPr>
      </w:pPr>
      <w:r>
        <w:rPr>
          <w:color w:val="000000"/>
        </w:rPr>
        <w:t>4. Tie sustainable packaging to broader loyalty initiatives</w:t>
      </w:r>
    </w:p>
    <w:p w14:paraId="2F2C265A" w14:textId="77777777" w:rsidR="00300044" w:rsidRDefault="002602FB">
      <w:pPr>
        <w:pBdr>
          <w:top w:val="nil"/>
          <w:left w:val="nil"/>
          <w:bottom w:val="nil"/>
          <w:right w:val="nil"/>
          <w:between w:val="nil"/>
        </w:pBdr>
        <w:spacing w:before="200" w:after="200"/>
        <w:rPr>
          <w:color w:val="000000"/>
        </w:rPr>
      </w:pPr>
      <w:r>
        <w:rPr>
          <w:color w:val="000000"/>
        </w:rPr>
        <w:lastRenderedPageBreak/>
        <w:t xml:space="preserve">The poor Q12 score indicates that sustainable packaging </w:t>
      </w:r>
      <w:proofErr w:type="gramStart"/>
      <w:r>
        <w:rPr>
          <w:color w:val="000000"/>
        </w:rPr>
        <w:t>in itself might</w:t>
      </w:r>
      <w:proofErr w:type="gramEnd"/>
      <w:r>
        <w:rPr>
          <w:color w:val="000000"/>
        </w:rPr>
        <w:t xml:space="preserve"> not create repurchases. This implies that sustainable packaging should be combined with quality, value, satisfaction and consistency in brand performance by companies. Inês and Moreira (2023) and Koay and Low (2025) support this suggestion by the apparent importance of perceived value and brand equity and satisfaction, which are associated with loyalty. </w:t>
      </w:r>
    </w:p>
    <w:p w14:paraId="4BC82343" w14:textId="77777777" w:rsidR="00300044" w:rsidRDefault="002602FB">
      <w:pPr>
        <w:pBdr>
          <w:top w:val="nil"/>
          <w:left w:val="nil"/>
          <w:bottom w:val="nil"/>
          <w:right w:val="nil"/>
          <w:between w:val="nil"/>
        </w:pBdr>
        <w:spacing w:before="200" w:after="200"/>
        <w:rPr>
          <w:color w:val="000000"/>
        </w:rPr>
      </w:pPr>
      <w:r>
        <w:rPr>
          <w:color w:val="000000"/>
        </w:rPr>
        <w:t xml:space="preserve"> 5. Educate consumers about recycling</w:t>
      </w:r>
    </w:p>
    <w:p w14:paraId="57FD8FA4" w14:textId="77777777" w:rsidR="00300044" w:rsidRDefault="002602FB">
      <w:pPr>
        <w:pBdr>
          <w:top w:val="nil"/>
          <w:left w:val="nil"/>
          <w:bottom w:val="nil"/>
          <w:right w:val="nil"/>
          <w:between w:val="nil"/>
        </w:pBdr>
        <w:spacing w:before="200" w:after="200"/>
        <w:rPr>
          <w:color w:val="000000"/>
        </w:rPr>
      </w:pPr>
      <w:r>
        <w:rPr>
          <w:color w:val="000000"/>
        </w:rPr>
        <w:t>Organisations ought to be able to offer easy recycling and disposal directions. Norton et al. (2022) assert that UK consumers would be interested in sustainable packaging, yet they lack information on how to recycle correctly.  Sustainability communication usefulness and credibility can thus be enhanced by consumer education.</w:t>
      </w:r>
    </w:p>
    <w:p w14:paraId="357C594D" w14:textId="77777777" w:rsidR="00300044" w:rsidRDefault="002602FB">
      <w:pPr>
        <w:pBdr>
          <w:top w:val="nil"/>
          <w:left w:val="nil"/>
          <w:bottom w:val="nil"/>
          <w:right w:val="nil"/>
          <w:between w:val="nil"/>
        </w:pBdr>
        <w:spacing w:before="200" w:after="200"/>
        <w:rPr>
          <w:color w:val="000000"/>
        </w:rPr>
      </w:pPr>
      <w:r>
        <w:rPr>
          <w:color w:val="000000"/>
        </w:rPr>
        <w:t xml:space="preserve"> 6. Cultivate good word-of-mouth/referral.</w:t>
      </w:r>
    </w:p>
    <w:p w14:paraId="7E7AA6D3" w14:textId="77777777" w:rsidR="00300044" w:rsidRDefault="002602FB">
      <w:pPr>
        <w:pBdr>
          <w:top w:val="nil"/>
          <w:left w:val="nil"/>
          <w:bottom w:val="nil"/>
          <w:right w:val="nil"/>
          <w:between w:val="nil"/>
        </w:pBdr>
        <w:spacing w:before="200" w:after="200"/>
        <w:rPr>
          <w:color w:val="000000"/>
        </w:rPr>
      </w:pPr>
      <w:r>
        <w:rPr>
          <w:color w:val="000000"/>
        </w:rPr>
        <w:t xml:space="preserve">Since the reaction to Q14 was </w:t>
      </w:r>
      <w:proofErr w:type="gramStart"/>
      <w:r>
        <w:rPr>
          <w:color w:val="000000"/>
        </w:rPr>
        <w:t>fairly positive</w:t>
      </w:r>
      <w:proofErr w:type="gramEnd"/>
      <w:r>
        <w:rPr>
          <w:color w:val="000000"/>
        </w:rPr>
        <w:t xml:space="preserve">, the companies may count on sustainable packaging to be a tool of problem-solving regarding positive brand communication. Environmental responsibility needs to be conveyed as a true organisational activity, though and not merely as a message to advertisement. </w:t>
      </w:r>
    </w:p>
    <w:p w14:paraId="425EF446" w14:textId="77777777" w:rsidR="00300044" w:rsidRDefault="002602FB">
      <w:pPr>
        <w:pStyle w:val="Heading2"/>
      </w:pPr>
      <w:bookmarkStart w:id="59" w:name="_heading=h.ks181cihdgzg" w:colFirst="0" w:colLast="0"/>
      <w:bookmarkEnd w:id="59"/>
      <w:r>
        <w:t xml:space="preserve">6.4 Future scope </w:t>
      </w:r>
    </w:p>
    <w:p w14:paraId="4FCDF294" w14:textId="77777777" w:rsidR="00300044" w:rsidRDefault="002602FB">
      <w:pPr>
        <w:pBdr>
          <w:top w:val="nil"/>
          <w:left w:val="nil"/>
          <w:bottom w:val="nil"/>
          <w:right w:val="nil"/>
          <w:between w:val="nil"/>
        </w:pBdr>
        <w:spacing w:before="200" w:after="200"/>
        <w:rPr>
          <w:color w:val="000000"/>
        </w:rPr>
      </w:pPr>
      <w:r>
        <w:rPr>
          <w:color w:val="000000"/>
        </w:rPr>
        <w:t>Although this study has a limited sample, based in the UK, which may not adequately represent the country, future studies ought to employ a bigger representative sample. The present study is categorised as 5</w:t>
      </w:r>
      <w:r>
        <w:t>3</w:t>
      </w:r>
      <w:r>
        <w:rPr>
          <w:color w:val="000000"/>
        </w:rPr>
        <w:t xml:space="preserve"> respondents, so a larger sample would provide better evidence-based research.</w:t>
      </w:r>
    </w:p>
    <w:p w14:paraId="2ADFE6BE" w14:textId="77777777" w:rsidR="00300044" w:rsidRDefault="002602FB">
      <w:pPr>
        <w:pBdr>
          <w:top w:val="nil"/>
          <w:left w:val="nil"/>
          <w:bottom w:val="nil"/>
          <w:right w:val="nil"/>
          <w:between w:val="nil"/>
        </w:pBdr>
        <w:spacing w:before="200" w:after="200"/>
        <w:rPr>
          <w:color w:val="000000"/>
        </w:rPr>
      </w:pPr>
      <w:r>
        <w:rPr>
          <w:color w:val="000000"/>
        </w:rPr>
        <w:t xml:space="preserve">Pearson correlation and multiple regression analysis should also be carried out in future studies to establish whether brand loyalty is statistically significant based on the perceptions of sustainable packaging. This would be particularly important during the longitudinal study as the study would be capable of determining whether there is a relationship between the negative perceptions and commitment and commitment to purchase in the long term. Additional studies might explore the role of age, gender and other consumer attributes on perceptions towards sustainable packaging. For </w:t>
      </w:r>
      <w:proofErr w:type="gramStart"/>
      <w:r>
        <w:rPr>
          <w:color w:val="000000"/>
        </w:rPr>
        <w:t>example</w:t>
      </w:r>
      <w:proofErr w:type="gramEnd"/>
      <w:r>
        <w:rPr>
          <w:color w:val="000000"/>
        </w:rPr>
        <w:t xml:space="preserve"> it is stated that, consumer characteristics have the potential to influence the correlation between packaging characteristics and brand equity. </w:t>
      </w:r>
    </w:p>
    <w:p w14:paraId="6AA3CBBB" w14:textId="77777777" w:rsidR="00300044" w:rsidRDefault="002602FB">
      <w:pPr>
        <w:pBdr>
          <w:top w:val="nil"/>
          <w:left w:val="nil"/>
          <w:bottom w:val="nil"/>
          <w:right w:val="nil"/>
          <w:between w:val="nil"/>
        </w:pBdr>
        <w:spacing w:before="200" w:after="200"/>
        <w:rPr>
          <w:color w:val="000000"/>
        </w:rPr>
      </w:pPr>
      <w:r>
        <w:rPr>
          <w:color w:val="000000"/>
        </w:rPr>
        <w:lastRenderedPageBreak/>
        <w:t xml:space="preserve">Lastly, the mediating effects of trust, satisfaction, perceived value and brand equity ought to be explored in future studies. These elements might lie at the core of the development of positive perceptions into loyalty. The paper has revealed that sustainable packaging can potentially favour brand loyalty, but it cannot be regarded as a determinant or a guarantee of loyalty. It is more reasonable to think that sustainable packaging boosts environmental perceptions and trust that may translate to satisfaction and brand value and in the long run, translate to recommendation, commitment and repeat buying. </w:t>
      </w:r>
    </w:p>
    <w:p w14:paraId="28CBB46E" w14:textId="77777777" w:rsidR="00300044" w:rsidRDefault="00300044"/>
    <w:p w14:paraId="29D59E3A" w14:textId="77777777" w:rsidR="00300044" w:rsidRDefault="002602FB">
      <w:r>
        <w:br w:type="page"/>
      </w:r>
    </w:p>
    <w:p w14:paraId="0323EEBE" w14:textId="77777777" w:rsidR="00300044" w:rsidRDefault="002602FB">
      <w:pPr>
        <w:pStyle w:val="Heading1"/>
      </w:pPr>
      <w:bookmarkStart w:id="60" w:name="_heading=h.vx2mwe8rch8m" w:colFirst="0" w:colLast="0"/>
      <w:bookmarkEnd w:id="60"/>
      <w:r>
        <w:lastRenderedPageBreak/>
        <w:t>Reference List</w:t>
      </w:r>
    </w:p>
    <w:p w14:paraId="148A9012" w14:textId="77777777" w:rsidR="00300044" w:rsidRDefault="002602FB">
      <w:r>
        <w:t xml:space="preserve">Amani, D., (2024). Is ethical packaging the right way to go? The impact of green packaging on consumer legitimacy in the cosmetics industry. </w:t>
      </w:r>
      <w:r>
        <w:rPr>
          <w:i/>
          <w:iCs/>
        </w:rPr>
        <w:t>Cogent Social Sciences</w:t>
      </w:r>
      <w:r>
        <w:t>, 10(1).</w:t>
      </w:r>
      <w:hyperlink r:id="rId19">
        <w:r>
          <w:rPr>
            <w:color w:val="0563C1"/>
            <w:u w:val="single"/>
          </w:rPr>
          <w:t>https://www.tandfonline.com/doi/pdf/10.1080/23311886.2024.2319375</w:t>
        </w:r>
      </w:hyperlink>
    </w:p>
    <w:p w14:paraId="22C5B9FE" w14:textId="77777777" w:rsidR="00300044" w:rsidRDefault="002602FB">
      <w:r>
        <w:t xml:space="preserve">Anquez, E., Raab, K., Cechella, F.S. and Wagner, R., (2022). Consumers’ perception of sustainable packaging in the food industry: An online experiment. </w:t>
      </w:r>
      <w:proofErr w:type="spellStart"/>
      <w:r>
        <w:rPr>
          <w:i/>
          <w:iCs/>
        </w:rPr>
        <w:t>RevistaDireitosCulturais</w:t>
      </w:r>
      <w:proofErr w:type="spellEnd"/>
      <w:r>
        <w:t xml:space="preserve">, 17(41), pp.251–265. </w:t>
      </w:r>
      <w:hyperlink r:id="rId20">
        <w:r>
          <w:rPr>
            <w:color w:val="0563C1"/>
            <w:u w:val="single"/>
          </w:rPr>
          <w:t>https://doi.org/10.20912/rdc.v17i41.728</w:t>
        </w:r>
      </w:hyperlink>
    </w:p>
    <w:p w14:paraId="167CF947" w14:textId="77777777" w:rsidR="00300044" w:rsidRDefault="002602FB">
      <w:proofErr w:type="spellStart"/>
      <w:r>
        <w:t>Arbale</w:t>
      </w:r>
      <w:proofErr w:type="spellEnd"/>
      <w:r>
        <w:t xml:space="preserve">, H., and Mutisya, D. N. (2024). Book Review: Research Methods for Business Students" by Mark NK Saunders, Philip Lewis, and Adrian Thornhill (Pearson Education, 2019). </w:t>
      </w:r>
      <w:r>
        <w:rPr>
          <w:i/>
          <w:iCs/>
        </w:rPr>
        <w:t>African Quarterly Social Science Review</w:t>
      </w:r>
      <w:r>
        <w:t xml:space="preserve">, </w:t>
      </w:r>
      <w:r>
        <w:rPr>
          <w:i/>
          <w:iCs/>
        </w:rPr>
        <w:t>1</w:t>
      </w:r>
      <w:r>
        <w:t>(2), 8-21.</w:t>
      </w:r>
      <w:hyperlink r:id="rId21">
        <w:r>
          <w:rPr>
            <w:color w:val="0563C1"/>
            <w:u w:val="single"/>
          </w:rPr>
          <w:t xml:space="preserve"> https://quarterlyreview.net/ojs/index.php/aqssr/article/download/8/8</w:t>
        </w:r>
      </w:hyperlink>
    </w:p>
    <w:p w14:paraId="5373CE84" w14:textId="77777777" w:rsidR="00300044" w:rsidRDefault="002602FB">
      <w:r>
        <w:t>Bai, R. (2024). Sustainable Packaging Design: A Study on Consumer Perception and Brand Image. </w:t>
      </w:r>
      <w:r>
        <w:rPr>
          <w:i/>
          <w:iCs/>
        </w:rPr>
        <w:t>Cultura: International Journal of Philosophy of Culture and Axiology</w:t>
      </w:r>
      <w:r>
        <w:t>, </w:t>
      </w:r>
      <w:r>
        <w:rPr>
          <w:i/>
          <w:iCs/>
        </w:rPr>
        <w:t>21</w:t>
      </w:r>
      <w:r>
        <w:t xml:space="preserve">(4), 1-8. </w:t>
      </w:r>
      <w:hyperlink r:id="rId22">
        <w:r>
          <w:rPr>
            <w:color w:val="0563C1"/>
            <w:u w:val="single"/>
          </w:rPr>
          <w:t>https://culturajournal.com/submissions/index.php/ijpca/article/download/755/666</w:t>
        </w:r>
      </w:hyperlink>
    </w:p>
    <w:p w14:paraId="1CC680DC" w14:textId="77777777" w:rsidR="00300044" w:rsidRDefault="002602FB">
      <w:r>
        <w:t xml:space="preserve">Bai, R. (2024). Sustainable Packaging Design: A Study on Consumer Perception and Brand Image. Cultura: International Journal of Philosophy of Culture and Axiology, 21(4), 1-8. </w:t>
      </w:r>
      <w:hyperlink r:id="rId23">
        <w:r>
          <w:rPr>
            <w:color w:val="0563C1"/>
            <w:u w:val="single"/>
          </w:rPr>
          <w:t>https://culturajournal.com/submissions/index.php/ijpca/article/download/755/666</w:t>
        </w:r>
      </w:hyperlink>
    </w:p>
    <w:p w14:paraId="064A48C6" w14:textId="77777777" w:rsidR="00300044" w:rsidRDefault="002602FB">
      <w:r>
        <w:t xml:space="preserve">Bih, F.B., (2026). </w:t>
      </w:r>
      <w:r>
        <w:rPr>
          <w:i/>
          <w:iCs/>
        </w:rPr>
        <w:t>The effect of sustainable packaging on brand loyalty</w:t>
      </w:r>
      <w:r>
        <w:t xml:space="preserve">. </w:t>
      </w:r>
      <w:r>
        <w:rPr>
          <w:i/>
          <w:iCs/>
        </w:rPr>
        <w:t>Journal of Scientific Research and Reports</w:t>
      </w:r>
      <w:r>
        <w:t xml:space="preserve">, 32(2), pp.383–389. </w:t>
      </w:r>
      <w:hyperlink r:id="rId24">
        <w:r>
          <w:rPr>
            <w:color w:val="0563C1"/>
            <w:u w:val="single"/>
          </w:rPr>
          <w:t>https://doi.org/10.9734/jsrr/2026/v32i23988</w:t>
        </w:r>
      </w:hyperlink>
    </w:p>
    <w:p w14:paraId="6AD68707" w14:textId="77777777" w:rsidR="00300044" w:rsidRDefault="002602FB">
      <w:r>
        <w:t xml:space="preserve">BTL, C. (2022). </w:t>
      </w:r>
      <w:r>
        <w:rPr>
          <w:i/>
          <w:iCs/>
        </w:rPr>
        <w:t>Business research methods</w:t>
      </w:r>
      <w:r>
        <w:t>. Oxford: Oxford University Press.</w:t>
      </w:r>
      <w:hyperlink r:id="rId25">
        <w:r>
          <w:rPr>
            <w:color w:val="0563C1"/>
            <w:u w:val="single"/>
          </w:rPr>
          <w:t xml:space="preserve"> https://www.kluniversity.in/mba/pdf/BBA-BRM-HANDOUT-2017-2018.pdf</w:t>
        </w:r>
      </w:hyperlink>
    </w:p>
    <w:p w14:paraId="4307131A" w14:textId="77777777" w:rsidR="00300044" w:rsidRDefault="002602FB">
      <w:r>
        <w:t xml:space="preserve">Cheong, H. I., Lyons, A., Houghton, R., and Majumdar, A. (2023). Secondary qualitative research methodology using online data within the context of social sciences. International Journal of Qualitative Methods, 22, </w:t>
      </w:r>
      <w:r>
        <w:lastRenderedPageBreak/>
        <w:t>16094069231180160.</w:t>
      </w:r>
      <w:hyperlink r:id="rId26">
        <w:r>
          <w:rPr>
            <w:color w:val="0563C1"/>
            <w:u w:val="single"/>
          </w:rPr>
          <w:t>https://journals.sagepub.com/doi/pdf/10.1177/16094069231180160</w:t>
        </w:r>
      </w:hyperlink>
    </w:p>
    <w:p w14:paraId="01749428" w14:textId="77777777" w:rsidR="00300044" w:rsidRDefault="002602FB">
      <w:proofErr w:type="spellStart"/>
      <w:r>
        <w:t>d'Astous</w:t>
      </w:r>
      <w:proofErr w:type="spellEnd"/>
      <w:r>
        <w:t xml:space="preserve">, A. and Labrecque, J., (2021). The impact of responsible food packaging perceptions on naturalness and healthiness inferences, and consumer buying intentions. </w:t>
      </w:r>
      <w:r>
        <w:rPr>
          <w:i/>
          <w:iCs/>
        </w:rPr>
        <w:t>Foods</w:t>
      </w:r>
      <w:r>
        <w:t xml:space="preserve">, 10(10), p.2366. </w:t>
      </w:r>
      <w:hyperlink r:id="rId27">
        <w:r>
          <w:rPr>
            <w:color w:val="0563C1"/>
            <w:u w:val="single"/>
          </w:rPr>
          <w:t>https://doi.org/10.3390/foods10102366</w:t>
        </w:r>
      </w:hyperlink>
    </w:p>
    <w:p w14:paraId="70646F7C" w14:textId="77777777" w:rsidR="00300044" w:rsidRDefault="002602FB">
      <w:r>
        <w:t xml:space="preserve">Ding, Y., Meng, X., and Sun, C. (2024). Simplicity matters: </w:t>
      </w:r>
      <w:proofErr w:type="spellStart"/>
      <w:r>
        <w:t>unraveling</w:t>
      </w:r>
      <w:proofErr w:type="spellEnd"/>
      <w:r>
        <w:t xml:space="preserve"> the impact of minimalist packaging on green Trust in Daily Consumer Goods. </w:t>
      </w:r>
      <w:r>
        <w:rPr>
          <w:i/>
          <w:iCs/>
        </w:rPr>
        <w:t>Sustainability</w:t>
      </w:r>
      <w:r>
        <w:t>, </w:t>
      </w:r>
      <w:r>
        <w:rPr>
          <w:i/>
          <w:iCs/>
        </w:rPr>
        <w:t>16</w:t>
      </w:r>
      <w:r>
        <w:t xml:space="preserve">(12), 4932. </w:t>
      </w:r>
      <w:hyperlink r:id="rId28">
        <w:r>
          <w:rPr>
            <w:color w:val="0563C1"/>
            <w:u w:val="single"/>
          </w:rPr>
          <w:t>https://www.mdpi.com/2071-1050/16/12/4932</w:t>
        </w:r>
      </w:hyperlink>
    </w:p>
    <w:p w14:paraId="5815E7A6" w14:textId="77777777" w:rsidR="00300044" w:rsidRDefault="002602FB">
      <w:r>
        <w:t xml:space="preserve">Ding, Y., Meng, X., and Sun, C. (2024). Simplicity matters: </w:t>
      </w:r>
      <w:proofErr w:type="spellStart"/>
      <w:r>
        <w:t>unraveling</w:t>
      </w:r>
      <w:proofErr w:type="spellEnd"/>
      <w:r>
        <w:t xml:space="preserve"> the impact of minimalist packaging on green Trust in Daily Consumer Goods. Sustainability, 16(12), 4932. </w:t>
      </w:r>
      <w:hyperlink r:id="rId29">
        <w:r>
          <w:rPr>
            <w:color w:val="0563C1"/>
            <w:u w:val="single"/>
          </w:rPr>
          <w:t>https://www.mdpi.com/2071-1050/16/12/4932</w:t>
        </w:r>
      </w:hyperlink>
    </w:p>
    <w:p w14:paraId="5B64BD92" w14:textId="77777777" w:rsidR="00300044" w:rsidRDefault="002602FB">
      <w:r>
        <w:t xml:space="preserve">Dixit, P. and Singh, P.B. (2024). The role of sustainable packaging in shaping consumer loyalty and repurchase </w:t>
      </w:r>
      <w:proofErr w:type="spellStart"/>
      <w:r>
        <w:t>behavior</w:t>
      </w:r>
      <w:proofErr w:type="spellEnd"/>
      <w:r>
        <w:t xml:space="preserve">, </w:t>
      </w:r>
      <w:r>
        <w:rPr>
          <w:i/>
          <w:iCs/>
        </w:rPr>
        <w:t>Commerce Today</w:t>
      </w:r>
      <w:r>
        <w:t xml:space="preserve">, 19(1), pp. 129–137. Available at: </w:t>
      </w:r>
      <w:hyperlink r:id="rId30">
        <w:r>
          <w:rPr>
            <w:color w:val="0563C1"/>
            <w:u w:val="single"/>
          </w:rPr>
          <w:t>https://www.researchgate.net/publication/392670427_The_Role_of_Sustainable_Packaging_in_Shaping_Consumer_Loyalty_and_Repurchase_Behavior</w:t>
        </w:r>
      </w:hyperlink>
      <w:r>
        <w:t>.</w:t>
      </w:r>
    </w:p>
    <w:p w14:paraId="42C963F4" w14:textId="77777777" w:rsidR="00300044" w:rsidRDefault="002602FB">
      <w:r>
        <w:t>Duarte, P., Silva, S. C., Roza, A. S., and Dias, J. C. (2024). Enhancing consumer purchase intentions for sustainable packaging products: An in-depth analysis of key determinants and strategic insights. </w:t>
      </w:r>
      <w:r>
        <w:rPr>
          <w:i/>
          <w:iCs/>
        </w:rPr>
        <w:t>Sustainable Futures</w:t>
      </w:r>
      <w:r>
        <w:t>, </w:t>
      </w:r>
      <w:r>
        <w:rPr>
          <w:i/>
          <w:iCs/>
        </w:rPr>
        <w:t>7</w:t>
      </w:r>
      <w:r>
        <w:t xml:space="preserve">, 100193. </w:t>
      </w:r>
      <w:hyperlink r:id="rId31">
        <w:r>
          <w:rPr>
            <w:color w:val="0563C1"/>
            <w:u w:val="single"/>
          </w:rPr>
          <w:t>https://www.sciencedirect.com/science/article/pii/S2666188824000431</w:t>
        </w:r>
      </w:hyperlink>
    </w:p>
    <w:p w14:paraId="430C6048" w14:textId="77777777" w:rsidR="00300044" w:rsidRDefault="002602FB">
      <w:r>
        <w:t xml:space="preserve">Duarte, P., Silva, S. C., Roza, A. S., and Dias, J. C. (2024). Enhancing consumer purchase intentions for sustainable packaging products: An in-depth analysis of key determinants and strategic insights. Sustainable Futures, 7, 100193. </w:t>
      </w:r>
      <w:hyperlink r:id="rId32">
        <w:r>
          <w:rPr>
            <w:color w:val="0563C1"/>
            <w:u w:val="single"/>
          </w:rPr>
          <w:t>https://www.sciencedirect.com/science/article/pii/S2666188824000431</w:t>
        </w:r>
      </w:hyperlink>
    </w:p>
    <w:p w14:paraId="4CD67F6D" w14:textId="77777777" w:rsidR="00300044" w:rsidRDefault="002602FB">
      <w:r>
        <w:t>Dubey, U. K. B., and Kothari, D. P. (2022). Research methodology: Techniques and trends. Chapman and Hall/CRC.</w:t>
      </w:r>
      <w:hyperlink r:id="rId33">
        <w:r>
          <w:rPr>
            <w:color w:val="0563C1"/>
            <w:u w:val="single"/>
          </w:rPr>
          <w:t>https://amberton.edu/wp-content/uploads/2025/07/RGS6035_E2_Fall2025.pdf</w:t>
        </w:r>
      </w:hyperlink>
    </w:p>
    <w:p w14:paraId="5BE34732" w14:textId="77777777" w:rsidR="00300044" w:rsidRDefault="002602FB">
      <w:r>
        <w:lastRenderedPageBreak/>
        <w:t xml:space="preserve">Emila, A.D. and Olulu-Briggs, O.V., (2026). Digital Marketing Strategies and Brand Loyalty among Quoted Food and Beverage Firms in Nigeria. </w:t>
      </w:r>
      <w:hyperlink r:id="rId34">
        <w:r>
          <w:rPr>
            <w:color w:val="0563C1"/>
            <w:u w:val="single"/>
          </w:rPr>
          <w:t>https://www.gajrc.com/media/articles/GAJEB_84_659-669.pdf</w:t>
        </w:r>
      </w:hyperlink>
      <w:r>
        <w:t> </w:t>
      </w:r>
    </w:p>
    <w:p w14:paraId="392F37C2" w14:textId="77777777" w:rsidR="00300044" w:rsidRDefault="002602FB">
      <w:r>
        <w:t xml:space="preserve">Faris, H. H. B. M., </w:t>
      </w:r>
      <w:proofErr w:type="spellStart"/>
      <w:r>
        <w:t>Puad</w:t>
      </w:r>
      <w:proofErr w:type="spellEnd"/>
      <w:r>
        <w:t>, N. I. S. B. M., Nitin, V. V., Mayur, K., Lim, H. L., Ng, W. C., ... and Kee11, D. M. H. (2024). The effect of eco-friendly packaging on consumer purchase intention: A study of beverage sustainable packaging practices. </w:t>
      </w:r>
      <w:r>
        <w:rPr>
          <w:i/>
          <w:iCs/>
        </w:rPr>
        <w:t>J. Community Dev. Asia Vol</w:t>
      </w:r>
      <w:r>
        <w:t>, </w:t>
      </w:r>
      <w:r>
        <w:rPr>
          <w:i/>
          <w:iCs/>
        </w:rPr>
        <w:t>7</w:t>
      </w:r>
      <w:r>
        <w:t xml:space="preserve">(1), 91-104. </w:t>
      </w:r>
      <w:hyperlink r:id="rId35">
        <w:r>
          <w:rPr>
            <w:color w:val="0563C1"/>
            <w:u w:val="single"/>
          </w:rPr>
          <w:t>https://pdfs.semanticscholar.org/83a2/73615c35fa53bca78e9998375ec28bedfa44.pdf</w:t>
        </w:r>
      </w:hyperlink>
    </w:p>
    <w:p w14:paraId="637AEB36" w14:textId="77777777" w:rsidR="00300044" w:rsidRDefault="002602FB">
      <w:r>
        <w:t xml:space="preserve">Faris, H. H. B. M., </w:t>
      </w:r>
      <w:proofErr w:type="spellStart"/>
      <w:r>
        <w:t>Puad</w:t>
      </w:r>
      <w:proofErr w:type="spellEnd"/>
      <w:r>
        <w:t xml:space="preserve">, N. I. S. B. M., Nitin, V. V., Mayur, K., Lim, H. L., Ng, W. C., ... and Kee11, D. M. H. (2024). The effect of eco-friendly packaging on consumer purchase intention: A study of beverage sustainable packaging practices. J. Community Dev. Asia Vol, 7(1), 91-104. </w:t>
      </w:r>
      <w:hyperlink r:id="rId36">
        <w:r>
          <w:rPr>
            <w:color w:val="0563C1"/>
            <w:u w:val="single"/>
          </w:rPr>
          <w:t>https://pdfs.semanticscholar.org/83a2/73615c35fa53bca78e9998375ec28bedfa44.pdf</w:t>
        </w:r>
      </w:hyperlink>
    </w:p>
    <w:p w14:paraId="7D9E595F" w14:textId="77777777" w:rsidR="00300044" w:rsidRDefault="002602FB">
      <w:r>
        <w:t xml:space="preserve">Farzana, S. and </w:t>
      </w:r>
      <w:proofErr w:type="spellStart"/>
      <w:r>
        <w:t>Pheettschomphuu</w:t>
      </w:r>
      <w:proofErr w:type="spellEnd"/>
      <w:r>
        <w:t xml:space="preserve">, V., (2023). The impact of sustainable packaging in the food and beverage industry on consumer purchasing behaviour: A study at Siam University. In: </w:t>
      </w:r>
      <w:r>
        <w:rPr>
          <w:i/>
          <w:iCs/>
        </w:rPr>
        <w:t>Proceedings of the International Conference on Economics, Business and Interdisciplinary Studies (ICEBIS 2023)</w:t>
      </w:r>
      <w:r>
        <w:t xml:space="preserve">, Bangkok, Thailand. </w:t>
      </w:r>
      <w:hyperlink r:id="rId37">
        <w:r>
          <w:rPr>
            <w:color w:val="0563C1"/>
            <w:u w:val="single"/>
          </w:rPr>
          <w:t>https://doi.org/10.14458/SIAM.res.2023.30</w:t>
        </w:r>
      </w:hyperlink>
    </w:p>
    <w:p w14:paraId="3ED77AC9" w14:textId="77777777" w:rsidR="00300044" w:rsidRDefault="002602FB">
      <w:r>
        <w:t xml:space="preserve">Inês, A. and Moreira, A.C., (2023). The influence of perceived value and brand equity on loyalty intentions: The case of plant-based beverages’ consumers. </w:t>
      </w:r>
      <w:r>
        <w:rPr>
          <w:i/>
          <w:iCs/>
        </w:rPr>
        <w:t>Polish Journal of Management Studies</w:t>
      </w:r>
      <w:r>
        <w:t xml:space="preserve">, </w:t>
      </w:r>
      <w:r>
        <w:rPr>
          <w:i/>
          <w:iCs/>
        </w:rPr>
        <w:t>27</w:t>
      </w:r>
      <w:r>
        <w:t xml:space="preserve">(1), pp.97-116. </w:t>
      </w:r>
      <w:hyperlink r:id="rId38">
        <w:r>
          <w:rPr>
            <w:color w:val="0563C1"/>
            <w:u w:val="single"/>
          </w:rPr>
          <w:t>https://bibliotekanauki.pl/articles/27315180.pdf</w:t>
        </w:r>
      </w:hyperlink>
      <w:r>
        <w:t> </w:t>
      </w:r>
    </w:p>
    <w:p w14:paraId="6B8E52CC" w14:textId="77777777" w:rsidR="00300044" w:rsidRDefault="002602FB">
      <w:r>
        <w:t xml:space="preserve">Islam, M. A., and </w:t>
      </w:r>
      <w:proofErr w:type="spellStart"/>
      <w:r>
        <w:t>Aldaihani</w:t>
      </w:r>
      <w:proofErr w:type="spellEnd"/>
      <w:r>
        <w:t>, F. M. F. (2022). Justification for adopting qualitative research method, research approaches, sampling strategy, sample size, interview method, saturation, and data analysis. Journal of International Business and Management, 5(1), 01-11.</w:t>
      </w:r>
      <w:hyperlink r:id="rId39">
        <w:r>
          <w:rPr>
            <w:color w:val="0563C1"/>
            <w:u w:val="single"/>
          </w:rPr>
          <w:t xml:space="preserve"> https://www.researchgate.net/profile/Md-Islam-394/publication/357352896_Justification_for_Adopting_Qualitative_Research_Method_Research_Approaches_Sampling_Strategy_Sample_Size_Interview_Method_Saturation_and_Data_Analysis/links/61c9ed5ab8305f7c4b05d50c/Justification-for-</w:t>
        </w:r>
        <w:r>
          <w:rPr>
            <w:color w:val="0563C1"/>
            <w:u w:val="single"/>
          </w:rPr>
          <w:lastRenderedPageBreak/>
          <w:t>Adopting-Qualitative-Research-Method-Research-Approaches-Sampling-Strategy-Sample-Size-Interview-Method-Saturation-and-Data-Analysis.pdf</w:t>
        </w:r>
      </w:hyperlink>
    </w:p>
    <w:p w14:paraId="4E0B5DE2" w14:textId="77777777" w:rsidR="00300044" w:rsidRDefault="002602FB">
      <w:r>
        <w:t xml:space="preserve">Islam, M. R., Khan, N. A., and </w:t>
      </w:r>
      <w:proofErr w:type="spellStart"/>
      <w:r>
        <w:t>Baikady</w:t>
      </w:r>
      <w:proofErr w:type="spellEnd"/>
      <w:r>
        <w:t>, R. (Eds.). (2022). Principles of social research methodology. Springer Nature.</w:t>
      </w:r>
      <w:hyperlink r:id="rId40">
        <w:r>
          <w:rPr>
            <w:color w:val="0563C1"/>
            <w:u w:val="single"/>
          </w:rPr>
          <w:t>https://www.researchgate.net/profile/M-Islam-22/publication/364810712_Principles_of_Social_Research_Methodology/links/635aba2496e83c26eb5d3b8c/Principles-of-Social-Research-Methodology.pdf</w:t>
        </w:r>
      </w:hyperlink>
    </w:p>
    <w:p w14:paraId="251D9805" w14:textId="77777777" w:rsidR="00300044" w:rsidRDefault="002602FB">
      <w:proofErr w:type="spellStart"/>
      <w:r>
        <w:t>Jalilvand</w:t>
      </w:r>
      <w:proofErr w:type="spellEnd"/>
      <w:r>
        <w:t xml:space="preserve">, M.R., (2026). Effects of users' social identity on intention to purchase a brand: The mediating roles of social media use, </w:t>
      </w:r>
      <w:proofErr w:type="spellStart"/>
      <w:r>
        <w:t>eWOM</w:t>
      </w:r>
      <w:proofErr w:type="spellEnd"/>
      <w:r>
        <w:t xml:space="preserve"> and brand loyalty. </w:t>
      </w:r>
      <w:r>
        <w:rPr>
          <w:i/>
          <w:iCs/>
        </w:rPr>
        <w:t>Journal of Cyberspace Studies</w:t>
      </w:r>
      <w:r>
        <w:t>, </w:t>
      </w:r>
      <w:r>
        <w:rPr>
          <w:i/>
          <w:iCs/>
        </w:rPr>
        <w:t>10</w:t>
      </w:r>
      <w:r>
        <w:t xml:space="preserve">(1), pp.211-238. </w:t>
      </w:r>
      <w:hyperlink r:id="rId41">
        <w:r>
          <w:rPr>
            <w:color w:val="0563C1"/>
            <w:u w:val="single"/>
          </w:rPr>
          <w:t>https://jcss.ut.ac.ir/article_105067_a210167e6f6946490d50ce8e958d9fcc.pdf</w:t>
        </w:r>
      </w:hyperlink>
    </w:p>
    <w:p w14:paraId="7B5DC763" w14:textId="77777777" w:rsidR="00300044" w:rsidRDefault="002602FB">
      <w:r>
        <w:t>Kang, E., and Hwang, H. J. (2021). Ethical conduct in qualitative research methodology: Participant observation and interview process. Journal of Research and Publication Ethics, 2(2), 5-10.</w:t>
      </w:r>
      <w:hyperlink r:id="rId42">
        <w:r>
          <w:rPr>
            <w:color w:val="0563C1"/>
            <w:u w:val="single"/>
          </w:rPr>
          <w:t xml:space="preserve"> https://koreascience.kr/article/JAKO202130550806959.pdf</w:t>
        </w:r>
      </w:hyperlink>
    </w:p>
    <w:p w14:paraId="57B71D6B" w14:textId="77777777" w:rsidR="00300044" w:rsidRDefault="002602FB">
      <w:r>
        <w:t xml:space="preserve">Koay, K.Y. and Low, S.K., (2025). Understanding the influence of chain coffee shops’ innovativeness on brand loyalty through brand satisfaction: a multi-analytical approach. </w:t>
      </w:r>
      <w:r>
        <w:rPr>
          <w:i/>
          <w:iCs/>
        </w:rPr>
        <w:t>British Food Journal</w:t>
      </w:r>
      <w:r>
        <w:t xml:space="preserve">, </w:t>
      </w:r>
      <w:r>
        <w:rPr>
          <w:i/>
          <w:iCs/>
        </w:rPr>
        <w:t>127</w:t>
      </w:r>
      <w:r>
        <w:t xml:space="preserve">(8), pp.2868-2885. </w:t>
      </w:r>
      <w:hyperlink r:id="rId43">
        <w:r>
          <w:rPr>
            <w:color w:val="0563C1"/>
            <w:u w:val="single"/>
          </w:rPr>
          <w:t>https://www.researchgate.net/profile/Koay-Kian-Yeik/publication/391983090_Understanding_the_influence_of_chain_coffee_shops'_innovativeness_on_brand_loyalty_through_brand_satisfaction_a_multi-analytical_approach/links/6832e787be1b507dce90b910/Understanding-the-influence-of-chain-coffee-shops-innovativeness-on-brand-loyalty-through-brand-satisfaction-a-multi-analytical-approach.pdf</w:t>
        </w:r>
      </w:hyperlink>
      <w:r>
        <w:t> </w:t>
      </w:r>
    </w:p>
    <w:p w14:paraId="26F086D6" w14:textId="77777777" w:rsidR="00300044" w:rsidRDefault="002602FB">
      <w:r>
        <w:t>Kozik-</w:t>
      </w:r>
      <w:proofErr w:type="spellStart"/>
      <w:r>
        <w:t>Kołodziej</w:t>
      </w:r>
      <w:proofErr w:type="spellEnd"/>
      <w:r>
        <w:t xml:space="preserve">, N. (2026). Consumer attitudes and perceptions toward sustainable packaging: A systematic literature review, </w:t>
      </w:r>
      <w:r>
        <w:rPr>
          <w:i/>
          <w:iCs/>
        </w:rPr>
        <w:t>Sustainability</w:t>
      </w:r>
      <w:r>
        <w:t xml:space="preserve">, 18(3), p. 1235. Available at: </w:t>
      </w:r>
      <w:hyperlink r:id="rId44">
        <w:r>
          <w:rPr>
            <w:color w:val="0563C1"/>
            <w:u w:val="single"/>
          </w:rPr>
          <w:t>https://doi.org/10.3390/su18031235</w:t>
        </w:r>
      </w:hyperlink>
      <w:r>
        <w:t>.</w:t>
      </w:r>
    </w:p>
    <w:p w14:paraId="747187F8" w14:textId="77777777" w:rsidR="00300044" w:rsidRDefault="002602FB">
      <w:r>
        <w:t xml:space="preserve">Kumar, S. and Khanna, S., (2025). Consumer Perception and the Effect of Shifting to Sustainable Packaging in the Beverage Industry. In </w:t>
      </w:r>
      <w:r>
        <w:rPr>
          <w:i/>
          <w:iCs/>
        </w:rPr>
        <w:t>Agile Sustainable Marketing: Navigating Towards a Greener Future</w:t>
      </w:r>
      <w:r>
        <w:t xml:space="preserve"> (pp. 215-228). Bentham Science Publishers.  </w:t>
      </w:r>
      <w:hyperlink r:id="rId45" w:anchor="page=240">
        <w:r>
          <w:rPr>
            <w:color w:val="0563C1"/>
            <w:u w:val="single"/>
          </w:rPr>
          <w:t>https://reference-</w:t>
        </w:r>
        <w:r>
          <w:rPr>
            <w:color w:val="0563C1"/>
            <w:u w:val="single"/>
          </w:rPr>
          <w:lastRenderedPageBreak/>
          <w:t>global.com/download/chapter/9789815324068/10.0000/9789815324068-001.pdf#page=240</w:t>
        </w:r>
      </w:hyperlink>
      <w:r>
        <w:t> </w:t>
      </w:r>
    </w:p>
    <w:p w14:paraId="427A3931" w14:textId="77777777" w:rsidR="00300044" w:rsidRDefault="002602FB">
      <w:proofErr w:type="spellStart"/>
      <w:r>
        <w:t>Laryeafio</w:t>
      </w:r>
      <w:proofErr w:type="spellEnd"/>
      <w:r>
        <w:t>, M.N. and Ogbewe, O.C. (2023). Ethical consideration dilemma: a systematic review of ethics in qualitative data collection through interviews. Journal of Ethics in Entrepreneurship and Technology, 3(2), 94-110.</w:t>
      </w:r>
      <w:hyperlink r:id="rId46">
        <w:r>
          <w:rPr>
            <w:color w:val="0563C1"/>
            <w:u w:val="single"/>
          </w:rPr>
          <w:t xml:space="preserve"> https://www.emerald.com/insight/content/doi/10.1108/jeet-09-2022-0014/full/pdf</w:t>
        </w:r>
      </w:hyperlink>
    </w:p>
    <w:p w14:paraId="65F0EFA1" w14:textId="77777777" w:rsidR="00300044" w:rsidRDefault="002602FB">
      <w:r>
        <w:t xml:space="preserve">Lee, S.S., Kim, Y. and Roh, T., (2023). Pro-environmental behaviour on electric vehicle use intention: Integrating value-belief-norm theory and theory of planned behaviour. </w:t>
      </w:r>
      <w:r>
        <w:rPr>
          <w:i/>
          <w:iCs/>
        </w:rPr>
        <w:t>Journal of Cleaner Production</w:t>
      </w:r>
      <w:r>
        <w:t xml:space="preserve">, </w:t>
      </w:r>
      <w:r>
        <w:rPr>
          <w:i/>
          <w:iCs/>
        </w:rPr>
        <w:t>418</w:t>
      </w:r>
      <w:r>
        <w:t xml:space="preserve">, p.138211. </w:t>
      </w:r>
      <w:hyperlink r:id="rId47">
        <w:r>
          <w:rPr>
            <w:color w:val="0563C1"/>
            <w:u w:val="single"/>
          </w:rPr>
          <w:t>https://www.researchgate.net/profile/Taewoo-Roh/publication/372530915_Pro-environmental_behavior_on_electric_vehicle_use_intention_Integrating_value-belief-norm_theory_and_theory_of_planned_behavior/links/64bcd5cdb9ed6874a53c8d49/Pro-environmental-behavior-on-electric-vehicle-use-intention-Integrating-value-belief-norm-theory-and-theory-of-planned-behavior.pdf</w:t>
        </w:r>
      </w:hyperlink>
      <w:r>
        <w:t> </w:t>
      </w:r>
    </w:p>
    <w:p w14:paraId="6725E3BB" w14:textId="77777777" w:rsidR="00300044" w:rsidRDefault="002602FB">
      <w:r>
        <w:t>Mazhar, S. A., Anjum, R., Anwar, A. I., and Khan, A. A. (2021). Methods of data collection: A fundamental tool of research. Journal of Integrated Community Health, 10(1), 6-10.</w:t>
      </w:r>
      <w:hyperlink r:id="rId48">
        <w:r>
          <w:rPr>
            <w:color w:val="0563C1"/>
            <w:u w:val="single"/>
          </w:rPr>
          <w:t xml:space="preserve"> https://www.researchgate.net/profile/Syeda-Ayeman-Mazhar/publication/356269289_Methods_of_Data_Collection_A_Fundamental_Tool_of_Research/links/61fe7e23870587329e943cd1/Methods-of-Data-Collection-A-Fundamental-Tool-of-Research.pdf</w:t>
        </w:r>
      </w:hyperlink>
    </w:p>
    <w:p w14:paraId="339E5A85" w14:textId="77777777" w:rsidR="00300044" w:rsidRDefault="002602FB">
      <w:r>
        <w:t xml:space="preserve">Mishra, S. B., and Alok, S. (2022). Handbook of research methodology. </w:t>
      </w:r>
      <w:proofErr w:type="spellStart"/>
      <w:r>
        <w:t>Educreation</w:t>
      </w:r>
      <w:proofErr w:type="spellEnd"/>
      <w:r>
        <w:t xml:space="preserve"> Publishing.</w:t>
      </w:r>
      <w:hyperlink r:id="rId49">
        <w:r>
          <w:rPr>
            <w:color w:val="0563C1"/>
            <w:u w:val="single"/>
          </w:rPr>
          <w:t xml:space="preserve"> https://dspace.unitywomenscollege.ac.in/bitstream/123456789/1319/1/BookResearchMethodology.pdf</w:t>
        </w:r>
      </w:hyperlink>
    </w:p>
    <w:p w14:paraId="5D037522" w14:textId="77777777" w:rsidR="00300044" w:rsidRDefault="002602FB">
      <w:r>
        <w:t xml:space="preserve">Murtas, G., </w:t>
      </w:r>
      <w:proofErr w:type="spellStart"/>
      <w:r>
        <w:t>Pedeliento</w:t>
      </w:r>
      <w:proofErr w:type="spellEnd"/>
      <w:r>
        <w:t>, G., and Andreini, D. (2022). To pack sustainably or not to pack sustainably? A review of the relationship between consumer behaviour and sustainable packaging. </w:t>
      </w:r>
      <w:r>
        <w:rPr>
          <w:i/>
          <w:iCs/>
        </w:rPr>
        <w:t>Managing Sustainability: Perspectives From Retailing and Services</w:t>
      </w:r>
      <w:r>
        <w:t xml:space="preserve">, 147-168. </w:t>
      </w:r>
      <w:hyperlink r:id="rId50">
        <w:r>
          <w:rPr>
            <w:color w:val="0563C1"/>
            <w:u w:val="single"/>
          </w:rPr>
          <w:t>https://www.researchgate.net/profile/Giuseppe-Pedeliento/publication/363548277_To_Pack_Sustainably_or_Not_to_Pack_Sustainably_A_Review_of_the_Relationship_between_Consumer_Behaviour_and_Sustainable_Packaging/links/633fc4499cb4fe44f30b7831/To-Pack-Sustainably-or-Not-to-</w:t>
        </w:r>
        <w:r>
          <w:rPr>
            <w:color w:val="0563C1"/>
            <w:u w:val="single"/>
          </w:rPr>
          <w:lastRenderedPageBreak/>
          <w:t>Pack-Sustainably-A-Review-of-the-Relationship-between-Consumer-Behaviour-and-Sustainable-Packaging.pdf</w:t>
        </w:r>
      </w:hyperlink>
    </w:p>
    <w:p w14:paraId="68B18ADE" w14:textId="77777777" w:rsidR="00300044" w:rsidRDefault="002602FB">
      <w:r>
        <w:t xml:space="preserve">Murtas, G., </w:t>
      </w:r>
      <w:proofErr w:type="spellStart"/>
      <w:r>
        <w:t>Pedeliento</w:t>
      </w:r>
      <w:proofErr w:type="spellEnd"/>
      <w:r>
        <w:t xml:space="preserve">, G., and Andreini, D. (2022). To pack sustainably or not to pack sustainably? A review of the relationship between consumer behaviour and sustainable packaging. Managing Sustainability: Perspectives From Retailing and Services, 147-168. </w:t>
      </w:r>
      <w:hyperlink r:id="rId51">
        <w:r>
          <w:rPr>
            <w:color w:val="0563C1"/>
            <w:u w:val="single"/>
          </w:rPr>
          <w:t>https://www.researchgate.net/profile/Giuseppe-Pedeliento/publication/363548277_To_Pack_Sustainably_or_Not_to_Pack_Sustainably_A_Review_of_the_Relationship_between_Consumer_Behaviour_and_Sustainable_Packaging/links/633fc4499cb4fe44f30b7831/To-Pack-Sustainably-or-Not-to-Pack-Sustainably-A-Review-of-the-Relationship-between-Consumer-Behaviour-and-Sustainable-Packaging.pdf</w:t>
        </w:r>
      </w:hyperlink>
    </w:p>
    <w:p w14:paraId="7E29479A" w14:textId="77777777" w:rsidR="00300044" w:rsidRDefault="002602FB">
      <w:r>
        <w:t>Nanthagopan, Y. (2021). Review and comparison of multi-method and mixed-method applications in research studies. Journal of Advanced Research, 2(3), 55-78.</w:t>
      </w:r>
      <w:hyperlink r:id="rId52">
        <w:r>
          <w:rPr>
            <w:color w:val="0563C1"/>
            <w:u w:val="single"/>
          </w:rPr>
          <w:t xml:space="preserve"> https://bibliotekanauki.pl/articles/2083237.pdf</w:t>
        </w:r>
      </w:hyperlink>
    </w:p>
    <w:p w14:paraId="10ACE0CD" w14:textId="77777777" w:rsidR="00300044" w:rsidRDefault="002602FB">
      <w:r>
        <w:t xml:space="preserve">Nguyen, T.D., Shih, M.H., Srivastava, D., </w:t>
      </w:r>
      <w:proofErr w:type="spellStart"/>
      <w:r>
        <w:t>Tirthapura</w:t>
      </w:r>
      <w:proofErr w:type="spellEnd"/>
      <w:r>
        <w:t>, S. and Xu, B., (2021). Stratified random sampling from streaming and stored data. Distributed and Parallel Databases, 39, 665-710.</w:t>
      </w:r>
      <w:hyperlink r:id="rId53">
        <w:r>
          <w:rPr>
            <w:color w:val="0563C1"/>
            <w:u w:val="single"/>
          </w:rPr>
          <w:t xml:space="preserve"> https://par.nsf.gov/servlets/purl/10309139</w:t>
        </w:r>
      </w:hyperlink>
    </w:p>
    <w:p w14:paraId="5338C3B5" w14:textId="77777777" w:rsidR="00300044" w:rsidRDefault="002602FB">
      <w:r>
        <w:t xml:space="preserve">Norton, V., Waters, C., Oloyede, O.O. and </w:t>
      </w:r>
      <w:proofErr w:type="spellStart"/>
      <w:r>
        <w:t>Lignou</w:t>
      </w:r>
      <w:proofErr w:type="spellEnd"/>
      <w:r>
        <w:t xml:space="preserve">, S., (2022). Exploring consumers’ understanding and perception of sustainable food packaging in the UK. </w:t>
      </w:r>
      <w:r>
        <w:rPr>
          <w:i/>
          <w:iCs/>
        </w:rPr>
        <w:t>Foods</w:t>
      </w:r>
      <w:r>
        <w:t xml:space="preserve">, </w:t>
      </w:r>
      <w:r>
        <w:rPr>
          <w:i/>
          <w:iCs/>
        </w:rPr>
        <w:t>11</w:t>
      </w:r>
      <w:r>
        <w:t xml:space="preserve">(21), p.3424. </w:t>
      </w:r>
      <w:hyperlink r:id="rId54">
        <w:r>
          <w:rPr>
            <w:color w:val="0563C1"/>
            <w:u w:val="single"/>
          </w:rPr>
          <w:t>https://www.mdpi.com/2304-8158/11/21/3424</w:t>
        </w:r>
      </w:hyperlink>
      <w:r>
        <w:t> </w:t>
      </w:r>
    </w:p>
    <w:p w14:paraId="43B8C92D" w14:textId="77777777" w:rsidR="00300044" w:rsidRDefault="002602FB">
      <w:proofErr w:type="spellStart"/>
      <w:r>
        <w:t>Nzekwe</w:t>
      </w:r>
      <w:proofErr w:type="spellEnd"/>
      <w:r>
        <w:t xml:space="preserve">-Excel, C. (2022). A qualitative study on the experiences and challenges of MBA students' engagement with a business research methods module. </w:t>
      </w:r>
      <w:r>
        <w:rPr>
          <w:i/>
          <w:iCs/>
        </w:rPr>
        <w:t>Journal of Work-Applied Management</w:t>
      </w:r>
      <w:r>
        <w:t xml:space="preserve">, </w:t>
      </w:r>
      <w:r>
        <w:rPr>
          <w:i/>
          <w:iCs/>
        </w:rPr>
        <w:t>14</w:t>
      </w:r>
      <w:r>
        <w:t>(1), 46-62.</w:t>
      </w:r>
      <w:hyperlink r:id="rId55">
        <w:r>
          <w:rPr>
            <w:color w:val="0563C1"/>
            <w:u w:val="single"/>
          </w:rPr>
          <w:t xml:space="preserve"> https://www.emerald.com/jwam/article-pdf/14/1/46/1708770/jwam-08-2020-0040.pdf</w:t>
        </w:r>
      </w:hyperlink>
    </w:p>
    <w:p w14:paraId="230A95B2" w14:textId="77777777" w:rsidR="00300044" w:rsidRDefault="002602FB">
      <w:r>
        <w:t xml:space="preserve">Ocaña-Fernández, Y., and Fuster-Guillén, D. (2021). The bibliographical review as a research methodology. Revista Tempos e </w:t>
      </w:r>
      <w:proofErr w:type="spellStart"/>
      <w:r>
        <w:t>EspaçosemEducação</w:t>
      </w:r>
      <w:proofErr w:type="spellEnd"/>
      <w:r>
        <w:t>, 14(33), e15614-e15614.</w:t>
      </w:r>
      <w:hyperlink r:id="rId56">
        <w:r>
          <w:rPr>
            <w:color w:val="0563C1"/>
            <w:u w:val="single"/>
          </w:rPr>
          <w:t xml:space="preserve"> https://ufs.emnuvens.com.br/revtee/article/view/15614</w:t>
        </w:r>
      </w:hyperlink>
    </w:p>
    <w:p w14:paraId="681D990A" w14:textId="77777777" w:rsidR="00300044" w:rsidRDefault="002602FB">
      <w:r>
        <w:t xml:space="preserve">Pandey, P. and Pandey, M.M., (2021). Research methodology tools and techniques. Bridge </w:t>
      </w:r>
      <w:r>
        <w:lastRenderedPageBreak/>
        <w:t>Centre.</w:t>
      </w:r>
      <w:hyperlink r:id="rId57">
        <w:r>
          <w:rPr>
            <w:color w:val="0563C1"/>
            <w:u w:val="single"/>
          </w:rPr>
          <w:t>http://dspace.vnbrims.org:13000/jspui/bitstream/123456789/4666/1/RESEARCH%20METHODOLOGY%20TOOLS%20AND%20TECHNIQUES.pdf</w:t>
        </w:r>
      </w:hyperlink>
    </w:p>
    <w:p w14:paraId="52850A7F" w14:textId="77777777" w:rsidR="00300044" w:rsidRDefault="002602FB">
      <w:proofErr w:type="spellStart"/>
      <w:r>
        <w:t>Plotkina</w:t>
      </w:r>
      <w:proofErr w:type="spellEnd"/>
      <w:r>
        <w:t xml:space="preserve">, D., </w:t>
      </w:r>
      <w:proofErr w:type="spellStart"/>
      <w:r>
        <w:t>Rabeson</w:t>
      </w:r>
      <w:proofErr w:type="spellEnd"/>
      <w:r>
        <w:t>, L., and Bambauer-Sachse, S. (2025). The role of green brand image in explaining European consumers’ reactions to different types of sustainable packaging. </w:t>
      </w:r>
      <w:r>
        <w:rPr>
          <w:i/>
          <w:iCs/>
        </w:rPr>
        <w:t>Journal of Retailing and Consumer Services</w:t>
      </w:r>
      <w:r>
        <w:t>, </w:t>
      </w:r>
      <w:r>
        <w:rPr>
          <w:i/>
          <w:iCs/>
        </w:rPr>
        <w:t>84</w:t>
      </w:r>
      <w:r>
        <w:t xml:space="preserve">, 104228. </w:t>
      </w:r>
      <w:hyperlink r:id="rId58">
        <w:r>
          <w:rPr>
            <w:color w:val="0563C1"/>
            <w:u w:val="single"/>
          </w:rPr>
          <w:t>https://www.sciencedirect.com/science/article/pii/S0969698925000074</w:t>
        </w:r>
      </w:hyperlink>
    </w:p>
    <w:p w14:paraId="54F07943" w14:textId="77777777" w:rsidR="00300044" w:rsidRDefault="002602FB">
      <w:proofErr w:type="spellStart"/>
      <w:r>
        <w:t>Plotkina</w:t>
      </w:r>
      <w:proofErr w:type="spellEnd"/>
      <w:r>
        <w:t xml:space="preserve">, D., </w:t>
      </w:r>
      <w:proofErr w:type="spellStart"/>
      <w:r>
        <w:t>Rabeson</w:t>
      </w:r>
      <w:proofErr w:type="spellEnd"/>
      <w:r>
        <w:t xml:space="preserve">, L., and Bambauer-Sachse, S. (2025). The role of green brand image in explaining European consumers’ reactions to different types of sustainable packaging. Journal of Retailing and Consumer Services, 84, 104228. </w:t>
      </w:r>
      <w:hyperlink r:id="rId59">
        <w:r>
          <w:rPr>
            <w:color w:val="0563C1"/>
            <w:u w:val="single"/>
          </w:rPr>
          <w:t>https://www.sciencedirect.com/science/article/pii/S0969698925000074</w:t>
        </w:r>
      </w:hyperlink>
    </w:p>
    <w:p w14:paraId="2868D1FD" w14:textId="77777777" w:rsidR="00300044" w:rsidRDefault="002602FB">
      <w:r>
        <w:t xml:space="preserve">Quoc, T.N., Phuc, N.N. and Duong, N.H., (2025). Examining green packaging, branding, and eco-labelling strategies: The case of young consumers' perceptions and responses in the FandB industry. </w:t>
      </w:r>
      <w:r>
        <w:rPr>
          <w:i/>
          <w:iCs/>
        </w:rPr>
        <w:t>Cleaner and Responsible Consumption</w:t>
      </w:r>
      <w:r>
        <w:t xml:space="preserve">, </w:t>
      </w:r>
      <w:r>
        <w:rPr>
          <w:i/>
          <w:iCs/>
        </w:rPr>
        <w:t>16</w:t>
      </w:r>
      <w:r>
        <w:t xml:space="preserve">, p.100258. </w:t>
      </w:r>
      <w:hyperlink r:id="rId60">
        <w:r>
          <w:rPr>
            <w:color w:val="0563C1"/>
            <w:u w:val="single"/>
          </w:rPr>
          <w:t>https://www.sciencedirect.com/science/article/pii/S2666784325000099</w:t>
        </w:r>
      </w:hyperlink>
      <w:r>
        <w:t> </w:t>
      </w:r>
    </w:p>
    <w:p w14:paraId="584C97CC" w14:textId="77777777" w:rsidR="00300044" w:rsidRDefault="002602FB">
      <w:r>
        <w:t xml:space="preserve">Rizka Ibdayanti, D., </w:t>
      </w:r>
      <w:proofErr w:type="spellStart"/>
      <w:r>
        <w:t>Zukhrina</w:t>
      </w:r>
      <w:proofErr w:type="spellEnd"/>
      <w:r>
        <w:t xml:space="preserve"> Oktaviani, C., and Husin, S. (2024, October). Multiple regression analysis of the influence of communication management on project success. In </w:t>
      </w:r>
      <w:r>
        <w:rPr>
          <w:i/>
          <w:iCs/>
        </w:rPr>
        <w:t>E3S Web of Conferences</w:t>
      </w:r>
      <w:r>
        <w:t xml:space="preserve"> (Vol. 476, p. 01001). EDP Sciences.</w:t>
      </w:r>
      <w:hyperlink r:id="rId61">
        <w:r>
          <w:rPr>
            <w:color w:val="0563C1"/>
            <w:u w:val="single"/>
          </w:rPr>
          <w:t xml:space="preserve"> https://www.e3s-conferences.org/articles/e3sconf/pdf/2024/06/e3sconf_aisce2023_01001.pdf</w:t>
        </w:r>
      </w:hyperlink>
    </w:p>
    <w:p w14:paraId="0D68527E" w14:textId="77777777" w:rsidR="00300044" w:rsidRDefault="002602FB">
      <w:r>
        <w:t xml:space="preserve">Samuel, A. (2026). THE MODERATING ROLE OF CONSUMER CHARACTERISTICS ON THE INFLUENCE OF PACKAGING FEATURES ON BEVERAGE BRAND EQUITY AMONG POSTGRADUATE STUDENTS IN RIVERS STATE. </w:t>
      </w:r>
      <w:r>
        <w:rPr>
          <w:i/>
          <w:iCs/>
        </w:rPr>
        <w:t>BW Academic Journal</w:t>
      </w:r>
      <w:r>
        <w:t xml:space="preserve">. </w:t>
      </w:r>
      <w:hyperlink r:id="rId62">
        <w:r>
          <w:rPr>
            <w:color w:val="0563C1"/>
            <w:u w:val="single"/>
          </w:rPr>
          <w:t>https://mail.bwjournal.org/index.php/bsjournal/article/download/4072/3586</w:t>
        </w:r>
      </w:hyperlink>
      <w:r>
        <w:t> </w:t>
      </w:r>
    </w:p>
    <w:p w14:paraId="76315608" w14:textId="77777777" w:rsidR="00300044" w:rsidRDefault="002602FB">
      <w:pPr>
        <w:spacing w:before="0"/>
        <w:rPr>
          <w:color w:val="000000"/>
        </w:rPr>
      </w:pPr>
      <w:r>
        <w:rPr>
          <w:color w:val="000000"/>
        </w:rPr>
        <w:t xml:space="preserve">Sansom, R. (2021). Theory of Planned </w:t>
      </w:r>
      <w:proofErr w:type="spellStart"/>
      <w:r>
        <w:rPr>
          <w:color w:val="000000"/>
        </w:rPr>
        <w:t>Behavior</w:t>
      </w:r>
      <w:proofErr w:type="spellEnd"/>
      <w:r>
        <w:rPr>
          <w:color w:val="000000"/>
        </w:rPr>
        <w:t xml:space="preserve">. [online] </w:t>
      </w:r>
      <w:hyperlink r:id="rId63">
        <w:r>
          <w:rPr>
            <w:color w:val="0563C1"/>
            <w:u w:val="single"/>
          </w:rPr>
          <w:t>https://ascnhighered.org/ASCN/change_theories/collection/planned_behavior.html</w:t>
        </w:r>
      </w:hyperlink>
    </w:p>
    <w:p w14:paraId="5DBE5BD4" w14:textId="77777777" w:rsidR="00300044" w:rsidRDefault="002602FB">
      <w:r>
        <w:t>Saunders, M.N.K., Lewis, P. and Thornhill, A. (2019) Research Methods for Business Students. 8th Edition, Pearson, New York.</w:t>
      </w:r>
      <w:hyperlink r:id="rId64">
        <w:r>
          <w:rPr>
            <w:color w:val="0563C1"/>
            <w:u w:val="single"/>
          </w:rPr>
          <w:t xml:space="preserve"> https://www.scirp.org/reference/referencespapers?referenceid=2907709</w:t>
        </w:r>
      </w:hyperlink>
    </w:p>
    <w:p w14:paraId="6AD5B5A5" w14:textId="77777777" w:rsidR="00300044" w:rsidRDefault="002602FB">
      <w:r>
        <w:lastRenderedPageBreak/>
        <w:t xml:space="preserve">Siuda, D. and </w:t>
      </w:r>
      <w:proofErr w:type="spellStart"/>
      <w:r>
        <w:t>Grębosz</w:t>
      </w:r>
      <w:proofErr w:type="spellEnd"/>
      <w:r>
        <w:t xml:space="preserve">-Krawczyk, M., (2025). The role of pro-ecological packaging in shaping purchase intentions and brand image in the food sector: An experimental study. </w:t>
      </w:r>
      <w:r>
        <w:rPr>
          <w:i/>
          <w:iCs/>
        </w:rPr>
        <w:t>Sustainability</w:t>
      </w:r>
      <w:r>
        <w:t xml:space="preserve">, 17(4), p.1744. </w:t>
      </w:r>
      <w:hyperlink r:id="rId65">
        <w:r>
          <w:rPr>
            <w:color w:val="0563C1"/>
            <w:u w:val="single"/>
          </w:rPr>
          <w:t>https://doi.org/10.3390/su17041744</w:t>
        </w:r>
      </w:hyperlink>
    </w:p>
    <w:p w14:paraId="23A66EC8" w14:textId="77777777" w:rsidR="00300044" w:rsidRDefault="002602FB">
      <w:r>
        <w:t xml:space="preserve">Sreekumar, D. (2023). What is the research methodology? Definition, types, and examples. </w:t>
      </w:r>
      <w:proofErr w:type="spellStart"/>
      <w:r>
        <w:t>Paperpal</w:t>
      </w:r>
      <w:proofErr w:type="spellEnd"/>
      <w:r>
        <w:t xml:space="preserve"> Blog-Academic Writing Guides.</w:t>
      </w:r>
      <w:hyperlink r:id="rId66">
        <w:r>
          <w:rPr>
            <w:color w:val="0563C1"/>
            <w:u w:val="single"/>
          </w:rPr>
          <w:t>https://paperpal.com/blog/academic-writing-guides/what-is-research-methodology</w:t>
        </w:r>
      </w:hyperlink>
    </w:p>
    <w:p w14:paraId="42F4C19A" w14:textId="77777777" w:rsidR="00300044" w:rsidRDefault="002602FB">
      <w:r>
        <w:t xml:space="preserve">Suryani, T., Fauzi, A.A. and </w:t>
      </w:r>
      <w:proofErr w:type="spellStart"/>
      <w:r>
        <w:t>Nurhadi</w:t>
      </w:r>
      <w:proofErr w:type="spellEnd"/>
      <w:r>
        <w:t>, M., (2022). What should companies do to improve brand awareness through Instagram? The lens of signalling theory. </w:t>
      </w:r>
      <w:r>
        <w:rPr>
          <w:i/>
          <w:iCs/>
        </w:rPr>
        <w:t>Asian Journal of Business and Accounting</w:t>
      </w:r>
      <w:r>
        <w:t xml:space="preserve">, pp.247-279. </w:t>
      </w:r>
      <w:hyperlink r:id="rId67">
        <w:r>
          <w:rPr>
            <w:color w:val="0563C1"/>
            <w:u w:val="single"/>
          </w:rPr>
          <w:t>https://ejournal.um.edu.my/index.php/AJBA/article/download/41022/15327</w:t>
        </w:r>
      </w:hyperlink>
    </w:p>
    <w:p w14:paraId="42B40DB5" w14:textId="77777777" w:rsidR="00300044" w:rsidRDefault="002602FB">
      <w:proofErr w:type="spellStart"/>
      <w:r>
        <w:t>Taherdoost</w:t>
      </w:r>
      <w:proofErr w:type="spellEnd"/>
      <w:r>
        <w:t>, H. (2021). Data collection methods and tools for research: a step-by-step guide to choosing data collection techniques for academic and business research projects. International Journal of Academic Research in Management (IJARM), 10(1), 10-38.</w:t>
      </w:r>
      <w:hyperlink r:id="rId68">
        <w:r>
          <w:rPr>
            <w:color w:val="0563C1"/>
            <w:u w:val="single"/>
          </w:rPr>
          <w:t xml:space="preserve"> https://hal.science/hal-03741847v1/file/Data%20Collection%20Methods%20and%20Tools%20for%20Research%20.pdf</w:t>
        </w:r>
      </w:hyperlink>
    </w:p>
    <w:p w14:paraId="107EADA7" w14:textId="77777777" w:rsidR="00300044" w:rsidRDefault="002602FB">
      <w:proofErr w:type="spellStart"/>
      <w:r>
        <w:t>Taherdoost</w:t>
      </w:r>
      <w:proofErr w:type="spellEnd"/>
      <w:r>
        <w:t>, H. (2022). What are different research approaches? A comprehensive review of qualitative, quantitative, and mixed method research, their applications, types, and limitations. Journal of Management Science and Engineering Research, 5(1), 53-63.</w:t>
      </w:r>
      <w:hyperlink r:id="rId69">
        <w:r>
          <w:rPr>
            <w:color w:val="0563C1"/>
            <w:u w:val="single"/>
          </w:rPr>
          <w:t xml:space="preserve"> https://hal.science/hal-03741840/document</w:t>
        </w:r>
      </w:hyperlink>
    </w:p>
    <w:p w14:paraId="66D88B6D" w14:textId="77777777" w:rsidR="00300044" w:rsidRDefault="002602FB">
      <w:pPr>
        <w:spacing w:before="200" w:after="0"/>
      </w:pPr>
      <w:r>
        <w:t>The Business Research Company (2026). </w:t>
      </w:r>
      <w:r>
        <w:rPr>
          <w:i/>
          <w:iCs/>
        </w:rPr>
        <w:t>Eco-friendly Food Packaging Market Outlook and Forecast Report 2026-2030</w:t>
      </w:r>
      <w:r>
        <w:t xml:space="preserve">. [online] The Business Research Company. Available at: </w:t>
      </w:r>
      <w:hyperlink r:id="rId70">
        <w:r>
          <w:rPr>
            <w:color w:val="0563C1"/>
            <w:u w:val="single"/>
          </w:rPr>
          <w:t>https://www.thebusinessresearchcompany.com/report/eco-friendly-food-packaging-global-market-report</w:t>
        </w:r>
      </w:hyperlink>
    </w:p>
    <w:p w14:paraId="1C69B170" w14:textId="77777777" w:rsidR="00300044" w:rsidRDefault="002602FB">
      <w:r>
        <w:t xml:space="preserve">Vo, M.V., Hoang, B.M., Khang, N.V. and Chang, L.T.D., (2025). Sustainable packaging trends in the beverage industry: A study on production, supply chain, and consumer behaviour. </w:t>
      </w:r>
      <w:r>
        <w:rPr>
          <w:i/>
          <w:iCs/>
        </w:rPr>
        <w:t>International Journal of Sustainable Development and Planning</w:t>
      </w:r>
      <w:r>
        <w:t xml:space="preserve">. </w:t>
      </w:r>
      <w:hyperlink r:id="rId71">
        <w:r>
          <w:rPr>
            <w:color w:val="0563C1"/>
            <w:u w:val="single"/>
          </w:rPr>
          <w:t>https://publikace.k.utb.cz/bitstream/handle/10563/1012737/Fulltext_1012737.pdf?sequence=1</w:t>
        </w:r>
      </w:hyperlink>
      <w:r>
        <w:t> </w:t>
      </w:r>
    </w:p>
    <w:p w14:paraId="1DC8CB30" w14:textId="77777777" w:rsidR="00300044" w:rsidRDefault="002602FB">
      <w:r>
        <w:lastRenderedPageBreak/>
        <w:t>Vuk, A., and Gáthy, G. A. B. (2026). Environmental impacts of food packaging materials–Systematic review of life cycle assessments from 2018 to 2025. </w:t>
      </w:r>
      <w:r>
        <w:rPr>
          <w:i/>
          <w:iCs/>
        </w:rPr>
        <w:t>Cleaner Waste Systems</w:t>
      </w:r>
      <w:r>
        <w:t xml:space="preserve">, 100523. </w:t>
      </w:r>
      <w:hyperlink r:id="rId72">
        <w:r>
          <w:rPr>
            <w:color w:val="0563C1"/>
            <w:u w:val="single"/>
          </w:rPr>
          <w:t>https://www.sciencedirect.com/science/article/pii/S2772912526000564</w:t>
        </w:r>
      </w:hyperlink>
    </w:p>
    <w:p w14:paraId="3B27BE70" w14:textId="77777777" w:rsidR="00300044" w:rsidRDefault="002602FB">
      <w:proofErr w:type="spellStart"/>
      <w:r>
        <w:t>Wandhekar</w:t>
      </w:r>
      <w:proofErr w:type="spellEnd"/>
      <w:r>
        <w:t>, S., Kshirsagar, R. B., Shaikh, A. M., Patil, B. M., Shinde, S. T., Agarkar, B. S., and Kovacs, B. (2026). The futuristic trend of edible and biodegradable food packaging, its impact and need: a review. </w:t>
      </w:r>
      <w:r>
        <w:rPr>
          <w:i/>
          <w:iCs/>
        </w:rPr>
        <w:t>Discover Food</w:t>
      </w:r>
      <w:r>
        <w:t>, </w:t>
      </w:r>
      <w:r>
        <w:rPr>
          <w:i/>
          <w:iCs/>
        </w:rPr>
        <w:t>6</w:t>
      </w:r>
      <w:r>
        <w:t xml:space="preserve">(1), 169. </w:t>
      </w:r>
      <w:hyperlink r:id="rId73">
        <w:r>
          <w:rPr>
            <w:color w:val="0563C1"/>
            <w:u w:val="single"/>
          </w:rPr>
          <w:t>https://link.springer.com/content/pdf/10.1007/s44187-026-00841-z.pdf</w:t>
        </w:r>
      </w:hyperlink>
    </w:p>
    <w:p w14:paraId="7EC1ABE5" w14:textId="77777777" w:rsidR="00300044" w:rsidRDefault="002602FB">
      <w:r>
        <w:t xml:space="preserve">Watson, A., </w:t>
      </w:r>
      <w:proofErr w:type="spellStart"/>
      <w:r>
        <w:t>Perrigot</w:t>
      </w:r>
      <w:proofErr w:type="spellEnd"/>
      <w:r>
        <w:t xml:space="preserve">, R. and Dada, O., (2024). The effects of green brand image on brand loyalty: The case of mainstream </w:t>
      </w:r>
      <w:proofErr w:type="gramStart"/>
      <w:r>
        <w:t>fast food</w:t>
      </w:r>
      <w:proofErr w:type="gramEnd"/>
      <w:r>
        <w:t xml:space="preserve"> brands. </w:t>
      </w:r>
      <w:r>
        <w:rPr>
          <w:i/>
          <w:iCs/>
        </w:rPr>
        <w:t>Journal of Consumer Behaviour</w:t>
      </w:r>
      <w:r>
        <w:t>, 33(2), pp.806–819.</w:t>
      </w:r>
      <w:hyperlink r:id="rId74">
        <w:r>
          <w:rPr>
            <w:color w:val="0563C1"/>
            <w:u w:val="single"/>
          </w:rPr>
          <w:t>https://onlinelibrary.wiley.com/doi/pdfdirect/10.1002/bse.3523</w:t>
        </w:r>
      </w:hyperlink>
    </w:p>
    <w:p w14:paraId="66EC6EE5" w14:textId="77777777" w:rsidR="00300044" w:rsidRDefault="002602FB">
      <w:r>
        <w:t>Willie, M. M. (2024). Population and target population in research methodology. Golden Ratio of Social Science and Education, 4(1), 75-79.</w:t>
      </w:r>
      <w:hyperlink r:id="rId75">
        <w:r>
          <w:rPr>
            <w:color w:val="0563C1"/>
            <w:u w:val="single"/>
          </w:rPr>
          <w:t>https://www.goldenratio.id/index.php/grsse/article/download/405/303</w:t>
        </w:r>
      </w:hyperlink>
    </w:p>
    <w:p w14:paraId="17672707" w14:textId="77777777" w:rsidR="00300044" w:rsidRDefault="002602FB">
      <w:r>
        <w:t xml:space="preserve">Berthold, A., Guion, S. and Siegrist, M. (2024). The influence of material and colour of food packaging on consumers' perception and consumption willingness. Food and Humanity, 2, p.100265. </w:t>
      </w:r>
      <w:hyperlink r:id="rId76">
        <w:r>
          <w:rPr>
            <w:color w:val="1155CC"/>
            <w:u w:val="single"/>
          </w:rPr>
          <w:t>https://www.sciencedirect.com/science/article/pii/S2949824424000405</w:t>
        </w:r>
      </w:hyperlink>
    </w:p>
    <w:p w14:paraId="6B50F73B" w14:textId="77777777" w:rsidR="00300044" w:rsidRDefault="002602FB">
      <w:r>
        <w:t xml:space="preserve">Herbes, C., Mielinger, E., Krauter, V., Arranz, E., Hurtado, R.M.C., Marcos, B., Poças, F., de Maya, S.R. and Weinrich, R. (2024). Company views of consumers regarding sustainable packaging. Sustainable Production and Consumption, 52, pp.136-150. </w:t>
      </w:r>
      <w:hyperlink r:id="rId77">
        <w:r>
          <w:rPr>
            <w:color w:val="1155CC"/>
            <w:u w:val="single"/>
          </w:rPr>
          <w:t>https://www.sciencedirect.com/science/article/pii/S235255092400304X</w:t>
        </w:r>
      </w:hyperlink>
    </w:p>
    <w:p w14:paraId="1C297B69" w14:textId="77777777" w:rsidR="00300044" w:rsidRDefault="002602FB">
      <w:r>
        <w:t xml:space="preserve">Atta-Delgado, M.X., Velazquez, G., Welti-Chanes, J. and Torres, J.A., (2024). Assessing consumer perceptions of sustainable packaging solutions. </w:t>
      </w:r>
      <w:proofErr w:type="spellStart"/>
      <w:r>
        <w:t>CyTA</w:t>
      </w:r>
      <w:proofErr w:type="spellEnd"/>
      <w:r>
        <w:t xml:space="preserve">-Journal of Food, 22(1), p.2425403. </w:t>
      </w:r>
      <w:hyperlink r:id="rId78">
        <w:r>
          <w:rPr>
            <w:color w:val="1155CC"/>
            <w:u w:val="single"/>
          </w:rPr>
          <w:t>https://www.tandfonline.com/doi/pdf/10.1080/19476337.2024.2425403</w:t>
        </w:r>
      </w:hyperlink>
    </w:p>
    <w:p w14:paraId="7E70310D" w14:textId="77777777" w:rsidR="00300044" w:rsidRDefault="002602FB">
      <w:r>
        <w:t xml:space="preserve">López-Miguens, M.J., Álvarez-González, P. and Dopico-Parada, A., (2025). Can active and intelligent packaging support sustainability in the food sector? Insights from </w:t>
      </w:r>
      <w:r>
        <w:lastRenderedPageBreak/>
        <w:t xml:space="preserve">a consumer’s viewpoint. Waste Management, 205, p.115018. </w:t>
      </w:r>
      <w:hyperlink r:id="rId79">
        <w:r>
          <w:rPr>
            <w:color w:val="1155CC"/>
            <w:u w:val="single"/>
          </w:rPr>
          <w:t>https://www.sciencedirect.com/science/article/pii/S0956053X25004295</w:t>
        </w:r>
      </w:hyperlink>
    </w:p>
    <w:p w14:paraId="3116AB9F" w14:textId="77777777" w:rsidR="00300044" w:rsidRDefault="00300044"/>
    <w:p w14:paraId="4DC2BBD1" w14:textId="77777777" w:rsidR="00300044" w:rsidRDefault="00300044"/>
    <w:p w14:paraId="42AC1E96" w14:textId="77777777" w:rsidR="00300044" w:rsidRDefault="00300044">
      <w:pPr>
        <w:spacing w:before="0"/>
        <w:rPr>
          <w:color w:val="000000"/>
        </w:rPr>
      </w:pPr>
    </w:p>
    <w:p w14:paraId="601E3C47" w14:textId="77777777" w:rsidR="00300044" w:rsidRDefault="002602FB">
      <w:pPr>
        <w:spacing w:before="280" w:after="280" w:line="240" w:lineRule="auto"/>
        <w:jc w:val="left"/>
        <w:rPr>
          <w:color w:val="000000"/>
          <w:sz w:val="19"/>
          <w:szCs w:val="19"/>
        </w:rPr>
      </w:pPr>
      <w:r>
        <w:rPr>
          <w:color w:val="000000"/>
          <w:sz w:val="19"/>
          <w:szCs w:val="19"/>
        </w:rPr>
        <w:t>‌</w:t>
      </w:r>
    </w:p>
    <w:p w14:paraId="02FB5D31" w14:textId="77777777" w:rsidR="00300044" w:rsidRDefault="00300044"/>
    <w:p w14:paraId="0032DBC6" w14:textId="77777777" w:rsidR="00300044" w:rsidRDefault="00300044">
      <w:pPr>
        <w:sectPr w:rsidR="00300044">
          <w:footerReference w:type="default" r:id="rId80"/>
          <w:pgSz w:w="11906" w:h="16838"/>
          <w:pgMar w:top="1440" w:right="1440" w:bottom="1440" w:left="1440" w:header="708" w:footer="708" w:gutter="0"/>
          <w:pgNumType w:start="1"/>
          <w:cols w:space="720"/>
        </w:sectPr>
      </w:pPr>
    </w:p>
    <w:p w14:paraId="3A25EC89" w14:textId="77777777" w:rsidR="00300044" w:rsidRDefault="002602FB">
      <w:pPr>
        <w:pStyle w:val="Heading1"/>
      </w:pPr>
      <w:bookmarkStart w:id="61" w:name="_heading=h.7rgnvyqg870f" w:colFirst="0" w:colLast="0"/>
      <w:bookmarkEnd w:id="61"/>
      <w:r>
        <w:lastRenderedPageBreak/>
        <w:t>Appendix</w:t>
      </w:r>
    </w:p>
    <w:p w14:paraId="5BF017AF" w14:textId="77777777" w:rsidR="00300044" w:rsidRDefault="002602FB">
      <w:pPr>
        <w:pStyle w:val="Heading2"/>
      </w:pPr>
      <w:bookmarkStart w:id="62" w:name="_heading=h.e5knttr6uruv" w:colFirst="0" w:colLast="0"/>
      <w:bookmarkEnd w:id="62"/>
      <w:r>
        <w:t>Literature Matrix</w:t>
      </w:r>
    </w:p>
    <w:tbl>
      <w:tblPr>
        <w:tblStyle w:val="a0"/>
        <w:tblW w:w="14174" w:type="dxa"/>
        <w:tblInd w:w="-115" w:type="dxa"/>
        <w:tblLayout w:type="fixed"/>
        <w:tblLook w:val="0400" w:firstRow="0" w:lastRow="0" w:firstColumn="0" w:lastColumn="0" w:noHBand="0" w:noVBand="1"/>
      </w:tblPr>
      <w:tblGrid>
        <w:gridCol w:w="300"/>
        <w:gridCol w:w="658"/>
        <w:gridCol w:w="1496"/>
        <w:gridCol w:w="693"/>
        <w:gridCol w:w="256"/>
        <w:gridCol w:w="553"/>
        <w:gridCol w:w="843"/>
        <w:gridCol w:w="1607"/>
        <w:gridCol w:w="721"/>
        <w:gridCol w:w="755"/>
        <w:gridCol w:w="2661"/>
        <w:gridCol w:w="1869"/>
        <w:gridCol w:w="1762"/>
      </w:tblGrid>
      <w:tr w:rsidR="00300044" w14:paraId="628C2D66" w14:textId="77777777">
        <w:trPr>
          <w:trHeight w:val="300"/>
        </w:trPr>
        <w:tc>
          <w:tcPr>
            <w:tcW w:w="300" w:type="dxa"/>
            <w:tcBorders>
              <w:top w:val="single" w:sz="4" w:space="0" w:color="000000"/>
              <w:left w:val="single" w:sz="4" w:space="0" w:color="000000"/>
              <w:bottom w:val="single" w:sz="4" w:space="0" w:color="000000"/>
              <w:right w:val="single" w:sz="4" w:space="0" w:color="000000"/>
            </w:tcBorders>
            <w:vAlign w:val="center"/>
          </w:tcPr>
          <w:p w14:paraId="24C96EF1" w14:textId="77777777" w:rsidR="00300044" w:rsidRDefault="002602FB">
            <w:pPr>
              <w:spacing w:before="0" w:after="0" w:line="240" w:lineRule="auto"/>
              <w:jc w:val="center"/>
              <w:rPr>
                <w:b/>
                <w:bCs/>
                <w:color w:val="000000"/>
                <w:sz w:val="20"/>
                <w:szCs w:val="20"/>
              </w:rPr>
            </w:pPr>
            <w:r>
              <w:rPr>
                <w:b/>
                <w:bCs/>
                <w:color w:val="000000"/>
                <w:sz w:val="20"/>
                <w:szCs w:val="20"/>
              </w:rPr>
              <w:t>Source ID</w:t>
            </w:r>
          </w:p>
        </w:tc>
        <w:tc>
          <w:tcPr>
            <w:tcW w:w="658" w:type="dxa"/>
            <w:tcBorders>
              <w:top w:val="single" w:sz="4" w:space="0" w:color="000000"/>
              <w:left w:val="nil"/>
              <w:bottom w:val="single" w:sz="4" w:space="0" w:color="000000"/>
              <w:right w:val="single" w:sz="4" w:space="0" w:color="000000"/>
            </w:tcBorders>
            <w:vAlign w:val="center"/>
          </w:tcPr>
          <w:p w14:paraId="5EB1C946" w14:textId="77777777" w:rsidR="00300044" w:rsidRDefault="002602FB">
            <w:pPr>
              <w:spacing w:before="0" w:after="0" w:line="240" w:lineRule="auto"/>
              <w:jc w:val="center"/>
              <w:rPr>
                <w:b/>
                <w:bCs/>
                <w:color w:val="000000"/>
                <w:sz w:val="20"/>
                <w:szCs w:val="20"/>
              </w:rPr>
            </w:pPr>
            <w:r>
              <w:rPr>
                <w:b/>
                <w:bCs/>
                <w:color w:val="000000"/>
                <w:sz w:val="20"/>
                <w:szCs w:val="20"/>
              </w:rPr>
              <w:t>Author(s)</w:t>
            </w:r>
          </w:p>
        </w:tc>
        <w:tc>
          <w:tcPr>
            <w:tcW w:w="1496" w:type="dxa"/>
            <w:tcBorders>
              <w:top w:val="single" w:sz="4" w:space="0" w:color="000000"/>
              <w:left w:val="nil"/>
              <w:bottom w:val="single" w:sz="4" w:space="0" w:color="000000"/>
              <w:right w:val="single" w:sz="4" w:space="0" w:color="000000"/>
            </w:tcBorders>
            <w:vAlign w:val="center"/>
          </w:tcPr>
          <w:p w14:paraId="65836555" w14:textId="77777777" w:rsidR="00300044" w:rsidRDefault="002602FB">
            <w:pPr>
              <w:spacing w:before="0" w:after="0" w:line="240" w:lineRule="auto"/>
              <w:jc w:val="center"/>
              <w:rPr>
                <w:b/>
                <w:bCs/>
                <w:color w:val="000000"/>
                <w:sz w:val="20"/>
                <w:szCs w:val="20"/>
              </w:rPr>
            </w:pPr>
            <w:r>
              <w:rPr>
                <w:b/>
                <w:bCs/>
                <w:color w:val="000000"/>
                <w:sz w:val="20"/>
                <w:szCs w:val="20"/>
              </w:rPr>
              <w:t>Title</w:t>
            </w:r>
          </w:p>
        </w:tc>
        <w:tc>
          <w:tcPr>
            <w:tcW w:w="693" w:type="dxa"/>
            <w:tcBorders>
              <w:top w:val="single" w:sz="4" w:space="0" w:color="000000"/>
              <w:left w:val="nil"/>
              <w:bottom w:val="single" w:sz="4" w:space="0" w:color="000000"/>
              <w:right w:val="single" w:sz="4" w:space="0" w:color="000000"/>
            </w:tcBorders>
            <w:vAlign w:val="center"/>
          </w:tcPr>
          <w:p w14:paraId="7CD36516" w14:textId="77777777" w:rsidR="00300044" w:rsidRDefault="002602FB">
            <w:pPr>
              <w:spacing w:before="0" w:after="0" w:line="240" w:lineRule="auto"/>
              <w:jc w:val="center"/>
              <w:rPr>
                <w:b/>
                <w:bCs/>
                <w:color w:val="000000"/>
                <w:sz w:val="20"/>
                <w:szCs w:val="20"/>
              </w:rPr>
            </w:pPr>
            <w:r>
              <w:rPr>
                <w:b/>
                <w:bCs/>
                <w:color w:val="000000"/>
                <w:sz w:val="20"/>
                <w:szCs w:val="20"/>
              </w:rPr>
              <w:t>Publication Type</w:t>
            </w:r>
          </w:p>
        </w:tc>
        <w:tc>
          <w:tcPr>
            <w:tcW w:w="256" w:type="dxa"/>
            <w:tcBorders>
              <w:top w:val="single" w:sz="4" w:space="0" w:color="000000"/>
              <w:left w:val="nil"/>
              <w:bottom w:val="single" w:sz="4" w:space="0" w:color="000000"/>
              <w:right w:val="single" w:sz="4" w:space="0" w:color="000000"/>
            </w:tcBorders>
            <w:vAlign w:val="center"/>
          </w:tcPr>
          <w:p w14:paraId="54D9FCD2" w14:textId="77777777" w:rsidR="00300044" w:rsidRDefault="002602FB">
            <w:pPr>
              <w:spacing w:before="0" w:after="0" w:line="240" w:lineRule="auto"/>
              <w:jc w:val="center"/>
              <w:rPr>
                <w:b/>
                <w:bCs/>
                <w:color w:val="000000"/>
                <w:sz w:val="20"/>
                <w:szCs w:val="20"/>
              </w:rPr>
            </w:pPr>
            <w:r>
              <w:rPr>
                <w:b/>
                <w:bCs/>
                <w:color w:val="000000"/>
                <w:sz w:val="20"/>
                <w:szCs w:val="20"/>
              </w:rPr>
              <w:t>Date</w:t>
            </w:r>
          </w:p>
        </w:tc>
        <w:tc>
          <w:tcPr>
            <w:tcW w:w="553" w:type="dxa"/>
            <w:tcBorders>
              <w:top w:val="single" w:sz="4" w:space="0" w:color="000000"/>
              <w:left w:val="nil"/>
              <w:bottom w:val="single" w:sz="4" w:space="0" w:color="000000"/>
              <w:right w:val="single" w:sz="4" w:space="0" w:color="000000"/>
            </w:tcBorders>
            <w:vAlign w:val="center"/>
          </w:tcPr>
          <w:p w14:paraId="49C4D9A2" w14:textId="77777777" w:rsidR="00300044" w:rsidRDefault="002602FB">
            <w:pPr>
              <w:spacing w:before="0" w:after="0" w:line="240" w:lineRule="auto"/>
              <w:jc w:val="center"/>
              <w:rPr>
                <w:b/>
                <w:bCs/>
                <w:color w:val="000000"/>
                <w:sz w:val="20"/>
                <w:szCs w:val="20"/>
              </w:rPr>
            </w:pPr>
            <w:r>
              <w:rPr>
                <w:b/>
                <w:bCs/>
                <w:color w:val="000000"/>
                <w:sz w:val="20"/>
                <w:szCs w:val="20"/>
              </w:rPr>
              <w:t>Theme/Section</w:t>
            </w:r>
          </w:p>
        </w:tc>
        <w:tc>
          <w:tcPr>
            <w:tcW w:w="843" w:type="dxa"/>
            <w:tcBorders>
              <w:top w:val="single" w:sz="4" w:space="0" w:color="000000"/>
              <w:left w:val="nil"/>
              <w:bottom w:val="single" w:sz="4" w:space="0" w:color="000000"/>
              <w:right w:val="single" w:sz="4" w:space="0" w:color="000000"/>
            </w:tcBorders>
            <w:vAlign w:val="center"/>
          </w:tcPr>
          <w:p w14:paraId="1FDDF16C" w14:textId="77777777" w:rsidR="00300044" w:rsidRDefault="002602FB">
            <w:pPr>
              <w:spacing w:before="0" w:after="0" w:line="240" w:lineRule="auto"/>
              <w:jc w:val="center"/>
              <w:rPr>
                <w:b/>
                <w:bCs/>
                <w:color w:val="000000"/>
                <w:sz w:val="20"/>
                <w:szCs w:val="20"/>
              </w:rPr>
            </w:pPr>
            <w:r>
              <w:rPr>
                <w:b/>
                <w:bCs/>
                <w:color w:val="000000"/>
                <w:sz w:val="20"/>
                <w:szCs w:val="20"/>
              </w:rPr>
              <w:t>Main topic</w:t>
            </w:r>
          </w:p>
        </w:tc>
        <w:tc>
          <w:tcPr>
            <w:tcW w:w="1607" w:type="dxa"/>
            <w:tcBorders>
              <w:top w:val="single" w:sz="4" w:space="0" w:color="000000"/>
              <w:left w:val="nil"/>
              <w:bottom w:val="single" w:sz="4" w:space="0" w:color="000000"/>
              <w:right w:val="single" w:sz="4" w:space="0" w:color="000000"/>
            </w:tcBorders>
            <w:vAlign w:val="center"/>
          </w:tcPr>
          <w:p w14:paraId="20838059" w14:textId="77777777" w:rsidR="00300044" w:rsidRDefault="002602FB">
            <w:pPr>
              <w:spacing w:before="0" w:after="0" w:line="240" w:lineRule="auto"/>
              <w:jc w:val="center"/>
              <w:rPr>
                <w:b/>
                <w:bCs/>
                <w:color w:val="000000"/>
                <w:sz w:val="20"/>
                <w:szCs w:val="20"/>
              </w:rPr>
            </w:pPr>
            <w:r>
              <w:rPr>
                <w:b/>
                <w:bCs/>
                <w:color w:val="000000"/>
                <w:sz w:val="20"/>
                <w:szCs w:val="20"/>
              </w:rPr>
              <w:t>Aims</w:t>
            </w:r>
          </w:p>
        </w:tc>
        <w:tc>
          <w:tcPr>
            <w:tcW w:w="721" w:type="dxa"/>
            <w:tcBorders>
              <w:top w:val="single" w:sz="4" w:space="0" w:color="000000"/>
              <w:left w:val="nil"/>
              <w:bottom w:val="single" w:sz="4" w:space="0" w:color="000000"/>
              <w:right w:val="single" w:sz="4" w:space="0" w:color="000000"/>
            </w:tcBorders>
            <w:vAlign w:val="center"/>
          </w:tcPr>
          <w:p w14:paraId="6FDF8E13" w14:textId="77777777" w:rsidR="00300044" w:rsidRDefault="002602FB">
            <w:pPr>
              <w:spacing w:before="0" w:after="0" w:line="240" w:lineRule="auto"/>
              <w:jc w:val="center"/>
              <w:rPr>
                <w:b/>
                <w:bCs/>
                <w:color w:val="000000"/>
                <w:sz w:val="20"/>
                <w:szCs w:val="20"/>
              </w:rPr>
            </w:pPr>
            <w:r>
              <w:rPr>
                <w:b/>
                <w:bCs/>
                <w:color w:val="000000"/>
                <w:sz w:val="20"/>
                <w:szCs w:val="20"/>
              </w:rPr>
              <w:t>Methods</w:t>
            </w:r>
          </w:p>
        </w:tc>
        <w:tc>
          <w:tcPr>
            <w:tcW w:w="755" w:type="dxa"/>
            <w:tcBorders>
              <w:top w:val="single" w:sz="4" w:space="0" w:color="000000"/>
              <w:left w:val="nil"/>
              <w:bottom w:val="single" w:sz="4" w:space="0" w:color="000000"/>
              <w:right w:val="single" w:sz="4" w:space="0" w:color="000000"/>
            </w:tcBorders>
            <w:vAlign w:val="center"/>
          </w:tcPr>
          <w:p w14:paraId="6E5A747F" w14:textId="77777777" w:rsidR="00300044" w:rsidRDefault="002602FB">
            <w:pPr>
              <w:spacing w:before="0" w:after="0" w:line="240" w:lineRule="auto"/>
              <w:jc w:val="center"/>
              <w:rPr>
                <w:b/>
                <w:bCs/>
                <w:color w:val="000000"/>
                <w:sz w:val="20"/>
                <w:szCs w:val="20"/>
              </w:rPr>
            </w:pPr>
            <w:r>
              <w:rPr>
                <w:b/>
                <w:bCs/>
                <w:color w:val="000000"/>
                <w:sz w:val="20"/>
                <w:szCs w:val="20"/>
              </w:rPr>
              <w:t>Scale/scope</w:t>
            </w:r>
          </w:p>
        </w:tc>
        <w:tc>
          <w:tcPr>
            <w:tcW w:w="2661" w:type="dxa"/>
            <w:tcBorders>
              <w:top w:val="single" w:sz="4" w:space="0" w:color="000000"/>
              <w:left w:val="nil"/>
              <w:bottom w:val="single" w:sz="4" w:space="0" w:color="000000"/>
              <w:right w:val="single" w:sz="4" w:space="0" w:color="000000"/>
            </w:tcBorders>
            <w:vAlign w:val="center"/>
          </w:tcPr>
          <w:p w14:paraId="1F34273F" w14:textId="77777777" w:rsidR="00300044" w:rsidRDefault="002602FB">
            <w:pPr>
              <w:spacing w:before="0" w:after="0" w:line="240" w:lineRule="auto"/>
              <w:jc w:val="center"/>
              <w:rPr>
                <w:b/>
                <w:bCs/>
                <w:color w:val="000000"/>
                <w:sz w:val="20"/>
                <w:szCs w:val="20"/>
              </w:rPr>
            </w:pPr>
            <w:r>
              <w:rPr>
                <w:b/>
                <w:bCs/>
                <w:color w:val="000000"/>
                <w:sz w:val="20"/>
                <w:szCs w:val="20"/>
              </w:rPr>
              <w:t>Main conclusions</w:t>
            </w:r>
          </w:p>
        </w:tc>
        <w:tc>
          <w:tcPr>
            <w:tcW w:w="1869" w:type="dxa"/>
            <w:tcBorders>
              <w:top w:val="single" w:sz="4" w:space="0" w:color="000000"/>
              <w:left w:val="nil"/>
              <w:bottom w:val="single" w:sz="4" w:space="0" w:color="000000"/>
              <w:right w:val="single" w:sz="4" w:space="0" w:color="000000"/>
            </w:tcBorders>
            <w:vAlign w:val="center"/>
          </w:tcPr>
          <w:p w14:paraId="2ED26026" w14:textId="77777777" w:rsidR="00300044" w:rsidRDefault="002602FB">
            <w:pPr>
              <w:spacing w:before="0" w:after="0" w:line="240" w:lineRule="auto"/>
              <w:jc w:val="center"/>
              <w:rPr>
                <w:b/>
                <w:bCs/>
                <w:color w:val="000000"/>
                <w:sz w:val="20"/>
                <w:szCs w:val="20"/>
              </w:rPr>
            </w:pPr>
            <w:r>
              <w:rPr>
                <w:b/>
                <w:bCs/>
                <w:color w:val="000000"/>
                <w:sz w:val="20"/>
                <w:szCs w:val="20"/>
              </w:rPr>
              <w:t>Limitations / Gaps</w:t>
            </w:r>
          </w:p>
        </w:tc>
        <w:tc>
          <w:tcPr>
            <w:tcW w:w="1762" w:type="dxa"/>
            <w:tcBorders>
              <w:top w:val="single" w:sz="4" w:space="0" w:color="000000"/>
              <w:left w:val="nil"/>
              <w:bottom w:val="single" w:sz="4" w:space="0" w:color="000000"/>
              <w:right w:val="single" w:sz="4" w:space="0" w:color="000000"/>
            </w:tcBorders>
            <w:vAlign w:val="center"/>
          </w:tcPr>
          <w:p w14:paraId="57BF577D" w14:textId="77777777" w:rsidR="00300044" w:rsidRDefault="002602FB">
            <w:pPr>
              <w:spacing w:before="0" w:after="0" w:line="240" w:lineRule="auto"/>
              <w:jc w:val="center"/>
              <w:rPr>
                <w:b/>
                <w:bCs/>
                <w:color w:val="000000"/>
                <w:sz w:val="20"/>
                <w:szCs w:val="20"/>
              </w:rPr>
            </w:pPr>
            <w:r>
              <w:rPr>
                <w:b/>
                <w:bCs/>
                <w:color w:val="000000"/>
                <w:sz w:val="20"/>
                <w:szCs w:val="20"/>
              </w:rPr>
              <w:t>Links to other sources</w:t>
            </w:r>
          </w:p>
        </w:tc>
      </w:tr>
      <w:tr w:rsidR="00300044" w14:paraId="291277F7"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36B69DD6" w14:textId="77777777" w:rsidR="00300044" w:rsidRDefault="002602FB">
            <w:pPr>
              <w:spacing w:before="0" w:after="0" w:line="240" w:lineRule="auto"/>
              <w:jc w:val="right"/>
              <w:rPr>
                <w:b/>
                <w:bCs/>
                <w:color w:val="000000"/>
                <w:sz w:val="20"/>
                <w:szCs w:val="20"/>
              </w:rPr>
            </w:pPr>
            <w:r>
              <w:rPr>
                <w:b/>
                <w:bCs/>
                <w:color w:val="000000"/>
                <w:sz w:val="20"/>
                <w:szCs w:val="20"/>
              </w:rPr>
              <w:t>1</w:t>
            </w:r>
          </w:p>
        </w:tc>
        <w:tc>
          <w:tcPr>
            <w:tcW w:w="658" w:type="dxa"/>
            <w:tcBorders>
              <w:top w:val="nil"/>
              <w:left w:val="nil"/>
              <w:bottom w:val="single" w:sz="4" w:space="0" w:color="000000"/>
              <w:right w:val="single" w:sz="4" w:space="0" w:color="000000"/>
            </w:tcBorders>
            <w:vAlign w:val="center"/>
          </w:tcPr>
          <w:p w14:paraId="16D1F748" w14:textId="77777777" w:rsidR="00300044" w:rsidRDefault="002602FB">
            <w:pPr>
              <w:spacing w:before="0" w:after="0" w:line="240" w:lineRule="auto"/>
              <w:jc w:val="left"/>
              <w:rPr>
                <w:color w:val="000000"/>
                <w:sz w:val="20"/>
                <w:szCs w:val="20"/>
              </w:rPr>
            </w:pPr>
            <w:r>
              <w:rPr>
                <w:color w:val="000000"/>
                <w:sz w:val="20"/>
                <w:szCs w:val="20"/>
              </w:rPr>
              <w:t xml:space="preserve">Norton, V., Waters, C., Oloyede, O.O. and </w:t>
            </w:r>
            <w:proofErr w:type="spellStart"/>
            <w:r>
              <w:rPr>
                <w:color w:val="000000"/>
                <w:sz w:val="20"/>
                <w:szCs w:val="20"/>
              </w:rPr>
              <w:t>Lignou</w:t>
            </w:r>
            <w:proofErr w:type="spellEnd"/>
            <w:r>
              <w:rPr>
                <w:color w:val="000000"/>
                <w:sz w:val="20"/>
                <w:szCs w:val="20"/>
              </w:rPr>
              <w:t>, S.</w:t>
            </w:r>
          </w:p>
        </w:tc>
        <w:tc>
          <w:tcPr>
            <w:tcW w:w="1496" w:type="dxa"/>
            <w:tcBorders>
              <w:top w:val="nil"/>
              <w:left w:val="nil"/>
              <w:bottom w:val="single" w:sz="4" w:space="0" w:color="000000"/>
              <w:right w:val="single" w:sz="4" w:space="0" w:color="000000"/>
            </w:tcBorders>
            <w:vAlign w:val="center"/>
          </w:tcPr>
          <w:p w14:paraId="10084526" w14:textId="77777777" w:rsidR="00300044" w:rsidRDefault="002602FB">
            <w:pPr>
              <w:spacing w:before="0" w:after="0" w:line="240" w:lineRule="auto"/>
              <w:jc w:val="left"/>
              <w:rPr>
                <w:i/>
                <w:iCs/>
                <w:color w:val="000000"/>
                <w:sz w:val="20"/>
                <w:szCs w:val="20"/>
              </w:rPr>
            </w:pPr>
            <w:r>
              <w:rPr>
                <w:i/>
                <w:iCs/>
                <w:color w:val="000000"/>
                <w:sz w:val="20"/>
                <w:szCs w:val="20"/>
              </w:rPr>
              <w:t>Exploring consumers’ understanding and perception of sustainable food packaging in the UK</w:t>
            </w:r>
          </w:p>
        </w:tc>
        <w:tc>
          <w:tcPr>
            <w:tcW w:w="693" w:type="dxa"/>
            <w:tcBorders>
              <w:top w:val="nil"/>
              <w:left w:val="nil"/>
              <w:bottom w:val="single" w:sz="4" w:space="0" w:color="000000"/>
              <w:right w:val="single" w:sz="4" w:space="0" w:color="000000"/>
            </w:tcBorders>
            <w:vAlign w:val="center"/>
          </w:tcPr>
          <w:p w14:paraId="28517AEE" w14:textId="77777777" w:rsidR="00300044" w:rsidRDefault="002602FB">
            <w:pPr>
              <w:spacing w:before="0" w:after="0" w:line="240" w:lineRule="auto"/>
              <w:jc w:val="left"/>
              <w:rPr>
                <w:color w:val="000000"/>
                <w:sz w:val="20"/>
                <w:szCs w:val="20"/>
              </w:rPr>
            </w:pPr>
            <w:r>
              <w:rPr>
                <w:color w:val="000000"/>
                <w:sz w:val="20"/>
                <w:szCs w:val="20"/>
              </w:rPr>
              <w:t xml:space="preserve">Journal article, </w:t>
            </w:r>
            <w:r>
              <w:rPr>
                <w:i/>
                <w:iCs/>
                <w:color w:val="000000"/>
                <w:sz w:val="20"/>
                <w:szCs w:val="20"/>
              </w:rPr>
              <w:t>Foods</w:t>
            </w:r>
          </w:p>
        </w:tc>
        <w:tc>
          <w:tcPr>
            <w:tcW w:w="256" w:type="dxa"/>
            <w:tcBorders>
              <w:top w:val="nil"/>
              <w:left w:val="nil"/>
              <w:bottom w:val="single" w:sz="4" w:space="0" w:color="000000"/>
              <w:right w:val="single" w:sz="4" w:space="0" w:color="000000"/>
            </w:tcBorders>
            <w:vAlign w:val="center"/>
          </w:tcPr>
          <w:p w14:paraId="58E5B1CF" w14:textId="77777777" w:rsidR="00300044" w:rsidRDefault="002602FB">
            <w:pPr>
              <w:spacing w:before="0" w:after="0" w:line="240" w:lineRule="auto"/>
              <w:jc w:val="right"/>
              <w:rPr>
                <w:color w:val="000000"/>
                <w:sz w:val="20"/>
                <w:szCs w:val="20"/>
              </w:rPr>
            </w:pPr>
            <w:r>
              <w:rPr>
                <w:color w:val="000000"/>
                <w:sz w:val="20"/>
                <w:szCs w:val="20"/>
              </w:rPr>
              <w:t>2022</w:t>
            </w:r>
          </w:p>
        </w:tc>
        <w:tc>
          <w:tcPr>
            <w:tcW w:w="553" w:type="dxa"/>
            <w:tcBorders>
              <w:top w:val="nil"/>
              <w:left w:val="nil"/>
              <w:bottom w:val="single" w:sz="4" w:space="0" w:color="000000"/>
              <w:right w:val="single" w:sz="4" w:space="0" w:color="000000"/>
            </w:tcBorders>
            <w:vAlign w:val="center"/>
          </w:tcPr>
          <w:p w14:paraId="7EE3389F" w14:textId="77777777" w:rsidR="00300044" w:rsidRDefault="002602FB">
            <w:pPr>
              <w:spacing w:before="0" w:after="0" w:line="240" w:lineRule="auto"/>
              <w:jc w:val="left"/>
              <w:rPr>
                <w:b/>
                <w:bCs/>
                <w:color w:val="000000"/>
                <w:sz w:val="20"/>
                <w:szCs w:val="20"/>
              </w:rPr>
            </w:pPr>
            <w:r>
              <w:rPr>
                <w:b/>
                <w:bCs/>
                <w:color w:val="000000"/>
                <w:sz w:val="20"/>
                <w:szCs w:val="20"/>
              </w:rPr>
              <w:t>2.2 Sustainable Packaging Perceptions</w:t>
            </w:r>
          </w:p>
        </w:tc>
        <w:tc>
          <w:tcPr>
            <w:tcW w:w="843" w:type="dxa"/>
            <w:tcBorders>
              <w:top w:val="nil"/>
              <w:left w:val="nil"/>
              <w:bottom w:val="single" w:sz="4" w:space="0" w:color="000000"/>
              <w:right w:val="single" w:sz="4" w:space="0" w:color="000000"/>
            </w:tcBorders>
            <w:vAlign w:val="center"/>
          </w:tcPr>
          <w:p w14:paraId="6E003793" w14:textId="77777777" w:rsidR="00300044" w:rsidRDefault="002602FB">
            <w:pPr>
              <w:spacing w:before="0" w:after="0" w:line="240" w:lineRule="auto"/>
              <w:jc w:val="left"/>
              <w:rPr>
                <w:color w:val="000000"/>
                <w:sz w:val="20"/>
                <w:szCs w:val="20"/>
              </w:rPr>
            </w:pPr>
            <w:r>
              <w:rPr>
                <w:color w:val="000000"/>
                <w:sz w:val="20"/>
                <w:szCs w:val="20"/>
              </w:rPr>
              <w:t>UK consumer understanding and perceptions of sustainable food packaging</w:t>
            </w:r>
          </w:p>
        </w:tc>
        <w:tc>
          <w:tcPr>
            <w:tcW w:w="1607" w:type="dxa"/>
            <w:tcBorders>
              <w:top w:val="nil"/>
              <w:left w:val="nil"/>
              <w:bottom w:val="single" w:sz="4" w:space="0" w:color="000000"/>
              <w:right w:val="single" w:sz="4" w:space="0" w:color="000000"/>
            </w:tcBorders>
            <w:vAlign w:val="center"/>
          </w:tcPr>
          <w:p w14:paraId="19610082" w14:textId="77777777" w:rsidR="00300044" w:rsidRDefault="002602FB">
            <w:pPr>
              <w:spacing w:before="0" w:after="0" w:line="240" w:lineRule="auto"/>
              <w:jc w:val="left"/>
              <w:rPr>
                <w:color w:val="000000"/>
                <w:sz w:val="20"/>
                <w:szCs w:val="20"/>
              </w:rPr>
            </w:pPr>
            <w:r>
              <w:rPr>
                <w:color w:val="000000"/>
                <w:sz w:val="20"/>
                <w:szCs w:val="20"/>
              </w:rPr>
              <w:t>To investigate consumers’ understanding, perceptions and preferences concerning sustainable food packaging and identify factors influencing sustainable packaging choices</w:t>
            </w:r>
          </w:p>
        </w:tc>
        <w:tc>
          <w:tcPr>
            <w:tcW w:w="721" w:type="dxa"/>
            <w:tcBorders>
              <w:top w:val="nil"/>
              <w:left w:val="nil"/>
              <w:bottom w:val="single" w:sz="4" w:space="0" w:color="000000"/>
              <w:right w:val="single" w:sz="4" w:space="0" w:color="000000"/>
            </w:tcBorders>
            <w:vAlign w:val="center"/>
          </w:tcPr>
          <w:p w14:paraId="395D49AD" w14:textId="77777777" w:rsidR="00300044" w:rsidRDefault="002602FB">
            <w:pPr>
              <w:spacing w:before="0" w:after="0" w:line="240" w:lineRule="auto"/>
              <w:jc w:val="left"/>
              <w:rPr>
                <w:color w:val="000000"/>
                <w:sz w:val="20"/>
                <w:szCs w:val="20"/>
              </w:rPr>
            </w:pPr>
            <w:r>
              <w:rPr>
                <w:color w:val="000000"/>
                <w:sz w:val="20"/>
                <w:szCs w:val="20"/>
              </w:rPr>
              <w:t>Quantitative consumer survey</w:t>
            </w:r>
          </w:p>
        </w:tc>
        <w:tc>
          <w:tcPr>
            <w:tcW w:w="755" w:type="dxa"/>
            <w:tcBorders>
              <w:top w:val="nil"/>
              <w:left w:val="nil"/>
              <w:bottom w:val="single" w:sz="4" w:space="0" w:color="000000"/>
              <w:right w:val="single" w:sz="4" w:space="0" w:color="000000"/>
            </w:tcBorders>
            <w:vAlign w:val="center"/>
          </w:tcPr>
          <w:p w14:paraId="4AE05281" w14:textId="77777777" w:rsidR="00300044" w:rsidRDefault="002602FB">
            <w:pPr>
              <w:spacing w:before="0" w:after="0" w:line="240" w:lineRule="auto"/>
              <w:jc w:val="left"/>
              <w:rPr>
                <w:b/>
                <w:bCs/>
                <w:color w:val="000000"/>
                <w:sz w:val="20"/>
                <w:szCs w:val="20"/>
              </w:rPr>
            </w:pPr>
            <w:r>
              <w:rPr>
                <w:b/>
                <w:bCs/>
                <w:color w:val="000000"/>
                <w:sz w:val="20"/>
                <w:szCs w:val="20"/>
              </w:rPr>
              <w:t>405 UK consumers</w:t>
            </w:r>
          </w:p>
        </w:tc>
        <w:tc>
          <w:tcPr>
            <w:tcW w:w="2661" w:type="dxa"/>
            <w:tcBorders>
              <w:top w:val="nil"/>
              <w:left w:val="nil"/>
              <w:bottom w:val="single" w:sz="4" w:space="0" w:color="000000"/>
              <w:right w:val="single" w:sz="4" w:space="0" w:color="000000"/>
            </w:tcBorders>
            <w:vAlign w:val="center"/>
          </w:tcPr>
          <w:p w14:paraId="1ACA04D8" w14:textId="77777777" w:rsidR="00300044" w:rsidRDefault="002602FB">
            <w:pPr>
              <w:spacing w:before="0" w:after="0" w:line="240" w:lineRule="auto"/>
              <w:jc w:val="left"/>
              <w:rPr>
                <w:color w:val="000000"/>
                <w:sz w:val="20"/>
                <w:szCs w:val="20"/>
              </w:rPr>
            </w:pPr>
            <w:r>
              <w:rPr>
                <w:color w:val="000000"/>
                <w:sz w:val="20"/>
                <w:szCs w:val="20"/>
              </w:rPr>
              <w:t>Consumers considered biodegradability, recyclability, disposal methods, renewable materials and reduced packaging important. The study also highlights gaps in consumers’ knowledge about recycling and sustainable packaging. Labelling and environmental information can influence consumer behaviour</w:t>
            </w:r>
          </w:p>
        </w:tc>
        <w:tc>
          <w:tcPr>
            <w:tcW w:w="1869" w:type="dxa"/>
            <w:tcBorders>
              <w:top w:val="nil"/>
              <w:left w:val="nil"/>
              <w:bottom w:val="single" w:sz="4" w:space="0" w:color="000000"/>
              <w:right w:val="single" w:sz="4" w:space="0" w:color="000000"/>
            </w:tcBorders>
            <w:vAlign w:val="center"/>
          </w:tcPr>
          <w:p w14:paraId="53288E1C" w14:textId="77777777" w:rsidR="00300044" w:rsidRDefault="002602FB">
            <w:pPr>
              <w:spacing w:before="0" w:after="0" w:line="240" w:lineRule="auto"/>
              <w:jc w:val="left"/>
              <w:rPr>
                <w:color w:val="000000"/>
                <w:sz w:val="20"/>
                <w:szCs w:val="20"/>
              </w:rPr>
            </w:pPr>
            <w:r>
              <w:rPr>
                <w:color w:val="000000"/>
                <w:sz w:val="20"/>
                <w:szCs w:val="20"/>
              </w:rPr>
              <w:t xml:space="preserve">UK-specific but primarily concerned with understanding, preferences and sustainable behaviour rather than </w:t>
            </w:r>
            <w:r>
              <w:rPr>
                <w:b/>
                <w:bCs/>
                <w:color w:val="000000"/>
                <w:sz w:val="20"/>
                <w:szCs w:val="20"/>
              </w:rPr>
              <w:t>brand loyalty</w:t>
            </w:r>
            <w:r>
              <w:rPr>
                <w:color w:val="000000"/>
                <w:sz w:val="20"/>
                <w:szCs w:val="20"/>
              </w:rPr>
              <w:t>. Does not directly test whether packaging perceptions generate long-term loyalty</w:t>
            </w:r>
          </w:p>
        </w:tc>
        <w:tc>
          <w:tcPr>
            <w:tcW w:w="1762" w:type="dxa"/>
            <w:tcBorders>
              <w:top w:val="nil"/>
              <w:left w:val="nil"/>
              <w:bottom w:val="single" w:sz="4" w:space="0" w:color="000000"/>
              <w:right w:val="single" w:sz="4" w:space="0" w:color="000000"/>
            </w:tcBorders>
            <w:vAlign w:val="center"/>
          </w:tcPr>
          <w:p w14:paraId="55E0B87D" w14:textId="77777777" w:rsidR="00300044" w:rsidRDefault="002602FB">
            <w:pPr>
              <w:spacing w:before="0" w:after="0" w:line="240" w:lineRule="auto"/>
              <w:jc w:val="left"/>
              <w:rPr>
                <w:color w:val="000000"/>
                <w:sz w:val="20"/>
                <w:szCs w:val="20"/>
              </w:rPr>
            </w:pPr>
            <w:r>
              <w:rPr>
                <w:color w:val="000000"/>
                <w:sz w:val="20"/>
                <w:szCs w:val="20"/>
              </w:rPr>
              <w:t xml:space="preserve">Strong foundation for </w:t>
            </w:r>
            <w:r>
              <w:rPr>
                <w:b/>
                <w:bCs/>
                <w:color w:val="000000"/>
                <w:sz w:val="20"/>
                <w:szCs w:val="20"/>
              </w:rPr>
              <w:t>Vo et al. (2025)</w:t>
            </w:r>
            <w:r>
              <w:rPr>
                <w:color w:val="000000"/>
                <w:sz w:val="20"/>
                <w:szCs w:val="20"/>
              </w:rPr>
              <w:t xml:space="preserve"> and </w:t>
            </w:r>
            <w:r>
              <w:rPr>
                <w:b/>
                <w:bCs/>
                <w:color w:val="000000"/>
                <w:sz w:val="20"/>
                <w:szCs w:val="20"/>
              </w:rPr>
              <w:t>Murtas et al. (2022)</w:t>
            </w:r>
            <w:r>
              <w:rPr>
                <w:color w:val="000000"/>
                <w:sz w:val="20"/>
                <w:szCs w:val="20"/>
              </w:rPr>
              <w:t xml:space="preserve">. Supports </w:t>
            </w:r>
            <w:r>
              <w:rPr>
                <w:b/>
                <w:bCs/>
                <w:color w:val="000000"/>
                <w:sz w:val="20"/>
                <w:szCs w:val="20"/>
              </w:rPr>
              <w:t>Quoc et al. (2025)</w:t>
            </w:r>
            <w:r>
              <w:rPr>
                <w:color w:val="000000"/>
                <w:sz w:val="20"/>
                <w:szCs w:val="20"/>
              </w:rPr>
              <w:t xml:space="preserve"> on the importance of eco-labelling and information</w:t>
            </w:r>
          </w:p>
        </w:tc>
      </w:tr>
      <w:tr w:rsidR="00300044" w14:paraId="6D8D17C7"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44910F6E" w14:textId="77777777" w:rsidR="00300044" w:rsidRDefault="002602FB">
            <w:pPr>
              <w:spacing w:before="0" w:after="0" w:line="240" w:lineRule="auto"/>
              <w:jc w:val="right"/>
              <w:rPr>
                <w:b/>
                <w:bCs/>
                <w:color w:val="000000"/>
                <w:sz w:val="20"/>
                <w:szCs w:val="20"/>
              </w:rPr>
            </w:pPr>
            <w:r>
              <w:rPr>
                <w:b/>
                <w:bCs/>
                <w:color w:val="000000"/>
                <w:sz w:val="20"/>
                <w:szCs w:val="20"/>
              </w:rPr>
              <w:t>2</w:t>
            </w:r>
          </w:p>
        </w:tc>
        <w:tc>
          <w:tcPr>
            <w:tcW w:w="658" w:type="dxa"/>
            <w:tcBorders>
              <w:top w:val="nil"/>
              <w:left w:val="nil"/>
              <w:bottom w:val="single" w:sz="4" w:space="0" w:color="000000"/>
              <w:right w:val="single" w:sz="4" w:space="0" w:color="000000"/>
            </w:tcBorders>
            <w:vAlign w:val="center"/>
          </w:tcPr>
          <w:p w14:paraId="0C09BA7E" w14:textId="77777777" w:rsidR="00300044" w:rsidRDefault="002602FB">
            <w:pPr>
              <w:spacing w:before="0" w:after="0" w:line="240" w:lineRule="auto"/>
              <w:jc w:val="left"/>
              <w:rPr>
                <w:color w:val="000000"/>
                <w:sz w:val="20"/>
                <w:szCs w:val="20"/>
              </w:rPr>
            </w:pPr>
            <w:r>
              <w:rPr>
                <w:color w:val="000000"/>
                <w:sz w:val="20"/>
                <w:szCs w:val="20"/>
              </w:rPr>
              <w:t xml:space="preserve">Vo, M.V., Hoang, B.M., Khang, </w:t>
            </w:r>
            <w:r>
              <w:rPr>
                <w:color w:val="000000"/>
                <w:sz w:val="20"/>
                <w:szCs w:val="20"/>
              </w:rPr>
              <w:lastRenderedPageBreak/>
              <w:t>N.V. and Chang, L.T.D.</w:t>
            </w:r>
          </w:p>
        </w:tc>
        <w:tc>
          <w:tcPr>
            <w:tcW w:w="1496" w:type="dxa"/>
            <w:tcBorders>
              <w:top w:val="nil"/>
              <w:left w:val="nil"/>
              <w:bottom w:val="single" w:sz="4" w:space="0" w:color="000000"/>
              <w:right w:val="single" w:sz="4" w:space="0" w:color="000000"/>
            </w:tcBorders>
            <w:vAlign w:val="center"/>
          </w:tcPr>
          <w:p w14:paraId="6C442AD8" w14:textId="77777777" w:rsidR="00300044" w:rsidRDefault="002602FB">
            <w:pPr>
              <w:spacing w:before="0" w:after="0" w:line="240" w:lineRule="auto"/>
              <w:jc w:val="left"/>
              <w:rPr>
                <w:i/>
                <w:iCs/>
                <w:color w:val="000000"/>
                <w:sz w:val="20"/>
                <w:szCs w:val="20"/>
              </w:rPr>
            </w:pPr>
            <w:r>
              <w:rPr>
                <w:i/>
                <w:iCs/>
                <w:color w:val="000000"/>
                <w:sz w:val="20"/>
                <w:szCs w:val="20"/>
              </w:rPr>
              <w:lastRenderedPageBreak/>
              <w:t xml:space="preserve">Sustainable packaging trends in the beverage industry: A study on production, supply chain, and </w:t>
            </w:r>
            <w:r>
              <w:rPr>
                <w:i/>
                <w:iCs/>
                <w:color w:val="000000"/>
                <w:sz w:val="20"/>
                <w:szCs w:val="20"/>
              </w:rPr>
              <w:lastRenderedPageBreak/>
              <w:t>consumer behaviour</w:t>
            </w:r>
          </w:p>
        </w:tc>
        <w:tc>
          <w:tcPr>
            <w:tcW w:w="693" w:type="dxa"/>
            <w:tcBorders>
              <w:top w:val="nil"/>
              <w:left w:val="nil"/>
              <w:bottom w:val="single" w:sz="4" w:space="0" w:color="000000"/>
              <w:right w:val="single" w:sz="4" w:space="0" w:color="000000"/>
            </w:tcBorders>
            <w:vAlign w:val="center"/>
          </w:tcPr>
          <w:p w14:paraId="0E2C8DB8" w14:textId="77777777" w:rsidR="00300044" w:rsidRDefault="002602FB">
            <w:pPr>
              <w:spacing w:before="0" w:after="0" w:line="240" w:lineRule="auto"/>
              <w:jc w:val="left"/>
              <w:rPr>
                <w:color w:val="000000"/>
                <w:sz w:val="20"/>
                <w:szCs w:val="20"/>
              </w:rPr>
            </w:pPr>
            <w:r>
              <w:rPr>
                <w:color w:val="000000"/>
                <w:sz w:val="20"/>
                <w:szCs w:val="20"/>
              </w:rPr>
              <w:lastRenderedPageBreak/>
              <w:t>Journal article</w:t>
            </w:r>
          </w:p>
        </w:tc>
        <w:tc>
          <w:tcPr>
            <w:tcW w:w="256" w:type="dxa"/>
            <w:tcBorders>
              <w:top w:val="nil"/>
              <w:left w:val="nil"/>
              <w:bottom w:val="single" w:sz="4" w:space="0" w:color="000000"/>
              <w:right w:val="single" w:sz="4" w:space="0" w:color="000000"/>
            </w:tcBorders>
            <w:vAlign w:val="center"/>
          </w:tcPr>
          <w:p w14:paraId="5E457906" w14:textId="77777777" w:rsidR="00300044" w:rsidRDefault="002602FB">
            <w:pPr>
              <w:spacing w:before="0" w:after="0" w:line="240" w:lineRule="auto"/>
              <w:jc w:val="right"/>
              <w:rPr>
                <w:color w:val="000000"/>
                <w:sz w:val="20"/>
                <w:szCs w:val="20"/>
              </w:rPr>
            </w:pPr>
            <w:r>
              <w:rPr>
                <w:color w:val="000000"/>
                <w:sz w:val="20"/>
                <w:szCs w:val="20"/>
              </w:rPr>
              <w:t>2025</w:t>
            </w:r>
          </w:p>
        </w:tc>
        <w:tc>
          <w:tcPr>
            <w:tcW w:w="553" w:type="dxa"/>
            <w:tcBorders>
              <w:top w:val="nil"/>
              <w:left w:val="nil"/>
              <w:bottom w:val="single" w:sz="4" w:space="0" w:color="000000"/>
              <w:right w:val="single" w:sz="4" w:space="0" w:color="000000"/>
            </w:tcBorders>
            <w:vAlign w:val="center"/>
          </w:tcPr>
          <w:p w14:paraId="2A40C953" w14:textId="77777777" w:rsidR="00300044" w:rsidRDefault="002602FB">
            <w:pPr>
              <w:spacing w:before="0" w:after="0" w:line="240" w:lineRule="auto"/>
              <w:jc w:val="left"/>
              <w:rPr>
                <w:b/>
                <w:bCs/>
                <w:color w:val="000000"/>
                <w:sz w:val="20"/>
                <w:szCs w:val="20"/>
              </w:rPr>
            </w:pPr>
            <w:r>
              <w:rPr>
                <w:b/>
                <w:bCs/>
                <w:color w:val="000000"/>
                <w:sz w:val="20"/>
                <w:szCs w:val="20"/>
              </w:rPr>
              <w:t xml:space="preserve">2.2 Sustainable Packaging </w:t>
            </w:r>
            <w:r>
              <w:rPr>
                <w:b/>
                <w:bCs/>
                <w:color w:val="000000"/>
                <w:sz w:val="20"/>
                <w:szCs w:val="20"/>
              </w:rPr>
              <w:lastRenderedPageBreak/>
              <w:t>Perceptions</w:t>
            </w:r>
          </w:p>
        </w:tc>
        <w:tc>
          <w:tcPr>
            <w:tcW w:w="843" w:type="dxa"/>
            <w:tcBorders>
              <w:top w:val="nil"/>
              <w:left w:val="nil"/>
              <w:bottom w:val="single" w:sz="4" w:space="0" w:color="000000"/>
              <w:right w:val="single" w:sz="4" w:space="0" w:color="000000"/>
            </w:tcBorders>
            <w:vAlign w:val="center"/>
          </w:tcPr>
          <w:p w14:paraId="12784F72" w14:textId="77777777" w:rsidR="00300044" w:rsidRDefault="002602FB">
            <w:pPr>
              <w:spacing w:before="0" w:after="0" w:line="240" w:lineRule="auto"/>
              <w:jc w:val="left"/>
              <w:rPr>
                <w:color w:val="000000"/>
                <w:sz w:val="20"/>
                <w:szCs w:val="20"/>
              </w:rPr>
            </w:pPr>
            <w:r>
              <w:rPr>
                <w:color w:val="000000"/>
                <w:sz w:val="20"/>
                <w:szCs w:val="20"/>
              </w:rPr>
              <w:lastRenderedPageBreak/>
              <w:t>Sustainable packaging in the beverage industry</w:t>
            </w:r>
          </w:p>
        </w:tc>
        <w:tc>
          <w:tcPr>
            <w:tcW w:w="1607" w:type="dxa"/>
            <w:tcBorders>
              <w:top w:val="nil"/>
              <w:left w:val="nil"/>
              <w:bottom w:val="single" w:sz="4" w:space="0" w:color="000000"/>
              <w:right w:val="single" w:sz="4" w:space="0" w:color="000000"/>
            </w:tcBorders>
            <w:vAlign w:val="center"/>
          </w:tcPr>
          <w:p w14:paraId="2C8C772C" w14:textId="77777777" w:rsidR="00300044" w:rsidRDefault="002602FB">
            <w:pPr>
              <w:spacing w:before="0" w:after="0" w:line="240" w:lineRule="auto"/>
              <w:jc w:val="left"/>
              <w:rPr>
                <w:color w:val="000000"/>
                <w:sz w:val="20"/>
                <w:szCs w:val="20"/>
              </w:rPr>
            </w:pPr>
            <w:r>
              <w:rPr>
                <w:color w:val="000000"/>
                <w:sz w:val="20"/>
                <w:szCs w:val="20"/>
              </w:rPr>
              <w:t>To examine sustainable packaging trends from production, supply-chain and consumer perspectives</w:t>
            </w:r>
          </w:p>
        </w:tc>
        <w:tc>
          <w:tcPr>
            <w:tcW w:w="721" w:type="dxa"/>
            <w:tcBorders>
              <w:top w:val="nil"/>
              <w:left w:val="nil"/>
              <w:bottom w:val="single" w:sz="4" w:space="0" w:color="000000"/>
              <w:right w:val="single" w:sz="4" w:space="0" w:color="000000"/>
            </w:tcBorders>
            <w:vAlign w:val="center"/>
          </w:tcPr>
          <w:p w14:paraId="23C493A6" w14:textId="77777777" w:rsidR="00300044" w:rsidRDefault="002602FB">
            <w:pPr>
              <w:spacing w:before="0" w:after="0" w:line="240" w:lineRule="auto"/>
              <w:jc w:val="left"/>
              <w:rPr>
                <w:color w:val="000000"/>
                <w:sz w:val="20"/>
                <w:szCs w:val="20"/>
              </w:rPr>
            </w:pPr>
            <w:r>
              <w:rPr>
                <w:color w:val="000000"/>
                <w:sz w:val="20"/>
                <w:szCs w:val="20"/>
              </w:rPr>
              <w:t>Quantitative survey-based research</w:t>
            </w:r>
          </w:p>
        </w:tc>
        <w:tc>
          <w:tcPr>
            <w:tcW w:w="755" w:type="dxa"/>
            <w:tcBorders>
              <w:top w:val="nil"/>
              <w:left w:val="nil"/>
              <w:bottom w:val="single" w:sz="4" w:space="0" w:color="000000"/>
              <w:right w:val="single" w:sz="4" w:space="0" w:color="000000"/>
            </w:tcBorders>
            <w:vAlign w:val="center"/>
          </w:tcPr>
          <w:p w14:paraId="476117C7" w14:textId="77777777" w:rsidR="00300044" w:rsidRDefault="002602FB">
            <w:pPr>
              <w:spacing w:before="0" w:after="0" w:line="240" w:lineRule="auto"/>
              <w:jc w:val="left"/>
              <w:rPr>
                <w:b/>
                <w:bCs/>
                <w:color w:val="000000"/>
                <w:sz w:val="20"/>
                <w:szCs w:val="20"/>
              </w:rPr>
            </w:pPr>
            <w:r>
              <w:rPr>
                <w:b/>
                <w:bCs/>
                <w:color w:val="000000"/>
                <w:sz w:val="20"/>
                <w:szCs w:val="20"/>
              </w:rPr>
              <w:t>385 respondents</w:t>
            </w:r>
            <w:r>
              <w:rPr>
                <w:color w:val="000000"/>
                <w:sz w:val="20"/>
                <w:szCs w:val="20"/>
              </w:rPr>
              <w:t xml:space="preserve"> across relevant stake</w:t>
            </w:r>
            <w:r>
              <w:rPr>
                <w:color w:val="000000"/>
                <w:sz w:val="20"/>
                <w:szCs w:val="20"/>
              </w:rPr>
              <w:lastRenderedPageBreak/>
              <w:t>holder groups</w:t>
            </w:r>
          </w:p>
        </w:tc>
        <w:tc>
          <w:tcPr>
            <w:tcW w:w="2661" w:type="dxa"/>
            <w:tcBorders>
              <w:top w:val="nil"/>
              <w:left w:val="nil"/>
              <w:bottom w:val="single" w:sz="4" w:space="0" w:color="000000"/>
              <w:right w:val="single" w:sz="4" w:space="0" w:color="000000"/>
            </w:tcBorders>
            <w:vAlign w:val="center"/>
          </w:tcPr>
          <w:p w14:paraId="72DA0A47" w14:textId="77777777" w:rsidR="00300044" w:rsidRDefault="002602FB">
            <w:pPr>
              <w:spacing w:before="0" w:after="0" w:line="240" w:lineRule="auto"/>
              <w:jc w:val="left"/>
              <w:rPr>
                <w:color w:val="000000"/>
                <w:sz w:val="20"/>
                <w:szCs w:val="20"/>
              </w:rPr>
            </w:pPr>
            <w:r>
              <w:rPr>
                <w:color w:val="000000"/>
                <w:sz w:val="20"/>
                <w:szCs w:val="20"/>
              </w:rPr>
              <w:lastRenderedPageBreak/>
              <w:t>Sustainable manufacturing, packaging outcomes and consumer perceptions are interconnected. Consumer willingness to pay and positive perceptions support sustainable packaging adoption</w:t>
            </w:r>
          </w:p>
        </w:tc>
        <w:tc>
          <w:tcPr>
            <w:tcW w:w="1869" w:type="dxa"/>
            <w:tcBorders>
              <w:top w:val="nil"/>
              <w:left w:val="nil"/>
              <w:bottom w:val="single" w:sz="4" w:space="0" w:color="000000"/>
              <w:right w:val="single" w:sz="4" w:space="0" w:color="000000"/>
            </w:tcBorders>
            <w:vAlign w:val="center"/>
          </w:tcPr>
          <w:p w14:paraId="31C92F98" w14:textId="77777777" w:rsidR="00300044" w:rsidRDefault="002602FB">
            <w:pPr>
              <w:spacing w:before="0" w:after="0" w:line="240" w:lineRule="auto"/>
              <w:jc w:val="left"/>
              <w:rPr>
                <w:color w:val="000000"/>
                <w:sz w:val="20"/>
                <w:szCs w:val="20"/>
              </w:rPr>
            </w:pPr>
            <w:r>
              <w:rPr>
                <w:color w:val="000000"/>
                <w:sz w:val="20"/>
                <w:szCs w:val="20"/>
              </w:rPr>
              <w:t xml:space="preserve">Broader stakeholder focus reduces direct applicability to UK food and beverage consumers. Does not directly measure </w:t>
            </w:r>
            <w:r>
              <w:rPr>
                <w:b/>
                <w:bCs/>
                <w:color w:val="000000"/>
                <w:sz w:val="20"/>
                <w:szCs w:val="20"/>
              </w:rPr>
              <w:t xml:space="preserve">brand </w:t>
            </w:r>
            <w:r>
              <w:rPr>
                <w:b/>
                <w:bCs/>
                <w:color w:val="000000"/>
                <w:sz w:val="20"/>
                <w:szCs w:val="20"/>
              </w:rPr>
              <w:lastRenderedPageBreak/>
              <w:t>loyalty</w:t>
            </w:r>
            <w:r>
              <w:rPr>
                <w:color w:val="000000"/>
                <w:sz w:val="20"/>
                <w:szCs w:val="20"/>
              </w:rPr>
              <w:t xml:space="preserve">. Wider industry </w:t>
            </w:r>
            <w:proofErr w:type="gramStart"/>
            <w:r>
              <w:rPr>
                <w:color w:val="000000"/>
                <w:sz w:val="20"/>
                <w:szCs w:val="20"/>
              </w:rPr>
              <w:t>focus</w:t>
            </w:r>
            <w:proofErr w:type="gramEnd"/>
            <w:r>
              <w:rPr>
                <w:color w:val="000000"/>
                <w:sz w:val="20"/>
                <w:szCs w:val="20"/>
              </w:rPr>
              <w:t xml:space="preserve"> rather than a specific consumer-brand relationship</w:t>
            </w:r>
          </w:p>
        </w:tc>
        <w:tc>
          <w:tcPr>
            <w:tcW w:w="1762" w:type="dxa"/>
            <w:tcBorders>
              <w:top w:val="nil"/>
              <w:left w:val="nil"/>
              <w:bottom w:val="single" w:sz="4" w:space="0" w:color="000000"/>
              <w:right w:val="single" w:sz="4" w:space="0" w:color="000000"/>
            </w:tcBorders>
            <w:vAlign w:val="center"/>
          </w:tcPr>
          <w:p w14:paraId="0E339FFB" w14:textId="77777777" w:rsidR="00300044" w:rsidRDefault="002602FB">
            <w:pPr>
              <w:spacing w:before="0" w:after="0" w:line="240" w:lineRule="auto"/>
              <w:jc w:val="left"/>
              <w:rPr>
                <w:color w:val="000000"/>
                <w:sz w:val="20"/>
                <w:szCs w:val="20"/>
              </w:rPr>
            </w:pPr>
            <w:r>
              <w:rPr>
                <w:color w:val="000000"/>
                <w:sz w:val="20"/>
                <w:szCs w:val="20"/>
              </w:rPr>
              <w:lastRenderedPageBreak/>
              <w:t xml:space="preserve">Complements </w:t>
            </w:r>
            <w:r>
              <w:rPr>
                <w:b/>
                <w:bCs/>
                <w:color w:val="000000"/>
                <w:sz w:val="20"/>
                <w:szCs w:val="20"/>
              </w:rPr>
              <w:t>Norton et al. (2022)</w:t>
            </w:r>
            <w:r>
              <w:rPr>
                <w:color w:val="000000"/>
                <w:sz w:val="20"/>
                <w:szCs w:val="20"/>
              </w:rPr>
              <w:t xml:space="preserve"> by extending the discussion from consumer perception to industry/supply-chain factors. </w:t>
            </w:r>
            <w:r>
              <w:rPr>
                <w:color w:val="000000"/>
                <w:sz w:val="20"/>
                <w:szCs w:val="20"/>
              </w:rPr>
              <w:lastRenderedPageBreak/>
              <w:t xml:space="preserve">Links to </w:t>
            </w:r>
            <w:r>
              <w:rPr>
                <w:b/>
                <w:bCs/>
                <w:color w:val="000000"/>
                <w:sz w:val="20"/>
                <w:szCs w:val="20"/>
              </w:rPr>
              <w:t>Kumar and Khanna (2025)</w:t>
            </w:r>
            <w:r>
              <w:rPr>
                <w:color w:val="000000"/>
                <w:sz w:val="20"/>
                <w:szCs w:val="20"/>
              </w:rPr>
              <w:t xml:space="preserve"> on beverage packaging</w:t>
            </w:r>
          </w:p>
        </w:tc>
      </w:tr>
      <w:tr w:rsidR="00300044" w14:paraId="355034A1"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58D624F4" w14:textId="77777777" w:rsidR="00300044" w:rsidRDefault="002602FB">
            <w:pPr>
              <w:spacing w:before="0" w:after="0" w:line="240" w:lineRule="auto"/>
              <w:jc w:val="right"/>
              <w:rPr>
                <w:b/>
                <w:bCs/>
                <w:color w:val="000000"/>
                <w:sz w:val="20"/>
                <w:szCs w:val="20"/>
              </w:rPr>
            </w:pPr>
            <w:r>
              <w:rPr>
                <w:b/>
                <w:bCs/>
                <w:color w:val="000000"/>
                <w:sz w:val="20"/>
                <w:szCs w:val="20"/>
              </w:rPr>
              <w:lastRenderedPageBreak/>
              <w:t>3</w:t>
            </w:r>
          </w:p>
        </w:tc>
        <w:tc>
          <w:tcPr>
            <w:tcW w:w="658" w:type="dxa"/>
            <w:tcBorders>
              <w:top w:val="nil"/>
              <w:left w:val="nil"/>
              <w:bottom w:val="single" w:sz="4" w:space="0" w:color="000000"/>
              <w:right w:val="single" w:sz="4" w:space="0" w:color="000000"/>
            </w:tcBorders>
            <w:vAlign w:val="center"/>
          </w:tcPr>
          <w:p w14:paraId="2A5481A1" w14:textId="77777777" w:rsidR="00300044" w:rsidRDefault="002602FB">
            <w:pPr>
              <w:spacing w:before="0" w:after="0" w:line="240" w:lineRule="auto"/>
              <w:jc w:val="left"/>
              <w:rPr>
                <w:color w:val="000000"/>
                <w:sz w:val="20"/>
                <w:szCs w:val="20"/>
              </w:rPr>
            </w:pPr>
            <w:r>
              <w:rPr>
                <w:color w:val="000000"/>
                <w:sz w:val="20"/>
                <w:szCs w:val="20"/>
              </w:rPr>
              <w:t>Kumar, S. and Khanna, S.</w:t>
            </w:r>
          </w:p>
        </w:tc>
        <w:tc>
          <w:tcPr>
            <w:tcW w:w="1496" w:type="dxa"/>
            <w:tcBorders>
              <w:top w:val="nil"/>
              <w:left w:val="nil"/>
              <w:bottom w:val="single" w:sz="4" w:space="0" w:color="000000"/>
              <w:right w:val="single" w:sz="4" w:space="0" w:color="000000"/>
            </w:tcBorders>
            <w:vAlign w:val="center"/>
          </w:tcPr>
          <w:p w14:paraId="06FDC0ED" w14:textId="77777777" w:rsidR="00300044" w:rsidRDefault="002602FB">
            <w:pPr>
              <w:spacing w:before="0" w:after="0" w:line="240" w:lineRule="auto"/>
              <w:jc w:val="left"/>
              <w:rPr>
                <w:i/>
                <w:iCs/>
                <w:color w:val="000000"/>
                <w:sz w:val="20"/>
                <w:szCs w:val="20"/>
              </w:rPr>
            </w:pPr>
            <w:r>
              <w:rPr>
                <w:i/>
                <w:iCs/>
                <w:color w:val="000000"/>
                <w:sz w:val="20"/>
                <w:szCs w:val="20"/>
              </w:rPr>
              <w:t>Consumer Perception and the Effect of Shifting to Sustainable Packaging in the Beverage Industry</w:t>
            </w:r>
          </w:p>
        </w:tc>
        <w:tc>
          <w:tcPr>
            <w:tcW w:w="693" w:type="dxa"/>
            <w:tcBorders>
              <w:top w:val="nil"/>
              <w:left w:val="nil"/>
              <w:bottom w:val="single" w:sz="4" w:space="0" w:color="000000"/>
              <w:right w:val="single" w:sz="4" w:space="0" w:color="000000"/>
            </w:tcBorders>
            <w:vAlign w:val="center"/>
          </w:tcPr>
          <w:p w14:paraId="4FDF09DB" w14:textId="77777777" w:rsidR="00300044" w:rsidRDefault="002602FB">
            <w:pPr>
              <w:spacing w:before="0" w:after="0" w:line="240" w:lineRule="auto"/>
              <w:jc w:val="left"/>
              <w:rPr>
                <w:color w:val="000000"/>
                <w:sz w:val="20"/>
                <w:szCs w:val="20"/>
              </w:rPr>
            </w:pPr>
            <w:r>
              <w:rPr>
                <w:color w:val="000000"/>
                <w:sz w:val="20"/>
                <w:szCs w:val="20"/>
              </w:rPr>
              <w:t>Book chapter</w:t>
            </w:r>
          </w:p>
        </w:tc>
        <w:tc>
          <w:tcPr>
            <w:tcW w:w="256" w:type="dxa"/>
            <w:tcBorders>
              <w:top w:val="nil"/>
              <w:left w:val="nil"/>
              <w:bottom w:val="single" w:sz="4" w:space="0" w:color="000000"/>
              <w:right w:val="single" w:sz="4" w:space="0" w:color="000000"/>
            </w:tcBorders>
            <w:vAlign w:val="center"/>
          </w:tcPr>
          <w:p w14:paraId="3A89F485" w14:textId="77777777" w:rsidR="00300044" w:rsidRDefault="002602FB">
            <w:pPr>
              <w:spacing w:before="0" w:after="0" w:line="240" w:lineRule="auto"/>
              <w:jc w:val="right"/>
              <w:rPr>
                <w:color w:val="000000"/>
                <w:sz w:val="20"/>
                <w:szCs w:val="20"/>
              </w:rPr>
            </w:pPr>
            <w:r>
              <w:rPr>
                <w:color w:val="000000"/>
                <w:sz w:val="20"/>
                <w:szCs w:val="20"/>
              </w:rPr>
              <w:t>2025</w:t>
            </w:r>
          </w:p>
        </w:tc>
        <w:tc>
          <w:tcPr>
            <w:tcW w:w="553" w:type="dxa"/>
            <w:tcBorders>
              <w:top w:val="nil"/>
              <w:left w:val="nil"/>
              <w:bottom w:val="single" w:sz="4" w:space="0" w:color="000000"/>
              <w:right w:val="single" w:sz="4" w:space="0" w:color="000000"/>
            </w:tcBorders>
            <w:vAlign w:val="center"/>
          </w:tcPr>
          <w:p w14:paraId="5976639D" w14:textId="77777777" w:rsidR="00300044" w:rsidRDefault="002602FB">
            <w:pPr>
              <w:spacing w:before="0" w:after="0" w:line="240" w:lineRule="auto"/>
              <w:jc w:val="left"/>
              <w:rPr>
                <w:b/>
                <w:bCs/>
                <w:color w:val="000000"/>
                <w:sz w:val="20"/>
                <w:szCs w:val="20"/>
              </w:rPr>
            </w:pPr>
            <w:r>
              <w:rPr>
                <w:b/>
                <w:bCs/>
                <w:color w:val="000000"/>
                <w:sz w:val="20"/>
                <w:szCs w:val="20"/>
              </w:rPr>
              <w:t>2.2 / 2.4</w:t>
            </w:r>
          </w:p>
        </w:tc>
        <w:tc>
          <w:tcPr>
            <w:tcW w:w="843" w:type="dxa"/>
            <w:tcBorders>
              <w:top w:val="nil"/>
              <w:left w:val="nil"/>
              <w:bottom w:val="single" w:sz="4" w:space="0" w:color="000000"/>
              <w:right w:val="single" w:sz="4" w:space="0" w:color="000000"/>
            </w:tcBorders>
            <w:vAlign w:val="center"/>
          </w:tcPr>
          <w:p w14:paraId="2DD85AF3" w14:textId="77777777" w:rsidR="00300044" w:rsidRDefault="002602FB">
            <w:pPr>
              <w:spacing w:before="0" w:after="0" w:line="240" w:lineRule="auto"/>
              <w:jc w:val="left"/>
              <w:rPr>
                <w:color w:val="000000"/>
                <w:sz w:val="20"/>
                <w:szCs w:val="20"/>
              </w:rPr>
            </w:pPr>
            <w:r>
              <w:rPr>
                <w:color w:val="000000"/>
                <w:sz w:val="20"/>
                <w:szCs w:val="20"/>
              </w:rPr>
              <w:t>Consumer perception and strategic effects of sustainable beverage packaging</w:t>
            </w:r>
          </w:p>
        </w:tc>
        <w:tc>
          <w:tcPr>
            <w:tcW w:w="1607" w:type="dxa"/>
            <w:tcBorders>
              <w:top w:val="nil"/>
              <w:left w:val="nil"/>
              <w:bottom w:val="single" w:sz="4" w:space="0" w:color="000000"/>
              <w:right w:val="single" w:sz="4" w:space="0" w:color="000000"/>
            </w:tcBorders>
            <w:vAlign w:val="center"/>
          </w:tcPr>
          <w:p w14:paraId="6025D8BE" w14:textId="77777777" w:rsidR="00300044" w:rsidRDefault="002602FB">
            <w:pPr>
              <w:spacing w:before="0" w:after="0" w:line="240" w:lineRule="auto"/>
              <w:jc w:val="left"/>
              <w:rPr>
                <w:color w:val="000000"/>
                <w:sz w:val="20"/>
                <w:szCs w:val="20"/>
              </w:rPr>
            </w:pPr>
            <w:r>
              <w:rPr>
                <w:color w:val="000000"/>
                <w:sz w:val="20"/>
                <w:szCs w:val="20"/>
              </w:rPr>
              <w:t>To discuss consumer perceptions of sustainable packaging and its implications for beverage businesses</w:t>
            </w:r>
          </w:p>
        </w:tc>
        <w:tc>
          <w:tcPr>
            <w:tcW w:w="721" w:type="dxa"/>
            <w:tcBorders>
              <w:top w:val="nil"/>
              <w:left w:val="nil"/>
              <w:bottom w:val="single" w:sz="4" w:space="0" w:color="000000"/>
              <w:right w:val="single" w:sz="4" w:space="0" w:color="000000"/>
            </w:tcBorders>
            <w:vAlign w:val="center"/>
          </w:tcPr>
          <w:p w14:paraId="26F8E145" w14:textId="77777777" w:rsidR="00300044" w:rsidRDefault="002602FB">
            <w:pPr>
              <w:spacing w:before="0" w:after="0" w:line="240" w:lineRule="auto"/>
              <w:jc w:val="left"/>
              <w:rPr>
                <w:color w:val="000000"/>
                <w:sz w:val="20"/>
                <w:szCs w:val="20"/>
              </w:rPr>
            </w:pPr>
            <w:r>
              <w:rPr>
                <w:color w:val="000000"/>
                <w:sz w:val="20"/>
                <w:szCs w:val="20"/>
              </w:rPr>
              <w:t>Conceptual/discussion-based analysis with business examples</w:t>
            </w:r>
          </w:p>
        </w:tc>
        <w:tc>
          <w:tcPr>
            <w:tcW w:w="755" w:type="dxa"/>
            <w:tcBorders>
              <w:top w:val="nil"/>
              <w:left w:val="nil"/>
              <w:bottom w:val="single" w:sz="4" w:space="0" w:color="000000"/>
              <w:right w:val="single" w:sz="4" w:space="0" w:color="000000"/>
            </w:tcBorders>
            <w:vAlign w:val="center"/>
          </w:tcPr>
          <w:p w14:paraId="34E6CB4A" w14:textId="77777777" w:rsidR="00300044" w:rsidRDefault="002602FB">
            <w:pPr>
              <w:spacing w:before="0" w:after="0" w:line="240" w:lineRule="auto"/>
              <w:jc w:val="left"/>
              <w:rPr>
                <w:color w:val="000000"/>
                <w:sz w:val="20"/>
                <w:szCs w:val="20"/>
              </w:rPr>
            </w:pPr>
            <w:r>
              <w:rPr>
                <w:color w:val="000000"/>
                <w:sz w:val="20"/>
                <w:szCs w:val="20"/>
              </w:rPr>
              <w:t>Beverage industry</w:t>
            </w:r>
          </w:p>
        </w:tc>
        <w:tc>
          <w:tcPr>
            <w:tcW w:w="2661" w:type="dxa"/>
            <w:tcBorders>
              <w:top w:val="nil"/>
              <w:left w:val="nil"/>
              <w:bottom w:val="single" w:sz="4" w:space="0" w:color="000000"/>
              <w:right w:val="single" w:sz="4" w:space="0" w:color="000000"/>
            </w:tcBorders>
            <w:vAlign w:val="center"/>
          </w:tcPr>
          <w:p w14:paraId="1511AAB4" w14:textId="77777777" w:rsidR="00300044" w:rsidRDefault="002602FB">
            <w:pPr>
              <w:spacing w:before="0" w:after="0" w:line="240" w:lineRule="auto"/>
              <w:jc w:val="left"/>
              <w:rPr>
                <w:color w:val="000000"/>
                <w:sz w:val="20"/>
                <w:szCs w:val="20"/>
              </w:rPr>
            </w:pPr>
            <w:r>
              <w:rPr>
                <w:color w:val="000000"/>
                <w:sz w:val="20"/>
                <w:szCs w:val="20"/>
              </w:rPr>
              <w:t>Sustainable packaging can improve consumer perceptions, support sustainable consumption and potentially strengthen competitive positioning and brand loyalty</w:t>
            </w:r>
          </w:p>
        </w:tc>
        <w:tc>
          <w:tcPr>
            <w:tcW w:w="1869" w:type="dxa"/>
            <w:tcBorders>
              <w:top w:val="nil"/>
              <w:left w:val="nil"/>
              <w:bottom w:val="single" w:sz="4" w:space="0" w:color="000000"/>
              <w:right w:val="single" w:sz="4" w:space="0" w:color="000000"/>
            </w:tcBorders>
            <w:vAlign w:val="center"/>
          </w:tcPr>
          <w:p w14:paraId="61CE868B" w14:textId="77777777" w:rsidR="00300044" w:rsidRDefault="002602FB">
            <w:pPr>
              <w:spacing w:before="0" w:after="0" w:line="240" w:lineRule="auto"/>
              <w:jc w:val="left"/>
              <w:rPr>
                <w:color w:val="000000"/>
                <w:sz w:val="20"/>
                <w:szCs w:val="20"/>
              </w:rPr>
            </w:pPr>
            <w:r>
              <w:rPr>
                <w:color w:val="000000"/>
                <w:sz w:val="20"/>
                <w:szCs w:val="20"/>
              </w:rPr>
              <w:t xml:space="preserve">Primarily conceptual rather than a robust primary consumer investigation. Claims concerning </w:t>
            </w:r>
            <w:r>
              <w:rPr>
                <w:b/>
                <w:bCs/>
                <w:color w:val="000000"/>
                <w:sz w:val="20"/>
                <w:szCs w:val="20"/>
              </w:rPr>
              <w:t>brand loyalty require empirical testing</w:t>
            </w:r>
          </w:p>
        </w:tc>
        <w:tc>
          <w:tcPr>
            <w:tcW w:w="1762" w:type="dxa"/>
            <w:tcBorders>
              <w:top w:val="nil"/>
              <w:left w:val="nil"/>
              <w:bottom w:val="single" w:sz="4" w:space="0" w:color="000000"/>
              <w:right w:val="single" w:sz="4" w:space="0" w:color="000000"/>
            </w:tcBorders>
            <w:vAlign w:val="center"/>
          </w:tcPr>
          <w:p w14:paraId="4B0C6374" w14:textId="77777777" w:rsidR="00300044" w:rsidRDefault="002602FB">
            <w:pPr>
              <w:spacing w:before="0" w:after="0" w:line="240" w:lineRule="auto"/>
              <w:jc w:val="left"/>
              <w:rPr>
                <w:color w:val="000000"/>
                <w:sz w:val="20"/>
                <w:szCs w:val="20"/>
              </w:rPr>
            </w:pPr>
            <w:r>
              <w:rPr>
                <w:color w:val="000000"/>
                <w:sz w:val="20"/>
                <w:szCs w:val="20"/>
              </w:rPr>
              <w:t xml:space="preserve">Directly supports the argument linking sustainable packaging with loyalty, but </w:t>
            </w:r>
            <w:r>
              <w:rPr>
                <w:b/>
                <w:bCs/>
                <w:color w:val="000000"/>
                <w:sz w:val="20"/>
                <w:szCs w:val="20"/>
              </w:rPr>
              <w:t>Faris et al. (2024)</w:t>
            </w:r>
            <w:r>
              <w:rPr>
                <w:color w:val="000000"/>
                <w:sz w:val="20"/>
                <w:szCs w:val="20"/>
              </w:rPr>
              <w:t xml:space="preserve"> provide stronger empirical evidence for immediate purchase intention</w:t>
            </w:r>
          </w:p>
        </w:tc>
      </w:tr>
      <w:tr w:rsidR="00300044" w14:paraId="25E28C49"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60FFD602" w14:textId="77777777" w:rsidR="00300044" w:rsidRDefault="002602FB">
            <w:pPr>
              <w:spacing w:before="0" w:after="0" w:line="240" w:lineRule="auto"/>
              <w:jc w:val="right"/>
              <w:rPr>
                <w:b/>
                <w:bCs/>
                <w:color w:val="000000"/>
                <w:sz w:val="20"/>
                <w:szCs w:val="20"/>
              </w:rPr>
            </w:pPr>
            <w:r>
              <w:rPr>
                <w:b/>
                <w:bCs/>
                <w:color w:val="000000"/>
                <w:sz w:val="20"/>
                <w:szCs w:val="20"/>
              </w:rPr>
              <w:t>4</w:t>
            </w:r>
          </w:p>
        </w:tc>
        <w:tc>
          <w:tcPr>
            <w:tcW w:w="658" w:type="dxa"/>
            <w:tcBorders>
              <w:top w:val="nil"/>
              <w:left w:val="nil"/>
              <w:bottom w:val="single" w:sz="4" w:space="0" w:color="000000"/>
              <w:right w:val="single" w:sz="4" w:space="0" w:color="000000"/>
            </w:tcBorders>
            <w:vAlign w:val="center"/>
          </w:tcPr>
          <w:p w14:paraId="51C1FC8B" w14:textId="77777777" w:rsidR="00300044" w:rsidRDefault="002602FB">
            <w:pPr>
              <w:spacing w:before="0" w:after="0" w:line="240" w:lineRule="auto"/>
              <w:jc w:val="left"/>
              <w:rPr>
                <w:color w:val="000000"/>
                <w:sz w:val="20"/>
                <w:szCs w:val="20"/>
              </w:rPr>
            </w:pPr>
            <w:r>
              <w:rPr>
                <w:color w:val="000000"/>
                <w:sz w:val="20"/>
                <w:szCs w:val="20"/>
              </w:rPr>
              <w:t>Faris, H.H.B.M. et al.</w:t>
            </w:r>
          </w:p>
        </w:tc>
        <w:tc>
          <w:tcPr>
            <w:tcW w:w="1496" w:type="dxa"/>
            <w:tcBorders>
              <w:top w:val="nil"/>
              <w:left w:val="nil"/>
              <w:bottom w:val="single" w:sz="4" w:space="0" w:color="000000"/>
              <w:right w:val="single" w:sz="4" w:space="0" w:color="000000"/>
            </w:tcBorders>
            <w:vAlign w:val="center"/>
          </w:tcPr>
          <w:p w14:paraId="1A0236F7" w14:textId="77777777" w:rsidR="00300044" w:rsidRDefault="002602FB">
            <w:pPr>
              <w:spacing w:before="0" w:after="0" w:line="240" w:lineRule="auto"/>
              <w:jc w:val="left"/>
              <w:rPr>
                <w:i/>
                <w:iCs/>
                <w:color w:val="000000"/>
                <w:sz w:val="20"/>
                <w:szCs w:val="20"/>
              </w:rPr>
            </w:pPr>
            <w:r>
              <w:rPr>
                <w:i/>
                <w:iCs/>
                <w:color w:val="000000"/>
                <w:sz w:val="20"/>
                <w:szCs w:val="20"/>
              </w:rPr>
              <w:t>The effect of eco-friendly packaging on consumer purchase intention: A study of beverage sustainable packaging practices</w:t>
            </w:r>
          </w:p>
        </w:tc>
        <w:tc>
          <w:tcPr>
            <w:tcW w:w="693" w:type="dxa"/>
            <w:tcBorders>
              <w:top w:val="nil"/>
              <w:left w:val="nil"/>
              <w:bottom w:val="single" w:sz="4" w:space="0" w:color="000000"/>
              <w:right w:val="single" w:sz="4" w:space="0" w:color="000000"/>
            </w:tcBorders>
            <w:vAlign w:val="center"/>
          </w:tcPr>
          <w:p w14:paraId="62036CBB" w14:textId="77777777" w:rsidR="00300044" w:rsidRDefault="002602FB">
            <w:pPr>
              <w:spacing w:before="0" w:after="0" w:line="240" w:lineRule="auto"/>
              <w:jc w:val="left"/>
              <w:rPr>
                <w:color w:val="000000"/>
                <w:sz w:val="20"/>
                <w:szCs w:val="20"/>
              </w:rPr>
            </w:pPr>
            <w:r>
              <w:rPr>
                <w:color w:val="000000"/>
                <w:sz w:val="20"/>
                <w:szCs w:val="20"/>
              </w:rPr>
              <w:t>Journal article</w:t>
            </w:r>
          </w:p>
        </w:tc>
        <w:tc>
          <w:tcPr>
            <w:tcW w:w="256" w:type="dxa"/>
            <w:tcBorders>
              <w:top w:val="nil"/>
              <w:left w:val="nil"/>
              <w:bottom w:val="single" w:sz="4" w:space="0" w:color="000000"/>
              <w:right w:val="single" w:sz="4" w:space="0" w:color="000000"/>
            </w:tcBorders>
            <w:vAlign w:val="center"/>
          </w:tcPr>
          <w:p w14:paraId="386F3B51" w14:textId="77777777" w:rsidR="00300044" w:rsidRDefault="002602FB">
            <w:pPr>
              <w:spacing w:before="0" w:after="0" w:line="240" w:lineRule="auto"/>
              <w:jc w:val="right"/>
              <w:rPr>
                <w:color w:val="000000"/>
                <w:sz w:val="20"/>
                <w:szCs w:val="20"/>
              </w:rPr>
            </w:pPr>
            <w:r>
              <w:rPr>
                <w:color w:val="000000"/>
                <w:sz w:val="20"/>
                <w:szCs w:val="20"/>
              </w:rPr>
              <w:t>2024</w:t>
            </w:r>
          </w:p>
        </w:tc>
        <w:tc>
          <w:tcPr>
            <w:tcW w:w="553" w:type="dxa"/>
            <w:tcBorders>
              <w:top w:val="nil"/>
              <w:left w:val="nil"/>
              <w:bottom w:val="single" w:sz="4" w:space="0" w:color="000000"/>
              <w:right w:val="single" w:sz="4" w:space="0" w:color="000000"/>
            </w:tcBorders>
            <w:vAlign w:val="center"/>
          </w:tcPr>
          <w:p w14:paraId="1E437628" w14:textId="77777777" w:rsidR="00300044" w:rsidRDefault="002602FB">
            <w:pPr>
              <w:spacing w:before="0" w:after="0" w:line="240" w:lineRule="auto"/>
              <w:jc w:val="left"/>
              <w:rPr>
                <w:b/>
                <w:bCs/>
                <w:color w:val="000000"/>
                <w:sz w:val="20"/>
                <w:szCs w:val="20"/>
              </w:rPr>
            </w:pPr>
            <w:r>
              <w:rPr>
                <w:b/>
                <w:bCs/>
                <w:color w:val="000000"/>
                <w:sz w:val="20"/>
                <w:szCs w:val="20"/>
              </w:rPr>
              <w:t>2.2 / 2.4</w:t>
            </w:r>
          </w:p>
        </w:tc>
        <w:tc>
          <w:tcPr>
            <w:tcW w:w="843" w:type="dxa"/>
            <w:tcBorders>
              <w:top w:val="nil"/>
              <w:left w:val="nil"/>
              <w:bottom w:val="single" w:sz="4" w:space="0" w:color="000000"/>
              <w:right w:val="single" w:sz="4" w:space="0" w:color="000000"/>
            </w:tcBorders>
            <w:vAlign w:val="center"/>
          </w:tcPr>
          <w:p w14:paraId="1D18AD4E" w14:textId="77777777" w:rsidR="00300044" w:rsidRDefault="002602FB">
            <w:pPr>
              <w:spacing w:before="0" w:after="0" w:line="240" w:lineRule="auto"/>
              <w:jc w:val="left"/>
              <w:rPr>
                <w:color w:val="000000"/>
                <w:sz w:val="20"/>
                <w:szCs w:val="20"/>
              </w:rPr>
            </w:pPr>
            <w:r>
              <w:rPr>
                <w:color w:val="000000"/>
                <w:sz w:val="20"/>
                <w:szCs w:val="20"/>
              </w:rPr>
              <w:t>Eco-friendly beverage packaging and purchase intention</w:t>
            </w:r>
          </w:p>
        </w:tc>
        <w:tc>
          <w:tcPr>
            <w:tcW w:w="1607" w:type="dxa"/>
            <w:tcBorders>
              <w:top w:val="nil"/>
              <w:left w:val="nil"/>
              <w:bottom w:val="single" w:sz="4" w:space="0" w:color="000000"/>
              <w:right w:val="single" w:sz="4" w:space="0" w:color="000000"/>
            </w:tcBorders>
            <w:vAlign w:val="center"/>
          </w:tcPr>
          <w:p w14:paraId="56BD5BD5" w14:textId="77777777" w:rsidR="00300044" w:rsidRDefault="002602FB">
            <w:pPr>
              <w:spacing w:before="0" w:after="0" w:line="240" w:lineRule="auto"/>
              <w:jc w:val="left"/>
              <w:rPr>
                <w:color w:val="000000"/>
                <w:sz w:val="20"/>
                <w:szCs w:val="20"/>
              </w:rPr>
            </w:pPr>
            <w:r>
              <w:rPr>
                <w:color w:val="000000"/>
                <w:sz w:val="20"/>
                <w:szCs w:val="20"/>
              </w:rPr>
              <w:t>To examine the effect of eco-friendly packaging practices on consumers’ purchase intention</w:t>
            </w:r>
          </w:p>
        </w:tc>
        <w:tc>
          <w:tcPr>
            <w:tcW w:w="721" w:type="dxa"/>
            <w:tcBorders>
              <w:top w:val="nil"/>
              <w:left w:val="nil"/>
              <w:bottom w:val="single" w:sz="4" w:space="0" w:color="000000"/>
              <w:right w:val="single" w:sz="4" w:space="0" w:color="000000"/>
            </w:tcBorders>
            <w:vAlign w:val="center"/>
          </w:tcPr>
          <w:p w14:paraId="3978D3B2" w14:textId="77777777" w:rsidR="00300044" w:rsidRDefault="002602FB">
            <w:pPr>
              <w:spacing w:before="0" w:after="0" w:line="240" w:lineRule="auto"/>
              <w:jc w:val="left"/>
              <w:rPr>
                <w:color w:val="000000"/>
                <w:sz w:val="20"/>
                <w:szCs w:val="20"/>
              </w:rPr>
            </w:pPr>
            <w:r>
              <w:rPr>
                <w:color w:val="000000"/>
                <w:sz w:val="20"/>
                <w:szCs w:val="20"/>
              </w:rPr>
              <w:t>Quantitative survey</w:t>
            </w:r>
          </w:p>
        </w:tc>
        <w:tc>
          <w:tcPr>
            <w:tcW w:w="755" w:type="dxa"/>
            <w:tcBorders>
              <w:top w:val="nil"/>
              <w:left w:val="nil"/>
              <w:bottom w:val="single" w:sz="4" w:space="0" w:color="000000"/>
              <w:right w:val="single" w:sz="4" w:space="0" w:color="000000"/>
            </w:tcBorders>
            <w:vAlign w:val="center"/>
          </w:tcPr>
          <w:p w14:paraId="6B5E1AEB" w14:textId="77777777" w:rsidR="00300044" w:rsidRDefault="002602FB">
            <w:pPr>
              <w:spacing w:before="0" w:after="0" w:line="240" w:lineRule="auto"/>
              <w:jc w:val="left"/>
              <w:rPr>
                <w:b/>
                <w:bCs/>
                <w:color w:val="000000"/>
                <w:sz w:val="20"/>
                <w:szCs w:val="20"/>
              </w:rPr>
            </w:pPr>
            <w:r>
              <w:rPr>
                <w:b/>
                <w:bCs/>
                <w:color w:val="000000"/>
                <w:sz w:val="20"/>
                <w:szCs w:val="20"/>
              </w:rPr>
              <w:t>100 Coca-Cola customers/consumers</w:t>
            </w:r>
          </w:p>
        </w:tc>
        <w:tc>
          <w:tcPr>
            <w:tcW w:w="2661" w:type="dxa"/>
            <w:tcBorders>
              <w:top w:val="nil"/>
              <w:left w:val="nil"/>
              <w:bottom w:val="single" w:sz="4" w:space="0" w:color="000000"/>
              <w:right w:val="single" w:sz="4" w:space="0" w:color="000000"/>
            </w:tcBorders>
            <w:vAlign w:val="center"/>
          </w:tcPr>
          <w:p w14:paraId="143B9F9C" w14:textId="77777777" w:rsidR="00300044" w:rsidRDefault="002602FB">
            <w:pPr>
              <w:spacing w:before="0" w:after="0" w:line="240" w:lineRule="auto"/>
              <w:jc w:val="left"/>
              <w:rPr>
                <w:color w:val="000000"/>
                <w:sz w:val="20"/>
                <w:szCs w:val="20"/>
              </w:rPr>
            </w:pPr>
            <w:r>
              <w:rPr>
                <w:color w:val="000000"/>
                <w:sz w:val="20"/>
                <w:szCs w:val="20"/>
              </w:rPr>
              <w:t>Eco-friendly packaging is associated with consumer purchase intention, indicating that packaging can influence immediate consumer decision-making</w:t>
            </w:r>
          </w:p>
        </w:tc>
        <w:tc>
          <w:tcPr>
            <w:tcW w:w="1869" w:type="dxa"/>
            <w:tcBorders>
              <w:top w:val="nil"/>
              <w:left w:val="nil"/>
              <w:bottom w:val="single" w:sz="4" w:space="0" w:color="000000"/>
              <w:right w:val="single" w:sz="4" w:space="0" w:color="000000"/>
            </w:tcBorders>
            <w:vAlign w:val="center"/>
          </w:tcPr>
          <w:p w14:paraId="4E66EF6C" w14:textId="77777777" w:rsidR="00300044" w:rsidRDefault="002602FB">
            <w:pPr>
              <w:spacing w:before="0" w:after="0" w:line="240" w:lineRule="auto"/>
              <w:jc w:val="left"/>
              <w:rPr>
                <w:color w:val="000000"/>
                <w:sz w:val="20"/>
                <w:szCs w:val="20"/>
              </w:rPr>
            </w:pPr>
            <w:r>
              <w:rPr>
                <w:color w:val="000000"/>
                <w:sz w:val="20"/>
                <w:szCs w:val="20"/>
              </w:rPr>
              <w:t xml:space="preserve">Main limitation is the focus on </w:t>
            </w:r>
            <w:r>
              <w:rPr>
                <w:b/>
                <w:bCs/>
                <w:color w:val="000000"/>
                <w:sz w:val="20"/>
                <w:szCs w:val="20"/>
              </w:rPr>
              <w:t>purchase intention rather than brand loyalty</w:t>
            </w:r>
            <w:r>
              <w:rPr>
                <w:color w:val="000000"/>
                <w:sz w:val="20"/>
                <w:szCs w:val="20"/>
              </w:rPr>
              <w:t>. Limited sample and single-brand context restrict generalisability</w:t>
            </w:r>
          </w:p>
        </w:tc>
        <w:tc>
          <w:tcPr>
            <w:tcW w:w="1762" w:type="dxa"/>
            <w:tcBorders>
              <w:top w:val="nil"/>
              <w:left w:val="nil"/>
              <w:bottom w:val="single" w:sz="4" w:space="0" w:color="000000"/>
              <w:right w:val="single" w:sz="4" w:space="0" w:color="000000"/>
            </w:tcBorders>
            <w:vAlign w:val="center"/>
          </w:tcPr>
          <w:p w14:paraId="5DFBF493" w14:textId="77777777" w:rsidR="00300044" w:rsidRDefault="002602FB">
            <w:pPr>
              <w:spacing w:before="0" w:after="0" w:line="240" w:lineRule="auto"/>
              <w:jc w:val="left"/>
              <w:rPr>
                <w:color w:val="000000"/>
                <w:sz w:val="20"/>
                <w:szCs w:val="20"/>
              </w:rPr>
            </w:pPr>
            <w:r>
              <w:rPr>
                <w:color w:val="000000"/>
                <w:sz w:val="20"/>
                <w:szCs w:val="20"/>
              </w:rPr>
              <w:t xml:space="preserve">Supports </w:t>
            </w:r>
            <w:r>
              <w:rPr>
                <w:b/>
                <w:bCs/>
                <w:color w:val="000000"/>
                <w:sz w:val="20"/>
                <w:szCs w:val="20"/>
              </w:rPr>
              <w:t>Duarte et al. (2024)</w:t>
            </w:r>
            <w:r>
              <w:rPr>
                <w:color w:val="000000"/>
                <w:sz w:val="20"/>
                <w:szCs w:val="20"/>
              </w:rPr>
              <w:t xml:space="preserve">. Provides an important contrast with loyalty studies such as </w:t>
            </w:r>
            <w:r>
              <w:rPr>
                <w:b/>
                <w:bCs/>
                <w:color w:val="000000"/>
                <w:sz w:val="20"/>
                <w:szCs w:val="20"/>
              </w:rPr>
              <w:t>Inês and Moreira (2023)</w:t>
            </w:r>
            <w:r>
              <w:rPr>
                <w:color w:val="000000"/>
                <w:sz w:val="20"/>
                <w:szCs w:val="20"/>
              </w:rPr>
              <w:t xml:space="preserve"> and </w:t>
            </w:r>
            <w:r>
              <w:rPr>
                <w:b/>
                <w:bCs/>
                <w:color w:val="000000"/>
                <w:sz w:val="20"/>
                <w:szCs w:val="20"/>
              </w:rPr>
              <w:t>Koay and Low (2025)</w:t>
            </w:r>
          </w:p>
        </w:tc>
      </w:tr>
      <w:tr w:rsidR="00300044" w14:paraId="6CD72E60"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7F2CA109" w14:textId="77777777" w:rsidR="00300044" w:rsidRDefault="002602FB">
            <w:pPr>
              <w:spacing w:before="0" w:after="0" w:line="240" w:lineRule="auto"/>
              <w:jc w:val="right"/>
              <w:rPr>
                <w:b/>
                <w:bCs/>
                <w:color w:val="000000"/>
                <w:sz w:val="20"/>
                <w:szCs w:val="20"/>
              </w:rPr>
            </w:pPr>
            <w:r>
              <w:rPr>
                <w:b/>
                <w:bCs/>
                <w:color w:val="000000"/>
                <w:sz w:val="20"/>
                <w:szCs w:val="20"/>
              </w:rPr>
              <w:t>5</w:t>
            </w:r>
          </w:p>
        </w:tc>
        <w:tc>
          <w:tcPr>
            <w:tcW w:w="658" w:type="dxa"/>
            <w:tcBorders>
              <w:top w:val="nil"/>
              <w:left w:val="nil"/>
              <w:bottom w:val="single" w:sz="4" w:space="0" w:color="000000"/>
              <w:right w:val="single" w:sz="4" w:space="0" w:color="000000"/>
            </w:tcBorders>
            <w:vAlign w:val="center"/>
          </w:tcPr>
          <w:p w14:paraId="6E2AD246" w14:textId="77777777" w:rsidR="00300044" w:rsidRDefault="002602FB">
            <w:pPr>
              <w:spacing w:before="0" w:after="0" w:line="240" w:lineRule="auto"/>
              <w:jc w:val="left"/>
              <w:rPr>
                <w:color w:val="000000"/>
                <w:sz w:val="20"/>
                <w:szCs w:val="20"/>
              </w:rPr>
            </w:pPr>
            <w:r>
              <w:rPr>
                <w:color w:val="000000"/>
                <w:sz w:val="20"/>
                <w:szCs w:val="20"/>
              </w:rPr>
              <w:t xml:space="preserve">Quoc, T.N., Phuc, </w:t>
            </w:r>
            <w:r>
              <w:rPr>
                <w:color w:val="000000"/>
                <w:sz w:val="20"/>
                <w:szCs w:val="20"/>
              </w:rPr>
              <w:lastRenderedPageBreak/>
              <w:t>N.N. and Duong, N.H.</w:t>
            </w:r>
          </w:p>
        </w:tc>
        <w:tc>
          <w:tcPr>
            <w:tcW w:w="1496" w:type="dxa"/>
            <w:tcBorders>
              <w:top w:val="nil"/>
              <w:left w:val="nil"/>
              <w:bottom w:val="single" w:sz="4" w:space="0" w:color="000000"/>
              <w:right w:val="single" w:sz="4" w:space="0" w:color="000000"/>
            </w:tcBorders>
            <w:vAlign w:val="center"/>
          </w:tcPr>
          <w:p w14:paraId="7BD1B8F1" w14:textId="77777777" w:rsidR="00300044" w:rsidRDefault="002602FB">
            <w:pPr>
              <w:spacing w:before="0" w:after="0" w:line="240" w:lineRule="auto"/>
              <w:jc w:val="left"/>
              <w:rPr>
                <w:i/>
                <w:iCs/>
                <w:color w:val="000000"/>
                <w:sz w:val="20"/>
                <w:szCs w:val="20"/>
              </w:rPr>
            </w:pPr>
            <w:r>
              <w:rPr>
                <w:i/>
                <w:iCs/>
                <w:color w:val="000000"/>
                <w:sz w:val="20"/>
                <w:szCs w:val="20"/>
              </w:rPr>
              <w:lastRenderedPageBreak/>
              <w:t>Examining green packaging, branding, and eco-</w:t>
            </w:r>
            <w:proofErr w:type="spellStart"/>
            <w:r>
              <w:rPr>
                <w:i/>
                <w:iCs/>
                <w:color w:val="000000"/>
                <w:sz w:val="20"/>
                <w:szCs w:val="20"/>
              </w:rPr>
              <w:t>labeling</w:t>
            </w:r>
            <w:proofErr w:type="spellEnd"/>
            <w:r>
              <w:rPr>
                <w:i/>
                <w:iCs/>
                <w:color w:val="000000"/>
                <w:sz w:val="20"/>
                <w:szCs w:val="20"/>
              </w:rPr>
              <w:t xml:space="preserve"> strategies: </w:t>
            </w:r>
            <w:r>
              <w:rPr>
                <w:i/>
                <w:iCs/>
                <w:color w:val="000000"/>
                <w:sz w:val="20"/>
                <w:szCs w:val="20"/>
              </w:rPr>
              <w:lastRenderedPageBreak/>
              <w:t>The case of young consumers’ perceptions and responses in F&amp;B industry</w:t>
            </w:r>
          </w:p>
        </w:tc>
        <w:tc>
          <w:tcPr>
            <w:tcW w:w="693" w:type="dxa"/>
            <w:tcBorders>
              <w:top w:val="nil"/>
              <w:left w:val="nil"/>
              <w:bottom w:val="single" w:sz="4" w:space="0" w:color="000000"/>
              <w:right w:val="single" w:sz="4" w:space="0" w:color="000000"/>
            </w:tcBorders>
            <w:vAlign w:val="center"/>
          </w:tcPr>
          <w:p w14:paraId="37B0FCF2" w14:textId="77777777" w:rsidR="00300044" w:rsidRDefault="002602FB">
            <w:pPr>
              <w:spacing w:before="0" w:after="0" w:line="240" w:lineRule="auto"/>
              <w:jc w:val="left"/>
              <w:rPr>
                <w:color w:val="000000"/>
                <w:sz w:val="20"/>
                <w:szCs w:val="20"/>
              </w:rPr>
            </w:pPr>
            <w:r>
              <w:rPr>
                <w:color w:val="000000"/>
                <w:sz w:val="20"/>
                <w:szCs w:val="20"/>
              </w:rPr>
              <w:lastRenderedPageBreak/>
              <w:t xml:space="preserve">Journal article, </w:t>
            </w:r>
            <w:r>
              <w:rPr>
                <w:i/>
                <w:iCs/>
                <w:color w:val="000000"/>
                <w:sz w:val="20"/>
                <w:szCs w:val="20"/>
              </w:rPr>
              <w:t xml:space="preserve">Cleaner </w:t>
            </w:r>
            <w:r>
              <w:rPr>
                <w:i/>
                <w:iCs/>
                <w:color w:val="000000"/>
                <w:sz w:val="20"/>
                <w:szCs w:val="20"/>
              </w:rPr>
              <w:lastRenderedPageBreak/>
              <w:t>and Responsible Consumption</w:t>
            </w:r>
          </w:p>
        </w:tc>
        <w:tc>
          <w:tcPr>
            <w:tcW w:w="256" w:type="dxa"/>
            <w:tcBorders>
              <w:top w:val="nil"/>
              <w:left w:val="nil"/>
              <w:bottom w:val="single" w:sz="4" w:space="0" w:color="000000"/>
              <w:right w:val="single" w:sz="4" w:space="0" w:color="000000"/>
            </w:tcBorders>
            <w:vAlign w:val="center"/>
          </w:tcPr>
          <w:p w14:paraId="1BE4B273" w14:textId="77777777" w:rsidR="00300044" w:rsidRDefault="002602FB">
            <w:pPr>
              <w:spacing w:before="0" w:after="0" w:line="240" w:lineRule="auto"/>
              <w:jc w:val="right"/>
              <w:rPr>
                <w:color w:val="000000"/>
                <w:sz w:val="20"/>
                <w:szCs w:val="20"/>
              </w:rPr>
            </w:pPr>
            <w:r>
              <w:rPr>
                <w:color w:val="000000"/>
                <w:sz w:val="20"/>
                <w:szCs w:val="20"/>
              </w:rPr>
              <w:lastRenderedPageBreak/>
              <w:t>2025</w:t>
            </w:r>
          </w:p>
        </w:tc>
        <w:tc>
          <w:tcPr>
            <w:tcW w:w="553" w:type="dxa"/>
            <w:tcBorders>
              <w:top w:val="nil"/>
              <w:left w:val="nil"/>
              <w:bottom w:val="single" w:sz="4" w:space="0" w:color="000000"/>
              <w:right w:val="single" w:sz="4" w:space="0" w:color="000000"/>
            </w:tcBorders>
            <w:vAlign w:val="center"/>
          </w:tcPr>
          <w:p w14:paraId="2F9E93C9" w14:textId="77777777" w:rsidR="00300044" w:rsidRDefault="002602FB">
            <w:pPr>
              <w:spacing w:before="0" w:after="0" w:line="240" w:lineRule="auto"/>
              <w:jc w:val="left"/>
              <w:rPr>
                <w:b/>
                <w:bCs/>
                <w:color w:val="000000"/>
                <w:sz w:val="20"/>
                <w:szCs w:val="20"/>
              </w:rPr>
            </w:pPr>
            <w:r>
              <w:rPr>
                <w:b/>
                <w:bCs/>
                <w:color w:val="000000"/>
                <w:sz w:val="20"/>
                <w:szCs w:val="20"/>
              </w:rPr>
              <w:t>2.2 / 2.4</w:t>
            </w:r>
          </w:p>
        </w:tc>
        <w:tc>
          <w:tcPr>
            <w:tcW w:w="843" w:type="dxa"/>
            <w:tcBorders>
              <w:top w:val="nil"/>
              <w:left w:val="nil"/>
              <w:bottom w:val="single" w:sz="4" w:space="0" w:color="000000"/>
              <w:right w:val="single" w:sz="4" w:space="0" w:color="000000"/>
            </w:tcBorders>
            <w:vAlign w:val="center"/>
          </w:tcPr>
          <w:p w14:paraId="71984DB9" w14:textId="77777777" w:rsidR="00300044" w:rsidRDefault="002602FB">
            <w:pPr>
              <w:spacing w:before="0" w:after="0" w:line="240" w:lineRule="auto"/>
              <w:jc w:val="left"/>
              <w:rPr>
                <w:color w:val="000000"/>
                <w:sz w:val="20"/>
                <w:szCs w:val="20"/>
              </w:rPr>
            </w:pPr>
            <w:r>
              <w:rPr>
                <w:color w:val="000000"/>
                <w:sz w:val="20"/>
                <w:szCs w:val="20"/>
              </w:rPr>
              <w:t>Green packaging, branding and eco-</w:t>
            </w:r>
            <w:r>
              <w:rPr>
                <w:color w:val="000000"/>
                <w:sz w:val="20"/>
                <w:szCs w:val="20"/>
              </w:rPr>
              <w:lastRenderedPageBreak/>
              <w:t>labelling</w:t>
            </w:r>
          </w:p>
        </w:tc>
        <w:tc>
          <w:tcPr>
            <w:tcW w:w="1607" w:type="dxa"/>
            <w:tcBorders>
              <w:top w:val="nil"/>
              <w:left w:val="nil"/>
              <w:bottom w:val="single" w:sz="4" w:space="0" w:color="000000"/>
              <w:right w:val="single" w:sz="4" w:space="0" w:color="000000"/>
            </w:tcBorders>
            <w:vAlign w:val="center"/>
          </w:tcPr>
          <w:p w14:paraId="7AEAABE3" w14:textId="77777777" w:rsidR="00300044" w:rsidRDefault="002602FB">
            <w:pPr>
              <w:spacing w:before="0" w:after="0" w:line="240" w:lineRule="auto"/>
              <w:jc w:val="left"/>
              <w:rPr>
                <w:color w:val="000000"/>
                <w:sz w:val="20"/>
                <w:szCs w:val="20"/>
              </w:rPr>
            </w:pPr>
            <w:r>
              <w:rPr>
                <w:color w:val="000000"/>
                <w:sz w:val="20"/>
                <w:szCs w:val="20"/>
              </w:rPr>
              <w:lastRenderedPageBreak/>
              <w:t xml:space="preserve">To examine how young consumers respond to green packaging, </w:t>
            </w:r>
            <w:r>
              <w:rPr>
                <w:color w:val="000000"/>
                <w:sz w:val="20"/>
                <w:szCs w:val="20"/>
              </w:rPr>
              <w:lastRenderedPageBreak/>
              <w:t>branding and eco-labelling strategies</w:t>
            </w:r>
          </w:p>
        </w:tc>
        <w:tc>
          <w:tcPr>
            <w:tcW w:w="721" w:type="dxa"/>
            <w:tcBorders>
              <w:top w:val="nil"/>
              <w:left w:val="nil"/>
              <w:bottom w:val="single" w:sz="4" w:space="0" w:color="000000"/>
              <w:right w:val="single" w:sz="4" w:space="0" w:color="000000"/>
            </w:tcBorders>
            <w:vAlign w:val="center"/>
          </w:tcPr>
          <w:p w14:paraId="17D12312" w14:textId="77777777" w:rsidR="00300044" w:rsidRDefault="002602FB">
            <w:pPr>
              <w:spacing w:before="0" w:after="0" w:line="240" w:lineRule="auto"/>
              <w:jc w:val="left"/>
              <w:rPr>
                <w:color w:val="000000"/>
                <w:sz w:val="20"/>
                <w:szCs w:val="20"/>
              </w:rPr>
            </w:pPr>
            <w:r>
              <w:rPr>
                <w:color w:val="000000"/>
                <w:sz w:val="20"/>
                <w:szCs w:val="20"/>
              </w:rPr>
              <w:lastRenderedPageBreak/>
              <w:t xml:space="preserve">Quantitative consumer </w:t>
            </w:r>
            <w:r>
              <w:rPr>
                <w:color w:val="000000"/>
                <w:sz w:val="20"/>
                <w:szCs w:val="20"/>
              </w:rPr>
              <w:lastRenderedPageBreak/>
              <w:t>research</w:t>
            </w:r>
          </w:p>
        </w:tc>
        <w:tc>
          <w:tcPr>
            <w:tcW w:w="755" w:type="dxa"/>
            <w:tcBorders>
              <w:top w:val="nil"/>
              <w:left w:val="nil"/>
              <w:bottom w:val="single" w:sz="4" w:space="0" w:color="000000"/>
              <w:right w:val="single" w:sz="4" w:space="0" w:color="000000"/>
            </w:tcBorders>
            <w:vAlign w:val="center"/>
          </w:tcPr>
          <w:p w14:paraId="4D3B29E7" w14:textId="77777777" w:rsidR="00300044" w:rsidRDefault="002602FB">
            <w:pPr>
              <w:spacing w:before="0" w:after="0" w:line="240" w:lineRule="auto"/>
              <w:jc w:val="left"/>
              <w:rPr>
                <w:b/>
                <w:bCs/>
                <w:color w:val="000000"/>
                <w:sz w:val="20"/>
                <w:szCs w:val="20"/>
              </w:rPr>
            </w:pPr>
            <w:r>
              <w:rPr>
                <w:b/>
                <w:bCs/>
                <w:color w:val="000000"/>
                <w:sz w:val="20"/>
                <w:szCs w:val="20"/>
              </w:rPr>
              <w:lastRenderedPageBreak/>
              <w:t xml:space="preserve">308 young Vietnamese </w:t>
            </w:r>
            <w:r>
              <w:rPr>
                <w:b/>
                <w:bCs/>
                <w:color w:val="000000"/>
                <w:sz w:val="20"/>
                <w:szCs w:val="20"/>
              </w:rPr>
              <w:lastRenderedPageBreak/>
              <w:t>consumers</w:t>
            </w:r>
          </w:p>
        </w:tc>
        <w:tc>
          <w:tcPr>
            <w:tcW w:w="2661" w:type="dxa"/>
            <w:tcBorders>
              <w:top w:val="nil"/>
              <w:left w:val="nil"/>
              <w:bottom w:val="single" w:sz="4" w:space="0" w:color="000000"/>
              <w:right w:val="single" w:sz="4" w:space="0" w:color="000000"/>
            </w:tcBorders>
            <w:vAlign w:val="center"/>
          </w:tcPr>
          <w:p w14:paraId="71C35DE1" w14:textId="77777777" w:rsidR="00300044" w:rsidRDefault="002602FB">
            <w:pPr>
              <w:spacing w:before="0" w:after="0" w:line="240" w:lineRule="auto"/>
              <w:jc w:val="left"/>
              <w:rPr>
                <w:color w:val="000000"/>
                <w:sz w:val="20"/>
                <w:szCs w:val="20"/>
              </w:rPr>
            </w:pPr>
            <w:r>
              <w:rPr>
                <w:color w:val="000000"/>
                <w:sz w:val="20"/>
                <w:szCs w:val="20"/>
              </w:rPr>
              <w:lastRenderedPageBreak/>
              <w:t xml:space="preserve">Eco-labelling can be particularly influential in shaping consumer responses, while green packaging alone does not </w:t>
            </w:r>
            <w:r>
              <w:rPr>
                <w:color w:val="000000"/>
                <w:sz w:val="20"/>
                <w:szCs w:val="20"/>
              </w:rPr>
              <w:lastRenderedPageBreak/>
              <w:t>necessarily generate strong cognitive responses</w:t>
            </w:r>
          </w:p>
        </w:tc>
        <w:tc>
          <w:tcPr>
            <w:tcW w:w="1869" w:type="dxa"/>
            <w:tcBorders>
              <w:top w:val="nil"/>
              <w:left w:val="nil"/>
              <w:bottom w:val="single" w:sz="4" w:space="0" w:color="000000"/>
              <w:right w:val="single" w:sz="4" w:space="0" w:color="000000"/>
            </w:tcBorders>
            <w:vAlign w:val="center"/>
          </w:tcPr>
          <w:p w14:paraId="6EF56E35" w14:textId="77777777" w:rsidR="00300044" w:rsidRDefault="002602FB">
            <w:pPr>
              <w:spacing w:before="0" w:after="0" w:line="240" w:lineRule="auto"/>
              <w:jc w:val="left"/>
              <w:rPr>
                <w:color w:val="000000"/>
                <w:sz w:val="20"/>
                <w:szCs w:val="20"/>
              </w:rPr>
            </w:pPr>
            <w:r>
              <w:rPr>
                <w:color w:val="000000"/>
                <w:sz w:val="20"/>
                <w:szCs w:val="20"/>
              </w:rPr>
              <w:lastRenderedPageBreak/>
              <w:t xml:space="preserve">Young Vietnamese consumers limit generalisability to the </w:t>
            </w:r>
            <w:r>
              <w:rPr>
                <w:b/>
                <w:bCs/>
                <w:color w:val="000000"/>
                <w:sz w:val="20"/>
                <w:szCs w:val="20"/>
              </w:rPr>
              <w:t>UK population</w:t>
            </w:r>
            <w:r>
              <w:rPr>
                <w:color w:val="000000"/>
                <w:sz w:val="20"/>
                <w:szCs w:val="20"/>
              </w:rPr>
              <w:t xml:space="preserve">. Does </w:t>
            </w:r>
            <w:r>
              <w:rPr>
                <w:color w:val="000000"/>
                <w:sz w:val="20"/>
                <w:szCs w:val="20"/>
              </w:rPr>
              <w:lastRenderedPageBreak/>
              <w:t>not directly measure long-term brand loyalty</w:t>
            </w:r>
          </w:p>
        </w:tc>
        <w:tc>
          <w:tcPr>
            <w:tcW w:w="1762" w:type="dxa"/>
            <w:tcBorders>
              <w:top w:val="nil"/>
              <w:left w:val="nil"/>
              <w:bottom w:val="single" w:sz="4" w:space="0" w:color="000000"/>
              <w:right w:val="single" w:sz="4" w:space="0" w:color="000000"/>
            </w:tcBorders>
            <w:vAlign w:val="center"/>
          </w:tcPr>
          <w:p w14:paraId="5891CFA1" w14:textId="77777777" w:rsidR="00300044" w:rsidRDefault="002602FB">
            <w:pPr>
              <w:spacing w:before="0" w:after="0" w:line="240" w:lineRule="auto"/>
              <w:jc w:val="left"/>
              <w:rPr>
                <w:color w:val="000000"/>
                <w:sz w:val="20"/>
                <w:szCs w:val="20"/>
              </w:rPr>
            </w:pPr>
            <w:r>
              <w:rPr>
                <w:color w:val="000000"/>
                <w:sz w:val="20"/>
                <w:szCs w:val="20"/>
              </w:rPr>
              <w:lastRenderedPageBreak/>
              <w:t xml:space="preserve">Strongly connects with </w:t>
            </w:r>
            <w:r>
              <w:rPr>
                <w:b/>
                <w:bCs/>
                <w:color w:val="000000"/>
                <w:sz w:val="20"/>
                <w:szCs w:val="20"/>
              </w:rPr>
              <w:t>Norton et al. (2022)</w:t>
            </w:r>
            <w:r>
              <w:rPr>
                <w:color w:val="000000"/>
                <w:sz w:val="20"/>
                <w:szCs w:val="20"/>
              </w:rPr>
              <w:t xml:space="preserve"> on labelling and environmental </w:t>
            </w:r>
            <w:r>
              <w:rPr>
                <w:color w:val="000000"/>
                <w:sz w:val="20"/>
                <w:szCs w:val="20"/>
              </w:rPr>
              <w:lastRenderedPageBreak/>
              <w:t>information. Challenges the assumption that sustainable packaging automatically creates positive consumer attitudes</w:t>
            </w:r>
          </w:p>
        </w:tc>
      </w:tr>
      <w:tr w:rsidR="00300044" w14:paraId="46BAA001"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161AFF61" w14:textId="77777777" w:rsidR="00300044" w:rsidRDefault="002602FB">
            <w:pPr>
              <w:spacing w:before="0" w:after="0" w:line="240" w:lineRule="auto"/>
              <w:jc w:val="right"/>
              <w:rPr>
                <w:b/>
                <w:bCs/>
                <w:color w:val="000000"/>
                <w:sz w:val="20"/>
                <w:szCs w:val="20"/>
              </w:rPr>
            </w:pPr>
            <w:r>
              <w:rPr>
                <w:b/>
                <w:bCs/>
                <w:color w:val="000000"/>
                <w:sz w:val="20"/>
                <w:szCs w:val="20"/>
              </w:rPr>
              <w:lastRenderedPageBreak/>
              <w:t>6</w:t>
            </w:r>
          </w:p>
        </w:tc>
        <w:tc>
          <w:tcPr>
            <w:tcW w:w="658" w:type="dxa"/>
            <w:tcBorders>
              <w:top w:val="nil"/>
              <w:left w:val="nil"/>
              <w:bottom w:val="single" w:sz="4" w:space="0" w:color="000000"/>
              <w:right w:val="single" w:sz="4" w:space="0" w:color="000000"/>
            </w:tcBorders>
            <w:vAlign w:val="center"/>
          </w:tcPr>
          <w:p w14:paraId="24C3F24C" w14:textId="77777777" w:rsidR="00300044" w:rsidRDefault="002602FB">
            <w:pPr>
              <w:spacing w:before="0" w:after="0" w:line="240" w:lineRule="auto"/>
              <w:jc w:val="left"/>
              <w:rPr>
                <w:color w:val="000000"/>
                <w:sz w:val="20"/>
                <w:szCs w:val="20"/>
              </w:rPr>
            </w:pPr>
            <w:r>
              <w:rPr>
                <w:color w:val="000000"/>
                <w:sz w:val="20"/>
                <w:szCs w:val="20"/>
              </w:rPr>
              <w:t>Emila, A.D. and Olulu-Briggs, O.V.</w:t>
            </w:r>
          </w:p>
        </w:tc>
        <w:tc>
          <w:tcPr>
            <w:tcW w:w="1496" w:type="dxa"/>
            <w:tcBorders>
              <w:top w:val="nil"/>
              <w:left w:val="nil"/>
              <w:bottom w:val="single" w:sz="4" w:space="0" w:color="000000"/>
              <w:right w:val="single" w:sz="4" w:space="0" w:color="000000"/>
            </w:tcBorders>
            <w:vAlign w:val="center"/>
          </w:tcPr>
          <w:p w14:paraId="0C332115" w14:textId="77777777" w:rsidR="00300044" w:rsidRDefault="002602FB">
            <w:pPr>
              <w:spacing w:before="0" w:after="0" w:line="240" w:lineRule="auto"/>
              <w:jc w:val="left"/>
              <w:rPr>
                <w:i/>
                <w:iCs/>
                <w:color w:val="000000"/>
                <w:sz w:val="20"/>
                <w:szCs w:val="20"/>
              </w:rPr>
            </w:pPr>
            <w:r>
              <w:rPr>
                <w:i/>
                <w:iCs/>
                <w:color w:val="000000"/>
                <w:sz w:val="20"/>
                <w:szCs w:val="20"/>
              </w:rPr>
              <w:t>Digital Marketing Strategies and Brand Loyalty among Quoted Food and Beverage Firms in Nigeria</w:t>
            </w:r>
          </w:p>
        </w:tc>
        <w:tc>
          <w:tcPr>
            <w:tcW w:w="693" w:type="dxa"/>
            <w:tcBorders>
              <w:top w:val="nil"/>
              <w:left w:val="nil"/>
              <w:bottom w:val="single" w:sz="4" w:space="0" w:color="000000"/>
              <w:right w:val="single" w:sz="4" w:space="0" w:color="000000"/>
            </w:tcBorders>
            <w:vAlign w:val="center"/>
          </w:tcPr>
          <w:p w14:paraId="2088E372" w14:textId="77777777" w:rsidR="00300044" w:rsidRDefault="002602FB">
            <w:pPr>
              <w:spacing w:before="0" w:after="0" w:line="240" w:lineRule="auto"/>
              <w:jc w:val="left"/>
              <w:rPr>
                <w:color w:val="000000"/>
                <w:sz w:val="20"/>
                <w:szCs w:val="20"/>
              </w:rPr>
            </w:pPr>
            <w:r>
              <w:rPr>
                <w:color w:val="000000"/>
                <w:sz w:val="20"/>
                <w:szCs w:val="20"/>
              </w:rPr>
              <w:t>Journal article</w:t>
            </w:r>
          </w:p>
        </w:tc>
        <w:tc>
          <w:tcPr>
            <w:tcW w:w="256" w:type="dxa"/>
            <w:tcBorders>
              <w:top w:val="nil"/>
              <w:left w:val="nil"/>
              <w:bottom w:val="single" w:sz="4" w:space="0" w:color="000000"/>
              <w:right w:val="single" w:sz="4" w:space="0" w:color="000000"/>
            </w:tcBorders>
            <w:vAlign w:val="center"/>
          </w:tcPr>
          <w:p w14:paraId="3E8A4476" w14:textId="77777777" w:rsidR="00300044" w:rsidRDefault="002602FB">
            <w:pPr>
              <w:spacing w:before="0" w:after="0" w:line="240" w:lineRule="auto"/>
              <w:jc w:val="right"/>
              <w:rPr>
                <w:color w:val="000000"/>
                <w:sz w:val="20"/>
                <w:szCs w:val="20"/>
              </w:rPr>
            </w:pPr>
            <w:r>
              <w:rPr>
                <w:color w:val="000000"/>
                <w:sz w:val="20"/>
                <w:szCs w:val="20"/>
              </w:rPr>
              <w:t>2026</w:t>
            </w:r>
          </w:p>
        </w:tc>
        <w:tc>
          <w:tcPr>
            <w:tcW w:w="553" w:type="dxa"/>
            <w:tcBorders>
              <w:top w:val="nil"/>
              <w:left w:val="nil"/>
              <w:bottom w:val="single" w:sz="4" w:space="0" w:color="000000"/>
              <w:right w:val="single" w:sz="4" w:space="0" w:color="000000"/>
            </w:tcBorders>
            <w:vAlign w:val="center"/>
          </w:tcPr>
          <w:p w14:paraId="5971379C" w14:textId="77777777" w:rsidR="00300044" w:rsidRDefault="002602FB">
            <w:pPr>
              <w:spacing w:before="0" w:after="0" w:line="240" w:lineRule="auto"/>
              <w:jc w:val="left"/>
              <w:rPr>
                <w:b/>
                <w:bCs/>
                <w:color w:val="000000"/>
                <w:sz w:val="20"/>
                <w:szCs w:val="20"/>
              </w:rPr>
            </w:pPr>
            <w:r>
              <w:rPr>
                <w:b/>
                <w:bCs/>
                <w:color w:val="000000"/>
                <w:sz w:val="20"/>
                <w:szCs w:val="20"/>
              </w:rPr>
              <w:t>2.3 Understanding Brand Loyalty</w:t>
            </w:r>
          </w:p>
        </w:tc>
        <w:tc>
          <w:tcPr>
            <w:tcW w:w="843" w:type="dxa"/>
            <w:tcBorders>
              <w:top w:val="nil"/>
              <w:left w:val="nil"/>
              <w:bottom w:val="single" w:sz="4" w:space="0" w:color="000000"/>
              <w:right w:val="single" w:sz="4" w:space="0" w:color="000000"/>
            </w:tcBorders>
            <w:vAlign w:val="center"/>
          </w:tcPr>
          <w:p w14:paraId="676F4638" w14:textId="77777777" w:rsidR="00300044" w:rsidRDefault="002602FB">
            <w:pPr>
              <w:spacing w:before="0" w:after="0" w:line="240" w:lineRule="auto"/>
              <w:jc w:val="left"/>
              <w:rPr>
                <w:color w:val="000000"/>
                <w:sz w:val="20"/>
                <w:szCs w:val="20"/>
              </w:rPr>
            </w:pPr>
            <w:r>
              <w:rPr>
                <w:color w:val="000000"/>
                <w:sz w:val="20"/>
                <w:szCs w:val="20"/>
              </w:rPr>
              <w:t>Brand loyalty in food and beverage firms</w:t>
            </w:r>
          </w:p>
        </w:tc>
        <w:tc>
          <w:tcPr>
            <w:tcW w:w="1607" w:type="dxa"/>
            <w:tcBorders>
              <w:top w:val="nil"/>
              <w:left w:val="nil"/>
              <w:bottom w:val="single" w:sz="4" w:space="0" w:color="000000"/>
              <w:right w:val="single" w:sz="4" w:space="0" w:color="000000"/>
            </w:tcBorders>
            <w:vAlign w:val="center"/>
          </w:tcPr>
          <w:p w14:paraId="32E5B76C" w14:textId="77777777" w:rsidR="00300044" w:rsidRDefault="002602FB">
            <w:pPr>
              <w:spacing w:before="0" w:after="0" w:line="240" w:lineRule="auto"/>
              <w:jc w:val="left"/>
              <w:rPr>
                <w:color w:val="000000"/>
                <w:sz w:val="20"/>
                <w:szCs w:val="20"/>
              </w:rPr>
            </w:pPr>
            <w:r>
              <w:rPr>
                <w:color w:val="000000"/>
                <w:sz w:val="20"/>
                <w:szCs w:val="20"/>
              </w:rPr>
              <w:t>To examine the relationship between digital marketing strategies and brand loyalty and consider the role of consumer trust</w:t>
            </w:r>
          </w:p>
        </w:tc>
        <w:tc>
          <w:tcPr>
            <w:tcW w:w="721" w:type="dxa"/>
            <w:tcBorders>
              <w:top w:val="nil"/>
              <w:left w:val="nil"/>
              <w:bottom w:val="single" w:sz="4" w:space="0" w:color="000000"/>
              <w:right w:val="single" w:sz="4" w:space="0" w:color="000000"/>
            </w:tcBorders>
            <w:vAlign w:val="center"/>
          </w:tcPr>
          <w:p w14:paraId="31BA8559" w14:textId="77777777" w:rsidR="00300044" w:rsidRDefault="002602FB">
            <w:pPr>
              <w:spacing w:before="0" w:after="0" w:line="240" w:lineRule="auto"/>
              <w:jc w:val="left"/>
              <w:rPr>
                <w:color w:val="000000"/>
                <w:sz w:val="20"/>
                <w:szCs w:val="20"/>
              </w:rPr>
            </w:pPr>
            <w:r>
              <w:rPr>
                <w:color w:val="000000"/>
                <w:sz w:val="20"/>
                <w:szCs w:val="20"/>
              </w:rPr>
              <w:t>Quantitative research</w:t>
            </w:r>
          </w:p>
        </w:tc>
        <w:tc>
          <w:tcPr>
            <w:tcW w:w="755" w:type="dxa"/>
            <w:tcBorders>
              <w:top w:val="nil"/>
              <w:left w:val="nil"/>
              <w:bottom w:val="single" w:sz="4" w:space="0" w:color="000000"/>
              <w:right w:val="single" w:sz="4" w:space="0" w:color="000000"/>
            </w:tcBorders>
            <w:vAlign w:val="center"/>
          </w:tcPr>
          <w:p w14:paraId="5B9A7C60" w14:textId="77777777" w:rsidR="00300044" w:rsidRDefault="002602FB">
            <w:pPr>
              <w:spacing w:before="0" w:after="0" w:line="240" w:lineRule="auto"/>
              <w:jc w:val="left"/>
              <w:rPr>
                <w:color w:val="000000"/>
                <w:sz w:val="20"/>
                <w:szCs w:val="20"/>
              </w:rPr>
            </w:pPr>
            <w:r>
              <w:rPr>
                <w:color w:val="000000"/>
                <w:sz w:val="20"/>
                <w:szCs w:val="20"/>
              </w:rPr>
              <w:t>Nigerian quoted food and beverage firms</w:t>
            </w:r>
          </w:p>
        </w:tc>
        <w:tc>
          <w:tcPr>
            <w:tcW w:w="2661" w:type="dxa"/>
            <w:tcBorders>
              <w:top w:val="nil"/>
              <w:left w:val="nil"/>
              <w:bottom w:val="single" w:sz="4" w:space="0" w:color="000000"/>
              <w:right w:val="single" w:sz="4" w:space="0" w:color="000000"/>
            </w:tcBorders>
            <w:vAlign w:val="center"/>
          </w:tcPr>
          <w:p w14:paraId="50A24EEF" w14:textId="77777777" w:rsidR="00300044" w:rsidRDefault="002602FB">
            <w:pPr>
              <w:spacing w:before="0" w:after="0" w:line="240" w:lineRule="auto"/>
              <w:jc w:val="left"/>
              <w:rPr>
                <w:color w:val="000000"/>
                <w:sz w:val="20"/>
                <w:szCs w:val="20"/>
              </w:rPr>
            </w:pPr>
            <w:r>
              <w:rPr>
                <w:color w:val="000000"/>
                <w:sz w:val="20"/>
                <w:szCs w:val="20"/>
              </w:rPr>
              <w:t>Brand loyalty is influenced by broader relationship-building and marketing activities; trust is relevant to the development of loyalty</w:t>
            </w:r>
          </w:p>
        </w:tc>
        <w:tc>
          <w:tcPr>
            <w:tcW w:w="1869" w:type="dxa"/>
            <w:tcBorders>
              <w:top w:val="nil"/>
              <w:left w:val="nil"/>
              <w:bottom w:val="single" w:sz="4" w:space="0" w:color="000000"/>
              <w:right w:val="single" w:sz="4" w:space="0" w:color="000000"/>
            </w:tcBorders>
            <w:vAlign w:val="center"/>
          </w:tcPr>
          <w:p w14:paraId="7DBAFB6A" w14:textId="77777777" w:rsidR="00300044" w:rsidRDefault="002602FB">
            <w:pPr>
              <w:spacing w:before="0" w:after="0" w:line="240" w:lineRule="auto"/>
              <w:jc w:val="left"/>
              <w:rPr>
                <w:color w:val="000000"/>
                <w:sz w:val="20"/>
                <w:szCs w:val="20"/>
              </w:rPr>
            </w:pPr>
            <w:r>
              <w:rPr>
                <w:color w:val="000000"/>
                <w:sz w:val="20"/>
                <w:szCs w:val="20"/>
              </w:rPr>
              <w:t xml:space="preserve">Different country and marketing context. Focuses on </w:t>
            </w:r>
            <w:r>
              <w:rPr>
                <w:b/>
                <w:bCs/>
                <w:color w:val="000000"/>
                <w:sz w:val="20"/>
                <w:szCs w:val="20"/>
              </w:rPr>
              <w:t>digital marketing rather than sustainable packaging</w:t>
            </w:r>
          </w:p>
        </w:tc>
        <w:tc>
          <w:tcPr>
            <w:tcW w:w="1762" w:type="dxa"/>
            <w:tcBorders>
              <w:top w:val="nil"/>
              <w:left w:val="nil"/>
              <w:bottom w:val="single" w:sz="4" w:space="0" w:color="000000"/>
              <w:right w:val="single" w:sz="4" w:space="0" w:color="000000"/>
            </w:tcBorders>
            <w:vAlign w:val="center"/>
          </w:tcPr>
          <w:p w14:paraId="094C147C" w14:textId="77777777" w:rsidR="00300044" w:rsidRDefault="002602FB">
            <w:pPr>
              <w:spacing w:before="0" w:after="0" w:line="240" w:lineRule="auto"/>
              <w:jc w:val="left"/>
              <w:rPr>
                <w:color w:val="000000"/>
                <w:sz w:val="20"/>
                <w:szCs w:val="20"/>
              </w:rPr>
            </w:pPr>
            <w:r>
              <w:rPr>
                <w:color w:val="000000"/>
                <w:sz w:val="20"/>
                <w:szCs w:val="20"/>
              </w:rPr>
              <w:t xml:space="preserve">Helps demonstrate that loyalty is multidimensional and should not be attributed to one marketing element alone. Links conceptually with </w:t>
            </w:r>
            <w:r>
              <w:rPr>
                <w:b/>
                <w:bCs/>
                <w:color w:val="000000"/>
                <w:sz w:val="20"/>
                <w:szCs w:val="20"/>
              </w:rPr>
              <w:t>Koay and Low (2025)</w:t>
            </w:r>
          </w:p>
        </w:tc>
      </w:tr>
      <w:tr w:rsidR="00300044" w14:paraId="32450DA7"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009920BB" w14:textId="77777777" w:rsidR="00300044" w:rsidRDefault="002602FB">
            <w:pPr>
              <w:spacing w:before="0" w:after="0" w:line="240" w:lineRule="auto"/>
              <w:jc w:val="right"/>
              <w:rPr>
                <w:b/>
                <w:bCs/>
                <w:color w:val="000000"/>
                <w:sz w:val="20"/>
                <w:szCs w:val="20"/>
              </w:rPr>
            </w:pPr>
            <w:r>
              <w:rPr>
                <w:b/>
                <w:bCs/>
                <w:color w:val="000000"/>
                <w:sz w:val="20"/>
                <w:szCs w:val="20"/>
              </w:rPr>
              <w:t>7</w:t>
            </w:r>
          </w:p>
        </w:tc>
        <w:tc>
          <w:tcPr>
            <w:tcW w:w="658" w:type="dxa"/>
            <w:tcBorders>
              <w:top w:val="nil"/>
              <w:left w:val="nil"/>
              <w:bottom w:val="single" w:sz="4" w:space="0" w:color="000000"/>
              <w:right w:val="single" w:sz="4" w:space="0" w:color="000000"/>
            </w:tcBorders>
            <w:vAlign w:val="center"/>
          </w:tcPr>
          <w:p w14:paraId="0D895BA9" w14:textId="77777777" w:rsidR="00300044" w:rsidRDefault="002602FB">
            <w:pPr>
              <w:spacing w:before="0" w:after="0" w:line="240" w:lineRule="auto"/>
              <w:jc w:val="left"/>
              <w:rPr>
                <w:color w:val="000000"/>
                <w:sz w:val="20"/>
                <w:szCs w:val="20"/>
              </w:rPr>
            </w:pPr>
            <w:r>
              <w:rPr>
                <w:color w:val="000000"/>
                <w:sz w:val="20"/>
                <w:szCs w:val="20"/>
              </w:rPr>
              <w:t>Inês, A. and Moreira, A.C.</w:t>
            </w:r>
          </w:p>
        </w:tc>
        <w:tc>
          <w:tcPr>
            <w:tcW w:w="1496" w:type="dxa"/>
            <w:tcBorders>
              <w:top w:val="nil"/>
              <w:left w:val="nil"/>
              <w:bottom w:val="single" w:sz="4" w:space="0" w:color="000000"/>
              <w:right w:val="single" w:sz="4" w:space="0" w:color="000000"/>
            </w:tcBorders>
            <w:vAlign w:val="center"/>
          </w:tcPr>
          <w:p w14:paraId="698E1EF0" w14:textId="77777777" w:rsidR="00300044" w:rsidRDefault="002602FB">
            <w:pPr>
              <w:spacing w:before="0" w:after="0" w:line="240" w:lineRule="auto"/>
              <w:jc w:val="left"/>
              <w:rPr>
                <w:i/>
                <w:iCs/>
                <w:color w:val="000000"/>
                <w:sz w:val="20"/>
                <w:szCs w:val="20"/>
              </w:rPr>
            </w:pPr>
            <w:r>
              <w:rPr>
                <w:i/>
                <w:iCs/>
                <w:color w:val="000000"/>
                <w:sz w:val="20"/>
                <w:szCs w:val="20"/>
              </w:rPr>
              <w:t>The influence of perceived value and brand equity on loyalty intentions: The case of plant-based beverages’ consumers</w:t>
            </w:r>
          </w:p>
        </w:tc>
        <w:tc>
          <w:tcPr>
            <w:tcW w:w="693" w:type="dxa"/>
            <w:tcBorders>
              <w:top w:val="nil"/>
              <w:left w:val="nil"/>
              <w:bottom w:val="single" w:sz="4" w:space="0" w:color="000000"/>
              <w:right w:val="single" w:sz="4" w:space="0" w:color="000000"/>
            </w:tcBorders>
            <w:vAlign w:val="center"/>
          </w:tcPr>
          <w:p w14:paraId="0C45B98A" w14:textId="77777777" w:rsidR="00300044" w:rsidRDefault="002602FB">
            <w:pPr>
              <w:spacing w:before="0" w:after="0" w:line="240" w:lineRule="auto"/>
              <w:jc w:val="left"/>
              <w:rPr>
                <w:color w:val="000000"/>
                <w:sz w:val="20"/>
                <w:szCs w:val="20"/>
              </w:rPr>
            </w:pPr>
            <w:r>
              <w:rPr>
                <w:color w:val="000000"/>
                <w:sz w:val="20"/>
                <w:szCs w:val="20"/>
              </w:rPr>
              <w:t xml:space="preserve">Journal article, </w:t>
            </w:r>
            <w:r>
              <w:rPr>
                <w:i/>
                <w:iCs/>
                <w:color w:val="000000"/>
                <w:sz w:val="20"/>
                <w:szCs w:val="20"/>
              </w:rPr>
              <w:t>Polish Journal of Management Studies</w:t>
            </w:r>
          </w:p>
        </w:tc>
        <w:tc>
          <w:tcPr>
            <w:tcW w:w="256" w:type="dxa"/>
            <w:tcBorders>
              <w:top w:val="nil"/>
              <w:left w:val="nil"/>
              <w:bottom w:val="single" w:sz="4" w:space="0" w:color="000000"/>
              <w:right w:val="single" w:sz="4" w:space="0" w:color="000000"/>
            </w:tcBorders>
            <w:vAlign w:val="center"/>
          </w:tcPr>
          <w:p w14:paraId="69EBA4EB" w14:textId="77777777" w:rsidR="00300044" w:rsidRDefault="002602FB">
            <w:pPr>
              <w:spacing w:before="0" w:after="0" w:line="240" w:lineRule="auto"/>
              <w:jc w:val="right"/>
              <w:rPr>
                <w:color w:val="000000"/>
                <w:sz w:val="20"/>
                <w:szCs w:val="20"/>
              </w:rPr>
            </w:pPr>
            <w:r>
              <w:rPr>
                <w:color w:val="000000"/>
                <w:sz w:val="20"/>
                <w:szCs w:val="20"/>
              </w:rPr>
              <w:t>2023</w:t>
            </w:r>
          </w:p>
        </w:tc>
        <w:tc>
          <w:tcPr>
            <w:tcW w:w="553" w:type="dxa"/>
            <w:tcBorders>
              <w:top w:val="nil"/>
              <w:left w:val="nil"/>
              <w:bottom w:val="single" w:sz="4" w:space="0" w:color="000000"/>
              <w:right w:val="single" w:sz="4" w:space="0" w:color="000000"/>
            </w:tcBorders>
            <w:vAlign w:val="center"/>
          </w:tcPr>
          <w:p w14:paraId="1022B7A5" w14:textId="77777777" w:rsidR="00300044" w:rsidRDefault="002602FB">
            <w:pPr>
              <w:spacing w:before="0" w:after="0" w:line="240" w:lineRule="auto"/>
              <w:jc w:val="left"/>
              <w:rPr>
                <w:b/>
                <w:bCs/>
                <w:color w:val="000000"/>
                <w:sz w:val="20"/>
                <w:szCs w:val="20"/>
              </w:rPr>
            </w:pPr>
            <w:r>
              <w:rPr>
                <w:b/>
                <w:bCs/>
                <w:color w:val="000000"/>
                <w:sz w:val="20"/>
                <w:szCs w:val="20"/>
              </w:rPr>
              <w:t>2.3 Understanding Brand Loyalty</w:t>
            </w:r>
          </w:p>
        </w:tc>
        <w:tc>
          <w:tcPr>
            <w:tcW w:w="843" w:type="dxa"/>
            <w:tcBorders>
              <w:top w:val="nil"/>
              <w:left w:val="nil"/>
              <w:bottom w:val="single" w:sz="4" w:space="0" w:color="000000"/>
              <w:right w:val="single" w:sz="4" w:space="0" w:color="000000"/>
            </w:tcBorders>
            <w:vAlign w:val="center"/>
          </w:tcPr>
          <w:p w14:paraId="1EEBFA7A" w14:textId="77777777" w:rsidR="00300044" w:rsidRDefault="002602FB">
            <w:pPr>
              <w:spacing w:before="0" w:after="0" w:line="240" w:lineRule="auto"/>
              <w:jc w:val="left"/>
              <w:rPr>
                <w:color w:val="000000"/>
                <w:sz w:val="20"/>
                <w:szCs w:val="20"/>
              </w:rPr>
            </w:pPr>
            <w:r>
              <w:rPr>
                <w:color w:val="000000"/>
                <w:sz w:val="20"/>
                <w:szCs w:val="20"/>
              </w:rPr>
              <w:t>Perceived value, brand equity and loyalty intention</w:t>
            </w:r>
          </w:p>
        </w:tc>
        <w:tc>
          <w:tcPr>
            <w:tcW w:w="1607" w:type="dxa"/>
            <w:tcBorders>
              <w:top w:val="nil"/>
              <w:left w:val="nil"/>
              <w:bottom w:val="single" w:sz="4" w:space="0" w:color="000000"/>
              <w:right w:val="single" w:sz="4" w:space="0" w:color="000000"/>
            </w:tcBorders>
            <w:vAlign w:val="center"/>
          </w:tcPr>
          <w:p w14:paraId="5DF4E360" w14:textId="77777777" w:rsidR="00300044" w:rsidRDefault="002602FB">
            <w:pPr>
              <w:spacing w:before="0" w:after="0" w:line="240" w:lineRule="auto"/>
              <w:jc w:val="left"/>
              <w:rPr>
                <w:color w:val="000000"/>
                <w:sz w:val="20"/>
                <w:szCs w:val="20"/>
              </w:rPr>
            </w:pPr>
            <w:r>
              <w:rPr>
                <w:color w:val="000000"/>
                <w:sz w:val="20"/>
                <w:szCs w:val="20"/>
              </w:rPr>
              <w:t>To examine how perceived value and brand equity influence satisfaction and loyalty intentions among plant-based beverage consumers</w:t>
            </w:r>
          </w:p>
        </w:tc>
        <w:tc>
          <w:tcPr>
            <w:tcW w:w="721" w:type="dxa"/>
            <w:tcBorders>
              <w:top w:val="nil"/>
              <w:left w:val="nil"/>
              <w:bottom w:val="single" w:sz="4" w:space="0" w:color="000000"/>
              <w:right w:val="single" w:sz="4" w:space="0" w:color="000000"/>
            </w:tcBorders>
            <w:vAlign w:val="center"/>
          </w:tcPr>
          <w:p w14:paraId="16C3B78A" w14:textId="77777777" w:rsidR="00300044" w:rsidRDefault="002602FB">
            <w:pPr>
              <w:spacing w:before="0" w:after="0" w:line="240" w:lineRule="auto"/>
              <w:jc w:val="left"/>
              <w:rPr>
                <w:color w:val="000000"/>
                <w:sz w:val="20"/>
                <w:szCs w:val="20"/>
              </w:rPr>
            </w:pPr>
            <w:r>
              <w:rPr>
                <w:color w:val="000000"/>
                <w:sz w:val="20"/>
                <w:szCs w:val="20"/>
              </w:rPr>
              <w:t>Quantitative survey; PLS-SEM</w:t>
            </w:r>
          </w:p>
        </w:tc>
        <w:tc>
          <w:tcPr>
            <w:tcW w:w="755" w:type="dxa"/>
            <w:tcBorders>
              <w:top w:val="nil"/>
              <w:left w:val="nil"/>
              <w:bottom w:val="single" w:sz="4" w:space="0" w:color="000000"/>
              <w:right w:val="single" w:sz="4" w:space="0" w:color="000000"/>
            </w:tcBorders>
            <w:vAlign w:val="center"/>
          </w:tcPr>
          <w:p w14:paraId="6D64DE8E" w14:textId="77777777" w:rsidR="00300044" w:rsidRDefault="002602FB">
            <w:pPr>
              <w:spacing w:before="0" w:after="0" w:line="240" w:lineRule="auto"/>
              <w:jc w:val="left"/>
              <w:rPr>
                <w:b/>
                <w:bCs/>
                <w:color w:val="000000"/>
                <w:sz w:val="20"/>
                <w:szCs w:val="20"/>
              </w:rPr>
            </w:pPr>
            <w:r>
              <w:rPr>
                <w:b/>
                <w:bCs/>
                <w:color w:val="000000"/>
                <w:sz w:val="20"/>
                <w:szCs w:val="20"/>
              </w:rPr>
              <w:t>216 Portuguese consumers</w:t>
            </w:r>
          </w:p>
        </w:tc>
        <w:tc>
          <w:tcPr>
            <w:tcW w:w="2661" w:type="dxa"/>
            <w:tcBorders>
              <w:top w:val="nil"/>
              <w:left w:val="nil"/>
              <w:bottom w:val="single" w:sz="4" w:space="0" w:color="000000"/>
              <w:right w:val="single" w:sz="4" w:space="0" w:color="000000"/>
            </w:tcBorders>
            <w:vAlign w:val="center"/>
          </w:tcPr>
          <w:p w14:paraId="51BADAFB" w14:textId="77777777" w:rsidR="00300044" w:rsidRDefault="002602FB">
            <w:pPr>
              <w:spacing w:before="0" w:after="0" w:line="240" w:lineRule="auto"/>
              <w:jc w:val="left"/>
              <w:rPr>
                <w:color w:val="000000"/>
                <w:sz w:val="20"/>
                <w:szCs w:val="20"/>
              </w:rPr>
            </w:pPr>
            <w:r>
              <w:rPr>
                <w:color w:val="000000"/>
                <w:sz w:val="20"/>
                <w:szCs w:val="20"/>
              </w:rPr>
              <w:t>Perceived value and brand equity contribute to satisfaction and loyalty intentions. Brand equity plays an important mediating role</w:t>
            </w:r>
          </w:p>
        </w:tc>
        <w:tc>
          <w:tcPr>
            <w:tcW w:w="1869" w:type="dxa"/>
            <w:tcBorders>
              <w:top w:val="nil"/>
              <w:left w:val="nil"/>
              <w:bottom w:val="single" w:sz="4" w:space="0" w:color="000000"/>
              <w:right w:val="single" w:sz="4" w:space="0" w:color="000000"/>
            </w:tcBorders>
            <w:vAlign w:val="center"/>
          </w:tcPr>
          <w:p w14:paraId="086FB085" w14:textId="77777777" w:rsidR="00300044" w:rsidRDefault="002602FB">
            <w:pPr>
              <w:spacing w:before="0" w:after="0" w:line="240" w:lineRule="auto"/>
              <w:jc w:val="left"/>
              <w:rPr>
                <w:color w:val="000000"/>
                <w:sz w:val="20"/>
                <w:szCs w:val="20"/>
              </w:rPr>
            </w:pPr>
            <w:r>
              <w:rPr>
                <w:color w:val="000000"/>
                <w:sz w:val="20"/>
                <w:szCs w:val="20"/>
              </w:rPr>
              <w:t xml:space="preserve">Portuguese plant-based beverage context; examines </w:t>
            </w:r>
            <w:r>
              <w:rPr>
                <w:b/>
                <w:bCs/>
                <w:color w:val="000000"/>
                <w:sz w:val="20"/>
                <w:szCs w:val="20"/>
              </w:rPr>
              <w:t>loyalty intentions</w:t>
            </w:r>
            <w:r>
              <w:rPr>
                <w:color w:val="000000"/>
                <w:sz w:val="20"/>
                <w:szCs w:val="20"/>
              </w:rPr>
              <w:t>, not necessarily actual long-term loyalty. Sustainable packaging is not directly examined</w:t>
            </w:r>
          </w:p>
        </w:tc>
        <w:tc>
          <w:tcPr>
            <w:tcW w:w="1762" w:type="dxa"/>
            <w:tcBorders>
              <w:top w:val="nil"/>
              <w:left w:val="nil"/>
              <w:bottom w:val="single" w:sz="4" w:space="0" w:color="000000"/>
              <w:right w:val="single" w:sz="4" w:space="0" w:color="000000"/>
            </w:tcBorders>
            <w:vAlign w:val="center"/>
          </w:tcPr>
          <w:p w14:paraId="3FD38FEB" w14:textId="77777777" w:rsidR="00300044" w:rsidRDefault="002602FB">
            <w:pPr>
              <w:spacing w:before="0" w:after="0" w:line="240" w:lineRule="auto"/>
              <w:jc w:val="left"/>
              <w:rPr>
                <w:color w:val="000000"/>
                <w:sz w:val="20"/>
                <w:szCs w:val="20"/>
              </w:rPr>
            </w:pPr>
            <w:r>
              <w:rPr>
                <w:color w:val="000000"/>
                <w:sz w:val="20"/>
                <w:szCs w:val="20"/>
              </w:rPr>
              <w:t xml:space="preserve">Useful for arguing that packaging may influence loyalty </w:t>
            </w:r>
            <w:r>
              <w:rPr>
                <w:b/>
                <w:bCs/>
                <w:color w:val="000000"/>
                <w:sz w:val="20"/>
                <w:szCs w:val="20"/>
              </w:rPr>
              <w:t>indirectly through perceived value, satisfaction and brand equity</w:t>
            </w:r>
            <w:r>
              <w:rPr>
                <w:color w:val="000000"/>
                <w:sz w:val="20"/>
                <w:szCs w:val="20"/>
              </w:rPr>
              <w:t xml:space="preserve">. Complements </w:t>
            </w:r>
            <w:r>
              <w:rPr>
                <w:b/>
                <w:bCs/>
                <w:color w:val="000000"/>
                <w:sz w:val="20"/>
                <w:szCs w:val="20"/>
              </w:rPr>
              <w:t>Koay and Low (2025)</w:t>
            </w:r>
          </w:p>
        </w:tc>
      </w:tr>
      <w:tr w:rsidR="00300044" w14:paraId="667913F5"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1E298CFF" w14:textId="77777777" w:rsidR="00300044" w:rsidRDefault="002602FB">
            <w:pPr>
              <w:spacing w:before="0" w:after="0" w:line="240" w:lineRule="auto"/>
              <w:jc w:val="right"/>
              <w:rPr>
                <w:b/>
                <w:bCs/>
                <w:color w:val="000000"/>
                <w:sz w:val="20"/>
                <w:szCs w:val="20"/>
              </w:rPr>
            </w:pPr>
            <w:r>
              <w:rPr>
                <w:b/>
                <w:bCs/>
                <w:color w:val="000000"/>
                <w:sz w:val="20"/>
                <w:szCs w:val="20"/>
              </w:rPr>
              <w:t>8</w:t>
            </w:r>
          </w:p>
        </w:tc>
        <w:tc>
          <w:tcPr>
            <w:tcW w:w="658" w:type="dxa"/>
            <w:tcBorders>
              <w:top w:val="nil"/>
              <w:left w:val="nil"/>
              <w:bottom w:val="single" w:sz="4" w:space="0" w:color="000000"/>
              <w:right w:val="single" w:sz="4" w:space="0" w:color="000000"/>
            </w:tcBorders>
            <w:vAlign w:val="center"/>
          </w:tcPr>
          <w:p w14:paraId="3B12D77F" w14:textId="77777777" w:rsidR="00300044" w:rsidRDefault="002602FB">
            <w:pPr>
              <w:spacing w:before="0" w:after="0" w:line="240" w:lineRule="auto"/>
              <w:jc w:val="left"/>
              <w:rPr>
                <w:color w:val="000000"/>
                <w:sz w:val="20"/>
                <w:szCs w:val="20"/>
              </w:rPr>
            </w:pPr>
            <w:r>
              <w:rPr>
                <w:color w:val="000000"/>
                <w:sz w:val="20"/>
                <w:szCs w:val="20"/>
              </w:rPr>
              <w:t xml:space="preserve">Koay, K.Y. and </w:t>
            </w:r>
            <w:r>
              <w:rPr>
                <w:color w:val="000000"/>
                <w:sz w:val="20"/>
                <w:szCs w:val="20"/>
              </w:rPr>
              <w:lastRenderedPageBreak/>
              <w:t>Low, S.K.</w:t>
            </w:r>
          </w:p>
        </w:tc>
        <w:tc>
          <w:tcPr>
            <w:tcW w:w="1496" w:type="dxa"/>
            <w:tcBorders>
              <w:top w:val="nil"/>
              <w:left w:val="nil"/>
              <w:bottom w:val="single" w:sz="4" w:space="0" w:color="000000"/>
              <w:right w:val="single" w:sz="4" w:space="0" w:color="000000"/>
            </w:tcBorders>
            <w:vAlign w:val="center"/>
          </w:tcPr>
          <w:p w14:paraId="5CE1FA34" w14:textId="77777777" w:rsidR="00300044" w:rsidRDefault="002602FB">
            <w:pPr>
              <w:spacing w:before="0" w:after="0" w:line="240" w:lineRule="auto"/>
              <w:jc w:val="left"/>
              <w:rPr>
                <w:i/>
                <w:iCs/>
                <w:color w:val="000000"/>
                <w:sz w:val="20"/>
                <w:szCs w:val="20"/>
              </w:rPr>
            </w:pPr>
            <w:r>
              <w:rPr>
                <w:i/>
                <w:iCs/>
                <w:color w:val="000000"/>
                <w:sz w:val="20"/>
                <w:szCs w:val="20"/>
              </w:rPr>
              <w:lastRenderedPageBreak/>
              <w:t xml:space="preserve">Understanding the influence of chain coffee </w:t>
            </w:r>
            <w:r>
              <w:rPr>
                <w:i/>
                <w:iCs/>
                <w:color w:val="000000"/>
                <w:sz w:val="20"/>
                <w:szCs w:val="20"/>
              </w:rPr>
              <w:lastRenderedPageBreak/>
              <w:t>shops’ innovativeness on brand loyalty through brand satisfaction: a multi-analytical approach</w:t>
            </w:r>
          </w:p>
        </w:tc>
        <w:tc>
          <w:tcPr>
            <w:tcW w:w="693" w:type="dxa"/>
            <w:tcBorders>
              <w:top w:val="nil"/>
              <w:left w:val="nil"/>
              <w:bottom w:val="single" w:sz="4" w:space="0" w:color="000000"/>
              <w:right w:val="single" w:sz="4" w:space="0" w:color="000000"/>
            </w:tcBorders>
            <w:vAlign w:val="center"/>
          </w:tcPr>
          <w:p w14:paraId="64487946" w14:textId="77777777" w:rsidR="00300044" w:rsidRDefault="002602FB">
            <w:pPr>
              <w:spacing w:before="0" w:after="0" w:line="240" w:lineRule="auto"/>
              <w:jc w:val="left"/>
              <w:rPr>
                <w:color w:val="000000"/>
                <w:sz w:val="20"/>
                <w:szCs w:val="20"/>
              </w:rPr>
            </w:pPr>
            <w:r>
              <w:rPr>
                <w:color w:val="000000"/>
                <w:sz w:val="20"/>
                <w:szCs w:val="20"/>
              </w:rPr>
              <w:lastRenderedPageBreak/>
              <w:t xml:space="preserve">Journal article, </w:t>
            </w:r>
            <w:r>
              <w:rPr>
                <w:i/>
                <w:iCs/>
                <w:color w:val="000000"/>
                <w:sz w:val="20"/>
                <w:szCs w:val="20"/>
              </w:rPr>
              <w:lastRenderedPageBreak/>
              <w:t>British Food Journal</w:t>
            </w:r>
          </w:p>
        </w:tc>
        <w:tc>
          <w:tcPr>
            <w:tcW w:w="256" w:type="dxa"/>
            <w:tcBorders>
              <w:top w:val="nil"/>
              <w:left w:val="nil"/>
              <w:bottom w:val="single" w:sz="4" w:space="0" w:color="000000"/>
              <w:right w:val="single" w:sz="4" w:space="0" w:color="000000"/>
            </w:tcBorders>
            <w:vAlign w:val="center"/>
          </w:tcPr>
          <w:p w14:paraId="4B617135" w14:textId="77777777" w:rsidR="00300044" w:rsidRDefault="002602FB">
            <w:pPr>
              <w:spacing w:before="0" w:after="0" w:line="240" w:lineRule="auto"/>
              <w:jc w:val="right"/>
              <w:rPr>
                <w:color w:val="000000"/>
                <w:sz w:val="20"/>
                <w:szCs w:val="20"/>
              </w:rPr>
            </w:pPr>
            <w:r>
              <w:rPr>
                <w:color w:val="000000"/>
                <w:sz w:val="20"/>
                <w:szCs w:val="20"/>
              </w:rPr>
              <w:lastRenderedPageBreak/>
              <w:t>2025</w:t>
            </w:r>
          </w:p>
        </w:tc>
        <w:tc>
          <w:tcPr>
            <w:tcW w:w="553" w:type="dxa"/>
            <w:tcBorders>
              <w:top w:val="nil"/>
              <w:left w:val="nil"/>
              <w:bottom w:val="single" w:sz="4" w:space="0" w:color="000000"/>
              <w:right w:val="single" w:sz="4" w:space="0" w:color="000000"/>
            </w:tcBorders>
            <w:vAlign w:val="center"/>
          </w:tcPr>
          <w:p w14:paraId="7440E4FA" w14:textId="77777777" w:rsidR="00300044" w:rsidRDefault="002602FB">
            <w:pPr>
              <w:spacing w:before="0" w:after="0" w:line="240" w:lineRule="auto"/>
              <w:jc w:val="left"/>
              <w:rPr>
                <w:b/>
                <w:bCs/>
                <w:color w:val="000000"/>
                <w:sz w:val="20"/>
                <w:szCs w:val="20"/>
              </w:rPr>
            </w:pPr>
            <w:r>
              <w:rPr>
                <w:b/>
                <w:bCs/>
                <w:color w:val="000000"/>
                <w:sz w:val="20"/>
                <w:szCs w:val="20"/>
              </w:rPr>
              <w:t>2.3 / 2.4 Br</w:t>
            </w:r>
            <w:r>
              <w:rPr>
                <w:b/>
                <w:bCs/>
                <w:color w:val="000000"/>
                <w:sz w:val="20"/>
                <w:szCs w:val="20"/>
              </w:rPr>
              <w:lastRenderedPageBreak/>
              <w:t>and Loyalty</w:t>
            </w:r>
          </w:p>
        </w:tc>
        <w:tc>
          <w:tcPr>
            <w:tcW w:w="843" w:type="dxa"/>
            <w:tcBorders>
              <w:top w:val="nil"/>
              <w:left w:val="nil"/>
              <w:bottom w:val="single" w:sz="4" w:space="0" w:color="000000"/>
              <w:right w:val="single" w:sz="4" w:space="0" w:color="000000"/>
            </w:tcBorders>
            <w:vAlign w:val="center"/>
          </w:tcPr>
          <w:p w14:paraId="789D4C25" w14:textId="77777777" w:rsidR="00300044" w:rsidRDefault="002602FB">
            <w:pPr>
              <w:spacing w:before="0" w:after="0" w:line="240" w:lineRule="auto"/>
              <w:jc w:val="left"/>
              <w:rPr>
                <w:color w:val="000000"/>
                <w:sz w:val="20"/>
                <w:szCs w:val="20"/>
              </w:rPr>
            </w:pPr>
            <w:r>
              <w:rPr>
                <w:color w:val="000000"/>
                <w:sz w:val="20"/>
                <w:szCs w:val="20"/>
              </w:rPr>
              <w:lastRenderedPageBreak/>
              <w:t xml:space="preserve">Satisfaction and brand </w:t>
            </w:r>
            <w:r>
              <w:rPr>
                <w:color w:val="000000"/>
                <w:sz w:val="20"/>
                <w:szCs w:val="20"/>
              </w:rPr>
              <w:lastRenderedPageBreak/>
              <w:t>loyalty in food and beverage</w:t>
            </w:r>
          </w:p>
        </w:tc>
        <w:tc>
          <w:tcPr>
            <w:tcW w:w="1607" w:type="dxa"/>
            <w:tcBorders>
              <w:top w:val="nil"/>
              <w:left w:val="nil"/>
              <w:bottom w:val="single" w:sz="4" w:space="0" w:color="000000"/>
              <w:right w:val="single" w:sz="4" w:space="0" w:color="000000"/>
            </w:tcBorders>
            <w:vAlign w:val="center"/>
          </w:tcPr>
          <w:p w14:paraId="457F1510" w14:textId="77777777" w:rsidR="00300044" w:rsidRDefault="002602FB">
            <w:pPr>
              <w:spacing w:before="0" w:after="0" w:line="240" w:lineRule="auto"/>
              <w:jc w:val="left"/>
              <w:rPr>
                <w:color w:val="000000"/>
                <w:sz w:val="20"/>
                <w:szCs w:val="20"/>
              </w:rPr>
            </w:pPr>
            <w:r>
              <w:rPr>
                <w:color w:val="000000"/>
                <w:sz w:val="20"/>
                <w:szCs w:val="20"/>
              </w:rPr>
              <w:lastRenderedPageBreak/>
              <w:t xml:space="preserve">To examine how innovativeness influences </w:t>
            </w:r>
            <w:r>
              <w:rPr>
                <w:color w:val="000000"/>
                <w:sz w:val="20"/>
                <w:szCs w:val="20"/>
              </w:rPr>
              <w:lastRenderedPageBreak/>
              <w:t>brand loyalty and whether satisfaction mediates the relationship</w:t>
            </w:r>
          </w:p>
        </w:tc>
        <w:tc>
          <w:tcPr>
            <w:tcW w:w="721" w:type="dxa"/>
            <w:tcBorders>
              <w:top w:val="nil"/>
              <w:left w:val="nil"/>
              <w:bottom w:val="single" w:sz="4" w:space="0" w:color="000000"/>
              <w:right w:val="single" w:sz="4" w:space="0" w:color="000000"/>
            </w:tcBorders>
            <w:vAlign w:val="center"/>
          </w:tcPr>
          <w:p w14:paraId="3757D6C3" w14:textId="77777777" w:rsidR="00300044" w:rsidRDefault="002602FB">
            <w:pPr>
              <w:spacing w:before="0" w:after="0" w:line="240" w:lineRule="auto"/>
              <w:jc w:val="left"/>
              <w:rPr>
                <w:color w:val="000000"/>
                <w:sz w:val="20"/>
                <w:szCs w:val="20"/>
              </w:rPr>
            </w:pPr>
            <w:r>
              <w:rPr>
                <w:color w:val="000000"/>
                <w:sz w:val="20"/>
                <w:szCs w:val="20"/>
              </w:rPr>
              <w:lastRenderedPageBreak/>
              <w:t>Quantitative, multi-</w:t>
            </w:r>
            <w:r>
              <w:rPr>
                <w:color w:val="000000"/>
                <w:sz w:val="20"/>
                <w:szCs w:val="20"/>
              </w:rPr>
              <w:lastRenderedPageBreak/>
              <w:t>analytical approach</w:t>
            </w:r>
          </w:p>
        </w:tc>
        <w:tc>
          <w:tcPr>
            <w:tcW w:w="755" w:type="dxa"/>
            <w:tcBorders>
              <w:top w:val="nil"/>
              <w:left w:val="nil"/>
              <w:bottom w:val="single" w:sz="4" w:space="0" w:color="000000"/>
              <w:right w:val="single" w:sz="4" w:space="0" w:color="000000"/>
            </w:tcBorders>
            <w:vAlign w:val="center"/>
          </w:tcPr>
          <w:p w14:paraId="3FD6C969" w14:textId="77777777" w:rsidR="00300044" w:rsidRDefault="002602FB">
            <w:pPr>
              <w:spacing w:before="0" w:after="0" w:line="240" w:lineRule="auto"/>
              <w:jc w:val="left"/>
              <w:rPr>
                <w:b/>
                <w:bCs/>
                <w:color w:val="000000"/>
                <w:sz w:val="20"/>
                <w:szCs w:val="20"/>
              </w:rPr>
            </w:pPr>
            <w:r>
              <w:rPr>
                <w:b/>
                <w:bCs/>
                <w:color w:val="000000"/>
                <w:sz w:val="20"/>
                <w:szCs w:val="20"/>
              </w:rPr>
              <w:lastRenderedPageBreak/>
              <w:t>284 chain coffee-</w:t>
            </w:r>
            <w:r>
              <w:rPr>
                <w:b/>
                <w:bCs/>
                <w:color w:val="000000"/>
                <w:sz w:val="20"/>
                <w:szCs w:val="20"/>
              </w:rPr>
              <w:lastRenderedPageBreak/>
              <w:t>shop consumers</w:t>
            </w:r>
          </w:p>
        </w:tc>
        <w:tc>
          <w:tcPr>
            <w:tcW w:w="2661" w:type="dxa"/>
            <w:tcBorders>
              <w:top w:val="nil"/>
              <w:left w:val="nil"/>
              <w:bottom w:val="single" w:sz="4" w:space="0" w:color="000000"/>
              <w:right w:val="single" w:sz="4" w:space="0" w:color="000000"/>
            </w:tcBorders>
            <w:vAlign w:val="center"/>
          </w:tcPr>
          <w:p w14:paraId="2DF9A16E" w14:textId="77777777" w:rsidR="00300044" w:rsidRDefault="002602FB">
            <w:pPr>
              <w:spacing w:before="0" w:after="0" w:line="240" w:lineRule="auto"/>
              <w:jc w:val="left"/>
              <w:rPr>
                <w:color w:val="000000"/>
                <w:sz w:val="20"/>
                <w:szCs w:val="20"/>
              </w:rPr>
            </w:pPr>
            <w:r>
              <w:rPr>
                <w:color w:val="000000"/>
                <w:sz w:val="20"/>
                <w:szCs w:val="20"/>
              </w:rPr>
              <w:lastRenderedPageBreak/>
              <w:t xml:space="preserve">Brand satisfaction is important for developing brand loyalty and mediates relationships between </w:t>
            </w:r>
            <w:r>
              <w:rPr>
                <w:color w:val="000000"/>
                <w:sz w:val="20"/>
                <w:szCs w:val="20"/>
              </w:rPr>
              <w:lastRenderedPageBreak/>
              <w:t>business characteristics and loyalty</w:t>
            </w:r>
          </w:p>
        </w:tc>
        <w:tc>
          <w:tcPr>
            <w:tcW w:w="1869" w:type="dxa"/>
            <w:tcBorders>
              <w:top w:val="nil"/>
              <w:left w:val="nil"/>
              <w:bottom w:val="single" w:sz="4" w:space="0" w:color="000000"/>
              <w:right w:val="single" w:sz="4" w:space="0" w:color="000000"/>
            </w:tcBorders>
            <w:vAlign w:val="center"/>
          </w:tcPr>
          <w:p w14:paraId="5CB2BC18" w14:textId="77777777" w:rsidR="00300044" w:rsidRDefault="002602FB">
            <w:pPr>
              <w:spacing w:before="0" w:after="0" w:line="240" w:lineRule="auto"/>
              <w:jc w:val="left"/>
              <w:rPr>
                <w:color w:val="000000"/>
                <w:sz w:val="20"/>
                <w:szCs w:val="20"/>
              </w:rPr>
            </w:pPr>
            <w:r>
              <w:rPr>
                <w:color w:val="000000"/>
                <w:sz w:val="20"/>
                <w:szCs w:val="20"/>
              </w:rPr>
              <w:lastRenderedPageBreak/>
              <w:t xml:space="preserve">Focuses on coffee-shop innovativeness rather than </w:t>
            </w:r>
            <w:r>
              <w:rPr>
                <w:color w:val="000000"/>
                <w:sz w:val="20"/>
                <w:szCs w:val="20"/>
              </w:rPr>
              <w:lastRenderedPageBreak/>
              <w:t>sustainable packaging. Malaysian/Asian consumer context limits direct UK application</w:t>
            </w:r>
          </w:p>
        </w:tc>
        <w:tc>
          <w:tcPr>
            <w:tcW w:w="1762" w:type="dxa"/>
            <w:tcBorders>
              <w:top w:val="nil"/>
              <w:left w:val="nil"/>
              <w:bottom w:val="single" w:sz="4" w:space="0" w:color="000000"/>
              <w:right w:val="single" w:sz="4" w:space="0" w:color="000000"/>
            </w:tcBorders>
            <w:vAlign w:val="center"/>
          </w:tcPr>
          <w:p w14:paraId="4FE6DB54" w14:textId="77777777" w:rsidR="00300044" w:rsidRDefault="002602FB">
            <w:pPr>
              <w:spacing w:before="0" w:after="0" w:line="240" w:lineRule="auto"/>
              <w:jc w:val="left"/>
              <w:rPr>
                <w:color w:val="000000"/>
                <w:sz w:val="20"/>
                <w:szCs w:val="20"/>
              </w:rPr>
            </w:pPr>
            <w:r>
              <w:rPr>
                <w:color w:val="000000"/>
                <w:sz w:val="20"/>
                <w:szCs w:val="20"/>
              </w:rPr>
              <w:lastRenderedPageBreak/>
              <w:t xml:space="preserve">Supports the argument that sustainable packaging may </w:t>
            </w:r>
            <w:r>
              <w:rPr>
                <w:color w:val="000000"/>
                <w:sz w:val="20"/>
                <w:szCs w:val="20"/>
              </w:rPr>
              <w:lastRenderedPageBreak/>
              <w:t xml:space="preserve">influence loyalty </w:t>
            </w:r>
            <w:r>
              <w:rPr>
                <w:b/>
                <w:bCs/>
                <w:color w:val="000000"/>
                <w:sz w:val="20"/>
                <w:szCs w:val="20"/>
              </w:rPr>
              <w:t>through satisfaction</w:t>
            </w:r>
            <w:r>
              <w:rPr>
                <w:color w:val="000000"/>
                <w:sz w:val="20"/>
                <w:szCs w:val="20"/>
              </w:rPr>
              <w:t>, rather than necessarily having a simple direct effect</w:t>
            </w:r>
          </w:p>
        </w:tc>
      </w:tr>
      <w:tr w:rsidR="00300044" w14:paraId="22130C7C"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4DFF942A" w14:textId="77777777" w:rsidR="00300044" w:rsidRDefault="002602FB">
            <w:pPr>
              <w:spacing w:before="0" w:after="0" w:line="240" w:lineRule="auto"/>
              <w:jc w:val="right"/>
              <w:rPr>
                <w:b/>
                <w:bCs/>
                <w:color w:val="000000"/>
                <w:sz w:val="20"/>
                <w:szCs w:val="20"/>
              </w:rPr>
            </w:pPr>
            <w:r>
              <w:rPr>
                <w:b/>
                <w:bCs/>
                <w:color w:val="000000"/>
                <w:sz w:val="20"/>
                <w:szCs w:val="20"/>
              </w:rPr>
              <w:lastRenderedPageBreak/>
              <w:t>9</w:t>
            </w:r>
          </w:p>
        </w:tc>
        <w:tc>
          <w:tcPr>
            <w:tcW w:w="658" w:type="dxa"/>
            <w:tcBorders>
              <w:top w:val="nil"/>
              <w:left w:val="nil"/>
              <w:bottom w:val="single" w:sz="4" w:space="0" w:color="000000"/>
              <w:right w:val="single" w:sz="4" w:space="0" w:color="000000"/>
            </w:tcBorders>
            <w:vAlign w:val="center"/>
          </w:tcPr>
          <w:p w14:paraId="60E3FA41" w14:textId="77777777" w:rsidR="00300044" w:rsidRDefault="002602FB">
            <w:pPr>
              <w:spacing w:before="0" w:after="0" w:line="240" w:lineRule="auto"/>
              <w:jc w:val="left"/>
              <w:rPr>
                <w:color w:val="000000"/>
                <w:sz w:val="20"/>
                <w:szCs w:val="20"/>
              </w:rPr>
            </w:pPr>
            <w:r>
              <w:rPr>
                <w:color w:val="000000"/>
                <w:sz w:val="20"/>
                <w:szCs w:val="20"/>
              </w:rPr>
              <w:t>Samuel, A.</w:t>
            </w:r>
          </w:p>
        </w:tc>
        <w:tc>
          <w:tcPr>
            <w:tcW w:w="1496" w:type="dxa"/>
            <w:tcBorders>
              <w:top w:val="nil"/>
              <w:left w:val="nil"/>
              <w:bottom w:val="single" w:sz="4" w:space="0" w:color="000000"/>
              <w:right w:val="single" w:sz="4" w:space="0" w:color="000000"/>
            </w:tcBorders>
            <w:vAlign w:val="center"/>
          </w:tcPr>
          <w:p w14:paraId="25047824" w14:textId="77777777" w:rsidR="00300044" w:rsidRDefault="002602FB">
            <w:pPr>
              <w:spacing w:before="0" w:after="0" w:line="240" w:lineRule="auto"/>
              <w:jc w:val="left"/>
              <w:rPr>
                <w:i/>
                <w:iCs/>
                <w:color w:val="000000"/>
                <w:sz w:val="20"/>
                <w:szCs w:val="20"/>
              </w:rPr>
            </w:pPr>
            <w:r>
              <w:rPr>
                <w:i/>
                <w:iCs/>
                <w:color w:val="000000"/>
                <w:sz w:val="20"/>
                <w:szCs w:val="20"/>
              </w:rPr>
              <w:t>The moderating role of consumer characteristics on the influence of packaging features on beverage brand equity among postgraduate students in Rivers State</w:t>
            </w:r>
          </w:p>
        </w:tc>
        <w:tc>
          <w:tcPr>
            <w:tcW w:w="693" w:type="dxa"/>
            <w:tcBorders>
              <w:top w:val="nil"/>
              <w:left w:val="nil"/>
              <w:bottom w:val="single" w:sz="4" w:space="0" w:color="000000"/>
              <w:right w:val="single" w:sz="4" w:space="0" w:color="000000"/>
            </w:tcBorders>
            <w:vAlign w:val="center"/>
          </w:tcPr>
          <w:p w14:paraId="3781BF77" w14:textId="77777777" w:rsidR="00300044" w:rsidRDefault="002602FB">
            <w:pPr>
              <w:spacing w:before="0" w:after="0" w:line="240" w:lineRule="auto"/>
              <w:jc w:val="left"/>
              <w:rPr>
                <w:color w:val="000000"/>
                <w:sz w:val="20"/>
                <w:szCs w:val="20"/>
              </w:rPr>
            </w:pPr>
            <w:r>
              <w:rPr>
                <w:color w:val="000000"/>
                <w:sz w:val="20"/>
                <w:szCs w:val="20"/>
              </w:rPr>
              <w:t>Journal article</w:t>
            </w:r>
          </w:p>
        </w:tc>
        <w:tc>
          <w:tcPr>
            <w:tcW w:w="256" w:type="dxa"/>
            <w:tcBorders>
              <w:top w:val="nil"/>
              <w:left w:val="nil"/>
              <w:bottom w:val="single" w:sz="4" w:space="0" w:color="000000"/>
              <w:right w:val="single" w:sz="4" w:space="0" w:color="000000"/>
            </w:tcBorders>
            <w:vAlign w:val="center"/>
          </w:tcPr>
          <w:p w14:paraId="079B0F87" w14:textId="77777777" w:rsidR="00300044" w:rsidRDefault="002602FB">
            <w:pPr>
              <w:spacing w:before="0" w:after="0" w:line="240" w:lineRule="auto"/>
              <w:jc w:val="right"/>
              <w:rPr>
                <w:color w:val="000000"/>
                <w:sz w:val="20"/>
                <w:szCs w:val="20"/>
              </w:rPr>
            </w:pPr>
            <w:r>
              <w:rPr>
                <w:color w:val="000000"/>
                <w:sz w:val="20"/>
                <w:szCs w:val="20"/>
              </w:rPr>
              <w:t>2026</w:t>
            </w:r>
          </w:p>
        </w:tc>
        <w:tc>
          <w:tcPr>
            <w:tcW w:w="553" w:type="dxa"/>
            <w:tcBorders>
              <w:top w:val="nil"/>
              <w:left w:val="nil"/>
              <w:bottom w:val="single" w:sz="4" w:space="0" w:color="000000"/>
              <w:right w:val="single" w:sz="4" w:space="0" w:color="000000"/>
            </w:tcBorders>
            <w:vAlign w:val="center"/>
          </w:tcPr>
          <w:p w14:paraId="62AF529B" w14:textId="77777777" w:rsidR="00300044" w:rsidRDefault="002602FB">
            <w:pPr>
              <w:spacing w:before="0" w:after="0" w:line="240" w:lineRule="auto"/>
              <w:jc w:val="left"/>
              <w:rPr>
                <w:b/>
                <w:bCs/>
                <w:color w:val="000000"/>
                <w:sz w:val="20"/>
                <w:szCs w:val="20"/>
              </w:rPr>
            </w:pPr>
            <w:r>
              <w:rPr>
                <w:b/>
                <w:bCs/>
                <w:color w:val="000000"/>
                <w:sz w:val="20"/>
                <w:szCs w:val="20"/>
              </w:rPr>
              <w:t>2.2 / 2.3 / 2.4</w:t>
            </w:r>
          </w:p>
        </w:tc>
        <w:tc>
          <w:tcPr>
            <w:tcW w:w="843" w:type="dxa"/>
            <w:tcBorders>
              <w:top w:val="nil"/>
              <w:left w:val="nil"/>
              <w:bottom w:val="single" w:sz="4" w:space="0" w:color="000000"/>
              <w:right w:val="single" w:sz="4" w:space="0" w:color="000000"/>
            </w:tcBorders>
            <w:vAlign w:val="center"/>
          </w:tcPr>
          <w:p w14:paraId="7B00F6B9" w14:textId="77777777" w:rsidR="00300044" w:rsidRDefault="002602FB">
            <w:pPr>
              <w:spacing w:before="0" w:after="0" w:line="240" w:lineRule="auto"/>
              <w:jc w:val="left"/>
              <w:rPr>
                <w:color w:val="000000"/>
                <w:sz w:val="20"/>
                <w:szCs w:val="20"/>
              </w:rPr>
            </w:pPr>
            <w:r>
              <w:rPr>
                <w:color w:val="000000"/>
                <w:sz w:val="20"/>
                <w:szCs w:val="20"/>
              </w:rPr>
              <w:t>Packaging features, brand equity and consumer characteristics</w:t>
            </w:r>
          </w:p>
        </w:tc>
        <w:tc>
          <w:tcPr>
            <w:tcW w:w="1607" w:type="dxa"/>
            <w:tcBorders>
              <w:top w:val="nil"/>
              <w:left w:val="nil"/>
              <w:bottom w:val="single" w:sz="4" w:space="0" w:color="000000"/>
              <w:right w:val="single" w:sz="4" w:space="0" w:color="000000"/>
            </w:tcBorders>
            <w:vAlign w:val="center"/>
          </w:tcPr>
          <w:p w14:paraId="6F05FF0E" w14:textId="77777777" w:rsidR="00300044" w:rsidRDefault="002602FB">
            <w:pPr>
              <w:spacing w:before="0" w:after="0" w:line="240" w:lineRule="auto"/>
              <w:jc w:val="left"/>
              <w:rPr>
                <w:color w:val="000000"/>
                <w:sz w:val="20"/>
                <w:szCs w:val="20"/>
              </w:rPr>
            </w:pPr>
            <w:r>
              <w:rPr>
                <w:color w:val="000000"/>
                <w:sz w:val="20"/>
                <w:szCs w:val="20"/>
              </w:rPr>
              <w:t>To investigate how packaging features influence beverage brand equity and whether consumer characteristics moderate this relationship</w:t>
            </w:r>
          </w:p>
        </w:tc>
        <w:tc>
          <w:tcPr>
            <w:tcW w:w="721" w:type="dxa"/>
            <w:tcBorders>
              <w:top w:val="nil"/>
              <w:left w:val="nil"/>
              <w:bottom w:val="single" w:sz="4" w:space="0" w:color="000000"/>
              <w:right w:val="single" w:sz="4" w:space="0" w:color="000000"/>
            </w:tcBorders>
            <w:vAlign w:val="center"/>
          </w:tcPr>
          <w:p w14:paraId="5416B2FF" w14:textId="77777777" w:rsidR="00300044" w:rsidRDefault="002602FB">
            <w:pPr>
              <w:spacing w:before="0" w:after="0" w:line="240" w:lineRule="auto"/>
              <w:jc w:val="left"/>
              <w:rPr>
                <w:color w:val="000000"/>
                <w:sz w:val="20"/>
                <w:szCs w:val="20"/>
              </w:rPr>
            </w:pPr>
            <w:r>
              <w:rPr>
                <w:color w:val="000000"/>
                <w:sz w:val="20"/>
                <w:szCs w:val="20"/>
              </w:rPr>
              <w:t>Quantitative survey</w:t>
            </w:r>
          </w:p>
        </w:tc>
        <w:tc>
          <w:tcPr>
            <w:tcW w:w="755" w:type="dxa"/>
            <w:tcBorders>
              <w:top w:val="nil"/>
              <w:left w:val="nil"/>
              <w:bottom w:val="single" w:sz="4" w:space="0" w:color="000000"/>
              <w:right w:val="single" w:sz="4" w:space="0" w:color="000000"/>
            </w:tcBorders>
            <w:vAlign w:val="center"/>
          </w:tcPr>
          <w:p w14:paraId="05DDC4AB" w14:textId="77777777" w:rsidR="00300044" w:rsidRDefault="002602FB">
            <w:pPr>
              <w:spacing w:before="0" w:after="0" w:line="240" w:lineRule="auto"/>
              <w:jc w:val="left"/>
              <w:rPr>
                <w:b/>
                <w:bCs/>
                <w:color w:val="000000"/>
                <w:sz w:val="20"/>
                <w:szCs w:val="20"/>
              </w:rPr>
            </w:pPr>
            <w:r>
              <w:rPr>
                <w:b/>
                <w:bCs/>
                <w:color w:val="000000"/>
                <w:sz w:val="20"/>
                <w:szCs w:val="20"/>
              </w:rPr>
              <w:t>346 postgraduate students in Rivers State</w:t>
            </w:r>
          </w:p>
        </w:tc>
        <w:tc>
          <w:tcPr>
            <w:tcW w:w="2661" w:type="dxa"/>
            <w:tcBorders>
              <w:top w:val="nil"/>
              <w:left w:val="nil"/>
              <w:bottom w:val="single" w:sz="4" w:space="0" w:color="000000"/>
              <w:right w:val="single" w:sz="4" w:space="0" w:color="000000"/>
            </w:tcBorders>
            <w:vAlign w:val="center"/>
          </w:tcPr>
          <w:p w14:paraId="27CE9A68" w14:textId="77777777" w:rsidR="00300044" w:rsidRDefault="002602FB">
            <w:pPr>
              <w:spacing w:before="0" w:after="0" w:line="240" w:lineRule="auto"/>
              <w:jc w:val="left"/>
              <w:rPr>
                <w:color w:val="000000"/>
                <w:sz w:val="20"/>
                <w:szCs w:val="20"/>
              </w:rPr>
            </w:pPr>
            <w:r>
              <w:rPr>
                <w:color w:val="000000"/>
                <w:sz w:val="20"/>
                <w:szCs w:val="20"/>
              </w:rPr>
              <w:t>Packaging features can contribute to consumer value judgements and brand equity; consumer characteristics can alter the strength of packaging effects</w:t>
            </w:r>
          </w:p>
        </w:tc>
        <w:tc>
          <w:tcPr>
            <w:tcW w:w="1869" w:type="dxa"/>
            <w:tcBorders>
              <w:top w:val="nil"/>
              <w:left w:val="nil"/>
              <w:bottom w:val="single" w:sz="4" w:space="0" w:color="000000"/>
              <w:right w:val="single" w:sz="4" w:space="0" w:color="000000"/>
            </w:tcBorders>
            <w:vAlign w:val="center"/>
          </w:tcPr>
          <w:p w14:paraId="3C0649CB" w14:textId="77777777" w:rsidR="00300044" w:rsidRDefault="002602FB">
            <w:pPr>
              <w:spacing w:before="0" w:after="0" w:line="240" w:lineRule="auto"/>
              <w:jc w:val="left"/>
              <w:rPr>
                <w:color w:val="000000"/>
                <w:sz w:val="20"/>
                <w:szCs w:val="20"/>
              </w:rPr>
            </w:pPr>
            <w:r>
              <w:rPr>
                <w:color w:val="000000"/>
                <w:sz w:val="20"/>
                <w:szCs w:val="20"/>
              </w:rPr>
              <w:t xml:space="preserve">Student sample and Nigerian context restrict generalisability. Focuses on </w:t>
            </w:r>
            <w:r>
              <w:rPr>
                <w:b/>
                <w:bCs/>
                <w:color w:val="000000"/>
                <w:sz w:val="20"/>
                <w:szCs w:val="20"/>
              </w:rPr>
              <w:t>brand equity rather than brand loyalty</w:t>
            </w:r>
          </w:p>
        </w:tc>
        <w:tc>
          <w:tcPr>
            <w:tcW w:w="1762" w:type="dxa"/>
            <w:tcBorders>
              <w:top w:val="nil"/>
              <w:left w:val="nil"/>
              <w:bottom w:val="single" w:sz="4" w:space="0" w:color="000000"/>
              <w:right w:val="single" w:sz="4" w:space="0" w:color="000000"/>
            </w:tcBorders>
            <w:vAlign w:val="center"/>
          </w:tcPr>
          <w:p w14:paraId="5849CB8F" w14:textId="77777777" w:rsidR="00300044" w:rsidRDefault="002602FB">
            <w:pPr>
              <w:spacing w:before="0" w:after="0" w:line="240" w:lineRule="auto"/>
              <w:jc w:val="left"/>
              <w:rPr>
                <w:color w:val="000000"/>
                <w:sz w:val="20"/>
                <w:szCs w:val="20"/>
              </w:rPr>
            </w:pPr>
            <w:r>
              <w:rPr>
                <w:color w:val="000000"/>
                <w:sz w:val="20"/>
                <w:szCs w:val="20"/>
              </w:rPr>
              <w:t xml:space="preserve">Supports the argument that packaging can contribute to brand-related outcomes. Connects with </w:t>
            </w:r>
            <w:r>
              <w:rPr>
                <w:b/>
                <w:bCs/>
                <w:color w:val="000000"/>
                <w:sz w:val="20"/>
                <w:szCs w:val="20"/>
              </w:rPr>
              <w:t>Bai (2024)</w:t>
            </w:r>
            <w:r>
              <w:rPr>
                <w:color w:val="000000"/>
                <w:sz w:val="20"/>
                <w:szCs w:val="20"/>
              </w:rPr>
              <w:t xml:space="preserve"> and </w:t>
            </w:r>
            <w:proofErr w:type="spellStart"/>
            <w:r>
              <w:rPr>
                <w:b/>
                <w:bCs/>
                <w:color w:val="000000"/>
                <w:sz w:val="20"/>
                <w:szCs w:val="20"/>
              </w:rPr>
              <w:t>Plotkina</w:t>
            </w:r>
            <w:proofErr w:type="spellEnd"/>
            <w:r>
              <w:rPr>
                <w:b/>
                <w:bCs/>
                <w:color w:val="000000"/>
                <w:sz w:val="20"/>
                <w:szCs w:val="20"/>
              </w:rPr>
              <w:t xml:space="preserve"> et al. (2025)</w:t>
            </w:r>
          </w:p>
        </w:tc>
      </w:tr>
      <w:tr w:rsidR="00300044" w14:paraId="542C58BD"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4FD2BB3A" w14:textId="77777777" w:rsidR="00300044" w:rsidRDefault="002602FB">
            <w:pPr>
              <w:spacing w:before="0" w:after="0" w:line="240" w:lineRule="auto"/>
              <w:jc w:val="right"/>
              <w:rPr>
                <w:b/>
                <w:bCs/>
                <w:color w:val="000000"/>
                <w:sz w:val="20"/>
                <w:szCs w:val="20"/>
              </w:rPr>
            </w:pPr>
            <w:r>
              <w:rPr>
                <w:b/>
                <w:bCs/>
                <w:color w:val="000000"/>
                <w:sz w:val="20"/>
                <w:szCs w:val="20"/>
              </w:rPr>
              <w:t>10</w:t>
            </w:r>
          </w:p>
        </w:tc>
        <w:tc>
          <w:tcPr>
            <w:tcW w:w="658" w:type="dxa"/>
            <w:tcBorders>
              <w:top w:val="nil"/>
              <w:left w:val="nil"/>
              <w:bottom w:val="single" w:sz="4" w:space="0" w:color="000000"/>
              <w:right w:val="single" w:sz="4" w:space="0" w:color="000000"/>
            </w:tcBorders>
            <w:vAlign w:val="center"/>
          </w:tcPr>
          <w:p w14:paraId="6265732A" w14:textId="77777777" w:rsidR="00300044" w:rsidRDefault="002602FB">
            <w:pPr>
              <w:spacing w:before="0" w:after="0" w:line="240" w:lineRule="auto"/>
              <w:jc w:val="left"/>
              <w:rPr>
                <w:color w:val="000000"/>
                <w:sz w:val="20"/>
                <w:szCs w:val="20"/>
              </w:rPr>
            </w:pPr>
            <w:r>
              <w:rPr>
                <w:color w:val="000000"/>
                <w:sz w:val="20"/>
                <w:szCs w:val="20"/>
              </w:rPr>
              <w:t>Lee, S.S., Kim, Y. and Roh, T.</w:t>
            </w:r>
          </w:p>
        </w:tc>
        <w:tc>
          <w:tcPr>
            <w:tcW w:w="1496" w:type="dxa"/>
            <w:tcBorders>
              <w:top w:val="nil"/>
              <w:left w:val="nil"/>
              <w:bottom w:val="single" w:sz="4" w:space="0" w:color="000000"/>
              <w:right w:val="single" w:sz="4" w:space="0" w:color="000000"/>
            </w:tcBorders>
            <w:vAlign w:val="center"/>
          </w:tcPr>
          <w:p w14:paraId="68FFFCF4" w14:textId="77777777" w:rsidR="00300044" w:rsidRDefault="002602FB">
            <w:pPr>
              <w:spacing w:before="0" w:after="0" w:line="240" w:lineRule="auto"/>
              <w:jc w:val="left"/>
              <w:rPr>
                <w:i/>
                <w:iCs/>
                <w:color w:val="000000"/>
                <w:sz w:val="20"/>
                <w:szCs w:val="20"/>
              </w:rPr>
            </w:pPr>
            <w:r>
              <w:rPr>
                <w:i/>
                <w:iCs/>
                <w:color w:val="000000"/>
                <w:sz w:val="20"/>
                <w:szCs w:val="20"/>
              </w:rPr>
              <w:t xml:space="preserve">Pro-environmental </w:t>
            </w:r>
            <w:proofErr w:type="spellStart"/>
            <w:r>
              <w:rPr>
                <w:i/>
                <w:iCs/>
                <w:color w:val="000000"/>
                <w:sz w:val="20"/>
                <w:szCs w:val="20"/>
              </w:rPr>
              <w:t>behavior</w:t>
            </w:r>
            <w:proofErr w:type="spellEnd"/>
            <w:r>
              <w:rPr>
                <w:i/>
                <w:iCs/>
                <w:color w:val="000000"/>
                <w:sz w:val="20"/>
                <w:szCs w:val="20"/>
              </w:rPr>
              <w:t xml:space="preserve"> on electric vehicle use intention: Integrating value-belief-norm theory and theory of planned </w:t>
            </w:r>
            <w:proofErr w:type="spellStart"/>
            <w:r>
              <w:rPr>
                <w:i/>
                <w:iCs/>
                <w:color w:val="000000"/>
                <w:sz w:val="20"/>
                <w:szCs w:val="20"/>
              </w:rPr>
              <w:t>behavior</w:t>
            </w:r>
            <w:proofErr w:type="spellEnd"/>
          </w:p>
        </w:tc>
        <w:tc>
          <w:tcPr>
            <w:tcW w:w="693" w:type="dxa"/>
            <w:tcBorders>
              <w:top w:val="nil"/>
              <w:left w:val="nil"/>
              <w:bottom w:val="single" w:sz="4" w:space="0" w:color="000000"/>
              <w:right w:val="single" w:sz="4" w:space="0" w:color="000000"/>
            </w:tcBorders>
            <w:vAlign w:val="center"/>
          </w:tcPr>
          <w:p w14:paraId="3F980FA8" w14:textId="77777777" w:rsidR="00300044" w:rsidRDefault="002602FB">
            <w:pPr>
              <w:spacing w:before="0" w:after="0" w:line="240" w:lineRule="auto"/>
              <w:jc w:val="left"/>
              <w:rPr>
                <w:color w:val="000000"/>
                <w:sz w:val="20"/>
                <w:szCs w:val="20"/>
              </w:rPr>
            </w:pPr>
            <w:r>
              <w:rPr>
                <w:color w:val="000000"/>
                <w:sz w:val="20"/>
                <w:szCs w:val="20"/>
              </w:rPr>
              <w:t xml:space="preserve">Journal article, </w:t>
            </w:r>
            <w:r>
              <w:rPr>
                <w:i/>
                <w:iCs/>
                <w:color w:val="000000"/>
                <w:sz w:val="20"/>
                <w:szCs w:val="20"/>
              </w:rPr>
              <w:t>Journal of Cleaner Production</w:t>
            </w:r>
          </w:p>
        </w:tc>
        <w:tc>
          <w:tcPr>
            <w:tcW w:w="256" w:type="dxa"/>
            <w:tcBorders>
              <w:top w:val="nil"/>
              <w:left w:val="nil"/>
              <w:bottom w:val="single" w:sz="4" w:space="0" w:color="000000"/>
              <w:right w:val="single" w:sz="4" w:space="0" w:color="000000"/>
            </w:tcBorders>
            <w:vAlign w:val="center"/>
          </w:tcPr>
          <w:p w14:paraId="479D72E7" w14:textId="77777777" w:rsidR="00300044" w:rsidRDefault="002602FB">
            <w:pPr>
              <w:spacing w:before="0" w:after="0" w:line="240" w:lineRule="auto"/>
              <w:jc w:val="right"/>
              <w:rPr>
                <w:color w:val="000000"/>
                <w:sz w:val="20"/>
                <w:szCs w:val="20"/>
              </w:rPr>
            </w:pPr>
            <w:r>
              <w:rPr>
                <w:color w:val="000000"/>
                <w:sz w:val="20"/>
                <w:szCs w:val="20"/>
              </w:rPr>
              <w:t>2023</w:t>
            </w:r>
          </w:p>
        </w:tc>
        <w:tc>
          <w:tcPr>
            <w:tcW w:w="553" w:type="dxa"/>
            <w:tcBorders>
              <w:top w:val="nil"/>
              <w:left w:val="nil"/>
              <w:bottom w:val="single" w:sz="4" w:space="0" w:color="000000"/>
              <w:right w:val="single" w:sz="4" w:space="0" w:color="000000"/>
            </w:tcBorders>
            <w:vAlign w:val="center"/>
          </w:tcPr>
          <w:p w14:paraId="7E4DDDB5" w14:textId="77777777" w:rsidR="00300044" w:rsidRDefault="002602FB">
            <w:pPr>
              <w:spacing w:before="0" w:after="0" w:line="240" w:lineRule="auto"/>
              <w:jc w:val="left"/>
              <w:rPr>
                <w:b/>
                <w:bCs/>
                <w:color w:val="000000"/>
                <w:sz w:val="20"/>
                <w:szCs w:val="20"/>
              </w:rPr>
            </w:pPr>
            <w:r>
              <w:rPr>
                <w:b/>
                <w:bCs/>
                <w:color w:val="000000"/>
                <w:sz w:val="20"/>
                <w:szCs w:val="20"/>
              </w:rPr>
              <w:t>2.5 TPB</w:t>
            </w:r>
          </w:p>
        </w:tc>
        <w:tc>
          <w:tcPr>
            <w:tcW w:w="843" w:type="dxa"/>
            <w:tcBorders>
              <w:top w:val="nil"/>
              <w:left w:val="nil"/>
              <w:bottom w:val="single" w:sz="4" w:space="0" w:color="000000"/>
              <w:right w:val="single" w:sz="4" w:space="0" w:color="000000"/>
            </w:tcBorders>
            <w:vAlign w:val="center"/>
          </w:tcPr>
          <w:p w14:paraId="0C3F6823" w14:textId="77777777" w:rsidR="00300044" w:rsidRDefault="002602FB">
            <w:pPr>
              <w:spacing w:before="0" w:after="0" w:line="240" w:lineRule="auto"/>
              <w:jc w:val="left"/>
              <w:rPr>
                <w:color w:val="000000"/>
                <w:sz w:val="20"/>
                <w:szCs w:val="20"/>
              </w:rPr>
            </w:pPr>
            <w:r>
              <w:rPr>
                <w:color w:val="000000"/>
                <w:sz w:val="20"/>
                <w:szCs w:val="20"/>
              </w:rPr>
              <w:t>TPB and pro-environmental behavioural intention</w:t>
            </w:r>
          </w:p>
        </w:tc>
        <w:tc>
          <w:tcPr>
            <w:tcW w:w="1607" w:type="dxa"/>
            <w:tcBorders>
              <w:top w:val="nil"/>
              <w:left w:val="nil"/>
              <w:bottom w:val="single" w:sz="4" w:space="0" w:color="000000"/>
              <w:right w:val="single" w:sz="4" w:space="0" w:color="000000"/>
            </w:tcBorders>
            <w:vAlign w:val="center"/>
          </w:tcPr>
          <w:p w14:paraId="778AB218" w14:textId="77777777" w:rsidR="00300044" w:rsidRDefault="002602FB">
            <w:pPr>
              <w:spacing w:before="0" w:after="0" w:line="240" w:lineRule="auto"/>
              <w:jc w:val="left"/>
              <w:rPr>
                <w:color w:val="000000"/>
                <w:sz w:val="20"/>
                <w:szCs w:val="20"/>
              </w:rPr>
            </w:pPr>
            <w:r>
              <w:rPr>
                <w:color w:val="000000"/>
                <w:sz w:val="20"/>
                <w:szCs w:val="20"/>
              </w:rPr>
              <w:t>To explain pro-environmental behavioural intention by integrating TPB with Value-Belief-Norm theory</w:t>
            </w:r>
          </w:p>
        </w:tc>
        <w:tc>
          <w:tcPr>
            <w:tcW w:w="721" w:type="dxa"/>
            <w:tcBorders>
              <w:top w:val="nil"/>
              <w:left w:val="nil"/>
              <w:bottom w:val="single" w:sz="4" w:space="0" w:color="000000"/>
              <w:right w:val="single" w:sz="4" w:space="0" w:color="000000"/>
            </w:tcBorders>
            <w:vAlign w:val="center"/>
          </w:tcPr>
          <w:p w14:paraId="1EDF4971" w14:textId="77777777" w:rsidR="00300044" w:rsidRDefault="002602FB">
            <w:pPr>
              <w:spacing w:before="0" w:after="0" w:line="240" w:lineRule="auto"/>
              <w:jc w:val="left"/>
              <w:rPr>
                <w:color w:val="000000"/>
                <w:sz w:val="20"/>
                <w:szCs w:val="20"/>
              </w:rPr>
            </w:pPr>
            <w:r>
              <w:rPr>
                <w:color w:val="000000"/>
                <w:sz w:val="20"/>
                <w:szCs w:val="20"/>
              </w:rPr>
              <w:t>Quantitative survey and structural modelling</w:t>
            </w:r>
          </w:p>
        </w:tc>
        <w:tc>
          <w:tcPr>
            <w:tcW w:w="755" w:type="dxa"/>
            <w:tcBorders>
              <w:top w:val="nil"/>
              <w:left w:val="nil"/>
              <w:bottom w:val="single" w:sz="4" w:space="0" w:color="000000"/>
              <w:right w:val="single" w:sz="4" w:space="0" w:color="000000"/>
            </w:tcBorders>
            <w:vAlign w:val="center"/>
          </w:tcPr>
          <w:p w14:paraId="77113E4D" w14:textId="77777777" w:rsidR="00300044" w:rsidRDefault="002602FB">
            <w:pPr>
              <w:spacing w:before="0" w:after="0" w:line="240" w:lineRule="auto"/>
              <w:jc w:val="left"/>
              <w:rPr>
                <w:b/>
                <w:bCs/>
                <w:color w:val="000000"/>
                <w:sz w:val="20"/>
                <w:szCs w:val="20"/>
              </w:rPr>
            </w:pPr>
            <w:r>
              <w:rPr>
                <w:b/>
                <w:bCs/>
                <w:color w:val="000000"/>
                <w:sz w:val="20"/>
                <w:szCs w:val="20"/>
              </w:rPr>
              <w:t>403 participants</w:t>
            </w:r>
          </w:p>
        </w:tc>
        <w:tc>
          <w:tcPr>
            <w:tcW w:w="2661" w:type="dxa"/>
            <w:tcBorders>
              <w:top w:val="nil"/>
              <w:left w:val="nil"/>
              <w:bottom w:val="single" w:sz="4" w:space="0" w:color="000000"/>
              <w:right w:val="single" w:sz="4" w:space="0" w:color="000000"/>
            </w:tcBorders>
            <w:vAlign w:val="center"/>
          </w:tcPr>
          <w:p w14:paraId="6B901066" w14:textId="77777777" w:rsidR="00300044" w:rsidRDefault="002602FB">
            <w:pPr>
              <w:spacing w:before="0" w:after="0" w:line="240" w:lineRule="auto"/>
              <w:jc w:val="left"/>
              <w:rPr>
                <w:color w:val="000000"/>
                <w:sz w:val="20"/>
                <w:szCs w:val="20"/>
              </w:rPr>
            </w:pPr>
            <w:r>
              <w:rPr>
                <w:color w:val="000000"/>
                <w:sz w:val="20"/>
                <w:szCs w:val="20"/>
              </w:rPr>
              <w:t>Attitude, subjective norms and perceived behavioural control are important components in explaining pro-environmental behavioural intention</w:t>
            </w:r>
          </w:p>
        </w:tc>
        <w:tc>
          <w:tcPr>
            <w:tcW w:w="1869" w:type="dxa"/>
            <w:tcBorders>
              <w:top w:val="nil"/>
              <w:left w:val="nil"/>
              <w:bottom w:val="single" w:sz="4" w:space="0" w:color="000000"/>
              <w:right w:val="single" w:sz="4" w:space="0" w:color="000000"/>
            </w:tcBorders>
            <w:vAlign w:val="center"/>
          </w:tcPr>
          <w:p w14:paraId="10D1FFC9" w14:textId="77777777" w:rsidR="00300044" w:rsidRDefault="002602FB">
            <w:pPr>
              <w:spacing w:before="0" w:after="0" w:line="240" w:lineRule="auto"/>
              <w:jc w:val="left"/>
              <w:rPr>
                <w:color w:val="000000"/>
                <w:sz w:val="20"/>
                <w:szCs w:val="20"/>
              </w:rPr>
            </w:pPr>
            <w:r>
              <w:rPr>
                <w:color w:val="000000"/>
                <w:sz w:val="20"/>
                <w:szCs w:val="20"/>
              </w:rPr>
              <w:t xml:space="preserve">Electric vehicle context differs substantially from food packaging. Focuses on </w:t>
            </w:r>
            <w:r>
              <w:rPr>
                <w:b/>
                <w:bCs/>
                <w:color w:val="000000"/>
                <w:sz w:val="20"/>
                <w:szCs w:val="20"/>
              </w:rPr>
              <w:t>intention rather than brand loyalty</w:t>
            </w:r>
          </w:p>
        </w:tc>
        <w:tc>
          <w:tcPr>
            <w:tcW w:w="1762" w:type="dxa"/>
            <w:tcBorders>
              <w:top w:val="nil"/>
              <w:left w:val="nil"/>
              <w:bottom w:val="single" w:sz="4" w:space="0" w:color="000000"/>
              <w:right w:val="single" w:sz="4" w:space="0" w:color="000000"/>
            </w:tcBorders>
            <w:vAlign w:val="center"/>
          </w:tcPr>
          <w:p w14:paraId="634E76B1" w14:textId="77777777" w:rsidR="00300044" w:rsidRDefault="002602FB">
            <w:pPr>
              <w:spacing w:before="0" w:after="0" w:line="240" w:lineRule="auto"/>
              <w:jc w:val="left"/>
              <w:rPr>
                <w:color w:val="000000"/>
                <w:sz w:val="20"/>
                <w:szCs w:val="20"/>
              </w:rPr>
            </w:pPr>
            <w:r>
              <w:rPr>
                <w:color w:val="000000"/>
                <w:sz w:val="20"/>
                <w:szCs w:val="20"/>
              </w:rPr>
              <w:t xml:space="preserve">Provides theoretical justification for applying </w:t>
            </w:r>
            <w:r>
              <w:rPr>
                <w:b/>
                <w:bCs/>
                <w:color w:val="000000"/>
                <w:sz w:val="20"/>
                <w:szCs w:val="20"/>
              </w:rPr>
              <w:t>TPB</w:t>
            </w:r>
            <w:r>
              <w:rPr>
                <w:color w:val="000000"/>
                <w:sz w:val="20"/>
                <w:szCs w:val="20"/>
              </w:rPr>
              <w:t xml:space="preserve"> to sustainable consumption. Can be combined with </w:t>
            </w:r>
            <w:r>
              <w:rPr>
                <w:b/>
                <w:bCs/>
                <w:color w:val="000000"/>
                <w:sz w:val="20"/>
                <w:szCs w:val="20"/>
              </w:rPr>
              <w:t>Norton et al. (2022)</w:t>
            </w:r>
            <w:r>
              <w:rPr>
                <w:color w:val="000000"/>
                <w:sz w:val="20"/>
                <w:szCs w:val="20"/>
              </w:rPr>
              <w:t xml:space="preserve"> to explain attitudes and behavioural responses</w:t>
            </w:r>
          </w:p>
        </w:tc>
      </w:tr>
      <w:tr w:rsidR="00300044" w14:paraId="1D923E9B"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44552ED7" w14:textId="77777777" w:rsidR="00300044" w:rsidRDefault="002602FB">
            <w:pPr>
              <w:spacing w:before="0" w:after="0" w:line="240" w:lineRule="auto"/>
              <w:jc w:val="right"/>
              <w:rPr>
                <w:b/>
                <w:bCs/>
                <w:color w:val="000000"/>
                <w:sz w:val="20"/>
                <w:szCs w:val="20"/>
              </w:rPr>
            </w:pPr>
            <w:r>
              <w:rPr>
                <w:b/>
                <w:bCs/>
                <w:color w:val="000000"/>
                <w:sz w:val="20"/>
                <w:szCs w:val="20"/>
              </w:rPr>
              <w:lastRenderedPageBreak/>
              <w:t>11</w:t>
            </w:r>
          </w:p>
        </w:tc>
        <w:tc>
          <w:tcPr>
            <w:tcW w:w="658" w:type="dxa"/>
            <w:tcBorders>
              <w:top w:val="nil"/>
              <w:left w:val="nil"/>
              <w:bottom w:val="single" w:sz="4" w:space="0" w:color="000000"/>
              <w:right w:val="single" w:sz="4" w:space="0" w:color="000000"/>
            </w:tcBorders>
            <w:vAlign w:val="center"/>
          </w:tcPr>
          <w:p w14:paraId="12F2C254" w14:textId="77777777" w:rsidR="00300044" w:rsidRDefault="002602FB">
            <w:pPr>
              <w:spacing w:before="0" w:after="0" w:line="240" w:lineRule="auto"/>
              <w:jc w:val="left"/>
              <w:rPr>
                <w:color w:val="000000"/>
                <w:sz w:val="20"/>
                <w:szCs w:val="20"/>
              </w:rPr>
            </w:pPr>
            <w:r>
              <w:rPr>
                <w:color w:val="000000"/>
                <w:sz w:val="20"/>
                <w:szCs w:val="20"/>
              </w:rPr>
              <w:t xml:space="preserve">Murtas, G., </w:t>
            </w:r>
            <w:proofErr w:type="spellStart"/>
            <w:r>
              <w:rPr>
                <w:color w:val="000000"/>
                <w:sz w:val="20"/>
                <w:szCs w:val="20"/>
              </w:rPr>
              <w:t>Pedeliento</w:t>
            </w:r>
            <w:proofErr w:type="spellEnd"/>
            <w:r>
              <w:rPr>
                <w:color w:val="000000"/>
                <w:sz w:val="20"/>
                <w:szCs w:val="20"/>
              </w:rPr>
              <w:t>, G. and Andreini, D.</w:t>
            </w:r>
          </w:p>
        </w:tc>
        <w:tc>
          <w:tcPr>
            <w:tcW w:w="1496" w:type="dxa"/>
            <w:tcBorders>
              <w:top w:val="nil"/>
              <w:left w:val="nil"/>
              <w:bottom w:val="single" w:sz="4" w:space="0" w:color="000000"/>
              <w:right w:val="single" w:sz="4" w:space="0" w:color="000000"/>
            </w:tcBorders>
            <w:vAlign w:val="center"/>
          </w:tcPr>
          <w:p w14:paraId="0615CA4A" w14:textId="77777777" w:rsidR="00300044" w:rsidRDefault="002602FB">
            <w:pPr>
              <w:spacing w:before="0" w:after="0" w:line="240" w:lineRule="auto"/>
              <w:jc w:val="left"/>
              <w:rPr>
                <w:i/>
                <w:iCs/>
                <w:color w:val="000000"/>
                <w:sz w:val="20"/>
                <w:szCs w:val="20"/>
              </w:rPr>
            </w:pPr>
            <w:r>
              <w:rPr>
                <w:i/>
                <w:iCs/>
                <w:color w:val="000000"/>
                <w:sz w:val="20"/>
                <w:szCs w:val="20"/>
              </w:rPr>
              <w:t>To pack sustainably or not to pack sustainably? A review of the relationship between consumer behaviour and sustainable packaging</w:t>
            </w:r>
          </w:p>
        </w:tc>
        <w:tc>
          <w:tcPr>
            <w:tcW w:w="693" w:type="dxa"/>
            <w:tcBorders>
              <w:top w:val="nil"/>
              <w:left w:val="nil"/>
              <w:bottom w:val="single" w:sz="4" w:space="0" w:color="000000"/>
              <w:right w:val="single" w:sz="4" w:space="0" w:color="000000"/>
            </w:tcBorders>
            <w:vAlign w:val="center"/>
          </w:tcPr>
          <w:p w14:paraId="0CFE2E16" w14:textId="77777777" w:rsidR="00300044" w:rsidRDefault="002602FB">
            <w:pPr>
              <w:spacing w:before="0" w:after="0" w:line="240" w:lineRule="auto"/>
              <w:jc w:val="left"/>
              <w:rPr>
                <w:color w:val="000000"/>
                <w:sz w:val="20"/>
                <w:szCs w:val="20"/>
              </w:rPr>
            </w:pPr>
            <w:r>
              <w:rPr>
                <w:color w:val="000000"/>
                <w:sz w:val="20"/>
                <w:szCs w:val="20"/>
              </w:rPr>
              <w:t>Book chapter/review</w:t>
            </w:r>
          </w:p>
        </w:tc>
        <w:tc>
          <w:tcPr>
            <w:tcW w:w="256" w:type="dxa"/>
            <w:tcBorders>
              <w:top w:val="nil"/>
              <w:left w:val="nil"/>
              <w:bottom w:val="single" w:sz="4" w:space="0" w:color="000000"/>
              <w:right w:val="single" w:sz="4" w:space="0" w:color="000000"/>
            </w:tcBorders>
            <w:vAlign w:val="center"/>
          </w:tcPr>
          <w:p w14:paraId="0E3AB41F" w14:textId="77777777" w:rsidR="00300044" w:rsidRDefault="002602FB">
            <w:pPr>
              <w:spacing w:before="0" w:after="0" w:line="240" w:lineRule="auto"/>
              <w:jc w:val="right"/>
              <w:rPr>
                <w:color w:val="000000"/>
                <w:sz w:val="20"/>
                <w:szCs w:val="20"/>
              </w:rPr>
            </w:pPr>
            <w:r>
              <w:rPr>
                <w:color w:val="000000"/>
                <w:sz w:val="20"/>
                <w:szCs w:val="20"/>
              </w:rPr>
              <w:t>2022</w:t>
            </w:r>
          </w:p>
        </w:tc>
        <w:tc>
          <w:tcPr>
            <w:tcW w:w="553" w:type="dxa"/>
            <w:tcBorders>
              <w:top w:val="nil"/>
              <w:left w:val="nil"/>
              <w:bottom w:val="single" w:sz="4" w:space="0" w:color="000000"/>
              <w:right w:val="single" w:sz="4" w:space="0" w:color="000000"/>
            </w:tcBorders>
            <w:vAlign w:val="center"/>
          </w:tcPr>
          <w:p w14:paraId="7D1CD097" w14:textId="77777777" w:rsidR="00300044" w:rsidRDefault="002602FB">
            <w:pPr>
              <w:spacing w:before="0" w:after="0" w:line="240" w:lineRule="auto"/>
              <w:jc w:val="left"/>
              <w:rPr>
                <w:b/>
                <w:bCs/>
                <w:color w:val="000000"/>
                <w:sz w:val="20"/>
                <w:szCs w:val="20"/>
              </w:rPr>
            </w:pPr>
            <w:r>
              <w:rPr>
                <w:b/>
                <w:bCs/>
                <w:color w:val="000000"/>
                <w:sz w:val="20"/>
                <w:szCs w:val="20"/>
              </w:rPr>
              <w:t>2.2 / 2.4</w:t>
            </w:r>
          </w:p>
        </w:tc>
        <w:tc>
          <w:tcPr>
            <w:tcW w:w="843" w:type="dxa"/>
            <w:tcBorders>
              <w:top w:val="nil"/>
              <w:left w:val="nil"/>
              <w:bottom w:val="single" w:sz="4" w:space="0" w:color="000000"/>
              <w:right w:val="single" w:sz="4" w:space="0" w:color="000000"/>
            </w:tcBorders>
            <w:vAlign w:val="center"/>
          </w:tcPr>
          <w:p w14:paraId="557B2E0F" w14:textId="77777777" w:rsidR="00300044" w:rsidRDefault="002602FB">
            <w:pPr>
              <w:spacing w:before="0" w:after="0" w:line="240" w:lineRule="auto"/>
              <w:jc w:val="left"/>
              <w:rPr>
                <w:color w:val="000000"/>
                <w:sz w:val="20"/>
                <w:szCs w:val="20"/>
              </w:rPr>
            </w:pPr>
            <w:r>
              <w:rPr>
                <w:color w:val="000000"/>
                <w:sz w:val="20"/>
                <w:szCs w:val="20"/>
              </w:rPr>
              <w:t>Consumer behaviour and sustainable packaging</w:t>
            </w:r>
          </w:p>
        </w:tc>
        <w:tc>
          <w:tcPr>
            <w:tcW w:w="1607" w:type="dxa"/>
            <w:tcBorders>
              <w:top w:val="nil"/>
              <w:left w:val="nil"/>
              <w:bottom w:val="single" w:sz="4" w:space="0" w:color="000000"/>
              <w:right w:val="single" w:sz="4" w:space="0" w:color="000000"/>
            </w:tcBorders>
            <w:vAlign w:val="center"/>
          </w:tcPr>
          <w:p w14:paraId="71A2E35E" w14:textId="77777777" w:rsidR="00300044" w:rsidRDefault="002602FB">
            <w:pPr>
              <w:spacing w:before="0" w:after="0" w:line="240" w:lineRule="auto"/>
              <w:jc w:val="left"/>
              <w:rPr>
                <w:color w:val="000000"/>
                <w:sz w:val="20"/>
                <w:szCs w:val="20"/>
              </w:rPr>
            </w:pPr>
            <w:r>
              <w:rPr>
                <w:color w:val="000000"/>
                <w:sz w:val="20"/>
                <w:szCs w:val="20"/>
              </w:rPr>
              <w:t>To review existing research on relationships between consumer behaviour and sustainable packaging</w:t>
            </w:r>
          </w:p>
        </w:tc>
        <w:tc>
          <w:tcPr>
            <w:tcW w:w="721" w:type="dxa"/>
            <w:tcBorders>
              <w:top w:val="nil"/>
              <w:left w:val="nil"/>
              <w:bottom w:val="single" w:sz="4" w:space="0" w:color="000000"/>
              <w:right w:val="single" w:sz="4" w:space="0" w:color="000000"/>
            </w:tcBorders>
            <w:vAlign w:val="center"/>
          </w:tcPr>
          <w:p w14:paraId="10F978E6" w14:textId="77777777" w:rsidR="00300044" w:rsidRDefault="002602FB">
            <w:pPr>
              <w:spacing w:before="0" w:after="0" w:line="240" w:lineRule="auto"/>
              <w:jc w:val="left"/>
              <w:rPr>
                <w:b/>
                <w:bCs/>
                <w:color w:val="000000"/>
                <w:sz w:val="20"/>
                <w:szCs w:val="20"/>
              </w:rPr>
            </w:pPr>
            <w:r>
              <w:rPr>
                <w:b/>
                <w:bCs/>
                <w:color w:val="000000"/>
                <w:sz w:val="20"/>
                <w:szCs w:val="20"/>
              </w:rPr>
              <w:t>Literature review</w:t>
            </w:r>
          </w:p>
        </w:tc>
        <w:tc>
          <w:tcPr>
            <w:tcW w:w="755" w:type="dxa"/>
            <w:tcBorders>
              <w:top w:val="nil"/>
              <w:left w:val="nil"/>
              <w:bottom w:val="single" w:sz="4" w:space="0" w:color="000000"/>
              <w:right w:val="single" w:sz="4" w:space="0" w:color="000000"/>
            </w:tcBorders>
            <w:vAlign w:val="center"/>
          </w:tcPr>
          <w:p w14:paraId="4D9FCAD3" w14:textId="77777777" w:rsidR="00300044" w:rsidRDefault="002602FB">
            <w:pPr>
              <w:spacing w:before="0" w:after="0" w:line="240" w:lineRule="auto"/>
              <w:jc w:val="left"/>
              <w:rPr>
                <w:color w:val="000000"/>
                <w:sz w:val="20"/>
                <w:szCs w:val="20"/>
              </w:rPr>
            </w:pPr>
            <w:r>
              <w:rPr>
                <w:color w:val="000000"/>
                <w:sz w:val="20"/>
                <w:szCs w:val="20"/>
              </w:rPr>
              <w:t>Broad literature on sustainable packaging and consumer behaviour</w:t>
            </w:r>
          </w:p>
        </w:tc>
        <w:tc>
          <w:tcPr>
            <w:tcW w:w="2661" w:type="dxa"/>
            <w:tcBorders>
              <w:top w:val="nil"/>
              <w:left w:val="nil"/>
              <w:bottom w:val="single" w:sz="4" w:space="0" w:color="000000"/>
              <w:right w:val="single" w:sz="4" w:space="0" w:color="000000"/>
            </w:tcBorders>
            <w:vAlign w:val="center"/>
          </w:tcPr>
          <w:p w14:paraId="0634CE22" w14:textId="77777777" w:rsidR="00300044" w:rsidRDefault="002602FB">
            <w:pPr>
              <w:spacing w:before="0" w:after="0" w:line="240" w:lineRule="auto"/>
              <w:jc w:val="left"/>
              <w:rPr>
                <w:color w:val="000000"/>
                <w:sz w:val="20"/>
                <w:szCs w:val="20"/>
              </w:rPr>
            </w:pPr>
            <w:r>
              <w:rPr>
                <w:color w:val="000000"/>
                <w:sz w:val="20"/>
                <w:szCs w:val="20"/>
              </w:rPr>
              <w:t>Sustainable packaging affects consumer responses through multiple factors, including environmental attitudes, packaging characteristics, consumer perceptions and contextual factors</w:t>
            </w:r>
          </w:p>
        </w:tc>
        <w:tc>
          <w:tcPr>
            <w:tcW w:w="1869" w:type="dxa"/>
            <w:tcBorders>
              <w:top w:val="nil"/>
              <w:left w:val="nil"/>
              <w:bottom w:val="single" w:sz="4" w:space="0" w:color="000000"/>
              <w:right w:val="single" w:sz="4" w:space="0" w:color="000000"/>
            </w:tcBorders>
            <w:vAlign w:val="center"/>
          </w:tcPr>
          <w:p w14:paraId="32D49AC9" w14:textId="77777777" w:rsidR="00300044" w:rsidRDefault="002602FB">
            <w:pPr>
              <w:spacing w:before="0" w:after="0" w:line="240" w:lineRule="auto"/>
              <w:jc w:val="left"/>
              <w:rPr>
                <w:color w:val="000000"/>
                <w:sz w:val="20"/>
                <w:szCs w:val="20"/>
              </w:rPr>
            </w:pPr>
            <w:r>
              <w:rPr>
                <w:color w:val="000000"/>
                <w:sz w:val="20"/>
                <w:szCs w:val="20"/>
              </w:rPr>
              <w:t xml:space="preserve">As a review, it does not provide new primary empirical evidence. Broad scope means limited direct evidence about </w:t>
            </w:r>
            <w:r>
              <w:rPr>
                <w:b/>
                <w:bCs/>
                <w:color w:val="000000"/>
                <w:sz w:val="20"/>
                <w:szCs w:val="20"/>
              </w:rPr>
              <w:t>UK food and beverage brand loyalty</w:t>
            </w:r>
          </w:p>
        </w:tc>
        <w:tc>
          <w:tcPr>
            <w:tcW w:w="1762" w:type="dxa"/>
            <w:tcBorders>
              <w:top w:val="nil"/>
              <w:left w:val="nil"/>
              <w:bottom w:val="single" w:sz="4" w:space="0" w:color="000000"/>
              <w:right w:val="single" w:sz="4" w:space="0" w:color="000000"/>
            </w:tcBorders>
            <w:vAlign w:val="center"/>
          </w:tcPr>
          <w:p w14:paraId="2142DFD9" w14:textId="77777777" w:rsidR="00300044" w:rsidRDefault="002602FB">
            <w:pPr>
              <w:spacing w:before="0" w:after="0" w:line="240" w:lineRule="auto"/>
              <w:jc w:val="left"/>
              <w:rPr>
                <w:color w:val="000000"/>
                <w:sz w:val="20"/>
                <w:szCs w:val="20"/>
              </w:rPr>
            </w:pPr>
            <w:r>
              <w:rPr>
                <w:color w:val="000000"/>
                <w:sz w:val="20"/>
                <w:szCs w:val="20"/>
              </w:rPr>
              <w:t xml:space="preserve">Excellent overarching source for synthesising </w:t>
            </w:r>
            <w:r>
              <w:rPr>
                <w:b/>
                <w:bCs/>
                <w:color w:val="000000"/>
                <w:sz w:val="20"/>
                <w:szCs w:val="20"/>
              </w:rPr>
              <w:t>Norton et al. (2022), Faris et al. (2024), Duarte et al. (2024)</w:t>
            </w:r>
            <w:r>
              <w:rPr>
                <w:color w:val="000000"/>
                <w:sz w:val="20"/>
                <w:szCs w:val="20"/>
              </w:rPr>
              <w:t xml:space="preserve"> and other packaging studies</w:t>
            </w:r>
          </w:p>
        </w:tc>
      </w:tr>
      <w:tr w:rsidR="00300044" w14:paraId="7949631F"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0E7891AF" w14:textId="77777777" w:rsidR="00300044" w:rsidRDefault="002602FB">
            <w:pPr>
              <w:spacing w:before="0" w:after="0" w:line="240" w:lineRule="auto"/>
              <w:jc w:val="right"/>
              <w:rPr>
                <w:b/>
                <w:bCs/>
                <w:color w:val="000000"/>
                <w:sz w:val="20"/>
                <w:szCs w:val="20"/>
              </w:rPr>
            </w:pPr>
            <w:r>
              <w:rPr>
                <w:b/>
                <w:bCs/>
                <w:color w:val="000000"/>
                <w:sz w:val="20"/>
                <w:szCs w:val="20"/>
              </w:rPr>
              <w:t>12</w:t>
            </w:r>
          </w:p>
        </w:tc>
        <w:tc>
          <w:tcPr>
            <w:tcW w:w="658" w:type="dxa"/>
            <w:tcBorders>
              <w:top w:val="nil"/>
              <w:left w:val="nil"/>
              <w:bottom w:val="single" w:sz="4" w:space="0" w:color="000000"/>
              <w:right w:val="single" w:sz="4" w:space="0" w:color="000000"/>
            </w:tcBorders>
            <w:vAlign w:val="center"/>
          </w:tcPr>
          <w:p w14:paraId="4279A417" w14:textId="77777777" w:rsidR="00300044" w:rsidRDefault="002602FB">
            <w:pPr>
              <w:spacing w:before="0" w:after="0" w:line="240" w:lineRule="auto"/>
              <w:jc w:val="left"/>
              <w:rPr>
                <w:color w:val="000000"/>
                <w:sz w:val="20"/>
                <w:szCs w:val="20"/>
              </w:rPr>
            </w:pPr>
            <w:r>
              <w:rPr>
                <w:color w:val="000000"/>
                <w:sz w:val="20"/>
                <w:szCs w:val="20"/>
              </w:rPr>
              <w:t>Duarte, P., Silva, S.C., Roza, A.S. and Dias, J.C.</w:t>
            </w:r>
          </w:p>
        </w:tc>
        <w:tc>
          <w:tcPr>
            <w:tcW w:w="1496" w:type="dxa"/>
            <w:tcBorders>
              <w:top w:val="nil"/>
              <w:left w:val="nil"/>
              <w:bottom w:val="single" w:sz="4" w:space="0" w:color="000000"/>
              <w:right w:val="single" w:sz="4" w:space="0" w:color="000000"/>
            </w:tcBorders>
            <w:vAlign w:val="center"/>
          </w:tcPr>
          <w:p w14:paraId="4F98E510" w14:textId="77777777" w:rsidR="00300044" w:rsidRDefault="002602FB">
            <w:pPr>
              <w:spacing w:before="0" w:after="0" w:line="240" w:lineRule="auto"/>
              <w:jc w:val="left"/>
              <w:rPr>
                <w:i/>
                <w:iCs/>
                <w:color w:val="000000"/>
                <w:sz w:val="20"/>
                <w:szCs w:val="20"/>
              </w:rPr>
            </w:pPr>
            <w:r>
              <w:rPr>
                <w:i/>
                <w:iCs/>
                <w:color w:val="000000"/>
                <w:sz w:val="20"/>
                <w:szCs w:val="20"/>
              </w:rPr>
              <w:t>Enhancing consumer purchase intentions for sustainable packaging products: An in-depth analysis of key determinants and strategic insights</w:t>
            </w:r>
          </w:p>
        </w:tc>
        <w:tc>
          <w:tcPr>
            <w:tcW w:w="693" w:type="dxa"/>
            <w:tcBorders>
              <w:top w:val="nil"/>
              <w:left w:val="nil"/>
              <w:bottom w:val="single" w:sz="4" w:space="0" w:color="000000"/>
              <w:right w:val="single" w:sz="4" w:space="0" w:color="000000"/>
            </w:tcBorders>
            <w:vAlign w:val="center"/>
          </w:tcPr>
          <w:p w14:paraId="3798876E" w14:textId="77777777" w:rsidR="00300044" w:rsidRDefault="002602FB">
            <w:pPr>
              <w:spacing w:before="0" w:after="0" w:line="240" w:lineRule="auto"/>
              <w:jc w:val="left"/>
              <w:rPr>
                <w:color w:val="000000"/>
                <w:sz w:val="20"/>
                <w:szCs w:val="20"/>
              </w:rPr>
            </w:pPr>
            <w:r>
              <w:rPr>
                <w:color w:val="000000"/>
                <w:sz w:val="20"/>
                <w:szCs w:val="20"/>
              </w:rPr>
              <w:t xml:space="preserve">Journal article, </w:t>
            </w:r>
            <w:r>
              <w:rPr>
                <w:i/>
                <w:iCs/>
                <w:color w:val="000000"/>
                <w:sz w:val="20"/>
                <w:szCs w:val="20"/>
              </w:rPr>
              <w:t>Sustainable Futures</w:t>
            </w:r>
          </w:p>
        </w:tc>
        <w:tc>
          <w:tcPr>
            <w:tcW w:w="256" w:type="dxa"/>
            <w:tcBorders>
              <w:top w:val="nil"/>
              <w:left w:val="nil"/>
              <w:bottom w:val="single" w:sz="4" w:space="0" w:color="000000"/>
              <w:right w:val="single" w:sz="4" w:space="0" w:color="000000"/>
            </w:tcBorders>
            <w:vAlign w:val="center"/>
          </w:tcPr>
          <w:p w14:paraId="71906106" w14:textId="77777777" w:rsidR="00300044" w:rsidRDefault="002602FB">
            <w:pPr>
              <w:spacing w:before="0" w:after="0" w:line="240" w:lineRule="auto"/>
              <w:jc w:val="right"/>
              <w:rPr>
                <w:color w:val="000000"/>
                <w:sz w:val="20"/>
                <w:szCs w:val="20"/>
              </w:rPr>
            </w:pPr>
            <w:r>
              <w:rPr>
                <w:color w:val="000000"/>
                <w:sz w:val="20"/>
                <w:szCs w:val="20"/>
              </w:rPr>
              <w:t>2024</w:t>
            </w:r>
          </w:p>
        </w:tc>
        <w:tc>
          <w:tcPr>
            <w:tcW w:w="553" w:type="dxa"/>
            <w:tcBorders>
              <w:top w:val="nil"/>
              <w:left w:val="nil"/>
              <w:bottom w:val="single" w:sz="4" w:space="0" w:color="000000"/>
              <w:right w:val="single" w:sz="4" w:space="0" w:color="000000"/>
            </w:tcBorders>
            <w:vAlign w:val="center"/>
          </w:tcPr>
          <w:p w14:paraId="4AE709C2" w14:textId="77777777" w:rsidR="00300044" w:rsidRDefault="002602FB">
            <w:pPr>
              <w:spacing w:before="0" w:after="0" w:line="240" w:lineRule="auto"/>
              <w:jc w:val="left"/>
              <w:rPr>
                <w:b/>
                <w:bCs/>
                <w:color w:val="000000"/>
                <w:sz w:val="20"/>
                <w:szCs w:val="20"/>
              </w:rPr>
            </w:pPr>
            <w:r>
              <w:rPr>
                <w:b/>
                <w:bCs/>
                <w:color w:val="000000"/>
                <w:sz w:val="20"/>
                <w:szCs w:val="20"/>
              </w:rPr>
              <w:t>2.2 / 2.4</w:t>
            </w:r>
          </w:p>
        </w:tc>
        <w:tc>
          <w:tcPr>
            <w:tcW w:w="843" w:type="dxa"/>
            <w:tcBorders>
              <w:top w:val="nil"/>
              <w:left w:val="nil"/>
              <w:bottom w:val="single" w:sz="4" w:space="0" w:color="000000"/>
              <w:right w:val="single" w:sz="4" w:space="0" w:color="000000"/>
            </w:tcBorders>
            <w:vAlign w:val="center"/>
          </w:tcPr>
          <w:p w14:paraId="1C6E2495" w14:textId="77777777" w:rsidR="00300044" w:rsidRDefault="002602FB">
            <w:pPr>
              <w:spacing w:before="0" w:after="0" w:line="240" w:lineRule="auto"/>
              <w:jc w:val="left"/>
              <w:rPr>
                <w:color w:val="000000"/>
                <w:sz w:val="20"/>
                <w:szCs w:val="20"/>
              </w:rPr>
            </w:pPr>
            <w:r>
              <w:rPr>
                <w:color w:val="000000"/>
                <w:sz w:val="20"/>
                <w:szCs w:val="20"/>
              </w:rPr>
              <w:t>Determinants of sustainable packaging purchase intention</w:t>
            </w:r>
          </w:p>
        </w:tc>
        <w:tc>
          <w:tcPr>
            <w:tcW w:w="1607" w:type="dxa"/>
            <w:tcBorders>
              <w:top w:val="nil"/>
              <w:left w:val="nil"/>
              <w:bottom w:val="single" w:sz="4" w:space="0" w:color="000000"/>
              <w:right w:val="single" w:sz="4" w:space="0" w:color="000000"/>
            </w:tcBorders>
            <w:vAlign w:val="center"/>
          </w:tcPr>
          <w:p w14:paraId="487E1815" w14:textId="77777777" w:rsidR="00300044" w:rsidRDefault="002602FB">
            <w:pPr>
              <w:spacing w:before="0" w:after="0" w:line="240" w:lineRule="auto"/>
              <w:jc w:val="left"/>
              <w:rPr>
                <w:color w:val="000000"/>
                <w:sz w:val="20"/>
                <w:szCs w:val="20"/>
              </w:rPr>
            </w:pPr>
            <w:r>
              <w:rPr>
                <w:color w:val="000000"/>
                <w:sz w:val="20"/>
                <w:szCs w:val="20"/>
              </w:rPr>
              <w:t>To identify factors influencing consumer purchase intentions for products using sustainable packaging</w:t>
            </w:r>
          </w:p>
        </w:tc>
        <w:tc>
          <w:tcPr>
            <w:tcW w:w="721" w:type="dxa"/>
            <w:tcBorders>
              <w:top w:val="nil"/>
              <w:left w:val="nil"/>
              <w:bottom w:val="single" w:sz="4" w:space="0" w:color="000000"/>
              <w:right w:val="single" w:sz="4" w:space="0" w:color="000000"/>
            </w:tcBorders>
            <w:vAlign w:val="center"/>
          </w:tcPr>
          <w:p w14:paraId="286EC10F" w14:textId="77777777" w:rsidR="00300044" w:rsidRDefault="002602FB">
            <w:pPr>
              <w:spacing w:before="0" w:after="0" w:line="240" w:lineRule="auto"/>
              <w:jc w:val="left"/>
              <w:rPr>
                <w:color w:val="000000"/>
                <w:sz w:val="20"/>
                <w:szCs w:val="20"/>
              </w:rPr>
            </w:pPr>
            <w:r>
              <w:rPr>
                <w:color w:val="000000"/>
                <w:sz w:val="20"/>
                <w:szCs w:val="20"/>
              </w:rPr>
              <w:t>Empirical quantitative analysis</w:t>
            </w:r>
          </w:p>
        </w:tc>
        <w:tc>
          <w:tcPr>
            <w:tcW w:w="755" w:type="dxa"/>
            <w:tcBorders>
              <w:top w:val="nil"/>
              <w:left w:val="nil"/>
              <w:bottom w:val="single" w:sz="4" w:space="0" w:color="000000"/>
              <w:right w:val="single" w:sz="4" w:space="0" w:color="000000"/>
            </w:tcBorders>
            <w:vAlign w:val="center"/>
          </w:tcPr>
          <w:p w14:paraId="3BF137B6" w14:textId="77777777" w:rsidR="00300044" w:rsidRDefault="002602FB">
            <w:pPr>
              <w:spacing w:before="0" w:after="0" w:line="240" w:lineRule="auto"/>
              <w:jc w:val="left"/>
              <w:rPr>
                <w:color w:val="000000"/>
                <w:sz w:val="20"/>
                <w:szCs w:val="20"/>
              </w:rPr>
            </w:pPr>
            <w:r>
              <w:rPr>
                <w:color w:val="000000"/>
                <w:sz w:val="20"/>
                <w:szCs w:val="20"/>
              </w:rPr>
              <w:t>Consumer-focused study</w:t>
            </w:r>
          </w:p>
        </w:tc>
        <w:tc>
          <w:tcPr>
            <w:tcW w:w="2661" w:type="dxa"/>
            <w:tcBorders>
              <w:top w:val="nil"/>
              <w:left w:val="nil"/>
              <w:bottom w:val="single" w:sz="4" w:space="0" w:color="000000"/>
              <w:right w:val="single" w:sz="4" w:space="0" w:color="000000"/>
            </w:tcBorders>
            <w:vAlign w:val="center"/>
          </w:tcPr>
          <w:p w14:paraId="2FF32419" w14:textId="77777777" w:rsidR="00300044" w:rsidRDefault="002602FB">
            <w:pPr>
              <w:spacing w:before="0" w:after="0" w:line="240" w:lineRule="auto"/>
              <w:jc w:val="left"/>
              <w:rPr>
                <w:color w:val="000000"/>
                <w:sz w:val="20"/>
                <w:szCs w:val="20"/>
              </w:rPr>
            </w:pPr>
            <w:r>
              <w:rPr>
                <w:color w:val="000000"/>
                <w:sz w:val="20"/>
                <w:szCs w:val="20"/>
              </w:rPr>
              <w:t>Demonstrates that consumer evaluations and other determinants can influence purchase intentions for sustainable packaging products</w:t>
            </w:r>
          </w:p>
        </w:tc>
        <w:tc>
          <w:tcPr>
            <w:tcW w:w="1869" w:type="dxa"/>
            <w:tcBorders>
              <w:top w:val="nil"/>
              <w:left w:val="nil"/>
              <w:bottom w:val="single" w:sz="4" w:space="0" w:color="000000"/>
              <w:right w:val="single" w:sz="4" w:space="0" w:color="000000"/>
            </w:tcBorders>
            <w:vAlign w:val="center"/>
          </w:tcPr>
          <w:p w14:paraId="1DBCAAE7" w14:textId="77777777" w:rsidR="00300044" w:rsidRDefault="002602FB">
            <w:pPr>
              <w:spacing w:before="0" w:after="0" w:line="240" w:lineRule="auto"/>
              <w:jc w:val="left"/>
              <w:rPr>
                <w:color w:val="000000"/>
                <w:sz w:val="20"/>
                <w:szCs w:val="20"/>
              </w:rPr>
            </w:pPr>
            <w:r>
              <w:rPr>
                <w:color w:val="000000"/>
                <w:sz w:val="20"/>
                <w:szCs w:val="20"/>
              </w:rPr>
              <w:t xml:space="preserve">Main conceptual limitation for the present study is its focus on </w:t>
            </w:r>
            <w:r>
              <w:rPr>
                <w:b/>
                <w:bCs/>
                <w:color w:val="000000"/>
                <w:sz w:val="20"/>
                <w:szCs w:val="20"/>
              </w:rPr>
              <w:t>purchase intention rather than loyalty</w:t>
            </w:r>
          </w:p>
        </w:tc>
        <w:tc>
          <w:tcPr>
            <w:tcW w:w="1762" w:type="dxa"/>
            <w:tcBorders>
              <w:top w:val="nil"/>
              <w:left w:val="nil"/>
              <w:bottom w:val="single" w:sz="4" w:space="0" w:color="000000"/>
              <w:right w:val="single" w:sz="4" w:space="0" w:color="000000"/>
            </w:tcBorders>
            <w:vAlign w:val="center"/>
          </w:tcPr>
          <w:p w14:paraId="69F50EE5" w14:textId="77777777" w:rsidR="00300044" w:rsidRDefault="002602FB">
            <w:pPr>
              <w:spacing w:before="0" w:after="0" w:line="240" w:lineRule="auto"/>
              <w:jc w:val="left"/>
              <w:rPr>
                <w:color w:val="000000"/>
                <w:sz w:val="20"/>
                <w:szCs w:val="20"/>
              </w:rPr>
            </w:pPr>
            <w:r>
              <w:rPr>
                <w:color w:val="000000"/>
                <w:sz w:val="20"/>
                <w:szCs w:val="20"/>
              </w:rPr>
              <w:t xml:space="preserve">Reinforces </w:t>
            </w:r>
            <w:r>
              <w:rPr>
                <w:b/>
                <w:bCs/>
                <w:color w:val="000000"/>
                <w:sz w:val="20"/>
                <w:szCs w:val="20"/>
              </w:rPr>
              <w:t>Faris et al. (2024)</w:t>
            </w:r>
            <w:r>
              <w:rPr>
                <w:color w:val="000000"/>
                <w:sz w:val="20"/>
                <w:szCs w:val="20"/>
              </w:rPr>
              <w:t xml:space="preserve"> while providing evidence for why purchase intention should not be treated as equivalent to brand loyalty</w:t>
            </w:r>
          </w:p>
        </w:tc>
      </w:tr>
      <w:tr w:rsidR="00300044" w14:paraId="6201A1F0"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0F6C86BD" w14:textId="77777777" w:rsidR="00300044" w:rsidRDefault="002602FB">
            <w:pPr>
              <w:spacing w:before="0" w:after="0" w:line="240" w:lineRule="auto"/>
              <w:jc w:val="right"/>
              <w:rPr>
                <w:b/>
                <w:bCs/>
                <w:color w:val="000000"/>
                <w:sz w:val="20"/>
                <w:szCs w:val="20"/>
              </w:rPr>
            </w:pPr>
            <w:r>
              <w:rPr>
                <w:b/>
                <w:bCs/>
                <w:color w:val="000000"/>
                <w:sz w:val="20"/>
                <w:szCs w:val="20"/>
              </w:rPr>
              <w:t>13</w:t>
            </w:r>
          </w:p>
        </w:tc>
        <w:tc>
          <w:tcPr>
            <w:tcW w:w="658" w:type="dxa"/>
            <w:tcBorders>
              <w:top w:val="nil"/>
              <w:left w:val="nil"/>
              <w:bottom w:val="single" w:sz="4" w:space="0" w:color="000000"/>
              <w:right w:val="single" w:sz="4" w:space="0" w:color="000000"/>
            </w:tcBorders>
            <w:vAlign w:val="center"/>
          </w:tcPr>
          <w:p w14:paraId="5179B87B" w14:textId="77777777" w:rsidR="00300044" w:rsidRDefault="002602FB">
            <w:pPr>
              <w:spacing w:before="0" w:after="0" w:line="240" w:lineRule="auto"/>
              <w:jc w:val="left"/>
              <w:rPr>
                <w:color w:val="000000"/>
                <w:sz w:val="20"/>
                <w:szCs w:val="20"/>
              </w:rPr>
            </w:pPr>
            <w:r>
              <w:rPr>
                <w:color w:val="000000"/>
                <w:sz w:val="20"/>
                <w:szCs w:val="20"/>
              </w:rPr>
              <w:t>Bai, R.</w:t>
            </w:r>
          </w:p>
        </w:tc>
        <w:tc>
          <w:tcPr>
            <w:tcW w:w="1496" w:type="dxa"/>
            <w:tcBorders>
              <w:top w:val="nil"/>
              <w:left w:val="nil"/>
              <w:bottom w:val="single" w:sz="4" w:space="0" w:color="000000"/>
              <w:right w:val="single" w:sz="4" w:space="0" w:color="000000"/>
            </w:tcBorders>
            <w:vAlign w:val="center"/>
          </w:tcPr>
          <w:p w14:paraId="45A72CE3" w14:textId="77777777" w:rsidR="00300044" w:rsidRDefault="002602FB">
            <w:pPr>
              <w:spacing w:before="0" w:after="0" w:line="240" w:lineRule="auto"/>
              <w:jc w:val="left"/>
              <w:rPr>
                <w:i/>
                <w:iCs/>
                <w:color w:val="000000"/>
                <w:sz w:val="20"/>
                <w:szCs w:val="20"/>
              </w:rPr>
            </w:pPr>
            <w:r>
              <w:rPr>
                <w:i/>
                <w:iCs/>
                <w:color w:val="000000"/>
                <w:sz w:val="20"/>
                <w:szCs w:val="20"/>
              </w:rPr>
              <w:t>Sustainable Packaging Design: A Study on Consumer Perception and Brand Image</w:t>
            </w:r>
          </w:p>
        </w:tc>
        <w:tc>
          <w:tcPr>
            <w:tcW w:w="693" w:type="dxa"/>
            <w:tcBorders>
              <w:top w:val="nil"/>
              <w:left w:val="nil"/>
              <w:bottom w:val="single" w:sz="4" w:space="0" w:color="000000"/>
              <w:right w:val="single" w:sz="4" w:space="0" w:color="000000"/>
            </w:tcBorders>
            <w:vAlign w:val="center"/>
          </w:tcPr>
          <w:p w14:paraId="3971D103" w14:textId="77777777" w:rsidR="00300044" w:rsidRDefault="002602FB">
            <w:pPr>
              <w:spacing w:before="0" w:after="0" w:line="240" w:lineRule="auto"/>
              <w:jc w:val="left"/>
              <w:rPr>
                <w:color w:val="000000"/>
                <w:sz w:val="20"/>
                <w:szCs w:val="20"/>
              </w:rPr>
            </w:pPr>
            <w:r>
              <w:rPr>
                <w:color w:val="000000"/>
                <w:sz w:val="20"/>
                <w:szCs w:val="20"/>
              </w:rPr>
              <w:t>Journal article</w:t>
            </w:r>
          </w:p>
        </w:tc>
        <w:tc>
          <w:tcPr>
            <w:tcW w:w="256" w:type="dxa"/>
            <w:tcBorders>
              <w:top w:val="nil"/>
              <w:left w:val="nil"/>
              <w:bottom w:val="single" w:sz="4" w:space="0" w:color="000000"/>
              <w:right w:val="single" w:sz="4" w:space="0" w:color="000000"/>
            </w:tcBorders>
            <w:vAlign w:val="center"/>
          </w:tcPr>
          <w:p w14:paraId="5E6C440B" w14:textId="77777777" w:rsidR="00300044" w:rsidRDefault="002602FB">
            <w:pPr>
              <w:spacing w:before="0" w:after="0" w:line="240" w:lineRule="auto"/>
              <w:jc w:val="right"/>
              <w:rPr>
                <w:color w:val="000000"/>
                <w:sz w:val="20"/>
                <w:szCs w:val="20"/>
              </w:rPr>
            </w:pPr>
            <w:r>
              <w:rPr>
                <w:color w:val="000000"/>
                <w:sz w:val="20"/>
                <w:szCs w:val="20"/>
              </w:rPr>
              <w:t>2024</w:t>
            </w:r>
          </w:p>
        </w:tc>
        <w:tc>
          <w:tcPr>
            <w:tcW w:w="553" w:type="dxa"/>
            <w:tcBorders>
              <w:top w:val="nil"/>
              <w:left w:val="nil"/>
              <w:bottom w:val="single" w:sz="4" w:space="0" w:color="000000"/>
              <w:right w:val="single" w:sz="4" w:space="0" w:color="000000"/>
            </w:tcBorders>
            <w:vAlign w:val="center"/>
          </w:tcPr>
          <w:p w14:paraId="7A7B3FAC" w14:textId="77777777" w:rsidR="00300044" w:rsidRDefault="002602FB">
            <w:pPr>
              <w:spacing w:before="0" w:after="0" w:line="240" w:lineRule="auto"/>
              <w:jc w:val="left"/>
              <w:rPr>
                <w:b/>
                <w:bCs/>
                <w:color w:val="000000"/>
                <w:sz w:val="20"/>
                <w:szCs w:val="20"/>
              </w:rPr>
            </w:pPr>
            <w:r>
              <w:rPr>
                <w:b/>
                <w:bCs/>
                <w:color w:val="000000"/>
                <w:sz w:val="20"/>
                <w:szCs w:val="20"/>
              </w:rPr>
              <w:t>2.2 / 2.4</w:t>
            </w:r>
          </w:p>
        </w:tc>
        <w:tc>
          <w:tcPr>
            <w:tcW w:w="843" w:type="dxa"/>
            <w:tcBorders>
              <w:top w:val="nil"/>
              <w:left w:val="nil"/>
              <w:bottom w:val="single" w:sz="4" w:space="0" w:color="000000"/>
              <w:right w:val="single" w:sz="4" w:space="0" w:color="000000"/>
            </w:tcBorders>
            <w:vAlign w:val="center"/>
          </w:tcPr>
          <w:p w14:paraId="654695FB" w14:textId="77777777" w:rsidR="00300044" w:rsidRDefault="002602FB">
            <w:pPr>
              <w:spacing w:before="0" w:after="0" w:line="240" w:lineRule="auto"/>
              <w:jc w:val="left"/>
              <w:rPr>
                <w:color w:val="000000"/>
                <w:sz w:val="20"/>
                <w:szCs w:val="20"/>
              </w:rPr>
            </w:pPr>
            <w:r>
              <w:rPr>
                <w:color w:val="000000"/>
                <w:sz w:val="20"/>
                <w:szCs w:val="20"/>
              </w:rPr>
              <w:t>Sustainable packaging design and brand image</w:t>
            </w:r>
          </w:p>
        </w:tc>
        <w:tc>
          <w:tcPr>
            <w:tcW w:w="1607" w:type="dxa"/>
            <w:tcBorders>
              <w:top w:val="nil"/>
              <w:left w:val="nil"/>
              <w:bottom w:val="single" w:sz="4" w:space="0" w:color="000000"/>
              <w:right w:val="single" w:sz="4" w:space="0" w:color="000000"/>
            </w:tcBorders>
            <w:vAlign w:val="center"/>
          </w:tcPr>
          <w:p w14:paraId="5FF4989F" w14:textId="77777777" w:rsidR="00300044" w:rsidRDefault="002602FB">
            <w:pPr>
              <w:spacing w:before="0" w:after="0" w:line="240" w:lineRule="auto"/>
              <w:jc w:val="left"/>
              <w:rPr>
                <w:color w:val="000000"/>
                <w:sz w:val="20"/>
                <w:szCs w:val="20"/>
              </w:rPr>
            </w:pPr>
            <w:r>
              <w:rPr>
                <w:color w:val="000000"/>
                <w:sz w:val="20"/>
                <w:szCs w:val="20"/>
              </w:rPr>
              <w:t>To examine the relationship between sustainable packaging design, consumer perception and brand image</w:t>
            </w:r>
          </w:p>
        </w:tc>
        <w:tc>
          <w:tcPr>
            <w:tcW w:w="721" w:type="dxa"/>
            <w:tcBorders>
              <w:top w:val="nil"/>
              <w:left w:val="nil"/>
              <w:bottom w:val="single" w:sz="4" w:space="0" w:color="000000"/>
              <w:right w:val="single" w:sz="4" w:space="0" w:color="000000"/>
            </w:tcBorders>
            <w:vAlign w:val="center"/>
          </w:tcPr>
          <w:p w14:paraId="458FEED1" w14:textId="77777777" w:rsidR="00300044" w:rsidRDefault="002602FB">
            <w:pPr>
              <w:spacing w:before="0" w:after="0" w:line="240" w:lineRule="auto"/>
              <w:jc w:val="left"/>
              <w:rPr>
                <w:color w:val="000000"/>
                <w:sz w:val="20"/>
                <w:szCs w:val="20"/>
              </w:rPr>
            </w:pPr>
            <w:r>
              <w:rPr>
                <w:color w:val="000000"/>
                <w:sz w:val="20"/>
                <w:szCs w:val="20"/>
              </w:rPr>
              <w:t>Consumer perception study</w:t>
            </w:r>
          </w:p>
        </w:tc>
        <w:tc>
          <w:tcPr>
            <w:tcW w:w="755" w:type="dxa"/>
            <w:tcBorders>
              <w:top w:val="nil"/>
              <w:left w:val="nil"/>
              <w:bottom w:val="single" w:sz="4" w:space="0" w:color="000000"/>
              <w:right w:val="single" w:sz="4" w:space="0" w:color="000000"/>
            </w:tcBorders>
            <w:vAlign w:val="center"/>
          </w:tcPr>
          <w:p w14:paraId="3DC9A6B6" w14:textId="77777777" w:rsidR="00300044" w:rsidRDefault="002602FB">
            <w:pPr>
              <w:spacing w:before="0" w:after="0" w:line="240" w:lineRule="auto"/>
              <w:jc w:val="left"/>
              <w:rPr>
                <w:color w:val="000000"/>
                <w:sz w:val="20"/>
                <w:szCs w:val="20"/>
              </w:rPr>
            </w:pPr>
            <w:r>
              <w:rPr>
                <w:color w:val="000000"/>
                <w:sz w:val="20"/>
                <w:szCs w:val="20"/>
              </w:rPr>
              <w:t>Consumer/brand context</w:t>
            </w:r>
          </w:p>
        </w:tc>
        <w:tc>
          <w:tcPr>
            <w:tcW w:w="2661" w:type="dxa"/>
            <w:tcBorders>
              <w:top w:val="nil"/>
              <w:left w:val="nil"/>
              <w:bottom w:val="single" w:sz="4" w:space="0" w:color="000000"/>
              <w:right w:val="single" w:sz="4" w:space="0" w:color="000000"/>
            </w:tcBorders>
            <w:vAlign w:val="center"/>
          </w:tcPr>
          <w:p w14:paraId="7C0D6556" w14:textId="77777777" w:rsidR="00300044" w:rsidRDefault="002602FB">
            <w:pPr>
              <w:spacing w:before="0" w:after="0" w:line="240" w:lineRule="auto"/>
              <w:jc w:val="left"/>
              <w:rPr>
                <w:color w:val="000000"/>
                <w:sz w:val="20"/>
                <w:szCs w:val="20"/>
              </w:rPr>
            </w:pPr>
            <w:r>
              <w:rPr>
                <w:color w:val="000000"/>
                <w:sz w:val="20"/>
                <w:szCs w:val="20"/>
              </w:rPr>
              <w:t>Sustainable packaging design can influence consumer perceptions and contribute to brand image</w:t>
            </w:r>
          </w:p>
        </w:tc>
        <w:tc>
          <w:tcPr>
            <w:tcW w:w="1869" w:type="dxa"/>
            <w:tcBorders>
              <w:top w:val="nil"/>
              <w:left w:val="nil"/>
              <w:bottom w:val="single" w:sz="4" w:space="0" w:color="000000"/>
              <w:right w:val="single" w:sz="4" w:space="0" w:color="000000"/>
            </w:tcBorders>
            <w:vAlign w:val="center"/>
          </w:tcPr>
          <w:p w14:paraId="28F5908D" w14:textId="77777777" w:rsidR="00300044" w:rsidRDefault="002602FB">
            <w:pPr>
              <w:spacing w:before="0" w:after="0" w:line="240" w:lineRule="auto"/>
              <w:jc w:val="left"/>
              <w:rPr>
                <w:color w:val="000000"/>
                <w:sz w:val="20"/>
                <w:szCs w:val="20"/>
              </w:rPr>
            </w:pPr>
            <w:r>
              <w:rPr>
                <w:color w:val="000000"/>
                <w:sz w:val="20"/>
                <w:szCs w:val="20"/>
              </w:rPr>
              <w:t xml:space="preserve">Brand image is not equivalent to brand loyalty; therefore, the study does not establish whether positive packaging perceptions lead to repeated </w:t>
            </w:r>
            <w:r>
              <w:rPr>
                <w:color w:val="000000"/>
                <w:sz w:val="20"/>
                <w:szCs w:val="20"/>
              </w:rPr>
              <w:lastRenderedPageBreak/>
              <w:t>purchasing or commitment</w:t>
            </w:r>
          </w:p>
        </w:tc>
        <w:tc>
          <w:tcPr>
            <w:tcW w:w="1762" w:type="dxa"/>
            <w:tcBorders>
              <w:top w:val="nil"/>
              <w:left w:val="nil"/>
              <w:bottom w:val="single" w:sz="4" w:space="0" w:color="000000"/>
              <w:right w:val="single" w:sz="4" w:space="0" w:color="000000"/>
            </w:tcBorders>
            <w:vAlign w:val="center"/>
          </w:tcPr>
          <w:p w14:paraId="6FB731E2" w14:textId="77777777" w:rsidR="00300044" w:rsidRDefault="002602FB">
            <w:pPr>
              <w:spacing w:before="0" w:after="0" w:line="240" w:lineRule="auto"/>
              <w:jc w:val="left"/>
              <w:rPr>
                <w:color w:val="000000"/>
                <w:sz w:val="20"/>
                <w:szCs w:val="20"/>
              </w:rPr>
            </w:pPr>
            <w:r>
              <w:rPr>
                <w:color w:val="000000"/>
                <w:sz w:val="20"/>
                <w:szCs w:val="20"/>
              </w:rPr>
              <w:lastRenderedPageBreak/>
              <w:t xml:space="preserve">Connects packaging perceptions with the brand dimension and helps bridge </w:t>
            </w:r>
            <w:r>
              <w:rPr>
                <w:b/>
                <w:bCs/>
                <w:color w:val="000000"/>
                <w:sz w:val="20"/>
                <w:szCs w:val="20"/>
              </w:rPr>
              <w:t>Norton et al. (2022)</w:t>
            </w:r>
            <w:r>
              <w:rPr>
                <w:color w:val="000000"/>
                <w:sz w:val="20"/>
                <w:szCs w:val="20"/>
              </w:rPr>
              <w:t xml:space="preserve"> with loyalty literature</w:t>
            </w:r>
          </w:p>
        </w:tc>
      </w:tr>
      <w:tr w:rsidR="00300044" w14:paraId="30C95065"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73AE5152" w14:textId="77777777" w:rsidR="00300044" w:rsidRDefault="002602FB">
            <w:pPr>
              <w:spacing w:before="0" w:after="0" w:line="240" w:lineRule="auto"/>
              <w:jc w:val="right"/>
              <w:rPr>
                <w:b/>
                <w:bCs/>
                <w:color w:val="000000"/>
                <w:sz w:val="20"/>
                <w:szCs w:val="20"/>
              </w:rPr>
            </w:pPr>
            <w:r>
              <w:rPr>
                <w:b/>
                <w:bCs/>
                <w:color w:val="000000"/>
                <w:sz w:val="20"/>
                <w:szCs w:val="20"/>
              </w:rPr>
              <w:t>14</w:t>
            </w:r>
          </w:p>
        </w:tc>
        <w:tc>
          <w:tcPr>
            <w:tcW w:w="658" w:type="dxa"/>
            <w:tcBorders>
              <w:top w:val="nil"/>
              <w:left w:val="nil"/>
              <w:bottom w:val="single" w:sz="4" w:space="0" w:color="000000"/>
              <w:right w:val="single" w:sz="4" w:space="0" w:color="000000"/>
            </w:tcBorders>
            <w:vAlign w:val="center"/>
          </w:tcPr>
          <w:p w14:paraId="0172AE87" w14:textId="77777777" w:rsidR="00300044" w:rsidRDefault="002602FB">
            <w:pPr>
              <w:spacing w:before="0" w:after="0" w:line="240" w:lineRule="auto"/>
              <w:jc w:val="left"/>
              <w:rPr>
                <w:color w:val="000000"/>
                <w:sz w:val="20"/>
                <w:szCs w:val="20"/>
              </w:rPr>
            </w:pPr>
            <w:proofErr w:type="spellStart"/>
            <w:r>
              <w:rPr>
                <w:color w:val="000000"/>
                <w:sz w:val="20"/>
                <w:szCs w:val="20"/>
              </w:rPr>
              <w:t>Plotkina</w:t>
            </w:r>
            <w:proofErr w:type="spellEnd"/>
            <w:r>
              <w:rPr>
                <w:color w:val="000000"/>
                <w:sz w:val="20"/>
                <w:szCs w:val="20"/>
              </w:rPr>
              <w:t xml:space="preserve">, D., </w:t>
            </w:r>
            <w:proofErr w:type="spellStart"/>
            <w:r>
              <w:rPr>
                <w:color w:val="000000"/>
                <w:sz w:val="20"/>
                <w:szCs w:val="20"/>
              </w:rPr>
              <w:t>Rabeson</w:t>
            </w:r>
            <w:proofErr w:type="spellEnd"/>
            <w:r>
              <w:rPr>
                <w:color w:val="000000"/>
                <w:sz w:val="20"/>
                <w:szCs w:val="20"/>
              </w:rPr>
              <w:t>, L. and Bambauer-Sachse, S.</w:t>
            </w:r>
          </w:p>
        </w:tc>
        <w:tc>
          <w:tcPr>
            <w:tcW w:w="1496" w:type="dxa"/>
            <w:tcBorders>
              <w:top w:val="nil"/>
              <w:left w:val="nil"/>
              <w:bottom w:val="single" w:sz="4" w:space="0" w:color="000000"/>
              <w:right w:val="single" w:sz="4" w:space="0" w:color="000000"/>
            </w:tcBorders>
            <w:vAlign w:val="center"/>
          </w:tcPr>
          <w:p w14:paraId="279E2EB6" w14:textId="77777777" w:rsidR="00300044" w:rsidRDefault="002602FB">
            <w:pPr>
              <w:spacing w:before="0" w:after="0" w:line="240" w:lineRule="auto"/>
              <w:jc w:val="left"/>
              <w:rPr>
                <w:i/>
                <w:iCs/>
                <w:color w:val="000000"/>
                <w:sz w:val="20"/>
                <w:szCs w:val="20"/>
              </w:rPr>
            </w:pPr>
            <w:r>
              <w:rPr>
                <w:i/>
                <w:iCs/>
                <w:color w:val="000000"/>
                <w:sz w:val="20"/>
                <w:szCs w:val="20"/>
              </w:rPr>
              <w:t>The role of green brand image in explaining European consumers’ reactions to different types of sustainable packaging</w:t>
            </w:r>
          </w:p>
        </w:tc>
        <w:tc>
          <w:tcPr>
            <w:tcW w:w="693" w:type="dxa"/>
            <w:tcBorders>
              <w:top w:val="nil"/>
              <w:left w:val="nil"/>
              <w:bottom w:val="single" w:sz="4" w:space="0" w:color="000000"/>
              <w:right w:val="single" w:sz="4" w:space="0" w:color="000000"/>
            </w:tcBorders>
            <w:vAlign w:val="center"/>
          </w:tcPr>
          <w:p w14:paraId="7A72C266" w14:textId="77777777" w:rsidR="00300044" w:rsidRDefault="002602FB">
            <w:pPr>
              <w:spacing w:before="0" w:after="0" w:line="240" w:lineRule="auto"/>
              <w:jc w:val="left"/>
              <w:rPr>
                <w:color w:val="000000"/>
                <w:sz w:val="20"/>
                <w:szCs w:val="20"/>
              </w:rPr>
            </w:pPr>
            <w:r>
              <w:rPr>
                <w:color w:val="000000"/>
                <w:sz w:val="20"/>
                <w:szCs w:val="20"/>
              </w:rPr>
              <w:t xml:space="preserve">Journal article, </w:t>
            </w:r>
            <w:r>
              <w:rPr>
                <w:i/>
                <w:iCs/>
                <w:color w:val="000000"/>
                <w:sz w:val="20"/>
                <w:szCs w:val="20"/>
              </w:rPr>
              <w:t>Journal of Retailing and Consumer Services</w:t>
            </w:r>
          </w:p>
        </w:tc>
        <w:tc>
          <w:tcPr>
            <w:tcW w:w="256" w:type="dxa"/>
            <w:tcBorders>
              <w:top w:val="nil"/>
              <w:left w:val="nil"/>
              <w:bottom w:val="single" w:sz="4" w:space="0" w:color="000000"/>
              <w:right w:val="single" w:sz="4" w:space="0" w:color="000000"/>
            </w:tcBorders>
            <w:vAlign w:val="center"/>
          </w:tcPr>
          <w:p w14:paraId="1F98B6EF" w14:textId="77777777" w:rsidR="00300044" w:rsidRDefault="002602FB">
            <w:pPr>
              <w:spacing w:before="0" w:after="0" w:line="240" w:lineRule="auto"/>
              <w:jc w:val="right"/>
              <w:rPr>
                <w:color w:val="000000"/>
                <w:sz w:val="20"/>
                <w:szCs w:val="20"/>
              </w:rPr>
            </w:pPr>
            <w:r>
              <w:rPr>
                <w:color w:val="000000"/>
                <w:sz w:val="20"/>
                <w:szCs w:val="20"/>
              </w:rPr>
              <w:t>2025</w:t>
            </w:r>
          </w:p>
        </w:tc>
        <w:tc>
          <w:tcPr>
            <w:tcW w:w="553" w:type="dxa"/>
            <w:tcBorders>
              <w:top w:val="nil"/>
              <w:left w:val="nil"/>
              <w:bottom w:val="single" w:sz="4" w:space="0" w:color="000000"/>
              <w:right w:val="single" w:sz="4" w:space="0" w:color="000000"/>
            </w:tcBorders>
            <w:vAlign w:val="center"/>
          </w:tcPr>
          <w:p w14:paraId="40AEB209" w14:textId="77777777" w:rsidR="00300044" w:rsidRDefault="002602FB">
            <w:pPr>
              <w:spacing w:before="0" w:after="0" w:line="240" w:lineRule="auto"/>
              <w:jc w:val="left"/>
              <w:rPr>
                <w:b/>
                <w:bCs/>
                <w:color w:val="000000"/>
                <w:sz w:val="20"/>
                <w:szCs w:val="20"/>
              </w:rPr>
            </w:pPr>
            <w:r>
              <w:rPr>
                <w:b/>
                <w:bCs/>
                <w:color w:val="000000"/>
                <w:sz w:val="20"/>
                <w:szCs w:val="20"/>
              </w:rPr>
              <w:t>2.2 / 2.4</w:t>
            </w:r>
          </w:p>
        </w:tc>
        <w:tc>
          <w:tcPr>
            <w:tcW w:w="843" w:type="dxa"/>
            <w:tcBorders>
              <w:top w:val="nil"/>
              <w:left w:val="nil"/>
              <w:bottom w:val="single" w:sz="4" w:space="0" w:color="000000"/>
              <w:right w:val="single" w:sz="4" w:space="0" w:color="000000"/>
            </w:tcBorders>
            <w:vAlign w:val="center"/>
          </w:tcPr>
          <w:p w14:paraId="08F0DA7D" w14:textId="77777777" w:rsidR="00300044" w:rsidRDefault="002602FB">
            <w:pPr>
              <w:spacing w:before="0" w:after="0" w:line="240" w:lineRule="auto"/>
              <w:jc w:val="left"/>
              <w:rPr>
                <w:color w:val="000000"/>
                <w:sz w:val="20"/>
                <w:szCs w:val="20"/>
              </w:rPr>
            </w:pPr>
            <w:r>
              <w:rPr>
                <w:color w:val="000000"/>
                <w:sz w:val="20"/>
                <w:szCs w:val="20"/>
              </w:rPr>
              <w:t>Green brand image and consumer reactions</w:t>
            </w:r>
          </w:p>
        </w:tc>
        <w:tc>
          <w:tcPr>
            <w:tcW w:w="1607" w:type="dxa"/>
            <w:tcBorders>
              <w:top w:val="nil"/>
              <w:left w:val="nil"/>
              <w:bottom w:val="single" w:sz="4" w:space="0" w:color="000000"/>
              <w:right w:val="single" w:sz="4" w:space="0" w:color="000000"/>
            </w:tcBorders>
            <w:vAlign w:val="center"/>
          </w:tcPr>
          <w:p w14:paraId="1AFAB15F" w14:textId="77777777" w:rsidR="00300044" w:rsidRDefault="002602FB">
            <w:pPr>
              <w:spacing w:before="0" w:after="0" w:line="240" w:lineRule="auto"/>
              <w:jc w:val="left"/>
              <w:rPr>
                <w:color w:val="000000"/>
                <w:sz w:val="20"/>
                <w:szCs w:val="20"/>
              </w:rPr>
            </w:pPr>
            <w:r>
              <w:rPr>
                <w:color w:val="000000"/>
                <w:sz w:val="20"/>
                <w:szCs w:val="20"/>
              </w:rPr>
              <w:t>To investigate how green brand image explains European consumers’ responses to different sustainable packaging types</w:t>
            </w:r>
          </w:p>
        </w:tc>
        <w:tc>
          <w:tcPr>
            <w:tcW w:w="721" w:type="dxa"/>
            <w:tcBorders>
              <w:top w:val="nil"/>
              <w:left w:val="nil"/>
              <w:bottom w:val="single" w:sz="4" w:space="0" w:color="000000"/>
              <w:right w:val="single" w:sz="4" w:space="0" w:color="000000"/>
            </w:tcBorders>
            <w:vAlign w:val="center"/>
          </w:tcPr>
          <w:p w14:paraId="1E7359B0" w14:textId="77777777" w:rsidR="00300044" w:rsidRDefault="002602FB">
            <w:pPr>
              <w:spacing w:before="0" w:after="0" w:line="240" w:lineRule="auto"/>
              <w:jc w:val="left"/>
              <w:rPr>
                <w:color w:val="000000"/>
                <w:sz w:val="20"/>
                <w:szCs w:val="20"/>
              </w:rPr>
            </w:pPr>
            <w:r>
              <w:rPr>
                <w:color w:val="000000"/>
                <w:sz w:val="20"/>
                <w:szCs w:val="20"/>
              </w:rPr>
              <w:t>Empirical consumer research</w:t>
            </w:r>
          </w:p>
        </w:tc>
        <w:tc>
          <w:tcPr>
            <w:tcW w:w="755" w:type="dxa"/>
            <w:tcBorders>
              <w:top w:val="nil"/>
              <w:left w:val="nil"/>
              <w:bottom w:val="single" w:sz="4" w:space="0" w:color="000000"/>
              <w:right w:val="single" w:sz="4" w:space="0" w:color="000000"/>
            </w:tcBorders>
            <w:vAlign w:val="center"/>
          </w:tcPr>
          <w:p w14:paraId="4A44760D" w14:textId="77777777" w:rsidR="00300044" w:rsidRDefault="002602FB">
            <w:pPr>
              <w:spacing w:before="0" w:after="0" w:line="240" w:lineRule="auto"/>
              <w:jc w:val="left"/>
              <w:rPr>
                <w:b/>
                <w:bCs/>
                <w:color w:val="000000"/>
                <w:sz w:val="20"/>
                <w:szCs w:val="20"/>
              </w:rPr>
            </w:pPr>
            <w:r>
              <w:rPr>
                <w:b/>
                <w:bCs/>
                <w:color w:val="000000"/>
                <w:sz w:val="20"/>
                <w:szCs w:val="20"/>
              </w:rPr>
              <w:t>European consumers</w:t>
            </w:r>
          </w:p>
        </w:tc>
        <w:tc>
          <w:tcPr>
            <w:tcW w:w="2661" w:type="dxa"/>
            <w:tcBorders>
              <w:top w:val="nil"/>
              <w:left w:val="nil"/>
              <w:bottom w:val="single" w:sz="4" w:space="0" w:color="000000"/>
              <w:right w:val="single" w:sz="4" w:space="0" w:color="000000"/>
            </w:tcBorders>
            <w:vAlign w:val="center"/>
          </w:tcPr>
          <w:p w14:paraId="3F71A4A5" w14:textId="77777777" w:rsidR="00300044" w:rsidRDefault="002602FB">
            <w:pPr>
              <w:spacing w:before="0" w:after="0" w:line="240" w:lineRule="auto"/>
              <w:jc w:val="left"/>
              <w:rPr>
                <w:color w:val="000000"/>
                <w:sz w:val="20"/>
                <w:szCs w:val="20"/>
              </w:rPr>
            </w:pPr>
            <w:r>
              <w:rPr>
                <w:color w:val="000000"/>
                <w:sz w:val="20"/>
                <w:szCs w:val="20"/>
              </w:rPr>
              <w:t>Green brand image is an important mechanism explaining consumer reactions to sustainable packaging. The effect varies according to packaging type and consumer interpretation</w:t>
            </w:r>
          </w:p>
        </w:tc>
        <w:tc>
          <w:tcPr>
            <w:tcW w:w="1869" w:type="dxa"/>
            <w:tcBorders>
              <w:top w:val="nil"/>
              <w:left w:val="nil"/>
              <w:bottom w:val="single" w:sz="4" w:space="0" w:color="000000"/>
              <w:right w:val="single" w:sz="4" w:space="0" w:color="000000"/>
            </w:tcBorders>
            <w:vAlign w:val="center"/>
          </w:tcPr>
          <w:p w14:paraId="05C61234" w14:textId="77777777" w:rsidR="00300044" w:rsidRDefault="002602FB">
            <w:pPr>
              <w:spacing w:before="0" w:after="0" w:line="240" w:lineRule="auto"/>
              <w:jc w:val="left"/>
              <w:rPr>
                <w:color w:val="000000"/>
                <w:sz w:val="20"/>
                <w:szCs w:val="20"/>
              </w:rPr>
            </w:pPr>
            <w:r>
              <w:rPr>
                <w:color w:val="000000"/>
                <w:sz w:val="20"/>
                <w:szCs w:val="20"/>
              </w:rPr>
              <w:t>European rather than specifically UK-focused; examines consumer reactions rather than directly measuring long-term brand loyalty</w:t>
            </w:r>
          </w:p>
        </w:tc>
        <w:tc>
          <w:tcPr>
            <w:tcW w:w="1762" w:type="dxa"/>
            <w:tcBorders>
              <w:top w:val="nil"/>
              <w:left w:val="nil"/>
              <w:bottom w:val="single" w:sz="4" w:space="0" w:color="000000"/>
              <w:right w:val="single" w:sz="4" w:space="0" w:color="000000"/>
            </w:tcBorders>
            <w:vAlign w:val="center"/>
          </w:tcPr>
          <w:p w14:paraId="1AB51A94" w14:textId="77777777" w:rsidR="00300044" w:rsidRDefault="002602FB">
            <w:pPr>
              <w:spacing w:before="0" w:after="0" w:line="240" w:lineRule="auto"/>
              <w:jc w:val="left"/>
              <w:rPr>
                <w:color w:val="000000"/>
                <w:sz w:val="20"/>
                <w:szCs w:val="20"/>
              </w:rPr>
            </w:pPr>
            <w:r>
              <w:rPr>
                <w:color w:val="000000"/>
                <w:sz w:val="20"/>
                <w:szCs w:val="20"/>
              </w:rPr>
              <w:t xml:space="preserve">Particularly important bridge between </w:t>
            </w:r>
            <w:r>
              <w:rPr>
                <w:b/>
                <w:bCs/>
                <w:color w:val="000000"/>
                <w:sz w:val="20"/>
                <w:szCs w:val="20"/>
              </w:rPr>
              <w:t>sustainable packaging and brand-related outcomes</w:t>
            </w:r>
            <w:r>
              <w:rPr>
                <w:color w:val="000000"/>
                <w:sz w:val="20"/>
                <w:szCs w:val="20"/>
              </w:rPr>
              <w:t xml:space="preserve">. Connects with </w:t>
            </w:r>
            <w:r>
              <w:rPr>
                <w:b/>
                <w:bCs/>
                <w:color w:val="000000"/>
                <w:sz w:val="20"/>
                <w:szCs w:val="20"/>
              </w:rPr>
              <w:t>Bai (2024)</w:t>
            </w:r>
            <w:r>
              <w:rPr>
                <w:color w:val="000000"/>
                <w:sz w:val="20"/>
                <w:szCs w:val="20"/>
              </w:rPr>
              <w:t xml:space="preserve"> and </w:t>
            </w:r>
            <w:r>
              <w:rPr>
                <w:b/>
                <w:bCs/>
                <w:color w:val="000000"/>
                <w:sz w:val="20"/>
                <w:szCs w:val="20"/>
              </w:rPr>
              <w:t>Inês and Moreira (2023)</w:t>
            </w:r>
          </w:p>
        </w:tc>
      </w:tr>
      <w:tr w:rsidR="00300044" w14:paraId="54A9BD4D" w14:textId="77777777">
        <w:trPr>
          <w:trHeight w:val="300"/>
        </w:trPr>
        <w:tc>
          <w:tcPr>
            <w:tcW w:w="300" w:type="dxa"/>
            <w:tcBorders>
              <w:top w:val="nil"/>
              <w:left w:val="single" w:sz="4" w:space="0" w:color="000000"/>
              <w:bottom w:val="single" w:sz="4" w:space="0" w:color="000000"/>
              <w:right w:val="single" w:sz="4" w:space="0" w:color="000000"/>
            </w:tcBorders>
            <w:vAlign w:val="center"/>
          </w:tcPr>
          <w:p w14:paraId="361E081C" w14:textId="77777777" w:rsidR="00300044" w:rsidRDefault="002602FB">
            <w:pPr>
              <w:spacing w:before="0" w:after="0" w:line="240" w:lineRule="auto"/>
              <w:jc w:val="right"/>
              <w:rPr>
                <w:b/>
                <w:bCs/>
                <w:color w:val="000000"/>
                <w:sz w:val="20"/>
                <w:szCs w:val="20"/>
              </w:rPr>
            </w:pPr>
            <w:r>
              <w:rPr>
                <w:b/>
                <w:bCs/>
                <w:color w:val="000000"/>
                <w:sz w:val="20"/>
                <w:szCs w:val="20"/>
              </w:rPr>
              <w:t>15</w:t>
            </w:r>
          </w:p>
        </w:tc>
        <w:tc>
          <w:tcPr>
            <w:tcW w:w="658" w:type="dxa"/>
            <w:tcBorders>
              <w:top w:val="nil"/>
              <w:left w:val="nil"/>
              <w:bottom w:val="single" w:sz="4" w:space="0" w:color="000000"/>
              <w:right w:val="single" w:sz="4" w:space="0" w:color="000000"/>
            </w:tcBorders>
            <w:vAlign w:val="center"/>
          </w:tcPr>
          <w:p w14:paraId="3929F6B6" w14:textId="77777777" w:rsidR="00300044" w:rsidRDefault="002602FB">
            <w:pPr>
              <w:spacing w:before="0" w:after="0" w:line="240" w:lineRule="auto"/>
              <w:jc w:val="left"/>
              <w:rPr>
                <w:color w:val="000000"/>
                <w:sz w:val="20"/>
                <w:szCs w:val="20"/>
              </w:rPr>
            </w:pPr>
            <w:r>
              <w:rPr>
                <w:color w:val="000000"/>
                <w:sz w:val="20"/>
                <w:szCs w:val="20"/>
              </w:rPr>
              <w:t>Ding, Y., Meng, X. and Sun, C.</w:t>
            </w:r>
          </w:p>
        </w:tc>
        <w:tc>
          <w:tcPr>
            <w:tcW w:w="1496" w:type="dxa"/>
            <w:tcBorders>
              <w:top w:val="nil"/>
              <w:left w:val="nil"/>
              <w:bottom w:val="single" w:sz="4" w:space="0" w:color="000000"/>
              <w:right w:val="single" w:sz="4" w:space="0" w:color="000000"/>
            </w:tcBorders>
            <w:vAlign w:val="center"/>
          </w:tcPr>
          <w:p w14:paraId="19EA641C" w14:textId="77777777" w:rsidR="00300044" w:rsidRDefault="002602FB">
            <w:pPr>
              <w:spacing w:before="0" w:after="0" w:line="240" w:lineRule="auto"/>
              <w:jc w:val="left"/>
              <w:rPr>
                <w:i/>
                <w:iCs/>
                <w:color w:val="000000"/>
                <w:sz w:val="20"/>
                <w:szCs w:val="20"/>
              </w:rPr>
            </w:pPr>
            <w:r>
              <w:rPr>
                <w:i/>
                <w:iCs/>
                <w:color w:val="000000"/>
                <w:sz w:val="20"/>
                <w:szCs w:val="20"/>
              </w:rPr>
              <w:t xml:space="preserve">Simplicity matters: </w:t>
            </w:r>
            <w:proofErr w:type="spellStart"/>
            <w:r>
              <w:rPr>
                <w:i/>
                <w:iCs/>
                <w:color w:val="000000"/>
                <w:sz w:val="20"/>
                <w:szCs w:val="20"/>
              </w:rPr>
              <w:t>unraveling</w:t>
            </w:r>
            <w:proofErr w:type="spellEnd"/>
            <w:r>
              <w:rPr>
                <w:i/>
                <w:iCs/>
                <w:color w:val="000000"/>
                <w:sz w:val="20"/>
                <w:szCs w:val="20"/>
              </w:rPr>
              <w:t xml:space="preserve"> the impact of minimalist packaging on green Trust in Daily Consumer Goods</w:t>
            </w:r>
          </w:p>
        </w:tc>
        <w:tc>
          <w:tcPr>
            <w:tcW w:w="693" w:type="dxa"/>
            <w:tcBorders>
              <w:top w:val="nil"/>
              <w:left w:val="nil"/>
              <w:bottom w:val="single" w:sz="4" w:space="0" w:color="000000"/>
              <w:right w:val="single" w:sz="4" w:space="0" w:color="000000"/>
            </w:tcBorders>
            <w:vAlign w:val="center"/>
          </w:tcPr>
          <w:p w14:paraId="500F3E4B" w14:textId="77777777" w:rsidR="00300044" w:rsidRDefault="002602FB">
            <w:pPr>
              <w:spacing w:before="0" w:after="0" w:line="240" w:lineRule="auto"/>
              <w:jc w:val="left"/>
              <w:rPr>
                <w:color w:val="000000"/>
                <w:sz w:val="20"/>
                <w:szCs w:val="20"/>
              </w:rPr>
            </w:pPr>
            <w:r>
              <w:rPr>
                <w:color w:val="000000"/>
                <w:sz w:val="20"/>
                <w:szCs w:val="20"/>
              </w:rPr>
              <w:t xml:space="preserve">Journal article, </w:t>
            </w:r>
            <w:r>
              <w:rPr>
                <w:i/>
                <w:iCs/>
                <w:color w:val="000000"/>
                <w:sz w:val="20"/>
                <w:szCs w:val="20"/>
              </w:rPr>
              <w:t>Sustainability</w:t>
            </w:r>
          </w:p>
        </w:tc>
        <w:tc>
          <w:tcPr>
            <w:tcW w:w="256" w:type="dxa"/>
            <w:tcBorders>
              <w:top w:val="nil"/>
              <w:left w:val="nil"/>
              <w:bottom w:val="single" w:sz="4" w:space="0" w:color="000000"/>
              <w:right w:val="single" w:sz="4" w:space="0" w:color="000000"/>
            </w:tcBorders>
            <w:vAlign w:val="center"/>
          </w:tcPr>
          <w:p w14:paraId="73D59EF5" w14:textId="77777777" w:rsidR="00300044" w:rsidRDefault="002602FB">
            <w:pPr>
              <w:spacing w:before="0" w:after="0" w:line="240" w:lineRule="auto"/>
              <w:jc w:val="right"/>
              <w:rPr>
                <w:color w:val="000000"/>
                <w:sz w:val="20"/>
                <w:szCs w:val="20"/>
              </w:rPr>
            </w:pPr>
            <w:r>
              <w:rPr>
                <w:color w:val="000000"/>
                <w:sz w:val="20"/>
                <w:szCs w:val="20"/>
              </w:rPr>
              <w:t>2024</w:t>
            </w:r>
          </w:p>
        </w:tc>
        <w:tc>
          <w:tcPr>
            <w:tcW w:w="553" w:type="dxa"/>
            <w:tcBorders>
              <w:top w:val="nil"/>
              <w:left w:val="nil"/>
              <w:bottom w:val="single" w:sz="4" w:space="0" w:color="000000"/>
              <w:right w:val="single" w:sz="4" w:space="0" w:color="000000"/>
            </w:tcBorders>
            <w:vAlign w:val="center"/>
          </w:tcPr>
          <w:p w14:paraId="6540036E" w14:textId="77777777" w:rsidR="00300044" w:rsidRDefault="002602FB">
            <w:pPr>
              <w:spacing w:before="0" w:after="0" w:line="240" w:lineRule="auto"/>
              <w:jc w:val="left"/>
              <w:rPr>
                <w:b/>
                <w:bCs/>
                <w:color w:val="000000"/>
                <w:sz w:val="20"/>
                <w:szCs w:val="20"/>
              </w:rPr>
            </w:pPr>
            <w:r>
              <w:rPr>
                <w:b/>
                <w:bCs/>
                <w:color w:val="000000"/>
                <w:sz w:val="20"/>
                <w:szCs w:val="20"/>
              </w:rPr>
              <w:t>2.2 / 2.4</w:t>
            </w:r>
          </w:p>
        </w:tc>
        <w:tc>
          <w:tcPr>
            <w:tcW w:w="843" w:type="dxa"/>
            <w:tcBorders>
              <w:top w:val="nil"/>
              <w:left w:val="nil"/>
              <w:bottom w:val="single" w:sz="4" w:space="0" w:color="000000"/>
              <w:right w:val="single" w:sz="4" w:space="0" w:color="000000"/>
            </w:tcBorders>
            <w:vAlign w:val="center"/>
          </w:tcPr>
          <w:p w14:paraId="63D0787D" w14:textId="77777777" w:rsidR="00300044" w:rsidRDefault="002602FB">
            <w:pPr>
              <w:spacing w:before="0" w:after="0" w:line="240" w:lineRule="auto"/>
              <w:jc w:val="left"/>
              <w:rPr>
                <w:color w:val="000000"/>
                <w:sz w:val="20"/>
                <w:szCs w:val="20"/>
              </w:rPr>
            </w:pPr>
            <w:r>
              <w:rPr>
                <w:color w:val="000000"/>
                <w:sz w:val="20"/>
                <w:szCs w:val="20"/>
              </w:rPr>
              <w:t>Packaging design and green trust</w:t>
            </w:r>
          </w:p>
        </w:tc>
        <w:tc>
          <w:tcPr>
            <w:tcW w:w="1607" w:type="dxa"/>
            <w:tcBorders>
              <w:top w:val="nil"/>
              <w:left w:val="nil"/>
              <w:bottom w:val="single" w:sz="4" w:space="0" w:color="000000"/>
              <w:right w:val="single" w:sz="4" w:space="0" w:color="000000"/>
            </w:tcBorders>
            <w:vAlign w:val="center"/>
          </w:tcPr>
          <w:p w14:paraId="4FAB31F8" w14:textId="77777777" w:rsidR="00300044" w:rsidRDefault="002602FB">
            <w:pPr>
              <w:spacing w:before="0" w:after="0" w:line="240" w:lineRule="auto"/>
              <w:jc w:val="left"/>
              <w:rPr>
                <w:color w:val="000000"/>
                <w:sz w:val="20"/>
                <w:szCs w:val="20"/>
              </w:rPr>
            </w:pPr>
            <w:r>
              <w:rPr>
                <w:color w:val="000000"/>
                <w:sz w:val="20"/>
                <w:szCs w:val="20"/>
              </w:rPr>
              <w:t>To examine how minimalist packaging affects consumers’ green trust</w:t>
            </w:r>
          </w:p>
        </w:tc>
        <w:tc>
          <w:tcPr>
            <w:tcW w:w="721" w:type="dxa"/>
            <w:tcBorders>
              <w:top w:val="nil"/>
              <w:left w:val="nil"/>
              <w:bottom w:val="single" w:sz="4" w:space="0" w:color="000000"/>
              <w:right w:val="single" w:sz="4" w:space="0" w:color="000000"/>
            </w:tcBorders>
            <w:vAlign w:val="center"/>
          </w:tcPr>
          <w:p w14:paraId="75A8D9C5" w14:textId="77777777" w:rsidR="00300044" w:rsidRDefault="002602FB">
            <w:pPr>
              <w:spacing w:before="0" w:after="0" w:line="240" w:lineRule="auto"/>
              <w:jc w:val="left"/>
              <w:rPr>
                <w:color w:val="000000"/>
                <w:sz w:val="20"/>
                <w:szCs w:val="20"/>
              </w:rPr>
            </w:pPr>
            <w:r>
              <w:rPr>
                <w:color w:val="000000"/>
                <w:sz w:val="20"/>
                <w:szCs w:val="20"/>
              </w:rPr>
              <w:t>Quantitative/consumer research</w:t>
            </w:r>
          </w:p>
        </w:tc>
        <w:tc>
          <w:tcPr>
            <w:tcW w:w="755" w:type="dxa"/>
            <w:tcBorders>
              <w:top w:val="nil"/>
              <w:left w:val="nil"/>
              <w:bottom w:val="single" w:sz="4" w:space="0" w:color="000000"/>
              <w:right w:val="single" w:sz="4" w:space="0" w:color="000000"/>
            </w:tcBorders>
            <w:vAlign w:val="center"/>
          </w:tcPr>
          <w:p w14:paraId="69B7633C" w14:textId="77777777" w:rsidR="00300044" w:rsidRDefault="002602FB">
            <w:pPr>
              <w:spacing w:before="0" w:after="0" w:line="240" w:lineRule="auto"/>
              <w:jc w:val="left"/>
              <w:rPr>
                <w:color w:val="000000"/>
                <w:sz w:val="20"/>
                <w:szCs w:val="20"/>
              </w:rPr>
            </w:pPr>
            <w:r>
              <w:rPr>
                <w:color w:val="000000"/>
                <w:sz w:val="20"/>
                <w:szCs w:val="20"/>
              </w:rPr>
              <w:t>Daily consumer goods</w:t>
            </w:r>
          </w:p>
        </w:tc>
        <w:tc>
          <w:tcPr>
            <w:tcW w:w="2661" w:type="dxa"/>
            <w:tcBorders>
              <w:top w:val="nil"/>
              <w:left w:val="nil"/>
              <w:bottom w:val="single" w:sz="4" w:space="0" w:color="000000"/>
              <w:right w:val="single" w:sz="4" w:space="0" w:color="000000"/>
            </w:tcBorders>
            <w:vAlign w:val="center"/>
          </w:tcPr>
          <w:p w14:paraId="3B66DAA0" w14:textId="77777777" w:rsidR="00300044" w:rsidRDefault="002602FB">
            <w:pPr>
              <w:spacing w:before="0" w:after="0" w:line="240" w:lineRule="auto"/>
              <w:jc w:val="left"/>
              <w:rPr>
                <w:color w:val="000000"/>
                <w:sz w:val="20"/>
                <w:szCs w:val="20"/>
              </w:rPr>
            </w:pPr>
            <w:r>
              <w:rPr>
                <w:color w:val="000000"/>
                <w:sz w:val="20"/>
                <w:szCs w:val="20"/>
              </w:rPr>
              <w:t>Packaging simplicity can influence green trust, suggesting that consumers' interpretation of packaging design can affect trust in environmental claims</w:t>
            </w:r>
          </w:p>
        </w:tc>
        <w:tc>
          <w:tcPr>
            <w:tcW w:w="1869" w:type="dxa"/>
            <w:tcBorders>
              <w:top w:val="nil"/>
              <w:left w:val="nil"/>
              <w:bottom w:val="single" w:sz="4" w:space="0" w:color="000000"/>
              <w:right w:val="single" w:sz="4" w:space="0" w:color="000000"/>
            </w:tcBorders>
            <w:vAlign w:val="center"/>
          </w:tcPr>
          <w:p w14:paraId="73DE0031" w14:textId="77777777" w:rsidR="00300044" w:rsidRDefault="002602FB">
            <w:pPr>
              <w:spacing w:before="0" w:after="0" w:line="240" w:lineRule="auto"/>
              <w:jc w:val="left"/>
              <w:rPr>
                <w:color w:val="000000"/>
                <w:sz w:val="20"/>
                <w:szCs w:val="20"/>
              </w:rPr>
            </w:pPr>
            <w:r>
              <w:rPr>
                <w:color w:val="000000"/>
                <w:sz w:val="20"/>
                <w:szCs w:val="20"/>
              </w:rPr>
              <w:t xml:space="preserve">Focuses on </w:t>
            </w:r>
            <w:r>
              <w:rPr>
                <w:b/>
                <w:bCs/>
                <w:color w:val="000000"/>
                <w:sz w:val="20"/>
                <w:szCs w:val="20"/>
              </w:rPr>
              <w:t>green trust rather than brand loyalty</w:t>
            </w:r>
            <w:r>
              <w:rPr>
                <w:color w:val="000000"/>
                <w:sz w:val="20"/>
                <w:szCs w:val="20"/>
              </w:rPr>
              <w:t xml:space="preserve"> and daily consumer goods rather than specifically UK food and beverages</w:t>
            </w:r>
          </w:p>
        </w:tc>
        <w:tc>
          <w:tcPr>
            <w:tcW w:w="1762" w:type="dxa"/>
            <w:tcBorders>
              <w:top w:val="nil"/>
              <w:left w:val="nil"/>
              <w:bottom w:val="single" w:sz="4" w:space="0" w:color="000000"/>
              <w:right w:val="single" w:sz="4" w:space="0" w:color="000000"/>
            </w:tcBorders>
            <w:vAlign w:val="center"/>
          </w:tcPr>
          <w:p w14:paraId="26BA505D" w14:textId="77777777" w:rsidR="00300044" w:rsidRDefault="002602FB">
            <w:pPr>
              <w:spacing w:before="0" w:after="0" w:line="240" w:lineRule="auto"/>
              <w:jc w:val="left"/>
              <w:rPr>
                <w:color w:val="000000"/>
                <w:sz w:val="20"/>
                <w:szCs w:val="20"/>
              </w:rPr>
            </w:pPr>
            <w:r>
              <w:rPr>
                <w:color w:val="000000"/>
                <w:sz w:val="20"/>
                <w:szCs w:val="20"/>
              </w:rPr>
              <w:t xml:space="preserve">Provides a mechanism connecting packaging design to </w:t>
            </w:r>
            <w:r>
              <w:rPr>
                <w:b/>
                <w:bCs/>
                <w:color w:val="000000"/>
                <w:sz w:val="20"/>
                <w:szCs w:val="20"/>
              </w:rPr>
              <w:t>trust</w:t>
            </w:r>
            <w:r>
              <w:rPr>
                <w:color w:val="000000"/>
                <w:sz w:val="20"/>
                <w:szCs w:val="20"/>
              </w:rPr>
              <w:t xml:space="preserve">, which can be theoretically linked to loyalty. Complements </w:t>
            </w:r>
            <w:proofErr w:type="spellStart"/>
            <w:r>
              <w:rPr>
                <w:b/>
                <w:bCs/>
                <w:color w:val="000000"/>
                <w:sz w:val="20"/>
                <w:szCs w:val="20"/>
              </w:rPr>
              <w:t>Plotkina</w:t>
            </w:r>
            <w:proofErr w:type="spellEnd"/>
            <w:r>
              <w:rPr>
                <w:b/>
                <w:bCs/>
                <w:color w:val="000000"/>
                <w:sz w:val="20"/>
                <w:szCs w:val="20"/>
              </w:rPr>
              <w:t xml:space="preserve"> et al. (2025)</w:t>
            </w:r>
            <w:r>
              <w:rPr>
                <w:color w:val="000000"/>
                <w:sz w:val="20"/>
                <w:szCs w:val="20"/>
              </w:rPr>
              <w:t xml:space="preserve"> and </w:t>
            </w:r>
            <w:r>
              <w:rPr>
                <w:b/>
                <w:bCs/>
                <w:color w:val="000000"/>
                <w:sz w:val="20"/>
                <w:szCs w:val="20"/>
              </w:rPr>
              <w:t>Inês and Moreira (2023)</w:t>
            </w:r>
          </w:p>
        </w:tc>
      </w:tr>
    </w:tbl>
    <w:p w14:paraId="0ED011AF" w14:textId="77777777" w:rsidR="00300044" w:rsidRDefault="00300044">
      <w:pPr>
        <w:pStyle w:val="Heading2"/>
        <w:sectPr w:rsidR="00300044">
          <w:pgSz w:w="16838" w:h="11906" w:orient="landscape"/>
          <w:pgMar w:top="1440" w:right="1440" w:bottom="1440" w:left="1440" w:header="708" w:footer="708" w:gutter="0"/>
          <w:cols w:space="720"/>
        </w:sectPr>
      </w:pPr>
    </w:p>
    <w:p w14:paraId="5F4330D4" w14:textId="77777777" w:rsidR="00300044" w:rsidRDefault="002602FB">
      <w:pPr>
        <w:pStyle w:val="Heading2"/>
      </w:pPr>
      <w:bookmarkStart w:id="63" w:name="_heading=h.uodxvomb9w0p" w:colFirst="0" w:colLast="0"/>
      <w:bookmarkEnd w:id="63"/>
      <w:r>
        <w:lastRenderedPageBreak/>
        <w:t xml:space="preserve">Descriptive statistical analysis </w:t>
      </w:r>
    </w:p>
    <w:p w14:paraId="2FB50F15" w14:textId="77777777" w:rsidR="00300044" w:rsidRDefault="002602FB">
      <w:pPr>
        <w:pBdr>
          <w:top w:val="nil"/>
          <w:left w:val="nil"/>
          <w:bottom w:val="nil"/>
          <w:right w:val="nil"/>
          <w:between w:val="nil"/>
        </w:pBdr>
        <w:spacing w:before="0" w:after="0" w:line="276" w:lineRule="auto"/>
        <w:jc w:val="center"/>
        <w:rPr>
          <w:color w:val="000000"/>
          <w:sz w:val="22"/>
          <w:szCs w:val="22"/>
        </w:rPr>
      </w:pPr>
      <w:r>
        <w:rPr>
          <w:noProof/>
          <w:color w:val="000000"/>
          <w:sz w:val="22"/>
          <w:szCs w:val="22"/>
        </w:rPr>
        <w:drawing>
          <wp:inline distT="0" distB="0" distL="0" distR="0" wp14:anchorId="4C5D1719" wp14:editId="2A4C0562">
            <wp:extent cx="4026189" cy="2139599"/>
            <wp:effectExtent l="0" t="0" r="0" b="0"/>
            <wp:docPr id="158910354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1"/>
                    <a:srcRect/>
                    <a:stretch>
                      <a:fillRect/>
                    </a:stretch>
                  </pic:blipFill>
                  <pic:spPr>
                    <a:xfrm>
                      <a:off x="0" y="0"/>
                      <a:ext cx="4026189" cy="2139599"/>
                    </a:xfrm>
                    <a:prstGeom prst="rect">
                      <a:avLst/>
                    </a:prstGeom>
                    <a:ln/>
                  </pic:spPr>
                </pic:pic>
              </a:graphicData>
            </a:graphic>
          </wp:inline>
        </w:drawing>
      </w:r>
    </w:p>
    <w:p w14:paraId="501058D8" w14:textId="77777777" w:rsidR="00300044" w:rsidRDefault="002602FB">
      <w:pPr>
        <w:pBdr>
          <w:top w:val="nil"/>
          <w:left w:val="nil"/>
          <w:bottom w:val="nil"/>
          <w:right w:val="nil"/>
          <w:between w:val="nil"/>
        </w:pBdr>
        <w:spacing w:before="200" w:after="200"/>
        <w:rPr>
          <w:color w:val="000000"/>
        </w:rPr>
      </w:pPr>
      <w:r>
        <w:rPr>
          <w:noProof/>
          <w:color w:val="000000"/>
        </w:rPr>
        <w:drawing>
          <wp:inline distT="114300" distB="114300" distL="114300" distR="114300" wp14:anchorId="41773846" wp14:editId="15B6ADB3">
            <wp:extent cx="4219575" cy="5934075"/>
            <wp:effectExtent l="0" t="0" r="0" b="0"/>
            <wp:docPr id="158910354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2"/>
                    <a:srcRect/>
                    <a:stretch>
                      <a:fillRect/>
                    </a:stretch>
                  </pic:blipFill>
                  <pic:spPr>
                    <a:xfrm>
                      <a:off x="0" y="0"/>
                      <a:ext cx="4219575" cy="5934075"/>
                    </a:xfrm>
                    <a:prstGeom prst="rect">
                      <a:avLst/>
                    </a:prstGeom>
                    <a:ln/>
                  </pic:spPr>
                </pic:pic>
              </a:graphicData>
            </a:graphic>
          </wp:inline>
        </w:drawing>
      </w:r>
    </w:p>
    <w:p w14:paraId="1E2D237F" w14:textId="77777777" w:rsidR="00300044" w:rsidRDefault="002602FB">
      <w:pPr>
        <w:pBdr>
          <w:top w:val="nil"/>
          <w:left w:val="nil"/>
          <w:bottom w:val="nil"/>
          <w:right w:val="nil"/>
          <w:between w:val="nil"/>
        </w:pBdr>
        <w:spacing w:before="200" w:after="200"/>
        <w:rPr>
          <w:color w:val="000000"/>
        </w:rPr>
      </w:pPr>
      <w:r>
        <w:rPr>
          <w:noProof/>
          <w:color w:val="000000"/>
        </w:rPr>
        <w:lastRenderedPageBreak/>
        <w:drawing>
          <wp:inline distT="114300" distB="114300" distL="114300" distR="114300" wp14:anchorId="1C325E75" wp14:editId="535E6B58">
            <wp:extent cx="4010025" cy="6048375"/>
            <wp:effectExtent l="0" t="0" r="0" b="0"/>
            <wp:docPr id="158910354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3"/>
                    <a:srcRect/>
                    <a:stretch>
                      <a:fillRect/>
                    </a:stretch>
                  </pic:blipFill>
                  <pic:spPr>
                    <a:xfrm>
                      <a:off x="0" y="0"/>
                      <a:ext cx="4010025" cy="6048375"/>
                    </a:xfrm>
                    <a:prstGeom prst="rect">
                      <a:avLst/>
                    </a:prstGeom>
                    <a:ln/>
                  </pic:spPr>
                </pic:pic>
              </a:graphicData>
            </a:graphic>
          </wp:inline>
        </w:drawing>
      </w:r>
    </w:p>
    <w:p w14:paraId="44B78E7C" w14:textId="77777777" w:rsidR="00300044" w:rsidRDefault="002602FB">
      <w:pPr>
        <w:pBdr>
          <w:top w:val="nil"/>
          <w:left w:val="nil"/>
          <w:bottom w:val="nil"/>
          <w:right w:val="nil"/>
          <w:between w:val="nil"/>
        </w:pBdr>
        <w:spacing w:before="200" w:after="200"/>
        <w:rPr>
          <w:color w:val="000000"/>
        </w:rPr>
      </w:pPr>
      <w:r>
        <w:rPr>
          <w:noProof/>
          <w:color w:val="000000"/>
        </w:rPr>
        <w:lastRenderedPageBreak/>
        <w:drawing>
          <wp:inline distT="114300" distB="114300" distL="114300" distR="114300" wp14:anchorId="6848FBB0" wp14:editId="52EC7E48">
            <wp:extent cx="4124325" cy="6076950"/>
            <wp:effectExtent l="0" t="0" r="0" b="0"/>
            <wp:docPr id="158910354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4"/>
                    <a:srcRect/>
                    <a:stretch>
                      <a:fillRect/>
                    </a:stretch>
                  </pic:blipFill>
                  <pic:spPr>
                    <a:xfrm>
                      <a:off x="0" y="0"/>
                      <a:ext cx="4124325" cy="6076950"/>
                    </a:xfrm>
                    <a:prstGeom prst="rect">
                      <a:avLst/>
                    </a:prstGeom>
                    <a:ln/>
                  </pic:spPr>
                </pic:pic>
              </a:graphicData>
            </a:graphic>
          </wp:inline>
        </w:drawing>
      </w:r>
    </w:p>
    <w:p w14:paraId="50E21299" w14:textId="77777777" w:rsidR="00300044" w:rsidRDefault="002602FB">
      <w:pPr>
        <w:pBdr>
          <w:top w:val="nil"/>
          <w:left w:val="nil"/>
          <w:bottom w:val="nil"/>
          <w:right w:val="nil"/>
          <w:between w:val="nil"/>
        </w:pBdr>
        <w:spacing w:before="200" w:after="200"/>
        <w:rPr>
          <w:color w:val="000000"/>
        </w:rPr>
      </w:pPr>
      <w:r>
        <w:rPr>
          <w:noProof/>
          <w:color w:val="000000"/>
        </w:rPr>
        <w:lastRenderedPageBreak/>
        <w:drawing>
          <wp:inline distT="114300" distB="114300" distL="114300" distR="114300" wp14:anchorId="55B566D9" wp14:editId="2B3772BE">
            <wp:extent cx="4533900" cy="6105525"/>
            <wp:effectExtent l="0" t="0" r="0" b="0"/>
            <wp:docPr id="158910354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5"/>
                    <a:srcRect/>
                    <a:stretch>
                      <a:fillRect/>
                    </a:stretch>
                  </pic:blipFill>
                  <pic:spPr>
                    <a:xfrm>
                      <a:off x="0" y="0"/>
                      <a:ext cx="4533900" cy="6105525"/>
                    </a:xfrm>
                    <a:prstGeom prst="rect">
                      <a:avLst/>
                    </a:prstGeom>
                    <a:ln/>
                  </pic:spPr>
                </pic:pic>
              </a:graphicData>
            </a:graphic>
          </wp:inline>
        </w:drawing>
      </w:r>
    </w:p>
    <w:p w14:paraId="0BF05279" w14:textId="77777777" w:rsidR="00300044" w:rsidRDefault="002602FB">
      <w:r>
        <w:rPr>
          <w:noProof/>
        </w:rPr>
        <w:lastRenderedPageBreak/>
        <w:drawing>
          <wp:inline distT="114300" distB="114300" distL="114300" distR="114300" wp14:anchorId="0939A9AF" wp14:editId="042F5D12">
            <wp:extent cx="3981450" cy="4248150"/>
            <wp:effectExtent l="0" t="0" r="0" b="0"/>
            <wp:docPr id="158910354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86"/>
                    <a:srcRect/>
                    <a:stretch>
                      <a:fillRect/>
                    </a:stretch>
                  </pic:blipFill>
                  <pic:spPr>
                    <a:xfrm>
                      <a:off x="0" y="0"/>
                      <a:ext cx="3981450" cy="4248150"/>
                    </a:xfrm>
                    <a:prstGeom prst="rect">
                      <a:avLst/>
                    </a:prstGeom>
                    <a:ln/>
                  </pic:spPr>
                </pic:pic>
              </a:graphicData>
            </a:graphic>
          </wp:inline>
        </w:drawing>
      </w:r>
    </w:p>
    <w:p w14:paraId="1D98AC19" w14:textId="77777777" w:rsidR="00300044" w:rsidRDefault="002602FB">
      <w:pPr>
        <w:pStyle w:val="Heading2"/>
      </w:pPr>
      <w:bookmarkStart w:id="64" w:name="_heading=h.q58b91lxqmq0" w:colFirst="0" w:colLast="0"/>
      <w:bookmarkEnd w:id="64"/>
      <w:r>
        <w:t>SPSS Results</w:t>
      </w:r>
    </w:p>
    <w:p w14:paraId="050F0125" w14:textId="77777777" w:rsidR="00300044" w:rsidRDefault="002602FB">
      <w:r>
        <w:rPr>
          <w:noProof/>
        </w:rPr>
        <w:drawing>
          <wp:inline distT="0" distB="0" distL="0" distR="0" wp14:anchorId="28121B63" wp14:editId="59B16002">
            <wp:extent cx="5029902" cy="3553321"/>
            <wp:effectExtent l="0" t="0" r="0" b="0"/>
            <wp:docPr id="158910354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87"/>
                    <a:srcRect/>
                    <a:stretch>
                      <a:fillRect/>
                    </a:stretch>
                  </pic:blipFill>
                  <pic:spPr>
                    <a:xfrm>
                      <a:off x="0" y="0"/>
                      <a:ext cx="5029902" cy="3553321"/>
                    </a:xfrm>
                    <a:prstGeom prst="rect">
                      <a:avLst/>
                    </a:prstGeom>
                    <a:ln/>
                  </pic:spPr>
                </pic:pic>
              </a:graphicData>
            </a:graphic>
          </wp:inline>
        </w:drawing>
      </w:r>
    </w:p>
    <w:p w14:paraId="2BAB958D" w14:textId="77777777" w:rsidR="00300044" w:rsidRDefault="002602FB">
      <w:r>
        <w:rPr>
          <w:noProof/>
        </w:rPr>
        <w:lastRenderedPageBreak/>
        <w:drawing>
          <wp:inline distT="0" distB="0" distL="0" distR="0" wp14:anchorId="04BD0BAA" wp14:editId="6375318D">
            <wp:extent cx="3753374" cy="4353533"/>
            <wp:effectExtent l="0" t="0" r="0" b="0"/>
            <wp:docPr id="158910355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8"/>
                    <a:srcRect/>
                    <a:stretch>
                      <a:fillRect/>
                    </a:stretch>
                  </pic:blipFill>
                  <pic:spPr>
                    <a:xfrm>
                      <a:off x="0" y="0"/>
                      <a:ext cx="3753374" cy="4353533"/>
                    </a:xfrm>
                    <a:prstGeom prst="rect">
                      <a:avLst/>
                    </a:prstGeom>
                    <a:ln/>
                  </pic:spPr>
                </pic:pic>
              </a:graphicData>
            </a:graphic>
          </wp:inline>
        </w:drawing>
      </w:r>
    </w:p>
    <w:p w14:paraId="70950308" w14:textId="77777777" w:rsidR="00300044" w:rsidRDefault="002602FB">
      <w:r>
        <w:rPr>
          <w:noProof/>
        </w:rPr>
        <w:drawing>
          <wp:inline distT="0" distB="0" distL="0" distR="0" wp14:anchorId="21FAE24A" wp14:editId="30C7F239">
            <wp:extent cx="5731510" cy="3596640"/>
            <wp:effectExtent l="0" t="0" r="0" b="0"/>
            <wp:docPr id="158910352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89"/>
                    <a:srcRect/>
                    <a:stretch>
                      <a:fillRect/>
                    </a:stretch>
                  </pic:blipFill>
                  <pic:spPr>
                    <a:xfrm>
                      <a:off x="0" y="0"/>
                      <a:ext cx="5731510" cy="3596640"/>
                    </a:xfrm>
                    <a:prstGeom prst="rect">
                      <a:avLst/>
                    </a:prstGeom>
                    <a:ln/>
                  </pic:spPr>
                </pic:pic>
              </a:graphicData>
            </a:graphic>
          </wp:inline>
        </w:drawing>
      </w:r>
    </w:p>
    <w:p w14:paraId="1FA24EAE" w14:textId="77777777" w:rsidR="00300044" w:rsidRDefault="002602FB">
      <w:r>
        <w:rPr>
          <w:noProof/>
        </w:rPr>
        <w:lastRenderedPageBreak/>
        <w:drawing>
          <wp:inline distT="0" distB="0" distL="0" distR="0" wp14:anchorId="01A4372C" wp14:editId="13E54AE2">
            <wp:extent cx="5731510" cy="3476625"/>
            <wp:effectExtent l="0" t="0" r="0" b="0"/>
            <wp:docPr id="158910353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0"/>
                    <a:srcRect/>
                    <a:stretch>
                      <a:fillRect/>
                    </a:stretch>
                  </pic:blipFill>
                  <pic:spPr>
                    <a:xfrm>
                      <a:off x="0" y="0"/>
                      <a:ext cx="5731510" cy="3476625"/>
                    </a:xfrm>
                    <a:prstGeom prst="rect">
                      <a:avLst/>
                    </a:prstGeom>
                    <a:ln/>
                  </pic:spPr>
                </pic:pic>
              </a:graphicData>
            </a:graphic>
          </wp:inline>
        </w:drawing>
      </w:r>
    </w:p>
    <w:p w14:paraId="30B13DF5" w14:textId="77777777" w:rsidR="00300044" w:rsidRDefault="002602FB">
      <w:r>
        <w:rPr>
          <w:noProof/>
        </w:rPr>
        <w:drawing>
          <wp:inline distT="0" distB="0" distL="0" distR="0" wp14:anchorId="5E7686E9" wp14:editId="04227094">
            <wp:extent cx="5731510" cy="3805555"/>
            <wp:effectExtent l="0" t="0" r="0" b="0"/>
            <wp:docPr id="158910353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1"/>
                    <a:srcRect/>
                    <a:stretch>
                      <a:fillRect/>
                    </a:stretch>
                  </pic:blipFill>
                  <pic:spPr>
                    <a:xfrm>
                      <a:off x="0" y="0"/>
                      <a:ext cx="5731510" cy="3805555"/>
                    </a:xfrm>
                    <a:prstGeom prst="rect">
                      <a:avLst/>
                    </a:prstGeom>
                    <a:ln/>
                  </pic:spPr>
                </pic:pic>
              </a:graphicData>
            </a:graphic>
          </wp:inline>
        </w:drawing>
      </w:r>
    </w:p>
    <w:p w14:paraId="1AA2A431" w14:textId="77777777" w:rsidR="00300044" w:rsidRDefault="002602FB">
      <w:r>
        <w:rPr>
          <w:noProof/>
        </w:rPr>
        <w:lastRenderedPageBreak/>
        <w:drawing>
          <wp:inline distT="0" distB="0" distL="0" distR="0" wp14:anchorId="384583FB" wp14:editId="5DE50016">
            <wp:extent cx="5731510" cy="3585210"/>
            <wp:effectExtent l="0" t="0" r="0" b="0"/>
            <wp:docPr id="158910353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2"/>
                    <a:srcRect/>
                    <a:stretch>
                      <a:fillRect/>
                    </a:stretch>
                  </pic:blipFill>
                  <pic:spPr>
                    <a:xfrm>
                      <a:off x="0" y="0"/>
                      <a:ext cx="5731510" cy="3585210"/>
                    </a:xfrm>
                    <a:prstGeom prst="rect">
                      <a:avLst/>
                    </a:prstGeom>
                    <a:ln/>
                  </pic:spPr>
                </pic:pic>
              </a:graphicData>
            </a:graphic>
          </wp:inline>
        </w:drawing>
      </w:r>
    </w:p>
    <w:p w14:paraId="6C81AA83" w14:textId="77777777" w:rsidR="00300044" w:rsidRDefault="00300044"/>
    <w:p w14:paraId="45776511" w14:textId="77777777" w:rsidR="00300044" w:rsidRDefault="00300044"/>
    <w:p w14:paraId="106D1239" w14:textId="77777777" w:rsidR="00300044" w:rsidRDefault="002602FB">
      <w:pPr>
        <w:pStyle w:val="Heading2"/>
      </w:pPr>
      <w:bookmarkStart w:id="65" w:name="_heading=h.imzovndkytkz" w:colFirst="0" w:colLast="0"/>
      <w:bookmarkEnd w:id="65"/>
      <w:r>
        <w:t xml:space="preserve">Survey questionnaire </w:t>
      </w:r>
    </w:p>
    <w:p w14:paraId="4360CE67" w14:textId="77777777" w:rsidR="00300044" w:rsidRDefault="002602FB">
      <w:pPr>
        <w:rPr>
          <w:b/>
          <w:bCs/>
        </w:rPr>
      </w:pPr>
      <w:r>
        <w:rPr>
          <w:b/>
          <w:bCs/>
        </w:rPr>
        <w:t>Q1. What is your age?</w:t>
      </w:r>
    </w:p>
    <w:p w14:paraId="73DB1A02" w14:textId="77777777" w:rsidR="00300044" w:rsidRDefault="002602FB">
      <w:pPr>
        <w:numPr>
          <w:ilvl w:val="0"/>
          <w:numId w:val="12"/>
        </w:numPr>
      </w:pPr>
      <w:r>
        <w:t xml:space="preserve">18–24 years </w:t>
      </w:r>
    </w:p>
    <w:p w14:paraId="3781C1B4" w14:textId="77777777" w:rsidR="00300044" w:rsidRDefault="002602FB">
      <w:pPr>
        <w:numPr>
          <w:ilvl w:val="0"/>
          <w:numId w:val="12"/>
        </w:numPr>
      </w:pPr>
      <w:r>
        <w:t xml:space="preserve">25–34 years </w:t>
      </w:r>
    </w:p>
    <w:p w14:paraId="07F0DD5A" w14:textId="77777777" w:rsidR="00300044" w:rsidRDefault="002602FB">
      <w:pPr>
        <w:numPr>
          <w:ilvl w:val="0"/>
          <w:numId w:val="12"/>
        </w:numPr>
      </w:pPr>
      <w:r>
        <w:t xml:space="preserve">35–44 years </w:t>
      </w:r>
    </w:p>
    <w:p w14:paraId="3E6879B2" w14:textId="77777777" w:rsidR="00300044" w:rsidRDefault="002602FB">
      <w:pPr>
        <w:numPr>
          <w:ilvl w:val="0"/>
          <w:numId w:val="12"/>
        </w:numPr>
      </w:pPr>
      <w:r>
        <w:t xml:space="preserve">45–54 years </w:t>
      </w:r>
    </w:p>
    <w:p w14:paraId="49117DC0" w14:textId="77777777" w:rsidR="00300044" w:rsidRDefault="002602FB">
      <w:pPr>
        <w:numPr>
          <w:ilvl w:val="0"/>
          <w:numId w:val="12"/>
        </w:numPr>
      </w:pPr>
      <w:r>
        <w:t xml:space="preserve">55–64 years </w:t>
      </w:r>
    </w:p>
    <w:p w14:paraId="3F1211A8" w14:textId="77777777" w:rsidR="00300044" w:rsidRDefault="002602FB">
      <w:pPr>
        <w:numPr>
          <w:ilvl w:val="0"/>
          <w:numId w:val="12"/>
        </w:numPr>
      </w:pPr>
      <w:r>
        <w:t xml:space="preserve">65 years or above </w:t>
      </w:r>
    </w:p>
    <w:p w14:paraId="333C2AE1" w14:textId="77777777" w:rsidR="00300044" w:rsidRDefault="002602FB">
      <w:pPr>
        <w:rPr>
          <w:b/>
          <w:bCs/>
        </w:rPr>
      </w:pPr>
      <w:r>
        <w:rPr>
          <w:b/>
          <w:bCs/>
        </w:rPr>
        <w:t>Q2. What is your gender?</w:t>
      </w:r>
    </w:p>
    <w:p w14:paraId="2645D334" w14:textId="77777777" w:rsidR="00300044" w:rsidRDefault="002602FB">
      <w:pPr>
        <w:numPr>
          <w:ilvl w:val="0"/>
          <w:numId w:val="13"/>
        </w:numPr>
      </w:pPr>
      <w:r>
        <w:t xml:space="preserve">Male </w:t>
      </w:r>
    </w:p>
    <w:p w14:paraId="5FC44715" w14:textId="77777777" w:rsidR="00300044" w:rsidRDefault="002602FB">
      <w:pPr>
        <w:numPr>
          <w:ilvl w:val="0"/>
          <w:numId w:val="13"/>
        </w:numPr>
      </w:pPr>
      <w:r>
        <w:lastRenderedPageBreak/>
        <w:t xml:space="preserve">Female </w:t>
      </w:r>
    </w:p>
    <w:p w14:paraId="07E7DEA1" w14:textId="77777777" w:rsidR="00300044" w:rsidRDefault="002602FB">
      <w:pPr>
        <w:numPr>
          <w:ilvl w:val="0"/>
          <w:numId w:val="13"/>
        </w:numPr>
      </w:pPr>
      <w:r>
        <w:t xml:space="preserve">Other </w:t>
      </w:r>
    </w:p>
    <w:p w14:paraId="65546C7A" w14:textId="77777777" w:rsidR="00300044" w:rsidRDefault="002602FB">
      <w:pPr>
        <w:numPr>
          <w:ilvl w:val="0"/>
          <w:numId w:val="13"/>
        </w:numPr>
      </w:pPr>
      <w:r>
        <w:t xml:space="preserve">Prefer not to say </w:t>
      </w:r>
    </w:p>
    <w:p w14:paraId="72D261AE" w14:textId="77777777" w:rsidR="00300044" w:rsidRDefault="002602FB">
      <w:pPr>
        <w:rPr>
          <w:b/>
          <w:bCs/>
        </w:rPr>
      </w:pPr>
      <w:r>
        <w:rPr>
          <w:b/>
          <w:bCs/>
        </w:rPr>
        <w:t>Q3. I prefer retail products that use packaging that can be easily recycled.</w:t>
      </w:r>
    </w:p>
    <w:p w14:paraId="0BFA367E" w14:textId="77777777" w:rsidR="00300044" w:rsidRDefault="002602FB">
      <w:pPr>
        <w:numPr>
          <w:ilvl w:val="0"/>
          <w:numId w:val="14"/>
        </w:numPr>
      </w:pPr>
      <w:r>
        <w:t xml:space="preserve">1 – Strongly Disagree </w:t>
      </w:r>
    </w:p>
    <w:p w14:paraId="19093101" w14:textId="77777777" w:rsidR="00300044" w:rsidRDefault="002602FB">
      <w:pPr>
        <w:numPr>
          <w:ilvl w:val="0"/>
          <w:numId w:val="14"/>
        </w:numPr>
      </w:pPr>
      <w:r>
        <w:t xml:space="preserve">2 – Disagree </w:t>
      </w:r>
    </w:p>
    <w:p w14:paraId="10A9B3CE" w14:textId="77777777" w:rsidR="00300044" w:rsidRDefault="002602FB">
      <w:pPr>
        <w:numPr>
          <w:ilvl w:val="0"/>
          <w:numId w:val="14"/>
        </w:numPr>
      </w:pPr>
      <w:r>
        <w:t xml:space="preserve">3 – Neither Agree nor Disagree </w:t>
      </w:r>
    </w:p>
    <w:p w14:paraId="5963A167" w14:textId="77777777" w:rsidR="00300044" w:rsidRDefault="002602FB">
      <w:pPr>
        <w:numPr>
          <w:ilvl w:val="0"/>
          <w:numId w:val="14"/>
        </w:numPr>
      </w:pPr>
      <w:r>
        <w:t xml:space="preserve">4 – Agree </w:t>
      </w:r>
    </w:p>
    <w:p w14:paraId="5E33D5C4" w14:textId="77777777" w:rsidR="00300044" w:rsidRDefault="002602FB">
      <w:pPr>
        <w:numPr>
          <w:ilvl w:val="0"/>
          <w:numId w:val="14"/>
        </w:numPr>
      </w:pPr>
      <w:r>
        <w:t xml:space="preserve">5 – Strongly Agree </w:t>
      </w:r>
    </w:p>
    <w:p w14:paraId="059CA8E2" w14:textId="77777777" w:rsidR="00300044" w:rsidRDefault="002602FB">
      <w:pPr>
        <w:rPr>
          <w:b/>
          <w:bCs/>
        </w:rPr>
      </w:pPr>
      <w:r>
        <w:rPr>
          <w:b/>
          <w:bCs/>
        </w:rPr>
        <w:t>Q4. The recyclability of a product’s packaging influences my purchasing decisions.</w:t>
      </w:r>
    </w:p>
    <w:p w14:paraId="6607900F" w14:textId="77777777" w:rsidR="00300044" w:rsidRDefault="002602FB">
      <w:pPr>
        <w:numPr>
          <w:ilvl w:val="0"/>
          <w:numId w:val="15"/>
        </w:numPr>
      </w:pPr>
      <w:r>
        <w:t xml:space="preserve">1 – Strongly Disagree </w:t>
      </w:r>
    </w:p>
    <w:p w14:paraId="4B2E84DD" w14:textId="77777777" w:rsidR="00300044" w:rsidRDefault="002602FB">
      <w:pPr>
        <w:numPr>
          <w:ilvl w:val="0"/>
          <w:numId w:val="15"/>
        </w:numPr>
      </w:pPr>
      <w:r>
        <w:t xml:space="preserve">2 – Disagree </w:t>
      </w:r>
    </w:p>
    <w:p w14:paraId="52ABDDF6" w14:textId="77777777" w:rsidR="00300044" w:rsidRDefault="002602FB">
      <w:pPr>
        <w:numPr>
          <w:ilvl w:val="0"/>
          <w:numId w:val="15"/>
        </w:numPr>
      </w:pPr>
      <w:r>
        <w:t xml:space="preserve">3 – Neither Agree nor Disagree </w:t>
      </w:r>
    </w:p>
    <w:p w14:paraId="266F11BE" w14:textId="77777777" w:rsidR="00300044" w:rsidRDefault="002602FB">
      <w:pPr>
        <w:numPr>
          <w:ilvl w:val="0"/>
          <w:numId w:val="15"/>
        </w:numPr>
      </w:pPr>
      <w:r>
        <w:t xml:space="preserve">4 – Agree </w:t>
      </w:r>
    </w:p>
    <w:p w14:paraId="0E0864AB" w14:textId="77777777" w:rsidR="00300044" w:rsidRDefault="002602FB">
      <w:pPr>
        <w:numPr>
          <w:ilvl w:val="0"/>
          <w:numId w:val="15"/>
        </w:numPr>
      </w:pPr>
      <w:r>
        <w:t xml:space="preserve">5 – Strongly Agree </w:t>
      </w:r>
    </w:p>
    <w:p w14:paraId="730AA1E6" w14:textId="77777777" w:rsidR="00300044" w:rsidRDefault="002602FB">
      <w:pPr>
        <w:rPr>
          <w:b/>
          <w:bCs/>
        </w:rPr>
      </w:pPr>
      <w:r>
        <w:rPr>
          <w:b/>
          <w:bCs/>
        </w:rPr>
        <w:t>Q5. I consider recyclable packaging to be an important indicator of a brand’s environmental responsibility.</w:t>
      </w:r>
    </w:p>
    <w:p w14:paraId="79F1F414" w14:textId="77777777" w:rsidR="00300044" w:rsidRDefault="002602FB">
      <w:pPr>
        <w:numPr>
          <w:ilvl w:val="0"/>
          <w:numId w:val="16"/>
        </w:numPr>
      </w:pPr>
      <w:r>
        <w:t xml:space="preserve">1 – Strongly Disagree </w:t>
      </w:r>
    </w:p>
    <w:p w14:paraId="522DA976" w14:textId="77777777" w:rsidR="00300044" w:rsidRDefault="002602FB">
      <w:pPr>
        <w:numPr>
          <w:ilvl w:val="0"/>
          <w:numId w:val="16"/>
        </w:numPr>
      </w:pPr>
      <w:r>
        <w:t xml:space="preserve">2 – Disagree </w:t>
      </w:r>
    </w:p>
    <w:p w14:paraId="3CCAF9FF" w14:textId="77777777" w:rsidR="00300044" w:rsidRDefault="002602FB">
      <w:pPr>
        <w:numPr>
          <w:ilvl w:val="0"/>
          <w:numId w:val="16"/>
        </w:numPr>
      </w:pPr>
      <w:r>
        <w:t xml:space="preserve">3 – Neither Agree nor Disagree </w:t>
      </w:r>
    </w:p>
    <w:p w14:paraId="51E57537" w14:textId="77777777" w:rsidR="00300044" w:rsidRDefault="002602FB">
      <w:pPr>
        <w:numPr>
          <w:ilvl w:val="0"/>
          <w:numId w:val="16"/>
        </w:numPr>
      </w:pPr>
      <w:r>
        <w:t xml:space="preserve">4 – Agree </w:t>
      </w:r>
    </w:p>
    <w:p w14:paraId="6ACEA70E" w14:textId="77777777" w:rsidR="00300044" w:rsidRDefault="002602FB">
      <w:pPr>
        <w:numPr>
          <w:ilvl w:val="0"/>
          <w:numId w:val="16"/>
        </w:numPr>
      </w:pPr>
      <w:r>
        <w:lastRenderedPageBreak/>
        <w:t xml:space="preserve">5 – Strongly Agree </w:t>
      </w:r>
    </w:p>
    <w:p w14:paraId="14EBA964" w14:textId="77777777" w:rsidR="00300044" w:rsidRDefault="002602FB">
      <w:pPr>
        <w:rPr>
          <w:b/>
          <w:bCs/>
        </w:rPr>
      </w:pPr>
      <w:r>
        <w:rPr>
          <w:b/>
          <w:bCs/>
        </w:rPr>
        <w:t>Q6. Clear environmental information on product packaging helps me make better purchasing decisions.</w:t>
      </w:r>
    </w:p>
    <w:p w14:paraId="2FCE2AFC" w14:textId="77777777" w:rsidR="00300044" w:rsidRDefault="002602FB">
      <w:pPr>
        <w:numPr>
          <w:ilvl w:val="0"/>
          <w:numId w:val="17"/>
        </w:numPr>
      </w:pPr>
      <w:r>
        <w:t xml:space="preserve">1 – Strongly Disagree </w:t>
      </w:r>
    </w:p>
    <w:p w14:paraId="1353CE3B" w14:textId="77777777" w:rsidR="00300044" w:rsidRDefault="002602FB">
      <w:pPr>
        <w:numPr>
          <w:ilvl w:val="0"/>
          <w:numId w:val="17"/>
        </w:numPr>
      </w:pPr>
      <w:r>
        <w:t xml:space="preserve">2 – Disagree </w:t>
      </w:r>
    </w:p>
    <w:p w14:paraId="111B6841" w14:textId="77777777" w:rsidR="00300044" w:rsidRDefault="002602FB">
      <w:pPr>
        <w:numPr>
          <w:ilvl w:val="0"/>
          <w:numId w:val="17"/>
        </w:numPr>
      </w:pPr>
      <w:r>
        <w:t xml:space="preserve">3 – Neither Agree nor Disagree </w:t>
      </w:r>
    </w:p>
    <w:p w14:paraId="637B4FA4" w14:textId="77777777" w:rsidR="00300044" w:rsidRDefault="002602FB">
      <w:pPr>
        <w:numPr>
          <w:ilvl w:val="0"/>
          <w:numId w:val="17"/>
        </w:numPr>
      </w:pPr>
      <w:r>
        <w:t xml:space="preserve">4 – Agree </w:t>
      </w:r>
    </w:p>
    <w:p w14:paraId="0CAB321B" w14:textId="77777777" w:rsidR="00300044" w:rsidRDefault="002602FB">
      <w:pPr>
        <w:numPr>
          <w:ilvl w:val="0"/>
          <w:numId w:val="17"/>
        </w:numPr>
      </w:pPr>
      <w:r>
        <w:t xml:space="preserve">5 – Strongly Agree </w:t>
      </w:r>
    </w:p>
    <w:p w14:paraId="1EADDC06" w14:textId="77777777" w:rsidR="00300044" w:rsidRDefault="002602FB">
      <w:pPr>
        <w:rPr>
          <w:b/>
          <w:bCs/>
        </w:rPr>
      </w:pPr>
      <w:r>
        <w:rPr>
          <w:b/>
          <w:bCs/>
        </w:rPr>
        <w:t>Q7. I trust brands more when their packaging clearly explains its environmental benefits.</w:t>
      </w:r>
    </w:p>
    <w:p w14:paraId="0EDE9E16" w14:textId="77777777" w:rsidR="00300044" w:rsidRDefault="002602FB">
      <w:pPr>
        <w:numPr>
          <w:ilvl w:val="0"/>
          <w:numId w:val="1"/>
        </w:numPr>
      </w:pPr>
      <w:r>
        <w:t xml:space="preserve">1 – Strongly Disagree </w:t>
      </w:r>
    </w:p>
    <w:p w14:paraId="0D63658C" w14:textId="77777777" w:rsidR="00300044" w:rsidRDefault="002602FB">
      <w:pPr>
        <w:numPr>
          <w:ilvl w:val="0"/>
          <w:numId w:val="1"/>
        </w:numPr>
      </w:pPr>
      <w:r>
        <w:t xml:space="preserve">2 – Disagree </w:t>
      </w:r>
    </w:p>
    <w:p w14:paraId="393B5E23" w14:textId="77777777" w:rsidR="00300044" w:rsidRDefault="002602FB">
      <w:pPr>
        <w:numPr>
          <w:ilvl w:val="0"/>
          <w:numId w:val="1"/>
        </w:numPr>
      </w:pPr>
      <w:r>
        <w:t xml:space="preserve">3 – Neither Agree nor Disagree </w:t>
      </w:r>
    </w:p>
    <w:p w14:paraId="359739FC" w14:textId="77777777" w:rsidR="00300044" w:rsidRDefault="002602FB">
      <w:pPr>
        <w:numPr>
          <w:ilvl w:val="0"/>
          <w:numId w:val="1"/>
        </w:numPr>
      </w:pPr>
      <w:r>
        <w:t xml:space="preserve">4 – Agree </w:t>
      </w:r>
    </w:p>
    <w:p w14:paraId="05984727" w14:textId="77777777" w:rsidR="00300044" w:rsidRDefault="002602FB">
      <w:pPr>
        <w:numPr>
          <w:ilvl w:val="0"/>
          <w:numId w:val="1"/>
        </w:numPr>
      </w:pPr>
      <w:r>
        <w:t xml:space="preserve">5 – Strongly Agree </w:t>
      </w:r>
    </w:p>
    <w:p w14:paraId="3DEE4509" w14:textId="77777777" w:rsidR="00300044" w:rsidRDefault="002602FB">
      <w:pPr>
        <w:rPr>
          <w:b/>
          <w:bCs/>
        </w:rPr>
      </w:pPr>
      <w:r>
        <w:rPr>
          <w:b/>
          <w:bCs/>
        </w:rPr>
        <w:t>Q8. Environmental labels or information on packaging influence my perception of a brand.</w:t>
      </w:r>
    </w:p>
    <w:p w14:paraId="78DB4800" w14:textId="77777777" w:rsidR="00300044" w:rsidRDefault="002602FB">
      <w:pPr>
        <w:numPr>
          <w:ilvl w:val="0"/>
          <w:numId w:val="2"/>
        </w:numPr>
      </w:pPr>
      <w:r>
        <w:t xml:space="preserve">1 – Strongly Disagree </w:t>
      </w:r>
    </w:p>
    <w:p w14:paraId="0F66311F" w14:textId="77777777" w:rsidR="00300044" w:rsidRDefault="002602FB">
      <w:pPr>
        <w:numPr>
          <w:ilvl w:val="0"/>
          <w:numId w:val="2"/>
        </w:numPr>
      </w:pPr>
      <w:r>
        <w:t xml:space="preserve">2 – Disagree </w:t>
      </w:r>
    </w:p>
    <w:p w14:paraId="5E773552" w14:textId="77777777" w:rsidR="00300044" w:rsidRDefault="002602FB">
      <w:pPr>
        <w:numPr>
          <w:ilvl w:val="0"/>
          <w:numId w:val="2"/>
        </w:numPr>
      </w:pPr>
      <w:r>
        <w:t xml:space="preserve">3 – Neither Agree nor Disagree </w:t>
      </w:r>
    </w:p>
    <w:p w14:paraId="1E457A6F" w14:textId="77777777" w:rsidR="00300044" w:rsidRDefault="002602FB">
      <w:pPr>
        <w:numPr>
          <w:ilvl w:val="0"/>
          <w:numId w:val="2"/>
        </w:numPr>
      </w:pPr>
      <w:r>
        <w:t xml:space="preserve">4 – Agree </w:t>
      </w:r>
    </w:p>
    <w:p w14:paraId="6A76C086" w14:textId="77777777" w:rsidR="00300044" w:rsidRDefault="002602FB">
      <w:pPr>
        <w:numPr>
          <w:ilvl w:val="0"/>
          <w:numId w:val="2"/>
        </w:numPr>
      </w:pPr>
      <w:r>
        <w:t xml:space="preserve">5 – Strongly Agree </w:t>
      </w:r>
    </w:p>
    <w:p w14:paraId="68C4CA77" w14:textId="77777777" w:rsidR="00300044" w:rsidRDefault="002602FB">
      <w:pPr>
        <w:rPr>
          <w:b/>
          <w:bCs/>
        </w:rPr>
      </w:pPr>
      <w:r>
        <w:rPr>
          <w:b/>
          <w:bCs/>
        </w:rPr>
        <w:lastRenderedPageBreak/>
        <w:t>Q9. Sustainable packaging can provide the same level of product protection as conventional packaging.</w:t>
      </w:r>
    </w:p>
    <w:p w14:paraId="609825BF" w14:textId="77777777" w:rsidR="00300044" w:rsidRDefault="002602FB">
      <w:pPr>
        <w:numPr>
          <w:ilvl w:val="0"/>
          <w:numId w:val="3"/>
        </w:numPr>
      </w:pPr>
      <w:r>
        <w:t xml:space="preserve">1 – Strongly Disagree </w:t>
      </w:r>
    </w:p>
    <w:p w14:paraId="47ED0D84" w14:textId="77777777" w:rsidR="00300044" w:rsidRDefault="002602FB">
      <w:pPr>
        <w:numPr>
          <w:ilvl w:val="0"/>
          <w:numId w:val="3"/>
        </w:numPr>
      </w:pPr>
      <w:r>
        <w:t xml:space="preserve">2 – Disagree </w:t>
      </w:r>
    </w:p>
    <w:p w14:paraId="6C2C67D4" w14:textId="77777777" w:rsidR="00300044" w:rsidRDefault="002602FB">
      <w:pPr>
        <w:numPr>
          <w:ilvl w:val="0"/>
          <w:numId w:val="3"/>
        </w:numPr>
      </w:pPr>
      <w:r>
        <w:t xml:space="preserve">3 – Neither Agree nor Disagree </w:t>
      </w:r>
    </w:p>
    <w:p w14:paraId="7E9818E9" w14:textId="77777777" w:rsidR="00300044" w:rsidRDefault="002602FB">
      <w:pPr>
        <w:numPr>
          <w:ilvl w:val="0"/>
          <w:numId w:val="3"/>
        </w:numPr>
      </w:pPr>
      <w:r>
        <w:t xml:space="preserve">4 – Agree </w:t>
      </w:r>
    </w:p>
    <w:p w14:paraId="2C00AE3D" w14:textId="77777777" w:rsidR="00300044" w:rsidRDefault="002602FB">
      <w:pPr>
        <w:numPr>
          <w:ilvl w:val="0"/>
          <w:numId w:val="3"/>
        </w:numPr>
      </w:pPr>
      <w:r>
        <w:t xml:space="preserve">5 – Strongly Agree </w:t>
      </w:r>
    </w:p>
    <w:p w14:paraId="31291CEC" w14:textId="77777777" w:rsidR="00300044" w:rsidRDefault="002602FB">
      <w:pPr>
        <w:rPr>
          <w:b/>
          <w:bCs/>
        </w:rPr>
      </w:pPr>
      <w:r>
        <w:rPr>
          <w:b/>
          <w:bCs/>
        </w:rPr>
        <w:t>Q10. I prefer sustainable packaging when it is convenient and easy to use.</w:t>
      </w:r>
    </w:p>
    <w:p w14:paraId="11475D82" w14:textId="77777777" w:rsidR="00300044" w:rsidRDefault="002602FB">
      <w:pPr>
        <w:numPr>
          <w:ilvl w:val="0"/>
          <w:numId w:val="4"/>
        </w:numPr>
      </w:pPr>
      <w:r>
        <w:t xml:space="preserve">1 – Strongly Disagree </w:t>
      </w:r>
    </w:p>
    <w:p w14:paraId="79DAFA8C" w14:textId="77777777" w:rsidR="00300044" w:rsidRDefault="002602FB">
      <w:pPr>
        <w:numPr>
          <w:ilvl w:val="0"/>
          <w:numId w:val="4"/>
        </w:numPr>
      </w:pPr>
      <w:r>
        <w:t xml:space="preserve">2 – Disagree </w:t>
      </w:r>
    </w:p>
    <w:p w14:paraId="60CAC125" w14:textId="77777777" w:rsidR="00300044" w:rsidRDefault="002602FB">
      <w:pPr>
        <w:numPr>
          <w:ilvl w:val="0"/>
          <w:numId w:val="4"/>
        </w:numPr>
      </w:pPr>
      <w:r>
        <w:t xml:space="preserve">3 – Neither Agree nor Disagree </w:t>
      </w:r>
    </w:p>
    <w:p w14:paraId="5D60A50C" w14:textId="77777777" w:rsidR="00300044" w:rsidRDefault="002602FB">
      <w:pPr>
        <w:numPr>
          <w:ilvl w:val="0"/>
          <w:numId w:val="4"/>
        </w:numPr>
      </w:pPr>
      <w:r>
        <w:t xml:space="preserve">4 – Agree </w:t>
      </w:r>
    </w:p>
    <w:p w14:paraId="5FA899D2" w14:textId="77777777" w:rsidR="00300044" w:rsidRDefault="002602FB">
      <w:pPr>
        <w:numPr>
          <w:ilvl w:val="0"/>
          <w:numId w:val="4"/>
        </w:numPr>
      </w:pPr>
      <w:r>
        <w:t xml:space="preserve">5 – Strongly Agree </w:t>
      </w:r>
    </w:p>
    <w:p w14:paraId="6221ECAC" w14:textId="77777777" w:rsidR="00300044" w:rsidRDefault="002602FB">
      <w:pPr>
        <w:rPr>
          <w:b/>
          <w:bCs/>
        </w:rPr>
      </w:pPr>
      <w:r>
        <w:rPr>
          <w:b/>
          <w:bCs/>
        </w:rPr>
        <w:t>Q11. The functionality of packaging is important to me when choosing between competing retail products.</w:t>
      </w:r>
    </w:p>
    <w:p w14:paraId="4A816517" w14:textId="77777777" w:rsidR="00300044" w:rsidRDefault="002602FB">
      <w:pPr>
        <w:numPr>
          <w:ilvl w:val="0"/>
          <w:numId w:val="5"/>
        </w:numPr>
      </w:pPr>
      <w:r>
        <w:t xml:space="preserve">1 – Strongly Disagree </w:t>
      </w:r>
    </w:p>
    <w:p w14:paraId="610FFEB1" w14:textId="77777777" w:rsidR="00300044" w:rsidRDefault="002602FB">
      <w:pPr>
        <w:numPr>
          <w:ilvl w:val="0"/>
          <w:numId w:val="5"/>
        </w:numPr>
      </w:pPr>
      <w:r>
        <w:t xml:space="preserve">2 – Disagree </w:t>
      </w:r>
    </w:p>
    <w:p w14:paraId="3DAAB640" w14:textId="77777777" w:rsidR="00300044" w:rsidRDefault="002602FB">
      <w:pPr>
        <w:numPr>
          <w:ilvl w:val="0"/>
          <w:numId w:val="5"/>
        </w:numPr>
      </w:pPr>
      <w:r>
        <w:t xml:space="preserve">3 – Neither Agree nor Disagree </w:t>
      </w:r>
    </w:p>
    <w:p w14:paraId="591E88F2" w14:textId="77777777" w:rsidR="00300044" w:rsidRDefault="002602FB">
      <w:pPr>
        <w:numPr>
          <w:ilvl w:val="0"/>
          <w:numId w:val="5"/>
        </w:numPr>
      </w:pPr>
      <w:r>
        <w:t xml:space="preserve">4 – Agree </w:t>
      </w:r>
    </w:p>
    <w:p w14:paraId="037881A3" w14:textId="77777777" w:rsidR="00300044" w:rsidRDefault="002602FB">
      <w:pPr>
        <w:numPr>
          <w:ilvl w:val="0"/>
          <w:numId w:val="5"/>
        </w:numPr>
      </w:pPr>
      <w:r>
        <w:t xml:space="preserve">5 – Strongly Agree </w:t>
      </w:r>
    </w:p>
    <w:p w14:paraId="4111F5E6" w14:textId="77777777" w:rsidR="00300044" w:rsidRDefault="002602FB">
      <w:pPr>
        <w:rPr>
          <w:b/>
          <w:bCs/>
        </w:rPr>
      </w:pPr>
      <w:r>
        <w:rPr>
          <w:b/>
          <w:bCs/>
        </w:rPr>
        <w:t>Q12. I am more likely to buy a brand again when I am satisfied with its sustainable packaging.</w:t>
      </w:r>
    </w:p>
    <w:p w14:paraId="69134E6C" w14:textId="77777777" w:rsidR="00300044" w:rsidRDefault="002602FB">
      <w:pPr>
        <w:numPr>
          <w:ilvl w:val="0"/>
          <w:numId w:val="6"/>
        </w:numPr>
      </w:pPr>
      <w:r>
        <w:t xml:space="preserve">1 – Strongly Disagree </w:t>
      </w:r>
    </w:p>
    <w:p w14:paraId="24B46538" w14:textId="77777777" w:rsidR="00300044" w:rsidRDefault="002602FB">
      <w:pPr>
        <w:numPr>
          <w:ilvl w:val="0"/>
          <w:numId w:val="6"/>
        </w:numPr>
      </w:pPr>
      <w:r>
        <w:lastRenderedPageBreak/>
        <w:t xml:space="preserve">2 – Disagree </w:t>
      </w:r>
    </w:p>
    <w:p w14:paraId="379BE2F8" w14:textId="77777777" w:rsidR="00300044" w:rsidRDefault="002602FB">
      <w:pPr>
        <w:numPr>
          <w:ilvl w:val="0"/>
          <w:numId w:val="6"/>
        </w:numPr>
      </w:pPr>
      <w:r>
        <w:t xml:space="preserve">3 – Neither Agree nor Disagree </w:t>
      </w:r>
    </w:p>
    <w:p w14:paraId="725F24D3" w14:textId="77777777" w:rsidR="00300044" w:rsidRDefault="002602FB">
      <w:pPr>
        <w:numPr>
          <w:ilvl w:val="0"/>
          <w:numId w:val="6"/>
        </w:numPr>
      </w:pPr>
      <w:r>
        <w:t xml:space="preserve">4 – Agree </w:t>
      </w:r>
    </w:p>
    <w:p w14:paraId="47149F99" w14:textId="77777777" w:rsidR="00300044" w:rsidRDefault="002602FB">
      <w:pPr>
        <w:numPr>
          <w:ilvl w:val="0"/>
          <w:numId w:val="6"/>
        </w:numPr>
      </w:pPr>
      <w:r>
        <w:t xml:space="preserve">5 – Strongly Agree </w:t>
      </w:r>
    </w:p>
    <w:p w14:paraId="7D3B8E9D" w14:textId="77777777" w:rsidR="00300044" w:rsidRDefault="002602FB">
      <w:pPr>
        <w:rPr>
          <w:b/>
          <w:bCs/>
        </w:rPr>
      </w:pPr>
      <w:r>
        <w:rPr>
          <w:b/>
          <w:bCs/>
        </w:rPr>
        <w:t>Q13. Sustainable packaging makes me more likely to remain committed to a brand.</w:t>
      </w:r>
    </w:p>
    <w:p w14:paraId="70DB1BA9" w14:textId="77777777" w:rsidR="00300044" w:rsidRDefault="002602FB">
      <w:pPr>
        <w:numPr>
          <w:ilvl w:val="0"/>
          <w:numId w:val="7"/>
        </w:numPr>
      </w:pPr>
      <w:r>
        <w:t xml:space="preserve">1 – Strongly Disagree </w:t>
      </w:r>
    </w:p>
    <w:p w14:paraId="20C121B3" w14:textId="77777777" w:rsidR="00300044" w:rsidRDefault="002602FB">
      <w:pPr>
        <w:numPr>
          <w:ilvl w:val="0"/>
          <w:numId w:val="7"/>
        </w:numPr>
      </w:pPr>
      <w:r>
        <w:t xml:space="preserve">2 – Disagree </w:t>
      </w:r>
    </w:p>
    <w:p w14:paraId="2C369AE2" w14:textId="77777777" w:rsidR="00300044" w:rsidRDefault="002602FB">
      <w:pPr>
        <w:numPr>
          <w:ilvl w:val="0"/>
          <w:numId w:val="7"/>
        </w:numPr>
      </w:pPr>
      <w:r>
        <w:t xml:space="preserve">3 – Neither Agree nor Disagree </w:t>
      </w:r>
    </w:p>
    <w:p w14:paraId="45E0952F" w14:textId="77777777" w:rsidR="00300044" w:rsidRDefault="002602FB">
      <w:pPr>
        <w:numPr>
          <w:ilvl w:val="0"/>
          <w:numId w:val="7"/>
        </w:numPr>
      </w:pPr>
      <w:r>
        <w:t xml:space="preserve">4 – Agree </w:t>
      </w:r>
    </w:p>
    <w:p w14:paraId="53C8180C" w14:textId="77777777" w:rsidR="00300044" w:rsidRDefault="002602FB">
      <w:pPr>
        <w:numPr>
          <w:ilvl w:val="0"/>
          <w:numId w:val="7"/>
        </w:numPr>
      </w:pPr>
      <w:r>
        <w:t xml:space="preserve">5 – Strongly Agree </w:t>
      </w:r>
    </w:p>
    <w:p w14:paraId="3E4F5462" w14:textId="77777777" w:rsidR="00300044" w:rsidRDefault="002602FB">
      <w:pPr>
        <w:rPr>
          <w:b/>
          <w:bCs/>
        </w:rPr>
      </w:pPr>
      <w:r>
        <w:rPr>
          <w:b/>
          <w:bCs/>
        </w:rPr>
        <w:t xml:space="preserve">Q14. I </w:t>
      </w:r>
      <w:proofErr w:type="gramStart"/>
      <w:r>
        <w:rPr>
          <w:b/>
          <w:bCs/>
        </w:rPr>
        <w:t>would</w:t>
      </w:r>
      <w:proofErr w:type="gramEnd"/>
      <w:r>
        <w:rPr>
          <w:b/>
          <w:bCs/>
        </w:rPr>
        <w:t xml:space="preserve"> recommend a brand to other people if I believe its packaging is environmentally responsible.</w:t>
      </w:r>
    </w:p>
    <w:p w14:paraId="04650D25" w14:textId="77777777" w:rsidR="00300044" w:rsidRDefault="002602FB">
      <w:pPr>
        <w:numPr>
          <w:ilvl w:val="0"/>
          <w:numId w:val="8"/>
        </w:numPr>
      </w:pPr>
      <w:r>
        <w:t xml:space="preserve">1 – Strongly Disagree </w:t>
      </w:r>
    </w:p>
    <w:p w14:paraId="33B5FA3E" w14:textId="77777777" w:rsidR="00300044" w:rsidRDefault="002602FB">
      <w:pPr>
        <w:numPr>
          <w:ilvl w:val="0"/>
          <w:numId w:val="8"/>
        </w:numPr>
      </w:pPr>
      <w:r>
        <w:t xml:space="preserve">2 – Disagree </w:t>
      </w:r>
    </w:p>
    <w:p w14:paraId="674DE008" w14:textId="77777777" w:rsidR="00300044" w:rsidRDefault="002602FB">
      <w:pPr>
        <w:numPr>
          <w:ilvl w:val="0"/>
          <w:numId w:val="8"/>
        </w:numPr>
      </w:pPr>
      <w:r>
        <w:t xml:space="preserve">3 – Neither Agree nor Disagree </w:t>
      </w:r>
    </w:p>
    <w:p w14:paraId="319885FF" w14:textId="77777777" w:rsidR="00300044" w:rsidRDefault="002602FB">
      <w:pPr>
        <w:numPr>
          <w:ilvl w:val="0"/>
          <w:numId w:val="8"/>
        </w:numPr>
      </w:pPr>
      <w:r>
        <w:t xml:space="preserve">4 – Agree </w:t>
      </w:r>
    </w:p>
    <w:p w14:paraId="4359617A" w14:textId="77777777" w:rsidR="00300044" w:rsidRDefault="002602FB">
      <w:pPr>
        <w:numPr>
          <w:ilvl w:val="0"/>
          <w:numId w:val="8"/>
        </w:numPr>
      </w:pPr>
      <w:r>
        <w:t xml:space="preserve">5 – Strongly Agree </w:t>
      </w:r>
    </w:p>
    <w:p w14:paraId="56FD56FE" w14:textId="77777777" w:rsidR="00300044" w:rsidRDefault="002602FB">
      <w:pPr>
        <w:rPr>
          <w:b/>
          <w:bCs/>
        </w:rPr>
      </w:pPr>
      <w:r>
        <w:rPr>
          <w:b/>
          <w:bCs/>
        </w:rPr>
        <w:t>Q15. I would prefer a brand using sustainable packaging over a similar competing brand.</w:t>
      </w:r>
    </w:p>
    <w:p w14:paraId="4FFF27AA" w14:textId="77777777" w:rsidR="00300044" w:rsidRDefault="002602FB">
      <w:pPr>
        <w:numPr>
          <w:ilvl w:val="0"/>
          <w:numId w:val="9"/>
        </w:numPr>
      </w:pPr>
      <w:r>
        <w:t xml:space="preserve">1 – Strongly Disagree </w:t>
      </w:r>
    </w:p>
    <w:p w14:paraId="0AA172FD" w14:textId="77777777" w:rsidR="00300044" w:rsidRDefault="002602FB">
      <w:pPr>
        <w:numPr>
          <w:ilvl w:val="0"/>
          <w:numId w:val="9"/>
        </w:numPr>
      </w:pPr>
      <w:r>
        <w:t xml:space="preserve">2 – Disagree </w:t>
      </w:r>
    </w:p>
    <w:p w14:paraId="6EC4F94C" w14:textId="77777777" w:rsidR="00300044" w:rsidRDefault="002602FB">
      <w:pPr>
        <w:numPr>
          <w:ilvl w:val="0"/>
          <w:numId w:val="9"/>
        </w:numPr>
      </w:pPr>
      <w:r>
        <w:t xml:space="preserve">3 – Neither Agree nor Disagree </w:t>
      </w:r>
    </w:p>
    <w:p w14:paraId="159CCAF4" w14:textId="77777777" w:rsidR="00300044" w:rsidRDefault="002602FB">
      <w:pPr>
        <w:numPr>
          <w:ilvl w:val="0"/>
          <w:numId w:val="9"/>
        </w:numPr>
      </w:pPr>
      <w:r>
        <w:lastRenderedPageBreak/>
        <w:t xml:space="preserve">4 – Agree </w:t>
      </w:r>
    </w:p>
    <w:p w14:paraId="3B22AD4F" w14:textId="77777777" w:rsidR="00300044" w:rsidRDefault="002602FB">
      <w:pPr>
        <w:numPr>
          <w:ilvl w:val="0"/>
          <w:numId w:val="9"/>
        </w:numPr>
      </w:pPr>
      <w:r>
        <w:t xml:space="preserve">5 – Strongly Agree </w:t>
      </w:r>
    </w:p>
    <w:p w14:paraId="3C5F9228" w14:textId="77777777" w:rsidR="00300044" w:rsidRDefault="002602FB">
      <w:r>
        <w:br w:type="page"/>
      </w:r>
    </w:p>
    <w:p w14:paraId="3976D5EF" w14:textId="77777777" w:rsidR="00300044" w:rsidRDefault="00300044"/>
    <w:p w14:paraId="1EF9FDA7" w14:textId="77777777" w:rsidR="00300044" w:rsidRDefault="00300044"/>
    <w:p w14:paraId="7784C29C" w14:textId="77777777" w:rsidR="00300044" w:rsidRDefault="00300044"/>
    <w:sectPr w:rsidR="0030004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E0781" w14:textId="77777777" w:rsidR="009906D2" w:rsidRDefault="009906D2">
      <w:pPr>
        <w:spacing w:before="0" w:after="0" w:line="240" w:lineRule="auto"/>
      </w:pPr>
      <w:r>
        <w:separator/>
      </w:r>
    </w:p>
  </w:endnote>
  <w:endnote w:type="continuationSeparator" w:id="0">
    <w:p w14:paraId="784E4781" w14:textId="77777777" w:rsidR="009906D2" w:rsidRDefault="009906D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7216F823-D0C3-4D88-B7EC-58CE250EB0B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5540AC07-9FC8-45BD-8247-420AB0FA5C73}"/>
    <w:embedItalic r:id="rId3" w:fontKey="{056C1797-9A17-408F-80BF-718BF1EC99CF}"/>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49D8BEA0-6C4F-4E38-AC7E-8AB92FED058F}"/>
  </w:font>
  <w:font w:name="Tahoma">
    <w:panose1 w:val="020B0604030504040204"/>
    <w:charset w:val="00"/>
    <w:family w:val="swiss"/>
    <w:pitch w:val="variable"/>
    <w:sig w:usb0="E1002EFF" w:usb1="C000605B" w:usb2="00000029" w:usb3="00000000" w:csb0="000101FF" w:csb1="00000000"/>
    <w:embedRegular r:id="rId5" w:fontKey="{D3347F1A-B6EC-4EBC-8FD2-A919DDBFAC6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73625B" w14:textId="77777777" w:rsidR="00300044" w:rsidRDefault="002602FB">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8347B6">
      <w:rPr>
        <w:noProof/>
        <w:color w:val="000000"/>
      </w:rPr>
      <w:t>1</w:t>
    </w:r>
    <w:r>
      <w:rPr>
        <w:color w:val="000000"/>
      </w:rPr>
      <w:fldChar w:fldCharType="end"/>
    </w:r>
  </w:p>
  <w:p w14:paraId="72912E92" w14:textId="77777777" w:rsidR="00300044" w:rsidRDefault="00300044">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2C666" w14:textId="77777777" w:rsidR="009906D2" w:rsidRDefault="009906D2">
      <w:pPr>
        <w:spacing w:before="0" w:after="0" w:line="240" w:lineRule="auto"/>
      </w:pPr>
      <w:r>
        <w:separator/>
      </w:r>
    </w:p>
  </w:footnote>
  <w:footnote w:type="continuationSeparator" w:id="0">
    <w:p w14:paraId="3D1C7ED1" w14:textId="77777777" w:rsidR="009906D2" w:rsidRDefault="009906D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B259D"/>
    <w:multiLevelType w:val="multilevel"/>
    <w:tmpl w:val="7FAA420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BE50ED5"/>
    <w:multiLevelType w:val="multilevel"/>
    <w:tmpl w:val="8E36158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D1177F3"/>
    <w:multiLevelType w:val="multilevel"/>
    <w:tmpl w:val="FF7A8E0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5F2111F"/>
    <w:multiLevelType w:val="multilevel"/>
    <w:tmpl w:val="07549D7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1F5130AF"/>
    <w:multiLevelType w:val="multilevel"/>
    <w:tmpl w:val="CF8A8A8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2F894DDE"/>
    <w:multiLevelType w:val="multilevel"/>
    <w:tmpl w:val="25A6D5B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04F149E"/>
    <w:multiLevelType w:val="multilevel"/>
    <w:tmpl w:val="3B2A07D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402A5FBA"/>
    <w:multiLevelType w:val="multilevel"/>
    <w:tmpl w:val="6F0CB3A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42DA5983"/>
    <w:multiLevelType w:val="multilevel"/>
    <w:tmpl w:val="8AB48EC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4715392F"/>
    <w:multiLevelType w:val="multilevel"/>
    <w:tmpl w:val="EAA8E6B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48203FC9"/>
    <w:multiLevelType w:val="multilevel"/>
    <w:tmpl w:val="8CEA55F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5E6502E5"/>
    <w:multiLevelType w:val="multilevel"/>
    <w:tmpl w:val="86D667F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6B3A5EE8"/>
    <w:multiLevelType w:val="multilevel"/>
    <w:tmpl w:val="568A497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70693E01"/>
    <w:multiLevelType w:val="multilevel"/>
    <w:tmpl w:val="E2CAF7F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70DE4231"/>
    <w:multiLevelType w:val="multilevel"/>
    <w:tmpl w:val="1146EBD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789D6863"/>
    <w:multiLevelType w:val="multilevel"/>
    <w:tmpl w:val="F740067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79DD73F5"/>
    <w:multiLevelType w:val="multilevel"/>
    <w:tmpl w:val="C1F4373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166093372">
    <w:abstractNumId w:val="2"/>
  </w:num>
  <w:num w:numId="2" w16cid:durableId="2082218775">
    <w:abstractNumId w:val="12"/>
  </w:num>
  <w:num w:numId="3" w16cid:durableId="125198227">
    <w:abstractNumId w:val="10"/>
  </w:num>
  <w:num w:numId="4" w16cid:durableId="1053432669">
    <w:abstractNumId w:val="9"/>
  </w:num>
  <w:num w:numId="5" w16cid:durableId="599144828">
    <w:abstractNumId w:val="15"/>
  </w:num>
  <w:num w:numId="6" w16cid:durableId="704982350">
    <w:abstractNumId w:val="5"/>
  </w:num>
  <w:num w:numId="7" w16cid:durableId="375550973">
    <w:abstractNumId w:val="14"/>
  </w:num>
  <w:num w:numId="8" w16cid:durableId="1817991974">
    <w:abstractNumId w:val="1"/>
  </w:num>
  <w:num w:numId="9" w16cid:durableId="1263606881">
    <w:abstractNumId w:val="16"/>
  </w:num>
  <w:num w:numId="10" w16cid:durableId="1807970170">
    <w:abstractNumId w:val="13"/>
  </w:num>
  <w:num w:numId="11" w16cid:durableId="548683350">
    <w:abstractNumId w:val="8"/>
  </w:num>
  <w:num w:numId="12" w16cid:durableId="1706101752">
    <w:abstractNumId w:val="3"/>
  </w:num>
  <w:num w:numId="13" w16cid:durableId="531723289">
    <w:abstractNumId w:val="4"/>
  </w:num>
  <w:num w:numId="14" w16cid:durableId="514614013">
    <w:abstractNumId w:val="6"/>
  </w:num>
  <w:num w:numId="15" w16cid:durableId="666132340">
    <w:abstractNumId w:val="7"/>
  </w:num>
  <w:num w:numId="16" w16cid:durableId="1744326687">
    <w:abstractNumId w:val="0"/>
  </w:num>
  <w:num w:numId="17" w16cid:durableId="65106157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044"/>
    <w:rsid w:val="00024300"/>
    <w:rsid w:val="000B255F"/>
    <w:rsid w:val="001E7A09"/>
    <w:rsid w:val="002129FB"/>
    <w:rsid w:val="002602FB"/>
    <w:rsid w:val="00300044"/>
    <w:rsid w:val="00521FE3"/>
    <w:rsid w:val="00595C83"/>
    <w:rsid w:val="007A586E"/>
    <w:rsid w:val="00813BE4"/>
    <w:rsid w:val="008347B6"/>
    <w:rsid w:val="009779EB"/>
    <w:rsid w:val="009906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6FCB"/>
  <w15:docId w15:val="{BF6D41D7-BA73-4FBB-ABBF-1126DDCD7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0"/>
      <w:outlineLvl w:val="0"/>
    </w:pPr>
    <w:rPr>
      <w:b/>
      <w:bCs/>
      <w:color w:val="000000"/>
      <w:sz w:val="28"/>
      <w:szCs w:val="28"/>
    </w:rPr>
  </w:style>
  <w:style w:type="paragraph" w:styleId="Heading2">
    <w:name w:val="heading 2"/>
    <w:basedOn w:val="Normal"/>
    <w:next w:val="Normal"/>
    <w:link w:val="Heading2Char"/>
    <w:uiPriority w:val="9"/>
    <w:unhideWhenUsed/>
    <w:qFormat/>
    <w:pPr>
      <w:keepNext/>
      <w:keepLines/>
      <w:spacing w:line="480" w:lineRule="auto"/>
      <w:outlineLvl w:val="1"/>
    </w:pPr>
    <w:rPr>
      <w:b/>
      <w:bCs/>
      <w:color w:val="000000"/>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b/>
      <w:bCs/>
      <w:color w:val="000000"/>
    </w:rPr>
  </w:style>
  <w:style w:type="paragraph" w:styleId="Heading4">
    <w:name w:val="heading 4"/>
    <w:basedOn w:val="Normal"/>
    <w:next w:val="Normal"/>
    <w:link w:val="Heading4Char"/>
    <w:uiPriority w:val="9"/>
    <w:unhideWhenUsed/>
    <w:qFormat/>
    <w:pPr>
      <w:keepNext/>
      <w:keepLines/>
      <w:spacing w:before="80" w:after="40"/>
      <w:jc w:val="center"/>
      <w:outlineLvl w:val="3"/>
    </w:pPr>
    <w:rPr>
      <w:b/>
      <w:bCs/>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Calibri" w:eastAsia="Calibri" w:hAnsi="Calibri" w:cs="Calibri"/>
      <w:i/>
      <w:iCs/>
      <w:color w:val="595959"/>
    </w:rPr>
  </w:style>
  <w:style w:type="paragraph" w:styleId="Heading7">
    <w:name w:val="heading 7"/>
    <w:basedOn w:val="Normal"/>
    <w:next w:val="Normal"/>
    <w:link w:val="Heading7Char"/>
    <w:uiPriority w:val="9"/>
    <w:semiHidden/>
    <w:unhideWhenUsed/>
    <w:qFormat/>
    <w:rsid w:val="004D332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332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332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before="0" w:after="80" w:line="240" w:lineRule="auto"/>
    </w:pPr>
    <w:rPr>
      <w:rFonts w:ascii="Calibri" w:eastAsia="Calibri" w:hAnsi="Calibri" w:cs="Calibri"/>
      <w:sz w:val="56"/>
      <w:szCs w:val="56"/>
    </w:rPr>
  </w:style>
  <w:style w:type="character" w:customStyle="1" w:styleId="Heading1Char">
    <w:name w:val="Heading 1 Char"/>
    <w:basedOn w:val="DefaultParagraphFont"/>
    <w:link w:val="Heading1"/>
    <w:uiPriority w:val="9"/>
    <w:rsid w:val="00E12C7B"/>
    <w:rPr>
      <w:rFonts w:asciiTheme="majorBidi" w:eastAsiaTheme="majorEastAsia" w:hAnsiTheme="majorBidi" w:cstheme="majorBidi"/>
      <w:b/>
      <w:color w:val="000000" w:themeColor="text1"/>
      <w:sz w:val="28"/>
      <w:szCs w:val="32"/>
    </w:rPr>
  </w:style>
  <w:style w:type="character" w:customStyle="1" w:styleId="Heading2Char">
    <w:name w:val="Heading 2 Char"/>
    <w:basedOn w:val="DefaultParagraphFont"/>
    <w:link w:val="Heading2"/>
    <w:uiPriority w:val="9"/>
    <w:rsid w:val="00E12C7B"/>
    <w:rPr>
      <w:rFonts w:asciiTheme="majorBidi" w:eastAsiaTheme="majorEastAsia" w:hAnsiTheme="majorBidi" w:cstheme="majorBidi"/>
      <w:b/>
      <w:color w:val="000000" w:themeColor="text1"/>
      <w:sz w:val="26"/>
      <w:szCs w:val="26"/>
    </w:rPr>
  </w:style>
  <w:style w:type="character" w:customStyle="1" w:styleId="Heading3Char">
    <w:name w:val="Heading 3 Char"/>
    <w:basedOn w:val="DefaultParagraphFont"/>
    <w:link w:val="Heading3"/>
    <w:uiPriority w:val="9"/>
    <w:rsid w:val="0015460C"/>
    <w:rPr>
      <w:rFonts w:asciiTheme="majorBidi" w:eastAsiaTheme="majorEastAsia" w:hAnsiTheme="majorBidi" w:cstheme="majorBidi"/>
      <w:b/>
      <w:color w:val="000000" w:themeColor="text1"/>
      <w:sz w:val="24"/>
      <w:szCs w:val="24"/>
      <w:lang w:val="en-GB"/>
    </w:rPr>
  </w:style>
  <w:style w:type="character" w:customStyle="1" w:styleId="Heading4Char">
    <w:name w:val="Heading 4 Char"/>
    <w:basedOn w:val="DefaultParagraphFont"/>
    <w:link w:val="Heading4"/>
    <w:uiPriority w:val="9"/>
    <w:rsid w:val="00FA36D4"/>
    <w:rPr>
      <w:rFonts w:ascii="Arial" w:eastAsiaTheme="majorEastAsia" w:hAnsi="Arial" w:cstheme="majorBidi"/>
      <w:b/>
      <w:iCs/>
      <w:sz w:val="24"/>
    </w:rPr>
  </w:style>
  <w:style w:type="character" w:customStyle="1" w:styleId="Heading5Char">
    <w:name w:val="Heading 5 Char"/>
    <w:basedOn w:val="DefaultParagraphFont"/>
    <w:link w:val="Heading5"/>
    <w:uiPriority w:val="9"/>
    <w:semiHidden/>
    <w:rsid w:val="004D3320"/>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4D332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D332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D332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D3320"/>
    <w:rPr>
      <w:rFonts w:eastAsiaTheme="majorEastAsia" w:cstheme="majorBidi"/>
      <w:color w:val="272727" w:themeColor="text1" w:themeTint="D8"/>
      <w:sz w:val="24"/>
    </w:rPr>
  </w:style>
  <w:style w:type="character" w:customStyle="1" w:styleId="TitleChar">
    <w:name w:val="Title Char"/>
    <w:basedOn w:val="DefaultParagraphFont"/>
    <w:link w:val="Title"/>
    <w:uiPriority w:val="10"/>
    <w:rsid w:val="004D332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4D3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3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3320"/>
    <w:rPr>
      <w:rFonts w:asciiTheme="majorBidi" w:hAnsiTheme="majorBidi"/>
      <w:i/>
      <w:iCs/>
      <w:color w:val="404040" w:themeColor="text1" w:themeTint="BF"/>
      <w:sz w:val="24"/>
    </w:rPr>
  </w:style>
  <w:style w:type="paragraph" w:styleId="ListParagraph">
    <w:name w:val="List Paragraph"/>
    <w:basedOn w:val="Normal"/>
    <w:uiPriority w:val="34"/>
    <w:qFormat/>
    <w:rsid w:val="004D3320"/>
    <w:pPr>
      <w:ind w:left="720"/>
      <w:contextualSpacing/>
    </w:pPr>
  </w:style>
  <w:style w:type="character" w:styleId="IntenseEmphasis">
    <w:name w:val="Intense Emphasis"/>
    <w:basedOn w:val="DefaultParagraphFont"/>
    <w:uiPriority w:val="21"/>
    <w:qFormat/>
    <w:rsid w:val="004D3320"/>
    <w:rPr>
      <w:i/>
      <w:iCs/>
      <w:color w:val="2F5496" w:themeColor="accent1" w:themeShade="BF"/>
    </w:rPr>
  </w:style>
  <w:style w:type="paragraph" w:styleId="IntenseQuote">
    <w:name w:val="Intense Quote"/>
    <w:basedOn w:val="Normal"/>
    <w:next w:val="Normal"/>
    <w:link w:val="IntenseQuoteChar"/>
    <w:uiPriority w:val="30"/>
    <w:qFormat/>
    <w:rsid w:val="004D33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3320"/>
    <w:rPr>
      <w:rFonts w:asciiTheme="majorBidi" w:hAnsiTheme="majorBidi"/>
      <w:i/>
      <w:iCs/>
      <w:color w:val="2F5496" w:themeColor="accent1" w:themeShade="BF"/>
      <w:sz w:val="24"/>
    </w:rPr>
  </w:style>
  <w:style w:type="character" w:styleId="IntenseReference">
    <w:name w:val="Intense Reference"/>
    <w:basedOn w:val="DefaultParagraphFont"/>
    <w:uiPriority w:val="32"/>
    <w:qFormat/>
    <w:rsid w:val="004D3320"/>
    <w:rPr>
      <w:b/>
      <w:bCs/>
      <w:smallCaps/>
      <w:color w:val="2F5496" w:themeColor="accent1" w:themeShade="BF"/>
      <w:spacing w:val="5"/>
    </w:rPr>
  </w:style>
  <w:style w:type="paragraph" w:styleId="TOCHeading">
    <w:name w:val="TOC Heading"/>
    <w:basedOn w:val="Heading1"/>
    <w:next w:val="Normal"/>
    <w:uiPriority w:val="39"/>
    <w:unhideWhenUsed/>
    <w:qFormat/>
    <w:rsid w:val="004D332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D3320"/>
    <w:pPr>
      <w:spacing w:after="100"/>
    </w:pPr>
  </w:style>
  <w:style w:type="paragraph" w:styleId="TOC2">
    <w:name w:val="toc 2"/>
    <w:basedOn w:val="Normal"/>
    <w:next w:val="Normal"/>
    <w:autoRedefine/>
    <w:uiPriority w:val="39"/>
    <w:unhideWhenUsed/>
    <w:rsid w:val="004D3320"/>
    <w:pPr>
      <w:spacing w:after="100"/>
      <w:ind w:left="240"/>
    </w:pPr>
  </w:style>
  <w:style w:type="character" w:styleId="Hyperlink">
    <w:name w:val="Hyperlink"/>
    <w:basedOn w:val="DefaultParagraphFont"/>
    <w:uiPriority w:val="99"/>
    <w:unhideWhenUsed/>
    <w:rsid w:val="004D3320"/>
    <w:rPr>
      <w:color w:val="0563C1" w:themeColor="hyperlink"/>
      <w:u w:val="single"/>
    </w:rPr>
  </w:style>
  <w:style w:type="paragraph" w:styleId="Header">
    <w:name w:val="header"/>
    <w:basedOn w:val="Normal"/>
    <w:link w:val="HeaderChar"/>
    <w:uiPriority w:val="99"/>
    <w:unhideWhenUsed/>
    <w:rsid w:val="004D332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D3320"/>
    <w:rPr>
      <w:rFonts w:asciiTheme="majorBidi" w:hAnsiTheme="majorBidi"/>
      <w:sz w:val="24"/>
    </w:rPr>
  </w:style>
  <w:style w:type="paragraph" w:styleId="Footer">
    <w:name w:val="footer"/>
    <w:basedOn w:val="Normal"/>
    <w:link w:val="FooterChar"/>
    <w:uiPriority w:val="99"/>
    <w:unhideWhenUsed/>
    <w:rsid w:val="004D332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D3320"/>
    <w:rPr>
      <w:rFonts w:asciiTheme="majorBidi" w:hAnsiTheme="majorBidi"/>
      <w:sz w:val="24"/>
    </w:rPr>
  </w:style>
  <w:style w:type="character" w:customStyle="1" w:styleId="UnresolvedMention1">
    <w:name w:val="Unresolved Mention1"/>
    <w:basedOn w:val="DefaultParagraphFont"/>
    <w:uiPriority w:val="99"/>
    <w:semiHidden/>
    <w:unhideWhenUsed/>
    <w:rsid w:val="004D3320"/>
    <w:rPr>
      <w:color w:val="605E5C"/>
      <w:shd w:val="clear" w:color="auto" w:fill="E1DFDD"/>
    </w:rPr>
  </w:style>
  <w:style w:type="table" w:styleId="TableGrid">
    <w:name w:val="Table Grid"/>
    <w:basedOn w:val="TableNormal"/>
    <w:uiPriority w:val="39"/>
    <w:rsid w:val="009711B6"/>
    <w:pPr>
      <w:spacing w:after="0" w:line="240" w:lineRule="auto"/>
    </w:pPr>
    <w:rPr>
      <w:rFonts w:eastAsia="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9711B6"/>
    <w:pPr>
      <w:spacing w:after="100"/>
      <w:ind w:left="480"/>
    </w:pPr>
  </w:style>
  <w:style w:type="paragraph" w:styleId="BalloonText">
    <w:name w:val="Balloon Text"/>
    <w:basedOn w:val="Normal"/>
    <w:link w:val="BalloonTextChar"/>
    <w:uiPriority w:val="99"/>
    <w:semiHidden/>
    <w:unhideWhenUsed/>
    <w:rsid w:val="00914F1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F19"/>
    <w:rPr>
      <w:rFonts w:ascii="Tahoma" w:hAnsi="Tahoma" w:cs="Tahoma"/>
      <w:sz w:val="16"/>
      <w:szCs w:val="16"/>
    </w:rPr>
  </w:style>
  <w:style w:type="paragraph" w:styleId="NormalWeb">
    <w:name w:val="Normal (Web)"/>
    <w:basedOn w:val="Normal"/>
    <w:uiPriority w:val="99"/>
    <w:semiHidden/>
    <w:unhideWhenUsed/>
    <w:rsid w:val="00914F19"/>
    <w:pPr>
      <w:spacing w:before="100" w:beforeAutospacing="1" w:after="100" w:afterAutospacing="1" w:line="240" w:lineRule="auto"/>
      <w:jc w:val="left"/>
    </w:pPr>
    <w:rPr>
      <w:rFonts w:ascii="Times New Roman" w:eastAsia="Times New Roman" w:hAnsi="Times New Roman" w:cs="Times New Roman"/>
      <w:lang w:eastAsia="en-IN"/>
    </w:rPr>
  </w:style>
  <w:style w:type="paragraph" w:customStyle="1" w:styleId="Normal1">
    <w:name w:val="Normal1"/>
    <w:rsid w:val="00FB033A"/>
    <w:pPr>
      <w:spacing w:after="0" w:line="276" w:lineRule="auto"/>
    </w:pPr>
    <w:rPr>
      <w:lang w:eastAsia="en-IN"/>
    </w:rPr>
  </w:style>
  <w:style w:type="paragraph" w:styleId="TableofFigures">
    <w:name w:val="table of figures"/>
    <w:basedOn w:val="Normal"/>
    <w:next w:val="Normal"/>
    <w:uiPriority w:val="99"/>
    <w:unhideWhenUsed/>
    <w:rsid w:val="00FA36D4"/>
    <w:pPr>
      <w:spacing w:after="0"/>
    </w:pPr>
  </w:style>
  <w:style w:type="paragraph" w:styleId="Subtitle">
    <w:name w:val="Subtitle"/>
    <w:basedOn w:val="Normal"/>
    <w:next w:val="Normal"/>
    <w:link w:val="SubtitleChar"/>
    <w:uiPriority w:val="11"/>
    <w:qFormat/>
    <w:pPr>
      <w:spacing w:after="160"/>
    </w:pPr>
    <w:rPr>
      <w:rFonts w:ascii="Calibri" w:eastAsia="Calibri" w:hAnsi="Calibri" w:cs="Calibri"/>
      <w:color w:val="595959"/>
      <w:sz w:val="28"/>
      <w:szCs w:val="28"/>
    </w:rPr>
  </w:style>
  <w:style w:type="table" w:customStyle="1" w:styleId="a">
    <w:basedOn w:val="TableNormal"/>
    <w:pPr>
      <w:spacing w:after="0" w:line="240" w:lineRule="auto"/>
    </w:pPr>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journals.sagepub.com/doi/pdf/10.1177/16094069231180160" TargetMode="External"/><Relationship Id="rId21" Type="http://schemas.openxmlformats.org/officeDocument/2006/relationships/hyperlink" Target="https://quarterlyreview.net/ojs/index.php/aqssr/article/download/8/8" TargetMode="External"/><Relationship Id="rId42" Type="http://schemas.openxmlformats.org/officeDocument/2006/relationships/hyperlink" Target="https://koreascience.kr/article/JAKO202130550806959.pdf" TargetMode="External"/><Relationship Id="rId47" Type="http://schemas.openxmlformats.org/officeDocument/2006/relationships/hyperlink" Target="https://www.researchgate.net/profile/Taewoo-Roh/publication/372530915_Pro-environmental_behavior_on_electric_vehicle_use_intention_Integrating_value-belief-norm_theory_and_theory_of_planned_behavior/links/64bcd5cdb9ed6874a53c8d49/Pro-environmental-behavior-on-electric-vehicle-use-intention-Integrating-value-belief-norm-theory-and-theory-of-planned-behavior.pdf" TargetMode="External"/><Relationship Id="rId63" Type="http://schemas.openxmlformats.org/officeDocument/2006/relationships/hyperlink" Target="https://ascnhighered.org/ASCN/change_theories/collection/planned_behavior.html" TargetMode="External"/><Relationship Id="rId68" Type="http://schemas.openxmlformats.org/officeDocument/2006/relationships/hyperlink" Target="https://hal.science/hal-03741847v1/file/Data%20Collection%20Methods%20and%20Tools%20for%20Research%20.pdf" TargetMode="External"/><Relationship Id="rId84" Type="http://schemas.openxmlformats.org/officeDocument/2006/relationships/image" Target="media/image15.png"/><Relationship Id="rId89" Type="http://schemas.openxmlformats.org/officeDocument/2006/relationships/image" Target="media/image20.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sciencedirect.com/science/article/pii/S2666188824000431" TargetMode="External"/><Relationship Id="rId37" Type="http://schemas.openxmlformats.org/officeDocument/2006/relationships/hyperlink" Target="https://doi.org/10.14458/SIAM.res.2023.30" TargetMode="External"/><Relationship Id="rId53" Type="http://schemas.openxmlformats.org/officeDocument/2006/relationships/hyperlink" Target="https://par.nsf.gov/servlets/purl/10309139" TargetMode="External"/><Relationship Id="rId58" Type="http://schemas.openxmlformats.org/officeDocument/2006/relationships/hyperlink" Target="https://www.sciencedirect.com/science/article/pii/S0969698925000074" TargetMode="External"/><Relationship Id="rId74" Type="http://schemas.openxmlformats.org/officeDocument/2006/relationships/hyperlink" Target="https://onlinelibrary.wiley.com/doi/pdfdirect/10.1002/bse.3523" TargetMode="External"/><Relationship Id="rId79" Type="http://schemas.openxmlformats.org/officeDocument/2006/relationships/hyperlink" Target="https://www.sciencedirect.com/science/article/pii/S0956053X25004295" TargetMode="External"/><Relationship Id="rId5" Type="http://schemas.openxmlformats.org/officeDocument/2006/relationships/webSettings" Target="webSettings.xml"/><Relationship Id="rId90" Type="http://schemas.openxmlformats.org/officeDocument/2006/relationships/image" Target="media/image21.png"/><Relationship Id="rId22" Type="http://schemas.openxmlformats.org/officeDocument/2006/relationships/hyperlink" Target="https://culturajournal.com/submissions/index.php/ijpca/article/download/755/666" TargetMode="External"/><Relationship Id="rId27" Type="http://schemas.openxmlformats.org/officeDocument/2006/relationships/hyperlink" Target="https://doi.org/10.3390/foods10102366" TargetMode="External"/><Relationship Id="rId43" Type="http://schemas.openxmlformats.org/officeDocument/2006/relationships/hyperlink" Target="https://www.researchgate.net/profile/Koay-Kian-Yeik/publication/391983090_Understanding_the_influence_of_chain_coffee_shops'_innovativeness_on_brand_loyalty_through_brand_satisfaction_a_multi-analytical_approach/links/6832e787be1b507dce90b910/Understanding-the-influence-of-chain-coffee-shops-innovativeness-on-brand-loyalty-through-brand-satisfaction-a-multi-analytical-approach.pdf" TargetMode="External"/><Relationship Id="rId48"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64" Type="http://schemas.openxmlformats.org/officeDocument/2006/relationships/hyperlink" Target="https://www.scirp.org/reference/referencespapers?referenceid=2907709" TargetMode="External"/><Relationship Id="rId69" Type="http://schemas.openxmlformats.org/officeDocument/2006/relationships/hyperlink" Target="https://hal.science/hal-03741840/document" TargetMode="External"/><Relationship Id="rId8" Type="http://schemas.openxmlformats.org/officeDocument/2006/relationships/image" Target="media/image1.png"/><Relationship Id="rId51" Type="http://schemas.openxmlformats.org/officeDocument/2006/relationships/hyperlink" Target="https://www.researchgate.net/profile/Giuseppe-Pedeliento/publication/363548277_To_Pack_Sustainably_or_Not_to_Pack_Sustainably_A_Review_of_the_Relationship_between_Consumer_Behaviour_and_Sustainable_Packaging/links/633fc4499cb4fe44f30b7831/To-Pack-Sustainably-or-Not-to-Pack-Sustainably-A-Review-of-the-Relationship-between-Consumer-Behaviour-and-Sustainable-Packaging.pdf" TargetMode="External"/><Relationship Id="rId72" Type="http://schemas.openxmlformats.org/officeDocument/2006/relationships/hyperlink" Target="https://www.sciencedirect.com/science/article/pii/S2772912526000564" TargetMode="External"/><Relationship Id="rId80" Type="http://schemas.openxmlformats.org/officeDocument/2006/relationships/footer" Target="footer1.xml"/><Relationship Id="rId85" Type="http://schemas.openxmlformats.org/officeDocument/2006/relationships/image" Target="media/image16.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kluniversity.in/mba/pdf/BBA-BRM-HANDOUT-2017-2018.pdf" TargetMode="External"/><Relationship Id="rId33" Type="http://schemas.openxmlformats.org/officeDocument/2006/relationships/hyperlink" Target="https://amberton.edu/wp-content/uploads/2025/07/RGS6035_E2_Fall2025.pdf" TargetMode="External"/><Relationship Id="rId38" Type="http://schemas.openxmlformats.org/officeDocument/2006/relationships/hyperlink" Target="https://bibliotekanauki.pl/articles/27315180.pdf" TargetMode="External"/><Relationship Id="rId46" Type="http://schemas.openxmlformats.org/officeDocument/2006/relationships/hyperlink" Target="https://www.emerald.com/insight/content/doi/10.1108/jeet-09-2022-0014/full/pdf" TargetMode="External"/><Relationship Id="rId59" Type="http://schemas.openxmlformats.org/officeDocument/2006/relationships/hyperlink" Target="https://www.sciencedirect.com/science/article/pii/S0969698925000074" TargetMode="External"/><Relationship Id="rId67" Type="http://schemas.openxmlformats.org/officeDocument/2006/relationships/hyperlink" Target="https://ejournal.um.edu.my/index.php/AJBA/article/download/41022/15327" TargetMode="External"/><Relationship Id="rId20" Type="http://schemas.openxmlformats.org/officeDocument/2006/relationships/hyperlink" Target="https://doi.org/10.20912/rdc.v17i41.728" TargetMode="External"/><Relationship Id="rId41" Type="http://schemas.openxmlformats.org/officeDocument/2006/relationships/hyperlink" Target="https://jcss.ut.ac.ir/article_105067_a210167e6f6946490d50ce8e958d9fcc.pdf" TargetMode="External"/><Relationship Id="rId54" Type="http://schemas.openxmlformats.org/officeDocument/2006/relationships/hyperlink" Target="https://www.mdpi.com/2304-8158/11/21/3424" TargetMode="External"/><Relationship Id="rId62" Type="http://schemas.openxmlformats.org/officeDocument/2006/relationships/hyperlink" Target="https://mail.bwjournal.org/index.php/bsjournal/article/download/4072/3586" TargetMode="External"/><Relationship Id="rId70" Type="http://schemas.openxmlformats.org/officeDocument/2006/relationships/hyperlink" Target="https://www.thebusinessresearchcompany.com/report/eco-friendly-food-packaging-global-market-report" TargetMode="External"/><Relationship Id="rId75" Type="http://schemas.openxmlformats.org/officeDocument/2006/relationships/hyperlink" Target="https://www.goldenratio.id/index.php/grsse/article/download/405/303" TargetMode="External"/><Relationship Id="rId83" Type="http://schemas.openxmlformats.org/officeDocument/2006/relationships/image" Target="media/image14.png"/><Relationship Id="rId88" Type="http://schemas.openxmlformats.org/officeDocument/2006/relationships/image" Target="media/image19.png"/><Relationship Id="rId9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ulturajournal.com/submissions/index.php/ijpca/article/download/755/666" TargetMode="External"/><Relationship Id="rId28" Type="http://schemas.openxmlformats.org/officeDocument/2006/relationships/hyperlink" Target="https://www.mdpi.com/2071-1050/16/12/4932" TargetMode="External"/><Relationship Id="rId36" Type="http://schemas.openxmlformats.org/officeDocument/2006/relationships/hyperlink" Target="https://pdfs.semanticscholar.org/83a2/73615c35fa53bca78e9998375ec28bedfa44.pdf" TargetMode="External"/><Relationship Id="rId49" Type="http://schemas.openxmlformats.org/officeDocument/2006/relationships/hyperlink" Target="https://dspace.unitywomenscollege.ac.in/bitstream/123456789/1319/1/BookResearchMethodology.pdf" TargetMode="External"/><Relationship Id="rId57" Type="http://schemas.openxmlformats.org/officeDocument/2006/relationships/hyperlink" Target="http://dspace.vnbrims.org:13000/jspui/bitstream/123456789/4666/1/RESEARCH%20METHODOLOGY%20TOOLS%20AND%20TECHNIQUES.pdf" TargetMode="External"/><Relationship Id="rId10" Type="http://schemas.openxmlformats.org/officeDocument/2006/relationships/image" Target="media/image3.png"/><Relationship Id="rId31" Type="http://schemas.openxmlformats.org/officeDocument/2006/relationships/hyperlink" Target="https://www.sciencedirect.com/science/article/pii/S2666188824000431" TargetMode="External"/><Relationship Id="rId44" Type="http://schemas.openxmlformats.org/officeDocument/2006/relationships/hyperlink" Target="https://doi.org/10.3390/su18031235" TargetMode="External"/><Relationship Id="rId52" Type="http://schemas.openxmlformats.org/officeDocument/2006/relationships/hyperlink" Target="https://bibliotekanauki.pl/articles/2083237.pdf" TargetMode="External"/><Relationship Id="rId60" Type="http://schemas.openxmlformats.org/officeDocument/2006/relationships/hyperlink" Target="https://www.sciencedirect.com/science/article/pii/S2666784325000099" TargetMode="External"/><Relationship Id="rId65" Type="http://schemas.openxmlformats.org/officeDocument/2006/relationships/hyperlink" Target="https://doi.org/10.3390/su17041744" TargetMode="External"/><Relationship Id="rId73" Type="http://schemas.openxmlformats.org/officeDocument/2006/relationships/hyperlink" Target="https://link.springer.com/content/pdf/10.1007/s44187-026-00841-z.pdf" TargetMode="External"/><Relationship Id="rId78" Type="http://schemas.openxmlformats.org/officeDocument/2006/relationships/hyperlink" Target="https://www.tandfonline.com/doi/pdf/10.1080/19476337.2024.2425403" TargetMode="External"/><Relationship Id="rId81" Type="http://schemas.openxmlformats.org/officeDocument/2006/relationships/image" Target="media/image12.png"/><Relationship Id="rId86" Type="http://schemas.openxmlformats.org/officeDocument/2006/relationships/image" Target="media/image17.png"/><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34" Type="http://schemas.openxmlformats.org/officeDocument/2006/relationships/hyperlink" Target="https://www.gajrc.com/media/articles/GAJEB_84_659-669.pdf" TargetMode="External"/><Relationship Id="rId50" Type="http://schemas.openxmlformats.org/officeDocument/2006/relationships/hyperlink" Target="https://www.researchgate.net/profile/Giuseppe-Pedeliento/publication/363548277_To_Pack_Sustainably_or_Not_to_Pack_Sustainably_A_Review_of_the_Relationship_between_Consumer_Behaviour_and_Sustainable_Packaging/links/633fc4499cb4fe44f30b7831/To-Pack-Sustainably-or-Not-to-Pack-Sustainably-A-Review-of-the-Relationship-between-Consumer-Behaviour-and-Sustainable-Packaging.pdf" TargetMode="External"/><Relationship Id="rId55" Type="http://schemas.openxmlformats.org/officeDocument/2006/relationships/hyperlink" Target="https://www.emerald.com/jwam/article-pdf/14/1/46/1708770/jwam-08-2020-0040.pdf" TargetMode="External"/><Relationship Id="rId76" Type="http://schemas.openxmlformats.org/officeDocument/2006/relationships/hyperlink" Target="https://www.sciencedirect.com/science/article/pii/S2949824424000405" TargetMode="External"/><Relationship Id="rId7" Type="http://schemas.openxmlformats.org/officeDocument/2006/relationships/endnotes" Target="endnotes.xml"/><Relationship Id="rId71" Type="http://schemas.openxmlformats.org/officeDocument/2006/relationships/hyperlink" Target="https://publikace.k.utb.cz/bitstream/handle/10563/1012737/Fulltext_1012737.pdf?sequence=1" TargetMode="External"/><Relationship Id="rId92" Type="http://schemas.openxmlformats.org/officeDocument/2006/relationships/image" Target="media/image23.png"/><Relationship Id="rId2" Type="http://schemas.openxmlformats.org/officeDocument/2006/relationships/numbering" Target="numbering.xml"/><Relationship Id="rId29" Type="http://schemas.openxmlformats.org/officeDocument/2006/relationships/hyperlink" Target="https://www.mdpi.com/2071-1050/16/12/4932" TargetMode="External"/><Relationship Id="rId24" Type="http://schemas.openxmlformats.org/officeDocument/2006/relationships/hyperlink" Target="https://doi.org/10.9734/jsrr/2026/v32i23988" TargetMode="External"/><Relationship Id="rId40" Type="http://schemas.openxmlformats.org/officeDocument/2006/relationships/hyperlink" Target="https://www.researchgate.net/profile/M-Islam-22/publication/364810712_Principles_of_Social_Research_Methodology/links/635aba2496e83c26eb5d3b8c/Principles-of-Social-Research-Methodology.pdf" TargetMode="External"/><Relationship Id="rId45" Type="http://schemas.openxmlformats.org/officeDocument/2006/relationships/hyperlink" Target="https://reference-global.com/download/chapter/9789815324068/10.0000/9789815324068-001.pdf" TargetMode="External"/><Relationship Id="rId66" Type="http://schemas.openxmlformats.org/officeDocument/2006/relationships/hyperlink" Target="https://paperpal.com/blog/academic-writing-guides/what-is-research-methodology" TargetMode="External"/><Relationship Id="rId87" Type="http://schemas.openxmlformats.org/officeDocument/2006/relationships/image" Target="media/image18.png"/><Relationship Id="rId61" Type="http://schemas.openxmlformats.org/officeDocument/2006/relationships/hyperlink" Target="https://www.e3s-conferences.org/articles/e3sconf/pdf/2024/06/e3sconf_aisce2023_01001.pdf" TargetMode="External"/><Relationship Id="rId82" Type="http://schemas.openxmlformats.org/officeDocument/2006/relationships/image" Target="media/image13.png"/><Relationship Id="rId19" Type="http://schemas.openxmlformats.org/officeDocument/2006/relationships/hyperlink" Target="https://www.tandfonline.com/doi/pdf/10.1080/23311886.2024.2319375" TargetMode="External"/><Relationship Id="rId14" Type="http://schemas.openxmlformats.org/officeDocument/2006/relationships/image" Target="media/image7.png"/><Relationship Id="rId30" Type="http://schemas.openxmlformats.org/officeDocument/2006/relationships/hyperlink" Target="https://www.researchgate.net/publication/392670427_The_Role_of_Sustainable_Packaging_in_Shaping_Consumer_Loyalty_and_Repurchase_Behavior" TargetMode="External"/><Relationship Id="rId35" Type="http://schemas.openxmlformats.org/officeDocument/2006/relationships/hyperlink" Target="https://pdfs.semanticscholar.org/83a2/73615c35fa53bca78e9998375ec28bedfa44.pdf" TargetMode="External"/><Relationship Id="rId56" Type="http://schemas.openxmlformats.org/officeDocument/2006/relationships/hyperlink" Target="https://ufs.emnuvens.com.br/revtee/article/view/15614" TargetMode="External"/><Relationship Id="rId77" Type="http://schemas.openxmlformats.org/officeDocument/2006/relationships/hyperlink" Target="https://www.sciencedirect.com/science/article/pii/S235255092400304X"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4ics8fAgGY+pRWSkWc/nDlBAqA==">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90</Pages>
  <Words>22607</Words>
  <Characters>128862</Characters>
  <Application>Microsoft Office Word</Application>
  <DocSecurity>0</DocSecurity>
  <Lines>1073</Lines>
  <Paragraphs>302</Paragraphs>
  <ScaleCrop>false</ScaleCrop>
  <Company/>
  <LinksUpToDate>false</LinksUpToDate>
  <CharactersWithSpaces>151167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vijay k</cp:lastModifiedBy>
  <cp:revision>2</cp:revision>
  <dcterms:created xsi:type="dcterms:W3CDTF">2026-09-23T16:42:00Z</dcterms:created>
  <dcterms:modified xsi:type="dcterms:W3CDTF">2026-09-23T16:42:00Z</dcterms:modified>
</cp:coreProperties>
</file>