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0293F" w14:textId="3352AD0A" w:rsidR="002C2C73" w:rsidRPr="00A457F8" w:rsidRDefault="0063649F" w:rsidP="0063649F">
      <w:pPr>
        <w:spacing w:before="100" w:beforeAutospacing="1" w:after="100" w:afterAutospacing="1" w:line="240" w:lineRule="auto"/>
        <w:jc w:val="center"/>
        <w:outlineLvl w:val="0"/>
        <w:rPr>
          <w:rFonts w:ascii="Arial" w:eastAsia="Times New Roman" w:hAnsi="Arial" w:cs="Arial"/>
          <w:b/>
          <w:bCs/>
          <w:kern w:val="36"/>
          <w:sz w:val="52"/>
          <w:szCs w:val="52"/>
          <w14:ligatures w14:val="none"/>
        </w:rPr>
      </w:pPr>
      <w:bookmarkStart w:id="0" w:name="_Toc236059525"/>
      <w:bookmarkStart w:id="1" w:name="_Toc236060111"/>
      <w:bookmarkStart w:id="2" w:name="_Toc236072139"/>
      <w:bookmarkStart w:id="3" w:name="_Toc236074108"/>
      <w:r>
        <w:rPr>
          <w:rFonts w:ascii="Arial" w:eastAsia="Times New Roman" w:hAnsi="Arial" w:cs="Arial"/>
          <w:b/>
          <w:bCs/>
          <w:noProof/>
          <w:kern w:val="36"/>
          <w:sz w:val="52"/>
          <w:szCs w:val="52"/>
        </w:rPr>
        <w:drawing>
          <wp:anchor distT="0" distB="0" distL="114300" distR="114300" simplePos="0" relativeHeight="251659264" behindDoc="0" locked="0" layoutInCell="1" allowOverlap="1" wp14:anchorId="7ED18748" wp14:editId="1E024111">
            <wp:simplePos x="0" y="0"/>
            <wp:positionH relativeFrom="column">
              <wp:posOffset>1151725</wp:posOffset>
            </wp:positionH>
            <wp:positionV relativeFrom="paragraph">
              <wp:posOffset>0</wp:posOffset>
            </wp:positionV>
            <wp:extent cx="3460264" cy="1922213"/>
            <wp:effectExtent l="0" t="0" r="6985" b="1905"/>
            <wp:wrapTopAndBottom/>
            <wp:docPr id="84493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37481" name="Picture 84493748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60999" cy="1922621"/>
                    </a:xfrm>
                    <a:prstGeom prst="rect">
                      <a:avLst/>
                    </a:prstGeom>
                  </pic:spPr>
                </pic:pic>
              </a:graphicData>
            </a:graphic>
            <wp14:sizeRelH relativeFrom="margin">
              <wp14:pctWidth>0</wp14:pctWidth>
            </wp14:sizeRelH>
            <wp14:sizeRelV relativeFrom="margin">
              <wp14:pctHeight>0</wp14:pctHeight>
            </wp14:sizeRelV>
          </wp:anchor>
        </w:drawing>
      </w:r>
      <w:r w:rsidR="002C2C73" w:rsidRPr="00A457F8">
        <w:rPr>
          <w:rFonts w:ascii="Arial" w:eastAsia="Times New Roman" w:hAnsi="Arial" w:cs="Arial"/>
          <w:b/>
          <w:bCs/>
          <w:kern w:val="36"/>
          <w:sz w:val="52"/>
          <w:szCs w:val="52"/>
          <w14:ligatures w14:val="none"/>
        </w:rPr>
        <w:t xml:space="preserve">Analysis of Quality Assurance in </w:t>
      </w:r>
      <w:r w:rsidR="007A6C5A">
        <w:rPr>
          <w:rFonts w:ascii="Arial" w:eastAsia="Times New Roman" w:hAnsi="Arial" w:cs="Arial"/>
          <w:b/>
          <w:bCs/>
          <w:kern w:val="36"/>
          <w:sz w:val="52"/>
          <w:szCs w:val="52"/>
          <w14:ligatures w14:val="none"/>
        </w:rPr>
        <w:t xml:space="preserve">RaDonda </w:t>
      </w:r>
      <w:r w:rsidR="001616A9">
        <w:rPr>
          <w:rFonts w:ascii="Arial" w:eastAsia="Times New Roman" w:hAnsi="Arial" w:cs="Arial"/>
          <w:b/>
          <w:bCs/>
          <w:kern w:val="36"/>
          <w:sz w:val="52"/>
          <w:szCs w:val="52"/>
          <w14:ligatures w14:val="none"/>
        </w:rPr>
        <w:t>Vaught</w:t>
      </w:r>
      <w:r w:rsidR="002C2C73" w:rsidRPr="00A457F8">
        <w:rPr>
          <w:rFonts w:ascii="Arial" w:eastAsia="Times New Roman" w:hAnsi="Arial" w:cs="Arial"/>
          <w:b/>
          <w:bCs/>
          <w:kern w:val="36"/>
          <w:sz w:val="52"/>
          <w:szCs w:val="52"/>
          <w14:ligatures w14:val="none"/>
        </w:rPr>
        <w:t xml:space="preserve"> case</w:t>
      </w:r>
      <w:bookmarkEnd w:id="0"/>
      <w:bookmarkEnd w:id="1"/>
      <w:bookmarkEnd w:id="2"/>
      <w:bookmarkEnd w:id="3"/>
    </w:p>
    <w:p w14:paraId="1AEB3D5E" w14:textId="0A64A730" w:rsidR="002C2C73" w:rsidRPr="00A457F8"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4" w:name="_Toc236059495"/>
      <w:bookmarkStart w:id="5" w:name="_Toc236059526"/>
      <w:bookmarkStart w:id="6" w:name="_Toc236060112"/>
      <w:bookmarkStart w:id="7" w:name="_Toc236060870"/>
      <w:bookmarkStart w:id="8" w:name="_Toc236070653"/>
      <w:bookmarkStart w:id="9" w:name="_Toc236072140"/>
      <w:bookmarkStart w:id="10" w:name="_Toc236074109"/>
      <w:r w:rsidRPr="00A457F8">
        <w:rPr>
          <w:rFonts w:ascii="Arial" w:eastAsia="Times New Roman" w:hAnsi="Arial" w:cs="Arial"/>
          <w:b/>
          <w:bCs/>
          <w:kern w:val="36"/>
          <w:sz w:val="22"/>
          <w:szCs w:val="22"/>
          <w14:ligatures w14:val="none"/>
        </w:rPr>
        <w:t xml:space="preserve">Student name: </w:t>
      </w:r>
      <w:bookmarkEnd w:id="4"/>
      <w:bookmarkEnd w:id="5"/>
      <w:bookmarkEnd w:id="6"/>
      <w:bookmarkEnd w:id="7"/>
      <w:bookmarkEnd w:id="8"/>
      <w:r w:rsidR="000D34B4">
        <w:rPr>
          <w:rFonts w:ascii="Arial" w:eastAsia="Times New Roman" w:hAnsi="Arial" w:cs="Arial"/>
          <w:b/>
          <w:bCs/>
          <w:kern w:val="36"/>
          <w:sz w:val="22"/>
          <w:szCs w:val="22"/>
          <w14:ligatures w14:val="none"/>
        </w:rPr>
        <w:t>Jaimin Limbachiya</w:t>
      </w:r>
      <w:bookmarkEnd w:id="9"/>
      <w:bookmarkEnd w:id="10"/>
    </w:p>
    <w:p w14:paraId="4D9DECB4" w14:textId="1F28603F" w:rsidR="002C2C73" w:rsidRPr="00A457F8"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1" w:name="_Toc236059496"/>
      <w:bookmarkStart w:id="12" w:name="_Toc236059527"/>
      <w:bookmarkStart w:id="13" w:name="_Toc236060113"/>
      <w:bookmarkStart w:id="14" w:name="_Toc236060871"/>
      <w:bookmarkStart w:id="15" w:name="_Toc236070654"/>
      <w:bookmarkStart w:id="16" w:name="_Toc236072141"/>
      <w:bookmarkStart w:id="17" w:name="_Toc236074110"/>
      <w:r w:rsidRPr="00A457F8">
        <w:rPr>
          <w:rFonts w:ascii="Arial" w:eastAsia="Times New Roman" w:hAnsi="Arial" w:cs="Arial"/>
          <w:b/>
          <w:bCs/>
          <w:kern w:val="36"/>
          <w:sz w:val="22"/>
          <w:szCs w:val="22"/>
          <w14:ligatures w14:val="none"/>
        </w:rPr>
        <w:t>Student id: 252</w:t>
      </w:r>
      <w:bookmarkEnd w:id="11"/>
      <w:bookmarkEnd w:id="12"/>
      <w:bookmarkEnd w:id="13"/>
      <w:bookmarkEnd w:id="14"/>
      <w:bookmarkEnd w:id="15"/>
      <w:r w:rsidR="007A6C5A">
        <w:rPr>
          <w:rFonts w:ascii="Arial" w:eastAsia="Times New Roman" w:hAnsi="Arial" w:cs="Arial"/>
          <w:b/>
          <w:bCs/>
          <w:kern w:val="36"/>
          <w:sz w:val="22"/>
          <w:szCs w:val="22"/>
          <w14:ligatures w14:val="none"/>
        </w:rPr>
        <w:t>7056</w:t>
      </w:r>
      <w:bookmarkEnd w:id="16"/>
      <w:bookmarkEnd w:id="17"/>
    </w:p>
    <w:p w14:paraId="3E8EA004" w14:textId="77777777" w:rsidR="002C2C73" w:rsidRPr="00A457F8"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8" w:name="_Toc236059497"/>
      <w:bookmarkStart w:id="19" w:name="_Toc236059528"/>
      <w:bookmarkStart w:id="20" w:name="_Toc236060114"/>
      <w:bookmarkStart w:id="21" w:name="_Toc236060872"/>
      <w:bookmarkStart w:id="22" w:name="_Toc236070655"/>
      <w:bookmarkStart w:id="23" w:name="_Toc236072142"/>
      <w:bookmarkStart w:id="24" w:name="_Toc236074111"/>
      <w:r w:rsidRPr="00A457F8">
        <w:rPr>
          <w:rFonts w:ascii="Arial" w:eastAsia="Times New Roman" w:hAnsi="Arial" w:cs="Arial"/>
          <w:b/>
          <w:bCs/>
          <w:kern w:val="36"/>
          <w:sz w:val="22"/>
          <w:szCs w:val="22"/>
          <w14:ligatures w14:val="none"/>
        </w:rPr>
        <w:t>Module: Quality Assurance and Service and Improvement</w:t>
      </w:r>
      <w:bookmarkEnd w:id="18"/>
      <w:bookmarkEnd w:id="19"/>
      <w:bookmarkEnd w:id="20"/>
      <w:bookmarkEnd w:id="21"/>
      <w:bookmarkEnd w:id="22"/>
      <w:bookmarkEnd w:id="23"/>
      <w:bookmarkEnd w:id="24"/>
    </w:p>
    <w:p w14:paraId="009D7F24" w14:textId="77777777" w:rsidR="002C2C73" w:rsidRPr="00A457F8"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25" w:name="_Toc236059498"/>
      <w:bookmarkStart w:id="26" w:name="_Toc236059529"/>
      <w:bookmarkStart w:id="27" w:name="_Toc236060115"/>
      <w:bookmarkStart w:id="28" w:name="_Toc236060873"/>
      <w:bookmarkStart w:id="29" w:name="_Toc236070656"/>
      <w:bookmarkStart w:id="30" w:name="_Toc236072143"/>
      <w:bookmarkStart w:id="31" w:name="_Toc236074112"/>
      <w:r w:rsidRPr="00A457F8">
        <w:rPr>
          <w:rFonts w:ascii="Arial" w:eastAsia="Times New Roman" w:hAnsi="Arial" w:cs="Arial"/>
          <w:b/>
          <w:bCs/>
          <w:kern w:val="36"/>
          <w:sz w:val="22"/>
          <w:szCs w:val="22"/>
          <w14:ligatures w14:val="none"/>
        </w:rPr>
        <w:t>Module code: LCHS7006</w:t>
      </w:r>
      <w:bookmarkEnd w:id="25"/>
      <w:bookmarkEnd w:id="26"/>
      <w:bookmarkEnd w:id="27"/>
      <w:bookmarkEnd w:id="28"/>
      <w:bookmarkEnd w:id="29"/>
      <w:bookmarkEnd w:id="30"/>
      <w:bookmarkEnd w:id="31"/>
    </w:p>
    <w:p w14:paraId="352338B5" w14:textId="773273FD" w:rsidR="002C2C73" w:rsidRPr="00A457F8"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32" w:name="_Toc236059499"/>
      <w:bookmarkStart w:id="33" w:name="_Toc236059530"/>
      <w:bookmarkStart w:id="34" w:name="_Toc236060116"/>
      <w:bookmarkStart w:id="35" w:name="_Toc236060874"/>
      <w:bookmarkStart w:id="36" w:name="_Toc236070657"/>
      <w:bookmarkStart w:id="37" w:name="_Toc236072144"/>
      <w:bookmarkStart w:id="38" w:name="_Toc236074113"/>
      <w:r w:rsidRPr="00A457F8">
        <w:rPr>
          <w:rFonts w:ascii="Arial" w:eastAsia="Times New Roman" w:hAnsi="Arial" w:cs="Arial"/>
          <w:b/>
          <w:bCs/>
          <w:kern w:val="36"/>
          <w:sz w:val="22"/>
          <w:szCs w:val="22"/>
          <w14:ligatures w14:val="none"/>
        </w:rPr>
        <w:t xml:space="preserve">Programme: MSc Public Health </w:t>
      </w:r>
      <w:r w:rsidR="00CB7356">
        <w:rPr>
          <w:rFonts w:ascii="Arial" w:eastAsia="Times New Roman" w:hAnsi="Arial" w:cs="Arial"/>
          <w:b/>
          <w:bCs/>
          <w:kern w:val="36"/>
          <w:sz w:val="22"/>
          <w:szCs w:val="22"/>
          <w14:ligatures w14:val="none"/>
        </w:rPr>
        <w:t>a</w:t>
      </w:r>
      <w:r w:rsidRPr="00A457F8">
        <w:rPr>
          <w:rFonts w:ascii="Arial" w:eastAsia="Times New Roman" w:hAnsi="Arial" w:cs="Arial"/>
          <w:b/>
          <w:bCs/>
          <w:kern w:val="36"/>
          <w:sz w:val="22"/>
          <w:szCs w:val="22"/>
          <w14:ligatures w14:val="none"/>
        </w:rPr>
        <w:t>n</w:t>
      </w:r>
      <w:r w:rsidR="00CB7356">
        <w:rPr>
          <w:rFonts w:ascii="Arial" w:eastAsia="Times New Roman" w:hAnsi="Arial" w:cs="Arial"/>
          <w:b/>
          <w:bCs/>
          <w:kern w:val="36"/>
          <w:sz w:val="22"/>
          <w:szCs w:val="22"/>
          <w14:ligatures w14:val="none"/>
        </w:rPr>
        <w:t>d</w:t>
      </w:r>
      <w:r w:rsidRPr="00A457F8">
        <w:rPr>
          <w:rFonts w:ascii="Arial" w:eastAsia="Times New Roman" w:hAnsi="Arial" w:cs="Arial"/>
          <w:b/>
          <w:bCs/>
          <w:kern w:val="36"/>
          <w:sz w:val="22"/>
          <w:szCs w:val="22"/>
          <w14:ligatures w14:val="none"/>
        </w:rPr>
        <w:t xml:space="preserve"> Social Care in Practice</w:t>
      </w:r>
      <w:bookmarkEnd w:id="32"/>
      <w:bookmarkEnd w:id="33"/>
      <w:bookmarkEnd w:id="34"/>
      <w:bookmarkEnd w:id="35"/>
      <w:bookmarkEnd w:id="36"/>
      <w:bookmarkEnd w:id="37"/>
      <w:bookmarkEnd w:id="38"/>
    </w:p>
    <w:p w14:paraId="23647349" w14:textId="77777777" w:rsidR="002C2C73" w:rsidRDefault="002C2C73"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1DA038A1"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18A1AC1F"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0CAE2E99"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232263A5"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5E13B65C"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1C3E3F7B" w14:textId="77777777" w:rsidR="00376D7B"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38E1AFC5" w14:textId="77777777" w:rsidR="00376D7B" w:rsidRPr="00A457F8" w:rsidRDefault="00376D7B"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4C842499" w14:textId="77777777" w:rsidR="007F4A92" w:rsidRPr="00A457F8" w:rsidRDefault="007F4A92"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45A433BD" w14:textId="77777777" w:rsidR="007F4A92" w:rsidRPr="00A457F8" w:rsidRDefault="007F4A92"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745CC34A" w14:textId="77777777" w:rsidR="007F4A92" w:rsidRPr="00A457F8" w:rsidRDefault="007F4A92"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p w14:paraId="57AE25B6" w14:textId="77777777" w:rsidR="007F4A92" w:rsidRPr="00A457F8" w:rsidRDefault="007F4A92" w:rsidP="002C2C73">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p>
    <w:sdt>
      <w:sdtPr>
        <w:rPr>
          <w:rFonts w:ascii="Arial" w:eastAsiaTheme="minorEastAsia" w:hAnsi="Arial" w:cs="Arial"/>
          <w:color w:val="auto"/>
          <w:kern w:val="2"/>
          <w:sz w:val="24"/>
          <w:szCs w:val="24"/>
          <w:lang w:val="en-GB" w:eastAsia="en-GB"/>
          <w14:ligatures w14:val="standardContextual"/>
        </w:rPr>
        <w:id w:val="807602770"/>
        <w:docPartObj>
          <w:docPartGallery w:val="Table of Contents"/>
          <w:docPartUnique/>
        </w:docPartObj>
      </w:sdtPr>
      <w:sdtEndPr>
        <w:rPr>
          <w:b/>
          <w:bCs/>
          <w:noProof/>
        </w:rPr>
      </w:sdtEndPr>
      <w:sdtContent>
        <w:p w14:paraId="7DA1DEE3" w14:textId="0FCF202C" w:rsidR="002C2C73" w:rsidRDefault="002C2C73">
          <w:pPr>
            <w:pStyle w:val="TOCHeading"/>
            <w:rPr>
              <w:rFonts w:ascii="Arial" w:hAnsi="Arial" w:cs="Arial"/>
            </w:rPr>
          </w:pPr>
          <w:r w:rsidRPr="00A457F8">
            <w:rPr>
              <w:rFonts w:ascii="Arial" w:hAnsi="Arial" w:cs="Arial"/>
            </w:rPr>
            <w:t>Contents</w:t>
          </w:r>
        </w:p>
        <w:p w14:paraId="1D4802B6" w14:textId="77777777" w:rsidR="00376D7B" w:rsidRPr="00376D7B" w:rsidRDefault="00376D7B" w:rsidP="00376D7B">
          <w:pPr>
            <w:rPr>
              <w:lang w:val="en-US" w:eastAsia="en-US"/>
            </w:rPr>
          </w:pPr>
        </w:p>
        <w:p w14:paraId="1DCA5D69" w14:textId="1F4100E6" w:rsidR="00291592" w:rsidRDefault="002C2C73">
          <w:pPr>
            <w:pStyle w:val="TOC1"/>
            <w:tabs>
              <w:tab w:val="right" w:leader="dot" w:pos="9016"/>
            </w:tabs>
            <w:rPr>
              <w:noProof/>
              <w:lang w:val="en-IN" w:eastAsia="en-IN"/>
            </w:rPr>
          </w:pPr>
          <w:r w:rsidRPr="00A457F8">
            <w:rPr>
              <w:rFonts w:ascii="Arial" w:hAnsi="Arial" w:cs="Arial"/>
            </w:rPr>
            <w:fldChar w:fldCharType="begin"/>
          </w:r>
          <w:r w:rsidRPr="00A457F8">
            <w:rPr>
              <w:rFonts w:ascii="Arial" w:hAnsi="Arial" w:cs="Arial"/>
            </w:rPr>
            <w:instrText xml:space="preserve"> TOC \o "1-3" \h \z \u </w:instrText>
          </w:r>
          <w:r w:rsidRPr="00A457F8">
            <w:rPr>
              <w:rFonts w:ascii="Arial" w:hAnsi="Arial" w:cs="Arial"/>
            </w:rPr>
            <w:fldChar w:fldCharType="separate"/>
          </w:r>
          <w:hyperlink w:anchor="_Toc236074108" w:history="1">
            <w:r w:rsidR="00291592" w:rsidRPr="00CD6101">
              <w:rPr>
                <w:rStyle w:val="Hyperlink"/>
                <w:rFonts w:ascii="Arial" w:eastAsia="Times New Roman" w:hAnsi="Arial" w:cs="Arial"/>
                <w:b/>
                <w:bCs/>
                <w:noProof/>
                <w:kern w:val="36"/>
                <w14:ligatures w14:val="none"/>
              </w:rPr>
              <w:t>Analysis of Quality Assurance in RaDonda Vaught case</w:t>
            </w:r>
            <w:r w:rsidR="00291592">
              <w:rPr>
                <w:noProof/>
                <w:webHidden/>
              </w:rPr>
              <w:tab/>
            </w:r>
            <w:r w:rsidR="00291592">
              <w:rPr>
                <w:noProof/>
                <w:webHidden/>
              </w:rPr>
              <w:fldChar w:fldCharType="begin"/>
            </w:r>
            <w:r w:rsidR="00291592">
              <w:rPr>
                <w:noProof/>
                <w:webHidden/>
              </w:rPr>
              <w:instrText xml:space="preserve"> PAGEREF _Toc236074108 \h </w:instrText>
            </w:r>
            <w:r w:rsidR="00291592">
              <w:rPr>
                <w:noProof/>
                <w:webHidden/>
              </w:rPr>
            </w:r>
            <w:r w:rsidR="00291592">
              <w:rPr>
                <w:noProof/>
                <w:webHidden/>
              </w:rPr>
              <w:fldChar w:fldCharType="separate"/>
            </w:r>
            <w:r w:rsidR="00291592">
              <w:rPr>
                <w:noProof/>
                <w:webHidden/>
              </w:rPr>
              <w:t>1</w:t>
            </w:r>
            <w:r w:rsidR="00291592">
              <w:rPr>
                <w:noProof/>
                <w:webHidden/>
              </w:rPr>
              <w:fldChar w:fldCharType="end"/>
            </w:r>
          </w:hyperlink>
        </w:p>
        <w:p w14:paraId="04D7DBDE" w14:textId="555DA05B" w:rsidR="00291592" w:rsidRDefault="00291592">
          <w:pPr>
            <w:pStyle w:val="TOC1"/>
            <w:tabs>
              <w:tab w:val="right" w:leader="dot" w:pos="9016"/>
            </w:tabs>
            <w:rPr>
              <w:noProof/>
              <w:lang w:val="en-IN" w:eastAsia="en-IN"/>
            </w:rPr>
          </w:pPr>
          <w:hyperlink w:anchor="_Toc236074114" w:history="1">
            <w:r w:rsidRPr="00CD6101">
              <w:rPr>
                <w:rStyle w:val="Hyperlink"/>
                <w:rFonts w:ascii="Arial" w:eastAsia="Times New Roman" w:hAnsi="Arial" w:cs="Arial"/>
                <w:noProof/>
              </w:rPr>
              <w:t>1. Introduction</w:t>
            </w:r>
            <w:r>
              <w:rPr>
                <w:noProof/>
                <w:webHidden/>
              </w:rPr>
              <w:tab/>
            </w:r>
            <w:r>
              <w:rPr>
                <w:noProof/>
                <w:webHidden/>
              </w:rPr>
              <w:fldChar w:fldCharType="begin"/>
            </w:r>
            <w:r>
              <w:rPr>
                <w:noProof/>
                <w:webHidden/>
              </w:rPr>
              <w:instrText xml:space="preserve"> PAGEREF _Toc236074114 \h </w:instrText>
            </w:r>
            <w:r>
              <w:rPr>
                <w:noProof/>
                <w:webHidden/>
              </w:rPr>
            </w:r>
            <w:r>
              <w:rPr>
                <w:noProof/>
                <w:webHidden/>
              </w:rPr>
              <w:fldChar w:fldCharType="separate"/>
            </w:r>
            <w:r>
              <w:rPr>
                <w:noProof/>
                <w:webHidden/>
              </w:rPr>
              <w:t>3</w:t>
            </w:r>
            <w:r>
              <w:rPr>
                <w:noProof/>
                <w:webHidden/>
              </w:rPr>
              <w:fldChar w:fldCharType="end"/>
            </w:r>
          </w:hyperlink>
        </w:p>
        <w:p w14:paraId="681A7B35" w14:textId="6BB008FF" w:rsidR="00291592" w:rsidRDefault="00291592">
          <w:pPr>
            <w:pStyle w:val="TOC2"/>
            <w:tabs>
              <w:tab w:val="right" w:leader="dot" w:pos="9016"/>
            </w:tabs>
            <w:rPr>
              <w:noProof/>
              <w:lang w:val="en-IN" w:eastAsia="en-IN"/>
            </w:rPr>
          </w:pPr>
          <w:hyperlink w:anchor="_Toc236074115" w:history="1">
            <w:r w:rsidRPr="00CD6101">
              <w:rPr>
                <w:rStyle w:val="Hyperlink"/>
                <w:rFonts w:ascii="Arial" w:eastAsia="Times New Roman" w:hAnsi="Arial" w:cs="Arial"/>
                <w:noProof/>
              </w:rPr>
              <w:t>1.1 Brief Description of the RaDonda Vaught Case</w:t>
            </w:r>
            <w:r>
              <w:rPr>
                <w:noProof/>
                <w:webHidden/>
              </w:rPr>
              <w:tab/>
            </w:r>
            <w:r>
              <w:rPr>
                <w:noProof/>
                <w:webHidden/>
              </w:rPr>
              <w:fldChar w:fldCharType="begin"/>
            </w:r>
            <w:r>
              <w:rPr>
                <w:noProof/>
                <w:webHidden/>
              </w:rPr>
              <w:instrText xml:space="preserve"> PAGEREF _Toc236074115 \h </w:instrText>
            </w:r>
            <w:r>
              <w:rPr>
                <w:noProof/>
                <w:webHidden/>
              </w:rPr>
            </w:r>
            <w:r>
              <w:rPr>
                <w:noProof/>
                <w:webHidden/>
              </w:rPr>
              <w:fldChar w:fldCharType="separate"/>
            </w:r>
            <w:r>
              <w:rPr>
                <w:noProof/>
                <w:webHidden/>
              </w:rPr>
              <w:t>3</w:t>
            </w:r>
            <w:r>
              <w:rPr>
                <w:noProof/>
                <w:webHidden/>
              </w:rPr>
              <w:fldChar w:fldCharType="end"/>
            </w:r>
          </w:hyperlink>
        </w:p>
        <w:p w14:paraId="5AF59CDC" w14:textId="0D9A2184" w:rsidR="00291592" w:rsidRDefault="00291592">
          <w:pPr>
            <w:pStyle w:val="TOC1"/>
            <w:tabs>
              <w:tab w:val="right" w:leader="dot" w:pos="9016"/>
            </w:tabs>
            <w:rPr>
              <w:noProof/>
              <w:lang w:val="en-IN" w:eastAsia="en-IN"/>
            </w:rPr>
          </w:pPr>
          <w:hyperlink w:anchor="_Toc236074116" w:history="1">
            <w:r w:rsidRPr="00CD6101">
              <w:rPr>
                <w:rStyle w:val="Hyperlink"/>
                <w:rFonts w:ascii="Arial" w:eastAsia="Times New Roman" w:hAnsi="Arial" w:cs="Arial"/>
                <w:noProof/>
              </w:rPr>
              <w:t>2. Main Body</w:t>
            </w:r>
            <w:r>
              <w:rPr>
                <w:noProof/>
                <w:webHidden/>
              </w:rPr>
              <w:tab/>
            </w:r>
            <w:r>
              <w:rPr>
                <w:noProof/>
                <w:webHidden/>
              </w:rPr>
              <w:fldChar w:fldCharType="begin"/>
            </w:r>
            <w:r>
              <w:rPr>
                <w:noProof/>
                <w:webHidden/>
              </w:rPr>
              <w:instrText xml:space="preserve"> PAGEREF _Toc236074116 \h </w:instrText>
            </w:r>
            <w:r>
              <w:rPr>
                <w:noProof/>
                <w:webHidden/>
              </w:rPr>
            </w:r>
            <w:r>
              <w:rPr>
                <w:noProof/>
                <w:webHidden/>
              </w:rPr>
              <w:fldChar w:fldCharType="separate"/>
            </w:r>
            <w:r>
              <w:rPr>
                <w:noProof/>
                <w:webHidden/>
              </w:rPr>
              <w:t>3</w:t>
            </w:r>
            <w:r>
              <w:rPr>
                <w:noProof/>
                <w:webHidden/>
              </w:rPr>
              <w:fldChar w:fldCharType="end"/>
            </w:r>
          </w:hyperlink>
        </w:p>
        <w:p w14:paraId="1B8F8063" w14:textId="61F6E9D3" w:rsidR="00291592" w:rsidRDefault="00291592">
          <w:pPr>
            <w:pStyle w:val="TOC2"/>
            <w:tabs>
              <w:tab w:val="right" w:leader="dot" w:pos="9016"/>
            </w:tabs>
            <w:rPr>
              <w:noProof/>
              <w:lang w:val="en-IN" w:eastAsia="en-IN"/>
            </w:rPr>
          </w:pPr>
          <w:hyperlink w:anchor="_Toc236074117" w:history="1">
            <w:r w:rsidRPr="00CD6101">
              <w:rPr>
                <w:rStyle w:val="Hyperlink"/>
                <w:rFonts w:ascii="Arial" w:eastAsia="Times New Roman" w:hAnsi="Arial" w:cs="Arial"/>
                <w:noProof/>
              </w:rPr>
              <w:t>2.1 Case Study Analysis: The RaDonda Vaught Medication Error</w:t>
            </w:r>
            <w:r>
              <w:rPr>
                <w:noProof/>
                <w:webHidden/>
              </w:rPr>
              <w:tab/>
            </w:r>
            <w:r>
              <w:rPr>
                <w:noProof/>
                <w:webHidden/>
              </w:rPr>
              <w:fldChar w:fldCharType="begin"/>
            </w:r>
            <w:r>
              <w:rPr>
                <w:noProof/>
                <w:webHidden/>
              </w:rPr>
              <w:instrText xml:space="preserve"> PAGEREF _Toc236074117 \h </w:instrText>
            </w:r>
            <w:r>
              <w:rPr>
                <w:noProof/>
                <w:webHidden/>
              </w:rPr>
            </w:r>
            <w:r>
              <w:rPr>
                <w:noProof/>
                <w:webHidden/>
              </w:rPr>
              <w:fldChar w:fldCharType="separate"/>
            </w:r>
            <w:r>
              <w:rPr>
                <w:noProof/>
                <w:webHidden/>
              </w:rPr>
              <w:t>3</w:t>
            </w:r>
            <w:r>
              <w:rPr>
                <w:noProof/>
                <w:webHidden/>
              </w:rPr>
              <w:fldChar w:fldCharType="end"/>
            </w:r>
          </w:hyperlink>
        </w:p>
        <w:p w14:paraId="6B3D0EFC" w14:textId="251DC137" w:rsidR="00291592" w:rsidRDefault="00291592">
          <w:pPr>
            <w:pStyle w:val="TOC2"/>
            <w:tabs>
              <w:tab w:val="right" w:leader="dot" w:pos="9016"/>
            </w:tabs>
            <w:rPr>
              <w:noProof/>
              <w:lang w:val="en-IN" w:eastAsia="en-IN"/>
            </w:rPr>
          </w:pPr>
          <w:hyperlink w:anchor="_Toc236074118" w:history="1">
            <w:r w:rsidRPr="00CD6101">
              <w:rPr>
                <w:rStyle w:val="Hyperlink"/>
                <w:rFonts w:ascii="Arial" w:eastAsia="Times New Roman" w:hAnsi="Arial" w:cs="Arial"/>
                <w:noProof/>
              </w:rPr>
              <w:t>2.2 Application of the Donabedian Model</w:t>
            </w:r>
            <w:r>
              <w:rPr>
                <w:noProof/>
                <w:webHidden/>
              </w:rPr>
              <w:tab/>
            </w:r>
            <w:r>
              <w:rPr>
                <w:noProof/>
                <w:webHidden/>
              </w:rPr>
              <w:fldChar w:fldCharType="begin"/>
            </w:r>
            <w:r>
              <w:rPr>
                <w:noProof/>
                <w:webHidden/>
              </w:rPr>
              <w:instrText xml:space="preserve"> PAGEREF _Toc236074118 \h </w:instrText>
            </w:r>
            <w:r>
              <w:rPr>
                <w:noProof/>
                <w:webHidden/>
              </w:rPr>
            </w:r>
            <w:r>
              <w:rPr>
                <w:noProof/>
                <w:webHidden/>
              </w:rPr>
              <w:fldChar w:fldCharType="separate"/>
            </w:r>
            <w:r>
              <w:rPr>
                <w:noProof/>
                <w:webHidden/>
              </w:rPr>
              <w:t>4</w:t>
            </w:r>
            <w:r>
              <w:rPr>
                <w:noProof/>
                <w:webHidden/>
              </w:rPr>
              <w:fldChar w:fldCharType="end"/>
            </w:r>
          </w:hyperlink>
        </w:p>
        <w:p w14:paraId="2074BC28" w14:textId="2CE2BBEE" w:rsidR="00291592" w:rsidRDefault="00291592">
          <w:pPr>
            <w:pStyle w:val="TOC3"/>
            <w:tabs>
              <w:tab w:val="right" w:leader="dot" w:pos="9016"/>
            </w:tabs>
            <w:rPr>
              <w:noProof/>
              <w:lang w:val="en-IN" w:eastAsia="en-IN"/>
            </w:rPr>
          </w:pPr>
          <w:hyperlink w:anchor="_Toc236074119" w:history="1">
            <w:r w:rsidRPr="00CD6101">
              <w:rPr>
                <w:rStyle w:val="Hyperlink"/>
                <w:rFonts w:ascii="Arial" w:eastAsia="Times New Roman" w:hAnsi="Arial" w:cs="Arial"/>
                <w:b/>
                <w:bCs/>
                <w:noProof/>
                <w:kern w:val="0"/>
                <w14:ligatures w14:val="none"/>
              </w:rPr>
              <w:t>Structure</w:t>
            </w:r>
            <w:r>
              <w:rPr>
                <w:noProof/>
                <w:webHidden/>
              </w:rPr>
              <w:tab/>
            </w:r>
            <w:r>
              <w:rPr>
                <w:noProof/>
                <w:webHidden/>
              </w:rPr>
              <w:fldChar w:fldCharType="begin"/>
            </w:r>
            <w:r>
              <w:rPr>
                <w:noProof/>
                <w:webHidden/>
              </w:rPr>
              <w:instrText xml:space="preserve"> PAGEREF _Toc236074119 \h </w:instrText>
            </w:r>
            <w:r>
              <w:rPr>
                <w:noProof/>
                <w:webHidden/>
              </w:rPr>
            </w:r>
            <w:r>
              <w:rPr>
                <w:noProof/>
                <w:webHidden/>
              </w:rPr>
              <w:fldChar w:fldCharType="separate"/>
            </w:r>
            <w:r>
              <w:rPr>
                <w:noProof/>
                <w:webHidden/>
              </w:rPr>
              <w:t>4</w:t>
            </w:r>
            <w:r>
              <w:rPr>
                <w:noProof/>
                <w:webHidden/>
              </w:rPr>
              <w:fldChar w:fldCharType="end"/>
            </w:r>
          </w:hyperlink>
        </w:p>
        <w:p w14:paraId="3962FF82" w14:textId="5408894E" w:rsidR="00291592" w:rsidRDefault="00291592">
          <w:pPr>
            <w:pStyle w:val="TOC3"/>
            <w:tabs>
              <w:tab w:val="right" w:leader="dot" w:pos="9016"/>
            </w:tabs>
            <w:rPr>
              <w:noProof/>
              <w:lang w:val="en-IN" w:eastAsia="en-IN"/>
            </w:rPr>
          </w:pPr>
          <w:hyperlink w:anchor="_Toc236074120" w:history="1">
            <w:r w:rsidRPr="00CD6101">
              <w:rPr>
                <w:rStyle w:val="Hyperlink"/>
                <w:rFonts w:ascii="Arial" w:eastAsia="Times New Roman" w:hAnsi="Arial" w:cs="Arial"/>
                <w:b/>
                <w:bCs/>
                <w:noProof/>
                <w:kern w:val="0"/>
                <w14:ligatures w14:val="none"/>
              </w:rPr>
              <w:t>Process</w:t>
            </w:r>
            <w:r>
              <w:rPr>
                <w:noProof/>
                <w:webHidden/>
              </w:rPr>
              <w:tab/>
            </w:r>
            <w:r>
              <w:rPr>
                <w:noProof/>
                <w:webHidden/>
              </w:rPr>
              <w:fldChar w:fldCharType="begin"/>
            </w:r>
            <w:r>
              <w:rPr>
                <w:noProof/>
                <w:webHidden/>
              </w:rPr>
              <w:instrText xml:space="preserve"> PAGEREF _Toc236074120 \h </w:instrText>
            </w:r>
            <w:r>
              <w:rPr>
                <w:noProof/>
                <w:webHidden/>
              </w:rPr>
            </w:r>
            <w:r>
              <w:rPr>
                <w:noProof/>
                <w:webHidden/>
              </w:rPr>
              <w:fldChar w:fldCharType="separate"/>
            </w:r>
            <w:r>
              <w:rPr>
                <w:noProof/>
                <w:webHidden/>
              </w:rPr>
              <w:t>4</w:t>
            </w:r>
            <w:r>
              <w:rPr>
                <w:noProof/>
                <w:webHidden/>
              </w:rPr>
              <w:fldChar w:fldCharType="end"/>
            </w:r>
          </w:hyperlink>
        </w:p>
        <w:p w14:paraId="25F0E1D0" w14:textId="15E957C8" w:rsidR="00291592" w:rsidRDefault="00291592">
          <w:pPr>
            <w:pStyle w:val="TOC3"/>
            <w:tabs>
              <w:tab w:val="right" w:leader="dot" w:pos="9016"/>
            </w:tabs>
            <w:rPr>
              <w:noProof/>
              <w:lang w:val="en-IN" w:eastAsia="en-IN"/>
            </w:rPr>
          </w:pPr>
          <w:hyperlink w:anchor="_Toc236074121" w:history="1">
            <w:r w:rsidRPr="00CD6101">
              <w:rPr>
                <w:rStyle w:val="Hyperlink"/>
                <w:rFonts w:ascii="Arial" w:eastAsia="Times New Roman" w:hAnsi="Arial" w:cs="Arial"/>
                <w:b/>
                <w:bCs/>
                <w:noProof/>
                <w:kern w:val="0"/>
                <w14:ligatures w14:val="none"/>
              </w:rPr>
              <w:t>Outcomes</w:t>
            </w:r>
            <w:r>
              <w:rPr>
                <w:noProof/>
                <w:webHidden/>
              </w:rPr>
              <w:tab/>
            </w:r>
            <w:r>
              <w:rPr>
                <w:noProof/>
                <w:webHidden/>
              </w:rPr>
              <w:fldChar w:fldCharType="begin"/>
            </w:r>
            <w:r>
              <w:rPr>
                <w:noProof/>
                <w:webHidden/>
              </w:rPr>
              <w:instrText xml:space="preserve"> PAGEREF _Toc236074121 \h </w:instrText>
            </w:r>
            <w:r>
              <w:rPr>
                <w:noProof/>
                <w:webHidden/>
              </w:rPr>
            </w:r>
            <w:r>
              <w:rPr>
                <w:noProof/>
                <w:webHidden/>
              </w:rPr>
              <w:fldChar w:fldCharType="separate"/>
            </w:r>
            <w:r>
              <w:rPr>
                <w:noProof/>
                <w:webHidden/>
              </w:rPr>
              <w:t>4</w:t>
            </w:r>
            <w:r>
              <w:rPr>
                <w:noProof/>
                <w:webHidden/>
              </w:rPr>
              <w:fldChar w:fldCharType="end"/>
            </w:r>
          </w:hyperlink>
        </w:p>
        <w:p w14:paraId="2513BC42" w14:textId="318AB506" w:rsidR="00291592" w:rsidRDefault="00291592">
          <w:pPr>
            <w:pStyle w:val="TOC2"/>
            <w:tabs>
              <w:tab w:val="right" w:leader="dot" w:pos="9016"/>
            </w:tabs>
            <w:rPr>
              <w:noProof/>
              <w:lang w:val="en-IN" w:eastAsia="en-IN"/>
            </w:rPr>
          </w:pPr>
          <w:hyperlink w:anchor="_Toc236074122" w:history="1">
            <w:r w:rsidRPr="00CD6101">
              <w:rPr>
                <w:rStyle w:val="Hyperlink"/>
                <w:rFonts w:ascii="Arial" w:eastAsia="Times New Roman" w:hAnsi="Arial" w:cs="Arial"/>
                <w:noProof/>
              </w:rPr>
              <w:t>2.3 Fishbone Diagram Analysis</w:t>
            </w:r>
            <w:r>
              <w:rPr>
                <w:noProof/>
                <w:webHidden/>
              </w:rPr>
              <w:tab/>
            </w:r>
            <w:r>
              <w:rPr>
                <w:noProof/>
                <w:webHidden/>
              </w:rPr>
              <w:fldChar w:fldCharType="begin"/>
            </w:r>
            <w:r>
              <w:rPr>
                <w:noProof/>
                <w:webHidden/>
              </w:rPr>
              <w:instrText xml:space="preserve"> PAGEREF _Toc236074122 \h </w:instrText>
            </w:r>
            <w:r>
              <w:rPr>
                <w:noProof/>
                <w:webHidden/>
              </w:rPr>
            </w:r>
            <w:r>
              <w:rPr>
                <w:noProof/>
                <w:webHidden/>
              </w:rPr>
              <w:fldChar w:fldCharType="separate"/>
            </w:r>
            <w:r>
              <w:rPr>
                <w:noProof/>
                <w:webHidden/>
              </w:rPr>
              <w:t>5</w:t>
            </w:r>
            <w:r>
              <w:rPr>
                <w:noProof/>
                <w:webHidden/>
              </w:rPr>
              <w:fldChar w:fldCharType="end"/>
            </w:r>
          </w:hyperlink>
        </w:p>
        <w:p w14:paraId="012A05B3" w14:textId="52042F43" w:rsidR="00291592" w:rsidRDefault="00291592">
          <w:pPr>
            <w:pStyle w:val="TOC2"/>
            <w:tabs>
              <w:tab w:val="right" w:leader="dot" w:pos="9016"/>
            </w:tabs>
            <w:rPr>
              <w:noProof/>
              <w:lang w:val="en-IN" w:eastAsia="en-IN"/>
            </w:rPr>
          </w:pPr>
          <w:hyperlink w:anchor="_Toc236074123" w:history="1">
            <w:r w:rsidRPr="00CD6101">
              <w:rPr>
                <w:rStyle w:val="Hyperlink"/>
                <w:rFonts w:ascii="Arial" w:eastAsia="Times New Roman" w:hAnsi="Arial" w:cs="Arial"/>
                <w:noProof/>
              </w:rPr>
              <w:t>2.4 Five Whys Analysis</w:t>
            </w:r>
            <w:r>
              <w:rPr>
                <w:noProof/>
                <w:webHidden/>
              </w:rPr>
              <w:tab/>
            </w:r>
            <w:r>
              <w:rPr>
                <w:noProof/>
                <w:webHidden/>
              </w:rPr>
              <w:fldChar w:fldCharType="begin"/>
            </w:r>
            <w:r>
              <w:rPr>
                <w:noProof/>
                <w:webHidden/>
              </w:rPr>
              <w:instrText xml:space="preserve"> PAGEREF _Toc236074123 \h </w:instrText>
            </w:r>
            <w:r>
              <w:rPr>
                <w:noProof/>
                <w:webHidden/>
              </w:rPr>
            </w:r>
            <w:r>
              <w:rPr>
                <w:noProof/>
                <w:webHidden/>
              </w:rPr>
              <w:fldChar w:fldCharType="separate"/>
            </w:r>
            <w:r>
              <w:rPr>
                <w:noProof/>
                <w:webHidden/>
              </w:rPr>
              <w:t>6</w:t>
            </w:r>
            <w:r>
              <w:rPr>
                <w:noProof/>
                <w:webHidden/>
              </w:rPr>
              <w:fldChar w:fldCharType="end"/>
            </w:r>
          </w:hyperlink>
        </w:p>
        <w:p w14:paraId="44294FB6" w14:textId="68DBC77B" w:rsidR="00291592" w:rsidRDefault="00291592">
          <w:pPr>
            <w:pStyle w:val="TOC2"/>
            <w:tabs>
              <w:tab w:val="right" w:leader="dot" w:pos="9016"/>
            </w:tabs>
            <w:rPr>
              <w:noProof/>
              <w:lang w:val="en-IN" w:eastAsia="en-IN"/>
            </w:rPr>
          </w:pPr>
          <w:hyperlink w:anchor="_Toc236074124" w:history="1">
            <w:r w:rsidRPr="00CD6101">
              <w:rPr>
                <w:rStyle w:val="Hyperlink"/>
                <w:rFonts w:ascii="Arial" w:eastAsia="Times New Roman" w:hAnsi="Arial" w:cs="Arial"/>
                <w:noProof/>
              </w:rPr>
              <w:t>2.5 SWOT Analysis</w:t>
            </w:r>
            <w:r>
              <w:rPr>
                <w:noProof/>
                <w:webHidden/>
              </w:rPr>
              <w:tab/>
            </w:r>
            <w:r>
              <w:rPr>
                <w:noProof/>
                <w:webHidden/>
              </w:rPr>
              <w:fldChar w:fldCharType="begin"/>
            </w:r>
            <w:r>
              <w:rPr>
                <w:noProof/>
                <w:webHidden/>
              </w:rPr>
              <w:instrText xml:space="preserve"> PAGEREF _Toc236074124 \h </w:instrText>
            </w:r>
            <w:r>
              <w:rPr>
                <w:noProof/>
                <w:webHidden/>
              </w:rPr>
            </w:r>
            <w:r>
              <w:rPr>
                <w:noProof/>
                <w:webHidden/>
              </w:rPr>
              <w:fldChar w:fldCharType="separate"/>
            </w:r>
            <w:r>
              <w:rPr>
                <w:noProof/>
                <w:webHidden/>
              </w:rPr>
              <w:t>8</w:t>
            </w:r>
            <w:r>
              <w:rPr>
                <w:noProof/>
                <w:webHidden/>
              </w:rPr>
              <w:fldChar w:fldCharType="end"/>
            </w:r>
          </w:hyperlink>
        </w:p>
        <w:p w14:paraId="7FE3CEFC" w14:textId="2AB68132" w:rsidR="00291592" w:rsidRDefault="00291592">
          <w:pPr>
            <w:pStyle w:val="TOC2"/>
            <w:tabs>
              <w:tab w:val="right" w:leader="dot" w:pos="9016"/>
            </w:tabs>
            <w:rPr>
              <w:noProof/>
              <w:lang w:val="en-IN" w:eastAsia="en-IN"/>
            </w:rPr>
          </w:pPr>
          <w:hyperlink w:anchor="_Toc236074125" w:history="1">
            <w:r w:rsidRPr="00CD6101">
              <w:rPr>
                <w:rStyle w:val="Hyperlink"/>
                <w:rFonts w:ascii="Arial" w:eastAsia="Times New Roman" w:hAnsi="Arial" w:cs="Arial"/>
                <w:noProof/>
              </w:rPr>
              <w:t>2.6 Kurt Lewin’s Three-Stage Change Model</w:t>
            </w:r>
            <w:r>
              <w:rPr>
                <w:noProof/>
                <w:webHidden/>
              </w:rPr>
              <w:tab/>
            </w:r>
            <w:r>
              <w:rPr>
                <w:noProof/>
                <w:webHidden/>
              </w:rPr>
              <w:fldChar w:fldCharType="begin"/>
            </w:r>
            <w:r>
              <w:rPr>
                <w:noProof/>
                <w:webHidden/>
              </w:rPr>
              <w:instrText xml:space="preserve"> PAGEREF _Toc236074125 \h </w:instrText>
            </w:r>
            <w:r>
              <w:rPr>
                <w:noProof/>
                <w:webHidden/>
              </w:rPr>
            </w:r>
            <w:r>
              <w:rPr>
                <w:noProof/>
                <w:webHidden/>
              </w:rPr>
              <w:fldChar w:fldCharType="separate"/>
            </w:r>
            <w:r>
              <w:rPr>
                <w:noProof/>
                <w:webHidden/>
              </w:rPr>
              <w:t>9</w:t>
            </w:r>
            <w:r>
              <w:rPr>
                <w:noProof/>
                <w:webHidden/>
              </w:rPr>
              <w:fldChar w:fldCharType="end"/>
            </w:r>
          </w:hyperlink>
        </w:p>
        <w:p w14:paraId="618884FE" w14:textId="7B684046" w:rsidR="00291592" w:rsidRDefault="00291592">
          <w:pPr>
            <w:pStyle w:val="TOC3"/>
            <w:tabs>
              <w:tab w:val="right" w:leader="dot" w:pos="9016"/>
            </w:tabs>
            <w:rPr>
              <w:noProof/>
              <w:lang w:val="en-IN" w:eastAsia="en-IN"/>
            </w:rPr>
          </w:pPr>
          <w:hyperlink w:anchor="_Toc236074126" w:history="1">
            <w:r w:rsidRPr="00CD6101">
              <w:rPr>
                <w:rStyle w:val="Hyperlink"/>
                <w:rFonts w:ascii="Arial" w:eastAsia="Times New Roman" w:hAnsi="Arial" w:cs="Arial"/>
                <w:b/>
                <w:bCs/>
                <w:noProof/>
                <w:kern w:val="0"/>
                <w14:ligatures w14:val="none"/>
              </w:rPr>
              <w:t>Unfreeze</w:t>
            </w:r>
            <w:r>
              <w:rPr>
                <w:noProof/>
                <w:webHidden/>
              </w:rPr>
              <w:tab/>
            </w:r>
            <w:r>
              <w:rPr>
                <w:noProof/>
                <w:webHidden/>
              </w:rPr>
              <w:fldChar w:fldCharType="begin"/>
            </w:r>
            <w:r>
              <w:rPr>
                <w:noProof/>
                <w:webHidden/>
              </w:rPr>
              <w:instrText xml:space="preserve"> PAGEREF _Toc236074126 \h </w:instrText>
            </w:r>
            <w:r>
              <w:rPr>
                <w:noProof/>
                <w:webHidden/>
              </w:rPr>
            </w:r>
            <w:r>
              <w:rPr>
                <w:noProof/>
                <w:webHidden/>
              </w:rPr>
              <w:fldChar w:fldCharType="separate"/>
            </w:r>
            <w:r>
              <w:rPr>
                <w:noProof/>
                <w:webHidden/>
              </w:rPr>
              <w:t>9</w:t>
            </w:r>
            <w:r>
              <w:rPr>
                <w:noProof/>
                <w:webHidden/>
              </w:rPr>
              <w:fldChar w:fldCharType="end"/>
            </w:r>
          </w:hyperlink>
        </w:p>
        <w:p w14:paraId="4D62F065" w14:textId="0B5B8158" w:rsidR="00291592" w:rsidRDefault="00291592">
          <w:pPr>
            <w:pStyle w:val="TOC3"/>
            <w:tabs>
              <w:tab w:val="right" w:leader="dot" w:pos="9016"/>
            </w:tabs>
            <w:rPr>
              <w:noProof/>
              <w:lang w:val="en-IN" w:eastAsia="en-IN"/>
            </w:rPr>
          </w:pPr>
          <w:hyperlink w:anchor="_Toc236074127" w:history="1">
            <w:r w:rsidRPr="00CD6101">
              <w:rPr>
                <w:rStyle w:val="Hyperlink"/>
                <w:rFonts w:ascii="Arial" w:eastAsia="Times New Roman" w:hAnsi="Arial" w:cs="Arial"/>
                <w:b/>
                <w:bCs/>
                <w:noProof/>
                <w:kern w:val="0"/>
                <w14:ligatures w14:val="none"/>
              </w:rPr>
              <w:t>Change</w:t>
            </w:r>
            <w:r>
              <w:rPr>
                <w:noProof/>
                <w:webHidden/>
              </w:rPr>
              <w:tab/>
            </w:r>
            <w:r>
              <w:rPr>
                <w:noProof/>
                <w:webHidden/>
              </w:rPr>
              <w:fldChar w:fldCharType="begin"/>
            </w:r>
            <w:r>
              <w:rPr>
                <w:noProof/>
                <w:webHidden/>
              </w:rPr>
              <w:instrText xml:space="preserve"> PAGEREF _Toc236074127 \h </w:instrText>
            </w:r>
            <w:r>
              <w:rPr>
                <w:noProof/>
                <w:webHidden/>
              </w:rPr>
            </w:r>
            <w:r>
              <w:rPr>
                <w:noProof/>
                <w:webHidden/>
              </w:rPr>
              <w:fldChar w:fldCharType="separate"/>
            </w:r>
            <w:r>
              <w:rPr>
                <w:noProof/>
                <w:webHidden/>
              </w:rPr>
              <w:t>9</w:t>
            </w:r>
            <w:r>
              <w:rPr>
                <w:noProof/>
                <w:webHidden/>
              </w:rPr>
              <w:fldChar w:fldCharType="end"/>
            </w:r>
          </w:hyperlink>
        </w:p>
        <w:p w14:paraId="67AD30A6" w14:textId="030A8A10" w:rsidR="00291592" w:rsidRDefault="00291592">
          <w:pPr>
            <w:pStyle w:val="TOC3"/>
            <w:tabs>
              <w:tab w:val="right" w:leader="dot" w:pos="9016"/>
            </w:tabs>
            <w:rPr>
              <w:noProof/>
              <w:lang w:val="en-IN" w:eastAsia="en-IN"/>
            </w:rPr>
          </w:pPr>
          <w:hyperlink w:anchor="_Toc236074128" w:history="1">
            <w:r w:rsidRPr="00CD6101">
              <w:rPr>
                <w:rStyle w:val="Hyperlink"/>
                <w:rFonts w:ascii="Arial" w:eastAsia="Times New Roman" w:hAnsi="Arial" w:cs="Arial"/>
                <w:b/>
                <w:bCs/>
                <w:noProof/>
                <w:kern w:val="0"/>
                <w14:ligatures w14:val="none"/>
              </w:rPr>
              <w:t>Refreeze</w:t>
            </w:r>
            <w:r>
              <w:rPr>
                <w:noProof/>
                <w:webHidden/>
              </w:rPr>
              <w:tab/>
            </w:r>
            <w:r>
              <w:rPr>
                <w:noProof/>
                <w:webHidden/>
              </w:rPr>
              <w:fldChar w:fldCharType="begin"/>
            </w:r>
            <w:r>
              <w:rPr>
                <w:noProof/>
                <w:webHidden/>
              </w:rPr>
              <w:instrText xml:space="preserve"> PAGEREF _Toc236074128 \h </w:instrText>
            </w:r>
            <w:r>
              <w:rPr>
                <w:noProof/>
                <w:webHidden/>
              </w:rPr>
            </w:r>
            <w:r>
              <w:rPr>
                <w:noProof/>
                <w:webHidden/>
              </w:rPr>
              <w:fldChar w:fldCharType="separate"/>
            </w:r>
            <w:r>
              <w:rPr>
                <w:noProof/>
                <w:webHidden/>
              </w:rPr>
              <w:t>9</w:t>
            </w:r>
            <w:r>
              <w:rPr>
                <w:noProof/>
                <w:webHidden/>
              </w:rPr>
              <w:fldChar w:fldCharType="end"/>
            </w:r>
          </w:hyperlink>
        </w:p>
        <w:p w14:paraId="7A3047F6" w14:textId="5115D92A" w:rsidR="00291592" w:rsidRDefault="00291592">
          <w:pPr>
            <w:pStyle w:val="TOC1"/>
            <w:tabs>
              <w:tab w:val="right" w:leader="dot" w:pos="9016"/>
            </w:tabs>
            <w:rPr>
              <w:noProof/>
              <w:lang w:val="en-IN" w:eastAsia="en-IN"/>
            </w:rPr>
          </w:pPr>
          <w:hyperlink w:anchor="_Toc236074129" w:history="1">
            <w:r w:rsidRPr="00CD6101">
              <w:rPr>
                <w:rStyle w:val="Hyperlink"/>
                <w:rFonts w:ascii="Arial" w:eastAsia="Times New Roman" w:hAnsi="Arial" w:cs="Arial"/>
                <w:noProof/>
              </w:rPr>
              <w:t>3. Recommendations</w:t>
            </w:r>
            <w:r>
              <w:rPr>
                <w:noProof/>
                <w:webHidden/>
              </w:rPr>
              <w:tab/>
            </w:r>
            <w:r>
              <w:rPr>
                <w:noProof/>
                <w:webHidden/>
              </w:rPr>
              <w:fldChar w:fldCharType="begin"/>
            </w:r>
            <w:r>
              <w:rPr>
                <w:noProof/>
                <w:webHidden/>
              </w:rPr>
              <w:instrText xml:space="preserve"> PAGEREF _Toc236074129 \h </w:instrText>
            </w:r>
            <w:r>
              <w:rPr>
                <w:noProof/>
                <w:webHidden/>
              </w:rPr>
            </w:r>
            <w:r>
              <w:rPr>
                <w:noProof/>
                <w:webHidden/>
              </w:rPr>
              <w:fldChar w:fldCharType="separate"/>
            </w:r>
            <w:r>
              <w:rPr>
                <w:noProof/>
                <w:webHidden/>
              </w:rPr>
              <w:t>10</w:t>
            </w:r>
            <w:r>
              <w:rPr>
                <w:noProof/>
                <w:webHidden/>
              </w:rPr>
              <w:fldChar w:fldCharType="end"/>
            </w:r>
          </w:hyperlink>
        </w:p>
        <w:p w14:paraId="2945ABA5" w14:textId="7CD94BFD" w:rsidR="00291592" w:rsidRDefault="00291592">
          <w:pPr>
            <w:pStyle w:val="TOC2"/>
            <w:tabs>
              <w:tab w:val="right" w:leader="dot" w:pos="9016"/>
            </w:tabs>
            <w:rPr>
              <w:noProof/>
              <w:lang w:val="en-IN" w:eastAsia="en-IN"/>
            </w:rPr>
          </w:pPr>
          <w:hyperlink w:anchor="_Toc236074130" w:history="1">
            <w:r w:rsidRPr="00CD6101">
              <w:rPr>
                <w:rStyle w:val="Hyperlink"/>
                <w:rFonts w:ascii="Arial" w:eastAsia="Times New Roman" w:hAnsi="Arial" w:cs="Arial"/>
                <w:noProof/>
              </w:rPr>
              <w:t>Recommendation 1: Strengthen Medication Safety and Clinical Governance</w:t>
            </w:r>
            <w:r>
              <w:rPr>
                <w:noProof/>
                <w:webHidden/>
              </w:rPr>
              <w:tab/>
            </w:r>
            <w:r>
              <w:rPr>
                <w:noProof/>
                <w:webHidden/>
              </w:rPr>
              <w:fldChar w:fldCharType="begin"/>
            </w:r>
            <w:r>
              <w:rPr>
                <w:noProof/>
                <w:webHidden/>
              </w:rPr>
              <w:instrText xml:space="preserve"> PAGEREF _Toc236074130 \h </w:instrText>
            </w:r>
            <w:r>
              <w:rPr>
                <w:noProof/>
                <w:webHidden/>
              </w:rPr>
            </w:r>
            <w:r>
              <w:rPr>
                <w:noProof/>
                <w:webHidden/>
              </w:rPr>
              <w:fldChar w:fldCharType="separate"/>
            </w:r>
            <w:r>
              <w:rPr>
                <w:noProof/>
                <w:webHidden/>
              </w:rPr>
              <w:t>10</w:t>
            </w:r>
            <w:r>
              <w:rPr>
                <w:noProof/>
                <w:webHidden/>
              </w:rPr>
              <w:fldChar w:fldCharType="end"/>
            </w:r>
          </w:hyperlink>
        </w:p>
        <w:p w14:paraId="70D69568" w14:textId="73BFC9D9" w:rsidR="00291592" w:rsidRDefault="00291592">
          <w:pPr>
            <w:pStyle w:val="TOC2"/>
            <w:tabs>
              <w:tab w:val="right" w:leader="dot" w:pos="9016"/>
            </w:tabs>
            <w:rPr>
              <w:noProof/>
              <w:lang w:val="en-IN" w:eastAsia="en-IN"/>
            </w:rPr>
          </w:pPr>
          <w:hyperlink w:anchor="_Toc236074131" w:history="1">
            <w:r w:rsidRPr="00CD6101">
              <w:rPr>
                <w:rStyle w:val="Hyperlink"/>
                <w:rFonts w:ascii="Arial" w:eastAsia="Times New Roman" w:hAnsi="Arial" w:cs="Arial"/>
                <w:noProof/>
              </w:rPr>
              <w:t>Recommendation 2: Improve Medication Technology and Barcode Medication Administration (BCMA)</w:t>
            </w:r>
            <w:r>
              <w:rPr>
                <w:noProof/>
                <w:webHidden/>
              </w:rPr>
              <w:tab/>
            </w:r>
            <w:r>
              <w:rPr>
                <w:noProof/>
                <w:webHidden/>
              </w:rPr>
              <w:fldChar w:fldCharType="begin"/>
            </w:r>
            <w:r>
              <w:rPr>
                <w:noProof/>
                <w:webHidden/>
              </w:rPr>
              <w:instrText xml:space="preserve"> PAGEREF _Toc236074131 \h </w:instrText>
            </w:r>
            <w:r>
              <w:rPr>
                <w:noProof/>
                <w:webHidden/>
              </w:rPr>
            </w:r>
            <w:r>
              <w:rPr>
                <w:noProof/>
                <w:webHidden/>
              </w:rPr>
              <w:fldChar w:fldCharType="separate"/>
            </w:r>
            <w:r>
              <w:rPr>
                <w:noProof/>
                <w:webHidden/>
              </w:rPr>
              <w:t>10</w:t>
            </w:r>
            <w:r>
              <w:rPr>
                <w:noProof/>
                <w:webHidden/>
              </w:rPr>
              <w:fldChar w:fldCharType="end"/>
            </w:r>
          </w:hyperlink>
        </w:p>
        <w:p w14:paraId="732EA705" w14:textId="2A584393" w:rsidR="00291592" w:rsidRDefault="00291592">
          <w:pPr>
            <w:pStyle w:val="TOC2"/>
            <w:tabs>
              <w:tab w:val="right" w:leader="dot" w:pos="9016"/>
            </w:tabs>
            <w:rPr>
              <w:noProof/>
              <w:lang w:val="en-IN" w:eastAsia="en-IN"/>
            </w:rPr>
          </w:pPr>
          <w:hyperlink w:anchor="_Toc236074132" w:history="1">
            <w:r w:rsidRPr="00CD6101">
              <w:rPr>
                <w:rStyle w:val="Hyperlink"/>
                <w:rFonts w:ascii="Arial" w:eastAsia="Times New Roman" w:hAnsi="Arial" w:cs="Arial"/>
                <w:noProof/>
              </w:rPr>
              <w:t>Recommendation 3: Enhance Workforce Development and Medication Safety Training</w:t>
            </w:r>
            <w:r>
              <w:rPr>
                <w:noProof/>
                <w:webHidden/>
              </w:rPr>
              <w:tab/>
            </w:r>
            <w:r>
              <w:rPr>
                <w:noProof/>
                <w:webHidden/>
              </w:rPr>
              <w:fldChar w:fldCharType="begin"/>
            </w:r>
            <w:r>
              <w:rPr>
                <w:noProof/>
                <w:webHidden/>
              </w:rPr>
              <w:instrText xml:space="preserve"> PAGEREF _Toc236074132 \h </w:instrText>
            </w:r>
            <w:r>
              <w:rPr>
                <w:noProof/>
                <w:webHidden/>
              </w:rPr>
            </w:r>
            <w:r>
              <w:rPr>
                <w:noProof/>
                <w:webHidden/>
              </w:rPr>
              <w:fldChar w:fldCharType="separate"/>
            </w:r>
            <w:r>
              <w:rPr>
                <w:noProof/>
                <w:webHidden/>
              </w:rPr>
              <w:t>10</w:t>
            </w:r>
            <w:r>
              <w:rPr>
                <w:noProof/>
                <w:webHidden/>
              </w:rPr>
              <w:fldChar w:fldCharType="end"/>
            </w:r>
          </w:hyperlink>
        </w:p>
        <w:p w14:paraId="5FCA6EEA" w14:textId="08B2224C" w:rsidR="00291592" w:rsidRDefault="00291592">
          <w:pPr>
            <w:pStyle w:val="TOC2"/>
            <w:tabs>
              <w:tab w:val="right" w:leader="dot" w:pos="9016"/>
            </w:tabs>
            <w:rPr>
              <w:noProof/>
              <w:lang w:val="en-IN" w:eastAsia="en-IN"/>
            </w:rPr>
          </w:pPr>
          <w:hyperlink w:anchor="_Toc236074133" w:history="1">
            <w:r w:rsidRPr="00CD6101">
              <w:rPr>
                <w:rStyle w:val="Hyperlink"/>
                <w:rFonts w:ascii="Arial" w:eastAsia="Times New Roman" w:hAnsi="Arial" w:cs="Arial"/>
                <w:noProof/>
              </w:rPr>
              <w:t>Recommendation 4: Promote a Just Culture and Improve Patient Safety Culture</w:t>
            </w:r>
            <w:r>
              <w:rPr>
                <w:noProof/>
                <w:webHidden/>
              </w:rPr>
              <w:tab/>
            </w:r>
            <w:r>
              <w:rPr>
                <w:noProof/>
                <w:webHidden/>
              </w:rPr>
              <w:fldChar w:fldCharType="begin"/>
            </w:r>
            <w:r>
              <w:rPr>
                <w:noProof/>
                <w:webHidden/>
              </w:rPr>
              <w:instrText xml:space="preserve"> PAGEREF _Toc236074133 \h </w:instrText>
            </w:r>
            <w:r>
              <w:rPr>
                <w:noProof/>
                <w:webHidden/>
              </w:rPr>
            </w:r>
            <w:r>
              <w:rPr>
                <w:noProof/>
                <w:webHidden/>
              </w:rPr>
              <w:fldChar w:fldCharType="separate"/>
            </w:r>
            <w:r>
              <w:rPr>
                <w:noProof/>
                <w:webHidden/>
              </w:rPr>
              <w:t>11</w:t>
            </w:r>
            <w:r>
              <w:rPr>
                <w:noProof/>
                <w:webHidden/>
              </w:rPr>
              <w:fldChar w:fldCharType="end"/>
            </w:r>
          </w:hyperlink>
        </w:p>
        <w:p w14:paraId="740DE9D6" w14:textId="39739EB6" w:rsidR="00291592" w:rsidRDefault="00291592">
          <w:pPr>
            <w:pStyle w:val="TOC2"/>
            <w:tabs>
              <w:tab w:val="right" w:leader="dot" w:pos="9016"/>
            </w:tabs>
            <w:rPr>
              <w:noProof/>
              <w:lang w:val="en-IN" w:eastAsia="en-IN"/>
            </w:rPr>
          </w:pPr>
          <w:hyperlink w:anchor="_Toc236074134" w:history="1">
            <w:r w:rsidRPr="00CD6101">
              <w:rPr>
                <w:rStyle w:val="Hyperlink"/>
                <w:rFonts w:ascii="Arial" w:eastAsia="Times New Roman" w:hAnsi="Arial" w:cs="Arial"/>
                <w:noProof/>
              </w:rPr>
              <w:t>Recommendation 5: Implement Digital Quality Monitoring and Continuous Risk Surveillance</w:t>
            </w:r>
            <w:r>
              <w:rPr>
                <w:noProof/>
                <w:webHidden/>
              </w:rPr>
              <w:tab/>
            </w:r>
            <w:r>
              <w:rPr>
                <w:noProof/>
                <w:webHidden/>
              </w:rPr>
              <w:fldChar w:fldCharType="begin"/>
            </w:r>
            <w:r>
              <w:rPr>
                <w:noProof/>
                <w:webHidden/>
              </w:rPr>
              <w:instrText xml:space="preserve"> PAGEREF _Toc236074134 \h </w:instrText>
            </w:r>
            <w:r>
              <w:rPr>
                <w:noProof/>
                <w:webHidden/>
              </w:rPr>
            </w:r>
            <w:r>
              <w:rPr>
                <w:noProof/>
                <w:webHidden/>
              </w:rPr>
              <w:fldChar w:fldCharType="separate"/>
            </w:r>
            <w:r>
              <w:rPr>
                <w:noProof/>
                <w:webHidden/>
              </w:rPr>
              <w:t>11</w:t>
            </w:r>
            <w:r>
              <w:rPr>
                <w:noProof/>
                <w:webHidden/>
              </w:rPr>
              <w:fldChar w:fldCharType="end"/>
            </w:r>
          </w:hyperlink>
        </w:p>
        <w:p w14:paraId="54D0A6FC" w14:textId="44B8119A" w:rsidR="00291592" w:rsidRDefault="00291592">
          <w:pPr>
            <w:pStyle w:val="TOC2"/>
            <w:tabs>
              <w:tab w:val="right" w:leader="dot" w:pos="9016"/>
            </w:tabs>
            <w:rPr>
              <w:noProof/>
              <w:lang w:val="en-IN" w:eastAsia="en-IN"/>
            </w:rPr>
          </w:pPr>
          <w:hyperlink w:anchor="_Toc236074135" w:history="1">
            <w:r w:rsidRPr="00CD6101">
              <w:rPr>
                <w:rStyle w:val="Hyperlink"/>
                <w:rFonts w:ascii="Arial" w:eastAsia="Times New Roman" w:hAnsi="Arial" w:cs="Arial"/>
                <w:noProof/>
              </w:rPr>
              <w:t>Recommendation 6: Adopt the Plan–Do–Study–Act (PDSA) Cycle for Continuous Quality Improvement</w:t>
            </w:r>
            <w:r>
              <w:rPr>
                <w:noProof/>
                <w:webHidden/>
              </w:rPr>
              <w:tab/>
            </w:r>
            <w:r>
              <w:rPr>
                <w:noProof/>
                <w:webHidden/>
              </w:rPr>
              <w:fldChar w:fldCharType="begin"/>
            </w:r>
            <w:r>
              <w:rPr>
                <w:noProof/>
                <w:webHidden/>
              </w:rPr>
              <w:instrText xml:space="preserve"> PAGEREF _Toc236074135 \h </w:instrText>
            </w:r>
            <w:r>
              <w:rPr>
                <w:noProof/>
                <w:webHidden/>
              </w:rPr>
            </w:r>
            <w:r>
              <w:rPr>
                <w:noProof/>
                <w:webHidden/>
              </w:rPr>
              <w:fldChar w:fldCharType="separate"/>
            </w:r>
            <w:r>
              <w:rPr>
                <w:noProof/>
                <w:webHidden/>
              </w:rPr>
              <w:t>11</w:t>
            </w:r>
            <w:r>
              <w:rPr>
                <w:noProof/>
                <w:webHidden/>
              </w:rPr>
              <w:fldChar w:fldCharType="end"/>
            </w:r>
          </w:hyperlink>
        </w:p>
        <w:p w14:paraId="63A2EF48" w14:textId="53AC4BDF" w:rsidR="00291592" w:rsidRDefault="00291592">
          <w:pPr>
            <w:pStyle w:val="TOC1"/>
            <w:tabs>
              <w:tab w:val="right" w:leader="dot" w:pos="9016"/>
            </w:tabs>
            <w:rPr>
              <w:noProof/>
              <w:lang w:val="en-IN" w:eastAsia="en-IN"/>
            </w:rPr>
          </w:pPr>
          <w:hyperlink w:anchor="_Toc236074136" w:history="1">
            <w:r w:rsidRPr="00CD6101">
              <w:rPr>
                <w:rStyle w:val="Hyperlink"/>
                <w:noProof/>
              </w:rPr>
              <w:t>4. Benchmarking</w:t>
            </w:r>
            <w:r>
              <w:rPr>
                <w:noProof/>
                <w:webHidden/>
              </w:rPr>
              <w:tab/>
            </w:r>
            <w:r>
              <w:rPr>
                <w:noProof/>
                <w:webHidden/>
              </w:rPr>
              <w:fldChar w:fldCharType="begin"/>
            </w:r>
            <w:r>
              <w:rPr>
                <w:noProof/>
                <w:webHidden/>
              </w:rPr>
              <w:instrText xml:space="preserve"> PAGEREF _Toc236074136 \h </w:instrText>
            </w:r>
            <w:r>
              <w:rPr>
                <w:noProof/>
                <w:webHidden/>
              </w:rPr>
            </w:r>
            <w:r>
              <w:rPr>
                <w:noProof/>
                <w:webHidden/>
              </w:rPr>
              <w:fldChar w:fldCharType="separate"/>
            </w:r>
            <w:r>
              <w:rPr>
                <w:noProof/>
                <w:webHidden/>
              </w:rPr>
              <w:t>12</w:t>
            </w:r>
            <w:r>
              <w:rPr>
                <w:noProof/>
                <w:webHidden/>
              </w:rPr>
              <w:fldChar w:fldCharType="end"/>
            </w:r>
          </w:hyperlink>
        </w:p>
        <w:p w14:paraId="7CC27FE9" w14:textId="37438B21" w:rsidR="00291592" w:rsidRDefault="00291592">
          <w:pPr>
            <w:pStyle w:val="TOC1"/>
            <w:tabs>
              <w:tab w:val="right" w:leader="dot" w:pos="9016"/>
            </w:tabs>
            <w:rPr>
              <w:noProof/>
              <w:lang w:val="en-IN" w:eastAsia="en-IN"/>
            </w:rPr>
          </w:pPr>
          <w:hyperlink w:anchor="_Toc236074137" w:history="1">
            <w:r w:rsidRPr="00CD6101">
              <w:rPr>
                <w:rStyle w:val="Hyperlink"/>
                <w:rFonts w:ascii="Arial" w:eastAsia="Times New Roman" w:hAnsi="Arial" w:cs="Arial"/>
                <w:noProof/>
              </w:rPr>
              <w:t>5. Conclusion</w:t>
            </w:r>
            <w:r>
              <w:rPr>
                <w:noProof/>
                <w:webHidden/>
              </w:rPr>
              <w:tab/>
            </w:r>
            <w:r>
              <w:rPr>
                <w:noProof/>
                <w:webHidden/>
              </w:rPr>
              <w:fldChar w:fldCharType="begin"/>
            </w:r>
            <w:r>
              <w:rPr>
                <w:noProof/>
                <w:webHidden/>
              </w:rPr>
              <w:instrText xml:space="preserve"> PAGEREF _Toc236074137 \h </w:instrText>
            </w:r>
            <w:r>
              <w:rPr>
                <w:noProof/>
                <w:webHidden/>
              </w:rPr>
            </w:r>
            <w:r>
              <w:rPr>
                <w:noProof/>
                <w:webHidden/>
              </w:rPr>
              <w:fldChar w:fldCharType="separate"/>
            </w:r>
            <w:r>
              <w:rPr>
                <w:noProof/>
                <w:webHidden/>
              </w:rPr>
              <w:t>13</w:t>
            </w:r>
            <w:r>
              <w:rPr>
                <w:noProof/>
                <w:webHidden/>
              </w:rPr>
              <w:fldChar w:fldCharType="end"/>
            </w:r>
          </w:hyperlink>
        </w:p>
        <w:p w14:paraId="4CB1F6EB" w14:textId="0C49CEBC" w:rsidR="00291592" w:rsidRDefault="00291592">
          <w:pPr>
            <w:pStyle w:val="TOC1"/>
            <w:tabs>
              <w:tab w:val="right" w:leader="dot" w:pos="9016"/>
            </w:tabs>
            <w:rPr>
              <w:noProof/>
              <w:lang w:val="en-IN" w:eastAsia="en-IN"/>
            </w:rPr>
          </w:pPr>
          <w:hyperlink w:anchor="_Toc236074138" w:history="1">
            <w:r w:rsidRPr="00CD6101">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_Toc236074138 \h </w:instrText>
            </w:r>
            <w:r>
              <w:rPr>
                <w:noProof/>
                <w:webHidden/>
              </w:rPr>
            </w:r>
            <w:r>
              <w:rPr>
                <w:noProof/>
                <w:webHidden/>
              </w:rPr>
              <w:fldChar w:fldCharType="separate"/>
            </w:r>
            <w:r>
              <w:rPr>
                <w:noProof/>
                <w:webHidden/>
              </w:rPr>
              <w:t>14</w:t>
            </w:r>
            <w:r>
              <w:rPr>
                <w:noProof/>
                <w:webHidden/>
              </w:rPr>
              <w:fldChar w:fldCharType="end"/>
            </w:r>
          </w:hyperlink>
        </w:p>
        <w:p w14:paraId="6EE4107A" w14:textId="625A7727" w:rsidR="00235EAF" w:rsidRDefault="002C2C73" w:rsidP="00235EAF">
          <w:pPr>
            <w:rPr>
              <w:rFonts w:ascii="Arial" w:hAnsi="Arial" w:cs="Arial"/>
              <w:b/>
              <w:bCs/>
              <w:noProof/>
            </w:rPr>
          </w:pPr>
          <w:r w:rsidRPr="00A457F8">
            <w:rPr>
              <w:rFonts w:ascii="Arial" w:hAnsi="Arial" w:cs="Arial"/>
              <w:b/>
              <w:bCs/>
              <w:noProof/>
            </w:rPr>
            <w:fldChar w:fldCharType="end"/>
          </w:r>
        </w:p>
        <w:p w14:paraId="55F9B5F4" w14:textId="3ECA3871" w:rsidR="00590725" w:rsidRPr="00235EAF" w:rsidRDefault="00CC41FB" w:rsidP="00235EAF">
          <w:pPr>
            <w:rPr>
              <w:rFonts w:ascii="Arial" w:hAnsi="Arial" w:cs="Arial"/>
            </w:rPr>
          </w:pPr>
        </w:p>
      </w:sdtContent>
    </w:sdt>
    <w:p w14:paraId="2BB19990" w14:textId="77777777" w:rsidR="002C2C73" w:rsidRPr="00A457F8" w:rsidRDefault="002C2C73" w:rsidP="00E03AE0">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6354488" w14:textId="1743D971" w:rsidR="00E03AE0" w:rsidRPr="00A457F8" w:rsidRDefault="00E03AE0" w:rsidP="00CD4A61">
      <w:pPr>
        <w:pStyle w:val="Heading1"/>
        <w:rPr>
          <w:rFonts w:ascii="Arial" w:eastAsia="Times New Roman" w:hAnsi="Arial" w:cs="Arial"/>
        </w:rPr>
      </w:pPr>
      <w:bookmarkStart w:id="39" w:name="_Toc236074114"/>
      <w:r w:rsidRPr="00A457F8">
        <w:rPr>
          <w:rFonts w:ascii="Arial" w:eastAsia="Times New Roman" w:hAnsi="Arial" w:cs="Arial"/>
        </w:rPr>
        <w:t>1. Introduction</w:t>
      </w:r>
      <w:bookmarkEnd w:id="39"/>
    </w:p>
    <w:p w14:paraId="3492E91A" w14:textId="70992405" w:rsidR="00E03AE0" w:rsidRPr="00A457F8" w:rsidRDefault="00E03AE0" w:rsidP="002C2C73">
      <w:pPr>
        <w:pStyle w:val="Heading2"/>
        <w:rPr>
          <w:rFonts w:ascii="Arial" w:hAnsi="Arial" w:cs="Arial"/>
        </w:rPr>
      </w:pPr>
      <w:bookmarkStart w:id="40" w:name="_Toc236074115"/>
      <w:r w:rsidRPr="00A457F8">
        <w:rPr>
          <w:rFonts w:ascii="Arial" w:eastAsia="Times New Roman" w:hAnsi="Arial" w:cs="Arial"/>
        </w:rPr>
        <w:t>1.</w:t>
      </w:r>
      <w:r w:rsidR="00CD4A61" w:rsidRPr="00A457F8">
        <w:rPr>
          <w:rFonts w:ascii="Arial" w:eastAsia="Times New Roman" w:hAnsi="Arial" w:cs="Arial"/>
        </w:rPr>
        <w:t>1</w:t>
      </w:r>
      <w:r w:rsidRPr="00A457F8">
        <w:rPr>
          <w:rFonts w:ascii="Arial" w:eastAsia="Times New Roman" w:hAnsi="Arial" w:cs="Arial"/>
        </w:rPr>
        <w:t xml:space="preserve"> Brief Description of the RaDonda Vaught Case</w:t>
      </w:r>
      <w:bookmarkEnd w:id="40"/>
    </w:p>
    <w:p w14:paraId="0305602B" w14:textId="77777777" w:rsidR="00E03AE0" w:rsidRPr="00A457F8" w:rsidRDefault="00E03AE0" w:rsidP="00E03AE0">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The RaDonda Vaught case is one of the most widely discussed patient safety incidents in modern healthcare because it raised important questions about medication safety, organisational accountability, and the balance between individual responsibility and system failure. In December 2017, RaDonda Vaught, a registered nurse at Vanderbilt University Medical Center in Tennessee, accidentally administered </w:t>
      </w:r>
      <w:r w:rsidRPr="00203074">
        <w:rPr>
          <w:rFonts w:ascii="Arial" w:hAnsi="Arial" w:cs="Arial"/>
          <w:bCs/>
          <w:kern w:val="0"/>
          <w:sz w:val="22"/>
          <w:szCs w:val="22"/>
          <w14:ligatures w14:val="none"/>
        </w:rPr>
        <w:t>vecuronium</w:t>
      </w:r>
      <w:r w:rsidRPr="00A457F8">
        <w:rPr>
          <w:rFonts w:ascii="Arial" w:hAnsi="Arial" w:cs="Arial"/>
          <w:kern w:val="0"/>
          <w:sz w:val="22"/>
          <w:szCs w:val="22"/>
          <w14:ligatures w14:val="none"/>
        </w:rPr>
        <w:t xml:space="preserve">, a powerful neuromuscular blocking agent, instead of the prescribed sedative </w:t>
      </w:r>
      <w:r w:rsidRPr="00203074">
        <w:rPr>
          <w:rFonts w:ascii="Arial" w:hAnsi="Arial" w:cs="Arial"/>
          <w:bCs/>
          <w:kern w:val="0"/>
          <w:sz w:val="22"/>
          <w:szCs w:val="22"/>
          <w14:ligatures w14:val="none"/>
        </w:rPr>
        <w:t>midazolam (Versed)</w:t>
      </w:r>
      <w:r w:rsidRPr="00A457F8">
        <w:rPr>
          <w:rFonts w:ascii="Arial" w:hAnsi="Arial" w:cs="Arial"/>
          <w:kern w:val="0"/>
          <w:sz w:val="22"/>
          <w:szCs w:val="22"/>
          <w14:ligatures w14:val="none"/>
        </w:rPr>
        <w:t xml:space="preserve"> to a 75-year-old patient, Charlene Murphey, who was undergoing a PET scan. The medication error resulted in respiratory arrest and subsequent death (Centers for Medicare &amp; Medicaid Services (CMS), 2019).</w:t>
      </w:r>
    </w:p>
    <w:p w14:paraId="0046FD4F" w14:textId="77777777" w:rsidR="00E03AE0" w:rsidRPr="00A457F8" w:rsidRDefault="00E03AE0" w:rsidP="00E03AE0">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Investigations identified several contributing factors, including the use of medication overrides within the automated dispensing cabinet, inadequate barcode medication administration processes, communication failures, workload pressures, insufficient safety checks, and weaknesses in organisational safety culture. Although Vaught accepted responsibility for her actions, the incident generated significant debate regarding whether the tragedy resulted primarily from individual negligence or from multiple latent failures within the healthcare system. In 2022, Vaught was convicted of criminally negligent homicide and gross neglect of an impaired adult, prompting widespread concern among healthcare professionals about the potential impact of criminal prosecution on error reporting and patient safety culture (Institute for Safe Medication Practices (ISMP), 2022).</w:t>
      </w:r>
    </w:p>
    <w:p w14:paraId="3E706F35" w14:textId="77777777" w:rsidR="00E03AE0" w:rsidRPr="00A457F8" w:rsidRDefault="00E03AE0" w:rsidP="00E03AE0">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Consequently, the RaDonda Vaught case has become an important example for examining quality assurance, systems thinking, human factors, and service improvement within healthcare organisations.</w:t>
      </w:r>
    </w:p>
    <w:p w14:paraId="3DB381CA" w14:textId="77777777" w:rsidR="00D345C1" w:rsidRDefault="00D345C1" w:rsidP="002C2C73">
      <w:pPr>
        <w:pStyle w:val="Heading1"/>
        <w:rPr>
          <w:rFonts w:ascii="Arial" w:eastAsia="Times New Roman" w:hAnsi="Arial" w:cs="Arial"/>
        </w:rPr>
      </w:pPr>
      <w:bookmarkStart w:id="41" w:name="_Toc236074116"/>
    </w:p>
    <w:p w14:paraId="1930553E" w14:textId="77777777" w:rsidR="00D345C1" w:rsidRDefault="00D345C1" w:rsidP="002C2C73">
      <w:pPr>
        <w:pStyle w:val="Heading1"/>
        <w:rPr>
          <w:rFonts w:ascii="Arial" w:eastAsia="Times New Roman" w:hAnsi="Arial" w:cs="Arial"/>
        </w:rPr>
      </w:pPr>
    </w:p>
    <w:p w14:paraId="5C5C730A" w14:textId="77777777" w:rsidR="00D345C1" w:rsidRDefault="00D345C1" w:rsidP="002C2C73">
      <w:pPr>
        <w:pStyle w:val="Heading1"/>
        <w:rPr>
          <w:rFonts w:ascii="Arial" w:eastAsia="Times New Roman" w:hAnsi="Arial" w:cs="Arial"/>
        </w:rPr>
      </w:pPr>
    </w:p>
    <w:p w14:paraId="6E148525" w14:textId="6EF537E2" w:rsidR="00694B02" w:rsidRPr="00A457F8" w:rsidRDefault="00694B02" w:rsidP="002C2C73">
      <w:pPr>
        <w:pStyle w:val="Heading1"/>
        <w:rPr>
          <w:rFonts w:ascii="Arial" w:eastAsia="Times New Roman" w:hAnsi="Arial" w:cs="Arial"/>
        </w:rPr>
      </w:pPr>
      <w:r w:rsidRPr="00A457F8">
        <w:rPr>
          <w:rFonts w:ascii="Arial" w:eastAsia="Times New Roman" w:hAnsi="Arial" w:cs="Arial"/>
        </w:rPr>
        <w:t xml:space="preserve">2. Main </w:t>
      </w:r>
      <w:bookmarkEnd w:id="41"/>
      <w:r w:rsidR="00317587">
        <w:rPr>
          <w:rFonts w:ascii="Arial" w:eastAsia="Times New Roman" w:hAnsi="Arial" w:cs="Arial"/>
        </w:rPr>
        <w:t>Body</w:t>
      </w:r>
    </w:p>
    <w:p w14:paraId="2444DF57" w14:textId="068FFFA7" w:rsidR="00694B02" w:rsidRPr="00A457F8" w:rsidRDefault="00694B02" w:rsidP="002C2C73">
      <w:pPr>
        <w:pStyle w:val="Heading2"/>
        <w:rPr>
          <w:rFonts w:ascii="Arial" w:eastAsia="Times New Roman" w:hAnsi="Arial" w:cs="Arial"/>
        </w:rPr>
      </w:pPr>
      <w:bookmarkStart w:id="42" w:name="_Toc236074117"/>
      <w:r w:rsidRPr="00A457F8">
        <w:rPr>
          <w:rFonts w:ascii="Arial" w:eastAsia="Times New Roman" w:hAnsi="Arial" w:cs="Arial"/>
        </w:rPr>
        <w:t>2.1 Case Study Analysis: The RaDonda Vaught Medication Error</w:t>
      </w:r>
      <w:bookmarkEnd w:id="42"/>
      <w:r w:rsidRPr="00A457F8">
        <w:rPr>
          <w:rFonts w:ascii="Arial" w:eastAsia="Times New Roman" w:hAnsi="Arial" w:cs="Arial"/>
        </w:rPr>
        <w:t xml:space="preserve"> </w:t>
      </w:r>
    </w:p>
    <w:p w14:paraId="757D4820" w14:textId="77777777" w:rsidR="00A41752" w:rsidRPr="00A457F8" w:rsidRDefault="00A41752">
      <w:pPr>
        <w:pStyle w:val="p1"/>
        <w:rPr>
          <w:rFonts w:ascii="Arial" w:hAnsi="Arial" w:cs="Arial"/>
        </w:rPr>
      </w:pPr>
      <w:r w:rsidRPr="00A457F8">
        <w:rPr>
          <w:rFonts w:ascii="Arial" w:hAnsi="Arial" w:cs="Arial"/>
        </w:rPr>
        <w:t>The RaDonda Vaught case is a significant patient safety incident demonstrating how human error combined with organisational and system failures can result in serious patient harm. In December 2017, registered nurse RaDonda Vaught accidentally administered vecuronium, a neuromuscular blocking agent, instead of the prescribed sedative midazolam to 75-year-old Charlene Murphey before a PET scan. The patient experienced respiratory arrest and subsequently died (CMS, 2019).</w:t>
      </w:r>
    </w:p>
    <w:p w14:paraId="6244F241" w14:textId="77777777" w:rsidR="00A41752" w:rsidRPr="00A457F8" w:rsidRDefault="00A41752">
      <w:pPr>
        <w:pStyle w:val="p1"/>
        <w:rPr>
          <w:rFonts w:ascii="Arial" w:hAnsi="Arial" w:cs="Arial"/>
        </w:rPr>
      </w:pPr>
      <w:r w:rsidRPr="00A457F8">
        <w:rPr>
          <w:rFonts w:ascii="Arial" w:hAnsi="Arial" w:cs="Arial"/>
        </w:rPr>
        <w:t>The error occurred after Vaught used the override function on the automated dispensing cabinet (ADC) because of delays in the electronic medication system. Barcode medication administration (BCMA), medication verification, and continuous patient monitoring were not completed, allowing multiple safety barriers to fail.</w:t>
      </w:r>
    </w:p>
    <w:p w14:paraId="0A0E8068" w14:textId="77777777" w:rsidR="00A41752" w:rsidRPr="00A457F8" w:rsidRDefault="00A41752">
      <w:pPr>
        <w:pStyle w:val="p1"/>
        <w:rPr>
          <w:rFonts w:ascii="Arial" w:hAnsi="Arial" w:cs="Arial"/>
        </w:rPr>
      </w:pPr>
      <w:r w:rsidRPr="00A457F8">
        <w:rPr>
          <w:rFonts w:ascii="Arial" w:hAnsi="Arial" w:cs="Arial"/>
        </w:rPr>
        <w:t>The incident highlighted organisational weaknesses including frequent use of ADC overrides, inadequate leadership oversight, poor clinical governance, and a culture in which unsafe workarounds had become normal practice (ISMP, 2022). Furthermore, Vanderbilt University Medical Center initially failed to disclose the medication error, limiting opportunities for organisational learning.</w:t>
      </w:r>
    </w:p>
    <w:p w14:paraId="6960D29F" w14:textId="77777777" w:rsidR="00A41752" w:rsidRPr="00A457F8" w:rsidRDefault="00A41752">
      <w:pPr>
        <w:pStyle w:val="p1"/>
        <w:rPr>
          <w:rFonts w:ascii="Arial" w:hAnsi="Arial" w:cs="Arial"/>
        </w:rPr>
      </w:pPr>
      <w:r w:rsidRPr="00A457F8">
        <w:rPr>
          <w:rFonts w:ascii="Arial" w:hAnsi="Arial" w:cs="Arial"/>
        </w:rPr>
        <w:t>The prosecution of Vaught generated widespread debate about balancing individual accountability with system responsibility. Patient safety experts argued that criminalising unintentional errors could discourage incident reporting and undermine a Just Culture, where organisations learn from errors rather than focusing solely on blame (Marx, 2001).</w:t>
      </w:r>
    </w:p>
    <w:p w14:paraId="427D0A7C" w14:textId="77777777" w:rsidR="00A41752" w:rsidRPr="00A457F8" w:rsidRDefault="00A41752">
      <w:pPr>
        <w:pStyle w:val="p2"/>
        <w:rPr>
          <w:rFonts w:ascii="Arial" w:hAnsi="Arial" w:cs="Arial"/>
        </w:rPr>
      </w:pPr>
      <w:r w:rsidRPr="00A457F8">
        <w:rPr>
          <w:rFonts w:ascii="Arial" w:hAnsi="Arial" w:cs="Arial"/>
        </w:rPr>
        <w:t>Overall, the case demonstrates that patient safety depends upon effective technology, leadership, governance, and organisational learning rather than individual performance alone.</w:t>
      </w:r>
    </w:p>
    <w:p w14:paraId="40DD5A8B" w14:textId="77777777" w:rsidR="001E44A3" w:rsidRPr="00A457F8" w:rsidRDefault="001E44A3" w:rsidP="001E44A3">
      <w:pPr>
        <w:rPr>
          <w:rFonts w:ascii="Arial" w:hAnsi="Arial" w:cs="Arial"/>
        </w:rPr>
      </w:pPr>
    </w:p>
    <w:p w14:paraId="382661D9" w14:textId="7EC73CC6" w:rsidR="00A14E8A" w:rsidRPr="00A457F8" w:rsidRDefault="00A14E8A" w:rsidP="002C2C73">
      <w:pPr>
        <w:pStyle w:val="Heading2"/>
        <w:rPr>
          <w:rFonts w:ascii="Arial" w:eastAsia="Times New Roman" w:hAnsi="Arial" w:cs="Arial"/>
        </w:rPr>
      </w:pPr>
      <w:bookmarkStart w:id="43" w:name="_Toc236074118"/>
      <w:r w:rsidRPr="00A457F8">
        <w:rPr>
          <w:rFonts w:ascii="Arial" w:eastAsia="Times New Roman" w:hAnsi="Arial" w:cs="Arial"/>
        </w:rPr>
        <w:lastRenderedPageBreak/>
        <w:t xml:space="preserve">2.2 Application of the </w:t>
      </w:r>
      <w:r w:rsidR="00BC29C8" w:rsidRPr="00A457F8">
        <w:rPr>
          <w:rFonts w:ascii="Arial" w:eastAsia="Times New Roman" w:hAnsi="Arial" w:cs="Arial"/>
        </w:rPr>
        <w:t>Donabedian</w:t>
      </w:r>
      <w:r w:rsidRPr="00A457F8">
        <w:rPr>
          <w:rFonts w:ascii="Arial" w:eastAsia="Times New Roman" w:hAnsi="Arial" w:cs="Arial"/>
        </w:rPr>
        <w:t xml:space="preserve"> Model</w:t>
      </w:r>
      <w:bookmarkEnd w:id="43"/>
      <w:r w:rsidRPr="00A457F8">
        <w:rPr>
          <w:rFonts w:ascii="Arial" w:eastAsia="Times New Roman" w:hAnsi="Arial" w:cs="Arial"/>
        </w:rPr>
        <w:t xml:space="preserve"> </w:t>
      </w:r>
    </w:p>
    <w:p w14:paraId="1F32BF16"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 xml:space="preserve">The Donabedian Model evaluates healthcare quality through </w:t>
      </w:r>
      <w:r w:rsidRPr="00203074">
        <w:rPr>
          <w:rFonts w:ascii="Arial" w:hAnsi="Arial" w:cs="Arial"/>
          <w:kern w:val="0"/>
          <w14:ligatures w14:val="none"/>
        </w:rPr>
        <w:t>Structure, Process and Outcomes</w:t>
      </w:r>
      <w:r w:rsidRPr="00A457F8">
        <w:rPr>
          <w:rFonts w:ascii="Arial" w:hAnsi="Arial" w:cs="Arial"/>
          <w:kern w:val="0"/>
          <w14:ligatures w14:val="none"/>
        </w:rPr>
        <w:t xml:space="preserve"> (Donabedian, 1988).</w:t>
      </w:r>
    </w:p>
    <w:p w14:paraId="78D96756" w14:textId="77777777" w:rsidR="002C4D55" w:rsidRPr="00A457F8" w:rsidRDefault="002C4D55" w:rsidP="002C4D5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44" w:name="_Toc236074119"/>
      <w:r w:rsidRPr="00A457F8">
        <w:rPr>
          <w:rFonts w:ascii="Arial" w:eastAsia="Times New Roman" w:hAnsi="Arial" w:cs="Arial"/>
          <w:b/>
          <w:bCs/>
          <w:kern w:val="0"/>
          <w:sz w:val="27"/>
          <w:szCs w:val="27"/>
          <w14:ligatures w14:val="none"/>
        </w:rPr>
        <w:t>Structure</w:t>
      </w:r>
      <w:bookmarkEnd w:id="44"/>
    </w:p>
    <w:p w14:paraId="475E3EDC"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Vanderbilt University Medical Center possessed medication safety systems including electronic health records (EHRs), automated dispensing cabinets and barcode medication administration. However, frequent system failures resulted in routine use of ADC overrides, while leadership failed to monitor these unsafe practices effectively.</w:t>
      </w:r>
    </w:p>
    <w:p w14:paraId="059E5811" w14:textId="77777777" w:rsidR="002C4D55" w:rsidRPr="00A457F8" w:rsidRDefault="002C4D55" w:rsidP="002C4D5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45" w:name="_Toc236074120"/>
      <w:r w:rsidRPr="00A457F8">
        <w:rPr>
          <w:rFonts w:ascii="Arial" w:eastAsia="Times New Roman" w:hAnsi="Arial" w:cs="Arial"/>
          <w:b/>
          <w:bCs/>
          <w:kern w:val="0"/>
          <w:sz w:val="27"/>
          <w:szCs w:val="27"/>
          <w14:ligatures w14:val="none"/>
        </w:rPr>
        <w:t>Process</w:t>
      </w:r>
      <w:bookmarkEnd w:id="45"/>
    </w:p>
    <w:p w14:paraId="26A524FF"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Several medication safety procedures were not followed. The incorrect medication was selected, barcode scanning was bypassed, medication verification was incomplete and the patient was not adequately monitored. These failures represented significant deviations from accepted medication safety standards (AHRQ, 2022).</w:t>
      </w:r>
    </w:p>
    <w:p w14:paraId="2889138B" w14:textId="77777777" w:rsidR="002C4D55" w:rsidRPr="00A457F8" w:rsidRDefault="002C4D55" w:rsidP="002C4D55">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46" w:name="_Toc236074121"/>
      <w:r w:rsidRPr="00A457F8">
        <w:rPr>
          <w:rFonts w:ascii="Arial" w:eastAsia="Times New Roman" w:hAnsi="Arial" w:cs="Arial"/>
          <w:b/>
          <w:bCs/>
          <w:kern w:val="0"/>
          <w:sz w:val="27"/>
          <w:szCs w:val="27"/>
          <w14:ligatures w14:val="none"/>
        </w:rPr>
        <w:t>Outcomes</w:t>
      </w:r>
      <w:bookmarkEnd w:id="46"/>
    </w:p>
    <w:p w14:paraId="2DBF8B39"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The outcome was the preventable death of Charlene Murphey, psychological distress among staff, criminal prosecution of the nurse, reputational damage to the organisation and reduced public confidence in healthcare. The case also prompted international discussion regarding medication safety and Just Culture.</w:t>
      </w:r>
    </w:p>
    <w:p w14:paraId="284CC760"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b/>
          <w:bCs/>
          <w:kern w:val="0"/>
          <w14:ligatures w14:val="none"/>
        </w:rPr>
        <w:t>Critical evaluation</w:t>
      </w:r>
    </w:p>
    <w:p w14:paraId="24897429" w14:textId="77777777" w:rsidR="002C4D55" w:rsidRPr="00A457F8" w:rsidRDefault="002C4D55" w:rsidP="002C4D55">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The Donabedian Model effectively links organisational resources with clinical practice and patient outcomes. However, it assumes a linear relationship between these elements and gives limited attention to organisational culture and human factors influencing healthcare quality.</w:t>
      </w:r>
    </w:p>
    <w:p w14:paraId="14737A5D" w14:textId="77777777" w:rsidR="00E3047B" w:rsidRPr="00A457F8" w:rsidRDefault="00E3047B" w:rsidP="00E3047B">
      <w:pPr>
        <w:rPr>
          <w:rFonts w:ascii="Arial" w:hAnsi="Arial" w:cs="Arial"/>
        </w:rPr>
      </w:pPr>
    </w:p>
    <w:p w14:paraId="432CE4D6" w14:textId="7975BB32" w:rsidR="006F3649" w:rsidRDefault="00B5455B" w:rsidP="00B5455B">
      <w:pPr>
        <w:jc w:val="center"/>
        <w:rPr>
          <w:rFonts w:ascii="Arial" w:hAnsi="Arial" w:cs="Arial"/>
        </w:rPr>
      </w:pPr>
      <w:r w:rsidRPr="00A457F8">
        <w:rPr>
          <w:rFonts w:ascii="Arial" w:hAnsi="Arial" w:cs="Arial"/>
          <w:noProof/>
        </w:rPr>
        <w:drawing>
          <wp:inline distT="0" distB="0" distL="0" distR="0" wp14:anchorId="349B55EA" wp14:editId="1F49FEA4">
            <wp:extent cx="3840480" cy="1682816"/>
            <wp:effectExtent l="0" t="0" r="7620" b="0"/>
            <wp:docPr id="5316927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92741" name="Picture 531692741"/>
                    <pic:cNvPicPr/>
                  </pic:nvPicPr>
                  <pic:blipFill>
                    <a:blip r:embed="rId7">
                      <a:extLst>
                        <a:ext uri="{28A0092B-C50C-407E-A947-70E740481C1C}">
                          <a14:useLocalDpi xmlns:a14="http://schemas.microsoft.com/office/drawing/2010/main" val="0"/>
                        </a:ext>
                      </a:extLst>
                    </a:blip>
                    <a:stretch>
                      <a:fillRect/>
                    </a:stretch>
                  </pic:blipFill>
                  <pic:spPr>
                    <a:xfrm>
                      <a:off x="0" y="0"/>
                      <a:ext cx="3848274" cy="1686231"/>
                    </a:xfrm>
                    <a:prstGeom prst="rect">
                      <a:avLst/>
                    </a:prstGeom>
                  </pic:spPr>
                </pic:pic>
              </a:graphicData>
            </a:graphic>
          </wp:inline>
        </w:drawing>
      </w:r>
    </w:p>
    <w:p w14:paraId="6400A752" w14:textId="3AA9C8B8" w:rsidR="00017778" w:rsidRDefault="00017778" w:rsidP="00B5455B">
      <w:pPr>
        <w:jc w:val="center"/>
        <w:rPr>
          <w:rFonts w:ascii="Arial" w:hAnsi="Arial" w:cs="Arial"/>
        </w:rPr>
      </w:pPr>
      <w:r>
        <w:rPr>
          <w:rFonts w:ascii="Arial" w:hAnsi="Arial" w:cs="Arial"/>
        </w:rPr>
        <w:t>Fig 1: Donabedian model</w:t>
      </w:r>
    </w:p>
    <w:p w14:paraId="170863F1" w14:textId="698DE033" w:rsidR="00017778" w:rsidRPr="00A457F8" w:rsidRDefault="00017778" w:rsidP="00B5455B">
      <w:pPr>
        <w:jc w:val="center"/>
        <w:rPr>
          <w:rFonts w:ascii="Arial" w:hAnsi="Arial" w:cs="Arial"/>
        </w:rPr>
      </w:pPr>
      <w:r>
        <w:rPr>
          <w:rFonts w:ascii="Arial" w:hAnsi="Arial" w:cs="Arial"/>
        </w:rPr>
        <w:lastRenderedPageBreak/>
        <w:t>Source (Rosian, 2021)</w:t>
      </w:r>
    </w:p>
    <w:p w14:paraId="79939776" w14:textId="32C7E75C" w:rsidR="00F14F31" w:rsidRPr="00A457F8" w:rsidRDefault="00F14F31" w:rsidP="002C2C73">
      <w:pPr>
        <w:pStyle w:val="Heading2"/>
        <w:rPr>
          <w:rFonts w:ascii="Arial" w:eastAsia="Times New Roman" w:hAnsi="Arial" w:cs="Arial"/>
        </w:rPr>
      </w:pPr>
      <w:bookmarkStart w:id="47" w:name="_Toc236074122"/>
      <w:r w:rsidRPr="00A457F8">
        <w:rPr>
          <w:rFonts w:ascii="Arial" w:eastAsia="Times New Roman" w:hAnsi="Arial" w:cs="Arial"/>
        </w:rPr>
        <w:t>2.3 Fishbone Diagram Analysis</w:t>
      </w:r>
      <w:bookmarkEnd w:id="47"/>
      <w:r w:rsidRPr="00A457F8">
        <w:rPr>
          <w:rFonts w:ascii="Arial" w:eastAsia="Times New Roman" w:hAnsi="Arial" w:cs="Arial"/>
        </w:rPr>
        <w:t xml:space="preserve"> </w:t>
      </w:r>
    </w:p>
    <w:p w14:paraId="1DDB1719" w14:textId="77777777" w:rsidR="000606B9" w:rsidRPr="00A457F8" w:rsidRDefault="000606B9">
      <w:pPr>
        <w:pStyle w:val="p1"/>
        <w:rPr>
          <w:rFonts w:ascii="Arial" w:hAnsi="Arial" w:cs="Arial"/>
        </w:rPr>
      </w:pPr>
      <w:r w:rsidRPr="00A457F8">
        <w:rPr>
          <w:rFonts w:ascii="Arial" w:hAnsi="Arial" w:cs="Arial"/>
        </w:rPr>
        <w:t>The Fishbone Diagram identifies multiple causes contributing to adverse events (Ishikawa, 1986).</w:t>
      </w:r>
    </w:p>
    <w:p w14:paraId="05DAF7CC" w14:textId="77777777" w:rsidR="003B7DCC" w:rsidRPr="00A457F8" w:rsidRDefault="003B7DCC" w:rsidP="003B7DCC">
      <w:pPr>
        <w:rPr>
          <w:rFonts w:ascii="Arial" w:hAnsi="Arial" w:cs="Arial"/>
        </w:rPr>
      </w:pPr>
    </w:p>
    <w:p w14:paraId="36CA40D7" w14:textId="410B839F" w:rsidR="00B5455B" w:rsidRDefault="00B5455B" w:rsidP="00B5455B">
      <w:pPr>
        <w:spacing w:before="100" w:beforeAutospacing="1" w:after="100" w:afterAutospacing="1" w:line="240" w:lineRule="auto"/>
        <w:jc w:val="center"/>
        <w:rPr>
          <w:rFonts w:ascii="Arial" w:hAnsi="Arial" w:cs="Arial"/>
          <w:kern w:val="0"/>
          <w:sz w:val="22"/>
          <w:szCs w:val="22"/>
          <w14:ligatures w14:val="none"/>
        </w:rPr>
      </w:pPr>
      <w:r w:rsidRPr="00A457F8">
        <w:rPr>
          <w:rFonts w:ascii="Arial" w:hAnsi="Arial" w:cs="Arial"/>
          <w:noProof/>
          <w:kern w:val="0"/>
          <w:sz w:val="22"/>
          <w:szCs w:val="22"/>
        </w:rPr>
        <w:drawing>
          <wp:inline distT="0" distB="0" distL="0" distR="0" wp14:anchorId="71C53EC1" wp14:editId="0324FE95">
            <wp:extent cx="4500438" cy="1714215"/>
            <wp:effectExtent l="0" t="0" r="0" b="635"/>
            <wp:docPr id="14188394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39437" name="Picture 141883943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9476" cy="1721466"/>
                    </a:xfrm>
                    <a:prstGeom prst="rect">
                      <a:avLst/>
                    </a:prstGeom>
                  </pic:spPr>
                </pic:pic>
              </a:graphicData>
            </a:graphic>
          </wp:inline>
        </w:drawing>
      </w:r>
    </w:p>
    <w:p w14:paraId="3CF897BB" w14:textId="6332FEEB" w:rsidR="003239BA" w:rsidRDefault="003239BA" w:rsidP="00B5455B">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 xml:space="preserve">Fig 2: Fishbone </w:t>
      </w:r>
    </w:p>
    <w:p w14:paraId="2DD64849" w14:textId="190C8064" w:rsidR="003239BA" w:rsidRPr="00A457F8" w:rsidRDefault="003239BA" w:rsidP="00B5455B">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Source(Buisnessmap, n.d.)</w:t>
      </w:r>
    </w:p>
    <w:p w14:paraId="12842212" w14:textId="77777777" w:rsidR="006B2676" w:rsidRPr="00A457F8" w:rsidRDefault="006B2676" w:rsidP="00F14F31">
      <w:pPr>
        <w:spacing w:before="100" w:beforeAutospacing="1" w:after="100" w:afterAutospacing="1" w:line="240" w:lineRule="auto"/>
        <w:rPr>
          <w:rFonts w:ascii="Arial" w:hAnsi="Arial" w:cs="Arial"/>
          <w:kern w:val="0"/>
          <w:sz w:val="22"/>
          <w:szCs w:val="22"/>
          <w14:ligatures w14:val="none"/>
        </w:rPr>
      </w:pPr>
    </w:p>
    <w:p w14:paraId="2E29450C" w14:textId="77777777" w:rsidR="006B2676" w:rsidRPr="00A457F8" w:rsidRDefault="006B2676" w:rsidP="00F14F31">
      <w:pPr>
        <w:spacing w:before="100" w:beforeAutospacing="1" w:after="100" w:afterAutospacing="1" w:line="240" w:lineRule="auto"/>
        <w:rPr>
          <w:rFonts w:ascii="Arial" w:hAnsi="Arial" w:cs="Arial"/>
          <w:kern w:val="0"/>
          <w:sz w:val="22"/>
          <w:szCs w:val="22"/>
          <w14:ligatures w14:val="none"/>
        </w:rPr>
      </w:pPr>
    </w:p>
    <w:p w14:paraId="4D0CB514" w14:textId="77777777" w:rsidR="006B2676" w:rsidRPr="00A457F8" w:rsidRDefault="006B2676" w:rsidP="00F14F31">
      <w:pPr>
        <w:spacing w:before="100" w:beforeAutospacing="1" w:after="100" w:afterAutospacing="1" w:line="240" w:lineRule="auto"/>
        <w:rPr>
          <w:rFonts w:ascii="Arial" w:hAnsi="Arial" w:cs="Arial"/>
          <w:kern w:val="0"/>
          <w:sz w:val="22"/>
          <w:szCs w:val="22"/>
          <w14:ligatures w14:val="none"/>
        </w:rPr>
      </w:pPr>
    </w:p>
    <w:tbl>
      <w:tblPr>
        <w:tblStyle w:val="GridTable1Light-Accent1"/>
        <w:tblW w:w="4793" w:type="pct"/>
        <w:tblLook w:val="04A0" w:firstRow="1" w:lastRow="0" w:firstColumn="1" w:lastColumn="0" w:noHBand="0" w:noVBand="1"/>
      </w:tblPr>
      <w:tblGrid>
        <w:gridCol w:w="1052"/>
        <w:gridCol w:w="7964"/>
      </w:tblGrid>
      <w:tr w:rsidR="00BF7DC2" w:rsidRPr="00A457F8" w14:paraId="1C8C2748" w14:textId="77777777" w:rsidTr="006B26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603E1EB0" w14:textId="77777777" w:rsidR="00BF7DC2" w:rsidRPr="00A457F8" w:rsidRDefault="00BF7DC2" w:rsidP="00BF7DC2">
            <w:pPr>
              <w:spacing w:before="100" w:beforeAutospacing="1" w:after="100" w:afterAutospacing="1"/>
              <w:jc w:val="center"/>
              <w:rPr>
                <w:rFonts w:ascii="Arial" w:hAnsi="Arial" w:cs="Arial"/>
                <w:b w:val="0"/>
                <w:kern w:val="0"/>
                <w:sz w:val="22"/>
                <w:szCs w:val="22"/>
                <w14:ligatures w14:val="none"/>
              </w:rPr>
            </w:pPr>
            <w:r w:rsidRPr="00A457F8">
              <w:rPr>
                <w:rFonts w:ascii="Arial" w:hAnsi="Arial" w:cs="Arial"/>
                <w:kern w:val="0"/>
                <w:sz w:val="22"/>
                <w:szCs w:val="22"/>
                <w14:ligatures w14:val="none"/>
              </w:rPr>
              <w:t>Category</w:t>
            </w:r>
          </w:p>
        </w:tc>
        <w:tc>
          <w:tcPr>
            <w:tcW w:w="4391" w:type="pct"/>
            <w:noWrap/>
            <w:hideMark/>
          </w:tcPr>
          <w:p w14:paraId="4A2C3222" w14:textId="77777777" w:rsidR="00BF7DC2" w:rsidRPr="00A457F8" w:rsidRDefault="00BF7DC2" w:rsidP="00BF7DC2">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kern w:val="0"/>
                <w:sz w:val="22"/>
                <w:szCs w:val="22"/>
                <w14:ligatures w14:val="none"/>
              </w:rPr>
            </w:pPr>
            <w:r w:rsidRPr="00A457F8">
              <w:rPr>
                <w:rFonts w:ascii="Arial" w:hAnsi="Arial" w:cs="Arial"/>
                <w:kern w:val="0"/>
                <w:sz w:val="22"/>
                <w:szCs w:val="22"/>
                <w14:ligatures w14:val="none"/>
              </w:rPr>
              <w:t>Critical Causes Identified</w:t>
            </w:r>
          </w:p>
        </w:tc>
      </w:tr>
      <w:tr w:rsidR="00BF7DC2" w:rsidRPr="00A457F8" w14:paraId="4B716E91"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47CBC255"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People</w:t>
            </w:r>
          </w:p>
        </w:tc>
        <w:tc>
          <w:tcPr>
            <w:tcW w:w="4391" w:type="pct"/>
            <w:noWrap/>
            <w:hideMark/>
          </w:tcPr>
          <w:p w14:paraId="6EEB1429"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Human error, confirmation bias, distraction during medication preparation, failure to verify medication, inadequate adherence to the Five Rights of medication administration, and insufficient supervision.</w:t>
            </w:r>
          </w:p>
        </w:tc>
      </w:tr>
      <w:tr w:rsidR="00BF7DC2" w:rsidRPr="00A457F8" w14:paraId="25DDAFE4"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59AB8C50"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Methods</w:t>
            </w:r>
          </w:p>
        </w:tc>
        <w:tc>
          <w:tcPr>
            <w:tcW w:w="4391" w:type="pct"/>
            <w:noWrap/>
            <w:hideMark/>
          </w:tcPr>
          <w:p w14:paraId="2532B886"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Routine use of automated dispensing cabinet (ADC) overrides, failure to follow barcode medication administration (BCMA) procedures, incomplete medication verification, and inadequate compliance with medication safety protocols (ISMP, 2022).</w:t>
            </w:r>
          </w:p>
        </w:tc>
      </w:tr>
      <w:tr w:rsidR="00BF7DC2" w:rsidRPr="00A457F8" w14:paraId="4E3266F6"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44B1950B"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Technology (Equipment)</w:t>
            </w:r>
          </w:p>
        </w:tc>
        <w:tc>
          <w:tcPr>
            <w:tcW w:w="4391" w:type="pct"/>
            <w:noWrap/>
            <w:hideMark/>
          </w:tcPr>
          <w:p w14:paraId="6BAFB151"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Electronic health record (EHR) implementation problems, malfunctioning or inefficient medication retrieval systems, reliance on override functions, and failure to utilise barcode scanning technology effectively (CMS, 2019).</w:t>
            </w:r>
          </w:p>
        </w:tc>
      </w:tr>
      <w:tr w:rsidR="00BF7DC2" w:rsidRPr="00A457F8" w14:paraId="7C65CC96"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7EA4D2D7"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Environment</w:t>
            </w:r>
          </w:p>
        </w:tc>
        <w:tc>
          <w:tcPr>
            <w:tcW w:w="4391" w:type="pct"/>
            <w:noWrap/>
            <w:hideMark/>
          </w:tcPr>
          <w:p w14:paraId="14397C64"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Busy clinical environment, high workload, interruptions during medication administration, time pressures, and competing clinical priorities that increased cognitive workload and reduced situational awareness (AHRQ, 2022).</w:t>
            </w:r>
          </w:p>
        </w:tc>
      </w:tr>
      <w:tr w:rsidR="00BF7DC2" w:rsidRPr="00A457F8" w14:paraId="1473040C"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68668289"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Management</w:t>
            </w:r>
          </w:p>
        </w:tc>
        <w:tc>
          <w:tcPr>
            <w:tcW w:w="4391" w:type="pct"/>
            <w:noWrap/>
            <w:hideMark/>
          </w:tcPr>
          <w:p w14:paraId="3FAABF20"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Weak clinical governance, insufficient leadership oversight, inadequate risk management, failure to identify unsafe workarounds, poor incident reporting systems, and limited organisational learning following previous safety concerns.</w:t>
            </w:r>
          </w:p>
        </w:tc>
      </w:tr>
      <w:tr w:rsidR="00BF7DC2" w:rsidRPr="00A457F8" w14:paraId="6687E1F6"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1B6EF689" w14:textId="77777777" w:rsidR="00BF7DC2" w:rsidRPr="00A457F8" w:rsidRDefault="00BF7DC2" w:rsidP="00BF7DC2">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Policies</w:t>
            </w:r>
          </w:p>
        </w:tc>
        <w:tc>
          <w:tcPr>
            <w:tcW w:w="4391" w:type="pct"/>
            <w:noWrap/>
            <w:hideMark/>
          </w:tcPr>
          <w:p w14:paraId="0AF4A5C3" w14:textId="77777777" w:rsidR="00BF7DC2" w:rsidRPr="00A457F8" w:rsidRDefault="00BF7DC2" w:rsidP="00BF7DC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 xml:space="preserve">Inconsistent implementation of medication safety policies, inadequate monitoring of compliance, limited reinforcement of safety protocols, and </w:t>
            </w:r>
            <w:r w:rsidRPr="00A457F8">
              <w:rPr>
                <w:rFonts w:ascii="Arial" w:hAnsi="Arial" w:cs="Arial"/>
                <w:kern w:val="0"/>
                <w:sz w:val="22"/>
                <w:szCs w:val="22"/>
                <w14:ligatures w14:val="none"/>
              </w:rPr>
              <w:lastRenderedPageBreak/>
              <w:t>insufficient promotion of a Just Culture that encourages reporting and learning from errors (Marx, 2001).</w:t>
            </w:r>
          </w:p>
        </w:tc>
      </w:tr>
    </w:tbl>
    <w:p w14:paraId="42F73FE8" w14:textId="77777777" w:rsidR="000A6E97" w:rsidRPr="00A457F8" w:rsidRDefault="000A6E97">
      <w:pPr>
        <w:pStyle w:val="p1"/>
        <w:rPr>
          <w:rFonts w:ascii="Arial" w:hAnsi="Arial" w:cs="Arial"/>
        </w:rPr>
      </w:pPr>
      <w:r w:rsidRPr="00A457F8">
        <w:rPr>
          <w:rFonts w:ascii="Arial" w:hAnsi="Arial" w:cs="Arial"/>
        </w:rPr>
        <w:lastRenderedPageBreak/>
        <w:t>The analysis demonstrates that the medication error resulted from interacting organisational failures rather than one individual mistake. Frequent medication overrides became normal practice because staff were attempting to compensate for technology problems. Leadership failed to identify these unsafe behaviours through effective quality assurance.</w:t>
      </w:r>
    </w:p>
    <w:p w14:paraId="225B7535" w14:textId="77777777" w:rsidR="000A6E97" w:rsidRPr="00A457F8" w:rsidRDefault="000A6E97">
      <w:pPr>
        <w:pStyle w:val="p2"/>
        <w:rPr>
          <w:rFonts w:ascii="Arial" w:hAnsi="Arial" w:cs="Arial"/>
        </w:rPr>
      </w:pPr>
      <w:r w:rsidRPr="00A457F8">
        <w:rPr>
          <w:rFonts w:ascii="Arial" w:hAnsi="Arial" w:cs="Arial"/>
          <w:b/>
          <w:bCs/>
        </w:rPr>
        <w:t>Critical evaluation</w:t>
      </w:r>
    </w:p>
    <w:p w14:paraId="29AC4880" w14:textId="77777777" w:rsidR="000A6E97" w:rsidRPr="00A457F8" w:rsidRDefault="000A6E97">
      <w:pPr>
        <w:pStyle w:val="p3"/>
        <w:rPr>
          <w:rFonts w:ascii="Arial" w:hAnsi="Arial" w:cs="Arial"/>
        </w:rPr>
      </w:pPr>
      <w:r w:rsidRPr="00A457F8">
        <w:rPr>
          <w:rFonts w:ascii="Arial" w:hAnsi="Arial" w:cs="Arial"/>
        </w:rPr>
        <w:t>The Fishbone Diagram is valuable because it considers multiple contributing factors and supports system-wide improvement. However, it does not prioritise causes or explain relationships between them and should therefore be combined with Root Cause Analysis.</w:t>
      </w:r>
    </w:p>
    <w:p w14:paraId="54E885E6" w14:textId="77777777" w:rsidR="005A5BED" w:rsidRPr="00A457F8" w:rsidRDefault="005A5BED" w:rsidP="002C2C73">
      <w:pPr>
        <w:pStyle w:val="Heading2"/>
        <w:rPr>
          <w:rFonts w:ascii="Arial" w:eastAsia="Times New Roman" w:hAnsi="Arial" w:cs="Arial"/>
        </w:rPr>
      </w:pPr>
    </w:p>
    <w:p w14:paraId="23FA6626" w14:textId="7A24F4FC" w:rsidR="005A1FB2" w:rsidRPr="00A457F8" w:rsidRDefault="005A1FB2" w:rsidP="002C2C73">
      <w:pPr>
        <w:pStyle w:val="Heading2"/>
        <w:rPr>
          <w:rFonts w:ascii="Arial" w:eastAsia="Times New Roman" w:hAnsi="Arial" w:cs="Arial"/>
        </w:rPr>
      </w:pPr>
      <w:bookmarkStart w:id="48" w:name="_Toc236074123"/>
      <w:r w:rsidRPr="00A457F8">
        <w:rPr>
          <w:rFonts w:ascii="Arial" w:eastAsia="Times New Roman" w:hAnsi="Arial" w:cs="Arial"/>
        </w:rPr>
        <w:t>2.4 Five Whys Analysis</w:t>
      </w:r>
      <w:bookmarkEnd w:id="48"/>
    </w:p>
    <w:p w14:paraId="54C5006A" w14:textId="77777777" w:rsidR="00315D36" w:rsidRPr="00A457F8" w:rsidRDefault="00315D36">
      <w:pPr>
        <w:pStyle w:val="p1"/>
        <w:rPr>
          <w:rFonts w:ascii="Arial" w:hAnsi="Arial" w:cs="Arial"/>
        </w:rPr>
      </w:pPr>
      <w:r w:rsidRPr="00A457F8">
        <w:rPr>
          <w:rFonts w:ascii="Arial" w:hAnsi="Arial" w:cs="Arial"/>
        </w:rPr>
        <w:t>The Five Whys technique identifies root causes by repeatedly asking why an incident occurred (IHI, 2023).</w:t>
      </w:r>
    </w:p>
    <w:p w14:paraId="7F22EB59" w14:textId="77777777" w:rsidR="00577656" w:rsidRPr="00A457F8" w:rsidRDefault="00577656" w:rsidP="00577656">
      <w:pPr>
        <w:rPr>
          <w:rFonts w:ascii="Arial" w:hAnsi="Arial" w:cs="Arial"/>
        </w:rPr>
      </w:pPr>
    </w:p>
    <w:p w14:paraId="19451BEF" w14:textId="3507EE87" w:rsidR="0029702A" w:rsidRDefault="0029702A" w:rsidP="0029702A">
      <w:pPr>
        <w:spacing w:before="100" w:beforeAutospacing="1" w:after="100" w:afterAutospacing="1" w:line="240" w:lineRule="auto"/>
        <w:jc w:val="center"/>
        <w:rPr>
          <w:rFonts w:ascii="Arial" w:hAnsi="Arial" w:cs="Arial"/>
          <w:kern w:val="0"/>
          <w:sz w:val="22"/>
          <w:szCs w:val="22"/>
          <w14:ligatures w14:val="none"/>
        </w:rPr>
      </w:pPr>
      <w:r w:rsidRPr="00A457F8">
        <w:rPr>
          <w:rFonts w:ascii="Arial" w:hAnsi="Arial" w:cs="Arial"/>
          <w:noProof/>
          <w:kern w:val="0"/>
          <w:sz w:val="22"/>
          <w:szCs w:val="22"/>
        </w:rPr>
        <w:drawing>
          <wp:inline distT="0" distB="0" distL="0" distR="0" wp14:anchorId="0C567F46" wp14:editId="05247BE7">
            <wp:extent cx="3106337" cy="2107096"/>
            <wp:effectExtent l="0" t="0" r="0" b="7620"/>
            <wp:docPr id="16621196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19632" name="Picture 1662119632"/>
                    <pic:cNvPicPr/>
                  </pic:nvPicPr>
                  <pic:blipFill>
                    <a:blip r:embed="rId9">
                      <a:extLst>
                        <a:ext uri="{28A0092B-C50C-407E-A947-70E740481C1C}">
                          <a14:useLocalDpi xmlns:a14="http://schemas.microsoft.com/office/drawing/2010/main" val="0"/>
                        </a:ext>
                      </a:extLst>
                    </a:blip>
                    <a:stretch>
                      <a:fillRect/>
                    </a:stretch>
                  </pic:blipFill>
                  <pic:spPr>
                    <a:xfrm>
                      <a:off x="0" y="0"/>
                      <a:ext cx="3112490" cy="2111270"/>
                    </a:xfrm>
                    <a:prstGeom prst="rect">
                      <a:avLst/>
                    </a:prstGeom>
                  </pic:spPr>
                </pic:pic>
              </a:graphicData>
            </a:graphic>
          </wp:inline>
        </w:drawing>
      </w:r>
    </w:p>
    <w:p w14:paraId="1EE2F2EC" w14:textId="16A765C2" w:rsidR="00EA71D2" w:rsidRDefault="00EA71D2" w:rsidP="0029702A">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Fig 3: 5 whys</w:t>
      </w:r>
    </w:p>
    <w:p w14:paraId="6AF3AE43" w14:textId="4ECEFA35" w:rsidR="00EA71D2" w:rsidRPr="00A457F8" w:rsidRDefault="00EA71D2" w:rsidP="0029702A">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Source(Annette Franz, 2016)</w:t>
      </w:r>
    </w:p>
    <w:tbl>
      <w:tblPr>
        <w:tblStyle w:val="GridTable1Light-Accent1"/>
        <w:tblW w:w="5000" w:type="pct"/>
        <w:tblLook w:val="04A0" w:firstRow="1" w:lastRow="0" w:firstColumn="1" w:lastColumn="0" w:noHBand="0" w:noVBand="1"/>
      </w:tblPr>
      <w:tblGrid>
        <w:gridCol w:w="2396"/>
        <w:gridCol w:w="6620"/>
      </w:tblGrid>
      <w:tr w:rsidR="000476DD" w:rsidRPr="00A457F8" w14:paraId="394C4EF8" w14:textId="77777777" w:rsidTr="006B26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noWrap/>
            <w:hideMark/>
          </w:tcPr>
          <w:p w14:paraId="51065A6C" w14:textId="77777777" w:rsidR="000476DD" w:rsidRPr="00A457F8" w:rsidRDefault="000476DD" w:rsidP="000476DD">
            <w:pPr>
              <w:spacing w:before="100" w:beforeAutospacing="1" w:after="100" w:afterAutospacing="1"/>
              <w:jc w:val="center"/>
              <w:rPr>
                <w:rFonts w:ascii="Arial" w:hAnsi="Arial" w:cs="Arial"/>
                <w:b w:val="0"/>
                <w:kern w:val="0"/>
                <w:sz w:val="22"/>
                <w:szCs w:val="22"/>
                <w14:ligatures w14:val="none"/>
              </w:rPr>
            </w:pPr>
            <w:r w:rsidRPr="00A457F8">
              <w:rPr>
                <w:rFonts w:ascii="Arial" w:hAnsi="Arial" w:cs="Arial"/>
                <w:kern w:val="0"/>
                <w:sz w:val="22"/>
                <w:szCs w:val="22"/>
                <w14:ligatures w14:val="none"/>
              </w:rPr>
              <w:t>Problem</w:t>
            </w:r>
          </w:p>
        </w:tc>
        <w:tc>
          <w:tcPr>
            <w:tcW w:w="0" w:type="auto"/>
            <w:noWrap/>
            <w:hideMark/>
          </w:tcPr>
          <w:p w14:paraId="7BC7C137" w14:textId="77777777" w:rsidR="000476DD" w:rsidRPr="00A457F8" w:rsidRDefault="000476DD" w:rsidP="000476D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kern w:val="0"/>
                <w:sz w:val="22"/>
                <w:szCs w:val="22"/>
                <w14:ligatures w14:val="none"/>
              </w:rPr>
            </w:pPr>
            <w:r w:rsidRPr="00A457F8">
              <w:rPr>
                <w:rFonts w:ascii="Arial" w:hAnsi="Arial" w:cs="Arial"/>
                <w:kern w:val="0"/>
                <w:sz w:val="22"/>
                <w:szCs w:val="22"/>
                <w14:ligatures w14:val="none"/>
              </w:rPr>
              <w:t>Critical Explanation</w:t>
            </w:r>
          </w:p>
        </w:tc>
      </w:tr>
      <w:tr w:rsidR="000476DD" w:rsidRPr="00A457F8" w14:paraId="5E0DAA77"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3F7E60D4"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Patient died after receiving the wrong medication.</w:t>
            </w:r>
          </w:p>
        </w:tc>
        <w:tc>
          <w:tcPr>
            <w:tcW w:w="0" w:type="auto"/>
            <w:noWrap/>
            <w:hideMark/>
          </w:tcPr>
          <w:p w14:paraId="6E556B98"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Charlene Murphey received vecuronium instead of the prescribed sedative midazolam, resulting in respiratory arrest and death (CMS, 2019).</w:t>
            </w:r>
          </w:p>
        </w:tc>
      </w:tr>
      <w:tr w:rsidR="000476DD" w:rsidRPr="00A457F8" w14:paraId="31D9308D"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4D5187FF"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Why 1: Why was the wrong medication administered?</w:t>
            </w:r>
          </w:p>
        </w:tc>
        <w:tc>
          <w:tcPr>
            <w:tcW w:w="0" w:type="auto"/>
            <w:noWrap/>
            <w:hideMark/>
          </w:tcPr>
          <w:p w14:paraId="4BDB29A3"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The nurse selected vecuronium from the automated dispensing cabinet instead of midazolam and administered it without recognising the error.</w:t>
            </w:r>
          </w:p>
        </w:tc>
      </w:tr>
      <w:tr w:rsidR="000476DD" w:rsidRPr="00A457F8" w14:paraId="3742D41E"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74285EFF"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lastRenderedPageBreak/>
              <w:t>Why 2: Why was the incorrect medication selected?</w:t>
            </w:r>
          </w:p>
        </w:tc>
        <w:tc>
          <w:tcPr>
            <w:tcW w:w="0" w:type="auto"/>
            <w:noWrap/>
            <w:hideMark/>
          </w:tcPr>
          <w:p w14:paraId="4BD14B4E"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The automated dispensing cabinet override function was used, allowing access to medications without the usual electronic verification process. Barcode medication administration was also not utilised (ISMP, 2022).</w:t>
            </w:r>
          </w:p>
        </w:tc>
      </w:tr>
      <w:tr w:rsidR="000476DD" w:rsidRPr="00A457F8" w14:paraId="65430F15"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19D04224"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Why 3: Why were medication safety procedures bypassed?</w:t>
            </w:r>
          </w:p>
        </w:tc>
        <w:tc>
          <w:tcPr>
            <w:tcW w:w="0" w:type="auto"/>
            <w:noWrap/>
            <w:hideMark/>
          </w:tcPr>
          <w:p w14:paraId="65861E3E"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Technical problems with the electronic medication system had led nurses to routinely use overrides, making unsafe workarounds part of everyday clinical practice.</w:t>
            </w:r>
          </w:p>
        </w:tc>
      </w:tr>
      <w:tr w:rsidR="000476DD" w:rsidRPr="00A457F8" w14:paraId="6703D430"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58A67B4F"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Why 4: Why had unsafe workarounds become normal practice?</w:t>
            </w:r>
          </w:p>
        </w:tc>
        <w:tc>
          <w:tcPr>
            <w:tcW w:w="0" w:type="auto"/>
            <w:noWrap/>
            <w:hideMark/>
          </w:tcPr>
          <w:p w14:paraId="05D56802"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Organisational leadership failed to identify and address repeated medication safety risks through effective monitoring, clinical governance, and quality assurance processes.</w:t>
            </w:r>
          </w:p>
        </w:tc>
      </w:tr>
      <w:tr w:rsidR="000476DD" w:rsidRPr="00A457F8" w14:paraId="5036E50F" w14:textId="77777777" w:rsidTr="006B2676">
        <w:tc>
          <w:tcPr>
            <w:cnfStyle w:val="001000000000" w:firstRow="0" w:lastRow="0" w:firstColumn="1" w:lastColumn="0" w:oddVBand="0" w:evenVBand="0" w:oddHBand="0" w:evenHBand="0" w:firstRowFirstColumn="0" w:firstRowLastColumn="0" w:lastRowFirstColumn="0" w:lastRowLastColumn="0"/>
            <w:tcW w:w="0" w:type="auto"/>
            <w:noWrap/>
            <w:hideMark/>
          </w:tcPr>
          <w:p w14:paraId="18F02FDF" w14:textId="77777777" w:rsidR="000476DD" w:rsidRPr="00A457F8" w:rsidRDefault="000476DD" w:rsidP="000476DD">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Why 5: Why did organisational systems fail to prevent the incident?</w:t>
            </w:r>
          </w:p>
        </w:tc>
        <w:tc>
          <w:tcPr>
            <w:tcW w:w="0" w:type="auto"/>
            <w:noWrap/>
            <w:hideMark/>
          </w:tcPr>
          <w:p w14:paraId="51695035" w14:textId="77777777" w:rsidR="000476DD" w:rsidRPr="00A457F8" w:rsidRDefault="000476DD" w:rsidP="000476D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Weak patient safety culture, inadequate risk management, insufficient leadership oversight, and poor organisational learning allowed unsafe practices to continue without corrective action (AHRQ, 2022).</w:t>
            </w:r>
          </w:p>
        </w:tc>
      </w:tr>
    </w:tbl>
    <w:p w14:paraId="0424D1DC" w14:textId="77777777" w:rsidR="00E73B97" w:rsidRPr="00A457F8" w:rsidRDefault="00E73B97">
      <w:pPr>
        <w:pStyle w:val="p1"/>
        <w:rPr>
          <w:rFonts w:ascii="Arial" w:hAnsi="Arial" w:cs="Arial"/>
        </w:rPr>
      </w:pPr>
      <w:r w:rsidRPr="00A457F8">
        <w:rPr>
          <w:rFonts w:ascii="Arial" w:hAnsi="Arial" w:cs="Arial"/>
        </w:rPr>
        <w:t>The analysis shows that the fatal error resulted from organisational weaknesses rather than solely individual negligence. Technology failures, inadequate governance and poor safety culture created conditions in which human error reached the patient.</w:t>
      </w:r>
    </w:p>
    <w:p w14:paraId="13939EFF" w14:textId="77777777" w:rsidR="00E73B97" w:rsidRPr="00A457F8" w:rsidRDefault="00E73B97">
      <w:pPr>
        <w:pStyle w:val="p2"/>
        <w:rPr>
          <w:rFonts w:ascii="Arial" w:hAnsi="Arial" w:cs="Arial"/>
        </w:rPr>
      </w:pPr>
      <w:r w:rsidRPr="00A457F8">
        <w:rPr>
          <w:rFonts w:ascii="Arial" w:hAnsi="Arial" w:cs="Arial"/>
          <w:b/>
          <w:bCs/>
        </w:rPr>
        <w:t>Critical evaluation</w:t>
      </w:r>
    </w:p>
    <w:p w14:paraId="21474759" w14:textId="77777777" w:rsidR="00E73B97" w:rsidRPr="00A457F8" w:rsidRDefault="00E73B97">
      <w:pPr>
        <w:pStyle w:val="p3"/>
        <w:rPr>
          <w:rFonts w:ascii="Arial" w:hAnsi="Arial" w:cs="Arial"/>
        </w:rPr>
      </w:pPr>
      <w:r w:rsidRPr="00A457F8">
        <w:rPr>
          <w:rFonts w:ascii="Arial" w:hAnsi="Arial" w:cs="Arial"/>
        </w:rPr>
        <w:t>The Five Whys encourages organisations to investigate system failures rather than assigning blame. However, healthcare incidents are often complex, meaning the technique should be used alongside broader quality improvement methods.</w:t>
      </w:r>
    </w:p>
    <w:p w14:paraId="7BAC9BEF" w14:textId="55273237" w:rsidR="00395F4D" w:rsidRPr="00A457F8" w:rsidRDefault="00395F4D" w:rsidP="00395F4D">
      <w:pPr>
        <w:spacing w:before="100" w:beforeAutospacing="1" w:after="100" w:afterAutospacing="1" w:line="240" w:lineRule="auto"/>
        <w:rPr>
          <w:rFonts w:ascii="Arial" w:hAnsi="Arial" w:cs="Arial"/>
          <w:kern w:val="0"/>
          <w:sz w:val="22"/>
          <w:szCs w:val="22"/>
          <w14:ligatures w14:val="none"/>
        </w:rPr>
      </w:pPr>
    </w:p>
    <w:p w14:paraId="2808BEA0" w14:textId="19F1BEAE" w:rsidR="00163ABA" w:rsidRPr="00A457F8" w:rsidRDefault="00163ABA" w:rsidP="002C2C73">
      <w:pPr>
        <w:pStyle w:val="Heading2"/>
        <w:rPr>
          <w:rFonts w:ascii="Arial" w:eastAsia="Times New Roman" w:hAnsi="Arial" w:cs="Arial"/>
        </w:rPr>
      </w:pPr>
      <w:bookmarkStart w:id="49" w:name="_Toc236074124"/>
      <w:r w:rsidRPr="00A457F8">
        <w:rPr>
          <w:rFonts w:ascii="Arial" w:eastAsia="Times New Roman" w:hAnsi="Arial" w:cs="Arial"/>
        </w:rPr>
        <w:t>2.5 SWOT Analysis</w:t>
      </w:r>
      <w:bookmarkEnd w:id="49"/>
      <w:r w:rsidRPr="00A457F8">
        <w:rPr>
          <w:rFonts w:ascii="Arial" w:eastAsia="Times New Roman" w:hAnsi="Arial" w:cs="Arial"/>
        </w:rPr>
        <w:t xml:space="preserve"> </w:t>
      </w:r>
    </w:p>
    <w:p w14:paraId="177712DA" w14:textId="77777777" w:rsidR="00055900" w:rsidRPr="00A457F8" w:rsidRDefault="00055900">
      <w:pPr>
        <w:pStyle w:val="p1"/>
        <w:rPr>
          <w:rFonts w:ascii="Arial" w:hAnsi="Arial" w:cs="Arial"/>
        </w:rPr>
      </w:pPr>
      <w:r w:rsidRPr="00A457F8">
        <w:rPr>
          <w:rFonts w:ascii="Arial" w:hAnsi="Arial" w:cs="Arial"/>
        </w:rPr>
        <w:t>SWOT analysis evaluates organisational strengths, weaknesses, opportunities and threats (Gürel and Tat, 2017).</w:t>
      </w:r>
    </w:p>
    <w:p w14:paraId="023148C9" w14:textId="77777777" w:rsidR="00055900" w:rsidRPr="00A457F8" w:rsidRDefault="00055900" w:rsidP="00055900">
      <w:pPr>
        <w:rPr>
          <w:rFonts w:ascii="Arial" w:hAnsi="Arial" w:cs="Arial"/>
        </w:rPr>
      </w:pPr>
    </w:p>
    <w:p w14:paraId="40BA1DDC" w14:textId="0A146BE1" w:rsidR="0029702A" w:rsidRDefault="00C51BDD" w:rsidP="00C51BDD">
      <w:pPr>
        <w:spacing w:before="100" w:beforeAutospacing="1" w:after="100" w:afterAutospacing="1" w:line="240" w:lineRule="auto"/>
        <w:jc w:val="center"/>
        <w:rPr>
          <w:rFonts w:ascii="Arial" w:hAnsi="Arial" w:cs="Arial"/>
          <w:kern w:val="0"/>
          <w:sz w:val="22"/>
          <w:szCs w:val="22"/>
          <w14:ligatures w14:val="none"/>
        </w:rPr>
      </w:pPr>
      <w:r w:rsidRPr="00A457F8">
        <w:rPr>
          <w:rFonts w:ascii="Arial" w:hAnsi="Arial" w:cs="Arial"/>
          <w:noProof/>
        </w:rPr>
        <w:lastRenderedPageBreak/>
        <w:drawing>
          <wp:inline distT="0" distB="0" distL="0" distR="0" wp14:anchorId="1FCDE4AD" wp14:editId="5834F843">
            <wp:extent cx="3409729" cy="2559374"/>
            <wp:effectExtent l="0" t="0" r="635" b="0"/>
            <wp:docPr id="7722531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2515" cy="2568971"/>
                    </a:xfrm>
                    <a:prstGeom prst="rect">
                      <a:avLst/>
                    </a:prstGeom>
                    <a:noFill/>
                    <a:ln>
                      <a:noFill/>
                    </a:ln>
                  </pic:spPr>
                </pic:pic>
              </a:graphicData>
            </a:graphic>
          </wp:inline>
        </w:drawing>
      </w:r>
    </w:p>
    <w:p w14:paraId="0539BE49" w14:textId="5F5AF5DF" w:rsidR="00E476B8" w:rsidRDefault="00E476B8" w:rsidP="00C51BDD">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Fig 4: SWOT anaylysis</w:t>
      </w:r>
    </w:p>
    <w:p w14:paraId="2B4837E2" w14:textId="6CBAB725" w:rsidR="00E476B8" w:rsidRPr="00A457F8" w:rsidRDefault="00E476B8" w:rsidP="00C51BDD">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Source( BNI Global, 2023)</w:t>
      </w:r>
    </w:p>
    <w:tbl>
      <w:tblPr>
        <w:tblStyle w:val="GridTable1Light-Accent1"/>
        <w:tblW w:w="5000" w:type="pct"/>
        <w:tblLayout w:type="fixed"/>
        <w:tblLook w:val="04A0" w:firstRow="1" w:lastRow="0" w:firstColumn="1" w:lastColumn="0" w:noHBand="0" w:noVBand="1"/>
      </w:tblPr>
      <w:tblGrid>
        <w:gridCol w:w="1414"/>
        <w:gridCol w:w="7602"/>
      </w:tblGrid>
      <w:tr w:rsidR="00013BF9" w:rsidRPr="00A457F8" w14:paraId="47518451" w14:textId="77777777" w:rsidTr="00803F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84" w:type="pct"/>
            <w:noWrap/>
            <w:hideMark/>
          </w:tcPr>
          <w:p w14:paraId="443571A1" w14:textId="77777777" w:rsidR="00013BF9" w:rsidRPr="00A457F8" w:rsidRDefault="00013BF9" w:rsidP="00013BF9">
            <w:pPr>
              <w:spacing w:before="100" w:beforeAutospacing="1" w:after="100" w:afterAutospacing="1"/>
              <w:jc w:val="center"/>
              <w:rPr>
                <w:rFonts w:ascii="Arial" w:hAnsi="Arial" w:cs="Arial"/>
                <w:b w:val="0"/>
                <w:kern w:val="0"/>
                <w:sz w:val="22"/>
                <w:szCs w:val="22"/>
                <w14:ligatures w14:val="none"/>
              </w:rPr>
            </w:pPr>
            <w:r w:rsidRPr="00A457F8">
              <w:rPr>
                <w:rFonts w:ascii="Arial" w:hAnsi="Arial" w:cs="Arial"/>
                <w:kern w:val="0"/>
                <w:sz w:val="22"/>
                <w:szCs w:val="22"/>
                <w14:ligatures w14:val="none"/>
              </w:rPr>
              <w:t>Element</w:t>
            </w:r>
          </w:p>
        </w:tc>
        <w:tc>
          <w:tcPr>
            <w:tcW w:w="4216" w:type="pct"/>
            <w:noWrap/>
            <w:hideMark/>
          </w:tcPr>
          <w:p w14:paraId="51550FF1" w14:textId="77777777" w:rsidR="00013BF9" w:rsidRPr="00A457F8" w:rsidRDefault="00013BF9" w:rsidP="00013BF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Arial" w:hAnsi="Arial" w:cs="Arial"/>
                <w:b w:val="0"/>
                <w:kern w:val="0"/>
                <w:sz w:val="22"/>
                <w:szCs w:val="22"/>
                <w14:ligatures w14:val="none"/>
              </w:rPr>
            </w:pPr>
            <w:r w:rsidRPr="00A457F8">
              <w:rPr>
                <w:rFonts w:ascii="Arial" w:hAnsi="Arial" w:cs="Arial"/>
                <w:kern w:val="0"/>
                <w:sz w:val="22"/>
                <w:szCs w:val="22"/>
                <w14:ligatures w14:val="none"/>
              </w:rPr>
              <w:t>Critical Analysis</w:t>
            </w:r>
          </w:p>
        </w:tc>
      </w:tr>
      <w:tr w:rsidR="00013BF9" w:rsidRPr="00A457F8" w14:paraId="2B72D5B6" w14:textId="77777777" w:rsidTr="00803F9D">
        <w:tc>
          <w:tcPr>
            <w:cnfStyle w:val="001000000000" w:firstRow="0" w:lastRow="0" w:firstColumn="1" w:lastColumn="0" w:oddVBand="0" w:evenVBand="0" w:oddHBand="0" w:evenHBand="0" w:firstRowFirstColumn="0" w:firstRowLastColumn="0" w:lastRowFirstColumn="0" w:lastRowLastColumn="0"/>
            <w:tcW w:w="784" w:type="pct"/>
            <w:noWrap/>
            <w:hideMark/>
          </w:tcPr>
          <w:p w14:paraId="1D4DE341" w14:textId="77777777" w:rsidR="00013BF9" w:rsidRPr="00A457F8" w:rsidRDefault="00013BF9" w:rsidP="00013BF9">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Strengths</w:t>
            </w:r>
          </w:p>
        </w:tc>
        <w:tc>
          <w:tcPr>
            <w:tcW w:w="4216" w:type="pct"/>
            <w:noWrap/>
            <w:hideMark/>
          </w:tcPr>
          <w:p w14:paraId="5014078F" w14:textId="77777777" w:rsidR="00013BF9" w:rsidRPr="00A457F8" w:rsidRDefault="00013BF9" w:rsidP="00013BF9">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Vanderbilt University Medical Center (VUMC) had established medication safety policies, electronic health records, automated dispensing cabinets (ADCs), barcode medication administration (BCMA), and trained healthcare professionals. These systems were designed to reduce medication errors and improve patient safety. However, their effectiveness depended on consistent implementation and organisational compliance (AHRQ, 2022).</w:t>
            </w:r>
          </w:p>
        </w:tc>
      </w:tr>
      <w:tr w:rsidR="00013BF9" w:rsidRPr="00A457F8" w14:paraId="19376175" w14:textId="77777777" w:rsidTr="00803F9D">
        <w:tc>
          <w:tcPr>
            <w:cnfStyle w:val="001000000000" w:firstRow="0" w:lastRow="0" w:firstColumn="1" w:lastColumn="0" w:oddVBand="0" w:evenVBand="0" w:oddHBand="0" w:evenHBand="0" w:firstRowFirstColumn="0" w:firstRowLastColumn="0" w:lastRowFirstColumn="0" w:lastRowLastColumn="0"/>
            <w:tcW w:w="784" w:type="pct"/>
            <w:noWrap/>
            <w:hideMark/>
          </w:tcPr>
          <w:p w14:paraId="6F7D7C02" w14:textId="77777777" w:rsidR="00013BF9" w:rsidRPr="00A457F8" w:rsidRDefault="00013BF9" w:rsidP="00013BF9">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Weaknesses</w:t>
            </w:r>
          </w:p>
        </w:tc>
        <w:tc>
          <w:tcPr>
            <w:tcW w:w="4216" w:type="pct"/>
            <w:noWrap/>
            <w:hideMark/>
          </w:tcPr>
          <w:p w14:paraId="3C0B5136" w14:textId="77777777" w:rsidR="00013BF9" w:rsidRPr="00A457F8" w:rsidRDefault="00013BF9" w:rsidP="00013BF9">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Significant weaknesses included routine use of ADC override functions, inadequate medication verification, failure to utilise barcode scanning, insufficient patient monitoring, weak clinical governance, ineffective leadership oversight, and poor organisational learning. These deficiencies reduced the effectiveness of multiple safety barriers and increased the likelihood of human error (CMS, 2019).</w:t>
            </w:r>
          </w:p>
        </w:tc>
      </w:tr>
      <w:tr w:rsidR="00013BF9" w:rsidRPr="00A457F8" w14:paraId="70690411" w14:textId="77777777" w:rsidTr="00803F9D">
        <w:tc>
          <w:tcPr>
            <w:cnfStyle w:val="001000000000" w:firstRow="0" w:lastRow="0" w:firstColumn="1" w:lastColumn="0" w:oddVBand="0" w:evenVBand="0" w:oddHBand="0" w:evenHBand="0" w:firstRowFirstColumn="0" w:firstRowLastColumn="0" w:lastRowFirstColumn="0" w:lastRowLastColumn="0"/>
            <w:tcW w:w="784" w:type="pct"/>
            <w:noWrap/>
            <w:hideMark/>
          </w:tcPr>
          <w:p w14:paraId="7CA27B00" w14:textId="77777777" w:rsidR="00013BF9" w:rsidRPr="00A457F8" w:rsidRDefault="00013BF9" w:rsidP="00013BF9">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Opportunities</w:t>
            </w:r>
          </w:p>
        </w:tc>
        <w:tc>
          <w:tcPr>
            <w:tcW w:w="4216" w:type="pct"/>
            <w:noWrap/>
            <w:hideMark/>
          </w:tcPr>
          <w:p w14:paraId="0055A35E" w14:textId="77777777" w:rsidR="00013BF9" w:rsidRPr="00A457F8" w:rsidRDefault="00013BF9" w:rsidP="00013BF9">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The incident provides an opportunity to strengthen medication safety through improved staff education, enhanced clinical governance, better utilisation of digital technologies, stronger medication administration protocols, regular safety audits, simulation-based training, and development of a Just Culture that promotes transparency and learning from adverse events (ISMP, 2022).</w:t>
            </w:r>
          </w:p>
        </w:tc>
      </w:tr>
      <w:tr w:rsidR="00013BF9" w:rsidRPr="00A457F8" w14:paraId="2E758F39" w14:textId="77777777" w:rsidTr="00803F9D">
        <w:tc>
          <w:tcPr>
            <w:cnfStyle w:val="001000000000" w:firstRow="0" w:lastRow="0" w:firstColumn="1" w:lastColumn="0" w:oddVBand="0" w:evenVBand="0" w:oddHBand="0" w:evenHBand="0" w:firstRowFirstColumn="0" w:firstRowLastColumn="0" w:lastRowFirstColumn="0" w:lastRowLastColumn="0"/>
            <w:tcW w:w="784" w:type="pct"/>
            <w:noWrap/>
            <w:hideMark/>
          </w:tcPr>
          <w:p w14:paraId="07CE05DA" w14:textId="77777777" w:rsidR="00013BF9" w:rsidRPr="00A457F8" w:rsidRDefault="00013BF9" w:rsidP="00013BF9">
            <w:pPr>
              <w:spacing w:before="100" w:beforeAutospacing="1" w:after="100" w:afterAutospacing="1"/>
              <w:rPr>
                <w:rFonts w:ascii="Arial" w:hAnsi="Arial" w:cs="Arial"/>
                <w:kern w:val="0"/>
                <w:sz w:val="22"/>
                <w:szCs w:val="22"/>
                <w14:ligatures w14:val="none"/>
              </w:rPr>
            </w:pPr>
            <w:r w:rsidRPr="00A457F8">
              <w:rPr>
                <w:rFonts w:ascii="Arial" w:hAnsi="Arial" w:cs="Arial"/>
                <w:kern w:val="0"/>
                <w:sz w:val="22"/>
                <w:szCs w:val="22"/>
                <w14:ligatures w14:val="none"/>
              </w:rPr>
              <w:t>Threats</w:t>
            </w:r>
          </w:p>
        </w:tc>
        <w:tc>
          <w:tcPr>
            <w:tcW w:w="4216" w:type="pct"/>
            <w:noWrap/>
            <w:hideMark/>
          </w:tcPr>
          <w:p w14:paraId="05C33FDC" w14:textId="77777777" w:rsidR="00013BF9" w:rsidRPr="00A457F8" w:rsidRDefault="00013BF9" w:rsidP="00013BF9">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hAnsi="Arial" w:cs="Arial"/>
                <w:kern w:val="0"/>
                <w:sz w:val="22"/>
                <w:szCs w:val="22"/>
                <w14:ligatures w14:val="none"/>
              </w:rPr>
            </w:pPr>
            <w:r w:rsidRPr="00A457F8">
              <w:rPr>
                <w:rFonts w:ascii="Arial" w:hAnsi="Arial" w:cs="Arial"/>
                <w:kern w:val="0"/>
                <w:sz w:val="22"/>
                <w:szCs w:val="22"/>
                <w14:ligatures w14:val="none"/>
              </w:rPr>
              <w:t>Continuing reliance on unsafe workarounds, increasing workload pressures, staff shortages, technological failures, fear of criminal prosecution following medical errors, reputational damage, litigation, and declining public trust may discourage incident reporting and hinder continuous quality improvement efforts (Marx, 2001).</w:t>
            </w:r>
          </w:p>
        </w:tc>
      </w:tr>
    </w:tbl>
    <w:p w14:paraId="1C8FAC00" w14:textId="77777777" w:rsidR="00AA672E" w:rsidRPr="00A457F8" w:rsidRDefault="00AA672E">
      <w:pPr>
        <w:pStyle w:val="p1"/>
        <w:rPr>
          <w:rFonts w:ascii="Arial" w:hAnsi="Arial" w:cs="Arial"/>
        </w:rPr>
      </w:pPr>
      <w:r w:rsidRPr="00A457F8">
        <w:rPr>
          <w:rFonts w:ascii="Arial" w:hAnsi="Arial" w:cs="Arial"/>
        </w:rPr>
        <w:t>Although Vanderbilt possessed advanced medication safety systems, ineffective implementation reduced their effectiveness. The incident provides opportunities to improve leadership, digital systems and organisational learning. However, criminal prosecution may discourage future error reporting and weaken patient safety culture.</w:t>
      </w:r>
    </w:p>
    <w:p w14:paraId="4EC6370B" w14:textId="77777777" w:rsidR="00AA672E" w:rsidRPr="00A457F8" w:rsidRDefault="00AA672E">
      <w:pPr>
        <w:pStyle w:val="p2"/>
        <w:rPr>
          <w:rFonts w:ascii="Arial" w:hAnsi="Arial" w:cs="Arial"/>
        </w:rPr>
      </w:pPr>
      <w:r w:rsidRPr="00A457F8">
        <w:rPr>
          <w:rFonts w:ascii="Arial" w:hAnsi="Arial" w:cs="Arial"/>
          <w:b/>
          <w:bCs/>
        </w:rPr>
        <w:t>Critical evaluation</w:t>
      </w:r>
    </w:p>
    <w:p w14:paraId="253A7FEF" w14:textId="77777777" w:rsidR="00AA672E" w:rsidRPr="00A457F8" w:rsidRDefault="00AA672E">
      <w:pPr>
        <w:pStyle w:val="p3"/>
        <w:rPr>
          <w:rFonts w:ascii="Arial" w:hAnsi="Arial" w:cs="Arial"/>
        </w:rPr>
      </w:pPr>
      <w:r w:rsidRPr="00A457F8">
        <w:rPr>
          <w:rFonts w:ascii="Arial" w:hAnsi="Arial" w:cs="Arial"/>
        </w:rPr>
        <w:lastRenderedPageBreak/>
        <w:t>SWOT provides a useful strategic overview but does not explain causal relationships. It is therefore most effective when used with root cause analysis tools.</w:t>
      </w:r>
    </w:p>
    <w:p w14:paraId="3EC6D829" w14:textId="435F6391" w:rsidR="002B5AFF" w:rsidRPr="00A457F8" w:rsidRDefault="002B5AFF" w:rsidP="002B5AFF">
      <w:pPr>
        <w:spacing w:before="100" w:beforeAutospacing="1" w:after="100" w:afterAutospacing="1" w:line="240" w:lineRule="auto"/>
        <w:rPr>
          <w:rFonts w:ascii="Arial" w:hAnsi="Arial" w:cs="Arial"/>
          <w:kern w:val="0"/>
          <w:sz w:val="22"/>
          <w:szCs w:val="22"/>
          <w14:ligatures w14:val="none"/>
        </w:rPr>
      </w:pPr>
    </w:p>
    <w:p w14:paraId="7AF58107" w14:textId="5B9A3BE0" w:rsidR="007E0F1A" w:rsidRPr="00A457F8" w:rsidRDefault="007E0F1A" w:rsidP="002C2C73">
      <w:pPr>
        <w:pStyle w:val="Heading2"/>
        <w:rPr>
          <w:rFonts w:ascii="Arial" w:eastAsia="Times New Roman" w:hAnsi="Arial" w:cs="Arial"/>
        </w:rPr>
      </w:pPr>
      <w:bookmarkStart w:id="50" w:name="_Toc236074125"/>
      <w:r w:rsidRPr="00A457F8">
        <w:rPr>
          <w:rFonts w:ascii="Arial" w:eastAsia="Times New Roman" w:hAnsi="Arial" w:cs="Arial"/>
        </w:rPr>
        <w:t>2.6 Kurt Lewin’s Three-Stage Change Model</w:t>
      </w:r>
      <w:bookmarkEnd w:id="50"/>
      <w:r w:rsidRPr="00A457F8">
        <w:rPr>
          <w:rFonts w:ascii="Arial" w:eastAsia="Times New Roman" w:hAnsi="Arial" w:cs="Arial"/>
        </w:rPr>
        <w:t xml:space="preserve"> </w:t>
      </w:r>
    </w:p>
    <w:p w14:paraId="1E8BD7BD" w14:textId="77777777" w:rsidR="00536EA5" w:rsidRPr="00A457F8" w:rsidRDefault="00536EA5">
      <w:pPr>
        <w:pStyle w:val="p1"/>
        <w:rPr>
          <w:rFonts w:ascii="Arial" w:hAnsi="Arial" w:cs="Arial"/>
        </w:rPr>
      </w:pPr>
      <w:r w:rsidRPr="00A457F8">
        <w:rPr>
          <w:rFonts w:ascii="Arial" w:hAnsi="Arial" w:cs="Arial"/>
        </w:rPr>
        <w:t>Lewin’s Change Model (1947) provides a framework for implementing sustainable organisational improvement.</w:t>
      </w:r>
    </w:p>
    <w:p w14:paraId="6FA9F164" w14:textId="77777777" w:rsidR="00536EA5" w:rsidRPr="00A457F8" w:rsidRDefault="00536EA5" w:rsidP="00536EA5">
      <w:pPr>
        <w:rPr>
          <w:rFonts w:ascii="Arial" w:hAnsi="Arial" w:cs="Arial"/>
        </w:rPr>
      </w:pPr>
    </w:p>
    <w:p w14:paraId="2115FD33" w14:textId="73BC74F2" w:rsidR="00C51BDD" w:rsidRDefault="0099029E" w:rsidP="0099029E">
      <w:pPr>
        <w:spacing w:before="100" w:beforeAutospacing="1" w:after="100" w:afterAutospacing="1" w:line="240" w:lineRule="auto"/>
        <w:jc w:val="center"/>
        <w:rPr>
          <w:rFonts w:ascii="Arial" w:hAnsi="Arial" w:cs="Arial"/>
          <w:kern w:val="0"/>
          <w:sz w:val="22"/>
          <w:szCs w:val="22"/>
          <w14:ligatures w14:val="none"/>
        </w:rPr>
      </w:pPr>
      <w:r w:rsidRPr="00A457F8">
        <w:rPr>
          <w:rFonts w:ascii="Arial" w:hAnsi="Arial" w:cs="Arial"/>
          <w:noProof/>
        </w:rPr>
        <w:drawing>
          <wp:inline distT="0" distB="0" distL="0" distR="0" wp14:anchorId="160AE4E8" wp14:editId="48AE0CFC">
            <wp:extent cx="3188473" cy="1594237"/>
            <wp:effectExtent l="0" t="0" r="0" b="6350"/>
            <wp:docPr id="8372098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9058" cy="1599529"/>
                    </a:xfrm>
                    <a:prstGeom prst="rect">
                      <a:avLst/>
                    </a:prstGeom>
                    <a:noFill/>
                    <a:ln>
                      <a:noFill/>
                    </a:ln>
                  </pic:spPr>
                </pic:pic>
              </a:graphicData>
            </a:graphic>
          </wp:inline>
        </w:drawing>
      </w:r>
    </w:p>
    <w:p w14:paraId="102394BD" w14:textId="62ABC806" w:rsidR="00E56853" w:rsidRDefault="00E56853" w:rsidP="0099029E">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Fig 5 Kurt Lewin model</w:t>
      </w:r>
    </w:p>
    <w:p w14:paraId="020240B8" w14:textId="4D014CA1" w:rsidR="00E56853" w:rsidRPr="00A457F8" w:rsidRDefault="00E56853" w:rsidP="0099029E">
      <w:pPr>
        <w:spacing w:before="100" w:beforeAutospacing="1" w:after="100" w:afterAutospacing="1" w:line="240" w:lineRule="auto"/>
        <w:jc w:val="center"/>
        <w:rPr>
          <w:rFonts w:ascii="Arial" w:hAnsi="Arial" w:cs="Arial"/>
          <w:kern w:val="0"/>
          <w:sz w:val="22"/>
          <w:szCs w:val="22"/>
          <w14:ligatures w14:val="none"/>
        </w:rPr>
      </w:pPr>
      <w:r>
        <w:rPr>
          <w:rFonts w:ascii="Arial" w:hAnsi="Arial" w:cs="Arial"/>
          <w:kern w:val="0"/>
          <w:sz w:val="22"/>
          <w:szCs w:val="22"/>
          <w14:ligatures w14:val="none"/>
        </w:rPr>
        <w:t>Source (Helena  Broderick, 2013)</w:t>
      </w:r>
    </w:p>
    <w:p w14:paraId="6911B2A5" w14:textId="77777777" w:rsidR="00711716" w:rsidRPr="00A457F8" w:rsidRDefault="00711716" w:rsidP="00711716">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51" w:name="_Toc236074126"/>
      <w:r w:rsidRPr="00A457F8">
        <w:rPr>
          <w:rFonts w:ascii="Arial" w:eastAsia="Times New Roman" w:hAnsi="Arial" w:cs="Arial"/>
          <w:b/>
          <w:bCs/>
          <w:kern w:val="0"/>
          <w:sz w:val="27"/>
          <w:szCs w:val="27"/>
          <w14:ligatures w14:val="none"/>
        </w:rPr>
        <w:t>Unfreeze</w:t>
      </w:r>
      <w:bookmarkEnd w:id="51"/>
    </w:p>
    <w:p w14:paraId="66FF571B" w14:textId="77777777" w:rsidR="00711716" w:rsidRPr="00A457F8" w:rsidRDefault="00711716" w:rsidP="00711716">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Leadership should acknowledge failures within medication management, communicate lessons from the incident and encourage open reporting through a Just Culture. Unsafe practices such as routine ADC overrides must be recognised as unacceptable.</w:t>
      </w:r>
    </w:p>
    <w:p w14:paraId="6CBD879D" w14:textId="77777777" w:rsidR="00711716" w:rsidRPr="00A457F8" w:rsidRDefault="00711716" w:rsidP="00711716">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52" w:name="_Toc236074127"/>
      <w:r w:rsidRPr="00A457F8">
        <w:rPr>
          <w:rFonts w:ascii="Arial" w:eastAsia="Times New Roman" w:hAnsi="Arial" w:cs="Arial"/>
          <w:b/>
          <w:bCs/>
          <w:kern w:val="0"/>
          <w:sz w:val="27"/>
          <w:szCs w:val="27"/>
          <w14:ligatures w14:val="none"/>
        </w:rPr>
        <w:t>Change</w:t>
      </w:r>
      <w:bookmarkEnd w:id="52"/>
    </w:p>
    <w:p w14:paraId="3E0885F3" w14:textId="77777777" w:rsidR="00711716" w:rsidRPr="00A457F8" w:rsidRDefault="00711716" w:rsidP="00711716">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Medication safety should be strengthened by restricting override use, enforcing barcode medication administration, improving staff training, conducting regular competency assessments and increasing leadership monitoring through audits and medication safety reviews (ISMP, 2022).</w:t>
      </w:r>
    </w:p>
    <w:p w14:paraId="6807951D" w14:textId="77777777" w:rsidR="00711716" w:rsidRPr="00A457F8" w:rsidRDefault="00711716" w:rsidP="00711716">
      <w:pPr>
        <w:spacing w:before="100" w:beforeAutospacing="1" w:after="100" w:afterAutospacing="1" w:line="240" w:lineRule="auto"/>
        <w:outlineLvl w:val="2"/>
        <w:rPr>
          <w:rFonts w:ascii="Arial" w:eastAsia="Times New Roman" w:hAnsi="Arial" w:cs="Arial"/>
          <w:b/>
          <w:bCs/>
          <w:kern w:val="0"/>
          <w:sz w:val="27"/>
          <w:szCs w:val="27"/>
          <w14:ligatures w14:val="none"/>
        </w:rPr>
      </w:pPr>
      <w:bookmarkStart w:id="53" w:name="_Toc236074128"/>
      <w:r w:rsidRPr="00A457F8">
        <w:rPr>
          <w:rFonts w:ascii="Arial" w:eastAsia="Times New Roman" w:hAnsi="Arial" w:cs="Arial"/>
          <w:b/>
          <w:bCs/>
          <w:kern w:val="0"/>
          <w:sz w:val="27"/>
          <w:szCs w:val="27"/>
          <w14:ligatures w14:val="none"/>
        </w:rPr>
        <w:t>Refreeze</w:t>
      </w:r>
      <w:bookmarkEnd w:id="53"/>
    </w:p>
    <w:p w14:paraId="05F07193" w14:textId="77777777" w:rsidR="00711716" w:rsidRPr="00A457F8" w:rsidRDefault="00711716" w:rsidP="00711716">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t>Improved practices should become standard through continuous education, clinical audits, incident reporting, performance monitoring and regular review of medication safety indicators. Embedding these changes within organisational culture supports long-term patient safety.</w:t>
      </w:r>
    </w:p>
    <w:p w14:paraId="7441C76D" w14:textId="77777777" w:rsidR="00711716" w:rsidRPr="00A457F8" w:rsidRDefault="00711716" w:rsidP="00711716">
      <w:pPr>
        <w:spacing w:before="100" w:beforeAutospacing="1" w:after="100" w:afterAutospacing="1" w:line="240" w:lineRule="auto"/>
        <w:rPr>
          <w:rFonts w:ascii="Arial" w:hAnsi="Arial" w:cs="Arial"/>
          <w:kern w:val="0"/>
          <w14:ligatures w14:val="none"/>
        </w:rPr>
      </w:pPr>
      <w:r w:rsidRPr="00A457F8">
        <w:rPr>
          <w:rFonts w:ascii="Arial" w:hAnsi="Arial" w:cs="Arial"/>
          <w:b/>
          <w:bCs/>
          <w:kern w:val="0"/>
          <w14:ligatures w14:val="none"/>
        </w:rPr>
        <w:t>Critical evaluation</w:t>
      </w:r>
    </w:p>
    <w:p w14:paraId="1A8C9530" w14:textId="77777777" w:rsidR="00711716" w:rsidRPr="00A457F8" w:rsidRDefault="00711716" w:rsidP="00711716">
      <w:pPr>
        <w:spacing w:before="100" w:beforeAutospacing="1" w:after="100" w:afterAutospacing="1" w:line="240" w:lineRule="auto"/>
        <w:rPr>
          <w:rFonts w:ascii="Arial" w:hAnsi="Arial" w:cs="Arial"/>
          <w:kern w:val="0"/>
          <w14:ligatures w14:val="none"/>
        </w:rPr>
      </w:pPr>
      <w:r w:rsidRPr="00A457F8">
        <w:rPr>
          <w:rFonts w:ascii="Arial" w:hAnsi="Arial" w:cs="Arial"/>
          <w:kern w:val="0"/>
          <w14:ligatures w14:val="none"/>
        </w:rPr>
        <w:lastRenderedPageBreak/>
        <w:t>Lewin’s model provides a clear and practical approach for implementing healthcare improvement. However, it assumes change occurs in fixed stages, whereas healthcare organisations often experience continuous and dynamic change. Despite this limitation, it remains useful for guiding sustainable medication safety improvements following adverse events.</w:t>
      </w:r>
    </w:p>
    <w:p w14:paraId="49B2EC36" w14:textId="77777777" w:rsidR="00536EA5" w:rsidRPr="00A457F8" w:rsidRDefault="00536EA5" w:rsidP="00536EA5">
      <w:pPr>
        <w:spacing w:before="100" w:beforeAutospacing="1" w:after="100" w:afterAutospacing="1" w:line="240" w:lineRule="auto"/>
        <w:rPr>
          <w:rFonts w:ascii="Arial" w:hAnsi="Arial" w:cs="Arial"/>
          <w:kern w:val="0"/>
          <w:sz w:val="22"/>
          <w:szCs w:val="22"/>
          <w14:ligatures w14:val="none"/>
        </w:rPr>
      </w:pPr>
    </w:p>
    <w:p w14:paraId="00FAF4EF" w14:textId="1B16528F" w:rsidR="00E34541" w:rsidRPr="00A457F8" w:rsidRDefault="00E34541" w:rsidP="002C2C73">
      <w:pPr>
        <w:pStyle w:val="Heading1"/>
        <w:rPr>
          <w:rFonts w:ascii="Arial" w:eastAsia="Times New Roman" w:hAnsi="Arial" w:cs="Arial"/>
        </w:rPr>
      </w:pPr>
      <w:bookmarkStart w:id="54" w:name="_Toc236074129"/>
      <w:r w:rsidRPr="00A457F8">
        <w:rPr>
          <w:rFonts w:ascii="Arial" w:eastAsia="Times New Roman" w:hAnsi="Arial" w:cs="Arial"/>
        </w:rPr>
        <w:t>3. Recommendations</w:t>
      </w:r>
      <w:bookmarkEnd w:id="54"/>
      <w:r w:rsidRPr="00A457F8">
        <w:rPr>
          <w:rFonts w:ascii="Arial" w:eastAsia="Times New Roman" w:hAnsi="Arial" w:cs="Arial"/>
        </w:rPr>
        <w:t xml:space="preserve"> </w:t>
      </w:r>
    </w:p>
    <w:p w14:paraId="4427FE8C" w14:textId="47BE8398" w:rsidR="00E34541" w:rsidRPr="00A457F8" w:rsidRDefault="00E34541"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 xml:space="preserve">The RaDonda Vaught case demonstrates that patient safety failures rarely </w:t>
      </w:r>
      <w:r w:rsidR="00713C2F" w:rsidRPr="00A457F8">
        <w:rPr>
          <w:rFonts w:ascii="Arial" w:eastAsia="Times New Roman" w:hAnsi="Arial" w:cs="Arial"/>
          <w:kern w:val="0"/>
          <w:sz w:val="22"/>
          <w:szCs w:val="22"/>
          <w14:ligatures w14:val="none"/>
        </w:rPr>
        <w:t xml:space="preserve">result from </w:t>
      </w:r>
      <w:r w:rsidRPr="00A457F8">
        <w:rPr>
          <w:rFonts w:ascii="Arial" w:eastAsia="Times New Roman" w:hAnsi="Arial" w:cs="Arial"/>
          <w:kern w:val="0"/>
          <w:sz w:val="22"/>
          <w:szCs w:val="22"/>
          <w14:ligatures w14:val="none"/>
        </w:rPr>
        <w:t xml:space="preserve">a single </w:t>
      </w:r>
      <w:r w:rsidR="00713C2F" w:rsidRPr="00A457F8">
        <w:rPr>
          <w:rFonts w:ascii="Arial" w:eastAsia="Times New Roman" w:hAnsi="Arial" w:cs="Arial"/>
          <w:kern w:val="0"/>
          <w:sz w:val="22"/>
          <w:szCs w:val="22"/>
          <w14:ligatures w14:val="none"/>
        </w:rPr>
        <w:t>individual’s actions.</w:t>
      </w:r>
      <w:r w:rsidRPr="00A457F8">
        <w:rPr>
          <w:rFonts w:ascii="Arial" w:eastAsia="Times New Roman" w:hAnsi="Arial" w:cs="Arial"/>
          <w:kern w:val="0"/>
          <w:sz w:val="22"/>
          <w:szCs w:val="22"/>
          <w14:ligatures w14:val="none"/>
        </w:rPr>
        <w:t xml:space="preserve"> Instead, they </w:t>
      </w:r>
      <w:r w:rsidR="00713C2F" w:rsidRPr="00A457F8">
        <w:rPr>
          <w:rFonts w:ascii="Arial" w:eastAsia="Times New Roman" w:hAnsi="Arial" w:cs="Arial"/>
          <w:kern w:val="0"/>
          <w:sz w:val="22"/>
          <w:szCs w:val="22"/>
          <w14:ligatures w14:val="none"/>
        </w:rPr>
        <w:t>arise</w:t>
      </w:r>
      <w:r w:rsidRPr="00A457F8">
        <w:rPr>
          <w:rFonts w:ascii="Arial" w:eastAsia="Times New Roman" w:hAnsi="Arial" w:cs="Arial"/>
          <w:kern w:val="0"/>
          <w:sz w:val="22"/>
          <w:szCs w:val="22"/>
          <w14:ligatures w14:val="none"/>
        </w:rPr>
        <w:t xml:space="preserve"> from weaknesses in organisational systems, leadership, technology, communication, and </w:t>
      </w:r>
      <w:r w:rsidR="00713C2F" w:rsidRPr="00A457F8">
        <w:rPr>
          <w:rFonts w:ascii="Arial" w:eastAsia="Times New Roman" w:hAnsi="Arial" w:cs="Arial"/>
          <w:kern w:val="0"/>
          <w:sz w:val="22"/>
          <w:szCs w:val="22"/>
          <w14:ligatures w14:val="none"/>
        </w:rPr>
        <w:t>governance. Sustainable</w:t>
      </w:r>
      <w:r w:rsidRPr="00A457F8">
        <w:rPr>
          <w:rFonts w:ascii="Arial" w:eastAsia="Times New Roman" w:hAnsi="Arial" w:cs="Arial"/>
          <w:kern w:val="0"/>
          <w:sz w:val="22"/>
          <w:szCs w:val="22"/>
          <w14:ligatures w14:val="none"/>
        </w:rPr>
        <w:t xml:space="preserve"> improvement </w:t>
      </w:r>
      <w:r w:rsidR="00713C2F" w:rsidRPr="00A457F8">
        <w:rPr>
          <w:rFonts w:ascii="Arial" w:eastAsia="Times New Roman" w:hAnsi="Arial" w:cs="Arial"/>
          <w:kern w:val="0"/>
          <w:sz w:val="22"/>
          <w:szCs w:val="22"/>
          <w14:ligatures w14:val="none"/>
        </w:rPr>
        <w:t xml:space="preserve">therefore </w:t>
      </w:r>
      <w:r w:rsidRPr="00A457F8">
        <w:rPr>
          <w:rFonts w:ascii="Arial" w:eastAsia="Times New Roman" w:hAnsi="Arial" w:cs="Arial"/>
          <w:kern w:val="0"/>
          <w:sz w:val="22"/>
          <w:szCs w:val="22"/>
          <w14:ligatures w14:val="none"/>
        </w:rPr>
        <w:t xml:space="preserve">requires a </w:t>
      </w:r>
      <w:r w:rsidR="00713C2F" w:rsidRPr="00A457F8">
        <w:rPr>
          <w:rFonts w:ascii="Arial" w:eastAsia="Times New Roman" w:hAnsi="Arial" w:cs="Arial"/>
          <w:kern w:val="0"/>
          <w:sz w:val="22"/>
          <w:szCs w:val="22"/>
          <w14:ligatures w14:val="none"/>
        </w:rPr>
        <w:t xml:space="preserve">systems-based </w:t>
      </w:r>
      <w:r w:rsidRPr="00A457F8">
        <w:rPr>
          <w:rFonts w:ascii="Arial" w:eastAsia="Times New Roman" w:hAnsi="Arial" w:cs="Arial"/>
          <w:kern w:val="0"/>
          <w:sz w:val="22"/>
          <w:szCs w:val="22"/>
          <w14:ligatures w14:val="none"/>
        </w:rPr>
        <w:t xml:space="preserve">approach that addresses both human and </w:t>
      </w:r>
      <w:r w:rsidR="00713C2F" w:rsidRPr="00A457F8">
        <w:rPr>
          <w:rFonts w:ascii="Arial" w:eastAsia="Times New Roman" w:hAnsi="Arial" w:cs="Arial"/>
          <w:kern w:val="0"/>
          <w:sz w:val="22"/>
          <w:szCs w:val="22"/>
          <w14:ligatures w14:val="none"/>
        </w:rPr>
        <w:t>organisational</w:t>
      </w:r>
      <w:r w:rsidRPr="00A457F8">
        <w:rPr>
          <w:rFonts w:ascii="Arial" w:eastAsia="Times New Roman" w:hAnsi="Arial" w:cs="Arial"/>
          <w:kern w:val="0"/>
          <w:sz w:val="22"/>
          <w:szCs w:val="22"/>
          <w14:ligatures w14:val="none"/>
        </w:rPr>
        <w:t xml:space="preserve"> factors. The following recommendations are </w:t>
      </w:r>
      <w:r w:rsidR="00713C2F" w:rsidRPr="00A457F8">
        <w:rPr>
          <w:rFonts w:ascii="Arial" w:eastAsia="Times New Roman" w:hAnsi="Arial" w:cs="Arial"/>
          <w:kern w:val="0"/>
          <w:sz w:val="22"/>
          <w:szCs w:val="22"/>
          <w14:ligatures w14:val="none"/>
        </w:rPr>
        <w:t xml:space="preserve">informed by </w:t>
      </w:r>
      <w:r w:rsidRPr="00A457F8">
        <w:rPr>
          <w:rFonts w:ascii="Arial" w:eastAsia="Times New Roman" w:hAnsi="Arial" w:cs="Arial"/>
          <w:kern w:val="0"/>
          <w:sz w:val="22"/>
          <w:szCs w:val="22"/>
          <w14:ligatures w14:val="none"/>
        </w:rPr>
        <w:t>current patient safety evidence and quality improvement principles</w:t>
      </w:r>
    </w:p>
    <w:p w14:paraId="4D5D0C89" w14:textId="77777777" w:rsidR="00E34541" w:rsidRPr="00A457F8" w:rsidRDefault="00E34541" w:rsidP="002C2C73">
      <w:pPr>
        <w:pStyle w:val="Heading2"/>
        <w:rPr>
          <w:rFonts w:ascii="Arial" w:eastAsia="Times New Roman" w:hAnsi="Arial" w:cs="Arial"/>
        </w:rPr>
      </w:pPr>
      <w:bookmarkStart w:id="55" w:name="_Toc236074130"/>
      <w:r w:rsidRPr="00A457F8">
        <w:rPr>
          <w:rFonts w:ascii="Arial" w:eastAsia="Times New Roman" w:hAnsi="Arial" w:cs="Arial"/>
        </w:rPr>
        <w:t>Recommendation 1: Strengthen Medication Safety and Clinical Governance</w:t>
      </w:r>
      <w:bookmarkEnd w:id="55"/>
    </w:p>
    <w:p w14:paraId="0C0C62C7" w14:textId="5B6EAE22" w:rsidR="00E34541" w:rsidRPr="00A457F8" w:rsidRDefault="00E34541"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 xml:space="preserve">Healthcare organisations should strengthen clinical governance by </w:t>
      </w:r>
      <w:r w:rsidR="00DF0DC8" w:rsidRPr="00A457F8">
        <w:rPr>
          <w:rFonts w:ascii="Arial" w:eastAsia="Times New Roman" w:hAnsi="Arial" w:cs="Arial"/>
          <w:kern w:val="0"/>
          <w:sz w:val="22"/>
          <w:szCs w:val="22"/>
          <w14:ligatures w14:val="none"/>
        </w:rPr>
        <w:t>implementing</w:t>
      </w:r>
      <w:r w:rsidRPr="00A457F8">
        <w:rPr>
          <w:rFonts w:ascii="Arial" w:eastAsia="Times New Roman" w:hAnsi="Arial" w:cs="Arial"/>
          <w:kern w:val="0"/>
          <w:sz w:val="22"/>
          <w:szCs w:val="22"/>
          <w14:ligatures w14:val="none"/>
        </w:rPr>
        <w:t xml:space="preserve"> robust medication safety policies, regular audits, and multidisciplinary governance committees </w:t>
      </w:r>
      <w:r w:rsidR="00DF0DC8" w:rsidRPr="00A457F8">
        <w:rPr>
          <w:rFonts w:ascii="Arial" w:eastAsia="Times New Roman" w:hAnsi="Arial" w:cs="Arial"/>
          <w:kern w:val="0"/>
          <w:sz w:val="22"/>
          <w:szCs w:val="22"/>
          <w14:ligatures w14:val="none"/>
        </w:rPr>
        <w:t xml:space="preserve">to monitor </w:t>
      </w:r>
      <w:r w:rsidRPr="00A457F8">
        <w:rPr>
          <w:rFonts w:ascii="Arial" w:eastAsia="Times New Roman" w:hAnsi="Arial" w:cs="Arial"/>
          <w:kern w:val="0"/>
          <w:sz w:val="22"/>
          <w:szCs w:val="22"/>
          <w14:ligatures w14:val="none"/>
        </w:rPr>
        <w:t xml:space="preserve">medication-related incidents. Medication errors and near misses should be reviewed </w:t>
      </w:r>
      <w:r w:rsidR="00DF0DC8" w:rsidRPr="00A457F8">
        <w:rPr>
          <w:rFonts w:ascii="Arial" w:eastAsia="Times New Roman" w:hAnsi="Arial" w:cs="Arial"/>
          <w:kern w:val="0"/>
          <w:sz w:val="22"/>
          <w:szCs w:val="22"/>
          <w14:ligatures w14:val="none"/>
        </w:rPr>
        <w:t>routinely</w:t>
      </w:r>
      <w:r w:rsidRPr="00A457F8">
        <w:rPr>
          <w:rFonts w:ascii="Arial" w:eastAsia="Times New Roman" w:hAnsi="Arial" w:cs="Arial"/>
          <w:kern w:val="0"/>
          <w:sz w:val="22"/>
          <w:szCs w:val="22"/>
          <w14:ligatures w14:val="none"/>
        </w:rPr>
        <w:t xml:space="preserve"> to identify trends and implement corrective actions</w:t>
      </w:r>
      <w:r w:rsidR="00DF0DC8" w:rsidRPr="00A457F8">
        <w:rPr>
          <w:rFonts w:ascii="Arial" w:eastAsia="Times New Roman" w:hAnsi="Arial" w:cs="Arial"/>
          <w:kern w:val="0"/>
          <w:sz w:val="22"/>
          <w:szCs w:val="22"/>
          <w14:ligatures w14:val="none"/>
        </w:rPr>
        <w:t>. Organisations</w:t>
      </w:r>
      <w:r w:rsidRPr="00A457F8">
        <w:rPr>
          <w:rFonts w:ascii="Arial" w:eastAsia="Times New Roman" w:hAnsi="Arial" w:cs="Arial"/>
          <w:kern w:val="0"/>
          <w:sz w:val="22"/>
          <w:szCs w:val="22"/>
          <w14:ligatures w14:val="none"/>
        </w:rPr>
        <w:t xml:space="preserve"> should ensure </w:t>
      </w:r>
      <w:r w:rsidR="00DF0DC8" w:rsidRPr="00A457F8">
        <w:rPr>
          <w:rFonts w:ascii="Arial" w:eastAsia="Times New Roman" w:hAnsi="Arial" w:cs="Arial"/>
          <w:kern w:val="0"/>
          <w:sz w:val="22"/>
          <w:szCs w:val="22"/>
          <w14:ligatures w14:val="none"/>
        </w:rPr>
        <w:t xml:space="preserve">compliance with </w:t>
      </w:r>
      <w:r w:rsidRPr="00A457F8">
        <w:rPr>
          <w:rFonts w:ascii="Arial" w:eastAsia="Times New Roman" w:hAnsi="Arial" w:cs="Arial"/>
          <w:kern w:val="0"/>
          <w:sz w:val="22"/>
          <w:szCs w:val="22"/>
          <w14:ligatures w14:val="none"/>
        </w:rPr>
        <w:t>the Five Rights of Medication Administration (right patient, medication, dose, route, and time</w:t>
      </w:r>
      <w:r w:rsidR="00DF0DC8" w:rsidRPr="00A457F8">
        <w:rPr>
          <w:rFonts w:ascii="Arial" w:eastAsia="Times New Roman" w:hAnsi="Arial" w:cs="Arial"/>
          <w:kern w:val="0"/>
          <w:sz w:val="22"/>
          <w:szCs w:val="22"/>
          <w14:ligatures w14:val="none"/>
        </w:rPr>
        <w:t xml:space="preserve">) through regular monitoring and </w:t>
      </w:r>
      <w:r w:rsidRPr="00A457F8">
        <w:rPr>
          <w:rFonts w:ascii="Arial" w:eastAsia="Times New Roman" w:hAnsi="Arial" w:cs="Arial"/>
          <w:kern w:val="0"/>
          <w:sz w:val="22"/>
          <w:szCs w:val="22"/>
          <w14:ligatures w14:val="none"/>
        </w:rPr>
        <w:t xml:space="preserve">governance </w:t>
      </w:r>
      <w:r w:rsidR="00DF0DC8" w:rsidRPr="00A457F8">
        <w:rPr>
          <w:rFonts w:ascii="Arial" w:eastAsia="Times New Roman" w:hAnsi="Arial" w:cs="Arial"/>
          <w:kern w:val="0"/>
          <w:sz w:val="22"/>
          <w:szCs w:val="22"/>
          <w14:ligatures w14:val="none"/>
        </w:rPr>
        <w:t>reviews. Strong governance enhances</w:t>
      </w:r>
      <w:r w:rsidRPr="00A457F8">
        <w:rPr>
          <w:rFonts w:ascii="Arial" w:eastAsia="Times New Roman" w:hAnsi="Arial" w:cs="Arial"/>
          <w:kern w:val="0"/>
          <w:sz w:val="22"/>
          <w:szCs w:val="22"/>
          <w14:ligatures w14:val="none"/>
        </w:rPr>
        <w:t xml:space="preserve"> organisational </w:t>
      </w:r>
      <w:r w:rsidR="00DF0DC8" w:rsidRPr="00A457F8">
        <w:rPr>
          <w:rFonts w:ascii="Arial" w:eastAsia="Times New Roman" w:hAnsi="Arial" w:cs="Arial"/>
          <w:kern w:val="0"/>
          <w:sz w:val="22"/>
          <w:szCs w:val="22"/>
          <w14:ligatures w14:val="none"/>
        </w:rPr>
        <w:t>accountability, improves</w:t>
      </w:r>
      <w:r w:rsidRPr="00A457F8">
        <w:rPr>
          <w:rFonts w:ascii="Arial" w:eastAsia="Times New Roman" w:hAnsi="Arial" w:cs="Arial"/>
          <w:kern w:val="0"/>
          <w:sz w:val="22"/>
          <w:szCs w:val="22"/>
          <w14:ligatures w14:val="none"/>
        </w:rPr>
        <w:t xml:space="preserve"> oversight, and </w:t>
      </w:r>
      <w:r w:rsidR="00DF0DC8" w:rsidRPr="00A457F8">
        <w:rPr>
          <w:rFonts w:ascii="Arial" w:eastAsia="Times New Roman" w:hAnsi="Arial" w:cs="Arial"/>
          <w:kern w:val="0"/>
          <w:sz w:val="22"/>
          <w:szCs w:val="22"/>
          <w14:ligatures w14:val="none"/>
        </w:rPr>
        <w:t>supports</w:t>
      </w:r>
      <w:r w:rsidRPr="00A457F8">
        <w:rPr>
          <w:rFonts w:ascii="Arial" w:eastAsia="Times New Roman" w:hAnsi="Arial" w:cs="Arial"/>
          <w:kern w:val="0"/>
          <w:sz w:val="22"/>
          <w:szCs w:val="22"/>
          <w14:ligatures w14:val="none"/>
        </w:rPr>
        <w:t xml:space="preserve"> continuous quality improvement (AHRQ, 2022).</w:t>
      </w:r>
    </w:p>
    <w:p w14:paraId="52361F18" w14:textId="77777777" w:rsidR="00E34541" w:rsidRPr="00A457F8" w:rsidRDefault="00E34541" w:rsidP="002C2C73">
      <w:pPr>
        <w:pStyle w:val="Heading2"/>
        <w:rPr>
          <w:rFonts w:ascii="Arial" w:hAnsi="Arial" w:cs="Arial"/>
        </w:rPr>
      </w:pPr>
      <w:bookmarkStart w:id="56" w:name="_Toc236074131"/>
      <w:r w:rsidRPr="00A457F8">
        <w:rPr>
          <w:rFonts w:ascii="Arial" w:eastAsia="Times New Roman" w:hAnsi="Arial" w:cs="Arial"/>
        </w:rPr>
        <w:t>Recommendation 2: Improve Medication Technology and Barcode Medication Administration (BCMA)</w:t>
      </w:r>
      <w:bookmarkEnd w:id="56"/>
    </w:p>
    <w:p w14:paraId="07BDF0A1" w14:textId="0C7B7939" w:rsidR="00E34541" w:rsidRPr="00A457F8" w:rsidRDefault="00440A00"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Electronic</w:t>
      </w:r>
      <w:r w:rsidR="00E34541" w:rsidRPr="00A457F8">
        <w:rPr>
          <w:rFonts w:ascii="Arial" w:eastAsia="Times New Roman" w:hAnsi="Arial" w:cs="Arial"/>
          <w:kern w:val="0"/>
          <w:sz w:val="22"/>
          <w:szCs w:val="22"/>
          <w14:ligatures w14:val="none"/>
        </w:rPr>
        <w:t xml:space="preserve"> medication management systems </w:t>
      </w:r>
      <w:r w:rsidRPr="00A457F8">
        <w:rPr>
          <w:rFonts w:ascii="Arial" w:eastAsia="Times New Roman" w:hAnsi="Arial" w:cs="Arial"/>
          <w:kern w:val="0"/>
          <w:sz w:val="22"/>
          <w:szCs w:val="22"/>
          <w14:ligatures w14:val="none"/>
        </w:rPr>
        <w:t xml:space="preserve">should be optimised to reduce </w:t>
      </w:r>
      <w:r w:rsidR="00E34541" w:rsidRPr="00A457F8">
        <w:rPr>
          <w:rFonts w:ascii="Arial" w:eastAsia="Times New Roman" w:hAnsi="Arial" w:cs="Arial"/>
          <w:kern w:val="0"/>
          <w:sz w:val="22"/>
          <w:szCs w:val="22"/>
          <w14:ligatures w14:val="none"/>
        </w:rPr>
        <w:t xml:space="preserve">opportunities for human error. Barcode Medication Administration (BCMA) should be mandatory for all </w:t>
      </w:r>
      <w:r w:rsidRPr="00A457F8">
        <w:rPr>
          <w:rFonts w:ascii="Arial" w:eastAsia="Times New Roman" w:hAnsi="Arial" w:cs="Arial"/>
          <w:kern w:val="0"/>
          <w:sz w:val="22"/>
          <w:szCs w:val="22"/>
          <w14:ligatures w14:val="none"/>
        </w:rPr>
        <w:t>routine</w:t>
      </w:r>
      <w:r w:rsidR="00E34541" w:rsidRPr="00A457F8">
        <w:rPr>
          <w:rFonts w:ascii="Arial" w:eastAsia="Times New Roman" w:hAnsi="Arial" w:cs="Arial"/>
          <w:kern w:val="0"/>
          <w:sz w:val="22"/>
          <w:szCs w:val="22"/>
          <w14:ligatures w14:val="none"/>
        </w:rPr>
        <w:t xml:space="preserve"> medication administration</w:t>
      </w:r>
      <w:r w:rsidRPr="00A457F8">
        <w:rPr>
          <w:rFonts w:ascii="Arial" w:eastAsia="Times New Roman" w:hAnsi="Arial" w:cs="Arial"/>
          <w:kern w:val="0"/>
          <w:sz w:val="22"/>
          <w:szCs w:val="22"/>
          <w14:ligatures w14:val="none"/>
        </w:rPr>
        <w:t xml:space="preserve"> to verify medicines</w:t>
      </w:r>
      <w:r w:rsidR="00E34541" w:rsidRPr="00A457F8">
        <w:rPr>
          <w:rFonts w:ascii="Arial" w:eastAsia="Times New Roman" w:hAnsi="Arial" w:cs="Arial"/>
          <w:kern w:val="0"/>
          <w:sz w:val="22"/>
          <w:szCs w:val="22"/>
          <w14:ligatures w14:val="none"/>
        </w:rPr>
        <w:t xml:space="preserve"> before </w:t>
      </w:r>
      <w:r w:rsidRPr="00A457F8">
        <w:rPr>
          <w:rFonts w:ascii="Arial" w:eastAsia="Times New Roman" w:hAnsi="Arial" w:cs="Arial"/>
          <w:kern w:val="0"/>
          <w:sz w:val="22"/>
          <w:szCs w:val="22"/>
          <w14:ligatures w14:val="none"/>
        </w:rPr>
        <w:t>they reach patients. Automated Dispensing Cabinet</w:t>
      </w:r>
      <w:r w:rsidR="00E34541" w:rsidRPr="00A457F8">
        <w:rPr>
          <w:rFonts w:ascii="Arial" w:eastAsia="Times New Roman" w:hAnsi="Arial" w:cs="Arial"/>
          <w:kern w:val="0"/>
          <w:sz w:val="22"/>
          <w:szCs w:val="22"/>
          <w14:ligatures w14:val="none"/>
        </w:rPr>
        <w:t xml:space="preserve"> (ADC) override functions should be </w:t>
      </w:r>
      <w:r w:rsidRPr="00A457F8">
        <w:rPr>
          <w:rFonts w:ascii="Arial" w:eastAsia="Times New Roman" w:hAnsi="Arial" w:cs="Arial"/>
          <w:kern w:val="0"/>
          <w:sz w:val="22"/>
          <w:szCs w:val="22"/>
          <w14:ligatures w14:val="none"/>
        </w:rPr>
        <w:t>limited</w:t>
      </w:r>
      <w:r w:rsidR="00E34541" w:rsidRPr="00A457F8">
        <w:rPr>
          <w:rFonts w:ascii="Arial" w:eastAsia="Times New Roman" w:hAnsi="Arial" w:cs="Arial"/>
          <w:kern w:val="0"/>
          <w:sz w:val="22"/>
          <w:szCs w:val="22"/>
          <w14:ligatures w14:val="none"/>
        </w:rPr>
        <w:t xml:space="preserve"> to genuine </w:t>
      </w:r>
      <w:r w:rsidRPr="00A457F8">
        <w:rPr>
          <w:rFonts w:ascii="Arial" w:eastAsia="Times New Roman" w:hAnsi="Arial" w:cs="Arial"/>
          <w:kern w:val="0"/>
          <w:sz w:val="22"/>
          <w:szCs w:val="22"/>
          <w14:ligatures w14:val="none"/>
        </w:rPr>
        <w:t>emergencies, with override activity regularly</w:t>
      </w:r>
      <w:r w:rsidR="00E34541" w:rsidRPr="00A457F8">
        <w:rPr>
          <w:rFonts w:ascii="Arial" w:eastAsia="Times New Roman" w:hAnsi="Arial" w:cs="Arial"/>
          <w:kern w:val="0"/>
          <w:sz w:val="22"/>
          <w:szCs w:val="22"/>
          <w14:ligatures w14:val="none"/>
        </w:rPr>
        <w:t xml:space="preserve"> monitored </w:t>
      </w:r>
      <w:r w:rsidRPr="00A457F8">
        <w:rPr>
          <w:rFonts w:ascii="Arial" w:eastAsia="Times New Roman" w:hAnsi="Arial" w:cs="Arial"/>
          <w:kern w:val="0"/>
          <w:sz w:val="22"/>
          <w:szCs w:val="22"/>
          <w14:ligatures w14:val="none"/>
        </w:rPr>
        <w:t>to identify unsafe practices.</w:t>
      </w:r>
      <w:r w:rsidR="00E34541" w:rsidRPr="00A457F8">
        <w:rPr>
          <w:rFonts w:ascii="Arial" w:eastAsia="Times New Roman" w:hAnsi="Arial" w:cs="Arial"/>
          <w:kern w:val="0"/>
          <w:sz w:val="22"/>
          <w:szCs w:val="22"/>
          <w14:ligatures w14:val="none"/>
        </w:rPr>
        <w:t xml:space="preserve"> Healthcare organisations should also </w:t>
      </w:r>
      <w:r w:rsidRPr="00A457F8">
        <w:rPr>
          <w:rFonts w:ascii="Arial" w:eastAsia="Times New Roman" w:hAnsi="Arial" w:cs="Arial"/>
          <w:kern w:val="0"/>
          <w:sz w:val="22"/>
          <w:szCs w:val="22"/>
          <w14:ligatures w14:val="none"/>
        </w:rPr>
        <w:t>improve Electronic Health Record</w:t>
      </w:r>
      <w:r w:rsidR="00E34541" w:rsidRPr="00A457F8">
        <w:rPr>
          <w:rFonts w:ascii="Arial" w:eastAsia="Times New Roman" w:hAnsi="Arial" w:cs="Arial"/>
          <w:kern w:val="0"/>
          <w:sz w:val="22"/>
          <w:szCs w:val="22"/>
          <w14:ligatures w14:val="none"/>
        </w:rPr>
        <w:t xml:space="preserve"> (EHR) integration to </w:t>
      </w:r>
      <w:r w:rsidRPr="00A457F8">
        <w:rPr>
          <w:rFonts w:ascii="Arial" w:eastAsia="Times New Roman" w:hAnsi="Arial" w:cs="Arial"/>
          <w:kern w:val="0"/>
          <w:sz w:val="22"/>
          <w:szCs w:val="22"/>
          <w14:ligatures w14:val="none"/>
        </w:rPr>
        <w:t xml:space="preserve">minimise </w:t>
      </w:r>
      <w:r w:rsidR="00E34541" w:rsidRPr="00A457F8">
        <w:rPr>
          <w:rFonts w:ascii="Arial" w:eastAsia="Times New Roman" w:hAnsi="Arial" w:cs="Arial"/>
          <w:kern w:val="0"/>
          <w:sz w:val="22"/>
          <w:szCs w:val="22"/>
          <w14:ligatures w14:val="none"/>
        </w:rPr>
        <w:t xml:space="preserve">delays that encourage staff to </w:t>
      </w:r>
      <w:r w:rsidRPr="00A457F8">
        <w:rPr>
          <w:rFonts w:ascii="Arial" w:eastAsia="Times New Roman" w:hAnsi="Arial" w:cs="Arial"/>
          <w:kern w:val="0"/>
          <w:sz w:val="22"/>
          <w:szCs w:val="22"/>
          <w14:ligatures w14:val="none"/>
        </w:rPr>
        <w:t>adopt</w:t>
      </w:r>
      <w:r w:rsidR="00E34541" w:rsidRPr="00A457F8">
        <w:rPr>
          <w:rFonts w:ascii="Arial" w:eastAsia="Times New Roman" w:hAnsi="Arial" w:cs="Arial"/>
          <w:kern w:val="0"/>
          <w:sz w:val="22"/>
          <w:szCs w:val="22"/>
          <w14:ligatures w14:val="none"/>
        </w:rPr>
        <w:t xml:space="preserve"> unsafe workarounds. These technological improvements strengthen safety barriers and reduce medication administration errors (ISMP, 2022).</w:t>
      </w:r>
    </w:p>
    <w:p w14:paraId="1CC4FAB6" w14:textId="77777777" w:rsidR="00E34541" w:rsidRPr="00A457F8" w:rsidRDefault="00E34541" w:rsidP="002C2C73">
      <w:pPr>
        <w:pStyle w:val="Heading2"/>
        <w:rPr>
          <w:rFonts w:ascii="Arial" w:hAnsi="Arial" w:cs="Arial"/>
        </w:rPr>
      </w:pPr>
      <w:bookmarkStart w:id="57" w:name="_Toc236074132"/>
      <w:r w:rsidRPr="00A457F8">
        <w:rPr>
          <w:rFonts w:ascii="Arial" w:eastAsia="Times New Roman" w:hAnsi="Arial" w:cs="Arial"/>
        </w:rPr>
        <w:t>Recommendation 3: Enhance Workforce Development and Medication Safety Training</w:t>
      </w:r>
      <w:bookmarkEnd w:id="57"/>
    </w:p>
    <w:p w14:paraId="5263966B" w14:textId="07F80B46" w:rsidR="00E34541" w:rsidRPr="00A457F8" w:rsidRDefault="00E34541"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 xml:space="preserve">Healthcare organisations should provide mandatory annual </w:t>
      </w:r>
      <w:r w:rsidR="00440A00" w:rsidRPr="00A457F8">
        <w:rPr>
          <w:rFonts w:ascii="Arial" w:eastAsia="Times New Roman" w:hAnsi="Arial" w:cs="Arial"/>
          <w:kern w:val="0"/>
          <w:sz w:val="22"/>
          <w:szCs w:val="22"/>
          <w14:ligatures w14:val="none"/>
        </w:rPr>
        <w:t xml:space="preserve">training </w:t>
      </w:r>
      <w:r w:rsidRPr="00A457F8">
        <w:rPr>
          <w:rFonts w:ascii="Arial" w:eastAsia="Times New Roman" w:hAnsi="Arial" w:cs="Arial"/>
          <w:kern w:val="0"/>
          <w:sz w:val="22"/>
          <w:szCs w:val="22"/>
          <w14:ligatures w14:val="none"/>
        </w:rPr>
        <w:t>on medication safety, human factors, and the safe use of electronic medication systems.</w:t>
      </w:r>
      <w:r w:rsidR="00440A00" w:rsidRPr="00A457F8">
        <w:rPr>
          <w:rFonts w:ascii="Arial" w:eastAsia="Times New Roman" w:hAnsi="Arial" w:cs="Arial"/>
          <w:kern w:val="0"/>
          <w:sz w:val="22"/>
          <w:szCs w:val="22"/>
          <w14:ligatures w14:val="none"/>
        </w:rPr>
        <w:t xml:space="preserve"> </w:t>
      </w:r>
      <w:r w:rsidRPr="00A457F8">
        <w:rPr>
          <w:rFonts w:ascii="Arial" w:eastAsia="Times New Roman" w:hAnsi="Arial" w:cs="Arial"/>
          <w:kern w:val="0"/>
          <w:sz w:val="22"/>
          <w:szCs w:val="22"/>
          <w14:ligatures w14:val="none"/>
        </w:rPr>
        <w:t xml:space="preserve">Simulation-based </w:t>
      </w:r>
      <w:r w:rsidR="00440A00" w:rsidRPr="00A457F8">
        <w:rPr>
          <w:rFonts w:ascii="Arial" w:eastAsia="Times New Roman" w:hAnsi="Arial" w:cs="Arial"/>
          <w:kern w:val="0"/>
          <w:sz w:val="22"/>
          <w:szCs w:val="22"/>
          <w14:ligatures w14:val="none"/>
        </w:rPr>
        <w:t xml:space="preserve">learning </w:t>
      </w:r>
      <w:r w:rsidRPr="00A457F8">
        <w:rPr>
          <w:rFonts w:ascii="Arial" w:eastAsia="Times New Roman" w:hAnsi="Arial" w:cs="Arial"/>
          <w:kern w:val="0"/>
          <w:sz w:val="22"/>
          <w:szCs w:val="22"/>
          <w14:ligatures w14:val="none"/>
        </w:rPr>
        <w:t xml:space="preserve">should allow healthcare professionals to practise </w:t>
      </w:r>
      <w:r w:rsidR="00440A00" w:rsidRPr="00A457F8">
        <w:rPr>
          <w:rFonts w:ascii="Arial" w:eastAsia="Times New Roman" w:hAnsi="Arial" w:cs="Arial"/>
          <w:kern w:val="0"/>
          <w:sz w:val="22"/>
          <w:szCs w:val="22"/>
          <w14:ligatures w14:val="none"/>
        </w:rPr>
        <w:t>managing</w:t>
      </w:r>
      <w:r w:rsidRPr="00A457F8">
        <w:rPr>
          <w:rFonts w:ascii="Arial" w:eastAsia="Times New Roman" w:hAnsi="Arial" w:cs="Arial"/>
          <w:kern w:val="0"/>
          <w:sz w:val="22"/>
          <w:szCs w:val="22"/>
          <w14:ligatures w14:val="none"/>
        </w:rPr>
        <w:t xml:space="preserve"> high-risk medication scenarios in a </w:t>
      </w:r>
      <w:r w:rsidR="00440A00" w:rsidRPr="00A457F8">
        <w:rPr>
          <w:rFonts w:ascii="Arial" w:eastAsia="Times New Roman" w:hAnsi="Arial" w:cs="Arial"/>
          <w:kern w:val="0"/>
          <w:sz w:val="22"/>
          <w:szCs w:val="22"/>
          <w14:ligatures w14:val="none"/>
        </w:rPr>
        <w:t>safe</w:t>
      </w:r>
      <w:r w:rsidRPr="00A457F8">
        <w:rPr>
          <w:rFonts w:ascii="Arial" w:eastAsia="Times New Roman" w:hAnsi="Arial" w:cs="Arial"/>
          <w:kern w:val="0"/>
          <w:sz w:val="22"/>
          <w:szCs w:val="22"/>
          <w14:ligatures w14:val="none"/>
        </w:rPr>
        <w:t xml:space="preserve"> environment</w:t>
      </w:r>
      <w:r w:rsidR="00440A00" w:rsidRPr="00A457F8">
        <w:rPr>
          <w:rFonts w:ascii="Arial" w:eastAsia="Times New Roman" w:hAnsi="Arial" w:cs="Arial"/>
          <w:kern w:val="0"/>
          <w:sz w:val="22"/>
          <w:szCs w:val="22"/>
          <w14:ligatures w14:val="none"/>
        </w:rPr>
        <w:t>, while competency</w:t>
      </w:r>
      <w:r w:rsidRPr="00A457F8">
        <w:rPr>
          <w:rFonts w:ascii="Arial" w:eastAsia="Times New Roman" w:hAnsi="Arial" w:cs="Arial"/>
          <w:kern w:val="0"/>
          <w:sz w:val="22"/>
          <w:szCs w:val="22"/>
          <w14:ligatures w14:val="none"/>
        </w:rPr>
        <w:t xml:space="preserve"> assessments should evaluate medication administration </w:t>
      </w:r>
      <w:r w:rsidR="00440A00" w:rsidRPr="00A457F8">
        <w:rPr>
          <w:rFonts w:ascii="Arial" w:eastAsia="Times New Roman" w:hAnsi="Arial" w:cs="Arial"/>
          <w:kern w:val="0"/>
          <w:sz w:val="22"/>
          <w:szCs w:val="22"/>
          <w14:ligatures w14:val="none"/>
        </w:rPr>
        <w:t xml:space="preserve">skills </w:t>
      </w:r>
      <w:r w:rsidRPr="00A457F8">
        <w:rPr>
          <w:rFonts w:ascii="Arial" w:eastAsia="Times New Roman" w:hAnsi="Arial" w:cs="Arial"/>
          <w:kern w:val="0"/>
          <w:sz w:val="22"/>
          <w:szCs w:val="22"/>
          <w14:ligatures w14:val="none"/>
        </w:rPr>
        <w:t xml:space="preserve">and </w:t>
      </w:r>
      <w:r w:rsidR="00440A00" w:rsidRPr="00A457F8">
        <w:rPr>
          <w:rFonts w:ascii="Arial" w:eastAsia="Times New Roman" w:hAnsi="Arial" w:cs="Arial"/>
          <w:kern w:val="0"/>
          <w:sz w:val="22"/>
          <w:szCs w:val="22"/>
          <w14:ligatures w14:val="none"/>
        </w:rPr>
        <w:t>technology use.</w:t>
      </w:r>
      <w:r w:rsidRPr="00A457F8">
        <w:rPr>
          <w:rFonts w:ascii="Arial" w:eastAsia="Times New Roman" w:hAnsi="Arial" w:cs="Arial"/>
          <w:kern w:val="0"/>
          <w:sz w:val="22"/>
          <w:szCs w:val="22"/>
          <w14:ligatures w14:val="none"/>
        </w:rPr>
        <w:t xml:space="preserve"> Leadership development programmes should also </w:t>
      </w:r>
      <w:r w:rsidR="00440A00" w:rsidRPr="00A457F8">
        <w:rPr>
          <w:rFonts w:ascii="Arial" w:eastAsia="Times New Roman" w:hAnsi="Arial" w:cs="Arial"/>
          <w:kern w:val="0"/>
          <w:sz w:val="22"/>
          <w:szCs w:val="22"/>
          <w14:ligatures w14:val="none"/>
        </w:rPr>
        <w:t>prepare</w:t>
      </w:r>
      <w:r w:rsidRPr="00A457F8">
        <w:rPr>
          <w:rFonts w:ascii="Arial" w:eastAsia="Times New Roman" w:hAnsi="Arial" w:cs="Arial"/>
          <w:kern w:val="0"/>
          <w:sz w:val="22"/>
          <w:szCs w:val="22"/>
          <w14:ligatures w14:val="none"/>
        </w:rPr>
        <w:t xml:space="preserve"> nurse managers to identify safety risks and </w:t>
      </w:r>
      <w:r w:rsidR="00440A00" w:rsidRPr="00A457F8">
        <w:rPr>
          <w:rFonts w:ascii="Arial" w:eastAsia="Times New Roman" w:hAnsi="Arial" w:cs="Arial"/>
          <w:kern w:val="0"/>
          <w:sz w:val="22"/>
          <w:szCs w:val="22"/>
          <w14:ligatures w14:val="none"/>
        </w:rPr>
        <w:t>lead</w:t>
      </w:r>
      <w:r w:rsidRPr="00A457F8">
        <w:rPr>
          <w:rFonts w:ascii="Arial" w:eastAsia="Times New Roman" w:hAnsi="Arial" w:cs="Arial"/>
          <w:kern w:val="0"/>
          <w:sz w:val="22"/>
          <w:szCs w:val="22"/>
          <w14:ligatures w14:val="none"/>
        </w:rPr>
        <w:t xml:space="preserve"> quality improvement initiatives. </w:t>
      </w:r>
      <w:r w:rsidR="00440A00" w:rsidRPr="00A457F8">
        <w:rPr>
          <w:rFonts w:ascii="Arial" w:eastAsia="Times New Roman" w:hAnsi="Arial" w:cs="Arial"/>
          <w:kern w:val="0"/>
          <w:sz w:val="22"/>
          <w:szCs w:val="22"/>
          <w14:ligatures w14:val="none"/>
        </w:rPr>
        <w:t xml:space="preserve">Continuous </w:t>
      </w:r>
      <w:r w:rsidRPr="00A457F8">
        <w:rPr>
          <w:rFonts w:ascii="Arial" w:eastAsia="Times New Roman" w:hAnsi="Arial" w:cs="Arial"/>
          <w:kern w:val="0"/>
          <w:sz w:val="22"/>
          <w:szCs w:val="22"/>
          <w14:ligatures w14:val="none"/>
        </w:rPr>
        <w:t>education strengthens staff competence, confidence, and patient safety.</w:t>
      </w:r>
    </w:p>
    <w:p w14:paraId="518E764A" w14:textId="77777777" w:rsidR="00E34541" w:rsidRPr="00A457F8" w:rsidRDefault="00E34541" w:rsidP="002C2C73">
      <w:pPr>
        <w:pStyle w:val="Heading2"/>
        <w:rPr>
          <w:rFonts w:ascii="Arial" w:hAnsi="Arial" w:cs="Arial"/>
        </w:rPr>
      </w:pPr>
      <w:bookmarkStart w:id="58" w:name="_Toc236074133"/>
      <w:r w:rsidRPr="00A457F8">
        <w:rPr>
          <w:rFonts w:ascii="Arial" w:eastAsia="Times New Roman" w:hAnsi="Arial" w:cs="Arial"/>
        </w:rPr>
        <w:lastRenderedPageBreak/>
        <w:t>Recommendation 4: Promote a Just Culture and Improve Patient Safety Culture</w:t>
      </w:r>
      <w:bookmarkEnd w:id="58"/>
    </w:p>
    <w:p w14:paraId="1D5F898E" w14:textId="37FBD64F" w:rsidR="00E34541" w:rsidRPr="00A457F8" w:rsidRDefault="00E34541"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 xml:space="preserve">Healthcare organisations should </w:t>
      </w:r>
      <w:r w:rsidR="00974586" w:rsidRPr="00A457F8">
        <w:rPr>
          <w:rFonts w:ascii="Arial" w:eastAsia="Times New Roman" w:hAnsi="Arial" w:cs="Arial"/>
          <w:kern w:val="0"/>
          <w:sz w:val="22"/>
          <w:szCs w:val="22"/>
          <w14:ligatures w14:val="none"/>
        </w:rPr>
        <w:t xml:space="preserve">foster </w:t>
      </w:r>
      <w:r w:rsidRPr="00A457F8">
        <w:rPr>
          <w:rFonts w:ascii="Arial" w:eastAsia="Times New Roman" w:hAnsi="Arial" w:cs="Arial"/>
          <w:kern w:val="0"/>
          <w:sz w:val="22"/>
          <w:szCs w:val="22"/>
          <w14:ligatures w14:val="none"/>
        </w:rPr>
        <w:t>a Just Culture</w:t>
      </w:r>
      <w:r w:rsidR="00974586" w:rsidRPr="00A457F8">
        <w:rPr>
          <w:rFonts w:ascii="Arial" w:eastAsia="Times New Roman" w:hAnsi="Arial" w:cs="Arial"/>
          <w:kern w:val="0"/>
          <w:sz w:val="22"/>
          <w:szCs w:val="22"/>
          <w14:ligatures w14:val="none"/>
        </w:rPr>
        <w:t xml:space="preserve"> in which staff feel able</w:t>
      </w:r>
      <w:r w:rsidRPr="00A457F8">
        <w:rPr>
          <w:rFonts w:ascii="Arial" w:eastAsia="Times New Roman" w:hAnsi="Arial" w:cs="Arial"/>
          <w:kern w:val="0"/>
          <w:sz w:val="22"/>
          <w:szCs w:val="22"/>
          <w14:ligatures w14:val="none"/>
        </w:rPr>
        <w:t xml:space="preserve"> to report errors</w:t>
      </w:r>
      <w:r w:rsidR="00974586" w:rsidRPr="00A457F8">
        <w:rPr>
          <w:rFonts w:ascii="Arial" w:eastAsia="Times New Roman" w:hAnsi="Arial" w:cs="Arial"/>
          <w:kern w:val="0"/>
          <w:sz w:val="22"/>
          <w:szCs w:val="22"/>
          <w14:ligatures w14:val="none"/>
        </w:rPr>
        <w:t xml:space="preserve"> and </w:t>
      </w:r>
      <w:r w:rsidRPr="00A457F8">
        <w:rPr>
          <w:rFonts w:ascii="Arial" w:eastAsia="Times New Roman" w:hAnsi="Arial" w:cs="Arial"/>
          <w:kern w:val="0"/>
          <w:sz w:val="22"/>
          <w:szCs w:val="22"/>
          <w14:ligatures w14:val="none"/>
        </w:rPr>
        <w:t xml:space="preserve">near misses without fear of unfair punishment. </w:t>
      </w:r>
      <w:r w:rsidR="00974586" w:rsidRPr="00A457F8">
        <w:rPr>
          <w:rFonts w:ascii="Arial" w:eastAsia="Times New Roman" w:hAnsi="Arial" w:cs="Arial"/>
          <w:kern w:val="0"/>
          <w:sz w:val="22"/>
          <w:szCs w:val="22"/>
          <w14:ligatures w14:val="none"/>
        </w:rPr>
        <w:t xml:space="preserve">Incident investigations should focus on identifying system failures rather than assigning individual blame (Marx, 2001). </w:t>
      </w:r>
      <w:r w:rsidRPr="00A457F8">
        <w:rPr>
          <w:rFonts w:ascii="Arial" w:eastAsia="Times New Roman" w:hAnsi="Arial" w:cs="Arial"/>
          <w:kern w:val="0"/>
          <w:sz w:val="22"/>
          <w:szCs w:val="22"/>
          <w14:ligatures w14:val="none"/>
        </w:rPr>
        <w:t xml:space="preserve">Leaders should encourage open communication, provide feedback </w:t>
      </w:r>
      <w:r w:rsidR="00974586" w:rsidRPr="00A457F8">
        <w:rPr>
          <w:rFonts w:ascii="Arial" w:eastAsia="Times New Roman" w:hAnsi="Arial" w:cs="Arial"/>
          <w:kern w:val="0"/>
          <w:sz w:val="22"/>
          <w:szCs w:val="22"/>
          <w14:ligatures w14:val="none"/>
        </w:rPr>
        <w:t>on</w:t>
      </w:r>
      <w:r w:rsidRPr="00A457F8">
        <w:rPr>
          <w:rFonts w:ascii="Arial" w:eastAsia="Times New Roman" w:hAnsi="Arial" w:cs="Arial"/>
          <w:kern w:val="0"/>
          <w:sz w:val="22"/>
          <w:szCs w:val="22"/>
          <w14:ligatures w14:val="none"/>
        </w:rPr>
        <w:t xml:space="preserve"> lessons learned</w:t>
      </w:r>
      <w:r w:rsidR="00974586" w:rsidRPr="00A457F8">
        <w:rPr>
          <w:rFonts w:ascii="Arial" w:eastAsia="Times New Roman" w:hAnsi="Arial" w:cs="Arial"/>
          <w:kern w:val="0"/>
          <w:sz w:val="22"/>
          <w:szCs w:val="22"/>
          <w14:ligatures w14:val="none"/>
        </w:rPr>
        <w:t xml:space="preserve">, and promote psychological safety </w:t>
      </w:r>
      <w:r w:rsidRPr="00A457F8">
        <w:rPr>
          <w:rFonts w:ascii="Arial" w:eastAsia="Times New Roman" w:hAnsi="Arial" w:cs="Arial"/>
          <w:kern w:val="0"/>
          <w:sz w:val="22"/>
          <w:szCs w:val="22"/>
          <w14:ligatures w14:val="none"/>
        </w:rPr>
        <w:t xml:space="preserve">so that </w:t>
      </w:r>
      <w:r w:rsidR="00974586" w:rsidRPr="00A457F8">
        <w:rPr>
          <w:rFonts w:ascii="Arial" w:eastAsia="Times New Roman" w:hAnsi="Arial" w:cs="Arial"/>
          <w:kern w:val="0"/>
          <w:sz w:val="22"/>
          <w:szCs w:val="22"/>
          <w14:ligatures w14:val="none"/>
        </w:rPr>
        <w:t xml:space="preserve">staff are </w:t>
      </w:r>
      <w:r w:rsidRPr="00A457F8">
        <w:rPr>
          <w:rFonts w:ascii="Arial" w:eastAsia="Times New Roman" w:hAnsi="Arial" w:cs="Arial"/>
          <w:kern w:val="0"/>
          <w:sz w:val="22"/>
          <w:szCs w:val="22"/>
          <w14:ligatures w14:val="none"/>
        </w:rPr>
        <w:t xml:space="preserve">comfortable </w:t>
      </w:r>
      <w:r w:rsidR="00974586" w:rsidRPr="00A457F8">
        <w:rPr>
          <w:rFonts w:ascii="Arial" w:eastAsia="Times New Roman" w:hAnsi="Arial" w:cs="Arial"/>
          <w:kern w:val="0"/>
          <w:sz w:val="22"/>
          <w:szCs w:val="22"/>
          <w14:ligatures w14:val="none"/>
        </w:rPr>
        <w:t>raising concerns.</w:t>
      </w:r>
      <w:r w:rsidRPr="00A457F8">
        <w:rPr>
          <w:rFonts w:ascii="Arial" w:eastAsia="Times New Roman" w:hAnsi="Arial" w:cs="Arial"/>
          <w:kern w:val="0"/>
          <w:sz w:val="22"/>
          <w:szCs w:val="22"/>
          <w14:ligatures w14:val="none"/>
        </w:rPr>
        <w:t xml:space="preserve"> Regular multidisciplinary safety briefings</w:t>
      </w:r>
      <w:r w:rsidR="00974586" w:rsidRPr="00A457F8">
        <w:rPr>
          <w:rFonts w:ascii="Arial" w:eastAsia="Times New Roman" w:hAnsi="Arial" w:cs="Arial"/>
          <w:kern w:val="0"/>
          <w:sz w:val="22"/>
          <w:szCs w:val="22"/>
          <w14:ligatures w14:val="none"/>
        </w:rPr>
        <w:t xml:space="preserve"> and </w:t>
      </w:r>
      <w:r w:rsidRPr="00A457F8">
        <w:rPr>
          <w:rFonts w:ascii="Arial" w:eastAsia="Times New Roman" w:hAnsi="Arial" w:cs="Arial"/>
          <w:kern w:val="0"/>
          <w:sz w:val="22"/>
          <w:szCs w:val="22"/>
          <w14:ligatures w14:val="none"/>
        </w:rPr>
        <w:t xml:space="preserve">reflective practice sessions can strengthen organisational learning and improve </w:t>
      </w:r>
      <w:r w:rsidR="00974586" w:rsidRPr="00A457F8">
        <w:rPr>
          <w:rFonts w:ascii="Arial" w:eastAsia="Times New Roman" w:hAnsi="Arial" w:cs="Arial"/>
          <w:kern w:val="0"/>
          <w:sz w:val="22"/>
          <w:szCs w:val="22"/>
          <w14:ligatures w14:val="none"/>
        </w:rPr>
        <w:t>teamwork, ultimately</w:t>
      </w:r>
      <w:r w:rsidRPr="00A457F8">
        <w:rPr>
          <w:rFonts w:ascii="Arial" w:eastAsia="Times New Roman" w:hAnsi="Arial" w:cs="Arial"/>
          <w:kern w:val="0"/>
          <w:sz w:val="22"/>
          <w:szCs w:val="22"/>
          <w14:ligatures w14:val="none"/>
        </w:rPr>
        <w:t xml:space="preserve"> reducing the </w:t>
      </w:r>
      <w:r w:rsidR="00974586" w:rsidRPr="00A457F8">
        <w:rPr>
          <w:rFonts w:ascii="Arial" w:eastAsia="Times New Roman" w:hAnsi="Arial" w:cs="Arial"/>
          <w:kern w:val="0"/>
          <w:sz w:val="22"/>
          <w:szCs w:val="22"/>
          <w14:ligatures w14:val="none"/>
        </w:rPr>
        <w:t>risk</w:t>
      </w:r>
      <w:r w:rsidRPr="00A457F8">
        <w:rPr>
          <w:rFonts w:ascii="Arial" w:eastAsia="Times New Roman" w:hAnsi="Arial" w:cs="Arial"/>
          <w:kern w:val="0"/>
          <w:sz w:val="22"/>
          <w:szCs w:val="22"/>
          <w14:ligatures w14:val="none"/>
        </w:rPr>
        <w:t xml:space="preserve"> of future medication errors.</w:t>
      </w:r>
    </w:p>
    <w:p w14:paraId="752CC78D" w14:textId="77777777" w:rsidR="00E34541" w:rsidRPr="00A457F8" w:rsidRDefault="00E34541" w:rsidP="002C2C73">
      <w:pPr>
        <w:pStyle w:val="Heading2"/>
        <w:rPr>
          <w:rFonts w:ascii="Arial" w:hAnsi="Arial" w:cs="Arial"/>
        </w:rPr>
      </w:pPr>
      <w:bookmarkStart w:id="59" w:name="_Toc236074134"/>
      <w:r w:rsidRPr="00A457F8">
        <w:rPr>
          <w:rFonts w:ascii="Arial" w:eastAsia="Times New Roman" w:hAnsi="Arial" w:cs="Arial"/>
        </w:rPr>
        <w:t>Recommendation 5: Implement Digital Quality Monitoring and Continuous Risk Surveillance</w:t>
      </w:r>
      <w:bookmarkEnd w:id="59"/>
    </w:p>
    <w:p w14:paraId="6D18D030" w14:textId="24BA3213" w:rsidR="00E34541" w:rsidRPr="00A457F8" w:rsidRDefault="00974586" w:rsidP="00E34541">
      <w:pPr>
        <w:spacing w:after="0" w:line="240" w:lineRule="auto"/>
        <w:rPr>
          <w:rFonts w:ascii="Arial" w:eastAsia="Times New Roman" w:hAnsi="Arial" w:cs="Arial"/>
          <w:kern w:val="0"/>
          <w:sz w:val="22"/>
          <w:szCs w:val="22"/>
          <w14:ligatures w14:val="none"/>
        </w:rPr>
      </w:pPr>
      <w:r w:rsidRPr="00A457F8">
        <w:rPr>
          <w:rFonts w:ascii="Arial" w:eastAsia="Times New Roman" w:hAnsi="Arial" w:cs="Arial"/>
          <w:kern w:val="0"/>
          <w:sz w:val="22"/>
          <w:szCs w:val="22"/>
          <w14:ligatures w14:val="none"/>
        </w:rPr>
        <w:t>Digital</w:t>
      </w:r>
      <w:r w:rsidR="00E34541" w:rsidRPr="00A457F8">
        <w:rPr>
          <w:rFonts w:ascii="Arial" w:eastAsia="Times New Roman" w:hAnsi="Arial" w:cs="Arial"/>
          <w:kern w:val="0"/>
          <w:sz w:val="22"/>
          <w:szCs w:val="22"/>
          <w14:ligatures w14:val="none"/>
        </w:rPr>
        <w:t xml:space="preserve"> quality monitoring systems </w:t>
      </w:r>
      <w:r w:rsidRPr="00A457F8">
        <w:rPr>
          <w:rFonts w:ascii="Arial" w:eastAsia="Times New Roman" w:hAnsi="Arial" w:cs="Arial"/>
          <w:kern w:val="0"/>
          <w:sz w:val="22"/>
          <w:szCs w:val="22"/>
          <w14:ligatures w14:val="none"/>
        </w:rPr>
        <w:t xml:space="preserve">should be used </w:t>
      </w:r>
      <w:r w:rsidR="00E34541" w:rsidRPr="00A457F8">
        <w:rPr>
          <w:rFonts w:ascii="Arial" w:eastAsia="Times New Roman" w:hAnsi="Arial" w:cs="Arial"/>
          <w:kern w:val="0"/>
          <w:sz w:val="22"/>
          <w:szCs w:val="22"/>
          <w14:ligatures w14:val="none"/>
        </w:rPr>
        <w:t>to provide real-time surveillance of medication safety</w:t>
      </w:r>
      <w:r w:rsidRPr="00A457F8">
        <w:rPr>
          <w:rFonts w:ascii="Arial" w:eastAsia="Times New Roman" w:hAnsi="Arial" w:cs="Arial"/>
          <w:kern w:val="0"/>
          <w:sz w:val="22"/>
          <w:szCs w:val="22"/>
          <w14:ligatures w14:val="none"/>
        </w:rPr>
        <w:t>.</w:t>
      </w:r>
      <w:r w:rsidR="00E34541" w:rsidRPr="00A457F8">
        <w:rPr>
          <w:rFonts w:ascii="Arial" w:eastAsia="Times New Roman" w:hAnsi="Arial" w:cs="Arial"/>
          <w:kern w:val="0"/>
          <w:sz w:val="22"/>
          <w:szCs w:val="22"/>
          <w14:ligatures w14:val="none"/>
        </w:rPr>
        <w:t xml:space="preserve"> Electronic dashboards </w:t>
      </w:r>
      <w:r w:rsidRPr="00A457F8">
        <w:rPr>
          <w:rFonts w:ascii="Arial" w:eastAsia="Times New Roman" w:hAnsi="Arial" w:cs="Arial"/>
          <w:kern w:val="0"/>
          <w:sz w:val="22"/>
          <w:szCs w:val="22"/>
          <w14:ligatures w14:val="none"/>
        </w:rPr>
        <w:t xml:space="preserve">can </w:t>
      </w:r>
      <w:r w:rsidR="00E34541" w:rsidRPr="00A457F8">
        <w:rPr>
          <w:rFonts w:ascii="Arial" w:eastAsia="Times New Roman" w:hAnsi="Arial" w:cs="Arial"/>
          <w:kern w:val="0"/>
          <w:sz w:val="22"/>
          <w:szCs w:val="22"/>
          <w14:ligatures w14:val="none"/>
        </w:rPr>
        <w:t xml:space="preserve">monitor indicators such as medication error rates, </w:t>
      </w:r>
      <w:r w:rsidRPr="00A457F8">
        <w:rPr>
          <w:rFonts w:ascii="Arial" w:eastAsia="Times New Roman" w:hAnsi="Arial" w:cs="Arial"/>
          <w:kern w:val="0"/>
          <w:sz w:val="22"/>
          <w:szCs w:val="22"/>
          <w14:ligatures w14:val="none"/>
        </w:rPr>
        <w:t>BCMA</w:t>
      </w:r>
      <w:r w:rsidR="00E34541" w:rsidRPr="00A457F8">
        <w:rPr>
          <w:rFonts w:ascii="Arial" w:eastAsia="Times New Roman" w:hAnsi="Arial" w:cs="Arial"/>
          <w:kern w:val="0"/>
          <w:sz w:val="22"/>
          <w:szCs w:val="22"/>
          <w14:ligatures w14:val="none"/>
        </w:rPr>
        <w:t xml:space="preserve"> compliance, </w:t>
      </w:r>
      <w:r w:rsidRPr="00A457F8">
        <w:rPr>
          <w:rFonts w:ascii="Arial" w:eastAsia="Times New Roman" w:hAnsi="Arial" w:cs="Arial"/>
          <w:kern w:val="0"/>
          <w:sz w:val="22"/>
          <w:szCs w:val="22"/>
          <w14:ligatures w14:val="none"/>
        </w:rPr>
        <w:t>ADC</w:t>
      </w:r>
      <w:r w:rsidR="00E34541" w:rsidRPr="00A457F8">
        <w:rPr>
          <w:rFonts w:ascii="Arial" w:eastAsia="Times New Roman" w:hAnsi="Arial" w:cs="Arial"/>
          <w:kern w:val="0"/>
          <w:sz w:val="22"/>
          <w:szCs w:val="22"/>
          <w14:ligatures w14:val="none"/>
        </w:rPr>
        <w:t xml:space="preserve"> override frequency, </w:t>
      </w:r>
      <w:r w:rsidRPr="00A457F8">
        <w:rPr>
          <w:rFonts w:ascii="Arial" w:eastAsia="Times New Roman" w:hAnsi="Arial" w:cs="Arial"/>
          <w:kern w:val="0"/>
          <w:sz w:val="22"/>
          <w:szCs w:val="22"/>
          <w14:ligatures w14:val="none"/>
        </w:rPr>
        <w:t xml:space="preserve">and </w:t>
      </w:r>
      <w:r w:rsidR="00E34541" w:rsidRPr="00A457F8">
        <w:rPr>
          <w:rFonts w:ascii="Arial" w:eastAsia="Times New Roman" w:hAnsi="Arial" w:cs="Arial"/>
          <w:kern w:val="0"/>
          <w:sz w:val="22"/>
          <w:szCs w:val="22"/>
          <w14:ligatures w14:val="none"/>
        </w:rPr>
        <w:t>incident reporting trends</w:t>
      </w:r>
      <w:r w:rsidRPr="00A457F8">
        <w:rPr>
          <w:rFonts w:ascii="Arial" w:eastAsia="Times New Roman" w:hAnsi="Arial" w:cs="Arial"/>
          <w:kern w:val="0"/>
          <w:sz w:val="22"/>
          <w:szCs w:val="22"/>
          <w14:ligatures w14:val="none"/>
        </w:rPr>
        <w:t>. Clinical</w:t>
      </w:r>
      <w:r w:rsidR="00E34541" w:rsidRPr="00A457F8">
        <w:rPr>
          <w:rFonts w:ascii="Arial" w:eastAsia="Times New Roman" w:hAnsi="Arial" w:cs="Arial"/>
          <w:kern w:val="0"/>
          <w:sz w:val="22"/>
          <w:szCs w:val="22"/>
          <w14:ligatures w14:val="none"/>
        </w:rPr>
        <w:t xml:space="preserve"> governance </w:t>
      </w:r>
      <w:r w:rsidRPr="00A457F8">
        <w:rPr>
          <w:rFonts w:ascii="Arial" w:eastAsia="Times New Roman" w:hAnsi="Arial" w:cs="Arial"/>
          <w:kern w:val="0"/>
          <w:sz w:val="22"/>
          <w:szCs w:val="22"/>
          <w14:ligatures w14:val="none"/>
        </w:rPr>
        <w:t xml:space="preserve">teams should review these data regularly </w:t>
      </w:r>
      <w:r w:rsidR="00E34541" w:rsidRPr="00A457F8">
        <w:rPr>
          <w:rFonts w:ascii="Arial" w:eastAsia="Times New Roman" w:hAnsi="Arial" w:cs="Arial"/>
          <w:kern w:val="0"/>
          <w:sz w:val="22"/>
          <w:szCs w:val="22"/>
          <w14:ligatures w14:val="none"/>
        </w:rPr>
        <w:t xml:space="preserve">to identify emerging risks and evaluate improvement </w:t>
      </w:r>
      <w:r w:rsidRPr="00A457F8">
        <w:rPr>
          <w:rFonts w:ascii="Arial" w:eastAsia="Times New Roman" w:hAnsi="Arial" w:cs="Arial"/>
          <w:kern w:val="0"/>
          <w:sz w:val="22"/>
          <w:szCs w:val="22"/>
          <w14:ligatures w14:val="none"/>
        </w:rPr>
        <w:t>initiatives.</w:t>
      </w:r>
      <w:r w:rsidR="00E34541" w:rsidRPr="00A457F8">
        <w:rPr>
          <w:rFonts w:ascii="Arial" w:eastAsia="Times New Roman" w:hAnsi="Arial" w:cs="Arial"/>
          <w:kern w:val="0"/>
          <w:sz w:val="22"/>
          <w:szCs w:val="22"/>
          <w14:ligatures w14:val="none"/>
        </w:rPr>
        <w:t xml:space="preserve"> Automated alerts </w:t>
      </w:r>
      <w:r w:rsidRPr="00A457F8">
        <w:rPr>
          <w:rFonts w:ascii="Arial" w:eastAsia="Times New Roman" w:hAnsi="Arial" w:cs="Arial"/>
          <w:kern w:val="0"/>
          <w:sz w:val="22"/>
          <w:szCs w:val="22"/>
          <w14:ligatures w14:val="none"/>
        </w:rPr>
        <w:t xml:space="preserve">can support early intervention when abnormal safety patterns occur. Continuous </w:t>
      </w:r>
      <w:r w:rsidR="00E34541" w:rsidRPr="00A457F8">
        <w:rPr>
          <w:rFonts w:ascii="Arial" w:eastAsia="Times New Roman" w:hAnsi="Arial" w:cs="Arial"/>
          <w:kern w:val="0"/>
          <w:sz w:val="22"/>
          <w:szCs w:val="22"/>
          <w14:ligatures w14:val="none"/>
        </w:rPr>
        <w:t xml:space="preserve">monitoring enables organisations to make evidence-based decisions while </w:t>
      </w:r>
      <w:r w:rsidRPr="00A457F8">
        <w:rPr>
          <w:rFonts w:ascii="Arial" w:eastAsia="Times New Roman" w:hAnsi="Arial" w:cs="Arial"/>
          <w:kern w:val="0"/>
          <w:sz w:val="22"/>
          <w:szCs w:val="22"/>
          <w14:ligatures w14:val="none"/>
        </w:rPr>
        <w:t>strengthening</w:t>
      </w:r>
      <w:r w:rsidR="00E34541" w:rsidRPr="00A457F8">
        <w:rPr>
          <w:rFonts w:ascii="Arial" w:eastAsia="Times New Roman" w:hAnsi="Arial" w:cs="Arial"/>
          <w:kern w:val="0"/>
          <w:sz w:val="22"/>
          <w:szCs w:val="22"/>
          <w14:ligatures w14:val="none"/>
        </w:rPr>
        <w:t xml:space="preserve"> proactive risk management (WHO, 2021).</w:t>
      </w:r>
    </w:p>
    <w:p w14:paraId="6BF7ACA8" w14:textId="77777777" w:rsidR="00E34541" w:rsidRPr="00A457F8" w:rsidRDefault="00E34541" w:rsidP="002C2C73">
      <w:pPr>
        <w:pStyle w:val="Heading2"/>
        <w:rPr>
          <w:rFonts w:ascii="Arial" w:eastAsia="Times New Roman" w:hAnsi="Arial" w:cs="Arial"/>
        </w:rPr>
      </w:pPr>
      <w:bookmarkStart w:id="60" w:name="_Toc236074135"/>
      <w:r w:rsidRPr="00A457F8">
        <w:rPr>
          <w:rFonts w:ascii="Arial" w:eastAsia="Times New Roman" w:hAnsi="Arial" w:cs="Arial"/>
        </w:rPr>
        <w:t>Recommendation 6: Adopt the Plan–Do–Study–Act (PDSA) Cycle for Continuous Quality Improvement</w:t>
      </w:r>
      <w:bookmarkEnd w:id="60"/>
    </w:p>
    <w:p w14:paraId="66A7A66B" w14:textId="77777777" w:rsidR="0053738B" w:rsidRPr="00A457F8" w:rsidRDefault="0053738B" w:rsidP="0053738B">
      <w:pPr>
        <w:rPr>
          <w:rFonts w:ascii="Arial" w:hAnsi="Arial" w:cs="Arial"/>
        </w:rPr>
      </w:pPr>
      <w:r w:rsidRPr="00A457F8">
        <w:rPr>
          <w:rFonts w:ascii="Arial" w:hAnsi="Arial" w:cs="Arial"/>
        </w:rPr>
        <w:t>Healthcare organisations should adopt the Plan–Do–Study–Act (PDSA) cycle as a framework for continuous quality improvement. The planning stage should identify medication safety issues using incident reports and audits before targeted interventions are implemented. These may include enhanced staff training, improved barcode scanning compliance, revised medication policies, and strengthened governance processes. Performance should then be evaluated using indicators such as medication error rates, staff compliance, and patient outcomes before successful interventions are standardised across the organisation. The PDSA cycle promotes continuous evaluation, organisational learning, and sustainable improvements in patient safety (Institute for Healthcare Improvement, 2023).</w:t>
      </w:r>
    </w:p>
    <w:p w14:paraId="48A83475" w14:textId="77777777" w:rsidR="0053738B" w:rsidRPr="00A457F8" w:rsidRDefault="0053738B" w:rsidP="0053738B">
      <w:pPr>
        <w:rPr>
          <w:rFonts w:ascii="Arial" w:hAnsi="Arial" w:cs="Arial"/>
        </w:rPr>
      </w:pPr>
    </w:p>
    <w:p w14:paraId="0CFCA1CB" w14:textId="21E6D134" w:rsidR="0053738B" w:rsidRDefault="0053738B" w:rsidP="0053738B">
      <w:pPr>
        <w:rPr>
          <w:rFonts w:ascii="Arial" w:hAnsi="Arial" w:cs="Arial"/>
        </w:rPr>
      </w:pPr>
      <w:r w:rsidRPr="00A457F8">
        <w:rPr>
          <w:rFonts w:ascii="Arial" w:hAnsi="Arial" w:cs="Arial"/>
        </w:rPr>
        <w:t>Overall, preventing incidents similar to the RaDonda Vaught case requires healthcare organisations to move beyond individual accountability and strengthen the systems that support safe clinical practice. Enhancing governance, investing in technology, improving workforce capability, promoting a Just Culture, implementing digital monitoring, and embedding continuous quality improvement can significantly reduce medication errors and improve patient safety.</w:t>
      </w:r>
    </w:p>
    <w:p w14:paraId="202F2B44" w14:textId="7E6D8055" w:rsidR="000D575E" w:rsidRPr="003E7CA0" w:rsidRDefault="000D575E" w:rsidP="003E7CA0">
      <w:pPr>
        <w:pStyle w:val="Heading1"/>
      </w:pPr>
      <w:bookmarkStart w:id="61" w:name="_Toc236074136"/>
      <w:r w:rsidRPr="003E7CA0">
        <w:lastRenderedPageBreak/>
        <w:t>4. Benchmarking</w:t>
      </w:r>
      <w:bookmarkEnd w:id="61"/>
    </w:p>
    <w:tbl>
      <w:tblPr>
        <w:tblStyle w:val="GridTable4-Accent1"/>
        <w:tblW w:w="0" w:type="auto"/>
        <w:tblLook w:val="04A0" w:firstRow="1" w:lastRow="0" w:firstColumn="1" w:lastColumn="0" w:noHBand="0" w:noVBand="1"/>
      </w:tblPr>
      <w:tblGrid>
        <w:gridCol w:w="2254"/>
        <w:gridCol w:w="2254"/>
        <w:gridCol w:w="2254"/>
        <w:gridCol w:w="2254"/>
      </w:tblGrid>
      <w:tr w:rsidR="00D37235" w14:paraId="4AEE9970" w14:textId="77777777" w:rsidTr="00D372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3057309" w14:textId="77777777" w:rsidR="004C50DE" w:rsidRPr="00076EFC" w:rsidRDefault="004C50DE" w:rsidP="004C50DE">
            <w:pPr>
              <w:rPr>
                <w:rFonts w:ascii="Arial" w:hAnsi="Arial" w:cs="Arial"/>
                <w:sz w:val="22"/>
                <w:szCs w:val="22"/>
                <w:lang w:val="en-IN"/>
              </w:rPr>
            </w:pPr>
            <w:r w:rsidRPr="00076EFC">
              <w:rPr>
                <w:rFonts w:ascii="Arial" w:hAnsi="Arial" w:cs="Arial"/>
                <w:sz w:val="22"/>
                <w:szCs w:val="22"/>
                <w:lang w:val="en-US"/>
              </w:rPr>
              <w:t>National Standard</w:t>
            </w:r>
          </w:p>
          <w:p w14:paraId="480016B3" w14:textId="77777777" w:rsidR="00D37235" w:rsidRPr="00076EFC" w:rsidRDefault="00D37235" w:rsidP="0053738B">
            <w:pPr>
              <w:rPr>
                <w:rFonts w:ascii="Arial" w:hAnsi="Arial" w:cs="Arial"/>
                <w:sz w:val="22"/>
                <w:szCs w:val="22"/>
              </w:rPr>
            </w:pPr>
          </w:p>
        </w:tc>
        <w:tc>
          <w:tcPr>
            <w:tcW w:w="2254" w:type="dxa"/>
          </w:tcPr>
          <w:p w14:paraId="415C7F2D" w14:textId="77777777" w:rsidR="008D757E" w:rsidRPr="00076EFC" w:rsidRDefault="008D757E" w:rsidP="008D757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Expected Standard</w:t>
            </w:r>
          </w:p>
          <w:p w14:paraId="4673ADA3" w14:textId="77777777" w:rsidR="00D37235" w:rsidRPr="00076EFC" w:rsidRDefault="00D37235" w:rsidP="0053738B">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3EFA1327" w14:textId="77777777" w:rsidR="00C43801" w:rsidRPr="00076EFC" w:rsidRDefault="00C43801" w:rsidP="00C438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Gap in the RaDonda Vaught Case</w:t>
            </w:r>
          </w:p>
          <w:p w14:paraId="62F6B952" w14:textId="3E9216A2" w:rsidR="008D757E" w:rsidRPr="00076EFC" w:rsidRDefault="008D757E" w:rsidP="008D757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IN"/>
              </w:rPr>
            </w:pPr>
          </w:p>
          <w:p w14:paraId="5ED93389" w14:textId="77777777" w:rsidR="00D37235" w:rsidRPr="00076EFC" w:rsidRDefault="00D37235" w:rsidP="0053738B">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4D9AE922" w14:textId="012AC947" w:rsidR="00D37235" w:rsidRPr="00076EFC" w:rsidRDefault="008D757E" w:rsidP="0053738B">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6EFC">
              <w:rPr>
                <w:rFonts w:ascii="Arial" w:hAnsi="Arial" w:cs="Arial"/>
                <w:sz w:val="22"/>
                <w:szCs w:val="22"/>
              </w:rPr>
              <w:t>Improvement</w:t>
            </w:r>
          </w:p>
        </w:tc>
      </w:tr>
      <w:tr w:rsidR="00D37235" w14:paraId="23958061" w14:textId="77777777" w:rsidTr="00D37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ADFDEB9" w14:textId="77777777" w:rsidR="00F44963" w:rsidRPr="00076EFC" w:rsidRDefault="00F44963" w:rsidP="00F44963">
            <w:pPr>
              <w:rPr>
                <w:rFonts w:ascii="Arial" w:hAnsi="Arial" w:cs="Arial"/>
                <w:sz w:val="22"/>
                <w:szCs w:val="22"/>
                <w:lang w:val="en-IN"/>
              </w:rPr>
            </w:pPr>
            <w:r w:rsidRPr="00076EFC">
              <w:rPr>
                <w:rFonts w:ascii="Arial" w:hAnsi="Arial" w:cs="Arial"/>
                <w:sz w:val="22"/>
                <w:szCs w:val="22"/>
                <w:lang w:val="en-US"/>
              </w:rPr>
              <w:t>WHO Global patient safety Action plan (2021-2030)</w:t>
            </w:r>
          </w:p>
          <w:p w14:paraId="3E814098" w14:textId="77777777" w:rsidR="00D37235" w:rsidRPr="00076EFC" w:rsidRDefault="00D37235" w:rsidP="0053738B">
            <w:pPr>
              <w:rPr>
                <w:rFonts w:ascii="Arial" w:hAnsi="Arial" w:cs="Arial"/>
                <w:sz w:val="22"/>
                <w:szCs w:val="22"/>
              </w:rPr>
            </w:pPr>
          </w:p>
        </w:tc>
        <w:tc>
          <w:tcPr>
            <w:tcW w:w="2254" w:type="dxa"/>
          </w:tcPr>
          <w:p w14:paraId="05347540" w14:textId="77777777" w:rsidR="004C683A" w:rsidRPr="00076EFC" w:rsidRDefault="004C683A" w:rsidP="004C683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High-risk medications should be managed using multiple safety barriers to prevent medication errors.</w:t>
            </w:r>
          </w:p>
          <w:p w14:paraId="7F97D810"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3C256A16" w14:textId="1B93AEC2" w:rsidR="002435C2" w:rsidRPr="00076EFC" w:rsidRDefault="002435C2" w:rsidP="002435C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Multiple safety barriers failed simultaneously, resulting in a fatal medication error. (WHO, 2021</w:t>
            </w:r>
            <w:r w:rsidR="00203074">
              <w:rPr>
                <w:rFonts w:ascii="Arial" w:hAnsi="Arial" w:cs="Arial"/>
                <w:sz w:val="22"/>
                <w:szCs w:val="22"/>
                <w:lang w:val="en-US"/>
              </w:rPr>
              <w:t>)</w:t>
            </w:r>
          </w:p>
          <w:p w14:paraId="7F48DDA3"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296BB1EC" w14:textId="60376B49" w:rsidR="00D37235" w:rsidRPr="00076EFC" w:rsidRDefault="008959F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EFC">
              <w:rPr>
                <w:rFonts w:ascii="Arial" w:hAnsi="Arial" w:cs="Arial"/>
                <w:sz w:val="22"/>
                <w:szCs w:val="22"/>
              </w:rPr>
              <w:t>Strengthen medication safety systems by ensuring multiple safety barriers (BCMA, independent double-checks, patient monitoring and regular safety audits) are consistently followed.</w:t>
            </w:r>
          </w:p>
        </w:tc>
      </w:tr>
      <w:tr w:rsidR="00D37235" w14:paraId="34AF0256" w14:textId="77777777" w:rsidTr="00D37235">
        <w:tc>
          <w:tcPr>
            <w:cnfStyle w:val="001000000000" w:firstRow="0" w:lastRow="0" w:firstColumn="1" w:lastColumn="0" w:oddVBand="0" w:evenVBand="0" w:oddHBand="0" w:evenHBand="0" w:firstRowFirstColumn="0" w:firstRowLastColumn="0" w:lastRowFirstColumn="0" w:lastRowLastColumn="0"/>
            <w:tcW w:w="2254" w:type="dxa"/>
          </w:tcPr>
          <w:p w14:paraId="6C4560E0" w14:textId="77777777" w:rsidR="00F44963" w:rsidRPr="00076EFC" w:rsidRDefault="00F44963" w:rsidP="00F44963">
            <w:pPr>
              <w:rPr>
                <w:rFonts w:ascii="Arial" w:hAnsi="Arial" w:cs="Arial"/>
                <w:sz w:val="22"/>
                <w:szCs w:val="22"/>
                <w:lang w:val="en-IN"/>
              </w:rPr>
            </w:pPr>
            <w:r w:rsidRPr="00076EFC">
              <w:rPr>
                <w:rFonts w:ascii="Arial" w:hAnsi="Arial" w:cs="Arial"/>
                <w:sz w:val="22"/>
                <w:szCs w:val="22"/>
                <w:lang w:val="en-US"/>
              </w:rPr>
              <w:t>Five Rights of Medication Administration (Nursing Standard)</w:t>
            </w:r>
          </w:p>
          <w:p w14:paraId="396AD451" w14:textId="77777777" w:rsidR="00D37235" w:rsidRPr="00076EFC" w:rsidRDefault="00D37235" w:rsidP="0053738B">
            <w:pPr>
              <w:rPr>
                <w:rFonts w:ascii="Arial" w:hAnsi="Arial" w:cs="Arial"/>
                <w:sz w:val="22"/>
                <w:szCs w:val="22"/>
              </w:rPr>
            </w:pPr>
          </w:p>
        </w:tc>
        <w:tc>
          <w:tcPr>
            <w:tcW w:w="2254" w:type="dxa"/>
          </w:tcPr>
          <w:p w14:paraId="2A4A7C2D" w14:textId="77777777" w:rsidR="00E23FD7" w:rsidRPr="00076EFC" w:rsidRDefault="00E23FD7" w:rsidP="00E23FD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The right patient, right medication, right dose, right route and right time should always be confirmed before administration</w:t>
            </w:r>
          </w:p>
          <w:p w14:paraId="5260016A" w14:textId="77777777" w:rsidR="00D37235" w:rsidRPr="00076EFC" w:rsidRDefault="00D37235"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4C54B4D6" w14:textId="77777777" w:rsidR="00C43801" w:rsidRPr="00076EFC" w:rsidRDefault="00C43801" w:rsidP="00C438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The wrong medication (vecuronium instead of midazolam) was administered, demonstrating failure to follow medication verification procedures. (NMC, 2018)</w:t>
            </w:r>
          </w:p>
          <w:p w14:paraId="48231F1E" w14:textId="77777777" w:rsidR="00D37235" w:rsidRPr="00076EFC" w:rsidRDefault="00D37235"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066D930D" w14:textId="3289821C" w:rsidR="00D37235" w:rsidRPr="00076EFC" w:rsidRDefault="00EB522E"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EFC">
              <w:rPr>
                <w:rFonts w:ascii="Arial" w:hAnsi="Arial" w:cs="Arial"/>
                <w:sz w:val="22"/>
                <w:szCs w:val="22"/>
              </w:rPr>
              <w:t>Reinforce compliance with the Five Rights through mandatory competency training, medication verification protocols and annual clinical assessments.</w:t>
            </w:r>
          </w:p>
        </w:tc>
      </w:tr>
      <w:tr w:rsidR="00D37235" w14:paraId="1ADABBCA" w14:textId="77777777" w:rsidTr="00D37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545470B" w14:textId="77777777" w:rsidR="00F44963" w:rsidRPr="00076EFC" w:rsidRDefault="00F44963" w:rsidP="00F44963">
            <w:pPr>
              <w:rPr>
                <w:rFonts w:ascii="Arial" w:hAnsi="Arial" w:cs="Arial"/>
                <w:sz w:val="22"/>
                <w:szCs w:val="22"/>
                <w:lang w:val="en-IN"/>
              </w:rPr>
            </w:pPr>
            <w:r w:rsidRPr="00076EFC">
              <w:rPr>
                <w:rFonts w:ascii="Arial" w:hAnsi="Arial" w:cs="Arial"/>
                <w:sz w:val="22"/>
                <w:szCs w:val="22"/>
                <w:lang w:val="en-US"/>
              </w:rPr>
              <w:t>The Joint Commission National Patient Safety Goals (2025)</w:t>
            </w:r>
          </w:p>
          <w:p w14:paraId="38F961F4" w14:textId="77777777" w:rsidR="00D37235" w:rsidRPr="00076EFC" w:rsidRDefault="00D37235" w:rsidP="0053738B">
            <w:pPr>
              <w:rPr>
                <w:rFonts w:ascii="Arial" w:hAnsi="Arial" w:cs="Arial"/>
                <w:sz w:val="22"/>
                <w:szCs w:val="22"/>
              </w:rPr>
            </w:pPr>
          </w:p>
        </w:tc>
        <w:tc>
          <w:tcPr>
            <w:tcW w:w="2254" w:type="dxa"/>
          </w:tcPr>
          <w:p w14:paraId="3AC4E83C" w14:textId="77777777" w:rsidR="00E23FD7" w:rsidRPr="00076EFC" w:rsidRDefault="00E23FD7" w:rsidP="00E23FD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Patients should be correctly identified and medications verified using barcode technology before administration.</w:t>
            </w:r>
          </w:p>
          <w:p w14:paraId="522F96C5"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10143278" w14:textId="77777777" w:rsidR="00BC382F" w:rsidRPr="00076EFC" w:rsidRDefault="00BC382F" w:rsidP="00BC38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Barcode medication administration was not used, allowing the medication error to go undetected. (The Joint Commission, 2025</w:t>
            </w:r>
          </w:p>
          <w:p w14:paraId="06B7E833"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58539DD4" w14:textId="456E8683" w:rsidR="00D37235" w:rsidRPr="00076EFC" w:rsidRDefault="00EB522E"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EFC">
              <w:rPr>
                <w:rFonts w:ascii="Arial" w:hAnsi="Arial" w:cs="Arial"/>
                <w:sz w:val="22"/>
                <w:szCs w:val="22"/>
              </w:rPr>
              <w:t>Make barcode medication administration mandatory for all medication administration and regularly monitor compliance through clinical audits.</w:t>
            </w:r>
          </w:p>
        </w:tc>
      </w:tr>
      <w:tr w:rsidR="00D37235" w14:paraId="392F739B" w14:textId="77777777" w:rsidTr="00D37235">
        <w:tc>
          <w:tcPr>
            <w:cnfStyle w:val="001000000000" w:firstRow="0" w:lastRow="0" w:firstColumn="1" w:lastColumn="0" w:oddVBand="0" w:evenVBand="0" w:oddHBand="0" w:evenHBand="0" w:firstRowFirstColumn="0" w:firstRowLastColumn="0" w:lastRowFirstColumn="0" w:lastRowLastColumn="0"/>
            <w:tcW w:w="2254" w:type="dxa"/>
          </w:tcPr>
          <w:p w14:paraId="52A961CB" w14:textId="77777777" w:rsidR="004C683A" w:rsidRPr="00076EFC" w:rsidRDefault="004C683A" w:rsidP="004C683A">
            <w:pPr>
              <w:rPr>
                <w:rFonts w:ascii="Arial" w:hAnsi="Arial" w:cs="Arial"/>
                <w:sz w:val="22"/>
                <w:szCs w:val="22"/>
                <w:lang w:val="en-IN"/>
              </w:rPr>
            </w:pPr>
            <w:r w:rsidRPr="00076EFC">
              <w:rPr>
                <w:rFonts w:ascii="Arial" w:hAnsi="Arial" w:cs="Arial"/>
                <w:sz w:val="22"/>
                <w:szCs w:val="22"/>
                <w:lang w:val="en-US"/>
              </w:rPr>
              <w:t>Institute for Safe Medication Practices (ISMP) High-Alert Medication Guidelines (2024)</w:t>
            </w:r>
          </w:p>
          <w:p w14:paraId="5462EBD4" w14:textId="77777777" w:rsidR="00D37235" w:rsidRPr="00076EFC" w:rsidRDefault="00D37235" w:rsidP="0053738B">
            <w:pPr>
              <w:rPr>
                <w:rFonts w:ascii="Arial" w:hAnsi="Arial" w:cs="Arial"/>
                <w:sz w:val="22"/>
                <w:szCs w:val="22"/>
              </w:rPr>
            </w:pPr>
          </w:p>
        </w:tc>
        <w:tc>
          <w:tcPr>
            <w:tcW w:w="2254" w:type="dxa"/>
          </w:tcPr>
          <w:p w14:paraId="0682BE43" w14:textId="77777777" w:rsidR="002435C2" w:rsidRPr="00076EFC" w:rsidRDefault="002435C2" w:rsidP="002435C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Neuromuscular blocking agents (e.g., vecuronium) should require enhanced safeguards, including independent double-checks and clear warning labels.</w:t>
            </w:r>
          </w:p>
          <w:p w14:paraId="71FE0DBD" w14:textId="77777777" w:rsidR="00D37235" w:rsidRPr="00076EFC" w:rsidRDefault="00D37235"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62E90F0E" w14:textId="77777777" w:rsidR="00BC382F" w:rsidRPr="00076EFC" w:rsidRDefault="00BC382F" w:rsidP="00BC382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t>Vecuronium was removed using an override and administered without an independent double-check. (ISMP, 2024)</w:t>
            </w:r>
          </w:p>
          <w:p w14:paraId="3A61F0D0" w14:textId="77777777" w:rsidR="00D37235" w:rsidRPr="00076EFC" w:rsidRDefault="00D37235"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54" w:type="dxa"/>
          </w:tcPr>
          <w:p w14:paraId="5A603DCB" w14:textId="7431F152" w:rsidR="00D37235" w:rsidRPr="00076EFC" w:rsidRDefault="00EB522E" w:rsidP="0053738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EFC">
              <w:rPr>
                <w:rFonts w:ascii="Arial" w:hAnsi="Arial" w:cs="Arial"/>
                <w:sz w:val="22"/>
                <w:szCs w:val="22"/>
              </w:rPr>
              <w:t>Restrict ADC overrides to genuine emergencies, require independent double-checks for high-alert medications, and improve warning labels for neuromuscular blocking agents.</w:t>
            </w:r>
          </w:p>
        </w:tc>
      </w:tr>
      <w:tr w:rsidR="00D37235" w14:paraId="5633009A" w14:textId="77777777" w:rsidTr="00D372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50736F0" w14:textId="77777777" w:rsidR="004C683A" w:rsidRPr="00076EFC" w:rsidRDefault="004C683A" w:rsidP="004C683A">
            <w:pPr>
              <w:rPr>
                <w:rFonts w:ascii="Arial" w:hAnsi="Arial" w:cs="Arial"/>
                <w:sz w:val="22"/>
                <w:szCs w:val="22"/>
                <w:lang w:val="en-IN"/>
              </w:rPr>
            </w:pPr>
            <w:r w:rsidRPr="00076EFC">
              <w:rPr>
                <w:rFonts w:ascii="Arial" w:hAnsi="Arial" w:cs="Arial"/>
                <w:sz w:val="22"/>
                <w:szCs w:val="22"/>
                <w:lang w:val="en-IN"/>
              </w:rPr>
              <w:t>Just Culture Principles (AHRQ/WHO)</w:t>
            </w:r>
          </w:p>
          <w:p w14:paraId="6C72D97F" w14:textId="77777777" w:rsidR="00D37235" w:rsidRPr="00076EFC" w:rsidRDefault="00D37235" w:rsidP="0053738B">
            <w:pPr>
              <w:rPr>
                <w:rFonts w:ascii="Arial" w:hAnsi="Arial" w:cs="Arial"/>
                <w:sz w:val="22"/>
                <w:szCs w:val="22"/>
              </w:rPr>
            </w:pPr>
          </w:p>
        </w:tc>
        <w:tc>
          <w:tcPr>
            <w:tcW w:w="2254" w:type="dxa"/>
          </w:tcPr>
          <w:p w14:paraId="5C7D6985" w14:textId="77777777" w:rsidR="002435C2" w:rsidRPr="00076EFC" w:rsidRDefault="002435C2" w:rsidP="002435C2">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lastRenderedPageBreak/>
              <w:t xml:space="preserve">Organisations should promote learning from errors </w:t>
            </w:r>
            <w:r w:rsidRPr="00076EFC">
              <w:rPr>
                <w:rFonts w:ascii="Arial" w:hAnsi="Arial" w:cs="Arial"/>
                <w:sz w:val="22"/>
                <w:szCs w:val="22"/>
                <w:lang w:val="en-US"/>
              </w:rPr>
              <w:lastRenderedPageBreak/>
              <w:t>by addressing system weaknesses rather than focusing solely on individual blame</w:t>
            </w:r>
          </w:p>
          <w:p w14:paraId="0D0ED553"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0EE92733" w14:textId="77777777" w:rsidR="00BC382F" w:rsidRPr="00076EFC" w:rsidRDefault="00BC382F" w:rsidP="00BC382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076EFC">
              <w:rPr>
                <w:rFonts w:ascii="Arial" w:hAnsi="Arial" w:cs="Arial"/>
                <w:sz w:val="22"/>
                <w:szCs w:val="22"/>
                <w:lang w:val="en-US"/>
              </w:rPr>
              <w:lastRenderedPageBreak/>
              <w:t xml:space="preserve">The criminal prosecution of the nurse shifted </w:t>
            </w:r>
            <w:r w:rsidRPr="00076EFC">
              <w:rPr>
                <w:rFonts w:ascii="Arial" w:hAnsi="Arial" w:cs="Arial"/>
                <w:sz w:val="22"/>
                <w:szCs w:val="22"/>
                <w:lang w:val="en-US"/>
              </w:rPr>
              <w:lastRenderedPageBreak/>
              <w:t>attention towards individual accountability, raising concerns that organisational learning and open reporting could be discouraged. (Dekker, 2023; WHO, 2024)</w:t>
            </w:r>
          </w:p>
          <w:p w14:paraId="0D1A921E" w14:textId="77777777" w:rsidR="00D37235" w:rsidRPr="00076EFC" w:rsidRDefault="00D37235"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54" w:type="dxa"/>
          </w:tcPr>
          <w:p w14:paraId="4F644EE1" w14:textId="5B09B24F" w:rsidR="00D37235" w:rsidRPr="00076EFC" w:rsidRDefault="00BF1DEF" w:rsidP="0053738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EFC">
              <w:rPr>
                <w:rFonts w:ascii="Arial" w:hAnsi="Arial" w:cs="Arial"/>
                <w:sz w:val="22"/>
                <w:szCs w:val="22"/>
              </w:rPr>
              <w:lastRenderedPageBreak/>
              <w:t xml:space="preserve">Establish a Just Culture that encourages open </w:t>
            </w:r>
            <w:r w:rsidRPr="00076EFC">
              <w:rPr>
                <w:rFonts w:ascii="Arial" w:hAnsi="Arial" w:cs="Arial"/>
                <w:sz w:val="22"/>
                <w:szCs w:val="22"/>
              </w:rPr>
              <w:lastRenderedPageBreak/>
              <w:t>reporting, root cause analysis, organisational learning and system-level improvements while maintaining appropriate accountability.</w:t>
            </w:r>
          </w:p>
        </w:tc>
      </w:tr>
    </w:tbl>
    <w:p w14:paraId="60CEA1ED" w14:textId="77777777" w:rsidR="000D575E" w:rsidRPr="00A457F8" w:rsidRDefault="000D575E" w:rsidP="0053738B">
      <w:pPr>
        <w:rPr>
          <w:rFonts w:ascii="Arial" w:hAnsi="Arial" w:cs="Arial"/>
        </w:rPr>
      </w:pPr>
    </w:p>
    <w:p w14:paraId="42BD5DD9" w14:textId="16B6D5AB" w:rsidR="00310804" w:rsidRPr="00A457F8" w:rsidRDefault="003E7CA0" w:rsidP="002C2C73">
      <w:pPr>
        <w:pStyle w:val="Heading1"/>
        <w:rPr>
          <w:rFonts w:ascii="Arial" w:eastAsia="Times New Roman" w:hAnsi="Arial" w:cs="Arial"/>
        </w:rPr>
      </w:pPr>
      <w:bookmarkStart w:id="62" w:name="_Toc236074137"/>
      <w:r>
        <w:rPr>
          <w:rFonts w:ascii="Arial" w:eastAsia="Times New Roman" w:hAnsi="Arial" w:cs="Arial"/>
        </w:rPr>
        <w:t>5</w:t>
      </w:r>
      <w:r w:rsidR="00310804" w:rsidRPr="00A457F8">
        <w:rPr>
          <w:rFonts w:ascii="Arial" w:eastAsia="Times New Roman" w:hAnsi="Arial" w:cs="Arial"/>
        </w:rPr>
        <w:t>. Conclusion</w:t>
      </w:r>
      <w:bookmarkEnd w:id="62"/>
      <w:r w:rsidR="00310804" w:rsidRPr="00A457F8">
        <w:rPr>
          <w:rFonts w:ascii="Arial" w:eastAsia="Times New Roman" w:hAnsi="Arial" w:cs="Arial"/>
        </w:rPr>
        <w:t xml:space="preserve"> </w:t>
      </w:r>
    </w:p>
    <w:p w14:paraId="75C63023" w14:textId="77777777" w:rsidR="00310804" w:rsidRPr="00A457F8" w:rsidRDefault="00310804" w:rsidP="00310804">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The RaDonda Vaught medication error case is one of the most significant patient safety incidents in contemporary healthcare because it demonstrates how multiple organisational failures can combine to produce catastrophic patient harm. This report has shown that the incident was not solely the result of an individual nurse’s actions but reflected broader weaknesses in quality assurance systems, clinical governance, leadership, medication safety processes, and organisational culture. The routine use of automated dispensing cabinet overrides, inadequate medication verification, failure to utilise barcode medication administration, insufficient patient monitoring, and ineffective organisational learning collectively weakened the healthcare system’s ability to prevent medication errors.</w:t>
      </w:r>
    </w:p>
    <w:p w14:paraId="4F31948B" w14:textId="720C6C8D" w:rsidR="00310804" w:rsidRPr="00A457F8" w:rsidRDefault="00310804" w:rsidP="00310804">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 </w:t>
      </w:r>
      <w:r w:rsidRPr="00EC00DB">
        <w:rPr>
          <w:rFonts w:ascii="Arial" w:hAnsi="Arial" w:cs="Arial"/>
          <w:kern w:val="0"/>
          <w:sz w:val="22"/>
          <w:szCs w:val="22"/>
          <w14:ligatures w14:val="none"/>
        </w:rPr>
        <w:t>The Fishbone Diagram</w:t>
      </w:r>
      <w:r w:rsidRPr="00A457F8">
        <w:rPr>
          <w:rFonts w:ascii="Arial" w:hAnsi="Arial" w:cs="Arial"/>
          <w:kern w:val="0"/>
          <w:sz w:val="22"/>
          <w:szCs w:val="22"/>
          <w14:ligatures w14:val="none"/>
        </w:rPr>
        <w:t xml:space="preserve"> and </w:t>
      </w:r>
      <w:r w:rsidRPr="00EC00DB">
        <w:rPr>
          <w:rFonts w:ascii="Arial" w:hAnsi="Arial" w:cs="Arial"/>
          <w:bCs/>
          <w:kern w:val="0"/>
          <w:sz w:val="22"/>
          <w:szCs w:val="22"/>
          <w14:ligatures w14:val="none"/>
        </w:rPr>
        <w:t>Five Whys Analysis</w:t>
      </w:r>
      <w:r w:rsidRPr="00A457F8">
        <w:rPr>
          <w:rFonts w:ascii="Arial" w:hAnsi="Arial" w:cs="Arial"/>
          <w:kern w:val="0"/>
          <w:sz w:val="22"/>
          <w:szCs w:val="22"/>
          <w14:ligatures w14:val="none"/>
        </w:rPr>
        <w:t xml:space="preserve"> identified interconnected human, technological, environmental, managerial, and organisational factors that contributed to the adverse event. Furthermore, the </w:t>
      </w:r>
      <w:r w:rsidRPr="00EC00DB">
        <w:rPr>
          <w:rFonts w:ascii="Arial" w:hAnsi="Arial" w:cs="Arial"/>
          <w:bCs/>
          <w:kern w:val="0"/>
          <w:sz w:val="22"/>
          <w:szCs w:val="22"/>
          <w14:ligatures w14:val="none"/>
        </w:rPr>
        <w:t>SWOT Analysis</w:t>
      </w:r>
      <w:r w:rsidRPr="00A457F8">
        <w:rPr>
          <w:rFonts w:ascii="Arial" w:hAnsi="Arial" w:cs="Arial"/>
          <w:kern w:val="0"/>
          <w:sz w:val="22"/>
          <w:szCs w:val="22"/>
          <w14:ligatures w14:val="none"/>
        </w:rPr>
        <w:t xml:space="preserve"> highlighted both the strengths and weaknesses of existing medication safety systems while identifying opportunities for organisational improvement. Finally, </w:t>
      </w:r>
      <w:r w:rsidRPr="00EC00DB">
        <w:rPr>
          <w:rFonts w:ascii="Arial" w:hAnsi="Arial" w:cs="Arial"/>
          <w:bCs/>
          <w:kern w:val="0"/>
          <w:sz w:val="22"/>
          <w:szCs w:val="22"/>
          <w14:ligatures w14:val="none"/>
        </w:rPr>
        <w:t>Kurt Lewin’s Three-Stage Change Model demonstrated</w:t>
      </w:r>
      <w:r w:rsidRPr="00A457F8">
        <w:rPr>
          <w:rFonts w:ascii="Arial" w:hAnsi="Arial" w:cs="Arial"/>
          <w:kern w:val="0"/>
          <w:sz w:val="22"/>
          <w:szCs w:val="22"/>
          <w14:ligatures w14:val="none"/>
        </w:rPr>
        <w:t xml:space="preserve"> how sustainable organisational change can be achieved through structured implementation of evidence-based quality improvement initiatives.</w:t>
      </w:r>
    </w:p>
    <w:p w14:paraId="3C1C6CA4" w14:textId="6844F24C" w:rsidR="00310804" w:rsidRPr="00A457F8" w:rsidRDefault="00310804" w:rsidP="00310804">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The recommendations proposed in this report—including strengthening clinical governance, improving medication technology, enhancing workforce education, promoting a Just Culture, implementing digital quality monitoring, and adopting the Plan–Do–Study–Act (PDSA) cycle</w:t>
      </w:r>
      <w:r w:rsidR="00D73588">
        <w:rPr>
          <w:rFonts w:ascii="Arial" w:hAnsi="Arial" w:cs="Arial"/>
          <w:kern w:val="0"/>
          <w:sz w:val="22"/>
          <w:szCs w:val="22"/>
          <w14:ligatures w14:val="none"/>
        </w:rPr>
        <w:t xml:space="preserve"> </w:t>
      </w:r>
      <w:r w:rsidRPr="00A457F8">
        <w:rPr>
          <w:rFonts w:ascii="Arial" w:hAnsi="Arial" w:cs="Arial"/>
          <w:kern w:val="0"/>
          <w:sz w:val="22"/>
          <w:szCs w:val="22"/>
          <w14:ligatures w14:val="none"/>
        </w:rPr>
        <w:t>provide practical strategies for reducing medication errors and improving patient safety. These interventions emphasise continuous organisational learning, multidisciplinary collaboration, and leadership accountability as essential components of effective quality assurance.</w:t>
      </w:r>
    </w:p>
    <w:p w14:paraId="2980A8BF" w14:textId="77777777" w:rsidR="00310804" w:rsidRPr="00A457F8" w:rsidRDefault="00310804" w:rsidP="00310804">
      <w:p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In conclusion, the RaDonda Vaught case reinforces the principle that patient safety is a shared organisational responsibility rather than the responsibility of individual healthcare professionals alone. Healthcare organisations must foster robust quality assurance systems, transparent leadership, and a culture of continuous improvement to prevent similar incidents in the future. By learning from adverse events and implementing evidence-based service improvements, healthcare providers can enhance patient outcomes, strengthen public trust, and deliver safer, higher-quality care.</w:t>
      </w:r>
    </w:p>
    <w:p w14:paraId="34B50919" w14:textId="77777777" w:rsidR="00686CAD" w:rsidRPr="00A457F8" w:rsidRDefault="00686CAD" w:rsidP="00310804">
      <w:pPr>
        <w:spacing w:before="100" w:beforeAutospacing="1" w:after="100" w:afterAutospacing="1" w:line="240" w:lineRule="auto"/>
        <w:rPr>
          <w:rFonts w:ascii="Arial" w:hAnsi="Arial" w:cs="Arial"/>
          <w:kern w:val="0"/>
          <w:sz w:val="22"/>
          <w:szCs w:val="22"/>
          <w14:ligatures w14:val="none"/>
        </w:rPr>
      </w:pPr>
    </w:p>
    <w:p w14:paraId="24FB5627" w14:textId="77777777" w:rsidR="00686CAD" w:rsidRPr="00A457F8" w:rsidRDefault="00686CAD" w:rsidP="00310804">
      <w:pPr>
        <w:spacing w:before="100" w:beforeAutospacing="1" w:after="100" w:afterAutospacing="1" w:line="240" w:lineRule="auto"/>
        <w:rPr>
          <w:rFonts w:ascii="Arial" w:hAnsi="Arial" w:cs="Arial"/>
          <w:kern w:val="0"/>
          <w:sz w:val="22"/>
          <w:szCs w:val="22"/>
          <w14:ligatures w14:val="none"/>
        </w:rPr>
      </w:pPr>
    </w:p>
    <w:p w14:paraId="2A9C6D3F" w14:textId="77777777" w:rsidR="002C2C73" w:rsidRPr="00A457F8" w:rsidRDefault="002C2C73" w:rsidP="00310804">
      <w:pPr>
        <w:spacing w:before="100" w:beforeAutospacing="1" w:after="100" w:afterAutospacing="1" w:line="240" w:lineRule="auto"/>
        <w:rPr>
          <w:rFonts w:ascii="Arial" w:hAnsi="Arial" w:cs="Arial"/>
          <w:kern w:val="0"/>
          <w:sz w:val="22"/>
          <w:szCs w:val="22"/>
          <w14:ligatures w14:val="none"/>
        </w:rPr>
      </w:pPr>
    </w:p>
    <w:p w14:paraId="7757E292" w14:textId="77777777" w:rsidR="00686CAD" w:rsidRPr="00A457F8" w:rsidRDefault="00686CAD" w:rsidP="00310804">
      <w:pPr>
        <w:spacing w:before="100" w:beforeAutospacing="1" w:after="100" w:afterAutospacing="1" w:line="240" w:lineRule="auto"/>
        <w:rPr>
          <w:rFonts w:ascii="Arial" w:hAnsi="Arial" w:cs="Arial"/>
          <w:kern w:val="0"/>
          <w:sz w:val="22"/>
          <w:szCs w:val="22"/>
          <w14:ligatures w14:val="none"/>
        </w:rPr>
      </w:pPr>
    </w:p>
    <w:p w14:paraId="568C9C15" w14:textId="77777777" w:rsidR="00686CAD" w:rsidRPr="00A457F8" w:rsidRDefault="00686CAD" w:rsidP="00310804">
      <w:pPr>
        <w:spacing w:before="100" w:beforeAutospacing="1" w:after="100" w:afterAutospacing="1" w:line="240" w:lineRule="auto"/>
        <w:rPr>
          <w:rFonts w:ascii="Arial" w:hAnsi="Arial" w:cs="Arial"/>
          <w:kern w:val="0"/>
          <w:sz w:val="22"/>
          <w:szCs w:val="22"/>
          <w14:ligatures w14:val="none"/>
        </w:rPr>
      </w:pPr>
    </w:p>
    <w:p w14:paraId="5D9042A5" w14:textId="77777777" w:rsidR="00A457F8" w:rsidRDefault="00A457F8" w:rsidP="00310804">
      <w:pPr>
        <w:spacing w:before="100" w:beforeAutospacing="1" w:after="100" w:afterAutospacing="1" w:line="240" w:lineRule="auto"/>
        <w:rPr>
          <w:rFonts w:ascii="Arial" w:hAnsi="Arial" w:cs="Arial"/>
          <w:kern w:val="0"/>
          <w:sz w:val="22"/>
          <w:szCs w:val="22"/>
          <w14:ligatures w14:val="none"/>
        </w:rPr>
      </w:pPr>
    </w:p>
    <w:p w14:paraId="5F1C7491"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580A3EEE"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206EC5AA"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5FC62A88"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3C60D617"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6C33E77D"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473D8EDF"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2EF36FB3"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43C752BA"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0E95A548"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784331C1"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476A1FB2"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622AD052" w14:textId="77777777" w:rsidR="00D73588" w:rsidRDefault="00D73588" w:rsidP="00310804">
      <w:pPr>
        <w:spacing w:before="100" w:beforeAutospacing="1" w:after="100" w:afterAutospacing="1" w:line="240" w:lineRule="auto"/>
        <w:rPr>
          <w:rFonts w:ascii="Arial" w:hAnsi="Arial" w:cs="Arial"/>
          <w:kern w:val="0"/>
          <w:sz w:val="22"/>
          <w:szCs w:val="22"/>
          <w14:ligatures w14:val="none"/>
        </w:rPr>
      </w:pPr>
    </w:p>
    <w:p w14:paraId="0D6F5B9F" w14:textId="77777777" w:rsidR="00D73588" w:rsidRPr="00A457F8" w:rsidRDefault="00D73588" w:rsidP="00310804">
      <w:pPr>
        <w:spacing w:before="100" w:beforeAutospacing="1" w:after="100" w:afterAutospacing="1" w:line="240" w:lineRule="auto"/>
        <w:rPr>
          <w:rFonts w:ascii="Arial" w:hAnsi="Arial" w:cs="Arial"/>
          <w:kern w:val="0"/>
          <w:sz w:val="22"/>
          <w:szCs w:val="22"/>
          <w14:ligatures w14:val="none"/>
        </w:rPr>
      </w:pPr>
    </w:p>
    <w:p w14:paraId="51B6D832" w14:textId="77777777" w:rsidR="0081540A" w:rsidRPr="00A457F8" w:rsidRDefault="0081540A" w:rsidP="00310804">
      <w:pPr>
        <w:spacing w:before="100" w:beforeAutospacing="1" w:after="100" w:afterAutospacing="1" w:line="240" w:lineRule="auto"/>
        <w:rPr>
          <w:rFonts w:ascii="Arial" w:hAnsi="Arial" w:cs="Arial"/>
          <w:kern w:val="0"/>
          <w:sz w:val="22"/>
          <w:szCs w:val="22"/>
          <w14:ligatures w14:val="none"/>
        </w:rPr>
      </w:pPr>
    </w:p>
    <w:p w14:paraId="59B84FE6" w14:textId="77777777" w:rsidR="00FC7781" w:rsidRPr="00A457F8" w:rsidRDefault="00FC7781" w:rsidP="002C2C73">
      <w:pPr>
        <w:pStyle w:val="Heading1"/>
        <w:rPr>
          <w:rFonts w:ascii="Arial" w:eastAsia="Times New Roman" w:hAnsi="Arial" w:cs="Arial"/>
        </w:rPr>
      </w:pPr>
      <w:bookmarkStart w:id="63" w:name="_Toc236074138"/>
      <w:r w:rsidRPr="00A457F8">
        <w:rPr>
          <w:rFonts w:ascii="Arial" w:eastAsia="Times New Roman" w:hAnsi="Arial" w:cs="Arial"/>
        </w:rPr>
        <w:t>References</w:t>
      </w:r>
      <w:bookmarkEnd w:id="63"/>
    </w:p>
    <w:p w14:paraId="0EDE12C9"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Agency for Healthcare Research and Quality (AHRQ) (2022) </w:t>
      </w:r>
      <w:r w:rsidRPr="00A457F8">
        <w:rPr>
          <w:rFonts w:ascii="Arial" w:hAnsi="Arial" w:cs="Arial"/>
          <w:i/>
          <w:kern w:val="0"/>
          <w:sz w:val="22"/>
          <w:szCs w:val="22"/>
          <w14:ligatures w14:val="none"/>
        </w:rPr>
        <w:t>Patient Safety Primer: Medication Errors</w:t>
      </w:r>
      <w:r w:rsidRPr="00A457F8">
        <w:rPr>
          <w:rFonts w:ascii="Arial" w:hAnsi="Arial" w:cs="Arial"/>
          <w:kern w:val="0"/>
          <w:sz w:val="22"/>
          <w:szCs w:val="22"/>
          <w14:ligatures w14:val="none"/>
        </w:rPr>
        <w:t xml:space="preserve">. Rockville, MD: AHRQ. Available at: </w:t>
      </w:r>
      <w:hyperlink r:id="rId12" w:history="1">
        <w:r w:rsidRPr="00A457F8">
          <w:rPr>
            <w:rFonts w:ascii="Arial" w:hAnsi="Arial" w:cs="Arial"/>
            <w:color w:val="0000FF"/>
            <w:kern w:val="0"/>
            <w:sz w:val="22"/>
            <w:szCs w:val="22"/>
            <w:u w:val="single"/>
            <w14:ligatures w14:val="none"/>
          </w:rPr>
          <w:t>https://psnet.ahrq.gov</w:t>
        </w:r>
      </w:hyperlink>
      <w:r w:rsidRPr="00A457F8">
        <w:rPr>
          <w:rFonts w:ascii="Arial" w:hAnsi="Arial" w:cs="Arial"/>
          <w:kern w:val="0"/>
          <w:sz w:val="22"/>
          <w:szCs w:val="22"/>
          <w14:ligatures w14:val="none"/>
        </w:rPr>
        <w:t xml:space="preserve"> (Accessed: 26 July 2026).</w:t>
      </w:r>
    </w:p>
    <w:p w14:paraId="78834F88" w14:textId="77777777" w:rsidR="00FC7781"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Centers for Medicare &amp; Medicaid Services (CMS) (2019) </w:t>
      </w:r>
      <w:r w:rsidRPr="00A457F8">
        <w:rPr>
          <w:rFonts w:ascii="Arial" w:hAnsi="Arial" w:cs="Arial"/>
          <w:i/>
          <w:kern w:val="0"/>
          <w:sz w:val="22"/>
          <w:szCs w:val="22"/>
          <w14:ligatures w14:val="none"/>
        </w:rPr>
        <w:t>Statement of Deficiencies and Plan of Correction: Vanderbilt University Medical Center</w:t>
      </w:r>
      <w:r w:rsidRPr="00A457F8">
        <w:rPr>
          <w:rFonts w:ascii="Arial" w:hAnsi="Arial" w:cs="Arial"/>
          <w:kern w:val="0"/>
          <w:sz w:val="22"/>
          <w:szCs w:val="22"/>
          <w14:ligatures w14:val="none"/>
        </w:rPr>
        <w:t>. Baltimore, MD: CMS.</w:t>
      </w:r>
    </w:p>
    <w:p w14:paraId="2FF91EEF" w14:textId="71A55BC7" w:rsidR="00AB069F" w:rsidRPr="00A457F8" w:rsidRDefault="00AB069F"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B069F">
        <w:rPr>
          <w:rFonts w:ascii="Arial" w:hAnsi="Arial" w:cs="Arial"/>
          <w:kern w:val="0"/>
          <w:sz w:val="22"/>
          <w:szCs w:val="22"/>
          <w:lang w:val="en-US"/>
          <w14:ligatures w14:val="none"/>
        </w:rPr>
        <w:t>Dekker, S. (2023) ‘</w:t>
      </w:r>
      <w:r w:rsidRPr="00AB069F">
        <w:rPr>
          <w:rFonts w:ascii="Arial" w:hAnsi="Arial" w:cs="Arial"/>
          <w:i/>
          <w:iCs/>
          <w:kern w:val="0"/>
          <w:sz w:val="22"/>
          <w:szCs w:val="22"/>
          <w:lang w:val="en-US"/>
          <w14:ligatures w14:val="none"/>
        </w:rPr>
        <w:t>Investigative approaches: Lessons learned from the RaDonda Vaught case’</w:t>
      </w:r>
      <w:r w:rsidRPr="00AB069F">
        <w:rPr>
          <w:rFonts w:ascii="Arial" w:hAnsi="Arial" w:cs="Arial"/>
          <w:kern w:val="0"/>
          <w:sz w:val="22"/>
          <w:szCs w:val="22"/>
          <w:lang w:val="en-US"/>
          <w14:ligatures w14:val="none"/>
        </w:rPr>
        <w:t>, Human Factors in Healthcare, 4, 100054.</w:t>
      </w:r>
    </w:p>
    <w:p w14:paraId="608EFC2E"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Gürel, E. and Tat, M. (2017) ‘SWOT analysis: A theoretical review’, </w:t>
      </w:r>
      <w:r w:rsidRPr="00A457F8">
        <w:rPr>
          <w:rFonts w:ascii="Arial" w:hAnsi="Arial" w:cs="Arial"/>
          <w:i/>
          <w:kern w:val="0"/>
          <w:sz w:val="22"/>
          <w:szCs w:val="22"/>
          <w14:ligatures w14:val="none"/>
        </w:rPr>
        <w:t>The Journal of International Social Research</w:t>
      </w:r>
      <w:r w:rsidRPr="00A457F8">
        <w:rPr>
          <w:rFonts w:ascii="Arial" w:hAnsi="Arial" w:cs="Arial"/>
          <w:kern w:val="0"/>
          <w:sz w:val="22"/>
          <w:szCs w:val="22"/>
          <w14:ligatures w14:val="none"/>
        </w:rPr>
        <w:t xml:space="preserve">, 10(51), pp. </w:t>
      </w:r>
      <w:hyperlink r:id="rId13" w:history="1">
        <w:r w:rsidRPr="00A457F8">
          <w:rPr>
            <w:rFonts w:ascii="Arial" w:hAnsi="Arial" w:cs="Arial"/>
            <w:color w:val="0000FF"/>
            <w:kern w:val="0"/>
            <w:sz w:val="22"/>
            <w:szCs w:val="22"/>
            <w:u w:val="single"/>
            <w14:ligatures w14:val="none"/>
          </w:rPr>
          <w:t>994–1006</w:t>
        </w:r>
      </w:hyperlink>
      <w:r w:rsidRPr="00A457F8">
        <w:rPr>
          <w:rFonts w:ascii="Arial" w:hAnsi="Arial" w:cs="Arial"/>
          <w:kern w:val="0"/>
          <w:sz w:val="22"/>
          <w:szCs w:val="22"/>
          <w14:ligatures w14:val="none"/>
        </w:rPr>
        <w:t>.</w:t>
      </w:r>
    </w:p>
    <w:p w14:paraId="686D6094"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lastRenderedPageBreak/>
        <w:t xml:space="preserve">Institute for Healthcare Improvement (IHI) (2023) </w:t>
      </w:r>
      <w:r w:rsidRPr="00A457F8">
        <w:rPr>
          <w:rFonts w:ascii="Arial" w:hAnsi="Arial" w:cs="Arial"/>
          <w:i/>
          <w:kern w:val="0"/>
          <w:sz w:val="22"/>
          <w:szCs w:val="22"/>
          <w14:ligatures w14:val="none"/>
        </w:rPr>
        <w:t>Science of Improvement: How to Improve</w:t>
      </w:r>
      <w:r w:rsidRPr="00A457F8">
        <w:rPr>
          <w:rFonts w:ascii="Arial" w:hAnsi="Arial" w:cs="Arial"/>
          <w:kern w:val="0"/>
          <w:sz w:val="22"/>
          <w:szCs w:val="22"/>
          <w14:ligatures w14:val="none"/>
        </w:rPr>
        <w:t xml:space="preserve">. Boston, MA: Institute for Healthcare Improvement. Available at: </w:t>
      </w:r>
      <w:hyperlink r:id="rId14" w:history="1">
        <w:r w:rsidRPr="00A457F8">
          <w:rPr>
            <w:rFonts w:ascii="Arial" w:hAnsi="Arial" w:cs="Arial"/>
            <w:color w:val="0000FF"/>
            <w:kern w:val="0"/>
            <w:sz w:val="22"/>
            <w:szCs w:val="22"/>
            <w:u w:val="single"/>
            <w14:ligatures w14:val="none"/>
          </w:rPr>
          <w:t>https://www.ihi.org</w:t>
        </w:r>
      </w:hyperlink>
      <w:r w:rsidRPr="00A457F8">
        <w:rPr>
          <w:rFonts w:ascii="Arial" w:hAnsi="Arial" w:cs="Arial"/>
          <w:kern w:val="0"/>
          <w:sz w:val="22"/>
          <w:szCs w:val="22"/>
          <w14:ligatures w14:val="none"/>
        </w:rPr>
        <w:t xml:space="preserve"> (Accessed: 26 July 2026).</w:t>
      </w:r>
    </w:p>
    <w:p w14:paraId="471EEEDF"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Institute for Safe Medication Practices (ISMP) (2022) </w:t>
      </w:r>
      <w:r w:rsidRPr="00A457F8">
        <w:rPr>
          <w:rFonts w:ascii="Arial" w:hAnsi="Arial" w:cs="Arial"/>
          <w:i/>
          <w:kern w:val="0"/>
          <w:sz w:val="22"/>
          <w:szCs w:val="22"/>
          <w14:ligatures w14:val="none"/>
        </w:rPr>
        <w:t>Criminalization of Human Error and Its Impact on Patient Safety</w:t>
      </w:r>
      <w:r w:rsidRPr="00A457F8">
        <w:rPr>
          <w:rFonts w:ascii="Arial" w:hAnsi="Arial" w:cs="Arial"/>
          <w:kern w:val="0"/>
          <w:sz w:val="22"/>
          <w:szCs w:val="22"/>
          <w14:ligatures w14:val="none"/>
        </w:rPr>
        <w:t xml:space="preserve">. Horsham, PA: ISMP. Available at: </w:t>
      </w:r>
      <w:hyperlink r:id="rId15" w:history="1">
        <w:r w:rsidRPr="00A457F8">
          <w:rPr>
            <w:rFonts w:ascii="Arial" w:hAnsi="Arial" w:cs="Arial"/>
            <w:color w:val="0000FF"/>
            <w:kern w:val="0"/>
            <w:sz w:val="22"/>
            <w:szCs w:val="22"/>
            <w:u w:val="single"/>
            <w14:ligatures w14:val="none"/>
          </w:rPr>
          <w:t>https://www.ismp.org</w:t>
        </w:r>
      </w:hyperlink>
      <w:r w:rsidRPr="00A457F8">
        <w:rPr>
          <w:rFonts w:ascii="Arial" w:hAnsi="Arial" w:cs="Arial"/>
          <w:kern w:val="0"/>
          <w:sz w:val="22"/>
          <w:szCs w:val="22"/>
          <w14:ligatures w14:val="none"/>
        </w:rPr>
        <w:t xml:space="preserve"> (Accessed: 26 July 2026).</w:t>
      </w:r>
    </w:p>
    <w:p w14:paraId="08BECA71"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Ishikawa, K. (1986) </w:t>
      </w:r>
      <w:r w:rsidRPr="00A457F8">
        <w:rPr>
          <w:rFonts w:ascii="Arial" w:hAnsi="Arial" w:cs="Arial"/>
          <w:i/>
          <w:kern w:val="0"/>
          <w:sz w:val="22"/>
          <w:szCs w:val="22"/>
          <w14:ligatures w14:val="none"/>
        </w:rPr>
        <w:t>Guide to Quality Control</w:t>
      </w:r>
      <w:r w:rsidRPr="00A457F8">
        <w:rPr>
          <w:rFonts w:ascii="Arial" w:hAnsi="Arial" w:cs="Arial"/>
          <w:kern w:val="0"/>
          <w:sz w:val="22"/>
          <w:szCs w:val="22"/>
          <w14:ligatures w14:val="none"/>
        </w:rPr>
        <w:t>. 2nd rev. edn. Tokyo: Asian Productivity Organization.</w:t>
      </w:r>
    </w:p>
    <w:p w14:paraId="47643D4C" w14:textId="01E1AEBE" w:rsidR="00FC7781" w:rsidRPr="00756789" w:rsidRDefault="00FC7781" w:rsidP="00756789">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Joint Commission (2024) </w:t>
      </w:r>
      <w:r w:rsidRPr="00A457F8">
        <w:rPr>
          <w:rFonts w:ascii="Arial" w:hAnsi="Arial" w:cs="Arial"/>
          <w:i/>
          <w:kern w:val="0"/>
          <w:sz w:val="22"/>
          <w:szCs w:val="22"/>
          <w14:ligatures w14:val="none"/>
        </w:rPr>
        <w:t>National Patient Safety Goals: Hospital Program</w:t>
      </w:r>
      <w:r w:rsidRPr="00A457F8">
        <w:rPr>
          <w:rFonts w:ascii="Arial" w:hAnsi="Arial" w:cs="Arial"/>
          <w:kern w:val="0"/>
          <w:sz w:val="22"/>
          <w:szCs w:val="22"/>
          <w14:ligatures w14:val="none"/>
        </w:rPr>
        <w:t xml:space="preserve">. Oakbrook Terrace, IL: The Joint Commission. Available at: </w:t>
      </w:r>
      <w:hyperlink r:id="rId16" w:history="1">
        <w:r w:rsidRPr="00A457F8">
          <w:rPr>
            <w:rFonts w:ascii="Arial" w:hAnsi="Arial" w:cs="Arial"/>
            <w:color w:val="0000FF"/>
            <w:kern w:val="0"/>
            <w:sz w:val="22"/>
            <w:szCs w:val="22"/>
            <w:u w:val="single"/>
            <w14:ligatures w14:val="none"/>
          </w:rPr>
          <w:t>https://www.jointcommission.org</w:t>
        </w:r>
      </w:hyperlink>
      <w:r w:rsidRPr="00A457F8">
        <w:rPr>
          <w:rFonts w:ascii="Arial" w:hAnsi="Arial" w:cs="Arial"/>
          <w:kern w:val="0"/>
          <w:sz w:val="22"/>
          <w:szCs w:val="22"/>
          <w14:ligatures w14:val="none"/>
        </w:rPr>
        <w:t xml:space="preserve"> (Accessed: 26 July 2026).</w:t>
      </w:r>
    </w:p>
    <w:p w14:paraId="6B905C08"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Lewin, K. (1947) ‘Frontiers in group dynamics’, </w:t>
      </w:r>
      <w:r w:rsidRPr="00A457F8">
        <w:rPr>
          <w:rFonts w:ascii="Arial" w:hAnsi="Arial" w:cs="Arial"/>
          <w:i/>
          <w:kern w:val="0"/>
          <w:sz w:val="22"/>
          <w:szCs w:val="22"/>
          <w14:ligatures w14:val="none"/>
        </w:rPr>
        <w:t>Human Relations</w:t>
      </w:r>
      <w:r w:rsidRPr="00A457F8">
        <w:rPr>
          <w:rFonts w:ascii="Arial" w:hAnsi="Arial" w:cs="Arial"/>
          <w:kern w:val="0"/>
          <w:sz w:val="22"/>
          <w:szCs w:val="22"/>
          <w14:ligatures w14:val="none"/>
        </w:rPr>
        <w:t>, 1(1), pp. 5–41.</w:t>
      </w:r>
    </w:p>
    <w:p w14:paraId="1C278D6E"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Marx, D. (2001) </w:t>
      </w:r>
      <w:r w:rsidRPr="00A457F8">
        <w:rPr>
          <w:rFonts w:ascii="Arial" w:hAnsi="Arial" w:cs="Arial"/>
          <w:i/>
          <w:kern w:val="0"/>
          <w:sz w:val="22"/>
          <w:szCs w:val="22"/>
          <w14:ligatures w14:val="none"/>
        </w:rPr>
        <w:t>Patient Safety and the “Just Culture”: A Primer for Health Care Executives</w:t>
      </w:r>
      <w:r w:rsidRPr="00A457F8">
        <w:rPr>
          <w:rFonts w:ascii="Arial" w:hAnsi="Arial" w:cs="Arial"/>
          <w:kern w:val="0"/>
          <w:sz w:val="22"/>
          <w:szCs w:val="22"/>
          <w14:ligatures w14:val="none"/>
        </w:rPr>
        <w:t>. New York: Columbia University.</w:t>
      </w:r>
    </w:p>
    <w:p w14:paraId="1045FB61" w14:textId="741B08E1" w:rsidR="00FC7781" w:rsidRDefault="00FC7781" w:rsidP="001767E6">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NHS England (2023) </w:t>
      </w:r>
      <w:r w:rsidRPr="00A457F8">
        <w:rPr>
          <w:rFonts w:ascii="Arial" w:hAnsi="Arial" w:cs="Arial"/>
          <w:i/>
          <w:kern w:val="0"/>
          <w:sz w:val="22"/>
          <w:szCs w:val="22"/>
          <w14:ligatures w14:val="none"/>
        </w:rPr>
        <w:t>Patient Safety Incident Response Framework (PSIRF)</w:t>
      </w:r>
      <w:r w:rsidRPr="00A457F8">
        <w:rPr>
          <w:rFonts w:ascii="Arial" w:hAnsi="Arial" w:cs="Arial"/>
          <w:kern w:val="0"/>
          <w:sz w:val="22"/>
          <w:szCs w:val="22"/>
          <w14:ligatures w14:val="none"/>
        </w:rPr>
        <w:t xml:space="preserve">. London: NHS England. Available at: </w:t>
      </w:r>
      <w:hyperlink r:id="rId17" w:history="1">
        <w:r w:rsidRPr="00A457F8">
          <w:rPr>
            <w:rFonts w:ascii="Arial" w:hAnsi="Arial" w:cs="Arial"/>
            <w:color w:val="0000FF"/>
            <w:kern w:val="0"/>
            <w:sz w:val="22"/>
            <w:szCs w:val="22"/>
            <w:u w:val="single"/>
            <w14:ligatures w14:val="none"/>
          </w:rPr>
          <w:t>https://www.england.nhs.uk/patient-safety</w:t>
        </w:r>
      </w:hyperlink>
      <w:r w:rsidRPr="00A457F8">
        <w:rPr>
          <w:rFonts w:ascii="Arial" w:hAnsi="Arial" w:cs="Arial"/>
          <w:kern w:val="0"/>
          <w:sz w:val="22"/>
          <w:szCs w:val="22"/>
          <w14:ligatures w14:val="none"/>
        </w:rPr>
        <w:t xml:space="preserve"> (Accessed: 26 July 2026).</w:t>
      </w:r>
    </w:p>
    <w:p w14:paraId="40611B86" w14:textId="13158E31" w:rsidR="007D0169" w:rsidRPr="007D0169" w:rsidRDefault="007D0169" w:rsidP="007D0169">
      <w:pPr>
        <w:pStyle w:val="ListParagraph"/>
        <w:numPr>
          <w:ilvl w:val="0"/>
          <w:numId w:val="1"/>
        </w:numPr>
        <w:spacing w:before="100" w:beforeAutospacing="1" w:after="100" w:afterAutospacing="1" w:line="240" w:lineRule="auto"/>
        <w:rPr>
          <w:rFonts w:ascii="Arial" w:hAnsi="Arial" w:cs="Arial"/>
          <w:kern w:val="0"/>
          <w:sz w:val="22"/>
          <w:szCs w:val="22"/>
          <w:lang w:val="en-IN"/>
          <w14:ligatures w14:val="none"/>
        </w:rPr>
      </w:pPr>
      <w:r w:rsidRPr="007D0169">
        <w:rPr>
          <w:rFonts w:ascii="Arial" w:hAnsi="Arial" w:cs="Arial"/>
          <w:kern w:val="0"/>
          <w:sz w:val="22"/>
          <w:szCs w:val="22"/>
          <w:lang w:val="en-US"/>
          <w14:ligatures w14:val="none"/>
        </w:rPr>
        <w:t>. Nursing and Midwifery Council (2018) The Code: Professional standards of practice and behaviour for nurses, midwives and nursing associates. Available at: https://www.nmc.org.uk/standards/code/ (Accessed: 17 June 2026).</w:t>
      </w:r>
    </w:p>
    <w:p w14:paraId="35EB3501" w14:textId="399577A6" w:rsidR="00FC7781" w:rsidRPr="001767E6" w:rsidRDefault="00FC7781" w:rsidP="001767E6">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The Joint Commission (2024) </w:t>
      </w:r>
      <w:r w:rsidRPr="00A457F8">
        <w:rPr>
          <w:rFonts w:ascii="Arial" w:hAnsi="Arial" w:cs="Arial"/>
          <w:i/>
          <w:kern w:val="0"/>
          <w:sz w:val="22"/>
          <w:szCs w:val="22"/>
          <w14:ligatures w14:val="none"/>
        </w:rPr>
        <w:t>Sentinel Event Policy and Procedures</w:t>
      </w:r>
      <w:r w:rsidRPr="00A457F8">
        <w:rPr>
          <w:rFonts w:ascii="Arial" w:hAnsi="Arial" w:cs="Arial"/>
          <w:kern w:val="0"/>
          <w:sz w:val="22"/>
          <w:szCs w:val="22"/>
          <w14:ligatures w14:val="none"/>
        </w:rPr>
        <w:t>. Oakbrook Terrace, IL: The Joint Commission.</w:t>
      </w:r>
    </w:p>
    <w:p w14:paraId="1B5D49AC"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World Health Organization (WHO) (2021) </w:t>
      </w:r>
      <w:r w:rsidRPr="00A457F8">
        <w:rPr>
          <w:rFonts w:ascii="Arial" w:hAnsi="Arial" w:cs="Arial"/>
          <w:i/>
          <w:kern w:val="0"/>
          <w:sz w:val="22"/>
          <w:szCs w:val="22"/>
          <w14:ligatures w14:val="none"/>
        </w:rPr>
        <w:t>Global Patient Safety Action Plan 2021–2030: Towards Eliminating Avoidable Harm in Health Care</w:t>
      </w:r>
      <w:r w:rsidRPr="00A457F8">
        <w:rPr>
          <w:rFonts w:ascii="Arial" w:hAnsi="Arial" w:cs="Arial"/>
          <w:kern w:val="0"/>
          <w:sz w:val="22"/>
          <w:szCs w:val="22"/>
          <w14:ligatures w14:val="none"/>
        </w:rPr>
        <w:t>. Geneva: World Health Organization.</w:t>
      </w:r>
    </w:p>
    <w:p w14:paraId="64E00AF2"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World Health Organization (WHO) (2024) </w:t>
      </w:r>
      <w:r w:rsidRPr="00A457F8">
        <w:rPr>
          <w:rFonts w:ascii="Arial" w:hAnsi="Arial" w:cs="Arial"/>
          <w:i/>
          <w:kern w:val="0"/>
          <w:sz w:val="22"/>
          <w:szCs w:val="22"/>
          <w14:ligatures w14:val="none"/>
        </w:rPr>
        <w:t>Patient Safety Factsheet</w:t>
      </w:r>
      <w:r w:rsidRPr="00A457F8">
        <w:rPr>
          <w:rFonts w:ascii="Arial" w:hAnsi="Arial" w:cs="Arial"/>
          <w:kern w:val="0"/>
          <w:sz w:val="22"/>
          <w:szCs w:val="22"/>
          <w14:ligatures w14:val="none"/>
        </w:rPr>
        <w:t xml:space="preserve">. Geneva: World Health Organization. Available at: </w:t>
      </w:r>
      <w:hyperlink r:id="rId18" w:history="1">
        <w:r w:rsidRPr="00A457F8">
          <w:rPr>
            <w:rFonts w:ascii="Arial" w:hAnsi="Arial" w:cs="Arial"/>
            <w:color w:val="0000FF"/>
            <w:kern w:val="0"/>
            <w:sz w:val="22"/>
            <w:szCs w:val="22"/>
            <w:u w:val="single"/>
            <w14:ligatures w14:val="none"/>
          </w:rPr>
          <w:t>https://www.who.int</w:t>
        </w:r>
      </w:hyperlink>
      <w:r w:rsidRPr="00A457F8">
        <w:rPr>
          <w:rFonts w:ascii="Arial" w:hAnsi="Arial" w:cs="Arial"/>
          <w:kern w:val="0"/>
          <w:sz w:val="22"/>
          <w:szCs w:val="22"/>
          <w14:ligatures w14:val="none"/>
        </w:rPr>
        <w:t xml:space="preserve"> (Accessed: 26 July 2026).</w:t>
      </w:r>
    </w:p>
    <w:p w14:paraId="0210E05A" w14:textId="77777777" w:rsidR="00FC7781" w:rsidRPr="00A457F8" w:rsidRDefault="00FC7781" w:rsidP="00686CAD">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A457F8">
        <w:rPr>
          <w:rFonts w:ascii="Arial" w:hAnsi="Arial" w:cs="Arial"/>
          <w:kern w:val="0"/>
          <w:sz w:val="22"/>
          <w:szCs w:val="22"/>
          <w14:ligatures w14:val="none"/>
        </w:rPr>
        <w:t xml:space="preserve">World Health Organization (WHO) (2025) </w:t>
      </w:r>
      <w:r w:rsidRPr="00A457F8">
        <w:rPr>
          <w:rFonts w:ascii="Arial" w:hAnsi="Arial" w:cs="Arial"/>
          <w:i/>
          <w:kern w:val="0"/>
          <w:sz w:val="22"/>
          <w:szCs w:val="22"/>
          <w14:ligatures w14:val="none"/>
        </w:rPr>
        <w:t>Medication Without Harm: Global Patient Safety Challenge</w:t>
      </w:r>
      <w:r w:rsidRPr="00A457F8">
        <w:rPr>
          <w:rFonts w:ascii="Arial" w:hAnsi="Arial" w:cs="Arial"/>
          <w:kern w:val="0"/>
          <w:sz w:val="22"/>
          <w:szCs w:val="22"/>
          <w14:ligatures w14:val="none"/>
        </w:rPr>
        <w:t>. Geneva: World Health Organization.</w:t>
      </w:r>
    </w:p>
    <w:p w14:paraId="1E75D193" w14:textId="77777777" w:rsidR="00E03AE0" w:rsidRPr="00A457F8" w:rsidRDefault="00E03AE0">
      <w:pPr>
        <w:rPr>
          <w:rFonts w:ascii="Arial" w:hAnsi="Arial" w:cs="Arial"/>
          <w:sz w:val="22"/>
          <w:szCs w:val="22"/>
        </w:rPr>
      </w:pPr>
    </w:p>
    <w:sectPr w:rsidR="00E03AE0" w:rsidRPr="00A45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757D5C"/>
    <w:multiLevelType w:val="hybridMultilevel"/>
    <w:tmpl w:val="0EB8FD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69439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E0"/>
    <w:rsid w:val="00013BF9"/>
    <w:rsid w:val="00017778"/>
    <w:rsid w:val="000476DD"/>
    <w:rsid w:val="00055900"/>
    <w:rsid w:val="000606B9"/>
    <w:rsid w:val="00076EFC"/>
    <w:rsid w:val="000A6E97"/>
    <w:rsid w:val="000C495F"/>
    <w:rsid w:val="000D34B4"/>
    <w:rsid w:val="000D575E"/>
    <w:rsid w:val="001271C4"/>
    <w:rsid w:val="00142E87"/>
    <w:rsid w:val="001616A9"/>
    <w:rsid w:val="00163ABA"/>
    <w:rsid w:val="001767E6"/>
    <w:rsid w:val="00176CAA"/>
    <w:rsid w:val="001D4CA0"/>
    <w:rsid w:val="001E44A3"/>
    <w:rsid w:val="00203074"/>
    <w:rsid w:val="0020541D"/>
    <w:rsid w:val="00225613"/>
    <w:rsid w:val="00235EAF"/>
    <w:rsid w:val="002435C2"/>
    <w:rsid w:val="00251339"/>
    <w:rsid w:val="00291592"/>
    <w:rsid w:val="0029702A"/>
    <w:rsid w:val="002B5AFF"/>
    <w:rsid w:val="002C2C73"/>
    <w:rsid w:val="002C338D"/>
    <w:rsid w:val="002C4D55"/>
    <w:rsid w:val="00310804"/>
    <w:rsid w:val="00315D36"/>
    <w:rsid w:val="00317587"/>
    <w:rsid w:val="003239BA"/>
    <w:rsid w:val="00376D7B"/>
    <w:rsid w:val="00395F4D"/>
    <w:rsid w:val="003A618E"/>
    <w:rsid w:val="003B7DCC"/>
    <w:rsid w:val="003E7CA0"/>
    <w:rsid w:val="0040047B"/>
    <w:rsid w:val="00440A00"/>
    <w:rsid w:val="004A34AA"/>
    <w:rsid w:val="004C50DE"/>
    <w:rsid w:val="004C683A"/>
    <w:rsid w:val="00523341"/>
    <w:rsid w:val="00536EA5"/>
    <w:rsid w:val="0053738B"/>
    <w:rsid w:val="005675D9"/>
    <w:rsid w:val="00567FFB"/>
    <w:rsid w:val="00573571"/>
    <w:rsid w:val="00577656"/>
    <w:rsid w:val="00581880"/>
    <w:rsid w:val="00590725"/>
    <w:rsid w:val="005A1FB2"/>
    <w:rsid w:val="005A5BED"/>
    <w:rsid w:val="005C4C67"/>
    <w:rsid w:val="005D259D"/>
    <w:rsid w:val="005E2286"/>
    <w:rsid w:val="0063649F"/>
    <w:rsid w:val="00667AB9"/>
    <w:rsid w:val="00686CAD"/>
    <w:rsid w:val="00694B02"/>
    <w:rsid w:val="006B2676"/>
    <w:rsid w:val="006D6427"/>
    <w:rsid w:val="006F3649"/>
    <w:rsid w:val="00711716"/>
    <w:rsid w:val="00713C2F"/>
    <w:rsid w:val="00756789"/>
    <w:rsid w:val="00760248"/>
    <w:rsid w:val="007A6C5A"/>
    <w:rsid w:val="007C4960"/>
    <w:rsid w:val="007D0169"/>
    <w:rsid w:val="007E0F1A"/>
    <w:rsid w:val="007E2343"/>
    <w:rsid w:val="007E5824"/>
    <w:rsid w:val="007F4A92"/>
    <w:rsid w:val="00803F9D"/>
    <w:rsid w:val="0081540A"/>
    <w:rsid w:val="008959F5"/>
    <w:rsid w:val="008D757E"/>
    <w:rsid w:val="00974586"/>
    <w:rsid w:val="00981D4F"/>
    <w:rsid w:val="0099029E"/>
    <w:rsid w:val="009B088B"/>
    <w:rsid w:val="009C52EE"/>
    <w:rsid w:val="00A14E8A"/>
    <w:rsid w:val="00A22DB3"/>
    <w:rsid w:val="00A41752"/>
    <w:rsid w:val="00A457F8"/>
    <w:rsid w:val="00A54B61"/>
    <w:rsid w:val="00A65258"/>
    <w:rsid w:val="00AA672E"/>
    <w:rsid w:val="00AB069F"/>
    <w:rsid w:val="00B5455B"/>
    <w:rsid w:val="00BC29C8"/>
    <w:rsid w:val="00BC382F"/>
    <w:rsid w:val="00BF1DEF"/>
    <w:rsid w:val="00BF7DC2"/>
    <w:rsid w:val="00C43801"/>
    <w:rsid w:val="00C51BDD"/>
    <w:rsid w:val="00C6650C"/>
    <w:rsid w:val="00C82129"/>
    <w:rsid w:val="00C9733A"/>
    <w:rsid w:val="00CB7356"/>
    <w:rsid w:val="00CC41FB"/>
    <w:rsid w:val="00CD4A61"/>
    <w:rsid w:val="00D345C1"/>
    <w:rsid w:val="00D37235"/>
    <w:rsid w:val="00D73588"/>
    <w:rsid w:val="00DB56BB"/>
    <w:rsid w:val="00DF0DC8"/>
    <w:rsid w:val="00E024E8"/>
    <w:rsid w:val="00E03AE0"/>
    <w:rsid w:val="00E23FD7"/>
    <w:rsid w:val="00E3047B"/>
    <w:rsid w:val="00E34541"/>
    <w:rsid w:val="00E476B8"/>
    <w:rsid w:val="00E56853"/>
    <w:rsid w:val="00E73B97"/>
    <w:rsid w:val="00E9319B"/>
    <w:rsid w:val="00EA71D2"/>
    <w:rsid w:val="00EB522E"/>
    <w:rsid w:val="00EC00DB"/>
    <w:rsid w:val="00F01BE8"/>
    <w:rsid w:val="00F10E2E"/>
    <w:rsid w:val="00F14F31"/>
    <w:rsid w:val="00F44963"/>
    <w:rsid w:val="00F4775D"/>
    <w:rsid w:val="00FC7781"/>
    <w:rsid w:val="00FD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482E6"/>
  <w15:chartTrackingRefBased/>
  <w15:docId w15:val="{BD4E1BDA-5B94-4862-AEC0-7B03F6C6D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A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3A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3A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A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A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A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A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A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A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A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3A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A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A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A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A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A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A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AE0"/>
    <w:rPr>
      <w:rFonts w:eastAsiaTheme="majorEastAsia" w:cstheme="majorBidi"/>
      <w:color w:val="272727" w:themeColor="text1" w:themeTint="D8"/>
    </w:rPr>
  </w:style>
  <w:style w:type="paragraph" w:styleId="Title">
    <w:name w:val="Title"/>
    <w:basedOn w:val="Normal"/>
    <w:next w:val="Normal"/>
    <w:link w:val="TitleChar"/>
    <w:uiPriority w:val="10"/>
    <w:qFormat/>
    <w:rsid w:val="00E03A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A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A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A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AE0"/>
    <w:pPr>
      <w:spacing w:before="160"/>
      <w:jc w:val="center"/>
    </w:pPr>
    <w:rPr>
      <w:i/>
      <w:iCs/>
      <w:color w:val="404040" w:themeColor="text1" w:themeTint="BF"/>
    </w:rPr>
  </w:style>
  <w:style w:type="character" w:customStyle="1" w:styleId="QuoteChar">
    <w:name w:val="Quote Char"/>
    <w:basedOn w:val="DefaultParagraphFont"/>
    <w:link w:val="Quote"/>
    <w:uiPriority w:val="29"/>
    <w:rsid w:val="00E03AE0"/>
    <w:rPr>
      <w:i/>
      <w:iCs/>
      <w:color w:val="404040" w:themeColor="text1" w:themeTint="BF"/>
    </w:rPr>
  </w:style>
  <w:style w:type="paragraph" w:styleId="ListParagraph">
    <w:name w:val="List Paragraph"/>
    <w:basedOn w:val="Normal"/>
    <w:uiPriority w:val="34"/>
    <w:qFormat/>
    <w:rsid w:val="00E03AE0"/>
    <w:pPr>
      <w:ind w:left="720"/>
      <w:contextualSpacing/>
    </w:pPr>
  </w:style>
  <w:style w:type="character" w:styleId="IntenseEmphasis">
    <w:name w:val="Intense Emphasis"/>
    <w:basedOn w:val="DefaultParagraphFont"/>
    <w:uiPriority w:val="21"/>
    <w:qFormat/>
    <w:rsid w:val="00E03AE0"/>
    <w:rPr>
      <w:i/>
      <w:iCs/>
      <w:color w:val="0F4761" w:themeColor="accent1" w:themeShade="BF"/>
    </w:rPr>
  </w:style>
  <w:style w:type="paragraph" w:styleId="IntenseQuote">
    <w:name w:val="Intense Quote"/>
    <w:basedOn w:val="Normal"/>
    <w:next w:val="Normal"/>
    <w:link w:val="IntenseQuoteChar"/>
    <w:uiPriority w:val="30"/>
    <w:qFormat/>
    <w:rsid w:val="00E03A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AE0"/>
    <w:rPr>
      <w:i/>
      <w:iCs/>
      <w:color w:val="0F4761" w:themeColor="accent1" w:themeShade="BF"/>
    </w:rPr>
  </w:style>
  <w:style w:type="character" w:styleId="IntenseReference">
    <w:name w:val="Intense Reference"/>
    <w:basedOn w:val="DefaultParagraphFont"/>
    <w:uiPriority w:val="32"/>
    <w:qFormat/>
    <w:rsid w:val="00E03AE0"/>
    <w:rPr>
      <w:b/>
      <w:bCs/>
      <w:smallCaps/>
      <w:color w:val="0F4761" w:themeColor="accent1" w:themeShade="BF"/>
      <w:spacing w:val="5"/>
    </w:rPr>
  </w:style>
  <w:style w:type="character" w:customStyle="1" w:styleId="s1">
    <w:name w:val="s1"/>
    <w:basedOn w:val="DefaultParagraphFont"/>
    <w:rsid w:val="00E03AE0"/>
  </w:style>
  <w:style w:type="paragraph" w:customStyle="1" w:styleId="p2">
    <w:name w:val="p2"/>
    <w:basedOn w:val="Normal"/>
    <w:rsid w:val="00E03AE0"/>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E03AE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03AE0"/>
  </w:style>
  <w:style w:type="paragraph" w:customStyle="1" w:styleId="p1">
    <w:name w:val="p1"/>
    <w:basedOn w:val="Normal"/>
    <w:rsid w:val="00BF7DC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FC7781"/>
    <w:rPr>
      <w:color w:val="0000FF"/>
      <w:u w:val="single"/>
    </w:rPr>
  </w:style>
  <w:style w:type="paragraph" w:styleId="TOCHeading">
    <w:name w:val="TOC Heading"/>
    <w:basedOn w:val="Heading1"/>
    <w:next w:val="Normal"/>
    <w:uiPriority w:val="39"/>
    <w:unhideWhenUsed/>
    <w:qFormat/>
    <w:rsid w:val="00A6525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A65258"/>
    <w:pPr>
      <w:spacing w:after="100"/>
    </w:pPr>
  </w:style>
  <w:style w:type="paragraph" w:styleId="TOC2">
    <w:name w:val="toc 2"/>
    <w:basedOn w:val="Normal"/>
    <w:next w:val="Normal"/>
    <w:autoRedefine/>
    <w:uiPriority w:val="39"/>
    <w:unhideWhenUsed/>
    <w:rsid w:val="00A65258"/>
    <w:pPr>
      <w:spacing w:after="100"/>
      <w:ind w:left="240"/>
    </w:pPr>
  </w:style>
  <w:style w:type="paragraph" w:styleId="TOC3">
    <w:name w:val="toc 3"/>
    <w:basedOn w:val="Normal"/>
    <w:next w:val="Normal"/>
    <w:autoRedefine/>
    <w:uiPriority w:val="39"/>
    <w:unhideWhenUsed/>
    <w:rsid w:val="00A65258"/>
    <w:pPr>
      <w:spacing w:after="100"/>
      <w:ind w:left="480"/>
    </w:pPr>
  </w:style>
  <w:style w:type="table" w:styleId="GridTable2-Accent4">
    <w:name w:val="Grid Table 2 Accent 4"/>
    <w:basedOn w:val="TableNormal"/>
    <w:uiPriority w:val="47"/>
    <w:rsid w:val="00A65258"/>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1">
    <w:name w:val="Grid Table 1 Light Accent 1"/>
    <w:basedOn w:val="TableNormal"/>
    <w:uiPriority w:val="46"/>
    <w:rsid w:val="00A65258"/>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customStyle="1" w:styleId="p4">
    <w:name w:val="p4"/>
    <w:basedOn w:val="Normal"/>
    <w:rsid w:val="00711716"/>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D37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37235"/>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tel:994-1006" TargetMode="External" /><Relationship Id="rId18" Type="http://schemas.openxmlformats.org/officeDocument/2006/relationships/hyperlink" Target="https://www.who.int" TargetMode="External" /><Relationship Id="rId3" Type="http://schemas.openxmlformats.org/officeDocument/2006/relationships/styles" Target="styles.xml" /><Relationship Id="rId7" Type="http://schemas.openxmlformats.org/officeDocument/2006/relationships/image" Target="media/image2.jpeg" /><Relationship Id="rId12" Type="http://schemas.openxmlformats.org/officeDocument/2006/relationships/hyperlink" Target="https://psnet.ahrq.gov" TargetMode="External" /><Relationship Id="rId17" Type="http://schemas.openxmlformats.org/officeDocument/2006/relationships/hyperlink" Target="https://www.england.nhs.uk/patient-safety" TargetMode="External" /><Relationship Id="rId2" Type="http://schemas.openxmlformats.org/officeDocument/2006/relationships/numbering" Target="numbering.xml" /><Relationship Id="rId16" Type="http://schemas.openxmlformats.org/officeDocument/2006/relationships/hyperlink" Target="https://www.jointcommission.org"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image" Target="media/image6.jpeg" /><Relationship Id="rId5" Type="http://schemas.openxmlformats.org/officeDocument/2006/relationships/webSettings" Target="webSettings.xml" /><Relationship Id="rId15" Type="http://schemas.openxmlformats.org/officeDocument/2006/relationships/hyperlink" Target="https://www.ismp.org" TargetMode="External" /><Relationship Id="rId10" Type="http://schemas.openxmlformats.org/officeDocument/2006/relationships/image" Target="media/image5.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4.jpeg" /><Relationship Id="rId14" Type="http://schemas.openxmlformats.org/officeDocument/2006/relationships/hyperlink" Target="https://www.ihi.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FF055-8612-C043-9EE1-C22A985485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4379</Words>
  <Characters>24965</Characters>
  <Application>Microsoft Office Word</Application>
  <DocSecurity>0</DocSecurity>
  <Lines>208</Lines>
  <Paragraphs>58</Paragraphs>
  <ScaleCrop>false</ScaleCrop>
  <Company/>
  <LinksUpToDate>false</LinksUpToDate>
  <CharactersWithSpaces>29286</CharactersWithSpaces>
  <SharedDoc>false</SharedDoc>
  <HLinks>
    <vt:vector size="186" baseType="variant">
      <vt:variant>
        <vt:i4>5177413</vt:i4>
      </vt:variant>
      <vt:variant>
        <vt:i4>165</vt:i4>
      </vt:variant>
      <vt:variant>
        <vt:i4>0</vt:i4>
      </vt:variant>
      <vt:variant>
        <vt:i4>5</vt:i4>
      </vt:variant>
      <vt:variant>
        <vt:lpwstr>https://www.who.int/</vt:lpwstr>
      </vt:variant>
      <vt:variant>
        <vt:lpwstr/>
      </vt:variant>
      <vt:variant>
        <vt:i4>5439567</vt:i4>
      </vt:variant>
      <vt:variant>
        <vt:i4>162</vt:i4>
      </vt:variant>
      <vt:variant>
        <vt:i4>0</vt:i4>
      </vt:variant>
      <vt:variant>
        <vt:i4>5</vt:i4>
      </vt:variant>
      <vt:variant>
        <vt:lpwstr>https://www.england.nhs.uk/patient-safety</vt:lpwstr>
      </vt:variant>
      <vt:variant>
        <vt:lpwstr/>
      </vt:variant>
      <vt:variant>
        <vt:i4>4259913</vt:i4>
      </vt:variant>
      <vt:variant>
        <vt:i4>159</vt:i4>
      </vt:variant>
      <vt:variant>
        <vt:i4>0</vt:i4>
      </vt:variant>
      <vt:variant>
        <vt:i4>5</vt:i4>
      </vt:variant>
      <vt:variant>
        <vt:lpwstr>https://www.jointcommission.org/</vt:lpwstr>
      </vt:variant>
      <vt:variant>
        <vt:lpwstr/>
      </vt:variant>
      <vt:variant>
        <vt:i4>4390936</vt:i4>
      </vt:variant>
      <vt:variant>
        <vt:i4>156</vt:i4>
      </vt:variant>
      <vt:variant>
        <vt:i4>0</vt:i4>
      </vt:variant>
      <vt:variant>
        <vt:i4>5</vt:i4>
      </vt:variant>
      <vt:variant>
        <vt:lpwstr>https://www.ismp.org/</vt:lpwstr>
      </vt:variant>
      <vt:variant>
        <vt:lpwstr/>
      </vt:variant>
      <vt:variant>
        <vt:i4>5439560</vt:i4>
      </vt:variant>
      <vt:variant>
        <vt:i4>153</vt:i4>
      </vt:variant>
      <vt:variant>
        <vt:i4>0</vt:i4>
      </vt:variant>
      <vt:variant>
        <vt:i4>5</vt:i4>
      </vt:variant>
      <vt:variant>
        <vt:lpwstr>https://www.ihi.org/</vt:lpwstr>
      </vt:variant>
      <vt:variant>
        <vt:lpwstr/>
      </vt:variant>
      <vt:variant>
        <vt:i4>5046292</vt:i4>
      </vt:variant>
      <vt:variant>
        <vt:i4>150</vt:i4>
      </vt:variant>
      <vt:variant>
        <vt:i4>0</vt:i4>
      </vt:variant>
      <vt:variant>
        <vt:i4>5</vt:i4>
      </vt:variant>
      <vt:variant>
        <vt:lpwstr>tel:994-1006</vt:lpwstr>
      </vt:variant>
      <vt:variant>
        <vt:lpwstr/>
      </vt:variant>
      <vt:variant>
        <vt:i4>2162808</vt:i4>
      </vt:variant>
      <vt:variant>
        <vt:i4>147</vt:i4>
      </vt:variant>
      <vt:variant>
        <vt:i4>0</vt:i4>
      </vt:variant>
      <vt:variant>
        <vt:i4>5</vt:i4>
      </vt:variant>
      <vt:variant>
        <vt:lpwstr>https://psnet.ahrq.gov/</vt:lpwstr>
      </vt:variant>
      <vt:variant>
        <vt:lpwstr/>
      </vt:variant>
      <vt:variant>
        <vt:i4>1048626</vt:i4>
      </vt:variant>
      <vt:variant>
        <vt:i4>140</vt:i4>
      </vt:variant>
      <vt:variant>
        <vt:i4>0</vt:i4>
      </vt:variant>
      <vt:variant>
        <vt:i4>5</vt:i4>
      </vt:variant>
      <vt:variant>
        <vt:lpwstr/>
      </vt:variant>
      <vt:variant>
        <vt:lpwstr>_Toc236072168</vt:lpwstr>
      </vt:variant>
      <vt:variant>
        <vt:i4>1048626</vt:i4>
      </vt:variant>
      <vt:variant>
        <vt:i4>134</vt:i4>
      </vt:variant>
      <vt:variant>
        <vt:i4>0</vt:i4>
      </vt:variant>
      <vt:variant>
        <vt:i4>5</vt:i4>
      </vt:variant>
      <vt:variant>
        <vt:lpwstr/>
      </vt:variant>
      <vt:variant>
        <vt:lpwstr>_Toc236072167</vt:lpwstr>
      </vt:variant>
      <vt:variant>
        <vt:i4>1048626</vt:i4>
      </vt:variant>
      <vt:variant>
        <vt:i4>128</vt:i4>
      </vt:variant>
      <vt:variant>
        <vt:i4>0</vt:i4>
      </vt:variant>
      <vt:variant>
        <vt:i4>5</vt:i4>
      </vt:variant>
      <vt:variant>
        <vt:lpwstr/>
      </vt:variant>
      <vt:variant>
        <vt:lpwstr>_Toc236072166</vt:lpwstr>
      </vt:variant>
      <vt:variant>
        <vt:i4>1048626</vt:i4>
      </vt:variant>
      <vt:variant>
        <vt:i4>122</vt:i4>
      </vt:variant>
      <vt:variant>
        <vt:i4>0</vt:i4>
      </vt:variant>
      <vt:variant>
        <vt:i4>5</vt:i4>
      </vt:variant>
      <vt:variant>
        <vt:lpwstr/>
      </vt:variant>
      <vt:variant>
        <vt:lpwstr>_Toc236072165</vt:lpwstr>
      </vt:variant>
      <vt:variant>
        <vt:i4>1048626</vt:i4>
      </vt:variant>
      <vt:variant>
        <vt:i4>116</vt:i4>
      </vt:variant>
      <vt:variant>
        <vt:i4>0</vt:i4>
      </vt:variant>
      <vt:variant>
        <vt:i4>5</vt:i4>
      </vt:variant>
      <vt:variant>
        <vt:lpwstr/>
      </vt:variant>
      <vt:variant>
        <vt:lpwstr>_Toc236072164</vt:lpwstr>
      </vt:variant>
      <vt:variant>
        <vt:i4>1048626</vt:i4>
      </vt:variant>
      <vt:variant>
        <vt:i4>110</vt:i4>
      </vt:variant>
      <vt:variant>
        <vt:i4>0</vt:i4>
      </vt:variant>
      <vt:variant>
        <vt:i4>5</vt:i4>
      </vt:variant>
      <vt:variant>
        <vt:lpwstr/>
      </vt:variant>
      <vt:variant>
        <vt:lpwstr>_Toc236072163</vt:lpwstr>
      </vt:variant>
      <vt:variant>
        <vt:i4>1048626</vt:i4>
      </vt:variant>
      <vt:variant>
        <vt:i4>104</vt:i4>
      </vt:variant>
      <vt:variant>
        <vt:i4>0</vt:i4>
      </vt:variant>
      <vt:variant>
        <vt:i4>5</vt:i4>
      </vt:variant>
      <vt:variant>
        <vt:lpwstr/>
      </vt:variant>
      <vt:variant>
        <vt:lpwstr>_Toc236072162</vt:lpwstr>
      </vt:variant>
      <vt:variant>
        <vt:i4>1048626</vt:i4>
      </vt:variant>
      <vt:variant>
        <vt:i4>98</vt:i4>
      </vt:variant>
      <vt:variant>
        <vt:i4>0</vt:i4>
      </vt:variant>
      <vt:variant>
        <vt:i4>5</vt:i4>
      </vt:variant>
      <vt:variant>
        <vt:lpwstr/>
      </vt:variant>
      <vt:variant>
        <vt:lpwstr>_Toc236072161</vt:lpwstr>
      </vt:variant>
      <vt:variant>
        <vt:i4>1048626</vt:i4>
      </vt:variant>
      <vt:variant>
        <vt:i4>92</vt:i4>
      </vt:variant>
      <vt:variant>
        <vt:i4>0</vt:i4>
      </vt:variant>
      <vt:variant>
        <vt:i4>5</vt:i4>
      </vt:variant>
      <vt:variant>
        <vt:lpwstr/>
      </vt:variant>
      <vt:variant>
        <vt:lpwstr>_Toc236072160</vt:lpwstr>
      </vt:variant>
      <vt:variant>
        <vt:i4>1245234</vt:i4>
      </vt:variant>
      <vt:variant>
        <vt:i4>86</vt:i4>
      </vt:variant>
      <vt:variant>
        <vt:i4>0</vt:i4>
      </vt:variant>
      <vt:variant>
        <vt:i4>5</vt:i4>
      </vt:variant>
      <vt:variant>
        <vt:lpwstr/>
      </vt:variant>
      <vt:variant>
        <vt:lpwstr>_Toc236072159</vt:lpwstr>
      </vt:variant>
      <vt:variant>
        <vt:i4>1245234</vt:i4>
      </vt:variant>
      <vt:variant>
        <vt:i4>80</vt:i4>
      </vt:variant>
      <vt:variant>
        <vt:i4>0</vt:i4>
      </vt:variant>
      <vt:variant>
        <vt:i4>5</vt:i4>
      </vt:variant>
      <vt:variant>
        <vt:lpwstr/>
      </vt:variant>
      <vt:variant>
        <vt:lpwstr>_Toc236072158</vt:lpwstr>
      </vt:variant>
      <vt:variant>
        <vt:i4>1245234</vt:i4>
      </vt:variant>
      <vt:variant>
        <vt:i4>74</vt:i4>
      </vt:variant>
      <vt:variant>
        <vt:i4>0</vt:i4>
      </vt:variant>
      <vt:variant>
        <vt:i4>5</vt:i4>
      </vt:variant>
      <vt:variant>
        <vt:lpwstr/>
      </vt:variant>
      <vt:variant>
        <vt:lpwstr>_Toc236072157</vt:lpwstr>
      </vt:variant>
      <vt:variant>
        <vt:i4>1245234</vt:i4>
      </vt:variant>
      <vt:variant>
        <vt:i4>68</vt:i4>
      </vt:variant>
      <vt:variant>
        <vt:i4>0</vt:i4>
      </vt:variant>
      <vt:variant>
        <vt:i4>5</vt:i4>
      </vt:variant>
      <vt:variant>
        <vt:lpwstr/>
      </vt:variant>
      <vt:variant>
        <vt:lpwstr>_Toc236072156</vt:lpwstr>
      </vt:variant>
      <vt:variant>
        <vt:i4>1245234</vt:i4>
      </vt:variant>
      <vt:variant>
        <vt:i4>62</vt:i4>
      </vt:variant>
      <vt:variant>
        <vt:i4>0</vt:i4>
      </vt:variant>
      <vt:variant>
        <vt:i4>5</vt:i4>
      </vt:variant>
      <vt:variant>
        <vt:lpwstr/>
      </vt:variant>
      <vt:variant>
        <vt:lpwstr>_Toc236072155</vt:lpwstr>
      </vt:variant>
      <vt:variant>
        <vt:i4>1245234</vt:i4>
      </vt:variant>
      <vt:variant>
        <vt:i4>56</vt:i4>
      </vt:variant>
      <vt:variant>
        <vt:i4>0</vt:i4>
      </vt:variant>
      <vt:variant>
        <vt:i4>5</vt:i4>
      </vt:variant>
      <vt:variant>
        <vt:lpwstr/>
      </vt:variant>
      <vt:variant>
        <vt:lpwstr>_Toc236072154</vt:lpwstr>
      </vt:variant>
      <vt:variant>
        <vt:i4>1245234</vt:i4>
      </vt:variant>
      <vt:variant>
        <vt:i4>50</vt:i4>
      </vt:variant>
      <vt:variant>
        <vt:i4>0</vt:i4>
      </vt:variant>
      <vt:variant>
        <vt:i4>5</vt:i4>
      </vt:variant>
      <vt:variant>
        <vt:lpwstr/>
      </vt:variant>
      <vt:variant>
        <vt:lpwstr>_Toc236072153</vt:lpwstr>
      </vt:variant>
      <vt:variant>
        <vt:i4>1245234</vt:i4>
      </vt:variant>
      <vt:variant>
        <vt:i4>44</vt:i4>
      </vt:variant>
      <vt:variant>
        <vt:i4>0</vt:i4>
      </vt:variant>
      <vt:variant>
        <vt:i4>5</vt:i4>
      </vt:variant>
      <vt:variant>
        <vt:lpwstr/>
      </vt:variant>
      <vt:variant>
        <vt:lpwstr>_Toc236072152</vt:lpwstr>
      </vt:variant>
      <vt:variant>
        <vt:i4>1245234</vt:i4>
      </vt:variant>
      <vt:variant>
        <vt:i4>38</vt:i4>
      </vt:variant>
      <vt:variant>
        <vt:i4>0</vt:i4>
      </vt:variant>
      <vt:variant>
        <vt:i4>5</vt:i4>
      </vt:variant>
      <vt:variant>
        <vt:lpwstr/>
      </vt:variant>
      <vt:variant>
        <vt:lpwstr>_Toc236072151</vt:lpwstr>
      </vt:variant>
      <vt:variant>
        <vt:i4>1245234</vt:i4>
      </vt:variant>
      <vt:variant>
        <vt:i4>32</vt:i4>
      </vt:variant>
      <vt:variant>
        <vt:i4>0</vt:i4>
      </vt:variant>
      <vt:variant>
        <vt:i4>5</vt:i4>
      </vt:variant>
      <vt:variant>
        <vt:lpwstr/>
      </vt:variant>
      <vt:variant>
        <vt:lpwstr>_Toc236072150</vt:lpwstr>
      </vt:variant>
      <vt:variant>
        <vt:i4>1179698</vt:i4>
      </vt:variant>
      <vt:variant>
        <vt:i4>26</vt:i4>
      </vt:variant>
      <vt:variant>
        <vt:i4>0</vt:i4>
      </vt:variant>
      <vt:variant>
        <vt:i4>5</vt:i4>
      </vt:variant>
      <vt:variant>
        <vt:lpwstr/>
      </vt:variant>
      <vt:variant>
        <vt:lpwstr>_Toc236072149</vt:lpwstr>
      </vt:variant>
      <vt:variant>
        <vt:i4>1179698</vt:i4>
      </vt:variant>
      <vt:variant>
        <vt:i4>20</vt:i4>
      </vt:variant>
      <vt:variant>
        <vt:i4>0</vt:i4>
      </vt:variant>
      <vt:variant>
        <vt:i4>5</vt:i4>
      </vt:variant>
      <vt:variant>
        <vt:lpwstr/>
      </vt:variant>
      <vt:variant>
        <vt:lpwstr>_Toc236072148</vt:lpwstr>
      </vt:variant>
      <vt:variant>
        <vt:i4>1179698</vt:i4>
      </vt:variant>
      <vt:variant>
        <vt:i4>14</vt:i4>
      </vt:variant>
      <vt:variant>
        <vt:i4>0</vt:i4>
      </vt:variant>
      <vt:variant>
        <vt:i4>5</vt:i4>
      </vt:variant>
      <vt:variant>
        <vt:lpwstr/>
      </vt:variant>
      <vt:variant>
        <vt:lpwstr>_Toc236072147</vt:lpwstr>
      </vt:variant>
      <vt:variant>
        <vt:i4>1179698</vt:i4>
      </vt:variant>
      <vt:variant>
        <vt:i4>8</vt:i4>
      </vt:variant>
      <vt:variant>
        <vt:i4>0</vt:i4>
      </vt:variant>
      <vt:variant>
        <vt:i4>5</vt:i4>
      </vt:variant>
      <vt:variant>
        <vt:lpwstr/>
      </vt:variant>
      <vt:variant>
        <vt:lpwstr>_Toc236072146</vt:lpwstr>
      </vt:variant>
      <vt:variant>
        <vt:i4>1179698</vt:i4>
      </vt:variant>
      <vt:variant>
        <vt:i4>2</vt:i4>
      </vt:variant>
      <vt:variant>
        <vt:i4>0</vt:i4>
      </vt:variant>
      <vt:variant>
        <vt:i4>5</vt:i4>
      </vt:variant>
      <vt:variant>
        <vt:lpwstr/>
      </vt:variant>
      <vt:variant>
        <vt:lpwstr>_Toc236072145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Jaimin LIMBACHIYA</cp:lastModifiedBy>
  <cp:revision>2</cp:revision>
  <dcterms:created xsi:type="dcterms:W3CDTF">2026-07-28T22:31:00Z</dcterms:created>
  <dcterms:modified xsi:type="dcterms:W3CDTF">2026-07-28T22:31:00Z</dcterms:modified>
</cp:coreProperties>
</file>