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79D" w:rsidRPr="00EE5BC3" w:rsidRDefault="00DF779D" w:rsidP="00DF779D">
      <w:pPr>
        <w:jc w:val="center"/>
        <w:rPr>
          <w:b/>
          <w:color w:val="auto"/>
          <w:sz w:val="28"/>
          <w:szCs w:val="28"/>
        </w:rPr>
      </w:pPr>
      <w:r w:rsidRPr="00EE5BC3">
        <w:rPr>
          <w:b/>
          <w:color w:val="auto"/>
          <w:sz w:val="28"/>
          <w:szCs w:val="28"/>
        </w:rPr>
        <w:t>Safeguarding and working in complex situations – Case Study</w:t>
      </w:r>
    </w:p>
    <w:p w:rsidR="00DF779D" w:rsidRDefault="00DF779D" w:rsidP="00DF779D">
      <w:pPr>
        <w:jc w:val="both"/>
        <w:rPr>
          <w:b/>
          <w:sz w:val="24"/>
          <w:szCs w:val="24"/>
        </w:rPr>
      </w:pPr>
    </w:p>
    <w:p w:rsidR="00DF779D" w:rsidRDefault="00DF779D" w:rsidP="00DF779D">
      <w:pPr>
        <w:jc w:val="both"/>
        <w:rPr>
          <w:b/>
          <w:sz w:val="24"/>
          <w:szCs w:val="24"/>
        </w:rPr>
      </w:pPr>
    </w:p>
    <w:p w:rsidR="00DF779D" w:rsidRPr="006872A0" w:rsidRDefault="00DF779D" w:rsidP="00DF779D">
      <w:pPr>
        <w:jc w:val="both"/>
        <w:rPr>
          <w:b/>
          <w:sz w:val="24"/>
          <w:szCs w:val="24"/>
        </w:rPr>
      </w:pPr>
      <w:r w:rsidRPr="006872A0">
        <w:rPr>
          <w:b/>
          <w:sz w:val="24"/>
          <w:szCs w:val="24"/>
        </w:rPr>
        <w:t>Question</w:t>
      </w:r>
      <w:r>
        <w:rPr>
          <w:b/>
          <w:sz w:val="24"/>
          <w:szCs w:val="24"/>
        </w:rPr>
        <w:t>:</w:t>
      </w:r>
    </w:p>
    <w:p w:rsidR="00DF779D" w:rsidRPr="00706BB5" w:rsidRDefault="00DF779D" w:rsidP="00DF779D">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rsidR="00DF779D" w:rsidRDefault="00DF779D" w:rsidP="00DF779D">
      <w:pPr>
        <w:jc w:val="both"/>
        <w:rPr>
          <w:sz w:val="24"/>
          <w:szCs w:val="24"/>
        </w:rPr>
      </w:pPr>
    </w:p>
    <w:p w:rsidR="00DF779D" w:rsidRDefault="00DF779D" w:rsidP="00DF779D">
      <w:pPr>
        <w:jc w:val="both"/>
        <w:rPr>
          <w:sz w:val="24"/>
          <w:szCs w:val="24"/>
        </w:rPr>
      </w:pPr>
    </w:p>
    <w:p w:rsidR="00DF779D" w:rsidRDefault="00DF779D" w:rsidP="00DF779D">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rsidR="00DF779D" w:rsidRDefault="00DF779D" w:rsidP="00DF779D">
      <w:pPr>
        <w:jc w:val="both"/>
        <w:rPr>
          <w:i/>
          <w:sz w:val="24"/>
          <w:szCs w:val="24"/>
        </w:rPr>
      </w:pPr>
    </w:p>
    <w:p w:rsidR="00DF779D" w:rsidRPr="00D511D5" w:rsidRDefault="00DF779D" w:rsidP="00DF779D">
      <w:pPr>
        <w:spacing w:line="276" w:lineRule="auto"/>
        <w:jc w:val="both"/>
        <w:rPr>
          <w:rFonts w:asciiTheme="minorHAnsi" w:hAnsiTheme="minorHAnsi" w:cstheme="minorHAnsi"/>
          <w:b/>
          <w:sz w:val="24"/>
          <w:szCs w:val="24"/>
        </w:rPr>
      </w:pPr>
      <w:r w:rsidRPr="00D511D5">
        <w:rPr>
          <w:rFonts w:asciiTheme="minorHAnsi" w:hAnsiTheme="minorHAnsi" w:cstheme="minorHAnsi"/>
          <w:b/>
          <w:sz w:val="24"/>
          <w:szCs w:val="24"/>
        </w:rPr>
        <w:t>Case study.</w:t>
      </w:r>
    </w:p>
    <w:p w:rsidR="00DF779D" w:rsidRPr="0074203C" w:rsidRDefault="00DF779D" w:rsidP="00DF779D">
      <w:pPr>
        <w:spacing w:line="360" w:lineRule="auto"/>
        <w:jc w:val="both"/>
        <w:rPr>
          <w:sz w:val="24"/>
          <w:szCs w:val="24"/>
        </w:rPr>
      </w:pPr>
      <w:r w:rsidRPr="0074203C">
        <w:rPr>
          <w:sz w:val="24"/>
          <w:szCs w:val="24"/>
        </w:rPr>
        <w:t>For anonymity, I will refer to the individual being discussed in this assignment as 2.</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2 is a widow, she is over 90 years of age and has a formal diagnosis of dementia. She resides in a care home in a small town located in South Wales. Prior to moving into a residential setting, she lived alone in a privately owned property. The home environment and the locality were very familiar to her, as she lived in the area for many years.  At home, 2 was fairly independent with her self-care needs, but struggled to remember to take medication and unable to prepare meals for herself. A package of care (POC) for support towards medication and nutrition was in place. 2's relative was the pr</w:t>
      </w:r>
      <w:bookmarkStart w:id="0" w:name="_GoBack"/>
      <w:bookmarkEnd w:id="0"/>
      <w:r w:rsidRPr="0074203C">
        <w:rPr>
          <w:sz w:val="24"/>
          <w:szCs w:val="24"/>
        </w:rPr>
        <w:t xml:space="preserve">imary carer and supported with cooked meals, domestic routines, shopping, appointments and companionship. The carer had power of attorney (POA) for health, welfare, property and finances. The carer lived away and visited daily to ensure 2 was meeting her hygiene needs, had eaten and was safe. The carer had own commitments and poor health.  2 had a limited support network, other than the carer, she had no one else to provide care and support in-between calls.  She has another relative living close by, but was not involved in 2's care due to poor family dynamics.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Due to a deterioration to 2's mental health, she was regularly refusing to take her medication, was not eating properly and had lost weight.  She was disoriented to time, she was occasionally sleeping on the sofa and on two occasions left the main door to </w:t>
      </w:r>
      <w:r w:rsidRPr="0074203C">
        <w:rPr>
          <w:sz w:val="24"/>
          <w:szCs w:val="24"/>
        </w:rPr>
        <w:lastRenderedPageBreak/>
        <w:t xml:space="preserve">the house open, the house was along a busy road. It was at this point that the case was allocated to myself for review of the care plan.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b/>
          <w:sz w:val="24"/>
          <w:szCs w:val="24"/>
        </w:rPr>
      </w:pPr>
      <w:r w:rsidRPr="0074203C">
        <w:rPr>
          <w:b/>
          <w:sz w:val="24"/>
          <w:szCs w:val="24"/>
        </w:rPr>
        <w:t>My intervention.</w:t>
      </w:r>
    </w:p>
    <w:p w:rsidR="00DF779D" w:rsidRPr="0074203C" w:rsidRDefault="00DF779D" w:rsidP="00DF779D">
      <w:pPr>
        <w:spacing w:line="360" w:lineRule="auto"/>
        <w:jc w:val="both"/>
        <w:rPr>
          <w:rFonts w:eastAsia="Arial"/>
          <w:sz w:val="24"/>
          <w:szCs w:val="24"/>
          <w:lang w:eastAsia="zh-CN" w:bidi="hi-IN"/>
        </w:rPr>
      </w:pPr>
      <w:r w:rsidRPr="0074203C">
        <w:rPr>
          <w:sz w:val="24"/>
          <w:szCs w:val="24"/>
        </w:rPr>
        <w:t xml:space="preserve">As soon as the case was allocated, I contacted the carer and arranged an appointment to review 2's care plan as outlined in s54 of the Social Services Wellbeing (Wales) Act 2014 (SSWBA 2014). To prepare for the review, I read the initial assessment and case recordings and this helped me to have a good understanding of 2's situation. I also discussed the case in supervision and this provided clear direction (NOS 2). As I am not from the area, I conducted a research to expand my knowledge about the geographical area (NOS 1). The area has a population of </w:t>
      </w:r>
      <w:r w:rsidRPr="0074203C">
        <w:rPr>
          <w:sz w:val="24"/>
          <w:szCs w:val="24"/>
          <w:shd w:val="clear" w:color="auto" w:fill="F8F9FA"/>
        </w:rPr>
        <w:t>144 386 and it's</w:t>
      </w:r>
      <w:r w:rsidRPr="0074203C">
        <w:rPr>
          <w:sz w:val="24"/>
          <w:szCs w:val="24"/>
        </w:rPr>
        <w:t xml:space="preserve"> one of the most populated local authority in Wales</w:t>
      </w:r>
      <w:r w:rsidRPr="0074203C">
        <w:rPr>
          <w:sz w:val="24"/>
          <w:szCs w:val="24"/>
          <w:shd w:val="clear" w:color="auto" w:fill="F8F9FA"/>
        </w:rPr>
        <w:t xml:space="preserve"> (Office for National Statistics, 2020). The number of people aged 65 and over in the area has increased from 19% to 23% (Welsh Government, 2019). With this demographic increase, there is</w:t>
      </w:r>
      <w:r w:rsidRPr="0074203C">
        <w:rPr>
          <w:rFonts w:eastAsia="Arial"/>
          <w:sz w:val="24"/>
          <w:szCs w:val="24"/>
          <w:lang w:eastAsia="zh-CN" w:bidi="hi-IN"/>
        </w:rPr>
        <w:t xml:space="preserve"> greater demand for health and social care services.</w:t>
      </w:r>
    </w:p>
    <w:p w:rsidR="00DF779D" w:rsidRPr="0074203C" w:rsidRDefault="00DF779D" w:rsidP="00DF779D">
      <w:pPr>
        <w:spacing w:line="360" w:lineRule="auto"/>
        <w:jc w:val="both"/>
        <w:rPr>
          <w:rFonts w:eastAsia="Arial"/>
          <w:sz w:val="24"/>
          <w:szCs w:val="24"/>
          <w:lang w:eastAsia="zh-CN" w:bidi="hi-IN"/>
        </w:rPr>
      </w:pPr>
    </w:p>
    <w:p w:rsidR="00DF779D" w:rsidRPr="0074203C" w:rsidRDefault="00DF779D" w:rsidP="00DF779D">
      <w:pPr>
        <w:spacing w:line="360" w:lineRule="auto"/>
        <w:jc w:val="both"/>
        <w:rPr>
          <w:sz w:val="24"/>
          <w:szCs w:val="24"/>
        </w:rPr>
      </w:pPr>
      <w:r w:rsidRPr="0074203C">
        <w:rPr>
          <w:sz w:val="24"/>
          <w:szCs w:val="24"/>
        </w:rPr>
        <w:t xml:space="preserve">On the day of the visit, I explained the purpose of the intervention and gained consent from 2 and the carer. As this was my first encounter with 2, the Active Offer was provided. </w:t>
      </w:r>
      <w:r w:rsidRPr="0074203C">
        <w:rPr>
          <w:color w:val="202122"/>
          <w:sz w:val="24"/>
          <w:szCs w:val="24"/>
          <w:shd w:val="clear" w:color="auto" w:fill="FFFFFF"/>
        </w:rPr>
        <w:t>The Active Offer enables</w:t>
      </w:r>
      <w:r w:rsidRPr="0074203C">
        <w:rPr>
          <w:sz w:val="24"/>
          <w:szCs w:val="24"/>
        </w:rPr>
        <w:t xml:space="preserve"> Welsh speakers to use the language without having to ask (Welsh Government, 2012). </w:t>
      </w:r>
      <w:r w:rsidRPr="0074203C">
        <w:rPr>
          <w:sz w:val="24"/>
          <w:szCs w:val="24"/>
          <w:shd w:val="clear" w:color="auto" w:fill="F8F9FA"/>
        </w:rPr>
        <w:t xml:space="preserve">Though the survey by Stat Wales, 2019-2020 report that English is the most prominent spoken language in the area, and </w:t>
      </w:r>
      <w:r w:rsidRPr="0074203C">
        <w:rPr>
          <w:color w:val="202122"/>
          <w:sz w:val="24"/>
          <w:szCs w:val="24"/>
          <w:shd w:val="clear" w:color="auto" w:fill="FFFFFF"/>
        </w:rPr>
        <w:t>that only 21.7% of the population speak Welsh, providing the active offer to all individuals in need of care and support</w:t>
      </w:r>
      <w:r w:rsidRPr="0074203C">
        <w:rPr>
          <w:sz w:val="24"/>
          <w:szCs w:val="24"/>
        </w:rPr>
        <w:t xml:space="preserve"> promotes communication and participation (Davies, 2017).  During my visits to people's homes I have noticed that when I use simple welsh greetings, such as 'bore da' for good morning, it makes people feel at ease and they talk more. Davies (2017) states that when people use a preferred language, they feel comfortable and it promotes their participation and partnership working. </w:t>
      </w:r>
    </w:p>
    <w:p w:rsidR="00DF779D" w:rsidRPr="0074203C" w:rsidRDefault="00DF779D" w:rsidP="00DF779D">
      <w:pPr>
        <w:spacing w:line="360" w:lineRule="auto"/>
        <w:jc w:val="both"/>
        <w:rPr>
          <w:sz w:val="24"/>
          <w:szCs w:val="24"/>
          <w:shd w:val="clear" w:color="auto" w:fill="F8F9FA"/>
        </w:rPr>
      </w:pPr>
    </w:p>
    <w:p w:rsidR="00DF779D" w:rsidRPr="0074203C" w:rsidRDefault="00DF779D" w:rsidP="00DF779D">
      <w:pPr>
        <w:spacing w:line="360" w:lineRule="auto"/>
        <w:jc w:val="both"/>
        <w:rPr>
          <w:sz w:val="24"/>
          <w:szCs w:val="24"/>
        </w:rPr>
      </w:pPr>
      <w:r w:rsidRPr="0074203C">
        <w:rPr>
          <w:sz w:val="24"/>
          <w:szCs w:val="24"/>
        </w:rPr>
        <w:t xml:space="preserve">During the review, I realised that 2's personal circumstances had changed and her needs were not being met. The SSWBA 2014 act provides legal guidance for improving the wellbeing of individuals with care and support needs. Section 19 of the Act entitles individuals in need of care and support to an assessment. When a care and support plan is in place, it has to be monitored, reviewed and if needs are not being met, the care plan should be revised. To understand 2's situation and current </w:t>
      </w:r>
      <w:r w:rsidRPr="0074203C">
        <w:rPr>
          <w:sz w:val="24"/>
          <w:szCs w:val="24"/>
        </w:rPr>
        <w:lastRenderedPageBreak/>
        <w:t xml:space="preserve">needs, I had to review the initial assessment as outlined in part 3 of the SSWBA 2014. I feel that assessments reflects a person's current situation, care needs and allow people to identify the most suitable plan for achieving their needs and outcome.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As a social worker, I have a duty to undertake assessments that are strength-based, outcome-focussed and reflect the key principles of the act which are; voice and control, early intervention and prevention, wellbeing, co-production, and multi-agency (SSWBA 2014). To ensure that the assessment was strength-based and outcomes focussed, I adopted a person-centred approach (DOH 2015, NOS 17, and SCW LO1) and worked collaboratively with 2, the carer and other professionals (SCW LO2). Strengths perspective recognises that though individuals may have problems, illnesses or impairments, they also have strengths that can be used to make their lives better (Saleebey 2009). Though I had introduced myself and explained the purpose of the visit, at one point 2 asked me to leave the house or she would call the police. I didn't expect this reaction from 2 and I thought I had offended her by something I said. To minimise further agitation and work collaboratively with 2, I adopted a relationship-based approach (Howe et al., 2018). This helped me to build rapport and to work with 2 in a way that she felt respected and valued. One lesson learnt from this situation was to treat people with respect regardless of their status.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To encourage communication and participation, a narrative approach to enable 2 tell her story (</w:t>
      </w:r>
      <w:r w:rsidRPr="0074203C">
        <w:rPr>
          <w:color w:val="222222"/>
          <w:sz w:val="24"/>
          <w:szCs w:val="24"/>
          <w:shd w:val="clear" w:color="auto" w:fill="FFFFFF"/>
        </w:rPr>
        <w:t>Riessman and Quinney, 2005;</w:t>
      </w:r>
      <w:r w:rsidRPr="0074203C">
        <w:rPr>
          <w:sz w:val="24"/>
          <w:szCs w:val="24"/>
        </w:rPr>
        <w:t xml:space="preserve"> NOS 9). 2 talked about life with her parents and things that are important to her. She told me that she enjoys decorating and gardening, and showed me some of her work. Working with 2 in a non-judgemental way by enabling her to tell her story, listening and appreciating her was empowering (Saleebey, 2013). Dowling et al. (2006) agrees and states that core principles of promoting independence, choice, inclusion and empowerment are embedded in the person-centred approach.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It is very easy when working with someone living with dementia to assume that they have no capacity to make decisions for themselves. Disabling 2 because of her impairment to the brain and inability to meet some of her needs would be discriminatory and prevent her from giving a voice to her story and making choices that can help her achieve her goals. I found that using theories and perspectives that </w:t>
      </w:r>
      <w:r w:rsidRPr="0074203C">
        <w:rPr>
          <w:sz w:val="24"/>
          <w:szCs w:val="24"/>
        </w:rPr>
        <w:lastRenderedPageBreak/>
        <w:t>highlights positive strengths, talents and skills in people, and working in partnership with individuals and their carers promotes anti-oppressive practice (AOP). Using anti-oppressive practice is good social work practice (Thompson</w:t>
      </w:r>
      <w:r>
        <w:rPr>
          <w:sz w:val="24"/>
          <w:szCs w:val="24"/>
        </w:rPr>
        <w:t>,</w:t>
      </w:r>
      <w:r w:rsidRPr="0074203C">
        <w:rPr>
          <w:sz w:val="24"/>
          <w:szCs w:val="24"/>
        </w:rPr>
        <w:t xml:space="preserve"> 2020).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When I am working with vulnerable adults, safeguarding is always part of my wellbeing duty, and I look out for signs of harm or abuse. Linking 2's assessment to guidance on safeguarding and examining whether she was an adult a risk (AAR) as defined in s126 of the SSWBA 2014 was essential. Establishing whether 2 is AAR or not, helped me to make appropriate decisions to prevent the likelihood of harm and promote her wellbeing. This is in line with the principle of early intervention and prevention (SSWBA 2014). Working collaboratively with the carer, the care agency and health professional involved in 2's care enabled me to understand the situation better (NOS 6). Using the information gathered from the interactions with 2, the carer and other professionals, I was able to make professional judgements and make decision to promote 2's wellbeing.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During this assessment, I also carried out a mental capacity assessment (MCA) under the Mental Capacity Act (MCA) 2005. Practice guidance suggests that to avoid duplication, assessments under different legal frameworks can be carried out at the same time (CoP part 3, SSWBA 2014). It was evident during the assessment that 2's cognitive functioning had declined. She told me that she was managing well and doesn't need any help which was not the case. This was an indication that her cognitive functioning had deteriorated.  Though 2 was able to communicate her wish to remain at home, insight into her care needs and risks was limited, and was unable to retain and weigh-up information to reach her decision. 2 was therefore, assessed as lacking capacity to make decisions about her care and long-term living arrangements.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Working collaboratively with the carer, health practitioner and care agency, a best interest meeting (BIM) under s1 of MCA 2005 was undertaken (NOS 6). 2 did not attend the BIM as myself and carer felt that the discussions of the BIM would cause some emotional distress. However, her views and wishes were obtained prior to the BIM. Multi-agency practice helped me to understand and analyse the situation from different professionals' perspectives and this informed my professional judgements </w:t>
      </w:r>
      <w:r w:rsidRPr="0074203C">
        <w:rPr>
          <w:sz w:val="24"/>
          <w:szCs w:val="24"/>
        </w:rPr>
        <w:lastRenderedPageBreak/>
        <w:t>(SCW LO3). W</w:t>
      </w:r>
      <w:r w:rsidRPr="0074203C">
        <w:rPr>
          <w:rFonts w:eastAsia="Calibri"/>
          <w:sz w:val="24"/>
          <w:szCs w:val="24"/>
        </w:rPr>
        <w:t>orking in partnership with other professionals enhances decision making, which is vital when working with vulnerable adults who have complex health and social care needs (Bunn et al., 2018). During the BIM, s</w:t>
      </w:r>
      <w:r w:rsidRPr="0074203C">
        <w:rPr>
          <w:sz w:val="24"/>
          <w:szCs w:val="24"/>
        </w:rPr>
        <w:t>upport to enable 2 meet her needs, minimise risks and reach her outcomes was considered and agreed (NOS 15). The conclusion of the BIM was for 2 to remain at home with an increased POC, lifeline and fall sensor (SCW LO3). The carer as attorney under the MCA 2005 was the decision maker and everyone was in agreement with the outcome of the BIM. The decision was least restrictive and in line with recommendations of the MCA 2005. My role during the BIM was to chair the meeting, take notes and record the notes securely as required by General Data Protection Regulation (GDPR) and Data protection Act (2018). Chairing the meeting and taking notes at the same time was challenging. However, to ensure that the information was accurate, I asked for clarification and summarised the main points.</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Though multi-agency working is vital as described by Bunn et al (2018), it has its own disadvantages such as different working models and values. For example, health professionals can sometime be reluctant to take risks and not allow individuals to live at home as they wish. However, risk cannot be totally removed or avoided (Taylor, 2017)</w:t>
      </w:r>
      <w:r w:rsidRPr="0074203C">
        <w:rPr>
          <w:rFonts w:eastAsia="Calibri"/>
          <w:sz w:val="24"/>
          <w:szCs w:val="24"/>
        </w:rPr>
        <w:t>.</w:t>
      </w:r>
      <w:r w:rsidRPr="0074203C">
        <w:rPr>
          <w:sz w:val="24"/>
          <w:szCs w:val="24"/>
        </w:rPr>
        <w:t xml:space="preserve"> I felt that the decision of the BIM was the best option and in 2's best interest, remaining at home in an environment that is so familiar would promote her independence and wellbeing.</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Nevertheless, the care agency had no capacity to increase the POC, causing a further deterioration to 2's wellbeing. Years of underfunding the social care sector and the effects of covid19 pandemic have hugely impacted on service delivery and peop</w:t>
      </w:r>
      <w:r>
        <w:rPr>
          <w:sz w:val="24"/>
          <w:szCs w:val="24"/>
        </w:rPr>
        <w:t>le's outcomes (Turner</w:t>
      </w:r>
      <w:r w:rsidRPr="0074203C">
        <w:rPr>
          <w:sz w:val="24"/>
          <w:szCs w:val="24"/>
        </w:rPr>
        <w:t xml:space="preserve">, 2020). As a social worker, my role involves finding ways to support people overcome problems and achieve their outcomes. Inadequate community resources makes my work difficult and delays or prevents individuals from realising their goals. To maximise support, promote 2's wellbeing and uphold her wishes and rights to live independently, I worked with 2, the carer and other professionals to explore her wider social system for support (SCW LO2). I used systems theory, to explore support and resources among family, friends, neighbours, community groups, third sector organisation, hospital and wider society (Pincus and Minaham, 1973 as cited by Maclean and Harrison 2015). However, due to the negative effects from the </w:t>
      </w:r>
      <w:r w:rsidRPr="0074203C">
        <w:rPr>
          <w:sz w:val="24"/>
          <w:szCs w:val="24"/>
        </w:rPr>
        <w:lastRenderedPageBreak/>
        <w:t xml:space="preserve">pandemic that many families and organisations were experiencing, it was difficult to source additional support for 2 to remain at home.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color w:val="37394C"/>
          <w:sz w:val="24"/>
          <w:szCs w:val="24"/>
        </w:rPr>
      </w:pPr>
      <w:r w:rsidRPr="0074203C">
        <w:rPr>
          <w:sz w:val="24"/>
          <w:szCs w:val="24"/>
        </w:rPr>
        <w:t>As there was inadequate care and support to meet 2's care needs at home, I felt that she was at risk of neglect. According to Wales Safeguarding Procedures (WSP 2019) 'Neglect is f</w:t>
      </w:r>
      <w:r w:rsidRPr="0074203C">
        <w:rPr>
          <w:color w:val="37394C"/>
          <w:sz w:val="24"/>
          <w:szCs w:val="24"/>
        </w:rPr>
        <w:t xml:space="preserve">ailure to meet a person’s basic physical, emotional, social or psychological needs, which is likely to result in an impairment of the person’s well-being'. Under s126 of SSWBA, 2 is an AAR as she has care and support needs and because of her needs she is unable to protect herself from neglect or the risk of it. Safeguarding her wellbeing is therefore, crucial. </w:t>
      </w:r>
    </w:p>
    <w:p w:rsidR="00DF779D" w:rsidRPr="0074203C" w:rsidRDefault="00DF779D" w:rsidP="00DF779D">
      <w:pPr>
        <w:spacing w:line="360" w:lineRule="auto"/>
        <w:jc w:val="both"/>
        <w:rPr>
          <w:color w:val="37394C"/>
          <w:sz w:val="24"/>
          <w:szCs w:val="24"/>
        </w:rPr>
      </w:pPr>
    </w:p>
    <w:p w:rsidR="00DF779D" w:rsidRPr="0074203C" w:rsidRDefault="00DF779D" w:rsidP="00DF779D">
      <w:pPr>
        <w:spacing w:line="360" w:lineRule="auto"/>
        <w:jc w:val="both"/>
        <w:rPr>
          <w:sz w:val="24"/>
          <w:szCs w:val="24"/>
        </w:rPr>
      </w:pPr>
      <w:r w:rsidRPr="0074203C">
        <w:rPr>
          <w:color w:val="37394C"/>
          <w:sz w:val="24"/>
          <w:szCs w:val="24"/>
        </w:rPr>
        <w:t>As guided by the principles for effective safeguarding practice as outlined in s1 of WSP 2019, I discussed 2's situation in supervision for guidance (NOS 2). Using guidance from supervision, relevant legislation, and working together with family and relevant professionals, a best interest discussion (BID) to review the initial BI outcome was conducted (MCA 2005, SCW LO2). Due to insufficient care and support, and increased risks to 2's wellbeing at home, t</w:t>
      </w:r>
      <w:r w:rsidRPr="0074203C">
        <w:rPr>
          <w:sz w:val="24"/>
          <w:szCs w:val="24"/>
        </w:rPr>
        <w:t>he conclusion of the BID was that it was in her best interest to be accommodated in a 24 hours residential setting. Though this is not a least restriction option as required by law (MCA 2005), I felt that it was the most suitable option for 2.</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According to the local authorities (LA) Fairness of Service Provision Policy, Individuals should be 'supported to choose a suitable and available care homes of their choice' (2019). However, due to shortages of beds in care homes and urgency of the situation, 2 did not have the opportunity to choose a care home of her choice, and had to be admitted into a care home that had availability. On reflection, I feel that the scarcity of community resources within the area impacted on 2's right to remain at home and achieve her goals. Additionally, her right to choose a care home of her choice was violated by the issues of limited availability for beds in residential settings.  Though the SSWBA 2014 entitles individuals with care needs to an assessment, resources are limited and this impacts on delivery of services, outcome focussed practice and prevents individuals from achieving their identified outcomes. I agree with BASW (2020) that lack of resources and services to enable people achieve their goals undermines their entitlements and reduces their rights, as evidenced by 2's situation.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Social work is a profession that aims to bring about social change and development in people's lives, and the principles of social justice and human rights are at the core of social work practice (BASW 2014). I found it challenging to uphold 2's right to remain at home when there was a need to protect her from neglect. According to article 8 of the Human Rights Act (HRA 1998), 2 has a</w:t>
      </w:r>
      <w:r w:rsidRPr="0074203C">
        <w:rPr>
          <w:color w:val="202124"/>
          <w:sz w:val="24"/>
          <w:szCs w:val="24"/>
          <w:shd w:val="clear" w:color="auto" w:fill="FFFFFF"/>
        </w:rPr>
        <w:t> 'right to private and family life</w:t>
      </w:r>
      <w:r w:rsidRPr="0074203C">
        <w:rPr>
          <w:sz w:val="24"/>
          <w:szCs w:val="24"/>
        </w:rPr>
        <w:t xml:space="preserve">'. However, this right was infringed by the need to protect her from the risk of neglect and promote her wellbeing.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bCs/>
          <w:color w:val="202124"/>
          <w:sz w:val="24"/>
          <w:szCs w:val="24"/>
          <w:shd w:val="clear" w:color="auto" w:fill="FFFFFF"/>
        </w:rPr>
      </w:pPr>
      <w:r w:rsidRPr="0074203C">
        <w:rPr>
          <w:sz w:val="24"/>
          <w:szCs w:val="24"/>
        </w:rPr>
        <w:t xml:space="preserve">As 2 lacks capacity to consent to care home arrangements and likely to be deprived of her liberty as described in article 5 of the HRA 1998, the care home had to apply for deprivation of liberty safeguards (DoLS), procedures under the MCA 2005. The MCA 2005 empowers and protect people who do not have capacity to make their own decisions for medical treatment, finances and living arrangements and it applies to England and Wales. In Scotland, the legislation that protects individuals unable to make their own decisions due to mental disorder is called </w:t>
      </w:r>
      <w:r w:rsidRPr="0074203C">
        <w:rPr>
          <w:bCs/>
          <w:color w:val="202124"/>
          <w:sz w:val="24"/>
          <w:szCs w:val="24"/>
          <w:shd w:val="clear" w:color="auto" w:fill="FFFFFF"/>
        </w:rPr>
        <w:t>the Adults with Incapacity (Scotland) Act (AWIA 2000). Northern Ireland adopted the MCA in 2016. Research helped me to understand that, though the principles of the AWIA and MCA are similar in many ways, some process are not the same. For example, the best interest process under the MCA allows for some decisions to be made without going to court, whereas the AWIA doesn't have such provision. In my country Zambia, the legal framework that promotes and protects the rights of people lacking capacity to make their own decisions is called the Mental Health Act 2019. Under this act, if a person lacks capacity to make decisions for care and treatment, and have not appointed someone to make decisions on their behalf, the court appoints a supporter on their behalf.</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In Wales and England, DoLS protect people lacking capacity to consent to care and treatment, and admitted to care homes or hospitals from being unlawfully detained. According to the Supreme Court judgment in the case of “P v Cheshire West and Chester Council and another” and “P and Q v Surrey County Council” if a person is under continuous supervision and control and not free to leave, their </w:t>
      </w:r>
      <w:r w:rsidRPr="00754FA5">
        <w:rPr>
          <w:sz w:val="24"/>
          <w:szCs w:val="24"/>
        </w:rPr>
        <w:t>liberty is deprived (UK Supreme Court, 2014).</w:t>
      </w:r>
      <w:r w:rsidRPr="0074203C">
        <w:rPr>
          <w:sz w:val="24"/>
          <w:szCs w:val="24"/>
        </w:rPr>
        <w:t xml:space="preserve"> Therefore, actions that are necessary, proportionate and in a person's best interest should be considered (Care Quality Control (CQC) 2014).  The use of necessary and proportionate supervision and control that is in the best </w:t>
      </w:r>
      <w:r w:rsidRPr="0074203C">
        <w:rPr>
          <w:sz w:val="24"/>
          <w:szCs w:val="24"/>
        </w:rPr>
        <w:lastRenderedPageBreak/>
        <w:t xml:space="preserve">interest of the individual is also emphasised by the MCA 2005. DoLS has been criticised for being bulky and not transparent and will be replaced by Liberty Protection Safeguards (LPS). For now, DoLS remain in place until when LPS will be implemented.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Whilst in care, a deterioration in her physical, mental wellbeing and inadequate care was noticed by other practitioners involved in 2's care. Due to the identified concerns, a safeguarding referral against the care home was raised. I was informed about the referral and outcome of the initial enquiries by a safeguarding co-ordinator. The outcome of the basic enquiries was that there was reasonable cause to suspect that 2 was an AAR as described in s126 SSWBA 2014. Four weeks prior to the safeguarding referral, I had reviewed 2's care plan and a senior care worker from the care home was involved in the review. The review was also discussed with the family who expressed concern about the frequency of urine infections that 2 was having. Following the review, I made referrals to relevant professionals such as the occupational therapy (OT) for support to minimise the risk of falls. So when I was informed about the safeguarding referral, I was surprised. I questioned my practice and worried that if anything happened to 2, I will be blamed. I used supervision to reflect on what I could have missed and what needs to be done to promote her wellbeing. When I reflected on the situation, I realised that social work practice is a profession that deals with a lot of uncertainty due to people's changing circumstances (Ferguson, 2018). It is possible that 2's situation could have worsened after the review. It also made me appreciate the safeguarding principle which states that 'safeguarding is everyone's business', and not entirely a responsibility for social workers like myself.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As this was my first safeguarding case to reach a strategy meeting, to understand my role, I used supervision, mentoring, knowledge from safeguarding training and practice guidance on effective safeguarding process as underpinned by part 7, SSWBA 2014 and WSP 2019 (NOS 3).  I had 7 days to make enquires and establish whether 2 was a subject of abuse or neglect. As guided by the safeguarding process, I employed a person-centred approach and visited 2 to assess the situation, ascertain her views and to listen to her story. 2 had a dressing on the back of her leg and arm. Using simple and clear language, I asked what happened to her leg and arm. 2 responded by talking about her parents, she had no knowledge about how the injuries occurred. </w:t>
      </w:r>
      <w:r w:rsidRPr="0074203C">
        <w:rPr>
          <w:sz w:val="24"/>
          <w:szCs w:val="24"/>
        </w:rPr>
        <w:lastRenderedPageBreak/>
        <w:t xml:space="preserve">As 2 lacks capacity to make decisions for herself, she has a right to an advocate who would ensure that her views and wishes are represented (Part 10, SSWBA 2014). Family advocate on her behalf, and family was informed about the concerns raised and the safeguarding process. </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Although 2 was unable to engage in a meaningful conversation, I used the time to look out for signs and indicators of abuse or neglect as stated in safeguarding principle 3. I asked a care worker about what happened to 2's leg and arm. The care worker reported that the cut on her arm happened when 2 caught her arm on the commode, but the worker didn't know how the injury on the leg happened. To gain a better understanding of the situation, I read through her notes, the record highlighted that 2 had numerous falls and a number of the falls were unwitnessed and there was no evidence for medical intervention following the falls (NOS 13). The notes reviewed that 2 had lost a significant amount of weight and there was no food and fluid chart for monitoring her nutritional intake. 2 was also having frequent urine infections. The identified indicators of abuse or neglect were concerning. Research suggest that 20 472 adults were suspected to be at risk of abuse or neglect in the year 2018-19 in this county. The 615 of the reported cases were from the LA where 2 lives (Stat Wales 2019). I agree with the older people commissioner for Wales for stating that knowledge about abuse for older people is still low among the public and there is need for increased awareness, support and services (Herklots 2022). Having read about how other countries safeguard vulnerable adults from harm, I realised that in Zambia, though the law to protect vulnerable adults from various forms of abuse is in place, the safeguarding process is not as effective and a lot of abuse against vulnerable adults is unreported.</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Gathering detailed information that is necessary, relevant and accurate enhanced my analysis of the situation and guided my professional judgements and decision making (SCW LO3). To prevent further escalation of the identified issues, appropriate care and support was considered. I worked with the care home staff to make referrals to relevant organisations and professionals such as occupational therapist, physiotherapist, dietician, and the falls clinic (SCW LO2). District nurses were already involved and attended once a week to treat the wound. When sharing information, I </w:t>
      </w:r>
      <w:r w:rsidRPr="0074203C">
        <w:rPr>
          <w:sz w:val="24"/>
          <w:szCs w:val="24"/>
        </w:rPr>
        <w:lastRenderedPageBreak/>
        <w:t>made sure that it was shared securely and in accordance with the organisation's policy and recommendation of the GDPR 2018.</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The outcome of the enquiry was determination 3 as outlined in s3 part 1 WSP (2019). 2 was AAR and actions to protect her from further neglect or harm and promote her wellbeing was needed. Following the outcome of basic enquiries, a strategy meeting was held via Microsoft teams. In attendance were; the safeguarding lead, care home manager, district nurses, psychiatric nurse, occupational therapist, representative from the LA commissioning team and myself as the allocated social worker (SCW LO 2). Information and evidence about the suspected neglect was discussed. It was clear that 2's care needs were not being met due to low levels of staff at the care home. Support and services to minimise the identified risks and promote 2's wellbeing and safety were considered (NOS 16). Actions and plans were agreed and delegated to those responsible to implement them. For example, the care home manager would recruit more staff and increase the staffing levels. Dietician would assess and provide support to improve nutritional intake and weight. The OT to ensure that suitable equipment and support to prevent falls and promote safety were in place. My role was to closely monitor and review the situation, delivery of support and care plan.</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In Wales, the effectiveness of safeguarding adults at risk of harm in the local area is monitored by safeguarding boards. Safeguarding boards consists of the local authority, chief police officer, and local health board (LHB) and NHS trust from the area. Safeguarding boards protects adults suffering or likely to suffer abuse. Safeguarding boards also conduct reviews in an event of death, life threatening injuries, and serious impairment to one's health resulting from abuse or neglect (Safeguarding functions and Procedures (Wales) Regulations 2015).</w:t>
      </w:r>
    </w:p>
    <w:p w:rsidR="00DF779D" w:rsidRPr="0074203C" w:rsidRDefault="00DF779D" w:rsidP="00DF779D">
      <w:pPr>
        <w:spacing w:line="360" w:lineRule="auto"/>
        <w:jc w:val="both"/>
        <w:rPr>
          <w:sz w:val="24"/>
          <w:szCs w:val="24"/>
        </w:rPr>
      </w:pPr>
    </w:p>
    <w:p w:rsidR="00DF779D" w:rsidRPr="0074203C" w:rsidRDefault="00DF779D" w:rsidP="00DF779D">
      <w:pPr>
        <w:spacing w:line="360" w:lineRule="auto"/>
        <w:jc w:val="both"/>
        <w:rPr>
          <w:sz w:val="24"/>
          <w:szCs w:val="24"/>
        </w:rPr>
      </w:pPr>
      <w:r w:rsidRPr="0074203C">
        <w:rPr>
          <w:sz w:val="24"/>
          <w:szCs w:val="24"/>
        </w:rPr>
        <w:t xml:space="preserve">Looking back, I feel that I have learnt a lot from this safeguarding experience. I have good understanding of the safeguarding process and I am able to identify signs and indicators of abuse and neglect. </w:t>
      </w:r>
      <w:r w:rsidRPr="0074203C">
        <w:rPr>
          <w:rFonts w:eastAsia="Calibri"/>
          <w:sz w:val="24"/>
          <w:szCs w:val="24"/>
        </w:rPr>
        <w:t xml:space="preserve">My perspective about safeguarding is that it's a process of unpicking how best to support individuals using a collaborative approach with the individual, family and other professionals and different organisations. </w:t>
      </w:r>
      <w:r w:rsidRPr="0074203C">
        <w:rPr>
          <w:sz w:val="24"/>
          <w:szCs w:val="24"/>
        </w:rPr>
        <w:t xml:space="preserve">This experience has also taught me the importance of using theory, legislation and policy in my practice. I have learnt that supervision is vital and it helped me to make proper </w:t>
      </w:r>
      <w:r w:rsidRPr="0074203C">
        <w:rPr>
          <w:sz w:val="24"/>
          <w:szCs w:val="24"/>
        </w:rPr>
        <w:lastRenderedPageBreak/>
        <w:t>professional judgements and decisions.  Supervision did also build my confidence and resilience. Going forward, I want to develop the skill of asking questions when making safeguarding enquiries without using leading questions. Working with more safeguarding and complex situations will expand my development in this area.</w:t>
      </w:r>
    </w:p>
    <w:p w:rsidR="00DF779D" w:rsidRDefault="00DF779D" w:rsidP="00DF779D">
      <w:pPr>
        <w:spacing w:line="276" w:lineRule="auto"/>
        <w:jc w:val="both"/>
        <w:rPr>
          <w:rFonts w:asciiTheme="minorHAnsi" w:hAnsiTheme="minorHAnsi" w:cstheme="minorHAnsi"/>
          <w:sz w:val="24"/>
          <w:szCs w:val="24"/>
        </w:rPr>
      </w:pPr>
    </w:p>
    <w:p w:rsidR="00DF779D" w:rsidRPr="00CE6B12" w:rsidRDefault="00DF779D" w:rsidP="00DF779D">
      <w:pPr>
        <w:spacing w:line="276" w:lineRule="auto"/>
        <w:jc w:val="both"/>
        <w:rPr>
          <w:rFonts w:asciiTheme="minorHAnsi" w:hAnsiTheme="minorHAnsi" w:cstheme="minorHAnsi"/>
          <w:sz w:val="24"/>
          <w:szCs w:val="24"/>
        </w:rPr>
      </w:pPr>
      <w:r>
        <w:rPr>
          <w:rFonts w:asciiTheme="minorHAnsi" w:hAnsiTheme="minorHAnsi" w:cstheme="minorHAnsi"/>
          <w:sz w:val="24"/>
          <w:szCs w:val="24"/>
        </w:rPr>
        <w:t>Word Count</w:t>
      </w:r>
      <w:r>
        <w:rPr>
          <w:rFonts w:asciiTheme="minorHAnsi" w:hAnsiTheme="minorHAnsi" w:cstheme="minorHAnsi"/>
          <w:sz w:val="24"/>
          <w:szCs w:val="24"/>
        </w:rPr>
        <w:t>: 4020</w:t>
      </w:r>
    </w:p>
    <w:p w:rsidR="00DF779D" w:rsidRDefault="00DF779D" w:rsidP="00DF779D">
      <w:pPr>
        <w:jc w:val="both"/>
        <w:rPr>
          <w:i/>
          <w:sz w:val="24"/>
          <w:szCs w:val="24"/>
        </w:rPr>
      </w:pPr>
    </w:p>
    <w:p w:rsidR="00DF779D" w:rsidRDefault="00DF779D" w:rsidP="00DF779D">
      <w:pPr>
        <w:jc w:val="both"/>
        <w:rPr>
          <w:i/>
          <w:sz w:val="24"/>
          <w:szCs w:val="24"/>
        </w:rPr>
      </w:pPr>
    </w:p>
    <w:p w:rsidR="00DF779D" w:rsidRDefault="00DF779D" w:rsidP="00DF779D">
      <w:pPr>
        <w:jc w:val="both"/>
        <w:rPr>
          <w:i/>
          <w:sz w:val="24"/>
          <w:szCs w:val="24"/>
        </w:rPr>
      </w:pPr>
    </w:p>
    <w:p w:rsidR="00DF779D" w:rsidRDefault="00DF779D" w:rsidP="00DF779D">
      <w:pPr>
        <w:jc w:val="both"/>
        <w:rPr>
          <w:i/>
          <w:sz w:val="24"/>
          <w:szCs w:val="24"/>
        </w:rPr>
      </w:pPr>
    </w:p>
    <w:p w:rsidR="00DF779D" w:rsidRDefault="00DF779D" w:rsidP="00DF779D">
      <w:pPr>
        <w:jc w:val="both"/>
        <w:rPr>
          <w:i/>
          <w:sz w:val="24"/>
          <w:szCs w:val="24"/>
        </w:rPr>
      </w:pPr>
    </w:p>
    <w:p w:rsidR="00DF779D" w:rsidRDefault="00DF779D" w:rsidP="00DF779D">
      <w:pPr>
        <w:jc w:val="both"/>
        <w:rPr>
          <w:i/>
          <w:sz w:val="24"/>
          <w:szCs w:val="24"/>
        </w:rPr>
      </w:pPr>
    </w:p>
    <w:p w:rsidR="00DF779D" w:rsidRDefault="00DF779D" w:rsidP="00DF779D">
      <w:pPr>
        <w:jc w:val="both"/>
        <w:rPr>
          <w:i/>
          <w:sz w:val="24"/>
          <w:szCs w:val="24"/>
        </w:rPr>
      </w:pPr>
    </w:p>
    <w:p w:rsidR="00DF779D" w:rsidRDefault="00DF779D" w:rsidP="00DF779D">
      <w:pPr>
        <w:jc w:val="both"/>
        <w:rPr>
          <w:i/>
          <w:sz w:val="24"/>
          <w:szCs w:val="24"/>
        </w:rPr>
      </w:pPr>
    </w:p>
    <w:p w:rsidR="00DF779D" w:rsidRDefault="00DF779D" w:rsidP="00DF779D">
      <w:pPr>
        <w:jc w:val="both"/>
        <w:rPr>
          <w:i/>
          <w:sz w:val="24"/>
          <w:szCs w:val="24"/>
        </w:rPr>
      </w:pPr>
    </w:p>
    <w:p w:rsidR="00DD31B6" w:rsidRDefault="008C61F2"/>
    <w:sectPr w:rsidR="00DD31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79D"/>
    <w:rsid w:val="008C61F2"/>
    <w:rsid w:val="00DF779D"/>
    <w:rsid w:val="00E4023F"/>
    <w:rsid w:val="00E40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6AE4"/>
  <w15:chartTrackingRefBased/>
  <w15:docId w15:val="{71F49D21-C15C-43B4-92AB-88EA0E299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79D"/>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3769</Words>
  <Characters>21484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25203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Emelia Kalongo</dc:creator>
  <cp:keywords/>
  <dc:description/>
  <cp:lastModifiedBy>Emelia Kalongo</cp:lastModifiedBy>
  <cp:revision>2</cp:revision>
  <dcterms:created xsi:type="dcterms:W3CDTF">2023-02-26T14:52:00Z</dcterms:created>
  <dcterms:modified xsi:type="dcterms:W3CDTF">2023-02-26T14:52:00Z</dcterms:modified>
</cp:coreProperties>
</file>