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C1304" w14:textId="77777777" w:rsidR="00476437" w:rsidRDefault="00476437" w:rsidP="00476437">
      <w:pPr>
        <w:ind w:left="720"/>
        <w:rPr>
          <w:rFonts w:ascii="Arial" w:hAnsi="Arial" w:cs="Arial"/>
          <w:b/>
          <w:bCs/>
          <w:i/>
          <w:iCs/>
          <w:sz w:val="28"/>
          <w:szCs w:val="28"/>
        </w:rPr>
      </w:pPr>
      <w:r>
        <w:rPr>
          <w:b/>
          <w:bCs/>
          <w:i/>
          <w:iCs/>
          <w:sz w:val="28"/>
          <w:szCs w:val="28"/>
        </w:rPr>
        <w:t xml:space="preserve">‘Generally, academic literature on the issue of democratic deficit in EU relies on two opposing arguments. The majority argument is that there is democratic deficit in the EU; the minority argument rejects this view’ (Azman, 2011). </w:t>
      </w:r>
    </w:p>
    <w:p w14:paraId="16D98978" w14:textId="77777777" w:rsidR="00476437" w:rsidRDefault="00476437"/>
    <w:p w14:paraId="0D4416D4" w14:textId="2A86BA1B" w:rsidR="00686264" w:rsidRDefault="00544181">
      <w:r>
        <w:t xml:space="preserve">     </w:t>
      </w:r>
      <w:r w:rsidR="00476437" w:rsidRPr="00476437">
        <w:t>The phrase 'democratic deficit' is used by those who say that the EU's institutions and decision-making processes lack democracy and are therefore inaccessible to the average person due to their complexity. The true democratic weakness in the EU appears to be a lack of European politics. EU voters do not believe they have an effective means of opposing a 'government' they dislike and altering the direction of politics and policy in some areas.</w:t>
      </w:r>
      <w:r w:rsidR="00F0574B">
        <w:t xml:space="preserve"> </w:t>
      </w:r>
      <w:r w:rsidR="00F0574B" w:rsidRPr="00F0574B">
        <w:t>Article 10 of the TEU discusses the establishment of political parties and encourages them to represent democracy. Article 11 discusses the European Union and its connection with its citizens, and it introduces the concept of citizen initiative. Article 12 discusses the relationship between the European Union and national parliament, as well as the notion of subsidiarity.</w:t>
      </w:r>
    </w:p>
    <w:p w14:paraId="15970902" w14:textId="44BF45E4" w:rsidR="004B7073" w:rsidRDefault="004B7073" w:rsidP="004B7073">
      <w:r>
        <w:t>The Commission was established as the heart of the European Coal and Steel Community, tasked with the responsibility of "ensuring that the Treaty's objectives are achieved."</w:t>
      </w:r>
      <w:r>
        <w:t xml:space="preserve"> </w:t>
      </w:r>
      <w:r>
        <w:t>However, the Commission's function has been steadily "marginalised" in the European Union by the Parliament and the Council. With these two organisations forming the Union legislature, the Commission has firmly established itself as an executive branch institution. When it comes to guiding the European Union, it functions - in part - as the Union's government. This third section examines the membership of the Commission first, before delving into the President's relationship with "his" institution. A last subsection discusses the Commission's functions and authority.</w:t>
      </w:r>
    </w:p>
    <w:p w14:paraId="28531BDC" w14:textId="6FBFDBB4" w:rsidR="00544181" w:rsidRDefault="004B7073">
      <w:r>
        <w:t xml:space="preserve">The Commission is composed of one representative from each Member State. Its members are selected "on the basis of their overall competence and </w:t>
      </w:r>
      <w:r>
        <w:t>trope and</w:t>
      </w:r>
      <w:r>
        <w:t xml:space="preserve"> commitment from individuals whose independence has been compromised."</w:t>
      </w:r>
      <w:r w:rsidR="00556EDA">
        <w:t xml:space="preserve"> </w:t>
      </w:r>
      <w:r w:rsidR="00556EDA" w:rsidRPr="00556EDA">
        <w:t xml:space="preserve">The Commission serves a five-year term.  </w:t>
      </w:r>
      <w:r w:rsidR="00342663" w:rsidRPr="00342663">
        <w:t>(</w:t>
      </w:r>
      <w:proofErr w:type="spellStart"/>
      <w:r w:rsidR="00342663" w:rsidRPr="00342663">
        <w:t>Schütze</w:t>
      </w:r>
      <w:proofErr w:type="spellEnd"/>
      <w:r w:rsidR="00342663" w:rsidRPr="00342663">
        <w:t xml:space="preserve">, </w:t>
      </w:r>
      <w:proofErr w:type="gramStart"/>
      <w:r w:rsidR="00342663" w:rsidRPr="00342663">
        <w:t>2017)</w:t>
      </w:r>
      <w:r w:rsidR="00556EDA" w:rsidRPr="00556EDA">
        <w:t>Throughout</w:t>
      </w:r>
      <w:proofErr w:type="gramEnd"/>
      <w:r w:rsidR="00556EDA" w:rsidRPr="00556EDA">
        <w:t xml:space="preserve"> this tenure, it must be "totally autonomous," with its members "refusing to seek or accept directions from any Government or other institution, body, office, or entity." The Member States are obligated to respect this autonomy. ' A Commissioner's breach of the duty of independence may result in his or her "compulsory retirement." How are members of the Commission chosen? The Commission was </w:t>
      </w:r>
      <w:r w:rsidR="00556EDA" w:rsidRPr="00556EDA">
        <w:t>initially “appointed</w:t>
      </w:r>
      <w:r w:rsidR="00556EDA" w:rsidRPr="00556EDA">
        <w:t xml:space="preserve">." Subsequently, the appointment method gave way to an election procedure. </w:t>
      </w:r>
      <w:r w:rsidR="00342663" w:rsidRPr="00342663">
        <w:t xml:space="preserve">(Tillotson and Foster, </w:t>
      </w:r>
      <w:proofErr w:type="gramStart"/>
      <w:r w:rsidR="00342663" w:rsidRPr="00342663">
        <w:t>2003)</w:t>
      </w:r>
      <w:r w:rsidR="00556EDA" w:rsidRPr="00556EDA">
        <w:t>This</w:t>
      </w:r>
      <w:proofErr w:type="gramEnd"/>
      <w:r w:rsidR="00556EDA" w:rsidRPr="00556EDA">
        <w:t xml:space="preserve"> election process is divided into two stages. The Commission's President will be elected in stages. The European Council will have proposed the President "in light of the European Parliament elections," that is, </w:t>
      </w:r>
      <w:r w:rsidR="00556EDA" w:rsidRPr="00556EDA">
        <w:t>considering</w:t>
      </w:r>
      <w:r w:rsidR="00556EDA" w:rsidRPr="00556EDA">
        <w:t xml:space="preserve"> the latter's political majority.  The European Parliament must then "elect" the nominated candidate. If Parliament does not confirm the candidate, the European Council must find a replacement.  After the Commission President is elected, the second step of the selection process begins. According to the President, the Council will adopt a list of candidate Commissioners based on Member State recommendations. After agreement on the list, the proposed Commission is exposed "as a body" to a vote of consent by the European Parliament, and the Commission is selected by the European Council </w:t>
      </w:r>
      <w:proofErr w:type="gramStart"/>
      <w:r w:rsidR="00556EDA" w:rsidRPr="00556EDA">
        <w:t>on the basis of</w:t>
      </w:r>
      <w:proofErr w:type="gramEnd"/>
      <w:r w:rsidR="00556EDA" w:rsidRPr="00556EDA">
        <w:t xml:space="preserve"> this election. This intricate and convoluted selection procedure has both "international" and "national" factors. Thus, democratic legitimacy for the Commission is derived in part from the Member States and in part from the European Parliament.</w:t>
      </w:r>
      <w:r w:rsidR="00342663">
        <w:t xml:space="preserve"> </w:t>
      </w:r>
      <w:r w:rsidR="00342663" w:rsidRPr="00342663">
        <w:t>(</w:t>
      </w:r>
      <w:proofErr w:type="spellStart"/>
      <w:r w:rsidR="00342663" w:rsidRPr="00342663">
        <w:t>Schütze</w:t>
      </w:r>
      <w:proofErr w:type="spellEnd"/>
      <w:r w:rsidR="00342663" w:rsidRPr="00342663">
        <w:t>, 2017)</w:t>
      </w:r>
    </w:p>
    <w:p w14:paraId="0A2003E2" w14:textId="3415B5F6" w:rsidR="00556EDA" w:rsidRDefault="00713405" w:rsidP="00713405">
      <w:r>
        <w:t xml:space="preserve">Regardless of its official status under the Treaties, the European Parliament has never been the "primary" institution of the Union. For a lengthy </w:t>
      </w:r>
      <w:proofErr w:type="gramStart"/>
      <w:r>
        <w:t>period of time</w:t>
      </w:r>
      <w:proofErr w:type="gramEnd"/>
      <w:r>
        <w:t xml:space="preserve">, it was ranked behind the Council and the Commission. Parliament's basic authority was </w:t>
      </w:r>
      <w:proofErr w:type="gramStart"/>
      <w:r>
        <w:t>actually limited</w:t>
      </w:r>
      <w:proofErr w:type="gramEnd"/>
      <w:r>
        <w:t xml:space="preserve">. It was </w:t>
      </w:r>
      <w:proofErr w:type="spellStart"/>
      <w:r>
        <w:t>an"auxiliary"organism</w:t>
      </w:r>
      <w:proofErr w:type="spellEnd"/>
      <w:r>
        <w:t xml:space="preserve"> created to aid the Council and Commission institutional duopoly. From the 1970s on, this little function rapidly increased. Today, the Parliament shares a chamber of the Union legislative with the Council. Parliament, which is directly chosen by European citizens,</w:t>
      </w:r>
      <w:r>
        <w:t xml:space="preserve"> </w:t>
      </w:r>
      <w:r>
        <w:t xml:space="preserve">is not only the most democratic institution in the European Union; </w:t>
      </w:r>
      <w:proofErr w:type="gramStart"/>
      <w:r>
        <w:t>in light of</w:t>
      </w:r>
      <w:proofErr w:type="gramEnd"/>
      <w:r>
        <w:t xml:space="preserve"> its elective "appointment," it is also the most supranational entity. When the European Union was founded, the European Treaties stipulated that its Parliament be constituted of "representatives of the peoples of the Member States."  This description was consistent with its genesis.</w:t>
      </w:r>
      <w:r>
        <w:t xml:space="preserve"> Since</w:t>
      </w:r>
      <w:r>
        <w:t xml:space="preserve"> the European Parliament is not directly elected. It was to "be composed of delegates appointed by the respective Parliaments from among their members in conformity with the method established by each Member State." "Thus, European parliamentarians were delegated national legislators. This mode of formation placed Parliament dangerously near to the status of a (international) "assembly." Nonetheless, the foundational Treaties violated conventional international law logic in two respects. To begin, they abandoned the concept of sovereign equality among Member States by recognising varying proportions of national parliamentary delegations</w:t>
      </w:r>
      <w:proofErr w:type="gramStart"/>
      <w:r>
        <w:t>. ?</w:t>
      </w:r>
      <w:proofErr w:type="gramEnd"/>
      <w:r>
        <w:t xml:space="preserve"> Second, and perhaps most significantly, the Treaties anticipated that Parliament would someday be formed via "universal direct elections When was the European Parliament transformed from </w:t>
      </w:r>
      <w:proofErr w:type="gramStart"/>
      <w:r>
        <w:t>a</w:t>
      </w:r>
      <w:proofErr w:type="gramEnd"/>
      <w:r>
        <w:t xml:space="preserve"> "assembly" of national lawmakers into a directly elected body? It took two decades for the 1976 "Election Act" of the Union to be enacted. Furthermore, the European Parliament has ceased to be formed of "representatives of the peoples of the States" since the first legislative elections in 1979. It became the representative of a European people from then on. The Treaties have - though belatedly - </w:t>
      </w:r>
      <w:r>
        <w:lastRenderedPageBreak/>
        <w:t>acknowledged this seismic constitutional shift. They now refer to the European Parliament as "made of citizens' representatives."</w:t>
      </w:r>
      <w:r w:rsidR="00342663">
        <w:t xml:space="preserve"> </w:t>
      </w:r>
      <w:r w:rsidR="00342663" w:rsidRPr="00342663">
        <w:t>(Tillotson and Foster, 2003)</w:t>
      </w:r>
    </w:p>
    <w:p w14:paraId="13A8E425" w14:textId="787F431A" w:rsidR="00666727" w:rsidRDefault="00666727" w:rsidP="00713405">
      <w:r w:rsidRPr="00666727">
        <w:t xml:space="preserve">The Council is the state institution within the European Union. Each national minister so represents the interests of "his" Member State within the Council. These interests may differ according to the Council's decision on a particular subject. Consider each of these four functions in turn. To begin, the Council has historically been central to the Union's legislative duty. Prior to the establishment of the European Parliament, the Council was </w:t>
      </w:r>
      <w:proofErr w:type="gramStart"/>
      <w:r w:rsidRPr="00666727">
        <w:t>actually the</w:t>
      </w:r>
      <w:proofErr w:type="gramEnd"/>
      <w:r w:rsidRPr="00666727">
        <w:t xml:space="preserve"> "legislator" of the Union. Today, the Council functions solely as a co-legislator, that is, as a branch of the Union's bicameral legislature.  Additionally, it, like Parliament, must exercise its legislative authority in </w:t>
      </w:r>
      <w:r w:rsidR="00B9500B" w:rsidRPr="00666727">
        <w:t xml:space="preserve">public. </w:t>
      </w:r>
      <w:r w:rsidRPr="00666727">
        <w:t xml:space="preserve">" Second, the Council and Parliament share the fiscal function. Thirdly, how about the function of policy formulation? The European Council has surpassed the Council in this regard. The former now makes broad policy decisions, and the Council's role has been reduced to making detailed policy choices that implement the broad ones. Nonetheless, these are consequential choices, and the Council Presidency will determine "its" agenda. Fourth, the Council plays a crucial role in European Union coordination. Thus, when it comes to general economic policy, Member States are obligated to "consider their economic policies as a matter of common interest and to coordinate them within the Council." In the recent decade, the concept of </w:t>
      </w:r>
      <w:proofErr w:type="gramStart"/>
      <w:r w:rsidRPr="00666727">
        <w:t>a</w:t>
      </w:r>
      <w:proofErr w:type="gramEnd"/>
      <w:r w:rsidRPr="00666727">
        <w:t xml:space="preserve"> "open manner of cooperation" has seen a rebirth.</w:t>
      </w:r>
      <w:r w:rsidR="00342663">
        <w:t xml:space="preserve"> </w:t>
      </w:r>
      <w:r w:rsidR="00342663" w:rsidRPr="00342663">
        <w:t>(</w:t>
      </w:r>
      <w:proofErr w:type="spellStart"/>
      <w:r w:rsidR="00342663" w:rsidRPr="00342663">
        <w:t>Iyiola</w:t>
      </w:r>
      <w:proofErr w:type="spellEnd"/>
      <w:r w:rsidR="00342663" w:rsidRPr="00342663">
        <w:t xml:space="preserve"> </w:t>
      </w:r>
      <w:proofErr w:type="spellStart"/>
      <w:r w:rsidR="00342663" w:rsidRPr="00342663">
        <w:t>Solanke</w:t>
      </w:r>
      <w:proofErr w:type="spellEnd"/>
      <w:r w:rsidR="00342663" w:rsidRPr="00342663">
        <w:t>, 2015)</w:t>
      </w:r>
    </w:p>
    <w:p w14:paraId="2DDD8965" w14:textId="1D611C24" w:rsidR="00F01136" w:rsidRDefault="00F01136" w:rsidP="00713405">
      <w:r w:rsidRPr="00F01136">
        <w:t xml:space="preserve">When the European Union was founded, it had a single court: the "Court of Justice." </w:t>
      </w:r>
      <w:proofErr w:type="gramStart"/>
      <w:r w:rsidRPr="00F01136">
        <w:t>All of</w:t>
      </w:r>
      <w:proofErr w:type="gramEnd"/>
      <w:r w:rsidRPr="00F01136">
        <w:t xml:space="preserve"> the Union's judicial affairs would have to travel via its corridors. In modern nations, courts have traditionally served as independent arbitrators between conflicting interests. Their jurisdiction may be mandatory or discretionary. The Court of Justice of the European Union has obligatory jurisdiction "within the limits of the powers conferred on it by the Treaties." The provision categorises judicial tasks into direct and indirect actions. The former </w:t>
      </w:r>
      <w:proofErr w:type="gramStart"/>
      <w:r w:rsidRPr="00F01136">
        <w:t>are</w:t>
      </w:r>
      <w:proofErr w:type="gramEnd"/>
      <w:r w:rsidRPr="00F01136">
        <w:t xml:space="preserve"> referred directly to the European Court of Justice. </w:t>
      </w:r>
      <w:r w:rsidR="00EC701E" w:rsidRPr="00EC701E">
        <w:t>(Foster, 2020)</w:t>
      </w:r>
      <w:r w:rsidR="00EC701E">
        <w:t xml:space="preserve"> </w:t>
      </w:r>
      <w:r w:rsidRPr="00F01136">
        <w:t xml:space="preserve">The latter are referred to the Court indirectly by national courts. Due to the Court of Justice of the European Union's extensive authority, it can be described as a "constitutional," "administrative," and "international" court, as well as </w:t>
      </w:r>
      <w:proofErr w:type="gramStart"/>
      <w:r w:rsidRPr="00F01136">
        <w:t>a</w:t>
      </w:r>
      <w:proofErr w:type="gramEnd"/>
      <w:r w:rsidRPr="00F01136">
        <w:t xml:space="preserve"> "industrial tribunal." It has authority over both public and private concerns. And, while the Court purports to operate as a "continental" civil law court, it has played a critical role in developing the European Union's structure and powers, as well as the substance of European law.</w:t>
      </w:r>
      <w:r w:rsidR="0009112E">
        <w:t xml:space="preserve"> </w:t>
      </w:r>
      <w:r w:rsidR="0009112E" w:rsidRPr="0009112E">
        <w:t>(</w:t>
      </w:r>
      <w:proofErr w:type="spellStart"/>
      <w:r w:rsidR="0009112E" w:rsidRPr="0009112E">
        <w:t>Warleigh</w:t>
      </w:r>
      <w:proofErr w:type="spellEnd"/>
      <w:r w:rsidR="0009112E" w:rsidRPr="0009112E">
        <w:t>, 2003)</w:t>
      </w:r>
    </w:p>
    <w:p w14:paraId="597E63D2" w14:textId="092B9ABF" w:rsidR="00F01136" w:rsidRDefault="00B9500B" w:rsidP="00713405">
      <w:r w:rsidRPr="00B9500B">
        <w:t xml:space="preserve">Over the last two decades, political and scholarly debates have centred on the structure and efficacy of European institutions, as well as the decision-making system. Reactions to the Maastricht Treaty, particularly </w:t>
      </w:r>
      <w:proofErr w:type="gramStart"/>
      <w:r w:rsidRPr="00B9500B">
        <w:t>in light of</w:t>
      </w:r>
      <w:proofErr w:type="gramEnd"/>
      <w:r w:rsidRPr="00B9500B">
        <w:t xml:space="preserve"> the institutional modifications implemented, are significantly responsible for both the 1996 Intergovernmental Conference and the growing scholarly interest in the "democratic deficit" problem. Individual authors ascribe varying interpretations to this phrase. </w:t>
      </w:r>
      <w:proofErr w:type="spellStart"/>
      <w:r w:rsidRPr="00B9500B">
        <w:t>Weiler</w:t>
      </w:r>
      <w:proofErr w:type="spellEnd"/>
      <w:r w:rsidRPr="00B9500B">
        <w:t xml:space="preserve"> categorises its primary characteristics as follows: The issue of the executive bodies' predominance - the transfer of competencies to the European Union boosts the executive institution's / European Commission's / powers at the expense of the parliamentary body. The very act of the Council of Ministers adopting decisions makes it difficult for national parliaments of Member States to exercise meaningful control over decisions reached at the European level. Direct election of the European Parliament alleviates some of this </w:t>
      </w:r>
      <w:r w:rsidRPr="00B9500B">
        <w:t>worry but</w:t>
      </w:r>
      <w:r w:rsidRPr="00B9500B">
        <w:t xml:space="preserve"> does not eliminate it entirely. This is because, despite its expanding powers, the European Parliament, unlike national legislatures, is not the supreme authority, and partly because Europe lacks a developed party structure.</w:t>
      </w:r>
      <w:r w:rsidR="00342663">
        <w:t xml:space="preserve"> </w:t>
      </w:r>
      <w:r w:rsidR="00342663" w:rsidRPr="00342663">
        <w:t>(</w:t>
      </w:r>
      <w:proofErr w:type="spellStart"/>
      <w:r w:rsidR="00342663" w:rsidRPr="00342663">
        <w:t>Iyiola</w:t>
      </w:r>
      <w:proofErr w:type="spellEnd"/>
      <w:r w:rsidR="00342663" w:rsidRPr="00342663">
        <w:t xml:space="preserve"> </w:t>
      </w:r>
      <w:proofErr w:type="spellStart"/>
      <w:r w:rsidR="00342663" w:rsidRPr="00342663">
        <w:t>Solanke</w:t>
      </w:r>
      <w:proofErr w:type="spellEnd"/>
      <w:r w:rsidR="00342663" w:rsidRPr="00342663">
        <w:t>, 2015)</w:t>
      </w:r>
      <w:r w:rsidR="0009112E">
        <w:t xml:space="preserve"> </w:t>
      </w:r>
      <w:r w:rsidR="0009112E" w:rsidRPr="0009112E">
        <w:t>(</w:t>
      </w:r>
      <w:proofErr w:type="spellStart"/>
      <w:r w:rsidR="0009112E" w:rsidRPr="0009112E">
        <w:t>Warleigh</w:t>
      </w:r>
      <w:proofErr w:type="spellEnd"/>
      <w:r w:rsidR="0009112E" w:rsidRPr="0009112E">
        <w:t>, 2003)</w:t>
      </w:r>
    </w:p>
    <w:p w14:paraId="08325981" w14:textId="77777777" w:rsidR="00B9500B" w:rsidRDefault="00B9500B" w:rsidP="00B9500B">
      <w:r>
        <w:t>The so-called circumvention of democracy through an incredibly complicated system of committees - many of the most significant secondary legislation acts are created in practise in these committees as a result of the Commission's delegated competencies from the Council of Ministers. They are frequently dominated by a technocratic approach to problems, yet this also contributes to the perception of a democratic deficit.</w:t>
      </w:r>
    </w:p>
    <w:p w14:paraId="155DEE93" w14:textId="0B932956" w:rsidR="00B9500B" w:rsidRDefault="00B9500B" w:rsidP="00B9500B">
      <w:r>
        <w:t xml:space="preserve">The problem of distance - devolving competencies to the institutions of the European Union separates problem solving from citizens in particular countries and mainly excludes them from the ability of exercising meaningful control over decision-making and implementation processes. </w:t>
      </w:r>
      <w:r w:rsidR="00EC701E">
        <w:t xml:space="preserve"> </w:t>
      </w:r>
      <w:r w:rsidR="00EC701E" w:rsidRPr="00EC701E">
        <w:t>(Foster, 2020)</w:t>
      </w:r>
      <w:r w:rsidR="00EC701E">
        <w:t xml:space="preserve"> </w:t>
      </w:r>
      <w:r>
        <w:t>Transparency and procedural complexity - many decisions at the European level, most notably those of the Council of Ministers, are currently made behind closed doors. Additionally, the convoluted procedures used to accomplish this are difficult for average European residents to comprehend.</w:t>
      </w:r>
      <w:r>
        <w:t xml:space="preserve"> </w:t>
      </w:r>
      <w:r>
        <w:t>Weakening judicial review - practically every national legal system establishes special courts with the authority to assess the constitutionality of their own legislation, either ex ante or ex post. The transfer of competencies to the EU and decision-making at the European level severely limits the scope of these review powers of the Member States' constitutional courts.</w:t>
      </w:r>
      <w:r w:rsidR="00342663">
        <w:t xml:space="preserve">  </w:t>
      </w:r>
      <w:r w:rsidR="00342663" w:rsidRPr="00342663">
        <w:t>(Ward, 2009)</w:t>
      </w:r>
    </w:p>
    <w:p w14:paraId="17280B07" w14:textId="55B867AD" w:rsidR="00342663" w:rsidRDefault="00B9500B" w:rsidP="00342663">
      <w:r w:rsidRPr="00B9500B">
        <w:t>In contrast to the fiscal deficit, the democratic deficit cannot be quantified in this manner. Nonetheless, several points are worth noting. In principle, some scholars argue that every modern nation-state exhibits a trend toward executive dominance. They believe it is improbable that national legislatures would ever have complete and effective control over the selection and content of the legislation they approve. The criterion of "parliamentary control" as a proxy for democratic governance has been questioned in a national context. Then again, we cannot accept this criterion as the sole or primary element defining the degree of democracy in a post-national organisation such as the European Union. Furthermore, the assertion that the European Parliament has less authority over the text of rules than national legislatures is scarcely accurate.</w:t>
      </w:r>
      <w:r w:rsidR="00EC701E">
        <w:t xml:space="preserve"> </w:t>
      </w:r>
      <w:r w:rsidR="00EC701E" w:rsidRPr="00EC701E">
        <w:t>(De, 2020)</w:t>
      </w:r>
      <w:r w:rsidRPr="00B9500B">
        <w:t xml:space="preserve"> The majority of </w:t>
      </w:r>
      <w:r w:rsidRPr="00B9500B">
        <w:lastRenderedPageBreak/>
        <w:t>European legislation has already been adopted under the co-decision procedure, which provides the European Parliament</w:t>
      </w:r>
      <w:r w:rsidR="00342663">
        <w:t xml:space="preserve">. </w:t>
      </w:r>
      <w:r w:rsidR="00342663" w:rsidRPr="00342663">
        <w:t>(Ward, 2009)</w:t>
      </w:r>
      <w:r w:rsidRPr="00B9500B">
        <w:t xml:space="preserve"> with a form of veto power. The trend toward parity in the legislative process is also reflected in the draught European Constitution. Additionally, statistics indicate that </w:t>
      </w:r>
      <w:proofErr w:type="gramStart"/>
      <w:r w:rsidRPr="00B9500B">
        <w:t>the majority of</w:t>
      </w:r>
      <w:proofErr w:type="gramEnd"/>
      <w:r w:rsidRPr="00B9500B">
        <w:t xml:space="preserve"> accepted regulations and directives incorporated and reflected the European Parliament's amendment recommendations. The fact that there has been a broad public debate about the future of Europe, including institutional reform, demonstrates the EU's democratic deficit is being addressed.</w:t>
      </w:r>
      <w:r w:rsidR="00EC701E" w:rsidRPr="00EC701E">
        <w:t xml:space="preserve"> </w:t>
      </w:r>
      <w:r w:rsidR="00EC701E" w:rsidRPr="00EC701E">
        <w:t>(De, 2020)</w:t>
      </w:r>
      <w:r w:rsidRPr="00B9500B">
        <w:t xml:space="preserve"> Additionally, for the first time, national parliaments will be able to participate in the legislative process with the authority to uphold the principle of subsidiarity. Additionally, one must bear in mind the following: it is frequently assumed that if the European Union did not exist, </w:t>
      </w:r>
      <w:proofErr w:type="gramStart"/>
      <w:r w:rsidRPr="00B9500B">
        <w:t>the majority of</w:t>
      </w:r>
      <w:proofErr w:type="gramEnd"/>
      <w:r w:rsidRPr="00B9500B">
        <w:t xml:space="preserve"> topics on the agendas of European countries would remain the province of national authorities.</w:t>
      </w:r>
      <w:r w:rsidR="0009112E">
        <w:t xml:space="preserve"> </w:t>
      </w:r>
      <w:r w:rsidR="0009112E" w:rsidRPr="0009112E">
        <w:t>(</w:t>
      </w:r>
      <w:proofErr w:type="spellStart"/>
      <w:r w:rsidR="0009112E" w:rsidRPr="0009112E">
        <w:t>Warleigh</w:t>
      </w:r>
      <w:proofErr w:type="spellEnd"/>
      <w:r w:rsidR="0009112E" w:rsidRPr="0009112E">
        <w:t>, 2003)</w:t>
      </w:r>
      <w:r w:rsidRPr="00B9500B">
        <w:t xml:space="preserve"> This is not totally accurate, however. Even if the EU had never formed, the need for some form of international cooperation that imposes some degree of constraint on national sovereignty would have existed. The issue in this scenario is not whether separate countries should engage at all, but how they should interact. And it is scarcely accurate to assert that the difficulties associated with distance or transparency within the European Union are higher than those associated with international treaties.</w:t>
      </w:r>
      <w:r>
        <w:t xml:space="preserve"> </w:t>
      </w:r>
      <w:r w:rsidR="00342663" w:rsidRPr="00342663">
        <w:t>(Ward, 2009)</w:t>
      </w:r>
    </w:p>
    <w:p w14:paraId="37B9A71E" w14:textId="00CF4A6E" w:rsidR="00B9500B" w:rsidRDefault="00B9500B" w:rsidP="00B9500B">
      <w:r>
        <w:t xml:space="preserve"> </w:t>
      </w:r>
    </w:p>
    <w:p w14:paraId="57AF6134" w14:textId="77777777" w:rsidR="005A48E7" w:rsidRDefault="005A48E7" w:rsidP="005A48E7">
      <w:pPr>
        <w:pStyle w:val="NormalWeb"/>
        <w:spacing w:before="0" w:beforeAutospacing="0" w:after="240" w:afterAutospacing="0" w:line="360" w:lineRule="auto"/>
        <w:rPr>
          <w:sz w:val="36"/>
          <w:szCs w:val="36"/>
        </w:rPr>
      </w:pPr>
      <w:r>
        <w:rPr>
          <w:sz w:val="36"/>
          <w:szCs w:val="36"/>
        </w:rPr>
        <w:t>Reference list</w:t>
      </w:r>
    </w:p>
    <w:p w14:paraId="7E30F73B"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Barnard, C. and Italy, F. (2007). </w:t>
      </w:r>
      <w:r w:rsidRPr="005A48E7">
        <w:rPr>
          <w:i/>
          <w:iCs/>
          <w:sz w:val="20"/>
          <w:szCs w:val="20"/>
        </w:rPr>
        <w:t xml:space="preserve">The fundamentals of EU law </w:t>
      </w:r>
      <w:proofErr w:type="gramStart"/>
      <w:r w:rsidRPr="005A48E7">
        <w:rPr>
          <w:i/>
          <w:iCs/>
          <w:sz w:val="20"/>
          <w:szCs w:val="20"/>
        </w:rPr>
        <w:t>revisited :</w:t>
      </w:r>
      <w:proofErr w:type="gramEnd"/>
      <w:r w:rsidRPr="005A48E7">
        <w:rPr>
          <w:i/>
          <w:iCs/>
          <w:sz w:val="20"/>
          <w:szCs w:val="20"/>
        </w:rPr>
        <w:t xml:space="preserve"> assessing the impact of the constitutional debate</w:t>
      </w:r>
      <w:r w:rsidRPr="005A48E7">
        <w:rPr>
          <w:sz w:val="20"/>
          <w:szCs w:val="20"/>
        </w:rPr>
        <w:t xml:space="preserve">. </w:t>
      </w:r>
      <w:proofErr w:type="gramStart"/>
      <w:r w:rsidRPr="005A48E7">
        <w:rPr>
          <w:sz w:val="20"/>
          <w:szCs w:val="20"/>
        </w:rPr>
        <w:t>Oxford ;</w:t>
      </w:r>
      <w:proofErr w:type="gramEnd"/>
      <w:r w:rsidRPr="005A48E7">
        <w:rPr>
          <w:sz w:val="20"/>
          <w:szCs w:val="20"/>
        </w:rPr>
        <w:t xml:space="preserve"> New York: Oxford University Press.</w:t>
      </w:r>
    </w:p>
    <w:p w14:paraId="37898F7D"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Chalmers, D. and Davies, G. (2014). </w:t>
      </w:r>
      <w:r w:rsidRPr="005A48E7">
        <w:rPr>
          <w:i/>
          <w:iCs/>
          <w:sz w:val="20"/>
          <w:szCs w:val="20"/>
        </w:rPr>
        <w:t>European Union Law</w:t>
      </w:r>
      <w:r w:rsidRPr="005A48E7">
        <w:rPr>
          <w:sz w:val="20"/>
          <w:szCs w:val="20"/>
        </w:rPr>
        <w:t>. Cambridge University Press.</w:t>
      </w:r>
    </w:p>
    <w:p w14:paraId="33528E65"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Craig, P.P. and G De </w:t>
      </w:r>
      <w:proofErr w:type="spellStart"/>
      <w:r w:rsidRPr="005A48E7">
        <w:rPr>
          <w:sz w:val="20"/>
          <w:szCs w:val="20"/>
        </w:rPr>
        <w:t>Búrca</w:t>
      </w:r>
      <w:proofErr w:type="spellEnd"/>
      <w:r w:rsidRPr="005A48E7">
        <w:rPr>
          <w:sz w:val="20"/>
          <w:szCs w:val="20"/>
        </w:rPr>
        <w:t xml:space="preserve"> (1999). </w:t>
      </w:r>
      <w:r w:rsidRPr="005A48E7">
        <w:rPr>
          <w:i/>
          <w:iCs/>
          <w:sz w:val="20"/>
          <w:szCs w:val="20"/>
        </w:rPr>
        <w:t>The evolution of EU law</w:t>
      </w:r>
      <w:r w:rsidRPr="005A48E7">
        <w:rPr>
          <w:sz w:val="20"/>
          <w:szCs w:val="20"/>
        </w:rPr>
        <w:t xml:space="preserve">. </w:t>
      </w:r>
      <w:proofErr w:type="gramStart"/>
      <w:r w:rsidRPr="005A48E7">
        <w:rPr>
          <w:sz w:val="20"/>
          <w:szCs w:val="20"/>
        </w:rPr>
        <w:t>Oxford ;</w:t>
      </w:r>
      <w:proofErr w:type="gramEnd"/>
      <w:r w:rsidRPr="005A48E7">
        <w:rPr>
          <w:sz w:val="20"/>
          <w:szCs w:val="20"/>
        </w:rPr>
        <w:t xml:space="preserve"> New York: Oxford University Press.</w:t>
      </w:r>
    </w:p>
    <w:p w14:paraId="012D8652"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Craig, P.P. and </w:t>
      </w:r>
      <w:proofErr w:type="spellStart"/>
      <w:r w:rsidRPr="005A48E7">
        <w:rPr>
          <w:sz w:val="20"/>
          <w:szCs w:val="20"/>
        </w:rPr>
        <w:t>Gráinne</w:t>
      </w:r>
      <w:proofErr w:type="spellEnd"/>
      <w:r w:rsidRPr="005A48E7">
        <w:rPr>
          <w:sz w:val="20"/>
          <w:szCs w:val="20"/>
        </w:rPr>
        <w:t xml:space="preserve"> De </w:t>
      </w:r>
      <w:proofErr w:type="spellStart"/>
      <w:r w:rsidRPr="005A48E7">
        <w:rPr>
          <w:sz w:val="20"/>
          <w:szCs w:val="20"/>
        </w:rPr>
        <w:t>Búrca</w:t>
      </w:r>
      <w:proofErr w:type="spellEnd"/>
      <w:r w:rsidRPr="005A48E7">
        <w:rPr>
          <w:sz w:val="20"/>
          <w:szCs w:val="20"/>
        </w:rPr>
        <w:t xml:space="preserve"> (2014). </w:t>
      </w:r>
      <w:r w:rsidRPr="005A48E7">
        <w:rPr>
          <w:i/>
          <w:iCs/>
          <w:sz w:val="20"/>
          <w:szCs w:val="20"/>
        </w:rPr>
        <w:t>The evolution of EU law</w:t>
      </w:r>
      <w:r w:rsidRPr="005A48E7">
        <w:rPr>
          <w:sz w:val="20"/>
          <w:szCs w:val="20"/>
        </w:rPr>
        <w:t>. Oxford: Oxford University Press.</w:t>
      </w:r>
    </w:p>
    <w:p w14:paraId="4A86B228"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De, P. (2020). </w:t>
      </w:r>
      <w:r w:rsidRPr="005A48E7">
        <w:rPr>
          <w:i/>
          <w:iCs/>
          <w:sz w:val="20"/>
          <w:szCs w:val="20"/>
        </w:rPr>
        <w:t xml:space="preserve">EU </w:t>
      </w:r>
      <w:proofErr w:type="gramStart"/>
      <w:r w:rsidRPr="005A48E7">
        <w:rPr>
          <w:i/>
          <w:iCs/>
          <w:sz w:val="20"/>
          <w:szCs w:val="20"/>
        </w:rPr>
        <w:t>LAW :</w:t>
      </w:r>
      <w:proofErr w:type="gramEnd"/>
      <w:r w:rsidRPr="005A48E7">
        <w:rPr>
          <w:i/>
          <w:iCs/>
          <w:sz w:val="20"/>
          <w:szCs w:val="20"/>
        </w:rPr>
        <w:t xml:space="preserve"> text, cases, and materials </w:t>
      </w:r>
      <w:proofErr w:type="spellStart"/>
      <w:r w:rsidRPr="005A48E7">
        <w:rPr>
          <w:i/>
          <w:iCs/>
          <w:sz w:val="20"/>
          <w:szCs w:val="20"/>
        </w:rPr>
        <w:t>uk</w:t>
      </w:r>
      <w:proofErr w:type="spellEnd"/>
      <w:r w:rsidRPr="005A48E7">
        <w:rPr>
          <w:i/>
          <w:iCs/>
          <w:sz w:val="20"/>
          <w:szCs w:val="20"/>
        </w:rPr>
        <w:t xml:space="preserve"> version.</w:t>
      </w:r>
      <w:r w:rsidRPr="005A48E7">
        <w:rPr>
          <w:sz w:val="20"/>
          <w:szCs w:val="20"/>
        </w:rPr>
        <w:t xml:space="preserve"> S.L.: Oxford </w:t>
      </w:r>
      <w:proofErr w:type="spellStart"/>
      <w:r w:rsidRPr="005A48E7">
        <w:rPr>
          <w:sz w:val="20"/>
          <w:szCs w:val="20"/>
        </w:rPr>
        <w:t>Univ</w:t>
      </w:r>
      <w:proofErr w:type="spellEnd"/>
      <w:r w:rsidRPr="005A48E7">
        <w:rPr>
          <w:sz w:val="20"/>
          <w:szCs w:val="20"/>
        </w:rPr>
        <w:t xml:space="preserve"> Press.</w:t>
      </w:r>
    </w:p>
    <w:p w14:paraId="2C6D957B"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Foster, N. (2019). </w:t>
      </w:r>
      <w:r w:rsidRPr="005A48E7">
        <w:rPr>
          <w:i/>
          <w:iCs/>
          <w:sz w:val="20"/>
          <w:szCs w:val="20"/>
        </w:rPr>
        <w:t>Foster on EU law</w:t>
      </w:r>
      <w:r w:rsidRPr="005A48E7">
        <w:rPr>
          <w:sz w:val="20"/>
          <w:szCs w:val="20"/>
        </w:rPr>
        <w:t>. Oxford: Oxford University Press.</w:t>
      </w:r>
    </w:p>
    <w:p w14:paraId="030C52AC"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Foster, N.G. (2020). </w:t>
      </w:r>
      <w:r w:rsidRPr="005A48E7">
        <w:rPr>
          <w:i/>
          <w:iCs/>
          <w:sz w:val="20"/>
          <w:szCs w:val="20"/>
        </w:rPr>
        <w:t>Blackstone’s EU treaties &amp; legislation 2020-2021</w:t>
      </w:r>
      <w:r w:rsidRPr="005A48E7">
        <w:rPr>
          <w:sz w:val="20"/>
          <w:szCs w:val="20"/>
        </w:rPr>
        <w:t>. Editorial: Oxford: Oxford University Press.</w:t>
      </w:r>
    </w:p>
    <w:p w14:paraId="0ACC52CD"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Hix, S. and </w:t>
      </w:r>
      <w:proofErr w:type="spellStart"/>
      <w:r w:rsidRPr="005A48E7">
        <w:rPr>
          <w:sz w:val="20"/>
          <w:szCs w:val="20"/>
        </w:rPr>
        <w:t>Bjørn</w:t>
      </w:r>
      <w:proofErr w:type="spellEnd"/>
      <w:r w:rsidRPr="005A48E7">
        <w:rPr>
          <w:sz w:val="20"/>
          <w:szCs w:val="20"/>
        </w:rPr>
        <w:t xml:space="preserve"> </w:t>
      </w:r>
      <w:proofErr w:type="spellStart"/>
      <w:r w:rsidRPr="005A48E7">
        <w:rPr>
          <w:sz w:val="20"/>
          <w:szCs w:val="20"/>
        </w:rPr>
        <w:t>Kåre</w:t>
      </w:r>
      <w:proofErr w:type="spellEnd"/>
      <w:r w:rsidRPr="005A48E7">
        <w:rPr>
          <w:sz w:val="20"/>
          <w:szCs w:val="20"/>
        </w:rPr>
        <w:t xml:space="preserve"> </w:t>
      </w:r>
      <w:proofErr w:type="spellStart"/>
      <w:r w:rsidRPr="005A48E7">
        <w:rPr>
          <w:sz w:val="20"/>
          <w:szCs w:val="20"/>
        </w:rPr>
        <w:t>Høyland</w:t>
      </w:r>
      <w:proofErr w:type="spellEnd"/>
      <w:r w:rsidRPr="005A48E7">
        <w:rPr>
          <w:sz w:val="20"/>
          <w:szCs w:val="20"/>
        </w:rPr>
        <w:t xml:space="preserve"> (2011). </w:t>
      </w:r>
      <w:r w:rsidRPr="005A48E7">
        <w:rPr>
          <w:i/>
          <w:iCs/>
          <w:sz w:val="20"/>
          <w:szCs w:val="20"/>
        </w:rPr>
        <w:t>The political system of the European Union</w:t>
      </w:r>
      <w:r w:rsidRPr="005A48E7">
        <w:rPr>
          <w:sz w:val="20"/>
          <w:szCs w:val="20"/>
        </w:rPr>
        <w:t>. Basingstoke: Palgrave Macmillan.</w:t>
      </w:r>
    </w:p>
    <w:p w14:paraId="5B912C6F"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Hyde, J. (2014). </w:t>
      </w:r>
      <w:r w:rsidRPr="005A48E7">
        <w:rPr>
          <w:i/>
          <w:iCs/>
          <w:sz w:val="20"/>
          <w:szCs w:val="20"/>
        </w:rPr>
        <w:t>The Law Society Gazette</w:t>
      </w:r>
      <w:r w:rsidRPr="005A48E7">
        <w:rPr>
          <w:sz w:val="20"/>
          <w:szCs w:val="20"/>
        </w:rPr>
        <w:t>. [online] Lawgazette.co.uk. Available at: https://www.lawgazette.co.uk/ [Accessed 24 Feb. 2019].</w:t>
      </w:r>
    </w:p>
    <w:p w14:paraId="6B62845D"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proofErr w:type="spellStart"/>
      <w:r w:rsidRPr="005A48E7">
        <w:rPr>
          <w:sz w:val="20"/>
          <w:szCs w:val="20"/>
        </w:rPr>
        <w:t>Iyiola</w:t>
      </w:r>
      <w:proofErr w:type="spellEnd"/>
      <w:r w:rsidRPr="005A48E7">
        <w:rPr>
          <w:sz w:val="20"/>
          <w:szCs w:val="20"/>
        </w:rPr>
        <w:t xml:space="preserve"> </w:t>
      </w:r>
      <w:proofErr w:type="spellStart"/>
      <w:r w:rsidRPr="005A48E7">
        <w:rPr>
          <w:sz w:val="20"/>
          <w:szCs w:val="20"/>
        </w:rPr>
        <w:t>Solanke</w:t>
      </w:r>
      <w:proofErr w:type="spellEnd"/>
      <w:r w:rsidRPr="005A48E7">
        <w:rPr>
          <w:sz w:val="20"/>
          <w:szCs w:val="20"/>
        </w:rPr>
        <w:t xml:space="preserve"> (2015). </w:t>
      </w:r>
      <w:r w:rsidRPr="005A48E7">
        <w:rPr>
          <w:i/>
          <w:iCs/>
          <w:sz w:val="20"/>
          <w:szCs w:val="20"/>
        </w:rPr>
        <w:t>Exploring EU law</w:t>
      </w:r>
      <w:r w:rsidRPr="005A48E7">
        <w:rPr>
          <w:sz w:val="20"/>
          <w:szCs w:val="20"/>
        </w:rPr>
        <w:t>. Harlow, United Kingdom: Pearson Education Limited.</w:t>
      </w:r>
    </w:p>
    <w:p w14:paraId="3D7CE3D7"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Judgment. (1931). </w:t>
      </w:r>
      <w:r w:rsidRPr="005A48E7">
        <w:rPr>
          <w:i/>
          <w:iCs/>
          <w:sz w:val="20"/>
          <w:szCs w:val="20"/>
        </w:rPr>
        <w:t>The Cambridge Law Journal</w:t>
      </w:r>
      <w:r w:rsidRPr="005A48E7">
        <w:rPr>
          <w:sz w:val="20"/>
          <w:szCs w:val="20"/>
        </w:rPr>
        <w:t>, 4(2), pp.135–145.</w:t>
      </w:r>
    </w:p>
    <w:p w14:paraId="7B3D72EA"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Kennedy, T. (1998). </w:t>
      </w:r>
      <w:r w:rsidRPr="005A48E7">
        <w:rPr>
          <w:i/>
          <w:iCs/>
          <w:sz w:val="20"/>
          <w:szCs w:val="20"/>
        </w:rPr>
        <w:t xml:space="preserve">Learning European </w:t>
      </w:r>
      <w:proofErr w:type="gramStart"/>
      <w:r w:rsidRPr="005A48E7">
        <w:rPr>
          <w:i/>
          <w:iCs/>
          <w:sz w:val="20"/>
          <w:szCs w:val="20"/>
        </w:rPr>
        <w:t>law :</w:t>
      </w:r>
      <w:proofErr w:type="gramEnd"/>
      <w:r w:rsidRPr="005A48E7">
        <w:rPr>
          <w:i/>
          <w:iCs/>
          <w:sz w:val="20"/>
          <w:szCs w:val="20"/>
        </w:rPr>
        <w:t xml:space="preserve"> a primer and vade-mecum</w:t>
      </w:r>
      <w:r w:rsidRPr="005A48E7">
        <w:rPr>
          <w:sz w:val="20"/>
          <w:szCs w:val="20"/>
        </w:rPr>
        <w:t>. London: Sweet &amp; Maxwell.</w:t>
      </w:r>
    </w:p>
    <w:p w14:paraId="7F6E639B"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Kent, P. (2008). </w:t>
      </w:r>
      <w:r w:rsidRPr="005A48E7">
        <w:rPr>
          <w:i/>
          <w:iCs/>
          <w:sz w:val="20"/>
          <w:szCs w:val="20"/>
        </w:rPr>
        <w:t>Law of the European Union</w:t>
      </w:r>
      <w:r w:rsidRPr="005A48E7">
        <w:rPr>
          <w:sz w:val="20"/>
          <w:szCs w:val="20"/>
        </w:rPr>
        <w:t xml:space="preserve">. Harlow, </w:t>
      </w:r>
      <w:proofErr w:type="gramStart"/>
      <w:r w:rsidRPr="005A48E7">
        <w:rPr>
          <w:sz w:val="20"/>
          <w:szCs w:val="20"/>
        </w:rPr>
        <w:t>England ;</w:t>
      </w:r>
      <w:proofErr w:type="gramEnd"/>
      <w:r w:rsidRPr="005A48E7">
        <w:rPr>
          <w:sz w:val="20"/>
          <w:szCs w:val="20"/>
        </w:rPr>
        <w:t xml:space="preserve"> New York: Pearson Longman.</w:t>
      </w:r>
    </w:p>
    <w:p w14:paraId="48F02107"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lastRenderedPageBreak/>
        <w:t xml:space="preserve">Reviews. (2001). </w:t>
      </w:r>
      <w:r w:rsidRPr="005A48E7">
        <w:rPr>
          <w:i/>
          <w:iCs/>
          <w:sz w:val="20"/>
          <w:szCs w:val="20"/>
        </w:rPr>
        <w:t>The Modern Law Review</w:t>
      </w:r>
      <w:r w:rsidRPr="005A48E7">
        <w:rPr>
          <w:sz w:val="20"/>
          <w:szCs w:val="20"/>
        </w:rPr>
        <w:t>, 64(3), pp.512–518.</w:t>
      </w:r>
    </w:p>
    <w:p w14:paraId="3F2FDCCA"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proofErr w:type="spellStart"/>
      <w:r w:rsidRPr="005A48E7">
        <w:rPr>
          <w:sz w:val="20"/>
          <w:szCs w:val="20"/>
        </w:rPr>
        <w:t>Sammlung</w:t>
      </w:r>
      <w:proofErr w:type="spellEnd"/>
      <w:r w:rsidRPr="005A48E7">
        <w:rPr>
          <w:sz w:val="20"/>
          <w:szCs w:val="20"/>
        </w:rPr>
        <w:t xml:space="preserve"> Emil G. </w:t>
      </w:r>
      <w:proofErr w:type="spellStart"/>
      <w:proofErr w:type="gramStart"/>
      <w:r w:rsidRPr="005A48E7">
        <w:rPr>
          <w:sz w:val="20"/>
          <w:szCs w:val="20"/>
        </w:rPr>
        <w:t>Bührle</w:t>
      </w:r>
      <w:proofErr w:type="spellEnd"/>
      <w:r w:rsidRPr="005A48E7">
        <w:rPr>
          <w:sz w:val="20"/>
          <w:szCs w:val="20"/>
        </w:rPr>
        <w:t xml:space="preserve"> :</w:t>
      </w:r>
      <w:proofErr w:type="gramEnd"/>
      <w:r w:rsidRPr="005A48E7">
        <w:rPr>
          <w:sz w:val="20"/>
          <w:szCs w:val="20"/>
        </w:rPr>
        <w:t xml:space="preserve"> Festschrift </w:t>
      </w:r>
      <w:proofErr w:type="spellStart"/>
      <w:r w:rsidRPr="005A48E7">
        <w:rPr>
          <w:sz w:val="20"/>
          <w:szCs w:val="20"/>
        </w:rPr>
        <w:t>zu</w:t>
      </w:r>
      <w:proofErr w:type="spellEnd"/>
      <w:r w:rsidRPr="005A48E7">
        <w:rPr>
          <w:sz w:val="20"/>
          <w:szCs w:val="20"/>
        </w:rPr>
        <w:t xml:space="preserve"> </w:t>
      </w:r>
      <w:proofErr w:type="spellStart"/>
      <w:r w:rsidRPr="005A48E7">
        <w:rPr>
          <w:sz w:val="20"/>
          <w:szCs w:val="20"/>
        </w:rPr>
        <w:t>Ehren</w:t>
      </w:r>
      <w:proofErr w:type="spellEnd"/>
      <w:r w:rsidRPr="005A48E7">
        <w:rPr>
          <w:sz w:val="20"/>
          <w:szCs w:val="20"/>
        </w:rPr>
        <w:t xml:space="preserve"> von Emil G. </w:t>
      </w:r>
      <w:proofErr w:type="spellStart"/>
      <w:r w:rsidRPr="005A48E7">
        <w:rPr>
          <w:sz w:val="20"/>
          <w:szCs w:val="20"/>
        </w:rPr>
        <w:t>Bührle</w:t>
      </w:r>
      <w:proofErr w:type="spellEnd"/>
      <w:r w:rsidRPr="005A48E7">
        <w:rPr>
          <w:sz w:val="20"/>
          <w:szCs w:val="20"/>
        </w:rPr>
        <w:t xml:space="preserve"> </w:t>
      </w:r>
      <w:proofErr w:type="spellStart"/>
      <w:r w:rsidRPr="005A48E7">
        <w:rPr>
          <w:sz w:val="20"/>
          <w:szCs w:val="20"/>
        </w:rPr>
        <w:t>zur</w:t>
      </w:r>
      <w:proofErr w:type="spellEnd"/>
      <w:r w:rsidRPr="005A48E7">
        <w:rPr>
          <w:sz w:val="20"/>
          <w:szCs w:val="20"/>
        </w:rPr>
        <w:t xml:space="preserve"> </w:t>
      </w:r>
      <w:proofErr w:type="spellStart"/>
      <w:r w:rsidRPr="005A48E7">
        <w:rPr>
          <w:sz w:val="20"/>
          <w:szCs w:val="20"/>
        </w:rPr>
        <w:t>Eröffnung</w:t>
      </w:r>
      <w:proofErr w:type="spellEnd"/>
      <w:r w:rsidRPr="005A48E7">
        <w:rPr>
          <w:sz w:val="20"/>
          <w:szCs w:val="20"/>
        </w:rPr>
        <w:t xml:space="preserve"> des </w:t>
      </w:r>
      <w:proofErr w:type="spellStart"/>
      <w:r w:rsidRPr="005A48E7">
        <w:rPr>
          <w:sz w:val="20"/>
          <w:szCs w:val="20"/>
        </w:rPr>
        <w:t>Kunsthaus-Neubaus</w:t>
      </w:r>
      <w:proofErr w:type="spellEnd"/>
      <w:r w:rsidRPr="005A48E7">
        <w:rPr>
          <w:sz w:val="20"/>
          <w:szCs w:val="20"/>
        </w:rPr>
        <w:t xml:space="preserve"> und </w:t>
      </w:r>
      <w:proofErr w:type="spellStart"/>
      <w:r w:rsidRPr="005A48E7">
        <w:rPr>
          <w:sz w:val="20"/>
          <w:szCs w:val="20"/>
        </w:rPr>
        <w:t>Katalog</w:t>
      </w:r>
      <w:proofErr w:type="spellEnd"/>
      <w:r w:rsidRPr="005A48E7">
        <w:rPr>
          <w:sz w:val="20"/>
          <w:szCs w:val="20"/>
        </w:rPr>
        <w:t xml:space="preserve"> der </w:t>
      </w:r>
      <w:proofErr w:type="spellStart"/>
      <w:r w:rsidRPr="005A48E7">
        <w:rPr>
          <w:sz w:val="20"/>
          <w:szCs w:val="20"/>
        </w:rPr>
        <w:t>Sammlung</w:t>
      </w:r>
      <w:proofErr w:type="spellEnd"/>
      <w:r w:rsidRPr="005A48E7">
        <w:rPr>
          <w:sz w:val="20"/>
          <w:szCs w:val="20"/>
        </w:rPr>
        <w:t xml:space="preserve"> Emil G. </w:t>
      </w:r>
      <w:proofErr w:type="spellStart"/>
      <w:r w:rsidRPr="005A48E7">
        <w:rPr>
          <w:sz w:val="20"/>
          <w:szCs w:val="20"/>
        </w:rPr>
        <w:t>Bührle</w:t>
      </w:r>
      <w:proofErr w:type="spellEnd"/>
      <w:r w:rsidRPr="005A48E7">
        <w:rPr>
          <w:sz w:val="20"/>
          <w:szCs w:val="20"/>
        </w:rPr>
        <w:t xml:space="preserve"> : </w:t>
      </w:r>
      <w:proofErr w:type="spellStart"/>
      <w:r w:rsidRPr="005A48E7">
        <w:rPr>
          <w:sz w:val="20"/>
          <w:szCs w:val="20"/>
        </w:rPr>
        <w:t>Kunsthaus</w:t>
      </w:r>
      <w:proofErr w:type="spellEnd"/>
      <w:r w:rsidRPr="005A48E7">
        <w:rPr>
          <w:sz w:val="20"/>
          <w:szCs w:val="20"/>
        </w:rPr>
        <w:t xml:space="preserve">, </w:t>
      </w:r>
      <w:proofErr w:type="spellStart"/>
      <w:r w:rsidRPr="005A48E7">
        <w:rPr>
          <w:sz w:val="20"/>
          <w:szCs w:val="20"/>
        </w:rPr>
        <w:t>Zürich</w:t>
      </w:r>
      <w:proofErr w:type="spellEnd"/>
      <w:r w:rsidRPr="005A48E7">
        <w:rPr>
          <w:sz w:val="20"/>
          <w:szCs w:val="20"/>
        </w:rPr>
        <w:t xml:space="preserve">, 7. </w:t>
      </w:r>
      <w:proofErr w:type="spellStart"/>
      <w:r w:rsidRPr="005A48E7">
        <w:rPr>
          <w:sz w:val="20"/>
          <w:szCs w:val="20"/>
        </w:rPr>
        <w:t>Juni</w:t>
      </w:r>
      <w:proofErr w:type="spellEnd"/>
      <w:r w:rsidRPr="005A48E7">
        <w:rPr>
          <w:sz w:val="20"/>
          <w:szCs w:val="20"/>
        </w:rPr>
        <w:t xml:space="preserve"> - Ende September 1958. (1958). Lieu De Publication Non </w:t>
      </w:r>
      <w:proofErr w:type="spellStart"/>
      <w:r w:rsidRPr="005A48E7">
        <w:rPr>
          <w:sz w:val="20"/>
          <w:szCs w:val="20"/>
        </w:rPr>
        <w:t>Identifie</w:t>
      </w:r>
      <w:proofErr w:type="spellEnd"/>
      <w:r w:rsidRPr="005A48E7">
        <w:rPr>
          <w:sz w:val="20"/>
          <w:szCs w:val="20"/>
        </w:rPr>
        <w:t xml:space="preserve">́: </w:t>
      </w:r>
      <w:proofErr w:type="spellStart"/>
      <w:r w:rsidRPr="005A48E7">
        <w:rPr>
          <w:sz w:val="20"/>
          <w:szCs w:val="20"/>
        </w:rPr>
        <w:t>Éditeur</w:t>
      </w:r>
      <w:proofErr w:type="spellEnd"/>
      <w:r w:rsidRPr="005A48E7">
        <w:rPr>
          <w:sz w:val="20"/>
          <w:szCs w:val="20"/>
        </w:rPr>
        <w:t xml:space="preserve"> Non </w:t>
      </w:r>
      <w:proofErr w:type="spellStart"/>
      <w:r w:rsidRPr="005A48E7">
        <w:rPr>
          <w:sz w:val="20"/>
          <w:szCs w:val="20"/>
        </w:rPr>
        <w:t>Identifie</w:t>
      </w:r>
      <w:proofErr w:type="spellEnd"/>
      <w:r w:rsidRPr="005A48E7">
        <w:rPr>
          <w:sz w:val="20"/>
          <w:szCs w:val="20"/>
        </w:rPr>
        <w:t>́.</w:t>
      </w:r>
    </w:p>
    <w:p w14:paraId="2A3603A8"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proofErr w:type="spellStart"/>
      <w:r w:rsidRPr="005A48E7">
        <w:rPr>
          <w:sz w:val="20"/>
          <w:szCs w:val="20"/>
        </w:rPr>
        <w:t>SchützeR</w:t>
      </w:r>
      <w:proofErr w:type="spellEnd"/>
      <w:r w:rsidRPr="005A48E7">
        <w:rPr>
          <w:sz w:val="20"/>
          <w:szCs w:val="20"/>
        </w:rPr>
        <w:t xml:space="preserve">. (2017). </w:t>
      </w:r>
      <w:r w:rsidRPr="005A48E7">
        <w:rPr>
          <w:i/>
          <w:iCs/>
          <w:sz w:val="20"/>
          <w:szCs w:val="20"/>
        </w:rPr>
        <w:t>An introduction to European law</w:t>
      </w:r>
      <w:r w:rsidRPr="005A48E7">
        <w:rPr>
          <w:sz w:val="20"/>
          <w:szCs w:val="20"/>
        </w:rPr>
        <w:t>. Cambridge, United Kingdom: Cambridge University Press.</w:t>
      </w:r>
    </w:p>
    <w:p w14:paraId="75370870"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proofErr w:type="spellStart"/>
      <w:r w:rsidRPr="005A48E7">
        <w:rPr>
          <w:sz w:val="20"/>
          <w:szCs w:val="20"/>
        </w:rPr>
        <w:t>Szyszczak</w:t>
      </w:r>
      <w:proofErr w:type="spellEnd"/>
      <w:r w:rsidRPr="005A48E7">
        <w:rPr>
          <w:sz w:val="20"/>
          <w:szCs w:val="20"/>
        </w:rPr>
        <w:t xml:space="preserve">, E.M. and Adam Jan </w:t>
      </w:r>
      <w:proofErr w:type="spellStart"/>
      <w:r w:rsidRPr="005A48E7">
        <w:rPr>
          <w:sz w:val="20"/>
          <w:szCs w:val="20"/>
        </w:rPr>
        <w:t>Cygan</w:t>
      </w:r>
      <w:proofErr w:type="spellEnd"/>
      <w:r w:rsidRPr="005A48E7">
        <w:rPr>
          <w:sz w:val="20"/>
          <w:szCs w:val="20"/>
        </w:rPr>
        <w:t xml:space="preserve"> (2005). </w:t>
      </w:r>
      <w:r w:rsidRPr="005A48E7">
        <w:rPr>
          <w:i/>
          <w:iCs/>
          <w:sz w:val="20"/>
          <w:szCs w:val="20"/>
        </w:rPr>
        <w:t>Understanding EU law</w:t>
      </w:r>
      <w:r w:rsidRPr="005A48E7">
        <w:rPr>
          <w:sz w:val="20"/>
          <w:szCs w:val="20"/>
        </w:rPr>
        <w:t xml:space="preserve">. London: Sweet </w:t>
      </w:r>
      <w:proofErr w:type="gramStart"/>
      <w:r w:rsidRPr="005A48E7">
        <w:rPr>
          <w:sz w:val="20"/>
          <w:szCs w:val="20"/>
        </w:rPr>
        <w:t>And</w:t>
      </w:r>
      <w:proofErr w:type="gramEnd"/>
      <w:r w:rsidRPr="005A48E7">
        <w:rPr>
          <w:sz w:val="20"/>
          <w:szCs w:val="20"/>
        </w:rPr>
        <w:t xml:space="preserve"> Maxwell.</w:t>
      </w:r>
    </w:p>
    <w:p w14:paraId="5B4BAAAB"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Takis </w:t>
      </w:r>
      <w:proofErr w:type="spellStart"/>
      <w:r w:rsidRPr="005A48E7">
        <w:rPr>
          <w:sz w:val="20"/>
          <w:szCs w:val="20"/>
        </w:rPr>
        <w:t>Tridimas</w:t>
      </w:r>
      <w:proofErr w:type="spellEnd"/>
      <w:r w:rsidRPr="005A48E7">
        <w:rPr>
          <w:sz w:val="20"/>
          <w:szCs w:val="20"/>
        </w:rPr>
        <w:t xml:space="preserve"> (2007). </w:t>
      </w:r>
      <w:r w:rsidRPr="005A48E7">
        <w:rPr>
          <w:i/>
          <w:iCs/>
          <w:sz w:val="20"/>
          <w:szCs w:val="20"/>
        </w:rPr>
        <w:t>The general principles of EU law</w:t>
      </w:r>
      <w:r w:rsidRPr="005A48E7">
        <w:rPr>
          <w:sz w:val="20"/>
          <w:szCs w:val="20"/>
        </w:rPr>
        <w:t>. Oxford: Oxford University Press.</w:t>
      </w:r>
    </w:p>
    <w:p w14:paraId="00DF573D"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Tillotson, J. and Foster, N. (2003). </w:t>
      </w:r>
      <w:r w:rsidRPr="005A48E7">
        <w:rPr>
          <w:i/>
          <w:iCs/>
          <w:sz w:val="20"/>
          <w:szCs w:val="20"/>
        </w:rPr>
        <w:t>Texts, cases and materials on European Union law</w:t>
      </w:r>
      <w:r w:rsidRPr="005A48E7">
        <w:rPr>
          <w:sz w:val="20"/>
          <w:szCs w:val="20"/>
        </w:rPr>
        <w:t>. London: Cavendish Publishing Ltd.</w:t>
      </w:r>
    </w:p>
    <w:p w14:paraId="13226EF8"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r w:rsidRPr="005A48E7">
        <w:rPr>
          <w:sz w:val="20"/>
          <w:szCs w:val="20"/>
        </w:rPr>
        <w:t xml:space="preserve">Ward, I. (2009). </w:t>
      </w:r>
      <w:r w:rsidRPr="005A48E7">
        <w:rPr>
          <w:i/>
          <w:iCs/>
          <w:sz w:val="20"/>
          <w:szCs w:val="20"/>
        </w:rPr>
        <w:t>A critical introduction to European law</w:t>
      </w:r>
      <w:r w:rsidRPr="005A48E7">
        <w:rPr>
          <w:sz w:val="20"/>
          <w:szCs w:val="20"/>
        </w:rPr>
        <w:t>. Cambridge: Cambridge University Press.</w:t>
      </w:r>
    </w:p>
    <w:p w14:paraId="2B07CF3A" w14:textId="77777777" w:rsidR="005A48E7" w:rsidRPr="005A48E7" w:rsidRDefault="005A48E7" w:rsidP="005A48E7">
      <w:pPr>
        <w:pStyle w:val="NormalWeb"/>
        <w:numPr>
          <w:ilvl w:val="0"/>
          <w:numId w:val="1"/>
        </w:numPr>
        <w:spacing w:before="0" w:beforeAutospacing="0" w:after="240" w:afterAutospacing="0" w:line="360" w:lineRule="auto"/>
        <w:rPr>
          <w:sz w:val="20"/>
          <w:szCs w:val="20"/>
        </w:rPr>
      </w:pPr>
      <w:proofErr w:type="spellStart"/>
      <w:r w:rsidRPr="005A48E7">
        <w:rPr>
          <w:sz w:val="20"/>
          <w:szCs w:val="20"/>
        </w:rPr>
        <w:t>Warleigh</w:t>
      </w:r>
      <w:proofErr w:type="spellEnd"/>
      <w:r w:rsidRPr="005A48E7">
        <w:rPr>
          <w:sz w:val="20"/>
          <w:szCs w:val="20"/>
        </w:rPr>
        <w:t xml:space="preserve">, A. (2003). </w:t>
      </w:r>
      <w:r w:rsidRPr="005A48E7">
        <w:rPr>
          <w:i/>
          <w:iCs/>
          <w:sz w:val="20"/>
          <w:szCs w:val="20"/>
        </w:rPr>
        <w:t xml:space="preserve">Democracy and the European </w:t>
      </w:r>
      <w:proofErr w:type="gramStart"/>
      <w:r w:rsidRPr="005A48E7">
        <w:rPr>
          <w:i/>
          <w:iCs/>
          <w:sz w:val="20"/>
          <w:szCs w:val="20"/>
        </w:rPr>
        <w:t>Union :</w:t>
      </w:r>
      <w:proofErr w:type="gramEnd"/>
      <w:r w:rsidRPr="005A48E7">
        <w:rPr>
          <w:i/>
          <w:iCs/>
          <w:sz w:val="20"/>
          <w:szCs w:val="20"/>
        </w:rPr>
        <w:t xml:space="preserve"> theory, practice, and reform</w:t>
      </w:r>
      <w:r w:rsidRPr="005A48E7">
        <w:rPr>
          <w:sz w:val="20"/>
          <w:szCs w:val="20"/>
        </w:rPr>
        <w:t xml:space="preserve">. </w:t>
      </w:r>
      <w:proofErr w:type="gramStart"/>
      <w:r w:rsidRPr="005A48E7">
        <w:rPr>
          <w:sz w:val="20"/>
          <w:szCs w:val="20"/>
        </w:rPr>
        <w:t>London ;</w:t>
      </w:r>
      <w:proofErr w:type="gramEnd"/>
      <w:r w:rsidRPr="005A48E7">
        <w:rPr>
          <w:sz w:val="20"/>
          <w:szCs w:val="20"/>
        </w:rPr>
        <w:t xml:space="preserve"> Thousand Oaks, Calif.: Sage.</w:t>
      </w:r>
    </w:p>
    <w:p w14:paraId="2B6705F9" w14:textId="77777777" w:rsidR="005A48E7" w:rsidRDefault="005A48E7" w:rsidP="00B9500B"/>
    <w:sectPr w:rsidR="005A4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75770"/>
    <w:multiLevelType w:val="hybridMultilevel"/>
    <w:tmpl w:val="7BB0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022"/>
    <w:rsid w:val="0009112E"/>
    <w:rsid w:val="002C3022"/>
    <w:rsid w:val="00342663"/>
    <w:rsid w:val="00476437"/>
    <w:rsid w:val="004B7073"/>
    <w:rsid w:val="00544181"/>
    <w:rsid w:val="00556EDA"/>
    <w:rsid w:val="005A48E7"/>
    <w:rsid w:val="00666727"/>
    <w:rsid w:val="00686264"/>
    <w:rsid w:val="00713405"/>
    <w:rsid w:val="00B9500B"/>
    <w:rsid w:val="00EC701E"/>
    <w:rsid w:val="00F01136"/>
    <w:rsid w:val="00F05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AFF3"/>
  <w15:chartTrackingRefBased/>
  <w15:docId w15:val="{99751A9B-A6AC-421A-8611-14FA6998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43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48E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851">
      <w:bodyDiv w:val="1"/>
      <w:marLeft w:val="0"/>
      <w:marRight w:val="0"/>
      <w:marTop w:val="0"/>
      <w:marBottom w:val="0"/>
      <w:divBdr>
        <w:top w:val="none" w:sz="0" w:space="0" w:color="auto"/>
        <w:left w:val="none" w:sz="0" w:space="0" w:color="auto"/>
        <w:bottom w:val="none" w:sz="0" w:space="0" w:color="auto"/>
        <w:right w:val="none" w:sz="0" w:space="0" w:color="auto"/>
      </w:divBdr>
    </w:div>
    <w:div w:id="2077824877">
      <w:bodyDiv w:val="1"/>
      <w:marLeft w:val="0"/>
      <w:marRight w:val="0"/>
      <w:marTop w:val="0"/>
      <w:marBottom w:val="0"/>
      <w:divBdr>
        <w:top w:val="none" w:sz="0" w:space="0" w:color="auto"/>
        <w:left w:val="none" w:sz="0" w:space="0" w:color="auto"/>
        <w:bottom w:val="none" w:sz="0" w:space="0" w:color="auto"/>
        <w:right w:val="none" w:sz="0" w:space="0" w:color="auto"/>
      </w:divBdr>
      <w:divsChild>
        <w:div w:id="1564219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2408</Words>
  <Characters>13728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Ivanova (2022864)</dc:creator>
  <cp:keywords/>
  <dc:description/>
  <cp:lastModifiedBy>Yordanka Ivanova (2022864)</cp:lastModifiedBy>
  <cp:revision>2</cp:revision>
  <dcterms:created xsi:type="dcterms:W3CDTF">2022-03-04T16:46:00Z</dcterms:created>
  <dcterms:modified xsi:type="dcterms:W3CDTF">2022-03-04T18:37:00Z</dcterms:modified>
</cp:coreProperties>
</file>