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5A453747" w:rsidRDefault="00012B16">
      <w:bookmarkStart w:id="0" w:name="_GoBack"/>
      <w:bookmarkEnd w:id="0"/>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F927A1" w:rsidRPr="005D3F07" w:rsidTr="000D2888">
        <w:trPr>
          <w:trHeight w:val="3937"/>
        </w:trPr>
        <w:tc>
          <w:tcPr>
            <w:tcW w:w="10890"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D2888">
              <w:rPr>
                <w:rFonts w:ascii="Times New Roman" w:hAnsi="Times New Roman" w:cs="Times New Roman"/>
                <w:b/>
                <w:color w:val="auto"/>
                <w:sz w:val="48"/>
              </w:rPr>
              <w:t>Lara Lewis</w:t>
            </w:r>
          </w:p>
          <w:p w:rsidR="009C337F" w:rsidRDefault="009C337F" w:rsidP="005D3F07">
            <w:pPr>
              <w:overflowPunct/>
              <w:autoSpaceDE/>
              <w:autoSpaceDN/>
              <w:adjustRightInd/>
              <w:ind w:right="-957"/>
              <w:textAlignment w:val="auto"/>
              <w:rPr>
                <w:rFonts w:ascii="Times New Roman" w:hAnsi="Times New Roman" w:cs="Times New Roman"/>
                <w:b/>
                <w:color w:val="auto"/>
                <w:sz w:val="48"/>
              </w:rPr>
            </w:pPr>
          </w:p>
          <w:p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D2888">
              <w:rPr>
                <w:rFonts w:ascii="Times New Roman" w:hAnsi="Times New Roman" w:cs="Times New Roman"/>
                <w:b/>
                <w:color w:val="auto"/>
                <w:sz w:val="48"/>
              </w:rPr>
              <w:t xml:space="preserve"> l.lewis12@npt.gov.uk</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D2888">
              <w:rPr>
                <w:rFonts w:ascii="Times New Roman" w:hAnsi="Times New Roman" w:cs="Times New Roman"/>
                <w:b/>
                <w:color w:val="auto"/>
                <w:sz w:val="48"/>
              </w:rPr>
              <w:t xml:space="preserve"> 1603050</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E559CE" w:rsidRDefault="00E83F91" w:rsidP="005B3A2D">
      <w:pPr>
        <w:jc w:val="center"/>
        <w:rPr>
          <w:b/>
          <w:sz w:val="24"/>
          <w:szCs w:val="24"/>
        </w:rPr>
      </w:pPr>
      <w:r>
        <w:rPr>
          <w:b/>
          <w:sz w:val="24"/>
          <w:szCs w:val="24"/>
        </w:rPr>
        <w:br w:type="page"/>
      </w:r>
    </w:p>
    <w:p w:rsidR="00151DA6" w:rsidRDefault="00151DA6" w:rsidP="002A1A44">
      <w:pPr>
        <w:keepNext/>
        <w:spacing w:before="240" w:after="60"/>
        <w:jc w:val="both"/>
        <w:rPr>
          <w:b/>
          <w:sz w:val="28"/>
          <w:szCs w:val="28"/>
        </w:rPr>
      </w:pPr>
      <w:r>
        <w:rPr>
          <w:b/>
          <w:sz w:val="28"/>
          <w:szCs w:val="28"/>
        </w:rPr>
        <w:lastRenderedPageBreak/>
        <w:t>Reference List</w:t>
      </w:r>
    </w:p>
    <w:p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rsidR="00EB695F" w:rsidRDefault="00EB695F" w:rsidP="00FF7EBB">
      <w:pPr>
        <w:jc w:val="both"/>
        <w:rPr>
          <w:sz w:val="24"/>
          <w:szCs w:val="24"/>
        </w:rPr>
      </w:pPr>
    </w:p>
    <w:p w:rsidR="00EB695F" w:rsidRDefault="00EB695F" w:rsidP="00FF7EBB">
      <w:pPr>
        <w:jc w:val="both"/>
        <w:rPr>
          <w:sz w:val="24"/>
          <w:szCs w:val="24"/>
        </w:rPr>
      </w:pPr>
    </w:p>
    <w:p w:rsidR="000D2888" w:rsidRPr="000D2888" w:rsidRDefault="000D2888" w:rsidP="000D2888">
      <w:pPr>
        <w:pStyle w:val="NormalWeb"/>
        <w:ind w:left="720"/>
        <w:rPr>
          <w:rFonts w:ascii="Arial" w:hAnsi="Arial" w:cs="Arial"/>
        </w:rPr>
      </w:pP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 xml:space="preserve">A guide to multi-agency working to help, protect and promote the welfare  of children </w:t>
      </w:r>
      <w:r w:rsidRPr="000D2888">
        <w:rPr>
          <w:rFonts w:ascii="Arial" w:hAnsi="Arial" w:cs="Arial"/>
        </w:rPr>
        <w:t xml:space="preserve">(2023) </w:t>
      </w:r>
      <w:r w:rsidRPr="000D2888">
        <w:rPr>
          <w:rFonts w:ascii="Arial" w:hAnsi="Arial" w:cs="Arial"/>
          <w:i/>
          <w:iCs/>
        </w:rPr>
        <w:t xml:space="preserve">Working Together to  Safeguard Children 2023 </w:t>
      </w:r>
      <w:r w:rsidRPr="000D2888">
        <w:rPr>
          <w:rFonts w:ascii="Arial" w:hAnsi="Arial" w:cs="Arial"/>
        </w:rPr>
        <w:t xml:space="preserve">. Available at: https://assets.publishing.service.gov.uk/media/65803fe31c0c2a000d18cf40/Working_together_to_safeguard_children_2023_-_statutory_guidance.pdf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 xml:space="preserve">A guide to multi-agency working to help, protect and promote the welfare  of children </w:t>
      </w:r>
      <w:r w:rsidRPr="000D2888">
        <w:rPr>
          <w:rFonts w:ascii="Arial" w:hAnsi="Arial" w:cs="Arial"/>
        </w:rPr>
        <w:t xml:space="preserve">(2023) </w:t>
      </w:r>
      <w:r w:rsidRPr="000D2888">
        <w:rPr>
          <w:rFonts w:ascii="Arial" w:hAnsi="Arial" w:cs="Arial"/>
          <w:i/>
          <w:iCs/>
        </w:rPr>
        <w:t xml:space="preserve">Working Together to  Safeguard Children 2023 </w:t>
      </w:r>
      <w:r w:rsidRPr="000D2888">
        <w:rPr>
          <w:rFonts w:ascii="Arial" w:hAnsi="Arial" w:cs="Arial"/>
        </w:rPr>
        <w:t xml:space="preserve">. Available at: https://assets.publishing.service.gov.uk/media/65803fe31c0c2a000d18cf40/Working_together_to_safeguard_children_2023_-_statutory_guidance.pdf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rPr>
        <w:t xml:space="preserve">Adams, R. (2017) </w:t>
      </w:r>
      <w:r w:rsidRPr="000D2888">
        <w:rPr>
          <w:rFonts w:ascii="Arial" w:hAnsi="Arial" w:cs="Arial"/>
          <w:i/>
          <w:iCs/>
        </w:rPr>
        <w:t>Empowerment, participation, and Social Work</w:t>
      </w:r>
      <w:r w:rsidRPr="000D2888">
        <w:rPr>
          <w:rFonts w:ascii="Arial" w:hAnsi="Arial" w:cs="Arial"/>
        </w:rPr>
        <w:t xml:space="preserve">. 4th edn. Bloomsbury Publishing.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Adverse Childhood Experiences (ACEs) and Attachment</w:t>
      </w:r>
      <w:r w:rsidRPr="000D2888">
        <w:rPr>
          <w:rFonts w:ascii="Arial" w:hAnsi="Arial" w:cs="Arial"/>
        </w:rPr>
        <w:t xml:space="preserve"> (no date) </w:t>
      </w:r>
      <w:r w:rsidRPr="000D2888">
        <w:rPr>
          <w:rFonts w:ascii="Arial" w:hAnsi="Arial" w:cs="Arial"/>
          <w:i/>
          <w:iCs/>
        </w:rPr>
        <w:t>NHS choices</w:t>
      </w:r>
      <w:r w:rsidRPr="000D2888">
        <w:rPr>
          <w:rFonts w:ascii="Arial" w:hAnsi="Arial" w:cs="Arial"/>
        </w:rPr>
        <w:t xml:space="preserve">. Available at: https://mft.nhs.uk/rmch/services/camhs/young-people/adverse-childhood-experiences-aces-and-attachment/ (Accessed: 04 February 2024). </w:t>
      </w:r>
    </w:p>
    <w:p w:rsidR="000D2888" w:rsidRPr="000D2888" w:rsidRDefault="000D2888" w:rsidP="000D2888">
      <w:pPr>
        <w:pStyle w:val="ListParagraph"/>
        <w:numPr>
          <w:ilvl w:val="0"/>
          <w:numId w:val="55"/>
        </w:numPr>
        <w:spacing w:line="360" w:lineRule="auto"/>
        <w:rPr>
          <w:rFonts w:ascii="Arial" w:hAnsi="Arial" w:cs="Arial"/>
        </w:rPr>
      </w:pPr>
      <w:r w:rsidRPr="000D2888">
        <w:rPr>
          <w:rFonts w:ascii="Arial" w:hAnsi="Arial" w:cs="Arial"/>
          <w:sz w:val="24"/>
          <w:szCs w:val="24"/>
        </w:rPr>
        <w:t xml:space="preserve">Andrews N., Calder G., Blanluet N. and Baker R. (2023) </w:t>
      </w:r>
      <w:r w:rsidRPr="000D2888">
        <w:rPr>
          <w:rFonts w:ascii="Arial" w:hAnsi="Arial" w:cs="Arial"/>
          <w:i/>
          <w:sz w:val="24"/>
          <w:szCs w:val="24"/>
        </w:rPr>
        <w:t xml:space="preserve">Co-production: Research to support the Final Report of the Evaluation of the Social Services and Well-being (Wales) Act 2014. </w:t>
      </w:r>
      <w:r w:rsidRPr="000D2888">
        <w:rPr>
          <w:rFonts w:ascii="Arial" w:hAnsi="Arial" w:cs="Arial"/>
          <w:sz w:val="24"/>
          <w:szCs w:val="24"/>
        </w:rPr>
        <w:t xml:space="preserve">Cardiff. Welsh Government, GSR report number 38/2023. Available at: </w:t>
      </w:r>
      <w:hyperlink r:id="rId11" w:history="1">
        <w:r w:rsidRPr="000D2888">
          <w:rPr>
            <w:rStyle w:val="Hyperlink"/>
            <w:rFonts w:ascii="Arial" w:hAnsi="Arial" w:cs="Arial"/>
            <w:sz w:val="24"/>
            <w:szCs w:val="24"/>
          </w:rPr>
          <w:t>https://www.gov.wales/co-production-research-support-final-report-evaluation-social-services-and-well-being-wales-act-2014</w:t>
        </w:r>
      </w:hyperlink>
      <w:r w:rsidRPr="000D2888">
        <w:rPr>
          <w:rFonts w:ascii="Arial" w:hAnsi="Arial" w:cs="Arial"/>
          <w:sz w:val="24"/>
          <w:szCs w:val="24"/>
        </w:rPr>
        <w:t>.</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lastRenderedPageBreak/>
        <w:t>Assessing care and support needs of individuals: Code of practice</w:t>
      </w:r>
      <w:r w:rsidRPr="000D2888">
        <w:rPr>
          <w:rFonts w:ascii="Arial" w:hAnsi="Arial" w:cs="Arial"/>
        </w:rPr>
        <w:t xml:space="preserve"> (n.d) </w:t>
      </w:r>
      <w:r w:rsidRPr="000D2888">
        <w:rPr>
          <w:rFonts w:ascii="Arial" w:hAnsi="Arial" w:cs="Arial"/>
          <w:i/>
          <w:iCs/>
        </w:rPr>
        <w:t>GOV.WALES</w:t>
      </w:r>
      <w:r w:rsidRPr="000D2888">
        <w:rPr>
          <w:rFonts w:ascii="Arial" w:hAnsi="Arial" w:cs="Arial"/>
        </w:rPr>
        <w:t xml:space="preserve">. Available at: https://www.gov.wales/assessing-care-and-support-needs-individuals-code-practice (Accessed: 04 February 2024). </w:t>
      </w:r>
    </w:p>
    <w:p w:rsidR="000D2888" w:rsidRPr="000D2888" w:rsidRDefault="000D2888" w:rsidP="000D2888">
      <w:pPr>
        <w:pStyle w:val="ListParagraph"/>
        <w:numPr>
          <w:ilvl w:val="0"/>
          <w:numId w:val="55"/>
        </w:numPr>
        <w:spacing w:before="100" w:beforeAutospacing="1" w:after="100" w:afterAutospacing="1" w:line="360" w:lineRule="auto"/>
        <w:rPr>
          <w:rFonts w:ascii="Arial" w:eastAsia="Times New Roman" w:hAnsi="Arial" w:cs="Arial"/>
          <w:sz w:val="24"/>
          <w:szCs w:val="24"/>
          <w:lang w:eastAsia="en-GB"/>
        </w:rPr>
      </w:pPr>
      <w:r w:rsidRPr="000D2888">
        <w:rPr>
          <w:rFonts w:ascii="Arial" w:eastAsia="Times New Roman" w:hAnsi="Arial" w:cs="Arial"/>
          <w:sz w:val="24"/>
          <w:szCs w:val="24"/>
          <w:lang w:eastAsia="en-GB"/>
        </w:rPr>
        <w:t xml:space="preserve">Berger, A.A. (2013) </w:t>
      </w:r>
      <w:r w:rsidRPr="000D2888">
        <w:rPr>
          <w:rFonts w:ascii="Arial" w:eastAsia="Times New Roman" w:hAnsi="Arial" w:cs="Arial"/>
          <w:i/>
          <w:iCs/>
          <w:sz w:val="24"/>
          <w:szCs w:val="24"/>
          <w:lang w:eastAsia="en-GB"/>
        </w:rPr>
        <w:t>Essentials of mass communication theory</w:t>
      </w:r>
      <w:r w:rsidRPr="000D2888">
        <w:rPr>
          <w:rFonts w:ascii="Arial" w:eastAsia="Times New Roman" w:hAnsi="Arial" w:cs="Arial"/>
          <w:sz w:val="24"/>
          <w:szCs w:val="24"/>
          <w:lang w:eastAsia="en-GB"/>
        </w:rPr>
        <w:t xml:space="preserve">. Thousand Oaks: SAGE Publications, Inc. </w:t>
      </w:r>
    </w:p>
    <w:p w:rsidR="000D2888" w:rsidRPr="000D2888" w:rsidRDefault="000D2888" w:rsidP="000D2888">
      <w:pPr>
        <w:pStyle w:val="ListParagraph"/>
        <w:numPr>
          <w:ilvl w:val="0"/>
          <w:numId w:val="54"/>
        </w:numPr>
        <w:spacing w:line="360" w:lineRule="auto"/>
        <w:rPr>
          <w:rStyle w:val="Hyperlink"/>
          <w:rFonts w:ascii="Arial" w:hAnsi="Arial" w:cs="Arial"/>
          <w:sz w:val="24"/>
          <w:szCs w:val="24"/>
          <w:shd w:val="clear" w:color="auto" w:fill="FFFFFF"/>
        </w:rPr>
      </w:pPr>
      <w:r w:rsidRPr="000D2888">
        <w:rPr>
          <w:rStyle w:val="authorname"/>
          <w:rFonts w:ascii="Arial" w:hAnsi="Arial" w:cs="Arial"/>
          <w:sz w:val="24"/>
          <w:szCs w:val="24"/>
          <w:shd w:val="clear" w:color="auto" w:fill="FFFFFF"/>
        </w:rPr>
        <w:t>Brian</w:t>
      </w:r>
      <w:r w:rsidRPr="000D2888">
        <w:rPr>
          <w:rStyle w:val="separator"/>
          <w:rFonts w:ascii="Arial" w:hAnsi="Arial" w:cs="Arial"/>
          <w:sz w:val="24"/>
          <w:szCs w:val="24"/>
          <w:shd w:val="clear" w:color="auto" w:fill="FFFFFF"/>
        </w:rPr>
        <w:t> </w:t>
      </w:r>
      <w:r w:rsidRPr="000D2888">
        <w:rPr>
          <w:rStyle w:val="authorname"/>
          <w:rFonts w:ascii="Arial" w:hAnsi="Arial" w:cs="Arial"/>
          <w:sz w:val="24"/>
          <w:szCs w:val="24"/>
          <w:shd w:val="clear" w:color="auto" w:fill="FFFFFF"/>
        </w:rPr>
        <w:t>Taylor</w:t>
      </w:r>
      <w:r w:rsidRPr="000D2888">
        <w:rPr>
          <w:rStyle w:val="separator"/>
          <w:rFonts w:ascii="Arial" w:hAnsi="Arial" w:cs="Arial"/>
          <w:sz w:val="24"/>
          <w:szCs w:val="24"/>
          <w:shd w:val="clear" w:color="auto" w:fill="FFFFFF"/>
        </w:rPr>
        <w:t> &amp; </w:t>
      </w:r>
      <w:r w:rsidRPr="000D2888">
        <w:rPr>
          <w:rStyle w:val="authorname"/>
          <w:rFonts w:ascii="Arial" w:hAnsi="Arial" w:cs="Arial"/>
          <w:sz w:val="24"/>
          <w:szCs w:val="24"/>
          <w:shd w:val="clear" w:color="auto" w:fill="FFFFFF"/>
        </w:rPr>
        <w:t>Andrew</w:t>
      </w:r>
      <w:r w:rsidRPr="000D2888">
        <w:rPr>
          <w:rStyle w:val="separator"/>
          <w:rFonts w:ascii="Arial" w:hAnsi="Arial" w:cs="Arial"/>
          <w:sz w:val="24"/>
          <w:szCs w:val="24"/>
          <w:shd w:val="clear" w:color="auto" w:fill="FFFFFF"/>
        </w:rPr>
        <w:t> </w:t>
      </w:r>
      <w:r w:rsidRPr="000D2888">
        <w:rPr>
          <w:rStyle w:val="authorname"/>
          <w:rFonts w:ascii="Arial" w:hAnsi="Arial" w:cs="Arial"/>
          <w:sz w:val="24"/>
          <w:szCs w:val="24"/>
          <w:shd w:val="clear" w:color="auto" w:fill="FFFFFF"/>
        </w:rPr>
        <w:t>Whittaker</w:t>
      </w:r>
      <w:r w:rsidRPr="000D2888">
        <w:rPr>
          <w:rFonts w:ascii="Arial" w:hAnsi="Arial" w:cs="Arial"/>
          <w:sz w:val="24"/>
          <w:szCs w:val="24"/>
          <w:shd w:val="clear" w:color="auto" w:fill="FFFFFF"/>
        </w:rPr>
        <w:t> </w:t>
      </w:r>
      <w:r w:rsidRPr="000D2888">
        <w:rPr>
          <w:rStyle w:val="Date1"/>
          <w:rFonts w:ascii="Arial" w:hAnsi="Arial" w:cs="Arial"/>
          <w:sz w:val="24"/>
          <w:szCs w:val="24"/>
          <w:shd w:val="clear" w:color="auto" w:fill="FFFFFF"/>
        </w:rPr>
        <w:t>(2018)</w:t>
      </w:r>
      <w:r w:rsidRPr="000D2888">
        <w:rPr>
          <w:rFonts w:ascii="Arial" w:hAnsi="Arial" w:cs="Arial"/>
          <w:sz w:val="24"/>
          <w:szCs w:val="24"/>
          <w:shd w:val="clear" w:color="auto" w:fill="FFFFFF"/>
        </w:rPr>
        <w:t> </w:t>
      </w:r>
      <w:r w:rsidRPr="000D2888">
        <w:rPr>
          <w:rStyle w:val="arttitle"/>
          <w:rFonts w:ascii="Arial" w:hAnsi="Arial" w:cs="Arial"/>
          <w:sz w:val="24"/>
          <w:szCs w:val="24"/>
          <w:shd w:val="clear" w:color="auto" w:fill="FFFFFF"/>
        </w:rPr>
        <w:t>Professional judgement and decision-making in social work,</w:t>
      </w:r>
      <w:r w:rsidRPr="000D2888">
        <w:rPr>
          <w:rFonts w:ascii="Arial" w:hAnsi="Arial" w:cs="Arial"/>
          <w:sz w:val="24"/>
          <w:szCs w:val="24"/>
          <w:shd w:val="clear" w:color="auto" w:fill="FFFFFF"/>
        </w:rPr>
        <w:t> </w:t>
      </w:r>
      <w:r w:rsidRPr="000D2888">
        <w:rPr>
          <w:rStyle w:val="serialtitle"/>
          <w:rFonts w:ascii="Arial" w:hAnsi="Arial" w:cs="Arial"/>
          <w:sz w:val="24"/>
          <w:szCs w:val="24"/>
          <w:shd w:val="clear" w:color="auto" w:fill="FFFFFF"/>
        </w:rPr>
        <w:t>Journal of Social Work Practice,</w:t>
      </w:r>
      <w:r w:rsidRPr="000D2888">
        <w:rPr>
          <w:rFonts w:ascii="Arial" w:hAnsi="Arial" w:cs="Arial"/>
          <w:sz w:val="24"/>
          <w:szCs w:val="24"/>
          <w:shd w:val="clear" w:color="auto" w:fill="FFFFFF"/>
        </w:rPr>
        <w:t> </w:t>
      </w:r>
      <w:r w:rsidRPr="000D2888">
        <w:rPr>
          <w:rStyle w:val="volumeissue"/>
          <w:rFonts w:ascii="Arial" w:hAnsi="Arial" w:cs="Arial"/>
          <w:sz w:val="24"/>
          <w:szCs w:val="24"/>
          <w:shd w:val="clear" w:color="auto" w:fill="FFFFFF"/>
        </w:rPr>
        <w:t>32:2,</w:t>
      </w:r>
      <w:r w:rsidRPr="000D2888">
        <w:rPr>
          <w:rFonts w:ascii="Arial" w:hAnsi="Arial" w:cs="Arial"/>
          <w:sz w:val="24"/>
          <w:szCs w:val="24"/>
          <w:shd w:val="clear" w:color="auto" w:fill="FFFFFF"/>
        </w:rPr>
        <w:t> </w:t>
      </w:r>
      <w:r w:rsidRPr="000D2888">
        <w:rPr>
          <w:rStyle w:val="pagerange"/>
          <w:rFonts w:ascii="Arial" w:hAnsi="Arial" w:cs="Arial"/>
          <w:sz w:val="24"/>
          <w:szCs w:val="24"/>
          <w:shd w:val="clear" w:color="auto" w:fill="FFFFFF"/>
        </w:rPr>
        <w:t>105-109,</w:t>
      </w:r>
      <w:r w:rsidRPr="000D2888">
        <w:rPr>
          <w:rFonts w:ascii="Arial" w:hAnsi="Arial" w:cs="Arial"/>
          <w:sz w:val="24"/>
          <w:szCs w:val="24"/>
          <w:shd w:val="clear" w:color="auto" w:fill="FFFFFF"/>
        </w:rPr>
        <w:t> </w:t>
      </w:r>
      <w:r w:rsidRPr="000D2888">
        <w:rPr>
          <w:rStyle w:val="doilink"/>
          <w:rFonts w:ascii="Arial" w:hAnsi="Arial" w:cs="Arial"/>
          <w:sz w:val="24"/>
          <w:szCs w:val="24"/>
          <w:shd w:val="clear" w:color="auto" w:fill="FFFFFF"/>
        </w:rPr>
        <w:t>DOI: </w:t>
      </w:r>
      <w:hyperlink r:id="rId12" w:history="1">
        <w:r w:rsidRPr="000D2888">
          <w:rPr>
            <w:rStyle w:val="Hyperlink"/>
            <w:rFonts w:ascii="Arial" w:hAnsi="Arial" w:cs="Arial"/>
            <w:sz w:val="24"/>
            <w:szCs w:val="24"/>
            <w:shd w:val="clear" w:color="auto" w:fill="FFFFFF"/>
          </w:rPr>
          <w:t>10.1080/02650533.2018.1462780</w:t>
        </w:r>
      </w:hyperlink>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Child protection system for Wales</w:t>
      </w:r>
      <w:r w:rsidRPr="000D2888">
        <w:rPr>
          <w:rFonts w:ascii="Arial" w:hAnsi="Arial" w:cs="Arial"/>
        </w:rPr>
        <w:t xml:space="preserve"> (2022) </w:t>
      </w:r>
      <w:r w:rsidRPr="000D2888">
        <w:rPr>
          <w:rFonts w:ascii="Arial" w:hAnsi="Arial" w:cs="Arial"/>
          <w:i/>
          <w:iCs/>
        </w:rPr>
        <w:t>NSPCC Learning</w:t>
      </w:r>
      <w:r w:rsidRPr="000D2888">
        <w:rPr>
          <w:rFonts w:ascii="Arial" w:hAnsi="Arial" w:cs="Arial"/>
        </w:rPr>
        <w:t xml:space="preserve">. Available at: https://learning.nspcc.org.uk/child-protection-system/wales/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Children act 1989</w:t>
      </w:r>
      <w:r w:rsidRPr="000D2888">
        <w:rPr>
          <w:rFonts w:ascii="Arial" w:hAnsi="Arial" w:cs="Arial"/>
        </w:rPr>
        <w:t xml:space="preserve"> (1989) </w:t>
      </w:r>
      <w:r w:rsidRPr="000D2888">
        <w:rPr>
          <w:rFonts w:ascii="Arial" w:hAnsi="Arial" w:cs="Arial"/>
          <w:i/>
          <w:iCs/>
        </w:rPr>
        <w:t>Legislation.gov.uk</w:t>
      </w:r>
      <w:r w:rsidRPr="000D2888">
        <w:rPr>
          <w:rFonts w:ascii="Arial" w:hAnsi="Arial" w:cs="Arial"/>
        </w:rPr>
        <w:t xml:space="preserve">. Available at: https://www.legislation.gov.uk/ukpga/1989/41/contents (Accessed: 04 February 2024). </w:t>
      </w:r>
    </w:p>
    <w:p w:rsidR="000D2888" w:rsidRPr="000D2888" w:rsidRDefault="000D2888" w:rsidP="000D2888">
      <w:pPr>
        <w:pStyle w:val="ListParagraph"/>
        <w:numPr>
          <w:ilvl w:val="0"/>
          <w:numId w:val="55"/>
        </w:numPr>
        <w:spacing w:before="100" w:beforeAutospacing="1" w:after="100" w:afterAutospacing="1" w:line="360" w:lineRule="auto"/>
        <w:rPr>
          <w:rFonts w:ascii="Arial" w:eastAsia="Times New Roman" w:hAnsi="Arial" w:cs="Arial"/>
          <w:sz w:val="24"/>
          <w:szCs w:val="24"/>
          <w:lang w:eastAsia="en-GB"/>
        </w:rPr>
      </w:pPr>
      <w:r w:rsidRPr="000D2888">
        <w:rPr>
          <w:rFonts w:ascii="Arial" w:eastAsia="Times New Roman" w:hAnsi="Arial" w:cs="Arial"/>
          <w:i/>
          <w:iCs/>
          <w:sz w:val="24"/>
          <w:szCs w:val="24"/>
          <w:lang w:eastAsia="en-GB"/>
        </w:rPr>
        <w:t>Codes of practice and guidance</w:t>
      </w:r>
      <w:r w:rsidRPr="000D2888">
        <w:rPr>
          <w:rFonts w:ascii="Arial" w:eastAsia="Times New Roman" w:hAnsi="Arial" w:cs="Arial"/>
          <w:sz w:val="24"/>
          <w:szCs w:val="24"/>
          <w:lang w:eastAsia="en-GB"/>
        </w:rPr>
        <w:t xml:space="preserve"> (2023) </w:t>
      </w:r>
      <w:r w:rsidRPr="000D2888">
        <w:rPr>
          <w:rFonts w:ascii="Arial" w:eastAsia="Times New Roman" w:hAnsi="Arial" w:cs="Arial"/>
          <w:i/>
          <w:iCs/>
          <w:sz w:val="24"/>
          <w:szCs w:val="24"/>
          <w:lang w:eastAsia="en-GB"/>
        </w:rPr>
        <w:t>Social Care Wales</w:t>
      </w:r>
      <w:r w:rsidRPr="000D2888">
        <w:rPr>
          <w:rFonts w:ascii="Arial" w:eastAsia="Times New Roman" w:hAnsi="Arial" w:cs="Arial"/>
          <w:sz w:val="24"/>
          <w:szCs w:val="24"/>
          <w:lang w:eastAsia="en-GB"/>
        </w:rPr>
        <w:t xml:space="preserve">. Available at: https://socialcare.wales/dealing-with-concerns/codes-of-practice-and-guidance (Accessed: 04 February 2024). </w:t>
      </w:r>
    </w:p>
    <w:p w:rsidR="000D2888" w:rsidRPr="000D2888" w:rsidRDefault="000D2888" w:rsidP="000D2888">
      <w:pPr>
        <w:pStyle w:val="NormalWeb"/>
        <w:numPr>
          <w:ilvl w:val="0"/>
          <w:numId w:val="54"/>
        </w:numPr>
        <w:spacing w:line="360" w:lineRule="auto"/>
        <w:rPr>
          <w:rFonts w:ascii="Arial" w:hAnsi="Arial" w:cs="Arial"/>
        </w:rPr>
      </w:pPr>
      <w:r w:rsidRPr="000D2888">
        <w:rPr>
          <w:rFonts w:ascii="Arial" w:hAnsi="Arial" w:cs="Arial"/>
          <w:i/>
          <w:iCs/>
        </w:rPr>
        <w:t>Continuing professional development (CPD)</w:t>
      </w:r>
      <w:r w:rsidRPr="000D2888">
        <w:rPr>
          <w:rFonts w:ascii="Arial" w:hAnsi="Arial" w:cs="Arial"/>
        </w:rPr>
        <w:t xml:space="preserve"> (2022) </w:t>
      </w:r>
      <w:r w:rsidRPr="000D2888">
        <w:rPr>
          <w:rFonts w:ascii="Arial" w:hAnsi="Arial" w:cs="Arial"/>
          <w:i/>
          <w:iCs/>
        </w:rPr>
        <w:t>Social Care Wales</w:t>
      </w:r>
      <w:r w:rsidRPr="000D2888">
        <w:rPr>
          <w:rFonts w:ascii="Arial" w:hAnsi="Arial" w:cs="Arial"/>
        </w:rPr>
        <w:t xml:space="preserve">. Available at: https://socialcare.wales/registration/continuing-professional-development-cpd (Accessed: 04 February 2024). </w:t>
      </w:r>
    </w:p>
    <w:p w:rsidR="000D2888" w:rsidRPr="000D2888" w:rsidRDefault="000D2888" w:rsidP="000D2888">
      <w:pPr>
        <w:pStyle w:val="NormalWeb"/>
        <w:numPr>
          <w:ilvl w:val="0"/>
          <w:numId w:val="54"/>
        </w:numPr>
        <w:spacing w:line="360" w:lineRule="auto"/>
        <w:rPr>
          <w:rFonts w:ascii="Arial" w:hAnsi="Arial" w:cs="Arial"/>
        </w:rPr>
      </w:pPr>
      <w:r w:rsidRPr="000D2888">
        <w:rPr>
          <w:rFonts w:ascii="Arial" w:hAnsi="Arial" w:cs="Arial"/>
        </w:rPr>
        <w:t xml:space="preserve">Daszkiewicz, T. (2016) </w:t>
      </w:r>
      <w:r w:rsidRPr="000D2888">
        <w:rPr>
          <w:rFonts w:ascii="Arial" w:hAnsi="Arial" w:cs="Arial"/>
          <w:iCs/>
        </w:rPr>
        <w:t>Motivational interviewing: ‘now I listen more before jumping in with a possible solution’</w:t>
      </w:r>
      <w:r w:rsidRPr="000D2888">
        <w:rPr>
          <w:rFonts w:ascii="Arial" w:hAnsi="Arial" w:cs="Arial"/>
        </w:rPr>
        <w:t xml:space="preserve">, </w:t>
      </w:r>
      <w:r w:rsidRPr="000D2888">
        <w:rPr>
          <w:rFonts w:ascii="Arial" w:hAnsi="Arial" w:cs="Arial"/>
          <w:iCs/>
        </w:rPr>
        <w:t>Motivational interviewing: “Now I listen more before jumping in with a possible solution”</w:t>
      </w:r>
      <w:r w:rsidRPr="000D2888">
        <w:rPr>
          <w:rFonts w:ascii="Arial" w:hAnsi="Arial" w:cs="Arial"/>
        </w:rPr>
        <w:t xml:space="preserve">. Available at: https://www.communitycare.co.uk/2016/02/09/motivational-interviewing-now-listen-jumping-possible-solution/ (Accessed: 16 October 2023). </w:t>
      </w:r>
    </w:p>
    <w:p w:rsidR="000D2888" w:rsidRPr="000D2888" w:rsidRDefault="000D2888" w:rsidP="000D2888">
      <w:pPr>
        <w:pStyle w:val="NormalWeb"/>
        <w:numPr>
          <w:ilvl w:val="0"/>
          <w:numId w:val="54"/>
        </w:numPr>
        <w:spacing w:line="360" w:lineRule="auto"/>
        <w:rPr>
          <w:rFonts w:ascii="Arial" w:hAnsi="Arial" w:cs="Arial"/>
        </w:rPr>
      </w:pPr>
      <w:r w:rsidRPr="000D2888">
        <w:rPr>
          <w:rFonts w:ascii="Arial" w:hAnsi="Arial" w:cs="Arial"/>
        </w:rPr>
        <w:t xml:space="preserve">Donovan, L. (2018) </w:t>
      </w:r>
      <w:r w:rsidRPr="000D2888">
        <w:rPr>
          <w:rFonts w:ascii="Arial" w:hAnsi="Arial" w:cs="Arial"/>
          <w:iCs/>
        </w:rPr>
        <w:t>The Voice of the Child Practice Guidance</w:t>
      </w:r>
      <w:r w:rsidRPr="000D2888">
        <w:rPr>
          <w:rFonts w:ascii="Arial" w:hAnsi="Arial" w:cs="Arial"/>
        </w:rPr>
        <w:t>. Available at: https://proceduresonline.com/trixcms/media/1488/voice-of-the-child-practice-guidance-v1-ct-100518.pdf (Accessed: 16 October 2023).</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rPr>
        <w:lastRenderedPageBreak/>
        <w:t xml:space="preserve">Falk, R. and Kim, S.S. (2019) ‘The Social Learning Theory of Aggression ’, in </w:t>
      </w:r>
      <w:r w:rsidRPr="000D2888">
        <w:rPr>
          <w:rFonts w:ascii="Arial" w:hAnsi="Arial" w:cs="Arial"/>
          <w:i/>
          <w:iCs/>
        </w:rPr>
        <w:t>The War System: An Interdisciplinary Approach</w:t>
      </w:r>
      <w:r w:rsidRPr="000D2888">
        <w:rPr>
          <w:rFonts w:ascii="Arial" w:hAnsi="Arial" w:cs="Arial"/>
        </w:rPr>
        <w:t xml:space="preserve">. Routledge, pp. 141–155.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Gillick competence and Fraser Guidelines</w:t>
      </w:r>
      <w:r w:rsidRPr="000D2888">
        <w:rPr>
          <w:rFonts w:ascii="Arial" w:hAnsi="Arial" w:cs="Arial"/>
        </w:rPr>
        <w:t xml:space="preserve"> (2022) </w:t>
      </w:r>
      <w:r w:rsidRPr="000D2888">
        <w:rPr>
          <w:rFonts w:ascii="Arial" w:hAnsi="Arial" w:cs="Arial"/>
          <w:i/>
          <w:iCs/>
        </w:rPr>
        <w:t>NSPCC Learning</w:t>
      </w:r>
      <w:r w:rsidRPr="000D2888">
        <w:rPr>
          <w:rFonts w:ascii="Arial" w:hAnsi="Arial" w:cs="Arial"/>
        </w:rPr>
        <w:t xml:space="preserve">. Available at: https://learning.nspcc.org.uk/child-protection-system/gillick-competence-fraser-guidelines/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rPr>
        <w:t xml:space="preserve">Government, W.A. (2014) </w:t>
      </w:r>
      <w:r w:rsidRPr="000D2888">
        <w:rPr>
          <w:rFonts w:ascii="Arial" w:hAnsi="Arial" w:cs="Arial"/>
          <w:i/>
          <w:iCs/>
        </w:rPr>
        <w:t>Explanatory notes to social services and well-being (wales) act 2014</w:t>
      </w:r>
      <w:r w:rsidRPr="000D2888">
        <w:rPr>
          <w:rFonts w:ascii="Arial" w:hAnsi="Arial" w:cs="Arial"/>
        </w:rPr>
        <w:t xml:space="preserve">, </w:t>
      </w:r>
      <w:r w:rsidRPr="000D2888">
        <w:rPr>
          <w:rFonts w:ascii="Arial" w:hAnsi="Arial" w:cs="Arial"/>
          <w:i/>
          <w:iCs/>
        </w:rPr>
        <w:t>Explanatory Notes</w:t>
      </w:r>
      <w:r w:rsidRPr="000D2888">
        <w:rPr>
          <w:rFonts w:ascii="Arial" w:hAnsi="Arial" w:cs="Arial"/>
        </w:rPr>
        <w:t xml:space="preserve">. Available at: https://www.legislation.gov.uk/anaw/2014/4/notes/contents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rPr>
        <w:t xml:space="preserve">Guzowski, L. (2022) ‘Effective Conflict Resolution in the Workplace with Thomas Kilmann Model’, </w:t>
      </w:r>
      <w:r w:rsidRPr="000D2888">
        <w:rPr>
          <w:rFonts w:ascii="Arial" w:hAnsi="Arial" w:cs="Arial"/>
          <w:i/>
          <w:iCs/>
        </w:rPr>
        <w:t>Human</w:t>
      </w:r>
      <w:r w:rsidRPr="000D2888">
        <w:rPr>
          <w:rFonts w:ascii="Arial" w:hAnsi="Arial" w:cs="Arial"/>
        </w:rPr>
        <w:t xml:space="preserve">, 2 February. Available at: https://www.human.pm/post/thomas-kilmann-model-conflict-resolution-workplace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rPr>
        <w:t xml:space="preserve">Karim, S. (2023) ‘Power-informed practice in Social Work’, </w:t>
      </w:r>
      <w:r w:rsidRPr="000D2888">
        <w:rPr>
          <w:rFonts w:ascii="Arial" w:hAnsi="Arial" w:cs="Arial"/>
          <w:i/>
          <w:iCs/>
        </w:rPr>
        <w:t>Journal of Social Work</w:t>
      </w:r>
      <w:r w:rsidRPr="000D2888">
        <w:rPr>
          <w:rFonts w:ascii="Arial" w:hAnsi="Arial" w:cs="Arial"/>
        </w:rPr>
        <w:t xml:space="preserve">, 23(6), pp. 1062–1079. doi:10.1177/14680173231180307.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rPr>
        <w:t xml:space="preserve">Lange, B.C., Callinan, L.S. and Smith, M.V. (2018) ‘Adverse childhood experiences and their relation to parenting stress and parenting practices’, </w:t>
      </w:r>
      <w:r w:rsidRPr="000D2888">
        <w:rPr>
          <w:rFonts w:ascii="Arial" w:hAnsi="Arial" w:cs="Arial"/>
          <w:i/>
          <w:iCs/>
        </w:rPr>
        <w:t>Community Mental Health Journal</w:t>
      </w:r>
      <w:r w:rsidRPr="000D2888">
        <w:rPr>
          <w:rFonts w:ascii="Arial" w:hAnsi="Arial" w:cs="Arial"/>
        </w:rPr>
        <w:t xml:space="preserve">, 55(4), pp. 651–662. doi:10.1007/s10597-018-0331-z. </w:t>
      </w:r>
    </w:p>
    <w:p w:rsidR="000D2888" w:rsidRPr="000D2888" w:rsidRDefault="000D2888" w:rsidP="000D2888">
      <w:pPr>
        <w:pStyle w:val="NormalWeb"/>
        <w:numPr>
          <w:ilvl w:val="0"/>
          <w:numId w:val="54"/>
        </w:numPr>
        <w:spacing w:line="360" w:lineRule="auto"/>
        <w:rPr>
          <w:rFonts w:ascii="Arial" w:hAnsi="Arial" w:cs="Arial"/>
        </w:rPr>
      </w:pPr>
      <w:r w:rsidRPr="000D2888">
        <w:rPr>
          <w:rFonts w:ascii="Arial" w:hAnsi="Arial" w:cs="Arial"/>
          <w:i/>
          <w:iCs/>
        </w:rPr>
        <w:t xml:space="preserve">Learning points resilience matrix </w:t>
      </w:r>
      <w:r w:rsidRPr="000D2888">
        <w:rPr>
          <w:rFonts w:ascii="Arial" w:hAnsi="Arial" w:cs="Arial"/>
        </w:rPr>
        <w:t xml:space="preserve">(2011) </w:t>
      </w:r>
      <w:r w:rsidRPr="000D2888">
        <w:rPr>
          <w:rFonts w:ascii="Arial" w:hAnsi="Arial" w:cs="Arial"/>
          <w:i/>
          <w:iCs/>
        </w:rPr>
        <w:t xml:space="preserve">Safeguarding Network </w:t>
      </w:r>
      <w:r w:rsidRPr="000D2888">
        <w:rPr>
          <w:rFonts w:ascii="Arial" w:hAnsi="Arial" w:cs="Arial"/>
        </w:rPr>
        <w:t xml:space="preserve">. Available at: https://safeguarding.network/content/wp-content/uploads/2020/11/Resilience-and-Vulnerability-Matrix-1.pdf (Accessed: 04 February 2024). </w:t>
      </w:r>
    </w:p>
    <w:p w:rsidR="000D2888" w:rsidRPr="000D2888" w:rsidRDefault="000D2888" w:rsidP="000D2888">
      <w:pPr>
        <w:pStyle w:val="NormalWeb"/>
        <w:numPr>
          <w:ilvl w:val="0"/>
          <w:numId w:val="54"/>
        </w:numPr>
        <w:spacing w:line="360" w:lineRule="auto"/>
        <w:rPr>
          <w:rFonts w:ascii="Arial" w:hAnsi="Arial" w:cs="Arial"/>
        </w:rPr>
      </w:pPr>
      <w:r w:rsidRPr="000D2888">
        <w:rPr>
          <w:rFonts w:ascii="Arial" w:hAnsi="Arial" w:cs="Arial"/>
        </w:rPr>
        <w:t xml:space="preserve">Macdonald, Geraldine. “Evaluation of the Safeguarding Children Assessment and Analysis Framework (SAAF).” (2017). Available at: </w:t>
      </w:r>
      <w:hyperlink r:id="rId13" w:history="1">
        <w:r w:rsidRPr="000D2888">
          <w:rPr>
            <w:rStyle w:val="Hyperlink"/>
            <w:rFonts w:ascii="Arial" w:hAnsi="Arial" w:cs="Arial"/>
          </w:rPr>
          <w:t>Evaluation of the Safeguarding Children Assessment and Analysis Framework (SAAF) (publishing.service.gov.uk)</w:t>
        </w:r>
      </w:hyperlink>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Mental capacity act 2005 at a glance</w:t>
      </w:r>
      <w:r w:rsidRPr="000D2888">
        <w:rPr>
          <w:rFonts w:ascii="Arial" w:hAnsi="Arial" w:cs="Arial"/>
        </w:rPr>
        <w:t xml:space="preserve"> (2023) </w:t>
      </w:r>
      <w:r w:rsidRPr="000D2888">
        <w:rPr>
          <w:rFonts w:ascii="Arial" w:hAnsi="Arial" w:cs="Arial"/>
          <w:i/>
          <w:iCs/>
        </w:rPr>
        <w:t>SCIE</w:t>
      </w:r>
      <w:r w:rsidRPr="000D2888">
        <w:rPr>
          <w:rFonts w:ascii="Arial" w:hAnsi="Arial" w:cs="Arial"/>
        </w:rPr>
        <w:t>. Available at: https://www.scie.org.uk/mca/introduction/mental-capacity-act-2005-at-a-glance/#:~:text=The%20MCA%20is%20designed%20to,with%20the%20Code%20of%20Practice. (Accessed: 04 February 2024).</w:t>
      </w:r>
    </w:p>
    <w:p w:rsidR="000D2888" w:rsidRPr="000D2888" w:rsidRDefault="000D2888" w:rsidP="000D2888">
      <w:pPr>
        <w:pStyle w:val="ListParagraph"/>
        <w:numPr>
          <w:ilvl w:val="0"/>
          <w:numId w:val="54"/>
        </w:numPr>
        <w:spacing w:line="360" w:lineRule="auto"/>
        <w:rPr>
          <w:rFonts w:ascii="Arial" w:hAnsi="Arial" w:cs="Arial"/>
          <w:sz w:val="24"/>
          <w:szCs w:val="24"/>
        </w:rPr>
      </w:pPr>
      <w:r w:rsidRPr="000D2888">
        <w:rPr>
          <w:rFonts w:ascii="Arial" w:hAnsi="Arial" w:cs="Arial"/>
          <w:sz w:val="24"/>
          <w:szCs w:val="24"/>
        </w:rPr>
        <w:lastRenderedPageBreak/>
        <w:t xml:space="preserve">Moon, J. A. (2013). Reflection in Learning and Professional Development: Theory and Practice. United Kingdom: Taylor &amp; Francis. </w:t>
      </w:r>
    </w:p>
    <w:p w:rsidR="000D2888" w:rsidRPr="000D2888" w:rsidRDefault="000D2888" w:rsidP="000D2888">
      <w:pPr>
        <w:pStyle w:val="ListParagraph"/>
        <w:numPr>
          <w:ilvl w:val="0"/>
          <w:numId w:val="55"/>
        </w:numPr>
        <w:spacing w:before="100" w:beforeAutospacing="1" w:after="100" w:afterAutospacing="1" w:line="360" w:lineRule="auto"/>
        <w:rPr>
          <w:rFonts w:ascii="Arial" w:eastAsia="Times New Roman" w:hAnsi="Arial" w:cs="Arial"/>
          <w:sz w:val="24"/>
          <w:szCs w:val="24"/>
          <w:lang w:eastAsia="en-GB"/>
        </w:rPr>
      </w:pPr>
      <w:r w:rsidRPr="000D2888">
        <w:rPr>
          <w:rFonts w:ascii="Arial" w:eastAsia="Times New Roman" w:hAnsi="Arial" w:cs="Arial"/>
          <w:i/>
          <w:iCs/>
          <w:sz w:val="24"/>
          <w:szCs w:val="24"/>
          <w:lang w:eastAsia="en-GB"/>
        </w:rPr>
        <w:t>More Than Just Words</w:t>
      </w:r>
      <w:r w:rsidRPr="000D2888">
        <w:rPr>
          <w:rFonts w:ascii="Arial" w:eastAsia="Times New Roman" w:hAnsi="Arial" w:cs="Arial"/>
          <w:sz w:val="24"/>
          <w:szCs w:val="24"/>
          <w:lang w:eastAsia="en-GB"/>
        </w:rPr>
        <w:t xml:space="preserve"> (no date) </w:t>
      </w:r>
      <w:r w:rsidRPr="000D2888">
        <w:rPr>
          <w:rFonts w:ascii="Arial" w:eastAsia="Times New Roman" w:hAnsi="Arial" w:cs="Arial"/>
          <w:i/>
          <w:iCs/>
          <w:sz w:val="24"/>
          <w:szCs w:val="24"/>
          <w:lang w:eastAsia="en-GB"/>
        </w:rPr>
        <w:t>Delivering the ‘Active Offer’  Information Pack –  Social Services and Social Care</w:t>
      </w:r>
      <w:r w:rsidRPr="000D2888">
        <w:rPr>
          <w:rFonts w:ascii="Arial" w:eastAsia="Times New Roman" w:hAnsi="Arial" w:cs="Arial"/>
          <w:sz w:val="24"/>
          <w:szCs w:val="24"/>
          <w:lang w:eastAsia="en-GB"/>
        </w:rPr>
        <w:t xml:space="preserve">. Available at: https://www.gov.wales/sites/default/files/publications/2019-04/delivering-the-active-offer-information-pack-social-services-and-social-care.pdf (Accessed: 04 February 2024). </w:t>
      </w:r>
    </w:p>
    <w:p w:rsidR="000D2888" w:rsidRPr="000D2888" w:rsidRDefault="000D2888" w:rsidP="000D2888">
      <w:pPr>
        <w:pStyle w:val="ListParagraph"/>
        <w:numPr>
          <w:ilvl w:val="0"/>
          <w:numId w:val="55"/>
        </w:numPr>
        <w:spacing w:before="100" w:beforeAutospacing="1" w:after="100" w:afterAutospacing="1" w:line="360" w:lineRule="auto"/>
        <w:rPr>
          <w:rFonts w:ascii="Arial" w:eastAsia="Times New Roman" w:hAnsi="Arial" w:cs="Arial"/>
          <w:sz w:val="24"/>
          <w:szCs w:val="24"/>
          <w:lang w:eastAsia="en-GB"/>
        </w:rPr>
      </w:pPr>
      <w:r w:rsidRPr="000D2888">
        <w:rPr>
          <w:rFonts w:ascii="Arial" w:eastAsia="Times New Roman" w:hAnsi="Arial" w:cs="Arial"/>
          <w:i/>
          <w:iCs/>
          <w:sz w:val="24"/>
          <w:szCs w:val="24"/>
          <w:lang w:eastAsia="en-GB"/>
        </w:rPr>
        <w:t>More than just words</w:t>
      </w:r>
      <w:r w:rsidRPr="000D2888">
        <w:rPr>
          <w:rFonts w:ascii="Arial" w:eastAsia="Times New Roman" w:hAnsi="Arial" w:cs="Arial"/>
          <w:sz w:val="24"/>
          <w:szCs w:val="24"/>
          <w:lang w:eastAsia="en-GB"/>
        </w:rPr>
        <w:t xml:space="preserve"> (no date) </w:t>
      </w:r>
      <w:r w:rsidRPr="000D2888">
        <w:rPr>
          <w:rFonts w:ascii="Arial" w:eastAsia="Times New Roman" w:hAnsi="Arial" w:cs="Arial"/>
          <w:i/>
          <w:iCs/>
          <w:sz w:val="24"/>
          <w:szCs w:val="24"/>
          <w:lang w:eastAsia="en-GB"/>
        </w:rPr>
        <w:t>More than just words | Care Inspectorate Wales</w:t>
      </w:r>
      <w:r w:rsidRPr="000D2888">
        <w:rPr>
          <w:rFonts w:ascii="Arial" w:eastAsia="Times New Roman" w:hAnsi="Arial" w:cs="Arial"/>
          <w:sz w:val="24"/>
          <w:szCs w:val="24"/>
          <w:lang w:eastAsia="en-GB"/>
        </w:rPr>
        <w:t xml:space="preserve">. Available at: https://www.careinspectorate.wales/more-just-words (Accessed: 04 February 2024). </w:t>
      </w:r>
    </w:p>
    <w:p w:rsidR="000D2888" w:rsidRPr="000D2888" w:rsidRDefault="000D2888" w:rsidP="000D2888">
      <w:pPr>
        <w:pStyle w:val="ListParagraph"/>
        <w:numPr>
          <w:ilvl w:val="0"/>
          <w:numId w:val="55"/>
        </w:numPr>
        <w:spacing w:before="100" w:beforeAutospacing="1" w:after="100" w:afterAutospacing="1" w:line="360" w:lineRule="auto"/>
        <w:rPr>
          <w:rFonts w:ascii="Arial" w:eastAsia="Times New Roman" w:hAnsi="Arial" w:cs="Arial"/>
          <w:sz w:val="24"/>
          <w:szCs w:val="24"/>
          <w:lang w:eastAsia="en-GB"/>
        </w:rPr>
      </w:pPr>
      <w:r w:rsidRPr="000D2888">
        <w:rPr>
          <w:rFonts w:ascii="Arial" w:eastAsia="Times New Roman" w:hAnsi="Arial" w:cs="Arial"/>
          <w:sz w:val="24"/>
          <w:szCs w:val="24"/>
          <w:lang w:eastAsia="en-GB"/>
        </w:rPr>
        <w:t xml:space="preserve">Narula, U. (2006) </w:t>
      </w:r>
      <w:r w:rsidRPr="000D2888">
        <w:rPr>
          <w:rFonts w:ascii="Arial" w:eastAsia="Times New Roman" w:hAnsi="Arial" w:cs="Arial"/>
          <w:i/>
          <w:iCs/>
          <w:sz w:val="24"/>
          <w:szCs w:val="24"/>
          <w:lang w:eastAsia="en-GB"/>
        </w:rPr>
        <w:t>Communication models</w:t>
      </w:r>
      <w:r w:rsidRPr="000D2888">
        <w:rPr>
          <w:rFonts w:ascii="Arial" w:eastAsia="Times New Roman" w:hAnsi="Arial" w:cs="Arial"/>
          <w:sz w:val="24"/>
          <w:szCs w:val="24"/>
          <w:lang w:eastAsia="en-GB"/>
        </w:rPr>
        <w:t xml:space="preserve">. 3rd edn. New Delhi, India: Atlantic.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rPr>
        <w:t xml:space="preserve">Newcomb, M.D. and Locke, T.F. (2001) ‘Intergenerational cycle of maltreatment: A popular concept obscured by methodological limitations’, </w:t>
      </w:r>
      <w:r w:rsidRPr="000D2888">
        <w:rPr>
          <w:rFonts w:ascii="Arial" w:hAnsi="Arial" w:cs="Arial"/>
          <w:i/>
          <w:iCs/>
        </w:rPr>
        <w:t>Child Abuse &amp;amp; Neglect</w:t>
      </w:r>
      <w:r w:rsidRPr="000D2888">
        <w:rPr>
          <w:rFonts w:ascii="Arial" w:hAnsi="Arial" w:cs="Arial"/>
        </w:rPr>
        <w:t xml:space="preserve">, 25(9), pp. 1219–1240. doi:10.1016/s0145-2134(01)00267-8.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rPr>
        <w:t xml:space="preserve">NSPCC (no date) </w:t>
      </w:r>
      <w:r w:rsidRPr="000D2888">
        <w:rPr>
          <w:rFonts w:ascii="Arial" w:hAnsi="Arial" w:cs="Arial"/>
          <w:i/>
          <w:iCs/>
        </w:rPr>
        <w:t>Neglect is also Child Abuse: Know All About It | NSPCC</w:t>
      </w:r>
      <w:r w:rsidRPr="000D2888">
        <w:rPr>
          <w:rFonts w:ascii="Arial" w:hAnsi="Arial" w:cs="Arial"/>
        </w:rPr>
        <w:t xml:space="preserve">, </w:t>
      </w:r>
      <w:r w:rsidRPr="000D2888">
        <w:rPr>
          <w:rFonts w:ascii="Arial" w:hAnsi="Arial" w:cs="Arial"/>
          <w:i/>
          <w:iCs/>
        </w:rPr>
        <w:t>Neglect</w:t>
      </w:r>
      <w:r w:rsidRPr="000D2888">
        <w:rPr>
          <w:rFonts w:ascii="Arial" w:hAnsi="Arial" w:cs="Arial"/>
        </w:rPr>
        <w:t xml:space="preserve">. Available at: https://www.nspcc.org.uk/what-is-child-abuse/types-of-abuse/neglect/?ac=211550 (Accessed: 04 February 2024). </w:t>
      </w:r>
    </w:p>
    <w:p w:rsidR="000D2888" w:rsidRPr="000D2888" w:rsidRDefault="000D2888" w:rsidP="000D2888">
      <w:pPr>
        <w:pStyle w:val="ListParagraph"/>
        <w:numPr>
          <w:ilvl w:val="0"/>
          <w:numId w:val="55"/>
        </w:numPr>
        <w:spacing w:before="100" w:beforeAutospacing="1" w:after="100" w:afterAutospacing="1" w:line="360" w:lineRule="auto"/>
        <w:rPr>
          <w:rFonts w:ascii="Arial" w:eastAsia="Times New Roman" w:hAnsi="Arial" w:cs="Arial"/>
          <w:sz w:val="24"/>
          <w:szCs w:val="24"/>
          <w:lang w:eastAsia="en-GB"/>
        </w:rPr>
      </w:pPr>
      <w:r w:rsidRPr="000D2888">
        <w:rPr>
          <w:rFonts w:ascii="Arial" w:eastAsia="Times New Roman" w:hAnsi="Arial" w:cs="Arial"/>
          <w:sz w:val="24"/>
          <w:szCs w:val="24"/>
          <w:lang w:eastAsia="en-GB"/>
        </w:rPr>
        <w:t xml:space="preserve">Office for National Statistics (2023) </w:t>
      </w:r>
      <w:r w:rsidRPr="000D2888">
        <w:rPr>
          <w:rFonts w:ascii="Arial" w:eastAsia="Times New Roman" w:hAnsi="Arial" w:cs="Arial"/>
          <w:i/>
          <w:iCs/>
          <w:sz w:val="24"/>
          <w:szCs w:val="24"/>
          <w:lang w:eastAsia="en-GB"/>
        </w:rPr>
        <w:t>How life has changed in Neath Port Talbot: Census 2021</w:t>
      </w:r>
      <w:r w:rsidRPr="000D2888">
        <w:rPr>
          <w:rFonts w:ascii="Arial" w:eastAsia="Times New Roman" w:hAnsi="Arial" w:cs="Arial"/>
          <w:sz w:val="24"/>
          <w:szCs w:val="24"/>
          <w:lang w:eastAsia="en-GB"/>
        </w:rPr>
        <w:t xml:space="preserve">. Available at: https://www.ons.gov.uk/visualisations/censusareachanges/W06000012/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rPr>
        <w:t xml:space="preserve">Park, N. (2021) </w:t>
      </w:r>
      <w:r w:rsidRPr="000D2888">
        <w:rPr>
          <w:rFonts w:ascii="Arial" w:hAnsi="Arial" w:cs="Arial"/>
          <w:i/>
          <w:iCs/>
        </w:rPr>
        <w:t>Population estimates for the UK, England and Wales, Scotland and Northern Ireland: Mid-2020</w:t>
      </w:r>
      <w:r w:rsidRPr="000D2888">
        <w:rPr>
          <w:rFonts w:ascii="Arial" w:hAnsi="Arial" w:cs="Arial"/>
        </w:rPr>
        <w:t xml:space="preserve">, </w:t>
      </w:r>
      <w:r w:rsidRPr="000D2888">
        <w:rPr>
          <w:rFonts w:ascii="Arial" w:hAnsi="Arial" w:cs="Arial"/>
          <w:i/>
          <w:iCs/>
        </w:rPr>
        <w:t>Population estimates for the UK, England and Wales, Scotland and Northern Ireland - Office for National Statistics</w:t>
      </w:r>
      <w:r w:rsidRPr="000D2888">
        <w:rPr>
          <w:rFonts w:ascii="Arial" w:hAnsi="Arial" w:cs="Arial"/>
        </w:rPr>
        <w:t xml:space="preserve">. Available at: https://www.ons.gov.uk/peoplepopulationandcommunity/populationandmigration/populationestimates/bulletins/annualmidyearpopulationestimates/mid2020 (Accessed: 04 February 2024). </w:t>
      </w:r>
    </w:p>
    <w:p w:rsidR="000D2888" w:rsidRPr="000D2888" w:rsidRDefault="000D2888" w:rsidP="000D2888">
      <w:pPr>
        <w:pStyle w:val="NormalWeb"/>
        <w:numPr>
          <w:ilvl w:val="0"/>
          <w:numId w:val="54"/>
        </w:numPr>
        <w:spacing w:line="360" w:lineRule="auto"/>
        <w:rPr>
          <w:rFonts w:ascii="Arial" w:hAnsi="Arial" w:cs="Arial"/>
        </w:rPr>
      </w:pPr>
      <w:r w:rsidRPr="000D2888">
        <w:rPr>
          <w:rFonts w:ascii="Arial" w:hAnsi="Arial" w:cs="Arial"/>
        </w:rPr>
        <w:t xml:space="preserve">Parker, J. and Bradley, G. (2014) </w:t>
      </w:r>
      <w:r w:rsidRPr="000D2888">
        <w:rPr>
          <w:rFonts w:ascii="Arial" w:hAnsi="Arial" w:cs="Arial"/>
          <w:i/>
          <w:iCs/>
        </w:rPr>
        <w:t>Social Work Practice</w:t>
      </w:r>
      <w:r w:rsidRPr="000D2888">
        <w:rPr>
          <w:rFonts w:ascii="Arial" w:hAnsi="Arial" w:cs="Arial"/>
        </w:rPr>
        <w:t xml:space="preserve">. London: Learning Matters.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lastRenderedPageBreak/>
        <w:t xml:space="preserve">Part 3 Code of Practice (assessing the needs of individuals) </w:t>
      </w:r>
      <w:r w:rsidRPr="000D2888">
        <w:rPr>
          <w:rFonts w:ascii="Arial" w:hAnsi="Arial" w:cs="Arial"/>
        </w:rPr>
        <w:t xml:space="preserve">(2014) </w:t>
      </w:r>
      <w:r w:rsidRPr="000D2888">
        <w:rPr>
          <w:rFonts w:ascii="Arial" w:hAnsi="Arial" w:cs="Arial"/>
          <w:i/>
          <w:iCs/>
        </w:rPr>
        <w:t>Social Services and  Well-being (Wales) Act 2014</w:t>
      </w:r>
      <w:r w:rsidRPr="000D2888">
        <w:rPr>
          <w:rFonts w:ascii="Arial" w:hAnsi="Arial" w:cs="Arial"/>
        </w:rPr>
        <w:t xml:space="preserve">. Available at: https://www.gov.wales/sites/default/files/publications/2019-05/part-3-code-of-practice-assessing-the-needs-of-individuals.pdf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Part 4 - Code of Practice on the exercise of social  services functions in relation to part 4 (Meeting  needs) of the Social Services and Well-being (Wales)  Act 2014</w:t>
      </w:r>
      <w:r w:rsidRPr="000D2888">
        <w:rPr>
          <w:rFonts w:ascii="Arial" w:hAnsi="Arial" w:cs="Arial"/>
        </w:rPr>
        <w:t xml:space="preserve"> (2014) </w:t>
      </w:r>
      <w:r w:rsidRPr="000D2888">
        <w:rPr>
          <w:rFonts w:ascii="Arial" w:hAnsi="Arial" w:cs="Arial"/>
          <w:i/>
          <w:iCs/>
        </w:rPr>
        <w:t>Part 4 -  Code of Practice on Meeting Needs</w:t>
      </w:r>
      <w:r w:rsidRPr="000D2888">
        <w:rPr>
          <w:rFonts w:ascii="Arial" w:hAnsi="Arial" w:cs="Arial"/>
        </w:rPr>
        <w:t xml:space="preserve">. Available at: https://www.gov.wales/sites/default/files/consultations/2018-01/141027pt3and4needscodeen.pdf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Part 4 - Code of Practice on the exercise of social  services functions in relation to part 4 (Meeting  needs) of the Social Services and Well-being (Wales)  Act 2014</w:t>
      </w:r>
      <w:r w:rsidRPr="000D2888">
        <w:rPr>
          <w:rFonts w:ascii="Arial" w:hAnsi="Arial" w:cs="Arial"/>
        </w:rPr>
        <w:t xml:space="preserve"> (2014) </w:t>
      </w:r>
      <w:r w:rsidRPr="000D2888">
        <w:rPr>
          <w:rFonts w:ascii="Arial" w:hAnsi="Arial" w:cs="Arial"/>
          <w:i/>
          <w:iCs/>
        </w:rPr>
        <w:t>Part 4 -  Code of Practice on Meeting Needs</w:t>
      </w:r>
      <w:r w:rsidRPr="000D2888">
        <w:rPr>
          <w:rFonts w:ascii="Arial" w:hAnsi="Arial" w:cs="Arial"/>
        </w:rPr>
        <w:t xml:space="preserve">. Available at: https://www.gov.wales/sites/default/files/consultations/2018-01/141027pt3and4needscodeen.pdf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rPr>
        <w:t xml:space="preserve">Phillimore, S. (2014) </w:t>
      </w:r>
      <w:r w:rsidRPr="000D2888">
        <w:rPr>
          <w:rFonts w:ascii="Arial" w:hAnsi="Arial" w:cs="Arial"/>
          <w:i/>
          <w:iCs/>
        </w:rPr>
        <w:t>Good enough parenting</w:t>
      </w:r>
      <w:r w:rsidRPr="000D2888">
        <w:rPr>
          <w:rFonts w:ascii="Arial" w:hAnsi="Arial" w:cs="Arial"/>
        </w:rPr>
        <w:t xml:space="preserve">, </w:t>
      </w:r>
      <w:r w:rsidRPr="000D2888">
        <w:rPr>
          <w:rFonts w:ascii="Arial" w:hAnsi="Arial" w:cs="Arial"/>
          <w:i/>
          <w:iCs/>
        </w:rPr>
        <w:t>Child Protection Resource</w:t>
      </w:r>
      <w:r w:rsidRPr="000D2888">
        <w:rPr>
          <w:rFonts w:ascii="Arial" w:hAnsi="Arial" w:cs="Arial"/>
        </w:rPr>
        <w:t xml:space="preserve">. Available at: https://childprotectionresource.online/category/good-enough-parenting-2/#:~:text=Components%20of%20good%20enough%20parenting&amp;text=putting%20children%27s%20needs%20first%3B,and%20engagement%20with%20support%20services.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Principles Resource Guide - Social Care Wales | Home - Social Care wales</w:t>
      </w:r>
      <w:r w:rsidRPr="000D2888">
        <w:rPr>
          <w:rFonts w:ascii="Arial" w:hAnsi="Arial" w:cs="Arial"/>
        </w:rPr>
        <w:t xml:space="preserve"> (2017) </w:t>
      </w:r>
      <w:r w:rsidRPr="000D2888">
        <w:rPr>
          <w:rFonts w:ascii="Arial" w:hAnsi="Arial" w:cs="Arial"/>
          <w:i/>
          <w:iCs/>
        </w:rPr>
        <w:t>Social Care Wales</w:t>
      </w:r>
      <w:r w:rsidRPr="000D2888">
        <w:rPr>
          <w:rFonts w:ascii="Arial" w:hAnsi="Arial" w:cs="Arial"/>
        </w:rPr>
        <w:t xml:space="preserve">. Available at: https://socialcare.wales/cms-assets/documents/hub-downloads/Principles-Resource-Guide_March-17.pdf (Accessed: 04 February 2024). </w:t>
      </w:r>
    </w:p>
    <w:p w:rsidR="000D2888" w:rsidRPr="000D2888" w:rsidRDefault="000D2888" w:rsidP="000D2888">
      <w:pPr>
        <w:pStyle w:val="ListParagraph"/>
        <w:numPr>
          <w:ilvl w:val="0"/>
          <w:numId w:val="55"/>
        </w:numPr>
        <w:spacing w:before="100" w:beforeAutospacing="1" w:after="100" w:afterAutospacing="1" w:line="360" w:lineRule="auto"/>
        <w:rPr>
          <w:rFonts w:ascii="Arial" w:eastAsia="Times New Roman" w:hAnsi="Arial" w:cs="Arial"/>
          <w:sz w:val="24"/>
          <w:szCs w:val="24"/>
          <w:lang w:eastAsia="en-GB"/>
        </w:rPr>
      </w:pPr>
      <w:r w:rsidRPr="000D2888">
        <w:rPr>
          <w:rFonts w:ascii="Arial" w:eastAsia="Times New Roman" w:hAnsi="Arial" w:cs="Arial"/>
          <w:sz w:val="24"/>
          <w:szCs w:val="24"/>
          <w:lang w:eastAsia="en-GB"/>
        </w:rPr>
        <w:t xml:space="preserve">Sheasby, L. (2023) ‘Effective communication in health and social care’. Access , 17 November. Available at: https://www.theaccessgroup.com/en-gb/blog/hsc-effective-communication-health-and-social-care/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Social Services and well-being (wales) act 2014 - Welsh Government</w:t>
      </w:r>
      <w:r w:rsidRPr="000D2888">
        <w:rPr>
          <w:rFonts w:ascii="Arial" w:hAnsi="Arial" w:cs="Arial"/>
        </w:rPr>
        <w:t xml:space="preserve"> (2014) </w:t>
      </w:r>
      <w:r w:rsidRPr="000D2888">
        <w:rPr>
          <w:rFonts w:ascii="Arial" w:hAnsi="Arial" w:cs="Arial"/>
          <w:i/>
          <w:iCs/>
        </w:rPr>
        <w:t xml:space="preserve">The Essentials </w:t>
      </w:r>
      <w:r w:rsidRPr="000D2888">
        <w:rPr>
          <w:rFonts w:ascii="Arial" w:hAnsi="Arial" w:cs="Arial"/>
        </w:rPr>
        <w:t>. Available at: https://www.gov.wales/sites/default/files/publications/2019-</w:t>
      </w:r>
      <w:r w:rsidRPr="000D2888">
        <w:rPr>
          <w:rFonts w:ascii="Arial" w:hAnsi="Arial" w:cs="Arial"/>
        </w:rPr>
        <w:lastRenderedPageBreak/>
        <w:t xml:space="preserve">05/social-services-and-well-being-wales-act-2014-the-essentials.pdf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Social Services and well-being (wales) act 2014 - Welsh Government</w:t>
      </w:r>
      <w:r w:rsidRPr="000D2888">
        <w:rPr>
          <w:rFonts w:ascii="Arial" w:hAnsi="Arial" w:cs="Arial"/>
        </w:rPr>
        <w:t xml:space="preserve"> (no date) </w:t>
      </w:r>
      <w:r w:rsidRPr="000D2888">
        <w:rPr>
          <w:rFonts w:ascii="Arial" w:hAnsi="Arial" w:cs="Arial"/>
          <w:i/>
          <w:iCs/>
        </w:rPr>
        <w:t>Part 3 Code of Practice (assessing the needs of individuals)</w:t>
      </w:r>
      <w:r w:rsidRPr="000D2888">
        <w:rPr>
          <w:rFonts w:ascii="Arial" w:hAnsi="Arial" w:cs="Arial"/>
        </w:rPr>
        <w:t xml:space="preserve">. Available at: https://www.gov.wales/sites/default/files/publications/2019-05/part-3-code-of-practice-assessing-the-needs-of-individuals.pdf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Social Services and well-being (wales) act 2014</w:t>
      </w:r>
      <w:r w:rsidRPr="000D2888">
        <w:rPr>
          <w:rFonts w:ascii="Arial" w:hAnsi="Arial" w:cs="Arial"/>
        </w:rPr>
        <w:t xml:space="preserve">, </w:t>
      </w:r>
      <w:r w:rsidRPr="000D2888">
        <w:rPr>
          <w:rFonts w:ascii="Arial" w:hAnsi="Arial" w:cs="Arial"/>
          <w:i/>
          <w:iCs/>
        </w:rPr>
        <w:t>Legislation.gov.uk</w:t>
      </w:r>
      <w:r w:rsidRPr="000D2888">
        <w:rPr>
          <w:rFonts w:ascii="Arial" w:hAnsi="Arial" w:cs="Arial"/>
        </w:rPr>
        <w:t xml:space="preserve">. Available at: https://www.legislation.gov.uk/anaw/2014/4/contents (Accessed: 04 February 2024). </w:t>
      </w:r>
    </w:p>
    <w:p w:rsidR="000D2888" w:rsidRPr="000D2888" w:rsidRDefault="000D2888" w:rsidP="000D2888">
      <w:pPr>
        <w:pStyle w:val="NormalWeb"/>
        <w:numPr>
          <w:ilvl w:val="0"/>
          <w:numId w:val="54"/>
        </w:numPr>
        <w:spacing w:line="360" w:lineRule="auto"/>
        <w:rPr>
          <w:rFonts w:ascii="Arial" w:hAnsi="Arial" w:cs="Arial"/>
        </w:rPr>
      </w:pPr>
      <w:r w:rsidRPr="000D2888">
        <w:rPr>
          <w:rFonts w:ascii="Arial" w:hAnsi="Arial" w:cs="Arial"/>
          <w:i/>
          <w:iCs/>
        </w:rPr>
        <w:t>The Code</w:t>
      </w:r>
      <w:r w:rsidRPr="000D2888">
        <w:rPr>
          <w:rFonts w:ascii="Arial" w:hAnsi="Arial" w:cs="Arial"/>
        </w:rPr>
        <w:t xml:space="preserve"> (2017) </w:t>
      </w:r>
      <w:r w:rsidRPr="000D2888">
        <w:rPr>
          <w:rFonts w:ascii="Arial" w:hAnsi="Arial" w:cs="Arial"/>
          <w:i/>
          <w:iCs/>
        </w:rPr>
        <w:t>Code of professional practice for social care</w:t>
      </w:r>
      <w:r w:rsidRPr="000D2888">
        <w:rPr>
          <w:rFonts w:ascii="Arial" w:hAnsi="Arial" w:cs="Arial"/>
        </w:rPr>
        <w:t xml:space="preserve">. Available at: https://socialcare.wales/cms-assets/documents/Code-of-Professional-Practice-for-Social-Care-web-version.pdf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The Code</w:t>
      </w:r>
      <w:r w:rsidRPr="000D2888">
        <w:rPr>
          <w:rFonts w:ascii="Arial" w:hAnsi="Arial" w:cs="Arial"/>
        </w:rPr>
        <w:t xml:space="preserve"> (2017) </w:t>
      </w:r>
      <w:r w:rsidRPr="000D2888">
        <w:rPr>
          <w:rFonts w:ascii="Arial" w:hAnsi="Arial" w:cs="Arial"/>
          <w:i/>
          <w:iCs/>
        </w:rPr>
        <w:t>Code of professional practice for social care</w:t>
      </w:r>
      <w:r w:rsidRPr="000D2888">
        <w:rPr>
          <w:rFonts w:ascii="Arial" w:hAnsi="Arial" w:cs="Arial"/>
        </w:rPr>
        <w:t xml:space="preserve">. Available at: https://socialcare.wales/cms-assets/documents/Code-of-Professional-Practice-for-Social-Care-web-version.pdf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The review conference</w:t>
      </w:r>
      <w:r w:rsidRPr="000D2888">
        <w:rPr>
          <w:rFonts w:ascii="Arial" w:hAnsi="Arial" w:cs="Arial"/>
        </w:rPr>
        <w:t xml:space="preserve"> (no date) </w:t>
      </w:r>
      <w:r w:rsidRPr="000D2888">
        <w:rPr>
          <w:rFonts w:ascii="Arial" w:hAnsi="Arial" w:cs="Arial"/>
          <w:i/>
          <w:iCs/>
        </w:rPr>
        <w:t>Safeguarding Wales</w:t>
      </w:r>
      <w:r w:rsidRPr="000D2888">
        <w:rPr>
          <w:rFonts w:ascii="Arial" w:hAnsi="Arial" w:cs="Arial"/>
        </w:rPr>
        <w:t xml:space="preserve">. Available at: https://www.safeguarding.wales/en/chi-i/chi-i-c4/c4-p8/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Types and indicators of abuse: Safeguarding adults</w:t>
      </w:r>
      <w:r w:rsidRPr="000D2888">
        <w:rPr>
          <w:rFonts w:ascii="Arial" w:hAnsi="Arial" w:cs="Arial"/>
        </w:rPr>
        <w:t xml:space="preserve"> (2023) </w:t>
      </w:r>
      <w:r w:rsidRPr="000D2888">
        <w:rPr>
          <w:rFonts w:ascii="Arial" w:hAnsi="Arial" w:cs="Arial"/>
          <w:i/>
          <w:iCs/>
        </w:rPr>
        <w:t>SCIE</w:t>
      </w:r>
      <w:r w:rsidRPr="000D2888">
        <w:rPr>
          <w:rFonts w:ascii="Arial" w:hAnsi="Arial" w:cs="Arial"/>
        </w:rPr>
        <w:t xml:space="preserve">. Available at: https://www.scie.org.uk/safeguarding/adults/introduction/types-and-indicators-of-abuse/ (Accessed: 04 February 2024). </w:t>
      </w:r>
    </w:p>
    <w:p w:rsidR="000D2888" w:rsidRPr="000D2888" w:rsidRDefault="000D2888" w:rsidP="000D2888">
      <w:pPr>
        <w:pStyle w:val="NormalWeb"/>
        <w:numPr>
          <w:ilvl w:val="0"/>
          <w:numId w:val="54"/>
        </w:numPr>
        <w:spacing w:line="360" w:lineRule="auto"/>
        <w:rPr>
          <w:rFonts w:ascii="Arial" w:hAnsi="Arial" w:cs="Arial"/>
        </w:rPr>
      </w:pPr>
      <w:r w:rsidRPr="000D2888">
        <w:rPr>
          <w:rFonts w:ascii="Arial" w:hAnsi="Arial" w:cs="Arial"/>
          <w:i/>
          <w:iCs/>
        </w:rPr>
        <w:t>Understanding an outcomes approach in social care</w:t>
      </w:r>
      <w:r w:rsidRPr="000D2888">
        <w:rPr>
          <w:rFonts w:ascii="Arial" w:hAnsi="Arial" w:cs="Arial"/>
        </w:rPr>
        <w:t xml:space="preserve"> (2022) </w:t>
      </w:r>
      <w:r w:rsidRPr="000D2888">
        <w:rPr>
          <w:rFonts w:ascii="Arial" w:hAnsi="Arial" w:cs="Arial"/>
          <w:i/>
          <w:iCs/>
        </w:rPr>
        <w:t>Social Care Wales</w:t>
      </w:r>
      <w:r w:rsidRPr="000D2888">
        <w:rPr>
          <w:rFonts w:ascii="Arial" w:hAnsi="Arial" w:cs="Arial"/>
        </w:rPr>
        <w:t xml:space="preserve">. Available at: https://socialcare.wales/resources-guidance/improving-care-and-support/personal-outcomes/understanding-an-outcomes-approach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Understanding an outcomes approach in social care</w:t>
      </w:r>
      <w:r w:rsidRPr="000D2888">
        <w:rPr>
          <w:rFonts w:ascii="Arial" w:hAnsi="Arial" w:cs="Arial"/>
        </w:rPr>
        <w:t xml:space="preserve"> (2022) </w:t>
      </w:r>
      <w:r w:rsidRPr="000D2888">
        <w:rPr>
          <w:rFonts w:ascii="Arial" w:hAnsi="Arial" w:cs="Arial"/>
          <w:i/>
          <w:iCs/>
        </w:rPr>
        <w:t>Social Care Wales</w:t>
      </w:r>
      <w:r w:rsidRPr="000D2888">
        <w:rPr>
          <w:rFonts w:ascii="Arial" w:hAnsi="Arial" w:cs="Arial"/>
        </w:rPr>
        <w:t xml:space="preserve">. Available at: https://socialcare.wales/resources-guidance/improving-care-and-support/personal-outcomes/understanding-an-outcomes-approach (Accessed: 04 February 2024). </w:t>
      </w:r>
    </w:p>
    <w:p w:rsidR="000D2888" w:rsidRPr="000D2888" w:rsidRDefault="000D2888" w:rsidP="000D2888">
      <w:pPr>
        <w:pStyle w:val="NormalWeb"/>
        <w:numPr>
          <w:ilvl w:val="0"/>
          <w:numId w:val="54"/>
        </w:numPr>
        <w:spacing w:line="360" w:lineRule="auto"/>
        <w:rPr>
          <w:rFonts w:ascii="Arial" w:eastAsiaTheme="minorHAnsi" w:hAnsi="Arial" w:cs="Arial"/>
          <w:lang w:eastAsia="en-US"/>
        </w:rPr>
      </w:pPr>
      <w:r w:rsidRPr="000D2888">
        <w:rPr>
          <w:rFonts w:ascii="Arial" w:hAnsi="Arial" w:cs="Arial"/>
          <w:iCs/>
        </w:rPr>
        <w:lastRenderedPageBreak/>
        <w:t>Understanding an outcomes approach in social care</w:t>
      </w:r>
      <w:r w:rsidRPr="000D2888">
        <w:rPr>
          <w:rFonts w:ascii="Arial" w:hAnsi="Arial" w:cs="Arial"/>
        </w:rPr>
        <w:t xml:space="preserve"> (2022) </w:t>
      </w:r>
      <w:r w:rsidRPr="000D2888">
        <w:rPr>
          <w:rFonts w:ascii="Arial" w:hAnsi="Arial" w:cs="Arial"/>
          <w:iCs/>
        </w:rPr>
        <w:t>Understanding an outcomes approach</w:t>
      </w:r>
      <w:r w:rsidRPr="000D2888">
        <w:rPr>
          <w:rFonts w:ascii="Arial" w:hAnsi="Arial" w:cs="Arial"/>
        </w:rPr>
        <w:t xml:space="preserve">. Available at: https://socialcare.wales/resources-guidance/improving-care-and-support/personal-outcomes/understanding-an-outcomes-approach (Accessed: 16 October 2023).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Wales safeguarding procedures</w:t>
      </w:r>
      <w:r w:rsidRPr="000D2888">
        <w:rPr>
          <w:rFonts w:ascii="Arial" w:hAnsi="Arial" w:cs="Arial"/>
        </w:rPr>
        <w:t xml:space="preserve"> (2019) </w:t>
      </w:r>
      <w:r w:rsidRPr="000D2888">
        <w:rPr>
          <w:rFonts w:ascii="Arial" w:hAnsi="Arial" w:cs="Arial"/>
          <w:i/>
          <w:iCs/>
        </w:rPr>
        <w:t>Safeguarding Wales</w:t>
      </w:r>
      <w:r w:rsidRPr="000D2888">
        <w:rPr>
          <w:rFonts w:ascii="Arial" w:hAnsi="Arial" w:cs="Arial"/>
        </w:rPr>
        <w:t xml:space="preserve">. Available at: https://safeguarding.wales/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rPr>
        <w:t xml:space="preserve">Wales, L. (2021) </w:t>
      </w:r>
      <w:r w:rsidRPr="000D2888">
        <w:rPr>
          <w:rFonts w:ascii="Arial" w:hAnsi="Arial" w:cs="Arial"/>
          <w:i/>
          <w:iCs/>
        </w:rPr>
        <w:t>Care and support for adults and children</w:t>
      </w:r>
      <w:r w:rsidRPr="000D2888">
        <w:rPr>
          <w:rFonts w:ascii="Arial" w:hAnsi="Arial" w:cs="Arial"/>
        </w:rPr>
        <w:t xml:space="preserve">, </w:t>
      </w:r>
      <w:r w:rsidRPr="000D2888">
        <w:rPr>
          <w:rFonts w:ascii="Arial" w:hAnsi="Arial" w:cs="Arial"/>
          <w:i/>
          <w:iCs/>
        </w:rPr>
        <w:t>Care and support for adults and children | Law Wales</w:t>
      </w:r>
      <w:r w:rsidRPr="000D2888">
        <w:rPr>
          <w:rFonts w:ascii="Arial" w:hAnsi="Arial" w:cs="Arial"/>
        </w:rPr>
        <w:t xml:space="preserve">. Available at: https://law.gov.wales/care-and-support-adults-and-children#:~:text=Local%20authorities%20have%20duties%20under,adult%20carers%20and%20child%20carers.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rPr>
        <w:t xml:space="preserve">West Glamorgan Safeguarding Board (N.D) </w:t>
      </w:r>
      <w:r w:rsidRPr="000D2888">
        <w:rPr>
          <w:rFonts w:ascii="Arial" w:hAnsi="Arial" w:cs="Arial"/>
          <w:i/>
          <w:iCs/>
        </w:rPr>
        <w:t>‘Together, we all have a part to play in preventing, detecting and reporting neglect and abuse.’</w:t>
      </w:r>
      <w:r w:rsidRPr="000D2888">
        <w:rPr>
          <w:rFonts w:ascii="Arial" w:hAnsi="Arial" w:cs="Arial"/>
        </w:rPr>
        <w:t xml:space="preserve">, </w:t>
      </w:r>
      <w:r w:rsidRPr="000D2888">
        <w:rPr>
          <w:rFonts w:ascii="Arial" w:hAnsi="Arial" w:cs="Arial"/>
          <w:i/>
          <w:iCs/>
        </w:rPr>
        <w:t>About Us</w:t>
      </w:r>
      <w:r w:rsidRPr="000D2888">
        <w:rPr>
          <w:rFonts w:ascii="Arial" w:hAnsi="Arial" w:cs="Arial"/>
        </w:rPr>
        <w:t xml:space="preserve">. Available at: https://www.wgsb.wales/21527 (Accessed: 04 February 2024).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rPr>
        <w:t xml:space="preserve">WGSB (2022) </w:t>
      </w:r>
      <w:r w:rsidRPr="000D2888">
        <w:rPr>
          <w:rFonts w:ascii="Arial" w:hAnsi="Arial" w:cs="Arial"/>
          <w:i/>
          <w:iCs/>
        </w:rPr>
        <w:t>Working with Uncooperative Families</w:t>
      </w:r>
      <w:r w:rsidRPr="000D2888">
        <w:rPr>
          <w:rFonts w:ascii="Arial" w:hAnsi="Arial" w:cs="Arial"/>
        </w:rPr>
        <w:t xml:space="preserve">, </w:t>
      </w:r>
      <w:r w:rsidRPr="000D2888">
        <w:rPr>
          <w:rFonts w:ascii="Arial" w:hAnsi="Arial" w:cs="Arial"/>
          <w:i/>
          <w:iCs/>
        </w:rPr>
        <w:t>Policies, procedures and Practice guidance</w:t>
      </w:r>
      <w:r w:rsidRPr="000D2888">
        <w:rPr>
          <w:rFonts w:ascii="Arial" w:hAnsi="Arial" w:cs="Arial"/>
        </w:rPr>
        <w:t xml:space="preserve">. Available at: https://www.wgsb.wales/36503 (Accessed: 04 February 2024). </w:t>
      </w:r>
    </w:p>
    <w:p w:rsidR="000D2888" w:rsidRPr="000D2888" w:rsidRDefault="000D2888" w:rsidP="000D2888">
      <w:pPr>
        <w:pStyle w:val="ListParagraph"/>
        <w:numPr>
          <w:ilvl w:val="0"/>
          <w:numId w:val="55"/>
        </w:numPr>
        <w:spacing w:before="100" w:beforeAutospacing="1" w:after="100" w:afterAutospacing="1" w:line="360" w:lineRule="auto"/>
        <w:rPr>
          <w:rFonts w:ascii="Arial" w:eastAsia="Times New Roman" w:hAnsi="Arial" w:cs="Arial"/>
          <w:sz w:val="24"/>
          <w:szCs w:val="24"/>
          <w:lang w:eastAsia="en-GB"/>
        </w:rPr>
      </w:pPr>
      <w:r w:rsidRPr="000D2888">
        <w:rPr>
          <w:rFonts w:ascii="Arial" w:eastAsia="Times New Roman" w:hAnsi="Arial" w:cs="Arial"/>
          <w:sz w:val="24"/>
          <w:szCs w:val="24"/>
          <w:lang w:eastAsia="en-GB"/>
        </w:rPr>
        <w:t xml:space="preserve">Wilson, K. (2009) </w:t>
      </w:r>
      <w:r w:rsidRPr="000D2888">
        <w:rPr>
          <w:rFonts w:ascii="Arial" w:eastAsia="Times New Roman" w:hAnsi="Arial" w:cs="Arial"/>
          <w:i/>
          <w:iCs/>
          <w:sz w:val="24"/>
          <w:szCs w:val="24"/>
          <w:lang w:eastAsia="en-GB"/>
        </w:rPr>
        <w:t>Social work: An introduction to contemporary practice</w:t>
      </w:r>
      <w:r w:rsidRPr="000D2888">
        <w:rPr>
          <w:rFonts w:ascii="Arial" w:eastAsia="Times New Roman" w:hAnsi="Arial" w:cs="Arial"/>
          <w:sz w:val="24"/>
          <w:szCs w:val="24"/>
          <w:lang w:eastAsia="en-GB"/>
        </w:rPr>
        <w:t xml:space="preserve">. Harlow: Pearson/Longman. </w:t>
      </w:r>
    </w:p>
    <w:p w:rsidR="000D2888" w:rsidRPr="000D2888" w:rsidRDefault="000D2888" w:rsidP="000D2888">
      <w:pPr>
        <w:pStyle w:val="NormalWeb"/>
        <w:numPr>
          <w:ilvl w:val="0"/>
          <w:numId w:val="55"/>
        </w:numPr>
        <w:spacing w:line="360" w:lineRule="auto"/>
        <w:rPr>
          <w:rFonts w:ascii="Arial" w:hAnsi="Arial" w:cs="Arial"/>
        </w:rPr>
      </w:pPr>
      <w:r w:rsidRPr="000D2888">
        <w:rPr>
          <w:rFonts w:ascii="Arial" w:hAnsi="Arial" w:cs="Arial"/>
          <w:i/>
          <w:iCs/>
        </w:rPr>
        <w:t>Your rights to care and support as an older person</w:t>
      </w:r>
      <w:r w:rsidRPr="000D2888">
        <w:rPr>
          <w:rFonts w:ascii="Arial" w:hAnsi="Arial" w:cs="Arial"/>
        </w:rPr>
        <w:t xml:space="preserve"> (2020) </w:t>
      </w:r>
      <w:r w:rsidRPr="000D2888">
        <w:rPr>
          <w:rFonts w:ascii="Arial" w:hAnsi="Arial" w:cs="Arial"/>
          <w:i/>
          <w:iCs/>
        </w:rPr>
        <w:t>GOV.WALES</w:t>
      </w:r>
      <w:r w:rsidRPr="000D2888">
        <w:rPr>
          <w:rFonts w:ascii="Arial" w:hAnsi="Arial" w:cs="Arial"/>
        </w:rPr>
        <w:t xml:space="preserve">. Available at: https://www.gov.wales/your-rights-care-and-support-older-person (Accessed: 04 February 2024). </w:t>
      </w:r>
    </w:p>
    <w:p w:rsidR="000D2888" w:rsidRPr="000D2888" w:rsidRDefault="000D2888" w:rsidP="000D2888">
      <w:pPr>
        <w:pStyle w:val="NormalWeb"/>
        <w:spacing w:line="360" w:lineRule="auto"/>
        <w:ind w:left="720"/>
        <w:rPr>
          <w:rFonts w:ascii="Arial" w:hAnsi="Arial" w:cs="Arial"/>
        </w:rPr>
      </w:pPr>
    </w:p>
    <w:p w:rsidR="000D2888" w:rsidRDefault="000D2888" w:rsidP="000D2888">
      <w:pPr>
        <w:rPr>
          <w:shd w:val="clear" w:color="auto" w:fill="FFFFFF"/>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rsidR="002A1A44" w:rsidRDefault="002A1A44" w:rsidP="00E559CE">
      <w:pPr>
        <w:jc w:val="both"/>
        <w:rPr>
          <w:sz w:val="24"/>
          <w:szCs w:val="24"/>
        </w:rPr>
      </w:pPr>
    </w:p>
    <w:p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994726" w:rsidP="000D2888">
            <w:pPr>
              <w:jc w:val="both"/>
              <w:rPr>
                <w:sz w:val="24"/>
                <w:szCs w:val="24"/>
              </w:rPr>
            </w:pPr>
            <w:r>
              <w:rPr>
                <w:sz w:val="24"/>
                <w:szCs w:val="24"/>
              </w:rPr>
              <w:t>23.03.</w:t>
            </w:r>
            <w:r w:rsidR="000D2888">
              <w:rPr>
                <w:sz w:val="24"/>
                <w:szCs w:val="24"/>
              </w:rPr>
              <w:t>23</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0D2888" w:rsidP="00B94443">
            <w:pPr>
              <w:jc w:val="both"/>
              <w:rPr>
                <w:sz w:val="24"/>
                <w:szCs w:val="24"/>
              </w:rPr>
            </w:pPr>
            <w:r>
              <w:rPr>
                <w:sz w:val="24"/>
                <w:szCs w:val="24"/>
              </w:rPr>
              <w:t>15.06.23</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0D2888" w:rsidP="00B94443">
            <w:pPr>
              <w:jc w:val="both"/>
              <w:rPr>
                <w:sz w:val="24"/>
                <w:szCs w:val="24"/>
              </w:rPr>
            </w:pPr>
            <w:r>
              <w:rPr>
                <w:sz w:val="24"/>
                <w:szCs w:val="24"/>
              </w:rPr>
              <w:t>27.07.23</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0D2888" w:rsidP="00B94443">
            <w:pPr>
              <w:jc w:val="both"/>
              <w:rPr>
                <w:sz w:val="24"/>
                <w:szCs w:val="24"/>
              </w:rPr>
            </w:pPr>
            <w:r>
              <w:rPr>
                <w:sz w:val="24"/>
                <w:szCs w:val="24"/>
              </w:rPr>
              <w:t>17.10.23</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8C7770" w:rsidRDefault="008C7770" w:rsidP="00E559CE">
      <w:pPr>
        <w:jc w:val="both"/>
        <w:rPr>
          <w:sz w:val="24"/>
          <w:szCs w:val="24"/>
        </w:rPr>
      </w:pPr>
    </w:p>
    <w:p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D3203C">
        <w:tc>
          <w:tcPr>
            <w:tcW w:w="10070" w:type="dxa"/>
          </w:tcPr>
          <w:p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rsidR="00B17FA0" w:rsidRPr="008B28E7" w:rsidRDefault="00B17FA0" w:rsidP="00FF7EBB">
            <w:pPr>
              <w:jc w:val="both"/>
              <w:rPr>
                <w:sz w:val="24"/>
                <w:szCs w:val="24"/>
              </w:rPr>
            </w:pPr>
          </w:p>
        </w:tc>
      </w:tr>
      <w:tr w:rsidR="0065276E" w:rsidRPr="008B28E7" w:rsidTr="00D3203C">
        <w:tc>
          <w:tcPr>
            <w:tcW w:w="10070" w:type="dxa"/>
          </w:tcPr>
          <w:p w:rsidR="005D769D" w:rsidRPr="0082505F" w:rsidRDefault="005D769D" w:rsidP="005D769D">
            <w:pPr>
              <w:jc w:val="both"/>
              <w:rPr>
                <w:color w:val="auto"/>
                <w:sz w:val="24"/>
                <w:szCs w:val="24"/>
              </w:rPr>
            </w:pPr>
            <w:r>
              <w:rPr>
                <w:color w:val="auto"/>
                <w:sz w:val="24"/>
                <w:szCs w:val="24"/>
              </w:rPr>
              <w:t>Whilst I have had the benefit of knowing Lara as her mentor, during most of her Consolidation, it should be highlighted that she is focused and self directed. To further expand, Lara shows a clear balance and understanding in relation to exploring issues and challenges herself, showing a high level of determination and resilience around this, but also knows fully well where support and advice is, accessing this completely in appropriate timescales. The mentor sessions we have had, she has engaged with fully, used with a clear purpose and in order to expand on her thoughts and skills she possesses, even if she wants a ‘second opinion’ and to talk things through. It has been an absolute pleasure to observe her journey, given that I have been able to see</w:t>
            </w:r>
            <w:r w:rsidR="00B817C6">
              <w:rPr>
                <w:color w:val="auto"/>
                <w:sz w:val="24"/>
                <w:szCs w:val="24"/>
              </w:rPr>
              <w:t xml:space="preserve"> her as part of the team, when she was newly qualified. It should be fully recognised the journey that she has been on, qualifying in England with potentially limited childcare experiences prior. It has been a joy to see her adapt the skills she has learnt whilst on the course, even if some of the knowledge (legislation) would have limited relevance, and see her journey through newly qualified to now post consolidation. Her confidence, approach, humour and skills will set her well for her future social work career.</w:t>
            </w:r>
            <w:r>
              <w:rPr>
                <w:color w:val="auto"/>
                <w:sz w:val="24"/>
                <w:szCs w:val="24"/>
              </w:rPr>
              <w:t xml:space="preserve"> She is a significant member </w:t>
            </w:r>
            <w:r w:rsidRPr="0082505F">
              <w:rPr>
                <w:color w:val="auto"/>
                <w:sz w:val="24"/>
                <w:szCs w:val="24"/>
              </w:rPr>
              <w:t>of the team and is a credit to social work practice.</w:t>
            </w:r>
          </w:p>
          <w:p w:rsidR="005D769D" w:rsidRPr="0082505F" w:rsidRDefault="005D769D" w:rsidP="005D769D">
            <w:pPr>
              <w:jc w:val="both"/>
              <w:rPr>
                <w:color w:val="auto"/>
                <w:sz w:val="24"/>
                <w:szCs w:val="24"/>
              </w:rPr>
            </w:pPr>
          </w:p>
          <w:p w:rsidR="0082505F" w:rsidRPr="0082505F" w:rsidRDefault="005D769D" w:rsidP="005D769D">
            <w:pPr>
              <w:jc w:val="both"/>
              <w:rPr>
                <w:color w:val="auto"/>
                <w:sz w:val="24"/>
                <w:szCs w:val="24"/>
              </w:rPr>
            </w:pPr>
            <w:r w:rsidRPr="0082505F">
              <w:rPr>
                <w:color w:val="auto"/>
                <w:sz w:val="24"/>
                <w:szCs w:val="24"/>
              </w:rPr>
              <w:t>Focusing though on the Consolidation year,</w:t>
            </w:r>
            <w:r w:rsidR="0082505F" w:rsidRPr="0082505F">
              <w:rPr>
                <w:color w:val="auto"/>
                <w:sz w:val="24"/>
                <w:szCs w:val="24"/>
              </w:rPr>
              <w:t xml:space="preserve"> Lara identified the learning outcomes of </w:t>
            </w:r>
          </w:p>
          <w:p w:rsidR="0082505F" w:rsidRPr="0082505F" w:rsidRDefault="0082505F" w:rsidP="0082505F">
            <w:pPr>
              <w:pStyle w:val="ListParagraph"/>
              <w:numPr>
                <w:ilvl w:val="0"/>
                <w:numId w:val="57"/>
              </w:numPr>
              <w:jc w:val="both"/>
              <w:rPr>
                <w:rFonts w:ascii="Arial" w:hAnsi="Arial" w:cs="Arial"/>
                <w:sz w:val="24"/>
                <w:szCs w:val="24"/>
              </w:rPr>
            </w:pPr>
            <w:r w:rsidRPr="0082505F">
              <w:rPr>
                <w:rFonts w:ascii="Arial" w:hAnsi="Arial" w:cs="Arial"/>
                <w:sz w:val="24"/>
                <w:szCs w:val="24"/>
              </w:rPr>
              <w:t>Being more confident in the application of Outcomes based work</w:t>
            </w:r>
          </w:p>
          <w:p w:rsidR="0082505F" w:rsidRPr="0082505F" w:rsidRDefault="0082505F" w:rsidP="0082505F">
            <w:pPr>
              <w:pStyle w:val="ListParagraph"/>
              <w:numPr>
                <w:ilvl w:val="0"/>
                <w:numId w:val="57"/>
              </w:numPr>
              <w:jc w:val="both"/>
              <w:rPr>
                <w:rFonts w:ascii="Arial" w:hAnsi="Arial" w:cs="Arial"/>
                <w:sz w:val="24"/>
                <w:szCs w:val="24"/>
              </w:rPr>
            </w:pPr>
            <w:r w:rsidRPr="0082505F">
              <w:rPr>
                <w:rFonts w:ascii="Arial" w:hAnsi="Arial" w:cs="Arial"/>
                <w:sz w:val="24"/>
                <w:szCs w:val="24"/>
              </w:rPr>
              <w:t>Developing critical analysis within practice</w:t>
            </w:r>
          </w:p>
          <w:p w:rsidR="0082505F" w:rsidRPr="0082505F" w:rsidRDefault="0082505F" w:rsidP="0082505F">
            <w:pPr>
              <w:pStyle w:val="ListParagraph"/>
              <w:numPr>
                <w:ilvl w:val="0"/>
                <w:numId w:val="57"/>
              </w:numPr>
              <w:jc w:val="both"/>
              <w:rPr>
                <w:rFonts w:ascii="Arial" w:hAnsi="Arial" w:cs="Arial"/>
                <w:sz w:val="24"/>
                <w:szCs w:val="24"/>
              </w:rPr>
            </w:pPr>
            <w:r w:rsidRPr="0082505F">
              <w:rPr>
                <w:rFonts w:ascii="Arial" w:hAnsi="Arial" w:cs="Arial"/>
                <w:sz w:val="24"/>
                <w:szCs w:val="24"/>
              </w:rPr>
              <w:lastRenderedPageBreak/>
              <w:t>Developing knowledge and application of research around domestic abuse</w:t>
            </w:r>
          </w:p>
          <w:p w:rsidR="0082505F" w:rsidRDefault="0082505F" w:rsidP="0082505F">
            <w:pPr>
              <w:jc w:val="both"/>
              <w:rPr>
                <w:sz w:val="24"/>
                <w:szCs w:val="24"/>
              </w:rPr>
            </w:pPr>
          </w:p>
          <w:p w:rsidR="00517E0C" w:rsidRDefault="0082505F" w:rsidP="00517E0C">
            <w:pPr>
              <w:jc w:val="both"/>
              <w:rPr>
                <w:sz w:val="24"/>
                <w:szCs w:val="24"/>
              </w:rPr>
            </w:pPr>
            <w:r>
              <w:rPr>
                <w:sz w:val="24"/>
                <w:szCs w:val="24"/>
              </w:rPr>
              <w:t xml:space="preserve">It should be highlighted that </w:t>
            </w:r>
            <w:r w:rsidRPr="0082505F">
              <w:rPr>
                <w:sz w:val="24"/>
                <w:szCs w:val="24"/>
              </w:rPr>
              <w:t>Lara’s</w:t>
            </w:r>
            <w:r w:rsidR="005D769D" w:rsidRPr="0082505F">
              <w:rPr>
                <w:sz w:val="24"/>
                <w:szCs w:val="24"/>
              </w:rPr>
              <w:t xml:space="preserve"> practice very much reflects the content and style of her writing, within this portfolio. She is a</w:t>
            </w:r>
            <w:r w:rsidRPr="0082505F">
              <w:rPr>
                <w:sz w:val="24"/>
                <w:szCs w:val="24"/>
              </w:rPr>
              <w:t xml:space="preserve"> resilient and</w:t>
            </w:r>
            <w:r w:rsidR="005D769D" w:rsidRPr="0082505F">
              <w:rPr>
                <w:sz w:val="24"/>
                <w:szCs w:val="24"/>
              </w:rPr>
              <w:t xml:space="preserve"> reflective practitioner, readily employing appropriate tools and strategies in considering not only a family’s situation and needs but also her practice and involvement. </w:t>
            </w:r>
            <w:r>
              <w:rPr>
                <w:sz w:val="24"/>
                <w:szCs w:val="24"/>
              </w:rPr>
              <w:t>She is able to reflect on her skill base and areas of improvement no doubt with the end goal being to improve the support she can offer families she is working with. Lara naturally employs a person centred approach</w:t>
            </w:r>
            <w:r w:rsidR="007C526B">
              <w:rPr>
                <w:sz w:val="24"/>
                <w:szCs w:val="24"/>
              </w:rPr>
              <w:t xml:space="preserve">, wanting to work alongside families, which is reflective of an Outcomes approach. This is highlighted in her work, with a relatively recent audit on Care Plans highlighting that Lara’s was one of the best members of the team for evidence outcomes within the care plans. Outcomes that were clearly the family’s words, including the specific outcome, strengths and priority risks as well as scaling, indicating ownership for the family and the nature of discussions that Lara is having. </w:t>
            </w:r>
            <w:r w:rsidR="005D769D" w:rsidRPr="0082505F">
              <w:rPr>
                <w:sz w:val="24"/>
                <w:szCs w:val="24"/>
              </w:rPr>
              <w:t xml:space="preserve">From my own knowledge of her caseload, I am very mindful of specific families that have had challenging and difficult </w:t>
            </w:r>
            <w:r w:rsidR="007C526B">
              <w:rPr>
                <w:sz w:val="24"/>
                <w:szCs w:val="24"/>
              </w:rPr>
              <w:t>experiences with professionals, for a number of different reasons. Lara has demonstrated a clear balance between maintaining professionalism whilst also supporting the family. Her approach is engaging and interactive, working with both young people and adults alike. I can comment on the direct work that she has engaged with young people with, both through joint working with myself (undertaking a number of direct work sessions with a potentially vulnerable young person, engaging with preventative work) as well as with the direct observation which I had the pleasure of observing. Lara clearly has a good skill set in engaging young people</w:t>
            </w:r>
            <w:r w:rsidR="00517E0C">
              <w:rPr>
                <w:sz w:val="24"/>
                <w:szCs w:val="24"/>
              </w:rPr>
              <w:t>, which she puts into practice.</w:t>
            </w:r>
            <w:r w:rsidR="007C526B">
              <w:rPr>
                <w:sz w:val="24"/>
                <w:szCs w:val="24"/>
              </w:rPr>
              <w:t xml:space="preserve"> She has presented cases for discussion at our regular Outcomes (monthly) meetings, demonstrating critical analysis around the issues around the family, balancing the risks, strengths and best interests of the parties involved. Although I am not familiar with her specific work on the system (assessments, etc.), I can confidently say that Lara is expanding her skills and experiences, taking on private Family Court work, demonstrating her progress and the faith that management have in her practice. In relation to the final outcome, Lara </w:t>
            </w:r>
            <w:r w:rsidR="00517E0C">
              <w:rPr>
                <w:sz w:val="24"/>
                <w:szCs w:val="24"/>
              </w:rPr>
              <w:t>works with a range of different families and situations, many include domestic abuse within it’s many different ‘faces’. Lara’s non-judgemental approach in working with families in acknowledging issues, without necessarily blaming, as enabled her families to develop strong and healthy relationships with professionals. It should also be noted that Lara has had to contend with a number of different and challenging situations with contextual risks as well, including violence, substance misuse and gangs. Although I am sure that this can be draining emotionally, Lara remains committed to the families she is working with and has the necessary skills to ensure that she does not become overwhelmed or burnt out.</w:t>
            </w:r>
          </w:p>
          <w:p w:rsidR="00FC0334" w:rsidRPr="008B28E7" w:rsidRDefault="00517E0C" w:rsidP="00517E0C">
            <w:pPr>
              <w:jc w:val="both"/>
              <w:rPr>
                <w:color w:val="auto"/>
                <w:sz w:val="24"/>
                <w:szCs w:val="24"/>
              </w:rPr>
            </w:pPr>
            <w:r w:rsidRPr="008B28E7">
              <w:rPr>
                <w:color w:val="auto"/>
                <w:sz w:val="24"/>
                <w:szCs w:val="24"/>
              </w:rPr>
              <w:t xml:space="preserve"> </w:t>
            </w:r>
          </w:p>
        </w:tc>
      </w:tr>
      <w:tr w:rsidR="00D3203C" w:rsidRPr="008B28E7" w:rsidTr="00D3203C">
        <w:tc>
          <w:tcPr>
            <w:tcW w:w="10070" w:type="dxa"/>
          </w:tcPr>
          <w:p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rsidR="00092970" w:rsidRDefault="00092970"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500748" w:rsidRPr="00EE5BC3" w:rsidRDefault="00064063" w:rsidP="00AA7960">
      <w:pPr>
        <w:keepNext/>
        <w:jc w:val="center"/>
        <w:rPr>
          <w:b/>
          <w:sz w:val="28"/>
          <w:szCs w:val="28"/>
        </w:rPr>
      </w:pPr>
      <w:r w:rsidRPr="00EE5BC3">
        <w:rPr>
          <w:b/>
          <w:sz w:val="28"/>
          <w:szCs w:val="28"/>
        </w:rPr>
        <w:lastRenderedPageBreak/>
        <w:t>Learner Details</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994726">
        <w:rPr>
          <w:b/>
          <w:sz w:val="24"/>
          <w:szCs w:val="24"/>
        </w:rPr>
        <w:t>Lara Lewis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994726">
        <w:rPr>
          <w:b/>
          <w:sz w:val="24"/>
          <w:szCs w:val="24"/>
        </w:rPr>
        <w:t xml:space="preserve"> 1603050</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994726" w:rsidRPr="008B28E7" w:rsidRDefault="000F341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Neath Port Talbot, Civic Centre, Neath, SA11 3QZ</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994726">
        <w:rPr>
          <w:b/>
          <w:sz w:val="24"/>
          <w:szCs w:val="24"/>
        </w:rPr>
        <w:t xml:space="preserve"> 07588700558</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94726">
        <w:rPr>
          <w:b/>
          <w:sz w:val="24"/>
          <w:szCs w:val="24"/>
        </w:rPr>
        <w:t xml:space="preserve"> </w:t>
      </w:r>
      <w:r w:rsidR="000F3412">
        <w:rPr>
          <w:b/>
          <w:sz w:val="24"/>
          <w:szCs w:val="24"/>
        </w:rPr>
        <w:t>l.lewis12@npt.gov.uk</w:t>
      </w:r>
      <w:r w:rsidR="00994726">
        <w:rPr>
          <w:b/>
          <w:sz w:val="24"/>
          <w:szCs w:val="24"/>
        </w:rPr>
        <w:t xml:space="preserve">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994726">
        <w:rPr>
          <w:b/>
          <w:sz w:val="24"/>
          <w:szCs w:val="24"/>
        </w:rPr>
        <w:t xml:space="preserve"> 17/02/2021</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994726">
        <w:rPr>
          <w:b/>
          <w:sz w:val="24"/>
          <w:szCs w:val="24"/>
        </w:rPr>
        <w:t xml:space="preserve"> </w:t>
      </w:r>
      <w:r w:rsidR="000F3412">
        <w:rPr>
          <w:b/>
          <w:sz w:val="24"/>
          <w:szCs w:val="24"/>
        </w:rPr>
        <w:t xml:space="preserve">Trinity Rees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994726">
        <w:rPr>
          <w:b/>
          <w:sz w:val="24"/>
          <w:szCs w:val="24"/>
        </w:rPr>
        <w:t xml:space="preserve">  </w:t>
      </w:r>
      <w:r w:rsidR="000F3412">
        <w:rPr>
          <w:b/>
          <w:sz w:val="24"/>
          <w:szCs w:val="24"/>
        </w:rPr>
        <w:t xml:space="preserve">Neath Port Talbot Council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994726">
        <w:rPr>
          <w:b/>
          <w:sz w:val="24"/>
          <w:szCs w:val="24"/>
        </w:rPr>
        <w:t xml:space="preserve"> </w:t>
      </w:r>
      <w:r w:rsidR="000F3412">
        <w:rPr>
          <w:b/>
          <w:sz w:val="24"/>
          <w:szCs w:val="24"/>
        </w:rPr>
        <w:t>1</w:t>
      </w:r>
      <w:r w:rsidR="000F3412" w:rsidRPr="000F3412">
        <w:rPr>
          <w:b/>
          <w:sz w:val="24"/>
          <w:szCs w:val="24"/>
          <w:vertAlign w:val="superscript"/>
        </w:rPr>
        <w:t>st</w:t>
      </w:r>
      <w:r w:rsidR="000F3412">
        <w:rPr>
          <w:b/>
          <w:sz w:val="24"/>
          <w:szCs w:val="24"/>
        </w:rPr>
        <w:t xml:space="preserve"> Floor, The Quays, Brunel Way, Baglan Energy Park, SA11 2GG</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0D2888">
        <w:rPr>
          <w:b/>
          <w:sz w:val="24"/>
          <w:szCs w:val="24"/>
        </w:rPr>
        <w:t xml:space="preserve"> </w:t>
      </w:r>
      <w:r w:rsidR="000F3412">
        <w:rPr>
          <w:b/>
          <w:sz w:val="24"/>
          <w:szCs w:val="24"/>
        </w:rPr>
        <w:t>01639685282</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0F3412" w:rsidRPr="000F3412">
        <w:rPr>
          <w:b/>
          <w:sz w:val="24"/>
          <w:szCs w:val="24"/>
        </w:rPr>
        <w:t>t.rees@npt.gov.uk</w:t>
      </w: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0D2888">
        <w:rPr>
          <w:b/>
          <w:color w:val="auto"/>
          <w:sz w:val="24"/>
          <w:szCs w:val="24"/>
          <w:highlight w:val="black"/>
        </w:rPr>
        <w:sym w:font="Wingdings" w:char="F06F"/>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D2888">
        <w:rPr>
          <w:b/>
          <w:sz w:val="24"/>
          <w:szCs w:val="24"/>
        </w:rPr>
        <w:t xml:space="preserve"> Travis Whittaker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0F3412">
        <w:rPr>
          <w:b/>
          <w:sz w:val="24"/>
          <w:szCs w:val="24"/>
        </w:rPr>
        <w:t xml:space="preserve"> Neath Port Talbot</w:t>
      </w:r>
      <w:r w:rsidR="000D2888">
        <w:rPr>
          <w:b/>
          <w:sz w:val="24"/>
          <w:szCs w:val="24"/>
        </w:rPr>
        <w:t xml:space="preserve"> Civic Centre, Neath</w:t>
      </w:r>
      <w:r w:rsidR="000F3412">
        <w:rPr>
          <w:b/>
          <w:sz w:val="24"/>
          <w:szCs w:val="24"/>
        </w:rPr>
        <w:t>, SA11 3QZ</w:t>
      </w:r>
      <w:r w:rsidR="000D2888">
        <w:rPr>
          <w:b/>
          <w:sz w:val="24"/>
          <w:szCs w:val="24"/>
        </w:rPr>
        <w:t xml:space="preserve">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0F3412">
        <w:rPr>
          <w:b/>
          <w:sz w:val="24"/>
          <w:szCs w:val="24"/>
        </w:rPr>
        <w:t xml:space="preserve"> 07811238820</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F3412">
        <w:rPr>
          <w:b/>
          <w:sz w:val="24"/>
          <w:szCs w:val="24"/>
        </w:rPr>
        <w:t xml:space="preserve"> </w:t>
      </w:r>
      <w:r w:rsidR="000F3412" w:rsidRPr="000F3412">
        <w:rPr>
          <w:b/>
          <w:sz w:val="24"/>
          <w:szCs w:val="24"/>
        </w:rPr>
        <w:t>t.whittaker@npt.gov.uk</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F81FEC" w:rsidRDefault="00F81FEC" w:rsidP="00F81FEC">
      <w:pPr>
        <w:jc w:val="both"/>
        <w:rPr>
          <w:b/>
          <w:sz w:val="24"/>
          <w:szCs w:val="24"/>
        </w:rPr>
      </w:pPr>
    </w:p>
    <w:p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r w:rsidR="000F3412">
              <w:rPr>
                <w:b/>
                <w:sz w:val="24"/>
                <w:szCs w:val="24"/>
              </w:rPr>
              <w:t xml:space="preserve"> As Above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p>
          <w:p w:rsidR="009D59C2" w:rsidRDefault="009D59C2" w:rsidP="00FF7EBB">
            <w:pPr>
              <w:jc w:val="both"/>
              <w:rPr>
                <w:b/>
                <w:sz w:val="24"/>
                <w:szCs w:val="24"/>
              </w:rPr>
            </w:pPr>
          </w:p>
          <w:p w:rsidR="009D59C2" w:rsidRDefault="009D59C2" w:rsidP="00FF7EBB">
            <w:pPr>
              <w:jc w:val="both"/>
              <w:rPr>
                <w:b/>
                <w:sz w:val="24"/>
                <w:szCs w:val="24"/>
              </w:rPr>
            </w:pPr>
          </w:p>
          <w:p w:rsidR="004923DA" w:rsidRPr="008B28E7"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Professional Qualification and date of qualification:</w:t>
            </w:r>
            <w:r w:rsidR="000F3412">
              <w:rPr>
                <w:b/>
                <w:sz w:val="24"/>
                <w:szCs w:val="24"/>
              </w:rPr>
              <w:t xml:space="preserve"> </w:t>
            </w:r>
          </w:p>
          <w:p w:rsidR="004923DA" w:rsidRDefault="004923DA" w:rsidP="00FF7EBB">
            <w:pPr>
              <w:jc w:val="both"/>
              <w:rPr>
                <w:b/>
                <w:sz w:val="24"/>
                <w:szCs w:val="24"/>
              </w:rPr>
            </w:pPr>
          </w:p>
          <w:p w:rsidR="004923DA" w:rsidRDefault="009D59C2" w:rsidP="00FF7EBB">
            <w:pPr>
              <w:jc w:val="both"/>
              <w:rPr>
                <w:b/>
                <w:sz w:val="24"/>
                <w:szCs w:val="24"/>
              </w:rPr>
            </w:pPr>
            <w:r>
              <w:rPr>
                <w:b/>
                <w:sz w:val="24"/>
                <w:szCs w:val="24"/>
              </w:rPr>
              <w:t>T</w:t>
            </w:r>
            <w:r w:rsidR="004923DA" w:rsidRPr="008B28E7">
              <w:rPr>
                <w:b/>
                <w:sz w:val="24"/>
                <w:szCs w:val="24"/>
              </w:rPr>
              <w:t>elephone number:</w:t>
            </w:r>
          </w:p>
          <w:p w:rsidR="009D59C2" w:rsidRDefault="009D59C2" w:rsidP="00FF7EBB">
            <w:pPr>
              <w:jc w:val="both"/>
              <w:rPr>
                <w:b/>
                <w:sz w:val="24"/>
                <w:szCs w:val="24"/>
              </w:rPr>
            </w:pPr>
          </w:p>
          <w:p w:rsidR="009D59C2" w:rsidRPr="008B28E7" w:rsidRDefault="009D59C2" w:rsidP="00FF7EBB">
            <w:pPr>
              <w:jc w:val="both"/>
              <w:rPr>
                <w:b/>
                <w:sz w:val="24"/>
                <w:szCs w:val="24"/>
              </w:rPr>
            </w:pPr>
            <w:r>
              <w:rPr>
                <w:b/>
                <w:sz w:val="24"/>
                <w:szCs w:val="24"/>
              </w:rPr>
              <w:t>Email address:</w:t>
            </w:r>
          </w:p>
          <w:p w:rsidR="00B17FA0" w:rsidRPr="008B28E7" w:rsidRDefault="00B17FA0" w:rsidP="000E38C3">
            <w:pPr>
              <w:jc w:val="both"/>
              <w:rPr>
                <w:b/>
                <w:sz w:val="24"/>
                <w:szCs w:val="24"/>
              </w:rPr>
            </w:pPr>
          </w:p>
        </w:tc>
      </w:tr>
    </w:tbl>
    <w:p w:rsidR="00830DD1" w:rsidRPr="00830DD1" w:rsidRDefault="00830DD1" w:rsidP="00830DD1"/>
    <w:p w:rsidR="00830DD1" w:rsidRPr="00830DD1" w:rsidRDefault="00830DD1" w:rsidP="00830DD1"/>
    <w:p w:rsidR="00830DD1" w:rsidRPr="00830DD1" w:rsidRDefault="00830DD1" w:rsidP="00830DD1"/>
    <w:p w:rsidR="00830DD1" w:rsidRPr="00830DD1" w:rsidRDefault="00830DD1" w:rsidP="00830DD1"/>
    <w:p w:rsidR="00830DD1" w:rsidRDefault="00830DD1" w:rsidP="00830DD1">
      <w:pPr>
        <w:rPr>
          <w:sz w:val="28"/>
          <w:szCs w:val="28"/>
        </w:rPr>
      </w:pPr>
    </w:p>
    <w:p w:rsidR="00830DD1" w:rsidRDefault="00830DD1" w:rsidP="00830DD1">
      <w:pPr>
        <w:rPr>
          <w:sz w:val="28"/>
          <w:szCs w:val="28"/>
        </w:rPr>
      </w:pPr>
    </w:p>
    <w:p w:rsidR="00830DD1" w:rsidRDefault="00830DD1" w:rsidP="00830DD1">
      <w:pPr>
        <w:rPr>
          <w:sz w:val="28"/>
          <w:szCs w:val="28"/>
        </w:rPr>
      </w:pPr>
    </w:p>
    <w:p w:rsidR="004923DA" w:rsidRPr="00EE5BC3" w:rsidRDefault="004923DA" w:rsidP="00EE5BC3">
      <w:pPr>
        <w:keepNext/>
        <w:jc w:val="center"/>
        <w:rPr>
          <w:b/>
          <w:sz w:val="28"/>
          <w:szCs w:val="28"/>
        </w:rPr>
      </w:pPr>
      <w:r w:rsidRPr="00EE5BC3">
        <w:rPr>
          <w:b/>
          <w:sz w:val="28"/>
          <w:szCs w:val="28"/>
        </w:rPr>
        <w:lastRenderedPageBreak/>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w:t>
      </w:r>
      <w:r w:rsidR="00C57741" w:rsidRPr="00C57741">
        <w:rPr>
          <w:noProof/>
          <w:sz w:val="24"/>
          <w:szCs w:val="24"/>
        </w:rPr>
        <w:drawing>
          <wp:inline distT="0" distB="0" distL="0" distR="0" wp14:anchorId="2EBD53CD" wp14:editId="7E163BA7">
            <wp:extent cx="1044286" cy="583572"/>
            <wp:effectExtent l="0" t="0" r="381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54506" cy="589283"/>
                    </a:xfrm>
                    <a:prstGeom prst="rect">
                      <a:avLst/>
                    </a:prstGeom>
                  </pic:spPr>
                </pic:pic>
              </a:graphicData>
            </a:graphic>
          </wp:inline>
        </w:drawing>
      </w:r>
      <w:r>
        <w:rPr>
          <w:sz w:val="24"/>
          <w:szCs w:val="24"/>
        </w:rPr>
        <w:t xml:space="preserve"> </w:t>
      </w:r>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C57741">
        <w:rPr>
          <w:sz w:val="24"/>
          <w:szCs w:val="24"/>
        </w:rPr>
        <w:t>07/02/2024</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5D769D">
        <w:rPr>
          <w:noProof/>
        </w:rPr>
        <w:drawing>
          <wp:inline distT="0" distB="0" distL="0" distR="0" wp14:anchorId="236290D1" wp14:editId="175A75EC">
            <wp:extent cx="907472" cy="526472"/>
            <wp:effectExtent l="0" t="0" r="6985" b="6985"/>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18015" cy="532589"/>
                    </a:xfrm>
                    <a:prstGeom prst="rect">
                      <a:avLst/>
                    </a:prstGeom>
                    <a:noFill/>
                    <a:ln>
                      <a:noFill/>
                    </a:ln>
                  </pic:spPr>
                </pic:pic>
              </a:graphicData>
            </a:graphic>
          </wp:inline>
        </w:drawing>
      </w:r>
      <w:r w:rsidR="00B577D3">
        <w:rPr>
          <w:sz w:val="24"/>
          <w:szCs w:val="24"/>
        </w:rPr>
        <w:t xml:space="preserve">_ </w:t>
      </w:r>
      <w:r w:rsidR="00BC5725">
        <w:rPr>
          <w:sz w:val="24"/>
          <w:szCs w:val="24"/>
        </w:rPr>
        <w:t xml:space="preserve"> </w:t>
      </w:r>
      <w:r w:rsidRPr="008B28E7">
        <w:rPr>
          <w:sz w:val="24"/>
          <w:szCs w:val="24"/>
        </w:rPr>
        <w:t>(</w:t>
      </w:r>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5D769D">
        <w:rPr>
          <w:sz w:val="24"/>
          <w:szCs w:val="24"/>
        </w:rPr>
        <w:t>09/02/24</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335C41" w:rsidRDefault="00335C41" w:rsidP="00FF7EBB">
      <w:pPr>
        <w:ind w:right="180"/>
        <w:jc w:val="both"/>
        <w:rPr>
          <w:b/>
          <w:sz w:val="24"/>
          <w:szCs w:val="24"/>
        </w:rPr>
      </w:pPr>
    </w:p>
    <w:p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rsidTr="00335C41">
        <w:tc>
          <w:tcPr>
            <w:tcW w:w="10070" w:type="dxa"/>
          </w:tcPr>
          <w:p w:rsidR="00335C41" w:rsidRPr="00D3203C" w:rsidRDefault="00335C41" w:rsidP="00335C41">
            <w:pPr>
              <w:ind w:right="180"/>
              <w:jc w:val="both"/>
              <w:rPr>
                <w:b/>
                <w:sz w:val="24"/>
                <w:szCs w:val="24"/>
              </w:rPr>
            </w:pPr>
            <w:r w:rsidRPr="00D3203C">
              <w:rPr>
                <w:b/>
                <w:sz w:val="24"/>
                <w:szCs w:val="24"/>
              </w:rPr>
              <w:t xml:space="preserve">Mentors Report (to be completed by the mentor) </w:t>
            </w:r>
          </w:p>
          <w:p w:rsidR="001E2EB6" w:rsidRPr="00D3203C" w:rsidRDefault="001E2EB6" w:rsidP="00335C41">
            <w:pPr>
              <w:ind w:right="180"/>
              <w:jc w:val="both"/>
              <w:rPr>
                <w:b/>
                <w:sz w:val="24"/>
                <w:szCs w:val="24"/>
              </w:rPr>
            </w:pPr>
          </w:p>
          <w:p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rsidR="00335C41" w:rsidRPr="00D3203C" w:rsidRDefault="00335C41" w:rsidP="00335C41">
            <w:pPr>
              <w:ind w:right="180"/>
              <w:jc w:val="both"/>
              <w:rPr>
                <w:sz w:val="24"/>
                <w:szCs w:val="24"/>
              </w:rPr>
            </w:pPr>
          </w:p>
          <w:p w:rsidR="00335C41" w:rsidRPr="00D3203C" w:rsidRDefault="00335C41" w:rsidP="00335C41">
            <w:pPr>
              <w:ind w:right="180"/>
              <w:jc w:val="both"/>
              <w:rPr>
                <w:sz w:val="24"/>
                <w:szCs w:val="24"/>
              </w:rPr>
            </w:pPr>
            <w:r w:rsidRPr="00D3203C">
              <w:rPr>
                <w:sz w:val="24"/>
                <w:szCs w:val="24"/>
              </w:rPr>
              <w:lastRenderedPageBreak/>
              <w:t>Signed</w:t>
            </w:r>
            <w:r w:rsidR="005D769D">
              <w:rPr>
                <w:noProof/>
              </w:rPr>
              <w:drawing>
                <wp:inline distT="0" distB="0" distL="0" distR="0" wp14:anchorId="236290D1" wp14:editId="175A75EC">
                  <wp:extent cx="1011381" cy="706582"/>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18103" cy="711278"/>
                          </a:xfrm>
                          <a:prstGeom prst="rect">
                            <a:avLst/>
                          </a:prstGeom>
                          <a:noFill/>
                          <a:ln>
                            <a:noFill/>
                          </a:ln>
                        </pic:spPr>
                      </pic:pic>
                    </a:graphicData>
                  </a:graphic>
                </wp:inline>
              </w:drawing>
            </w:r>
            <w:r w:rsidR="005D769D" w:rsidRPr="00D3203C">
              <w:rPr>
                <w:sz w:val="24"/>
                <w:szCs w:val="24"/>
              </w:rPr>
              <w:t xml:space="preserve"> </w:t>
            </w:r>
            <w:r w:rsidRPr="00D3203C">
              <w:rPr>
                <w:sz w:val="24"/>
                <w:szCs w:val="24"/>
              </w:rPr>
              <w:t>(Mentor)</w:t>
            </w:r>
          </w:p>
          <w:p w:rsidR="00335C41" w:rsidRPr="00D3203C" w:rsidRDefault="00335C41" w:rsidP="00335C41">
            <w:pPr>
              <w:ind w:right="180"/>
              <w:jc w:val="both"/>
              <w:rPr>
                <w:sz w:val="24"/>
                <w:szCs w:val="24"/>
              </w:rPr>
            </w:pPr>
          </w:p>
          <w:p w:rsidR="00335C41" w:rsidRPr="00D3203C" w:rsidRDefault="00335C41" w:rsidP="00335C41">
            <w:pPr>
              <w:ind w:right="180"/>
              <w:jc w:val="both"/>
              <w:rPr>
                <w:sz w:val="24"/>
                <w:szCs w:val="24"/>
              </w:rPr>
            </w:pPr>
            <w:r w:rsidRPr="00D3203C">
              <w:rPr>
                <w:sz w:val="24"/>
                <w:szCs w:val="24"/>
              </w:rPr>
              <w:t xml:space="preserve">Date </w:t>
            </w:r>
            <w:r w:rsidR="005D769D">
              <w:rPr>
                <w:sz w:val="24"/>
                <w:szCs w:val="24"/>
              </w:rPr>
              <w:t>09/02/24</w:t>
            </w:r>
          </w:p>
          <w:p w:rsidR="00335C41" w:rsidRPr="001E2EB6" w:rsidRDefault="00335C41" w:rsidP="00335C41">
            <w:pPr>
              <w:ind w:right="180"/>
              <w:jc w:val="both"/>
              <w:rPr>
                <w:sz w:val="24"/>
                <w:szCs w:val="24"/>
                <w:highlight w:val="magenta"/>
              </w:rPr>
            </w:pPr>
          </w:p>
          <w:p w:rsidR="00335C41" w:rsidRPr="00706BB5" w:rsidRDefault="00335C41" w:rsidP="00D3203C">
            <w:pPr>
              <w:keepNext/>
              <w:jc w:val="center"/>
              <w:rPr>
                <w:b/>
                <w:sz w:val="24"/>
                <w:szCs w:val="24"/>
                <w:highlight w:val="magenta"/>
              </w:rPr>
            </w:pPr>
          </w:p>
        </w:tc>
      </w:tr>
    </w:tbl>
    <w:p w:rsidR="009C7342" w:rsidRDefault="009C7342" w:rsidP="00FF7EBB">
      <w:pPr>
        <w:ind w:right="180"/>
        <w:jc w:val="both"/>
        <w:rPr>
          <w:b/>
          <w:sz w:val="24"/>
          <w:szCs w:val="24"/>
        </w:rPr>
      </w:pPr>
    </w:p>
    <w:p w:rsidR="009C7342" w:rsidRPr="008B28E7" w:rsidRDefault="009C7342" w:rsidP="00FF7EBB">
      <w:pPr>
        <w:ind w:right="180"/>
        <w:jc w:val="both"/>
        <w:rPr>
          <w:b/>
          <w:sz w:val="24"/>
          <w:szCs w:val="24"/>
        </w:rPr>
      </w:pPr>
    </w:p>
    <w:p w:rsidR="00706BB5" w:rsidRDefault="00706BB5">
      <w:pPr>
        <w:ind w:right="180"/>
        <w:jc w:val="both"/>
        <w:rPr>
          <w:b/>
          <w:bCs/>
          <w:sz w:val="24"/>
          <w:szCs w:val="24"/>
        </w:rPr>
      </w:pPr>
    </w:p>
    <w:p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rsidR="5329D3D3" w:rsidRPr="003E54CF" w:rsidRDefault="5329D3D3" w:rsidP="003E54CF">
      <w:pPr>
        <w:overflowPunct/>
        <w:autoSpaceDE/>
        <w:autoSpaceDN/>
        <w:adjustRightInd/>
        <w:ind w:left="720"/>
        <w:jc w:val="both"/>
        <w:textAlignment w:val="auto"/>
        <w:rPr>
          <w:color w:val="auto"/>
          <w:sz w:val="24"/>
          <w:szCs w:val="24"/>
        </w:rPr>
      </w:pPr>
    </w:p>
    <w:p w:rsidR="0F2B140F" w:rsidRPr="00706BB5" w:rsidRDefault="0F2B140F" w:rsidP="00706BB5">
      <w:pPr>
        <w:jc w:val="both"/>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562BC7">
        <w:rPr>
          <w:caps/>
          <w:sz w:val="24"/>
          <w:szCs w:val="24"/>
        </w:rPr>
        <w:t>LISA wILCOX</w:t>
      </w:r>
      <w:r w:rsidR="00B577D3">
        <w:rPr>
          <w:caps/>
          <w:sz w:val="24"/>
          <w:szCs w:val="24"/>
        </w:rPr>
        <w:t xml:space="preserve"> _ _ _ _ _ _ _ _ _ _ _ _</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w:t>
      </w:r>
      <w:r w:rsidR="00562BC7">
        <w:rPr>
          <w:noProof/>
        </w:rPr>
        <w:drawing>
          <wp:inline distT="0" distB="0" distL="0" distR="0" wp14:anchorId="0B2D7005" wp14:editId="692F2B9B">
            <wp:extent cx="1089660" cy="320040"/>
            <wp:effectExtent l="0" t="0" r="0" b="3810"/>
            <wp:docPr id="7" name="Picture 7" descr="cid:image001.png@01D96E0A.F3B42C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96E0A.F3B42CA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089660" cy="320040"/>
                    </a:xfrm>
                    <a:prstGeom prst="rect">
                      <a:avLst/>
                    </a:prstGeom>
                    <a:noFill/>
                    <a:ln>
                      <a:noFill/>
                    </a:ln>
                  </pic:spPr>
                </pic:pic>
              </a:graphicData>
            </a:graphic>
          </wp:inline>
        </w:drawing>
      </w:r>
      <w:r w:rsidR="00B577D3" w:rsidRPr="00B577D3">
        <w:rPr>
          <w:sz w:val="24"/>
          <w:szCs w:val="24"/>
        </w:rPr>
        <w:t>_ _ _ _ _ _ _ _ _ _</w:t>
      </w:r>
      <w:r w:rsidR="009D59C2">
        <w:rPr>
          <w:sz w:val="24"/>
          <w:szCs w:val="24"/>
        </w:rPr>
        <w:t xml:space="preserve"> _ </w:t>
      </w:r>
      <w:r w:rsidR="00B577D3" w:rsidRPr="00B577D3">
        <w:rPr>
          <w:sz w:val="24"/>
          <w:szCs w:val="24"/>
        </w:rPr>
        <w:t xml:space="preserve"> _ _ _ _ _ _ _ _</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562BC7">
        <w:rPr>
          <w:sz w:val="24"/>
          <w:szCs w:val="24"/>
        </w:rPr>
        <w:t>12.02.24</w:t>
      </w:r>
      <w:r w:rsidR="00B577D3" w:rsidRPr="00B577D3">
        <w:rPr>
          <w:sz w:val="24"/>
          <w:szCs w:val="24"/>
        </w:rPr>
        <w:t xml:space="preserve"> _ _ _ _ _ _ _ _ _ _</w:t>
      </w:r>
    </w:p>
    <w:p w:rsidR="004923DA" w:rsidRPr="008B28E7" w:rsidRDefault="004923DA" w:rsidP="00FF7EBB">
      <w:pPr>
        <w:overflowPunct/>
        <w:autoSpaceDE/>
        <w:autoSpaceDN/>
        <w:adjustRightInd/>
        <w:jc w:val="both"/>
        <w:textAlignment w:val="auto"/>
        <w:rPr>
          <w:color w:val="auto"/>
          <w:sz w:val="24"/>
          <w:szCs w:val="24"/>
          <w:lang w:val="en"/>
        </w:rPr>
      </w:pPr>
    </w:p>
    <w:p w:rsidR="004923DA" w:rsidRPr="008B28E7" w:rsidRDefault="004923DA" w:rsidP="00FF7EBB">
      <w:pPr>
        <w:overflowPunct/>
        <w:autoSpaceDE/>
        <w:autoSpaceDN/>
        <w:adjustRightInd/>
        <w:jc w:val="both"/>
        <w:textAlignment w:val="auto"/>
        <w:rPr>
          <w:color w:val="auto"/>
          <w:sz w:val="24"/>
          <w:szCs w:val="24"/>
          <w:lang w:val="en"/>
        </w:rPr>
      </w:pPr>
    </w:p>
    <w:p w:rsidR="00FA41C7" w:rsidRPr="008B28E7" w:rsidRDefault="00FA41C7" w:rsidP="00FA41C7">
      <w:pPr>
        <w:overflowPunct/>
        <w:autoSpaceDE/>
        <w:autoSpaceDN/>
        <w:adjustRightInd/>
        <w:jc w:val="both"/>
        <w:textAlignment w:val="auto"/>
        <w:rPr>
          <w:color w:val="auto"/>
          <w:sz w:val="24"/>
          <w:szCs w:val="24"/>
        </w:rPr>
      </w:pPr>
    </w:p>
    <w:p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rsidR="00BB6638" w:rsidRPr="00DA5682" w:rsidRDefault="00BB6638" w:rsidP="00BB6638">
      <w:pPr>
        <w:tabs>
          <w:tab w:val="left" w:pos="1590"/>
        </w:tabs>
        <w:jc w:val="both"/>
        <w:rPr>
          <w:b/>
          <w:sz w:val="24"/>
          <w:szCs w:val="24"/>
        </w:rPr>
      </w:pPr>
    </w:p>
    <w:p w:rsidR="00BB6638" w:rsidRPr="00DA5682" w:rsidRDefault="00BB6638" w:rsidP="00BB6638">
      <w:pPr>
        <w:overflowPunct/>
        <w:autoSpaceDE/>
        <w:autoSpaceDN/>
        <w:adjustRightInd/>
        <w:textAlignment w:val="auto"/>
        <w:rPr>
          <w:color w:val="auto"/>
          <w:sz w:val="24"/>
          <w:szCs w:val="24"/>
        </w:rPr>
      </w:pPr>
    </w:p>
    <w:p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rsidR="00986C0B" w:rsidRPr="00DA5682" w:rsidRDefault="00986C0B" w:rsidP="00986C0B">
      <w:pPr>
        <w:ind w:right="72"/>
        <w:rPr>
          <w:b/>
          <w:bCs/>
          <w:sz w:val="24"/>
          <w:szCs w:val="24"/>
        </w:rPr>
      </w:pPr>
    </w:p>
    <w:p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rsidR="00986C0B" w:rsidRPr="00DA5682" w:rsidRDefault="00986C0B" w:rsidP="00986C0B">
      <w:pPr>
        <w:ind w:right="72"/>
        <w:jc w:val="center"/>
        <w:rPr>
          <w:b/>
          <w:bCs/>
          <w:sz w:val="24"/>
          <w:szCs w:val="24"/>
        </w:rPr>
      </w:pPr>
    </w:p>
    <w:p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Pr="00DA5682" w:rsidRDefault="000F3412">
            <w:pPr>
              <w:rPr>
                <w:sz w:val="24"/>
                <w:szCs w:val="24"/>
              </w:rPr>
            </w:pPr>
            <w:r>
              <w:rPr>
                <w:sz w:val="24"/>
                <w:szCs w:val="24"/>
              </w:rPr>
              <w:t>Lara Lewis</w:t>
            </w:r>
          </w:p>
        </w:tc>
      </w:tr>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Pr="00DA5682" w:rsidRDefault="000F3412">
            <w:pPr>
              <w:rPr>
                <w:sz w:val="24"/>
                <w:szCs w:val="24"/>
              </w:rPr>
            </w:pPr>
            <w:r>
              <w:rPr>
                <w:sz w:val="24"/>
                <w:szCs w:val="24"/>
              </w:rPr>
              <w:t>Cwrt Sart Community Children’s Team</w:t>
            </w:r>
          </w:p>
        </w:tc>
      </w:tr>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Pr="00DA5682" w:rsidRDefault="000F3412">
            <w:pPr>
              <w:rPr>
                <w:sz w:val="24"/>
                <w:szCs w:val="24"/>
              </w:rPr>
            </w:pPr>
            <w:r>
              <w:rPr>
                <w:sz w:val="24"/>
                <w:szCs w:val="24"/>
              </w:rPr>
              <w:t xml:space="preserve">Travis Whittaker </w:t>
            </w:r>
          </w:p>
        </w:tc>
      </w:tr>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Pr="00DA5682" w:rsidRDefault="000F3412">
            <w:pPr>
              <w:rPr>
                <w:sz w:val="24"/>
                <w:szCs w:val="24"/>
              </w:rPr>
            </w:pPr>
            <w:r>
              <w:rPr>
                <w:sz w:val="24"/>
                <w:szCs w:val="24"/>
              </w:rPr>
              <w:t xml:space="preserve">Lisa Wilcox </w:t>
            </w:r>
          </w:p>
        </w:tc>
      </w:tr>
    </w:tbl>
    <w:p w:rsidR="00986C0B" w:rsidRPr="00DA5682" w:rsidRDefault="00986C0B" w:rsidP="00986C0B">
      <w:pPr>
        <w:rPr>
          <w:sz w:val="24"/>
          <w:szCs w:val="24"/>
        </w:rPr>
      </w:pPr>
    </w:p>
    <w:p w:rsidR="00986C0B" w:rsidRPr="00DA5682" w:rsidRDefault="00986C0B" w:rsidP="00986C0B">
      <w:pPr>
        <w:rPr>
          <w:sz w:val="24"/>
          <w:szCs w:val="24"/>
        </w:rPr>
      </w:pPr>
      <w:r w:rsidRPr="00DA5682">
        <w:rPr>
          <w:b/>
          <w:sz w:val="24"/>
          <w:szCs w:val="24"/>
        </w:rPr>
        <w:t>Study Duty</w:t>
      </w:r>
    </w:p>
    <w:p w:rsidR="00986C0B" w:rsidRPr="00DA5682" w:rsidRDefault="00986C0B" w:rsidP="00986C0B">
      <w:pPr>
        <w:rPr>
          <w:sz w:val="24"/>
          <w:szCs w:val="24"/>
        </w:rPr>
      </w:pPr>
    </w:p>
    <w:p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rsidR="00986C0B" w:rsidRPr="00DA5682" w:rsidRDefault="00986C0B" w:rsidP="00986C0B">
      <w:pPr>
        <w:pStyle w:val="Title"/>
        <w:ind w:right="-1"/>
        <w:jc w:val="left"/>
        <w:rPr>
          <w:rFonts w:cs="Arial"/>
          <w:b w:val="0"/>
          <w:szCs w:val="24"/>
        </w:rPr>
      </w:pPr>
    </w:p>
    <w:p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rsidR="00986C0B" w:rsidRPr="00377884" w:rsidRDefault="00986C0B" w:rsidP="00986C0B">
      <w:pPr>
        <w:rPr>
          <w:sz w:val="24"/>
          <w:szCs w:val="24"/>
        </w:rPr>
      </w:pPr>
    </w:p>
    <w:p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rsidR="00986C0B" w:rsidRPr="00DA5682" w:rsidRDefault="00986C0B" w:rsidP="00986C0B">
      <w:pPr>
        <w:rPr>
          <w:sz w:val="24"/>
          <w:szCs w:val="24"/>
        </w:rPr>
      </w:pPr>
    </w:p>
    <w:p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rsidR="00986C0B" w:rsidRPr="00DA5682" w:rsidRDefault="00986C0B" w:rsidP="00986C0B">
      <w:pPr>
        <w:rPr>
          <w:sz w:val="24"/>
          <w:szCs w:val="24"/>
        </w:rPr>
      </w:pPr>
    </w:p>
    <w:p w:rsidR="00AA7960" w:rsidRDefault="00AA7960" w:rsidP="00986C0B">
      <w:pPr>
        <w:rPr>
          <w:b/>
          <w:sz w:val="24"/>
          <w:szCs w:val="24"/>
        </w:rPr>
      </w:pPr>
    </w:p>
    <w:p w:rsidR="001359EE" w:rsidRDefault="001359EE" w:rsidP="00986C0B">
      <w:pPr>
        <w:rPr>
          <w:b/>
          <w:sz w:val="24"/>
          <w:szCs w:val="24"/>
        </w:rPr>
      </w:pPr>
    </w:p>
    <w:p w:rsidR="00AA7960" w:rsidRDefault="00AA7960" w:rsidP="00986C0B">
      <w:pPr>
        <w:rPr>
          <w:b/>
          <w:sz w:val="24"/>
          <w:szCs w:val="24"/>
        </w:rPr>
      </w:pPr>
    </w:p>
    <w:p w:rsidR="00425160" w:rsidRDefault="00425160" w:rsidP="00986C0B">
      <w:pPr>
        <w:rPr>
          <w:b/>
          <w:sz w:val="24"/>
          <w:szCs w:val="24"/>
        </w:rPr>
      </w:pPr>
    </w:p>
    <w:p w:rsidR="00986C0B" w:rsidRPr="00DA5682" w:rsidRDefault="00986C0B" w:rsidP="00986C0B">
      <w:pPr>
        <w:rPr>
          <w:b/>
          <w:sz w:val="24"/>
          <w:szCs w:val="24"/>
        </w:rPr>
      </w:pPr>
      <w:r w:rsidRPr="00DA5682">
        <w:rPr>
          <w:b/>
          <w:sz w:val="24"/>
          <w:szCs w:val="24"/>
        </w:rPr>
        <w:lastRenderedPageBreak/>
        <w:t xml:space="preserve">Resources </w:t>
      </w:r>
    </w:p>
    <w:p w:rsidR="00986C0B" w:rsidRPr="00DA5682" w:rsidRDefault="00986C0B" w:rsidP="00986C0B">
      <w:pPr>
        <w:rPr>
          <w:sz w:val="24"/>
          <w:szCs w:val="24"/>
        </w:rPr>
      </w:pPr>
    </w:p>
    <w:p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rsidR="00986C0B" w:rsidRPr="00DA5682" w:rsidRDefault="00986C0B" w:rsidP="00986C0B">
      <w:pPr>
        <w:rPr>
          <w:sz w:val="24"/>
          <w:szCs w:val="24"/>
        </w:rPr>
      </w:pPr>
    </w:p>
    <w:p w:rsidR="000766EC" w:rsidRPr="00DA5682" w:rsidRDefault="000766EC" w:rsidP="00986C0B">
      <w:pPr>
        <w:rPr>
          <w:sz w:val="24"/>
          <w:szCs w:val="24"/>
        </w:rPr>
      </w:pPr>
    </w:p>
    <w:p w:rsidR="00986C0B" w:rsidRPr="00DA5682" w:rsidRDefault="00986C0B" w:rsidP="00986C0B">
      <w:pPr>
        <w:rPr>
          <w:b/>
          <w:sz w:val="24"/>
          <w:szCs w:val="24"/>
        </w:rPr>
      </w:pPr>
      <w:r w:rsidRPr="00DA5682">
        <w:rPr>
          <w:b/>
          <w:sz w:val="24"/>
          <w:szCs w:val="24"/>
        </w:rPr>
        <w:t xml:space="preserve">The employer’s training department agrees to: </w:t>
      </w:r>
    </w:p>
    <w:p w:rsidR="00986C0B" w:rsidRPr="00DA5682" w:rsidRDefault="00986C0B" w:rsidP="00986C0B">
      <w:pPr>
        <w:rPr>
          <w:sz w:val="24"/>
          <w:szCs w:val="24"/>
        </w:rPr>
      </w:pPr>
      <w:r w:rsidRPr="00DA5682">
        <w:rPr>
          <w:sz w:val="24"/>
          <w:szCs w:val="24"/>
        </w:rPr>
        <w:t xml:space="preserve"> </w:t>
      </w:r>
    </w:p>
    <w:p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rsidR="00986C0B" w:rsidRPr="00DA5682" w:rsidRDefault="00986C0B" w:rsidP="00986C0B">
      <w:pPr>
        <w:rPr>
          <w:sz w:val="24"/>
          <w:szCs w:val="24"/>
        </w:rPr>
      </w:pP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rsidR="00986C0B" w:rsidRPr="00DA5682" w:rsidRDefault="00986C0B" w:rsidP="00986C0B">
      <w:pPr>
        <w:tabs>
          <w:tab w:val="left" w:pos="360"/>
        </w:tabs>
        <w:rPr>
          <w:sz w:val="24"/>
          <w:szCs w:val="24"/>
        </w:rPr>
      </w:pPr>
    </w:p>
    <w:p w:rsidR="00986C0B" w:rsidRPr="00DA5682" w:rsidRDefault="00986C0B" w:rsidP="00986C0B">
      <w:pPr>
        <w:rPr>
          <w:b/>
          <w:sz w:val="24"/>
          <w:szCs w:val="24"/>
        </w:rPr>
      </w:pPr>
      <w:r w:rsidRPr="00DA5682">
        <w:rPr>
          <w:b/>
          <w:sz w:val="24"/>
          <w:szCs w:val="24"/>
        </w:rPr>
        <w:t xml:space="preserve">The learner agrees to: </w:t>
      </w:r>
    </w:p>
    <w:p w:rsidR="00986C0B" w:rsidRPr="00DA5682" w:rsidRDefault="00986C0B" w:rsidP="00986C0B">
      <w:pPr>
        <w:rPr>
          <w:sz w:val="24"/>
          <w:szCs w:val="24"/>
        </w:rPr>
      </w:pPr>
    </w:p>
    <w:p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rsidR="00986C0B" w:rsidRPr="00DA5682" w:rsidRDefault="00986C0B" w:rsidP="00986C0B">
      <w:pPr>
        <w:rPr>
          <w:sz w:val="24"/>
          <w:szCs w:val="24"/>
        </w:rPr>
      </w:pPr>
    </w:p>
    <w:p w:rsidR="00986C0B" w:rsidRPr="00DA5682" w:rsidRDefault="00986C0B" w:rsidP="00986C0B">
      <w:pPr>
        <w:rPr>
          <w:b/>
          <w:sz w:val="24"/>
          <w:szCs w:val="24"/>
        </w:rPr>
      </w:pPr>
    </w:p>
    <w:p w:rsidR="00986C0B" w:rsidRPr="00DA5682" w:rsidRDefault="00986C0B" w:rsidP="00986C0B">
      <w:pPr>
        <w:rPr>
          <w:b/>
          <w:sz w:val="24"/>
          <w:szCs w:val="24"/>
        </w:rPr>
      </w:pPr>
    </w:p>
    <w:p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rsidR="001359EE" w:rsidRPr="00B436BF" w:rsidRDefault="001359EE" w:rsidP="00986C0B">
      <w:pPr>
        <w:rPr>
          <w:b/>
          <w:sz w:val="24"/>
          <w:szCs w:val="24"/>
        </w:rPr>
      </w:pPr>
    </w:p>
    <w:p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rsidR="00986C0B" w:rsidRPr="00DA5682" w:rsidRDefault="00986C0B" w:rsidP="00986C0B">
      <w:pPr>
        <w:rPr>
          <w:sz w:val="24"/>
          <w:szCs w:val="24"/>
        </w:rPr>
      </w:pP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rsidR="00EE5BC3" w:rsidRDefault="00EE5BC3" w:rsidP="00986C0B">
      <w:pPr>
        <w:rPr>
          <w:b/>
          <w:sz w:val="24"/>
          <w:szCs w:val="24"/>
        </w:rPr>
      </w:pPr>
    </w:p>
    <w:p w:rsidR="00986C0B" w:rsidRPr="00DA5682" w:rsidRDefault="00986C0B" w:rsidP="00986C0B">
      <w:pPr>
        <w:rPr>
          <w:b/>
          <w:sz w:val="24"/>
          <w:szCs w:val="24"/>
        </w:rPr>
      </w:pPr>
      <w:r w:rsidRPr="00DA5682">
        <w:rPr>
          <w:b/>
          <w:sz w:val="24"/>
          <w:szCs w:val="24"/>
        </w:rPr>
        <w:t>Completion and submission of portfolio</w:t>
      </w:r>
    </w:p>
    <w:p w:rsidR="00986C0B" w:rsidRPr="00DA5682" w:rsidRDefault="00986C0B" w:rsidP="00986C0B">
      <w:pPr>
        <w:rPr>
          <w:b/>
          <w:sz w:val="24"/>
          <w:szCs w:val="24"/>
        </w:rPr>
      </w:pPr>
    </w:p>
    <w:p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rsidR="00986C0B" w:rsidRPr="00DA5682" w:rsidRDefault="00986C0B" w:rsidP="00986C0B">
      <w:pPr>
        <w:ind w:right="72"/>
        <w:rPr>
          <w:sz w:val="24"/>
          <w:szCs w:val="24"/>
        </w:rPr>
      </w:pPr>
    </w:p>
    <w:p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t>I understand and accept the terms and conditions of this learning agreement as stated above.</w:t>
      </w: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t>Signed:………</w:t>
      </w:r>
      <w:r w:rsidR="00C57741" w:rsidRPr="00C57741">
        <w:rPr>
          <w:noProof/>
        </w:rPr>
        <w:t xml:space="preserve"> </w:t>
      </w:r>
      <w:r w:rsidR="00C57741" w:rsidRPr="00C57741">
        <w:rPr>
          <w:noProof/>
          <w:sz w:val="24"/>
          <w:szCs w:val="24"/>
        </w:rPr>
        <w:drawing>
          <wp:inline distT="0" distB="0" distL="0" distR="0" wp14:anchorId="16063B11" wp14:editId="62D1A219">
            <wp:extent cx="854433" cy="506557"/>
            <wp:effectExtent l="0" t="0" r="317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79182" cy="521229"/>
                    </a:xfrm>
                    <a:prstGeom prst="rect">
                      <a:avLst/>
                    </a:prstGeom>
                  </pic:spPr>
                </pic:pic>
              </a:graphicData>
            </a:graphic>
          </wp:inline>
        </w:drawing>
      </w:r>
      <w:r w:rsidRPr="00DA5682">
        <w:rPr>
          <w:sz w:val="24"/>
          <w:szCs w:val="24"/>
        </w:rPr>
        <w:t>……………….. Print Name:</w:t>
      </w:r>
      <w:r w:rsidR="00C57741">
        <w:rPr>
          <w:sz w:val="24"/>
          <w:szCs w:val="24"/>
        </w:rPr>
        <w:t xml:space="preserve"> Lara Lewis   </w:t>
      </w:r>
      <w:r w:rsidRPr="00DA5682">
        <w:rPr>
          <w:sz w:val="24"/>
          <w:szCs w:val="24"/>
        </w:rPr>
        <w:t>Date:</w:t>
      </w:r>
      <w:r w:rsidR="00C57741">
        <w:rPr>
          <w:sz w:val="24"/>
          <w:szCs w:val="24"/>
        </w:rPr>
        <w:t xml:space="preserve"> 07/02/2024</w:t>
      </w:r>
      <w:r w:rsidRPr="00DA5682">
        <w:rPr>
          <w:sz w:val="24"/>
          <w:szCs w:val="24"/>
        </w:rPr>
        <w:t xml:space="preserve"> </w:t>
      </w:r>
    </w:p>
    <w:p w:rsidR="00986C0B" w:rsidRPr="00DA5682" w:rsidRDefault="00986C0B" w:rsidP="00986C0B">
      <w:pPr>
        <w:rPr>
          <w:sz w:val="24"/>
          <w:szCs w:val="24"/>
        </w:rPr>
      </w:pPr>
      <w:r w:rsidRPr="00DA5682">
        <w:rPr>
          <w:sz w:val="24"/>
          <w:szCs w:val="24"/>
        </w:rPr>
        <w:t>(Learner)</w:t>
      </w: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t>Signed:</w:t>
      </w:r>
      <w:r w:rsidR="00562BC7" w:rsidRPr="00562BC7">
        <w:rPr>
          <w:noProof/>
        </w:rPr>
        <w:t xml:space="preserve"> </w:t>
      </w:r>
      <w:r w:rsidR="00562BC7">
        <w:rPr>
          <w:noProof/>
        </w:rPr>
        <w:drawing>
          <wp:inline distT="0" distB="0" distL="0" distR="0" wp14:anchorId="0B2D7005" wp14:editId="692F2B9B">
            <wp:extent cx="1089660" cy="320040"/>
            <wp:effectExtent l="0" t="0" r="0" b="3810"/>
            <wp:docPr id="8" name="Picture 8" descr="cid:image001.png@01D96E0A.F3B42C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96E0A.F3B42CA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089660" cy="320040"/>
                    </a:xfrm>
                    <a:prstGeom prst="rect">
                      <a:avLst/>
                    </a:prstGeom>
                    <a:noFill/>
                    <a:ln>
                      <a:noFill/>
                    </a:ln>
                  </pic:spPr>
                </pic:pic>
              </a:graphicData>
            </a:graphic>
          </wp:inline>
        </w:drawing>
      </w:r>
      <w:r w:rsidRPr="00DA5682">
        <w:rPr>
          <w:sz w:val="24"/>
          <w:szCs w:val="24"/>
        </w:rPr>
        <w:t>…….. Print Name:</w:t>
      </w:r>
      <w:r w:rsidR="00562BC7">
        <w:rPr>
          <w:sz w:val="24"/>
          <w:szCs w:val="24"/>
        </w:rPr>
        <w:t xml:space="preserve"> Lisa Wilcox</w:t>
      </w:r>
      <w:r w:rsidRPr="00DA5682">
        <w:rPr>
          <w:sz w:val="24"/>
          <w:szCs w:val="24"/>
        </w:rPr>
        <w:t>….Date:…</w:t>
      </w:r>
      <w:r w:rsidR="00562BC7">
        <w:rPr>
          <w:sz w:val="24"/>
          <w:szCs w:val="24"/>
        </w:rPr>
        <w:t>12.02.24</w:t>
      </w:r>
      <w:r w:rsidRPr="00DA5682">
        <w:rPr>
          <w:sz w:val="24"/>
          <w:szCs w:val="24"/>
        </w:rPr>
        <w:t xml:space="preserve">. </w:t>
      </w:r>
    </w:p>
    <w:p w:rsidR="00986C0B" w:rsidRPr="00DA5682" w:rsidRDefault="00986C0B" w:rsidP="00986C0B">
      <w:pPr>
        <w:rPr>
          <w:sz w:val="24"/>
          <w:szCs w:val="24"/>
        </w:rPr>
      </w:pPr>
      <w:r w:rsidRPr="00DA5682">
        <w:rPr>
          <w:sz w:val="24"/>
          <w:szCs w:val="24"/>
        </w:rPr>
        <w:t>(Line Manager/Mentor)</w:t>
      </w: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t>Signed</w:t>
      </w:r>
      <w:r w:rsidR="005D769D">
        <w:rPr>
          <w:noProof/>
        </w:rPr>
        <w:drawing>
          <wp:inline distT="0" distB="0" distL="0" distR="0" wp14:anchorId="236290D1" wp14:editId="175A75EC">
            <wp:extent cx="1025236" cy="665018"/>
            <wp:effectExtent l="0" t="0" r="3810" b="1905"/>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38031" cy="673318"/>
                    </a:xfrm>
                    <a:prstGeom prst="rect">
                      <a:avLst/>
                    </a:prstGeom>
                    <a:noFill/>
                    <a:ln>
                      <a:noFill/>
                    </a:ln>
                  </pic:spPr>
                </pic:pic>
              </a:graphicData>
            </a:graphic>
          </wp:inline>
        </w:drawing>
      </w:r>
      <w:r w:rsidRPr="00DA5682">
        <w:rPr>
          <w:sz w:val="24"/>
          <w:szCs w:val="24"/>
        </w:rPr>
        <w:t>Print Name</w:t>
      </w:r>
      <w:r w:rsidR="005D769D">
        <w:rPr>
          <w:sz w:val="24"/>
          <w:szCs w:val="24"/>
        </w:rPr>
        <w:t xml:space="preserve"> Travis Whittaker</w:t>
      </w:r>
      <w:r w:rsidR="005D769D">
        <w:rPr>
          <w:sz w:val="24"/>
          <w:szCs w:val="24"/>
        </w:rPr>
        <w:tab/>
      </w:r>
      <w:r w:rsidR="005D769D">
        <w:rPr>
          <w:sz w:val="24"/>
          <w:szCs w:val="24"/>
        </w:rPr>
        <w:tab/>
      </w:r>
      <w:r w:rsidRPr="00DA5682">
        <w:rPr>
          <w:sz w:val="24"/>
          <w:szCs w:val="24"/>
        </w:rPr>
        <w:t>Date</w:t>
      </w:r>
      <w:r w:rsidR="005D769D">
        <w:rPr>
          <w:sz w:val="24"/>
          <w:szCs w:val="24"/>
        </w:rPr>
        <w:t xml:space="preserve"> 09/02/24</w:t>
      </w:r>
    </w:p>
    <w:p w:rsidR="00986C0B" w:rsidRPr="00DA5682" w:rsidRDefault="00986C0B" w:rsidP="00986C0B">
      <w:pPr>
        <w:rPr>
          <w:sz w:val="24"/>
          <w:szCs w:val="24"/>
        </w:rPr>
      </w:pPr>
      <w:r w:rsidRPr="00DA5682">
        <w:rPr>
          <w:sz w:val="24"/>
          <w:szCs w:val="24"/>
        </w:rPr>
        <w:t>(Mentor, if different to above)</w:t>
      </w:r>
    </w:p>
    <w:p w:rsidR="00986C0B" w:rsidRPr="00DA5682" w:rsidRDefault="00986C0B" w:rsidP="00986C0B">
      <w:pPr>
        <w:rPr>
          <w:sz w:val="24"/>
          <w:szCs w:val="24"/>
        </w:rPr>
      </w:pPr>
    </w:p>
    <w:p w:rsidR="00986C0B" w:rsidRPr="00DA5682" w:rsidRDefault="00986C0B" w:rsidP="00986C0B">
      <w:pPr>
        <w:rPr>
          <w:sz w:val="24"/>
          <w:szCs w:val="24"/>
        </w:rPr>
      </w:pPr>
    </w:p>
    <w:p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F15354">
      <w:headerReference w:type="default" r:id="rId19"/>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51B" w:rsidRDefault="003C051B">
      <w:r>
        <w:separator/>
      </w:r>
    </w:p>
  </w:endnote>
  <w:endnote w:type="continuationSeparator" w:id="0">
    <w:p w:rsidR="003C051B" w:rsidRDefault="003C0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Footer"/>
      <w:jc w:val="right"/>
    </w:pPr>
    <w:r>
      <w:fldChar w:fldCharType="begin"/>
    </w:r>
    <w:r>
      <w:instrText xml:space="preserve"> PAGE   \* MERGEFORMAT </w:instrText>
    </w:r>
    <w:r>
      <w:fldChar w:fldCharType="separate"/>
    </w:r>
    <w:r w:rsidR="001F5E70">
      <w:rPr>
        <w:noProof/>
      </w:rPr>
      <w:t>19</w:t>
    </w:r>
    <w:r>
      <w:rPr>
        <w:noProof/>
      </w:rPr>
      <w:fldChar w:fldCharType="end"/>
    </w:r>
  </w:p>
  <w:p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51B" w:rsidRDefault="003C051B">
      <w:r>
        <w:separator/>
      </w:r>
    </w:p>
  </w:footnote>
  <w:footnote w:type="continuationSeparator" w:id="0">
    <w:p w:rsidR="003C051B" w:rsidRDefault="003C0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85A69AF"/>
    <w:multiLevelType w:val="hybridMultilevel"/>
    <w:tmpl w:val="38D83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1DA693A"/>
    <w:multiLevelType w:val="hybridMultilevel"/>
    <w:tmpl w:val="3B80F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51F4D92"/>
    <w:multiLevelType w:val="hybridMultilevel"/>
    <w:tmpl w:val="E3C45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007B57"/>
    <w:multiLevelType w:val="hybridMultilevel"/>
    <w:tmpl w:val="3C981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9"/>
  </w:num>
  <w:num w:numId="4">
    <w:abstractNumId w:val="51"/>
  </w:num>
  <w:num w:numId="5">
    <w:abstractNumId w:val="38"/>
  </w:num>
  <w:num w:numId="6">
    <w:abstractNumId w:val="34"/>
  </w:num>
  <w:num w:numId="7">
    <w:abstractNumId w:val="30"/>
  </w:num>
  <w:num w:numId="8">
    <w:abstractNumId w:val="31"/>
  </w:num>
  <w:num w:numId="9">
    <w:abstractNumId w:val="10"/>
  </w:num>
  <w:num w:numId="10">
    <w:abstractNumId w:val="37"/>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5"/>
  </w:num>
  <w:num w:numId="26">
    <w:abstractNumId w:val="39"/>
  </w:num>
  <w:num w:numId="27">
    <w:abstractNumId w:val="44"/>
  </w:num>
  <w:num w:numId="28">
    <w:abstractNumId w:val="20"/>
  </w:num>
  <w:num w:numId="29">
    <w:abstractNumId w:val="47"/>
  </w:num>
  <w:num w:numId="30">
    <w:abstractNumId w:val="32"/>
  </w:num>
  <w:num w:numId="31">
    <w:abstractNumId w:val="12"/>
  </w:num>
  <w:num w:numId="32">
    <w:abstractNumId w:val="48"/>
  </w:num>
  <w:num w:numId="33">
    <w:abstractNumId w:val="43"/>
  </w:num>
  <w:num w:numId="34">
    <w:abstractNumId w:val="5"/>
  </w:num>
  <w:num w:numId="35">
    <w:abstractNumId w:val="50"/>
  </w:num>
  <w:num w:numId="36">
    <w:abstractNumId w:val="46"/>
  </w:num>
  <w:num w:numId="37">
    <w:abstractNumId w:val="40"/>
  </w:num>
  <w:num w:numId="38">
    <w:abstractNumId w:val="41"/>
  </w:num>
  <w:num w:numId="39">
    <w:abstractNumId w:val="4"/>
  </w:num>
  <w:num w:numId="40">
    <w:abstractNumId w:val="6"/>
  </w:num>
  <w:num w:numId="41">
    <w:abstractNumId w:val="25"/>
  </w:num>
  <w:num w:numId="42">
    <w:abstractNumId w:val="7"/>
  </w:num>
  <w:num w:numId="43">
    <w:abstractNumId w:val="3"/>
  </w:num>
  <w:num w:numId="44">
    <w:abstractNumId w:val="42"/>
  </w:num>
  <w:num w:numId="45">
    <w:abstractNumId w:val="0"/>
  </w:num>
  <w:num w:numId="46">
    <w:abstractNumId w:val="14"/>
  </w:num>
  <w:num w:numId="47">
    <w:abstractNumId w:val="52"/>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36"/>
  </w:num>
  <w:num w:numId="55">
    <w:abstractNumId w:val="35"/>
  </w:num>
  <w:num w:numId="56">
    <w:abstractNumId w:val="29"/>
  </w:num>
  <w:num w:numId="57">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888"/>
    <w:rsid w:val="000D2ED2"/>
    <w:rsid w:val="000D6653"/>
    <w:rsid w:val="000E0D51"/>
    <w:rsid w:val="000E26B0"/>
    <w:rsid w:val="000E37C2"/>
    <w:rsid w:val="000E38C3"/>
    <w:rsid w:val="000F1599"/>
    <w:rsid w:val="000F1769"/>
    <w:rsid w:val="000F1A97"/>
    <w:rsid w:val="000F3412"/>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1F5E70"/>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28CB"/>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051B"/>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17E0C"/>
    <w:rsid w:val="00521123"/>
    <w:rsid w:val="00521221"/>
    <w:rsid w:val="0052250B"/>
    <w:rsid w:val="005305C6"/>
    <w:rsid w:val="00540EEC"/>
    <w:rsid w:val="005414F4"/>
    <w:rsid w:val="00546187"/>
    <w:rsid w:val="00547B11"/>
    <w:rsid w:val="00557D77"/>
    <w:rsid w:val="00562BC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D769D"/>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872F3"/>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26B"/>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05F"/>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94726"/>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7E1C"/>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17C6"/>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741"/>
    <w:rsid w:val="00C57D24"/>
    <w:rsid w:val="00C604D6"/>
    <w:rsid w:val="00C62CC3"/>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3955"/>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authorname">
    <w:name w:val="authorname"/>
    <w:basedOn w:val="DefaultParagraphFont"/>
    <w:rsid w:val="000D2888"/>
  </w:style>
  <w:style w:type="character" w:customStyle="1" w:styleId="separator">
    <w:name w:val="separator"/>
    <w:basedOn w:val="DefaultParagraphFont"/>
    <w:rsid w:val="000D2888"/>
  </w:style>
  <w:style w:type="character" w:customStyle="1" w:styleId="Date1">
    <w:name w:val="Date1"/>
    <w:basedOn w:val="DefaultParagraphFont"/>
    <w:rsid w:val="000D2888"/>
  </w:style>
  <w:style w:type="character" w:customStyle="1" w:styleId="arttitle">
    <w:name w:val="art_title"/>
    <w:basedOn w:val="DefaultParagraphFont"/>
    <w:rsid w:val="000D2888"/>
  </w:style>
  <w:style w:type="character" w:customStyle="1" w:styleId="serialtitle">
    <w:name w:val="serial_title"/>
    <w:basedOn w:val="DefaultParagraphFont"/>
    <w:rsid w:val="000D2888"/>
  </w:style>
  <w:style w:type="character" w:customStyle="1" w:styleId="volumeissue">
    <w:name w:val="volume_issue"/>
    <w:basedOn w:val="DefaultParagraphFont"/>
    <w:rsid w:val="000D2888"/>
  </w:style>
  <w:style w:type="character" w:customStyle="1" w:styleId="pagerange">
    <w:name w:val="page_range"/>
    <w:basedOn w:val="DefaultParagraphFont"/>
    <w:rsid w:val="000D2888"/>
  </w:style>
  <w:style w:type="character" w:customStyle="1" w:styleId="doilink">
    <w:name w:val="doi_link"/>
    <w:basedOn w:val="DefaultParagraphFont"/>
    <w:rsid w:val="000D2888"/>
  </w:style>
  <w:style w:type="paragraph" w:styleId="NormalWeb">
    <w:name w:val="Normal (Web)"/>
    <w:basedOn w:val="Normal"/>
    <w:uiPriority w:val="99"/>
    <w:unhideWhenUsed/>
    <w:rsid w:val="000D288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ListParagraph">
    <w:name w:val="List Paragraph"/>
    <w:basedOn w:val="Normal"/>
    <w:uiPriority w:val="34"/>
    <w:qFormat/>
    <w:rsid w:val="000D2888"/>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5a81e20bed915d74e6234a0c/Evaluation_of_the_Safeguarding_Children_Assessment_and_Analysis_Framework.pdf"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i.org/10.1080/02650533.2018.1462780" TargetMode="External"/><Relationship Id="rId17" Type="http://schemas.openxmlformats.org/officeDocument/2006/relationships/image" Target="cid:image001.png@01D96E0A.F3B42CA0"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wales/co-production-research-support-final-report-evaluation-social-services-and-well-being-wales-act-2014" TargetMode="External"/><Relationship Id="rId5" Type="http://schemas.openxmlformats.org/officeDocument/2006/relationships/styles" Target="styles.xml"/><Relationship Id="rId15" Type="http://schemas.openxmlformats.org/officeDocument/2006/relationships/image" Target="media/image3.wmf"/><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BFE0374C-E2ED-431F-B8FE-9DC0B83FF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4103</Words>
  <Characters>27209</Characters>
  <Application>Microsoft Office Word</Application>
  <DocSecurity>4</DocSecurity>
  <Lines>226</Lines>
  <Paragraphs>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Lara Lewis</cp:lastModifiedBy>
  <cp:revision>2</cp:revision>
  <cp:lastPrinted>2020-02-11T19:20:00Z</cp:lastPrinted>
  <dcterms:created xsi:type="dcterms:W3CDTF">2024-02-13T10:17:00Z</dcterms:created>
  <dcterms:modified xsi:type="dcterms:W3CDTF">2024-02-13T10:17:00Z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