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7C70" w:rsidRDefault="004E7C70" w:rsidP="004E7C70">
      <w:pPr>
        <w:pStyle w:val="Heading1"/>
      </w:pPr>
      <w:r w:rsidRPr="00923C45">
        <w:rPr>
          <w:noProof/>
          <w:lang w:eastAsia="en-GB"/>
        </w:rPr>
        <w:drawing>
          <wp:inline distT="0" distB="0" distL="0" distR="0" wp14:anchorId="37F9D0B7" wp14:editId="05C8C025">
            <wp:extent cx="2057400" cy="850900"/>
            <wp:effectExtent l="0" t="0" r="0" b="0"/>
            <wp:docPr id="1" name="Picture 1" descr="C:\Users\ablettm\AppData\Local\Microsoft\Windows\Temporary Internet Files\Content.Outlook\R41HOZLM\UWTSD 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57400" cy="850900"/>
                    </a:xfrm>
                    <a:prstGeom prst="rect">
                      <a:avLst/>
                    </a:prstGeom>
                    <a:noFill/>
                    <a:ln>
                      <a:noFill/>
                    </a:ln>
                  </pic:spPr>
                </pic:pic>
              </a:graphicData>
            </a:graphic>
          </wp:inline>
        </w:drawing>
      </w:r>
    </w:p>
    <w:p w:rsidR="004E7C70" w:rsidRDefault="004E7C70" w:rsidP="004E7C70">
      <w:pPr>
        <w:pStyle w:val="NormalWeb"/>
        <w:spacing w:before="0" w:beforeAutospacing="0" w:after="0" w:afterAutospacing="0"/>
        <w:ind w:left="-180" w:right="-334"/>
      </w:pPr>
    </w:p>
    <w:p w:rsidR="004E7C70" w:rsidRDefault="004E7C70" w:rsidP="004E7C70">
      <w:pPr>
        <w:pStyle w:val="NormalWeb"/>
        <w:spacing w:before="0" w:beforeAutospacing="0" w:after="0" w:afterAutospacing="0"/>
        <w:ind w:left="-180" w:right="-334"/>
      </w:pPr>
    </w:p>
    <w:p w:rsidR="004E7C70" w:rsidRDefault="004E7C70" w:rsidP="004E7C7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4E7C70" w:rsidRPr="00230F35" w:rsidRDefault="004E7C70" w:rsidP="004E7C7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4E7C70" w:rsidRPr="00230F35" w:rsidRDefault="004E7C70" w:rsidP="004E7C70">
      <w:pPr>
        <w:rPr>
          <w:rFonts w:ascii="Arial" w:hAnsi="Arial" w:cs="Arial"/>
          <w:sz w:val="28"/>
          <w:szCs w:val="28"/>
          <w:lang w:val="cy-GB"/>
        </w:rPr>
      </w:pPr>
    </w:p>
    <w:p w:rsidR="004E7C70" w:rsidRDefault="004E7C70" w:rsidP="004E7C70">
      <w:pPr>
        <w:pStyle w:val="Heading3"/>
        <w:jc w:val="center"/>
        <w:rPr>
          <w:lang w:val="cy-GB"/>
        </w:rPr>
      </w:pPr>
      <w:r>
        <w:rPr>
          <w:lang w:val="cy-GB"/>
        </w:rPr>
        <w:t>THIS SHEET MUST BE THE FIRST PAGE OF THE ASSIGNMENT YOU ARE SUBMITTING  (DO NOT SEND AS A SEPARATE FILE)</w:t>
      </w:r>
    </w:p>
    <w:p w:rsidR="004E7C70" w:rsidRDefault="004E7C70" w:rsidP="004E7C7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2266"/>
        <w:gridCol w:w="1802"/>
      </w:tblGrid>
      <w:tr w:rsidR="004E7C70" w:rsidRPr="00230F35" w:rsidTr="00246073">
        <w:trPr>
          <w:trHeight w:val="614"/>
        </w:trPr>
        <w:tc>
          <w:tcPr>
            <w:tcW w:w="8856" w:type="dxa"/>
            <w:gridSpan w:val="3"/>
          </w:tcPr>
          <w:p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E7C70" w:rsidRPr="00230F35" w:rsidTr="00246073">
        <w:trPr>
          <w:trHeight w:val="718"/>
        </w:trPr>
        <w:tc>
          <w:tcPr>
            <w:tcW w:w="8856" w:type="dxa"/>
            <w:gridSpan w:val="3"/>
          </w:tcPr>
          <w:p w:rsidR="004E7C70"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Ian Matthews</w:t>
            </w:r>
          </w:p>
          <w:p w:rsidR="004E7C70" w:rsidRPr="00230F35" w:rsidRDefault="004E7C70" w:rsidP="00246073">
            <w:pPr>
              <w:pStyle w:val="NormalWeb"/>
              <w:spacing w:before="0" w:beforeAutospacing="0" w:after="0" w:afterAutospacing="0"/>
              <w:ind w:right="34"/>
              <w:rPr>
                <w:rFonts w:ascii="Arial" w:hAnsi="Arial" w:cs="Arial"/>
                <w:sz w:val="22"/>
                <w:szCs w:val="22"/>
              </w:rPr>
            </w:pPr>
          </w:p>
        </w:tc>
      </w:tr>
      <w:tr w:rsidR="004E7C70" w:rsidRPr="00230F35" w:rsidTr="00246073">
        <w:trPr>
          <w:trHeight w:val="849"/>
        </w:trPr>
        <w:tc>
          <w:tcPr>
            <w:tcW w:w="4788" w:type="dxa"/>
          </w:tcPr>
          <w:p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CSEN7021</w:t>
            </w:r>
          </w:p>
          <w:p w:rsidR="004E7C70" w:rsidRPr="00230F35" w:rsidRDefault="004E7C70" w:rsidP="00246073">
            <w:pPr>
              <w:pStyle w:val="NormalWeb"/>
              <w:spacing w:before="0" w:beforeAutospacing="0" w:after="0" w:afterAutospacing="0"/>
              <w:ind w:right="34"/>
              <w:rPr>
                <w:rFonts w:ascii="Arial" w:hAnsi="Arial" w:cs="Arial"/>
                <w:sz w:val="22"/>
                <w:szCs w:val="22"/>
              </w:rPr>
            </w:pPr>
          </w:p>
          <w:p w:rsidR="004E7C70" w:rsidRPr="00CA4BA5" w:rsidRDefault="004E7C70" w:rsidP="00246073">
            <w:pPr>
              <w:pStyle w:val="NormalWeb"/>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Shock of the New</w:t>
            </w:r>
          </w:p>
          <w:p w:rsidR="004E7C70" w:rsidRDefault="004E7C70" w:rsidP="00246073">
            <w:pPr>
              <w:pStyle w:val="NormalWeb"/>
              <w:spacing w:before="0" w:beforeAutospacing="0" w:after="0" w:afterAutospacing="0"/>
              <w:ind w:right="34"/>
              <w:rPr>
                <w:rFonts w:ascii="Arial" w:hAnsi="Arial" w:cs="Arial"/>
                <w:sz w:val="22"/>
                <w:szCs w:val="22"/>
              </w:rPr>
            </w:pPr>
          </w:p>
          <w:p w:rsidR="004E7C70" w:rsidRDefault="004E7C70" w:rsidP="00246073">
            <w:pPr>
              <w:pStyle w:val="NormalWeb"/>
              <w:spacing w:before="0" w:beforeAutospacing="0" w:after="0" w:afterAutospacing="0"/>
              <w:ind w:right="34"/>
              <w:rPr>
                <w:rFonts w:ascii="Arial" w:hAnsi="Arial" w:cs="Arial"/>
                <w:sz w:val="22"/>
                <w:szCs w:val="22"/>
              </w:rPr>
            </w:pPr>
          </w:p>
          <w:p w:rsidR="004E7C70" w:rsidRPr="00230F35" w:rsidRDefault="004E7C70" w:rsidP="00246073">
            <w:pPr>
              <w:pStyle w:val="NormalWeb"/>
              <w:spacing w:before="0" w:beforeAutospacing="0" w:after="0" w:afterAutospacing="0"/>
              <w:ind w:right="34"/>
              <w:rPr>
                <w:rFonts w:ascii="Arial" w:hAnsi="Arial" w:cs="Arial"/>
                <w:sz w:val="22"/>
                <w:szCs w:val="22"/>
              </w:rPr>
            </w:pPr>
          </w:p>
        </w:tc>
        <w:tc>
          <w:tcPr>
            <w:tcW w:w="2266" w:type="dxa"/>
          </w:tcPr>
          <w:p w:rsidR="004E7C70"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4E7C70" w:rsidRDefault="004E7C70" w:rsidP="00246073">
            <w:pPr>
              <w:pStyle w:val="NormalWeb"/>
              <w:spacing w:before="0" w:beforeAutospacing="0" w:after="0" w:afterAutospacing="0"/>
              <w:ind w:right="34"/>
              <w:rPr>
                <w:rFonts w:ascii="Arial" w:hAnsi="Arial" w:cs="Arial"/>
                <w:sz w:val="22"/>
                <w:szCs w:val="22"/>
              </w:rPr>
            </w:pPr>
          </w:p>
          <w:p w:rsidR="004E7C70" w:rsidRPr="00230F35" w:rsidRDefault="004E7C70" w:rsidP="00246073">
            <w:pPr>
              <w:pStyle w:val="NormalWeb"/>
              <w:spacing w:before="0" w:beforeAutospacing="0" w:after="0" w:afterAutospacing="0"/>
              <w:ind w:right="34"/>
              <w:rPr>
                <w:rFonts w:ascii="Arial" w:hAnsi="Arial" w:cs="Arial"/>
                <w:sz w:val="22"/>
                <w:szCs w:val="22"/>
              </w:rPr>
            </w:pPr>
            <w:r>
              <w:rPr>
                <w:rFonts w:ascii="Arial" w:hAnsi="Arial" w:cs="Arial"/>
                <w:sz w:val="22"/>
                <w:szCs w:val="22"/>
              </w:rPr>
              <w:t>1602111</w:t>
            </w:r>
          </w:p>
        </w:tc>
        <w:tc>
          <w:tcPr>
            <w:tcW w:w="1802" w:type="dxa"/>
          </w:tcPr>
          <w:p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4E7C70" w:rsidRPr="00230F35" w:rsidRDefault="004E7C70" w:rsidP="00246073">
            <w:pPr>
              <w:pStyle w:val="NormalWeb"/>
              <w:spacing w:before="0" w:beforeAutospacing="0" w:after="0" w:afterAutospacing="0"/>
              <w:ind w:right="34"/>
              <w:rPr>
                <w:rFonts w:ascii="Arial" w:hAnsi="Arial" w:cs="Arial"/>
                <w:sz w:val="22"/>
                <w:szCs w:val="22"/>
              </w:rPr>
            </w:pPr>
            <w:r w:rsidRPr="0089733B">
              <w:rPr>
                <w:rFonts w:ascii="Arial" w:hAnsi="Arial" w:cs="Arial"/>
                <w:strike/>
                <w:sz w:val="22"/>
                <w:szCs w:val="22"/>
              </w:rPr>
              <w:t>Yes</w:t>
            </w:r>
            <w:r w:rsidRPr="00230F35">
              <w:rPr>
                <w:rFonts w:ascii="Arial" w:hAnsi="Arial" w:cs="Arial"/>
                <w:sz w:val="22"/>
                <w:szCs w:val="22"/>
              </w:rPr>
              <w:t>/No</w:t>
            </w:r>
          </w:p>
        </w:tc>
      </w:tr>
      <w:tr w:rsidR="004E7C70" w:rsidRPr="00230F35" w:rsidTr="00246073">
        <w:trPr>
          <w:trHeight w:val="1139"/>
        </w:trPr>
        <w:tc>
          <w:tcPr>
            <w:tcW w:w="8856" w:type="dxa"/>
            <w:gridSpan w:val="3"/>
          </w:tcPr>
          <w:p w:rsidR="004E7C70" w:rsidRPr="00230F35" w:rsidRDefault="004E7C70" w:rsidP="0024607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4E7C70" w:rsidRPr="00230F35" w:rsidRDefault="004E7C70" w:rsidP="00246073">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 Jeni Williams</w:t>
            </w:r>
          </w:p>
          <w:p w:rsidR="004E7C70" w:rsidRDefault="004E7C70" w:rsidP="00246073">
            <w:pPr>
              <w:pStyle w:val="NormalWeb"/>
              <w:spacing w:before="0" w:beforeAutospacing="0" w:after="0" w:afterAutospacing="0"/>
              <w:ind w:right="34"/>
              <w:rPr>
                <w:rFonts w:ascii="Arial" w:hAnsi="Arial" w:cs="Arial"/>
                <w:sz w:val="22"/>
                <w:szCs w:val="22"/>
              </w:rPr>
            </w:pPr>
          </w:p>
          <w:p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26</w:t>
            </w:r>
            <w:r w:rsidRPr="00CA4BA5">
              <w:rPr>
                <w:rFonts w:ascii="Arial" w:hAnsi="Arial" w:cs="Arial"/>
                <w:sz w:val="22"/>
                <w:szCs w:val="22"/>
                <w:vertAlign w:val="superscript"/>
              </w:rPr>
              <w:t>th</w:t>
            </w:r>
            <w:r>
              <w:rPr>
                <w:rFonts w:ascii="Arial" w:hAnsi="Arial" w:cs="Arial"/>
                <w:sz w:val="22"/>
                <w:szCs w:val="22"/>
              </w:rPr>
              <w:t xml:space="preserve"> January 2018</w:t>
            </w:r>
          </w:p>
        </w:tc>
      </w:tr>
      <w:tr w:rsidR="004E7C70" w:rsidRPr="00230F35" w:rsidTr="00246073">
        <w:trPr>
          <w:trHeight w:val="978"/>
        </w:trPr>
        <w:tc>
          <w:tcPr>
            <w:tcW w:w="8856" w:type="dxa"/>
            <w:gridSpan w:val="3"/>
            <w:tcBorders>
              <w:bottom w:val="single" w:sz="4" w:space="0" w:color="000000"/>
            </w:tcBorders>
          </w:tcPr>
          <w:p w:rsidR="004E7C70" w:rsidRDefault="004E7C70" w:rsidP="00246073">
            <w:pPr>
              <w:rPr>
                <w:rFonts w:ascii="Arial" w:hAnsi="Arial" w:cs="Arial"/>
                <w:sz w:val="22"/>
                <w:szCs w:val="22"/>
              </w:rPr>
            </w:pPr>
            <w:r>
              <w:rPr>
                <w:rFonts w:ascii="Arial" w:hAnsi="Arial" w:cs="Arial"/>
                <w:sz w:val="22"/>
                <w:szCs w:val="22"/>
              </w:rPr>
              <w:t>If your module has multiple submissions please indicate which piece of work this is.</w:t>
            </w:r>
          </w:p>
          <w:p w:rsidR="004E7C70" w:rsidRDefault="004E7C70" w:rsidP="00246073">
            <w:pPr>
              <w:rPr>
                <w:rFonts w:ascii="Arial" w:hAnsi="Arial" w:cs="Arial"/>
                <w:sz w:val="22"/>
                <w:szCs w:val="22"/>
              </w:rPr>
            </w:pPr>
          </w:p>
          <w:p w:rsidR="004E7C70" w:rsidRPr="00230F35" w:rsidRDefault="004E7C70" w:rsidP="00246073">
            <w:pPr>
              <w:rPr>
                <w:rFonts w:ascii="Arial" w:hAnsi="Arial" w:cs="Arial"/>
                <w:sz w:val="22"/>
                <w:szCs w:val="22"/>
              </w:rPr>
            </w:pPr>
            <w:r w:rsidRPr="00230F35">
              <w:rPr>
                <w:rFonts w:ascii="Arial" w:hAnsi="Arial" w:cs="Arial"/>
                <w:sz w:val="22"/>
                <w:szCs w:val="22"/>
              </w:rPr>
              <w:t>1</w:t>
            </w:r>
            <w:r w:rsidRPr="00230F35">
              <w:rPr>
                <w:rFonts w:ascii="Arial" w:hAnsi="Arial" w:cs="Arial"/>
                <w:sz w:val="22"/>
                <w:szCs w:val="22"/>
                <w:vertAlign w:val="superscript"/>
              </w:rPr>
              <w:t xml:space="preserve">st </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0" w:name="Check15"/>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1" w:name="Check16"/>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2" w:name="Check17"/>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3" w:name="Check18"/>
            <w:r w:rsidRPr="00230F35">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sidRPr="00230F35">
              <w:rPr>
                <w:rFonts w:ascii="Arial" w:hAnsi="Arial" w:cs="Arial"/>
                <w:sz w:val="22"/>
                <w:szCs w:val="22"/>
              </w:rPr>
              <w:fldChar w:fldCharType="end"/>
            </w:r>
            <w:bookmarkEnd w:id="3"/>
          </w:p>
        </w:tc>
      </w:tr>
      <w:tr w:rsidR="004E7C70" w:rsidRPr="00230F35" w:rsidTr="00246073">
        <w:trPr>
          <w:trHeight w:val="978"/>
        </w:trPr>
        <w:tc>
          <w:tcPr>
            <w:tcW w:w="8856" w:type="dxa"/>
            <w:gridSpan w:val="3"/>
            <w:shd w:val="clear" w:color="auto" w:fill="D9D9D9"/>
          </w:tcPr>
          <w:p w:rsidR="004E7C70" w:rsidRPr="00230F35"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4E7C70" w:rsidRDefault="004E7C70" w:rsidP="0024607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4E7C70" w:rsidRDefault="004E7C70" w:rsidP="0024607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rsidR="004E7C70" w:rsidRPr="00230F35" w:rsidRDefault="004E7C70" w:rsidP="0024607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bl>
    <w:p w:rsidR="00543BB4" w:rsidRDefault="00543BB4" w:rsidP="004E7C70">
      <w:pPr>
        <w:spacing w:line="360" w:lineRule="auto"/>
      </w:pPr>
    </w:p>
    <w:p w:rsidR="002972F4" w:rsidRPr="004E7C70" w:rsidRDefault="002972F4" w:rsidP="004E7C70">
      <w:pPr>
        <w:spacing w:line="360" w:lineRule="auto"/>
        <w:rPr>
          <w:b/>
        </w:rPr>
      </w:pPr>
    </w:p>
    <w:p w:rsidR="004E7C70" w:rsidRDefault="004E7C70" w:rsidP="004E7C70">
      <w:pPr>
        <w:spacing w:line="360" w:lineRule="auto"/>
        <w:rPr>
          <w:b/>
        </w:rPr>
      </w:pPr>
    </w:p>
    <w:p w:rsidR="004E7C70" w:rsidRDefault="004E7C70" w:rsidP="004E7C70">
      <w:pPr>
        <w:spacing w:line="360" w:lineRule="auto"/>
        <w:rPr>
          <w:b/>
        </w:rPr>
      </w:pPr>
    </w:p>
    <w:p w:rsidR="004E7C70" w:rsidRDefault="004E7C70" w:rsidP="004E7C70">
      <w:pPr>
        <w:spacing w:line="360" w:lineRule="auto"/>
        <w:rPr>
          <w:b/>
        </w:rPr>
      </w:pPr>
    </w:p>
    <w:p w:rsidR="002972F4" w:rsidRPr="004E7C70" w:rsidRDefault="004E7C70" w:rsidP="004E7C70">
      <w:pPr>
        <w:spacing w:line="360" w:lineRule="auto"/>
        <w:rPr>
          <w:b/>
        </w:rPr>
      </w:pPr>
      <w:r w:rsidRPr="004E7C70">
        <w:rPr>
          <w:b/>
        </w:rPr>
        <w:lastRenderedPageBreak/>
        <w:t>“Each writer creates his precursors”</w:t>
      </w:r>
      <w:r w:rsidR="00CE0CE6" w:rsidRPr="004E7C70">
        <w:rPr>
          <w:b/>
        </w:rPr>
        <w:t xml:space="preserve">: Examining time, memory and the interpretation of history in </w:t>
      </w:r>
      <w:r w:rsidRPr="004E7C70">
        <w:rPr>
          <w:b/>
        </w:rPr>
        <w:t>Modernism and Postmodernism</w:t>
      </w:r>
    </w:p>
    <w:p w:rsidR="00CE0CE6" w:rsidRDefault="00CE0CE6" w:rsidP="004E7C70">
      <w:pPr>
        <w:spacing w:line="360" w:lineRule="auto"/>
      </w:pPr>
    </w:p>
    <w:p w:rsidR="00CE0CE6" w:rsidRDefault="00CE0CE6" w:rsidP="004E7C70">
      <w:pPr>
        <w:spacing w:line="360" w:lineRule="auto"/>
      </w:pPr>
    </w:p>
    <w:p w:rsidR="00CC200E" w:rsidRDefault="00EB31E2" w:rsidP="004E7C70">
      <w:pPr>
        <w:spacing w:line="360" w:lineRule="auto"/>
      </w:pPr>
      <w:r>
        <w:t>This assignment will examine the subjectivity of interpretation caused by literary elements such as framing devices and intertextual</w:t>
      </w:r>
      <w:r w:rsidR="00CC200E">
        <w:t xml:space="preserve"> and intratextual</w:t>
      </w:r>
      <w:r>
        <w:t xml:space="preserve"> narratives. It will discuss how depictions of time and memory are used </w:t>
      </w:r>
      <w:r w:rsidR="00CC200E">
        <w:t xml:space="preserve">within texts from the modernist and postmodern periods, and how </w:t>
      </w:r>
      <w:r w:rsidR="002070B5">
        <w:t xml:space="preserve">the use of history (and particularly literary history) differs in both the process of storytelling </w:t>
      </w:r>
      <w:r w:rsidR="005F4BEC">
        <w:t>throughout the twentieth century. T</w:t>
      </w:r>
      <w:r w:rsidR="002070B5">
        <w:t xml:space="preserve">o do this I will draw primarily on three texts: </w:t>
      </w:r>
      <w:r w:rsidR="002070B5">
        <w:rPr>
          <w:i/>
        </w:rPr>
        <w:t>The Waste Land</w:t>
      </w:r>
      <w:r w:rsidR="002070B5">
        <w:t xml:space="preserve"> by T. S. Eliot, </w:t>
      </w:r>
      <w:r w:rsidR="002070B5">
        <w:rPr>
          <w:i/>
        </w:rPr>
        <w:t>The Handmaid’s Tale</w:t>
      </w:r>
      <w:r w:rsidR="002070B5">
        <w:t xml:space="preserve"> by Margaret Atwood, and </w:t>
      </w:r>
      <w:r w:rsidR="002070B5">
        <w:rPr>
          <w:i/>
        </w:rPr>
        <w:t>The Child In Time</w:t>
      </w:r>
      <w:r w:rsidR="002070B5">
        <w:t xml:space="preserve"> by Ian McEwan, although I will include references to a number of other texts. I have attempted to draw upon as wide a range of critical voices spanning nationality, gender and specialism. I will consider how postmodernism relates to modernism, and to what extent they are distinct or an evolution of the same movement.</w:t>
      </w:r>
    </w:p>
    <w:p w:rsidR="00CC200E" w:rsidRDefault="00CC200E" w:rsidP="004E7C70">
      <w:pPr>
        <w:spacing w:line="360" w:lineRule="auto"/>
      </w:pPr>
    </w:p>
    <w:p w:rsidR="005743E5" w:rsidRDefault="00B71BFC" w:rsidP="004E7C70">
      <w:pPr>
        <w:spacing w:line="360" w:lineRule="auto"/>
      </w:pPr>
      <w:r>
        <w:t xml:space="preserve">In </w:t>
      </w:r>
      <w:r>
        <w:rPr>
          <w:i/>
        </w:rPr>
        <w:t>The Child in Time</w:t>
      </w:r>
      <w:r>
        <w:t xml:space="preserve"> </w:t>
      </w:r>
      <w:r w:rsidR="002070B5">
        <w:t xml:space="preserve">Ian </w:t>
      </w:r>
      <w:r>
        <w:t xml:space="preserve">McEwan introduces each chapter with a quotation from the fictional </w:t>
      </w:r>
      <w:r w:rsidR="005F4BEC">
        <w:t>‘</w:t>
      </w:r>
      <w:r w:rsidRPr="005F4BEC">
        <w:t>Authorised Childcare Manual, HMSO</w:t>
      </w:r>
      <w:r w:rsidR="005F4BEC">
        <w:t>’</w:t>
      </w:r>
      <w:r>
        <w:t xml:space="preserve">. </w:t>
      </w:r>
      <w:r w:rsidR="005743E5">
        <w:t xml:space="preserve">Described by Paul Edwards as a ‘contextualising device’ used to interpret the main narrative, the obviously outrageous parenting instructions contained in </w:t>
      </w:r>
      <w:r w:rsidR="005743E5">
        <w:t>the epigraphs provide an int</w:t>
      </w:r>
      <w:r w:rsidR="005743E5">
        <w:t>r</w:t>
      </w:r>
      <w:r w:rsidR="005743E5">
        <w:t>a</w:t>
      </w:r>
      <w:r w:rsidR="005743E5">
        <w:t xml:space="preserve">textual filter which functions as an interpretative guide for the reader. In doing so, the meta-contextual setting of the novel – a hyper-Thatcherite society reflective of the ‘time of the novel’s first publication’ </w:t>
      </w:r>
      <w:r w:rsidR="001549D0">
        <w:rPr>
          <w:rStyle w:val="FootnoteReference"/>
        </w:rPr>
        <w:footnoteReference w:id="1"/>
      </w:r>
      <w:r w:rsidR="005743E5">
        <w:t xml:space="preserve"> – could be seen as providing a predetermined interpretation of the text’</w:t>
      </w:r>
      <w:r w:rsidR="005743E5">
        <w:t xml:space="preserve">s preoccupation with childhood. </w:t>
      </w:r>
      <w:r w:rsidR="005743E5">
        <w:t xml:space="preserve">Such an imposition of interpretation may be seen as a rejection of subjectivity and the imposition of a </w:t>
      </w:r>
      <w:r w:rsidR="005743E5">
        <w:t xml:space="preserve">broader </w:t>
      </w:r>
      <w:r w:rsidR="005743E5">
        <w:t>metanarrative upon the reader’s own response, reinforcing</w:t>
      </w:r>
      <w:r w:rsidR="005743E5">
        <w:t xml:space="preserve"> the ‘meta-modernism’ of McHale.</w:t>
      </w:r>
    </w:p>
    <w:p w:rsidR="005743E5" w:rsidRDefault="005743E5" w:rsidP="004E7C70">
      <w:pPr>
        <w:spacing w:line="360" w:lineRule="auto"/>
      </w:pPr>
    </w:p>
    <w:p w:rsidR="009B45EB" w:rsidRDefault="005743E5" w:rsidP="004E7C70">
      <w:pPr>
        <w:spacing w:line="360" w:lineRule="auto"/>
      </w:pPr>
      <w:r>
        <w:t xml:space="preserve">The argument from </w:t>
      </w:r>
      <w:r w:rsidR="009B45EB">
        <w:t xml:space="preserve">Brian McHale </w:t>
      </w:r>
      <w:r>
        <w:t xml:space="preserve">is </w:t>
      </w:r>
      <w:r w:rsidR="009B45EB">
        <w:t xml:space="preserve">that the novels of McEwan are part of a movement of ‘meta-modernism’ returning to some of the principles of early modernism </w:t>
      </w:r>
      <w:r w:rsidR="001549D0">
        <w:rPr>
          <w:rStyle w:val="FootnoteReference"/>
        </w:rPr>
        <w:footnoteReference w:id="2"/>
      </w:r>
      <w:r>
        <w:t xml:space="preserve">. The </w:t>
      </w:r>
      <w:r>
        <w:lastRenderedPageBreak/>
        <w:t>intra</w:t>
      </w:r>
      <w:r w:rsidR="002414FE">
        <w:t xml:space="preserve">textual nature of the epigraphs is a characteristic that Pericles Lewis argues was </w:t>
      </w:r>
      <w:r w:rsidR="0096783B">
        <w:t>‘</w:t>
      </w:r>
      <w:r w:rsidR="002414FE">
        <w:t>prefigured</w:t>
      </w:r>
      <w:r w:rsidR="0096783B">
        <w:t>’</w:t>
      </w:r>
      <w:r w:rsidR="002414FE">
        <w:t xml:space="preserve"> in modernism</w:t>
      </w:r>
      <w:r w:rsidR="001549D0">
        <w:rPr>
          <w:rStyle w:val="FootnoteReference"/>
        </w:rPr>
        <w:footnoteReference w:id="3"/>
      </w:r>
      <w:r w:rsidR="002414FE">
        <w:t>, and in Eliot and Joyce in particular</w:t>
      </w:r>
      <w:r w:rsidR="0096783B">
        <w:t xml:space="preserve">, and in doing so he </w:t>
      </w:r>
      <w:r w:rsidR="002414FE">
        <w:t xml:space="preserve">emphasises </w:t>
      </w:r>
      <w:r>
        <w:t xml:space="preserve">what he describes as </w:t>
      </w:r>
      <w:r w:rsidR="002414FE">
        <w:t>the fluidity between modernism and postmodernism</w:t>
      </w:r>
      <w:r w:rsidR="0096783B">
        <w:t>. This begs the question as to whether it is more accurate to see McEwan’s writing according to McHale’s description as ‘meta-modernism’, or if the characteristics commonly associated with postmodernism were nascent within modernism from the beginning reinforcing the idea that postmodernism is an evolution and continuation of modernist art.</w:t>
      </w:r>
    </w:p>
    <w:p w:rsidR="00FB1839" w:rsidRDefault="00FB1839" w:rsidP="004E7C70">
      <w:pPr>
        <w:spacing w:line="360" w:lineRule="auto"/>
      </w:pPr>
    </w:p>
    <w:p w:rsidR="00FB1839" w:rsidRDefault="00FB1839" w:rsidP="004E7C70">
      <w:pPr>
        <w:spacing w:line="360" w:lineRule="auto"/>
      </w:pPr>
      <w:r>
        <w:t>However, internally within the narrative</w:t>
      </w:r>
      <w:r w:rsidR="002D624F">
        <w:t xml:space="preserve"> of </w:t>
      </w:r>
      <w:r w:rsidR="002D624F">
        <w:rPr>
          <w:i/>
        </w:rPr>
        <w:t>The Child In Time</w:t>
      </w:r>
      <w:r w:rsidR="001810DC">
        <w:t xml:space="preserve">, </w:t>
      </w:r>
      <w:r w:rsidR="00424834">
        <w:t>the relationship between time, memory and subjectivity is explored through the</w:t>
      </w:r>
      <w:r w:rsidR="002D624F">
        <w:t xml:space="preserve"> narrative</w:t>
      </w:r>
      <w:r w:rsidR="00424834">
        <w:t xml:space="preserve">. </w:t>
      </w:r>
      <w:r w:rsidR="002D624F">
        <w:t xml:space="preserve">For example, </w:t>
      </w:r>
      <w:r w:rsidR="00424834">
        <w:t>Stephen’s children’s book, ‘Lemonade’, frames the depiction of how Charles and Stephen reinterpret childhood through the lens of adulthood. Stephen’s publisher</w:t>
      </w:r>
      <w:r w:rsidR="002D624F">
        <w:t>,</w:t>
      </w:r>
      <w:r w:rsidR="00424834">
        <w:t xml:space="preserve"> Charles</w:t>
      </w:r>
      <w:r w:rsidR="002D624F">
        <w:t>,</w:t>
      </w:r>
      <w:r w:rsidR="00424834">
        <w:t xml:space="preserve"> attempts to escape into a second childhood, giving up his political career to move to the countryside with ‘Lemonade’ providing the reminder of mortality that is apparently driving this abrupt change. However, Charles’s view of childhood is vastly different to Stephen’s, and he is interpreting Lemonade through his own subjective experience </w:t>
      </w:r>
      <w:r w:rsidR="00895979">
        <w:t>coming to a different hermeneutic conclusion to the author, one which is reinforced by Thelma after Charles’s suicide with her comment that the story was ‘a warning of mortality’</w:t>
      </w:r>
      <w:r w:rsidR="001549D0">
        <w:rPr>
          <w:rStyle w:val="FootnoteReference"/>
        </w:rPr>
        <w:footnoteReference w:id="4"/>
      </w:r>
      <w:r w:rsidR="00895979">
        <w:t xml:space="preserve">, </w:t>
      </w:r>
    </w:p>
    <w:p w:rsidR="00895979" w:rsidRDefault="00895979" w:rsidP="004E7C70">
      <w:pPr>
        <w:spacing w:line="360" w:lineRule="auto"/>
      </w:pPr>
    </w:p>
    <w:p w:rsidR="00895979" w:rsidRDefault="00895979" w:rsidP="004E7C70">
      <w:pPr>
        <w:spacing w:line="360" w:lineRule="auto"/>
        <w:ind w:left="720"/>
      </w:pPr>
      <w:r>
        <w:t>‘</w:t>
      </w:r>
      <w:r>
        <w:rPr>
          <w:i/>
        </w:rPr>
        <w:t>Lemonade</w:t>
      </w:r>
      <w:r>
        <w:t>’ is a message from you to a previous self … and the message is bitter. Whether you wanted to or not you’ve communicated with them across the abyss that separates the child from the adult you’ve given them a first, ghostly intimation of their mortality … it can’t last, that sooner or later they’re finished, done for, their childhood is not for ever.</w:t>
      </w:r>
      <w:r w:rsidR="001549D0">
        <w:rPr>
          <w:rStyle w:val="FootnoteReference"/>
        </w:rPr>
        <w:footnoteReference w:id="5"/>
      </w:r>
      <w:r>
        <w:t xml:space="preserve"> </w:t>
      </w:r>
    </w:p>
    <w:p w:rsidR="00895979" w:rsidRDefault="00895979" w:rsidP="004E7C70">
      <w:pPr>
        <w:spacing w:line="360" w:lineRule="auto"/>
      </w:pPr>
    </w:p>
    <w:p w:rsidR="00895979" w:rsidRDefault="00895979" w:rsidP="004E7C70">
      <w:pPr>
        <w:spacing w:line="360" w:lineRule="auto"/>
      </w:pPr>
      <w:r>
        <w:t xml:space="preserve">This subjectivity is </w:t>
      </w:r>
      <w:r w:rsidR="00975712">
        <w:t xml:space="preserve">subject to an internal discourse within </w:t>
      </w:r>
      <w:r w:rsidR="00975712">
        <w:rPr>
          <w:i/>
        </w:rPr>
        <w:t>The Child in Time</w:t>
      </w:r>
      <w:r w:rsidR="00C97445">
        <w:t xml:space="preserve"> where McEwan uses a memory that Stephen has of asking his father why the railway lines were closer together as they got further away. Edwards writes that this is to evoke ‘a sense of wonder </w:t>
      </w:r>
      <w:r w:rsidR="00C97445">
        <w:lastRenderedPageBreak/>
        <w:t>that subtly prepares for the ghostly experience at the pub’. However, the use of</w:t>
      </w:r>
      <w:r w:rsidR="008A13DE">
        <w:t xml:space="preserve"> the recollection of his conversation with his father </w:t>
      </w:r>
      <w:r w:rsidR="00A7059A">
        <w:t xml:space="preserve">at this point </w:t>
      </w:r>
      <w:r w:rsidR="008A13DE">
        <w:t xml:space="preserve">in the narrative is </w:t>
      </w:r>
      <w:r w:rsidR="00A7059A">
        <w:t>more than a foreshadowing of later events</w:t>
      </w:r>
      <w:r w:rsidR="008A13DE">
        <w:t xml:space="preserve">. </w:t>
      </w:r>
    </w:p>
    <w:p w:rsidR="00160805" w:rsidRDefault="00160805" w:rsidP="004E7C70">
      <w:pPr>
        <w:spacing w:line="360" w:lineRule="auto"/>
      </w:pPr>
    </w:p>
    <w:p w:rsidR="00160805" w:rsidRDefault="000C0CE5" w:rsidP="004E7C70">
      <w:pPr>
        <w:spacing w:line="360" w:lineRule="auto"/>
      </w:pPr>
      <w:r>
        <w:t xml:space="preserve">The passage focusses upon two different elements </w:t>
      </w:r>
      <w:r w:rsidR="005F490E">
        <w:t xml:space="preserve">of subjectivity. As well as the tale being recounted through the </w:t>
      </w:r>
      <w:r w:rsidR="00887CAA">
        <w:t xml:space="preserve">filter of the </w:t>
      </w:r>
      <w:r w:rsidR="005F490E">
        <w:t xml:space="preserve">passage of time from the perspective of </w:t>
      </w:r>
      <w:r w:rsidR="00887CAA">
        <w:t>Stephen’s memory, with what Edwards describes as the ‘Larkinesque’ evocation of the railway imagery within English literature</w:t>
      </w:r>
      <w:r w:rsidR="001549D0">
        <w:rPr>
          <w:rStyle w:val="FootnoteReference"/>
        </w:rPr>
        <w:footnoteReference w:id="6"/>
      </w:r>
      <w:r w:rsidR="00887CAA">
        <w:t xml:space="preserve">, </w:t>
      </w:r>
      <w:r w:rsidR="00B461F7">
        <w:t xml:space="preserve">in this case the imagery indicating the connection between distance, perception, time and memory, </w:t>
      </w:r>
      <w:r w:rsidR="00887CAA">
        <w:t>the moment from his childhood is an example of the conflict between subjective and objec</w:t>
      </w:r>
      <w:r>
        <w:t>tive truths, there is also the metaphor of the position of Stephen standing on the footbridge looking out into the vanishing future that is yet to happen, the position from which he is now recalling this memory.</w:t>
      </w:r>
      <w:r w:rsidR="00B461F7">
        <w:t xml:space="preserve"> </w:t>
      </w:r>
      <w:r w:rsidR="00887CAA">
        <w:t xml:space="preserve"> The childhood Stephen, stood upon the footbridge is offered an explanation for the narrowing of the railway lines that conforms to his own subjective perception</w:t>
      </w:r>
      <w:r w:rsidR="00B461F7">
        <w:t>, and yet the text suggests an internal critique of this, through his Father’s ‘mock serious’</w:t>
      </w:r>
      <w:r w:rsidR="001549D0">
        <w:rPr>
          <w:rStyle w:val="FootnoteReference"/>
        </w:rPr>
        <w:footnoteReference w:id="7"/>
      </w:r>
      <w:r w:rsidR="00B461F7">
        <w:t xml:space="preserve"> reaction. The obvious objective explanation for the appearance that the trains got smaller calls into question the sufficiency of subjectivity and the literary ideas that are grouped into postmodernism, and that the individual perspective may not be sufficient.</w:t>
      </w:r>
    </w:p>
    <w:p w:rsidR="00B461F7" w:rsidRDefault="00B461F7" w:rsidP="004E7C70">
      <w:pPr>
        <w:spacing w:line="360" w:lineRule="auto"/>
      </w:pPr>
    </w:p>
    <w:p w:rsidR="001A06D4" w:rsidRDefault="000C0CE5" w:rsidP="004E7C70">
      <w:pPr>
        <w:spacing w:line="360" w:lineRule="auto"/>
      </w:pPr>
      <w:r>
        <w:t>The intra</w:t>
      </w:r>
      <w:r w:rsidR="00E21217">
        <w:t xml:space="preserve">textual framing of </w:t>
      </w:r>
      <w:r w:rsidR="00E21217">
        <w:rPr>
          <w:i/>
        </w:rPr>
        <w:t>The Child In Time</w:t>
      </w:r>
      <w:r w:rsidR="00E21217">
        <w:t xml:space="preserve"> within the epigraphs of ‘The Authorised Childcare Handbook’, along with the use of literary devices to effectively frame the novel retrospectively in another McEwan work, </w:t>
      </w:r>
      <w:r w:rsidR="00E21217">
        <w:rPr>
          <w:i/>
        </w:rPr>
        <w:t>Atonement</w:t>
      </w:r>
      <w:r w:rsidR="00E21217">
        <w:t xml:space="preserve">, and in </w:t>
      </w:r>
      <w:r w:rsidR="00E21217">
        <w:rPr>
          <w:i/>
        </w:rPr>
        <w:t>The Handmaid’s Tale</w:t>
      </w:r>
      <w:r w:rsidR="00E21217">
        <w:t xml:space="preserve"> by Margaret Atwood lo</w:t>
      </w:r>
      <w:r>
        <w:t>ok back to literature prior to m</w:t>
      </w:r>
      <w:r w:rsidR="00E21217">
        <w:t xml:space="preserve">odernism and the framing conventions of romantic, gothic and realist novels. Whereas earlier works telegraphed the framing device clearly – such as in </w:t>
      </w:r>
      <w:r w:rsidR="00E21217">
        <w:rPr>
          <w:i/>
        </w:rPr>
        <w:t xml:space="preserve">The Tenant of Wildfell Hall </w:t>
      </w:r>
      <w:r w:rsidR="00E21217">
        <w:t xml:space="preserve">by Anne Brontë or </w:t>
      </w:r>
      <w:r w:rsidR="00E21217">
        <w:rPr>
          <w:i/>
        </w:rPr>
        <w:t>Frankenstein</w:t>
      </w:r>
      <w:r w:rsidR="00E21217">
        <w:t xml:space="preserve"> by Mary Shelley – the late twentieth-century examples only reveal it at the end of the main narrative. </w:t>
      </w:r>
    </w:p>
    <w:p w:rsidR="001A06D4" w:rsidRDefault="001A06D4" w:rsidP="004E7C70">
      <w:pPr>
        <w:spacing w:line="360" w:lineRule="auto"/>
      </w:pPr>
    </w:p>
    <w:p w:rsidR="00C3643C" w:rsidRDefault="001A06D4" w:rsidP="004E7C70">
      <w:pPr>
        <w:spacing w:line="360" w:lineRule="auto"/>
      </w:pPr>
      <w:r>
        <w:lastRenderedPageBreak/>
        <w:t>Midway through the last century similar devices were used by writers of popular fiction who had rejected the dominant modernist philosophy to look further back in literary traditions</w:t>
      </w:r>
      <w:r w:rsidR="006F1A9C">
        <w:t xml:space="preserve"> whilst anticipating the metatextual and intertextual efforts of the postmodern novelists</w:t>
      </w:r>
      <w:r>
        <w:t xml:space="preserve">. Tolkien, in creating </w:t>
      </w:r>
      <w:r>
        <w:rPr>
          <w:i/>
        </w:rPr>
        <w:t>The Lord of the Rings</w:t>
      </w:r>
      <w:r>
        <w:t xml:space="preserve"> and the other associated works, removed the framing convention out of the main text altogether and drew on his academic work to create a fictional compiler and embellisher of the text emulating the early mediaeval compilers of Anglo-Saxon and other northern European literature, effectively creating a metatextual and entirely fictional layer of interpretation between the reader and the novel. </w:t>
      </w:r>
      <w:r w:rsidR="00530241">
        <w:t xml:space="preserve">This is a process that is echoed in the account of Pieixoto </w:t>
      </w:r>
      <w:r w:rsidR="00C3643C">
        <w:t xml:space="preserve">in the ‘Historical Notes’ from </w:t>
      </w:r>
      <w:r w:rsidR="00C3643C">
        <w:rPr>
          <w:i/>
        </w:rPr>
        <w:t xml:space="preserve">The Handmaid’s </w:t>
      </w:r>
      <w:r w:rsidR="00C3643C" w:rsidRPr="00C3643C">
        <w:t>Tale</w:t>
      </w:r>
      <w:r w:rsidR="00C3643C">
        <w:t xml:space="preserve"> where he describes the process of compiling the spoken accounts according to his own subjective judgements,</w:t>
      </w:r>
    </w:p>
    <w:p w:rsidR="00C3643C" w:rsidRDefault="00C3643C" w:rsidP="004E7C70">
      <w:pPr>
        <w:spacing w:line="360" w:lineRule="auto"/>
      </w:pPr>
    </w:p>
    <w:p w:rsidR="00C3643C" w:rsidRDefault="00C3643C" w:rsidP="004E7C70">
      <w:pPr>
        <w:spacing w:line="360" w:lineRule="auto"/>
        <w:ind w:left="720"/>
      </w:pPr>
      <w:r>
        <w:t>‘It was up to Professor Wade and myself to arrange the blocks of speech in the or</w:t>
      </w:r>
      <w:r w:rsidR="000C0CE5">
        <w:t>d</w:t>
      </w:r>
      <w:r>
        <w:t>er in which they appeared to go; but as I have said elsewhere, all such arrangements are based on some guesswork and are to be regarded as approximate.’</w:t>
      </w:r>
      <w:r w:rsidR="009C26E8">
        <w:rPr>
          <w:rStyle w:val="FootnoteReference"/>
        </w:rPr>
        <w:footnoteReference w:id="8"/>
      </w:r>
      <w:r>
        <w:t xml:space="preserve"> </w:t>
      </w:r>
    </w:p>
    <w:p w:rsidR="00C3643C" w:rsidRDefault="00C3643C" w:rsidP="004E7C70">
      <w:pPr>
        <w:spacing w:line="360" w:lineRule="auto"/>
      </w:pPr>
    </w:p>
    <w:p w:rsidR="004B3D41" w:rsidRDefault="006F1A9C" w:rsidP="004E7C70">
      <w:pPr>
        <w:spacing w:line="360" w:lineRule="auto"/>
      </w:pPr>
      <w:r w:rsidRPr="00C3643C">
        <w:t>The</w:t>
      </w:r>
      <w:r>
        <w:t xml:space="preserve"> reader is reliant on the ideological editorial decisions of </w:t>
      </w:r>
      <w:r w:rsidR="00C3643C">
        <w:t xml:space="preserve">Tolkien’s </w:t>
      </w:r>
      <w:r>
        <w:t xml:space="preserve">fictional compilers and their subjective decisions when reading the text, in a similar way to which the reader of </w:t>
      </w:r>
      <w:r>
        <w:rPr>
          <w:i/>
        </w:rPr>
        <w:t>The Handmaid’s Tale</w:t>
      </w:r>
      <w:r>
        <w:t xml:space="preserve"> will fi</w:t>
      </w:r>
      <w:r w:rsidR="004C1E11">
        <w:t>nd themselves re-evaluating and reinterpreting Offred’s account following the ‘transcript’ of the symposium that frames the narrative.</w:t>
      </w:r>
    </w:p>
    <w:p w:rsidR="004B3D41" w:rsidRDefault="004B3D41" w:rsidP="004E7C70">
      <w:pPr>
        <w:spacing w:line="360" w:lineRule="auto"/>
      </w:pPr>
    </w:p>
    <w:p w:rsidR="006D0E07" w:rsidRDefault="00EB31E2" w:rsidP="004E7C70">
      <w:pPr>
        <w:spacing w:line="360" w:lineRule="auto"/>
      </w:pPr>
      <w:r>
        <w:t xml:space="preserve">Molly Westerman describes the ‘Historical Note’ at the end of </w:t>
      </w:r>
      <w:r>
        <w:rPr>
          <w:i/>
        </w:rPr>
        <w:t>The Handmaid’s Tale</w:t>
      </w:r>
      <w:r>
        <w:t xml:space="preserve">, along with similar devices in other contemporaneous books of fiction and non-fiction as ‘problematiz[ing] the text’. </w:t>
      </w:r>
      <w:r w:rsidR="00F453A8">
        <w:t xml:space="preserve">Using Derrida’s term ‘spectrality’ and de Certeau’s ‘entombment’ Westerman examines how </w:t>
      </w:r>
      <w:r w:rsidR="006D0E07">
        <w:t xml:space="preserve">the </w:t>
      </w:r>
      <w:r w:rsidR="00F453A8">
        <w:t xml:space="preserve">framing ‘end notes’ affect the reader’s interpretation of history – even fictionalised history such as in </w:t>
      </w:r>
      <w:r w:rsidR="00F453A8">
        <w:rPr>
          <w:i/>
        </w:rPr>
        <w:t>The Handmaid’s Tale</w:t>
      </w:r>
      <w:r w:rsidR="00F453A8">
        <w:t xml:space="preserve"> where she argues that the ‘Historical Note’ moves the narrative from an imagined future to a fictionalised past.</w:t>
      </w:r>
      <w:r w:rsidR="00E2265E">
        <w:rPr>
          <w:rStyle w:val="FootnoteReference"/>
        </w:rPr>
        <w:footnoteReference w:id="9"/>
      </w:r>
      <w:r w:rsidR="00F453A8">
        <w:t xml:space="preserve"> </w:t>
      </w:r>
    </w:p>
    <w:p w:rsidR="006D0E07" w:rsidRDefault="006D0E07" w:rsidP="004E7C70">
      <w:pPr>
        <w:spacing w:line="360" w:lineRule="auto"/>
      </w:pPr>
    </w:p>
    <w:p w:rsidR="006D0E07" w:rsidRPr="006D0E07" w:rsidRDefault="006D0E07" w:rsidP="004E7C70">
      <w:pPr>
        <w:spacing w:line="360" w:lineRule="auto"/>
        <w:ind w:left="720"/>
      </w:pPr>
      <w:r>
        <w:lastRenderedPageBreak/>
        <w:t xml:space="preserve">‘Significantly, without its note, </w:t>
      </w:r>
      <w:r>
        <w:rPr>
          <w:i/>
        </w:rPr>
        <w:t>The Handmaid’s Tale</w:t>
      </w:r>
      <w:r>
        <w:t xml:space="preserve"> would not function as historiographic metafiction at all – it would not engage the procedures and problems of history telling.’</w:t>
      </w:r>
      <w:r w:rsidR="00E2265E">
        <w:rPr>
          <w:rStyle w:val="FootnoteReference"/>
        </w:rPr>
        <w:footnoteReference w:id="10"/>
      </w:r>
    </w:p>
    <w:p w:rsidR="006D0E07" w:rsidRDefault="006D0E07" w:rsidP="004E7C70">
      <w:pPr>
        <w:spacing w:line="360" w:lineRule="auto"/>
      </w:pPr>
    </w:p>
    <w:p w:rsidR="00EB31E2" w:rsidRPr="006D0E07" w:rsidRDefault="006D0E07" w:rsidP="004E7C70">
      <w:pPr>
        <w:spacing w:line="360" w:lineRule="auto"/>
        <w:rPr>
          <w:i/>
        </w:rPr>
      </w:pPr>
      <w:r>
        <w:t>In this reading, the editing process described above ‘entombs’ the past of Offred’s account of life in Gilead (and her time before the regime) distancing it from the reader, and of those attending the seminar in the ‘Historical Note’, in process reinterpreting the past and ‘hid[ing] the dead’.</w:t>
      </w:r>
      <w:r w:rsidR="00E2265E">
        <w:rPr>
          <w:rStyle w:val="FootnoteReference"/>
        </w:rPr>
        <w:footnoteReference w:id="11"/>
      </w:r>
      <w:r>
        <w:t xml:space="preserve"> </w:t>
      </w:r>
    </w:p>
    <w:p w:rsidR="00EB31E2" w:rsidRDefault="00EB31E2" w:rsidP="004E7C70">
      <w:pPr>
        <w:spacing w:line="360" w:lineRule="auto"/>
      </w:pPr>
    </w:p>
    <w:p w:rsidR="004C1E11" w:rsidRDefault="006D0E07" w:rsidP="004E7C70">
      <w:pPr>
        <w:spacing w:line="360" w:lineRule="auto"/>
      </w:pPr>
      <w:r>
        <w:t>The past doesn’t only relate to</w:t>
      </w:r>
      <w:r w:rsidR="004B3D41">
        <w:t xml:space="preserve"> the written historical account as </w:t>
      </w:r>
      <w:r w:rsidR="00C3643C">
        <w:t>Thomas E. Helm</w:t>
      </w:r>
      <w:r w:rsidR="00DC1E33">
        <w:t xml:space="preserve"> argued</w:t>
      </w:r>
      <w:r w:rsidR="00C3643C">
        <w:t xml:space="preserve"> when discussing the use of myth and legend in </w:t>
      </w:r>
      <w:r w:rsidR="00C3643C">
        <w:rPr>
          <w:i/>
        </w:rPr>
        <w:t>The Waste Land</w:t>
      </w:r>
      <w:r w:rsidR="00DC1E33">
        <w:t>. He</w:t>
      </w:r>
      <w:r w:rsidR="004B3D41">
        <w:t xml:space="preserve"> </w:t>
      </w:r>
      <w:r w:rsidR="00C3643C">
        <w:t>quotes Elizabeth Drew’s view that ‘the archaic, as it is embodied in myths of vegetational</w:t>
      </w:r>
      <w:r w:rsidR="00DC1E33">
        <w:t xml:space="preserve"> renewal is f</w:t>
      </w:r>
      <w:r w:rsidR="00C3643C">
        <w:t>or Eliot the exemplary and recoverable past,’ before arguing that the ‘opposite of what Drew proposes is true, and that ‘the values resident in sound and memory by which past lives in oral culture are supplanted by scripture and literary text.’</w:t>
      </w:r>
      <w:r w:rsidR="00E2265E">
        <w:rPr>
          <w:rStyle w:val="FootnoteReference"/>
        </w:rPr>
        <w:footnoteReference w:id="12"/>
      </w:r>
    </w:p>
    <w:p w:rsidR="00C3643C" w:rsidRDefault="00C3643C" w:rsidP="004E7C70">
      <w:pPr>
        <w:spacing w:line="360" w:lineRule="auto"/>
      </w:pPr>
    </w:p>
    <w:p w:rsidR="00F8004D" w:rsidRDefault="00F8004D" w:rsidP="004E7C70">
      <w:pPr>
        <w:spacing w:line="360" w:lineRule="auto"/>
      </w:pPr>
      <w:r>
        <w:t xml:space="preserve">Being driven by the </w:t>
      </w:r>
      <w:r w:rsidR="004E7C70">
        <w:t>Gileadean</w:t>
      </w:r>
      <w:r>
        <w:t xml:space="preserve"> regime to the ‘blank white spaces at the edge of print’</w:t>
      </w:r>
      <w:r w:rsidR="00E2265E">
        <w:rPr>
          <w:rStyle w:val="FootnoteReference"/>
        </w:rPr>
        <w:footnoteReference w:id="13"/>
      </w:r>
      <w:r>
        <w:t xml:space="preserve">  Offred is forced to retreat to a traditional oral refuge of women’s voices when silenced through patriarchal oppression as described by Marina Warner, ‘</w:t>
      </w:r>
      <w:r w:rsidRPr="00F8004D">
        <w:t>the neighbourhood, the village, the well, the washing place, the shops, the stalls, the street</w:t>
      </w:r>
      <w:r>
        <w:t xml:space="preserve"> were their arena of influence.’</w:t>
      </w:r>
      <w:r w:rsidR="00E2265E">
        <w:rPr>
          <w:rStyle w:val="FootnoteReference"/>
        </w:rPr>
        <w:footnoteReference w:id="14"/>
      </w:r>
      <w:r>
        <w:t xml:space="preserve"> For </w:t>
      </w:r>
      <w:r w:rsidR="00E2265E">
        <w:t>the apparently late-twentieth-</w:t>
      </w:r>
      <w:r>
        <w:t xml:space="preserve">century Offred this same oral refuge is found not in passing on her story through personal networks but through a recorded medium, the audio cassette, already seen as out of date according to the ‘Historical Notes’. </w:t>
      </w:r>
    </w:p>
    <w:p w:rsidR="006214CE" w:rsidRDefault="006214CE" w:rsidP="004E7C70">
      <w:pPr>
        <w:spacing w:line="360" w:lineRule="auto"/>
      </w:pPr>
    </w:p>
    <w:p w:rsidR="004B3D41" w:rsidRPr="004B3D41" w:rsidRDefault="006214CE" w:rsidP="004E7C70">
      <w:pPr>
        <w:spacing w:line="360" w:lineRule="auto"/>
      </w:pPr>
      <w:r>
        <w:t xml:space="preserve">With the inclusion of the ‘Historical Notes’ Atwood structures </w:t>
      </w:r>
      <w:r>
        <w:rPr>
          <w:i/>
        </w:rPr>
        <w:t xml:space="preserve">The Handmaid’s Tale </w:t>
      </w:r>
      <w:r>
        <w:t xml:space="preserve">so the reader is forced to reread the whole narrative </w:t>
      </w:r>
      <w:r w:rsidR="005408E3">
        <w:t xml:space="preserve">following the </w:t>
      </w:r>
      <w:r w:rsidR="003C74C2">
        <w:t xml:space="preserve">transcript of the seminar, </w:t>
      </w:r>
      <w:r w:rsidR="003C74C2">
        <w:lastRenderedPageBreak/>
        <w:t xml:space="preserve">interpreting what would have been initially understood as a verbatim account from a single narrator through the subjective interpretation of Professors Wade and Pieixoto. </w:t>
      </w:r>
      <w:r w:rsidR="004B3D41">
        <w:t>Kimberley Fairbrother Canton points out that Pieixoto reinterprets Offred’s acc</w:t>
      </w:r>
      <w:r w:rsidR="000C0CE5">
        <w:t>o</w:t>
      </w:r>
      <w:r w:rsidR="004B3D41">
        <w:t xml:space="preserve">unt to fit it into the dominant ‘canon’ (including the naming of it as ‘The </w:t>
      </w:r>
      <w:r w:rsidR="004E7C70">
        <w:t>Handmaid’s</w:t>
      </w:r>
      <w:r w:rsidR="004B3D41">
        <w:t xml:space="preserve"> Tale’ in order to place it within the literary canon under Chaucer), ‘he can then invalidate the importance of her story through lame sexist jokes’.</w:t>
      </w:r>
      <w:r w:rsidR="00E2265E">
        <w:rPr>
          <w:rStyle w:val="FootnoteReference"/>
        </w:rPr>
        <w:footnoteReference w:id="15"/>
      </w:r>
      <w:r w:rsidR="004B3D41">
        <w:t xml:space="preserve"> This reduces the account to a ‘mediated history’ which has be</w:t>
      </w:r>
      <w:r w:rsidR="00DC1E33">
        <w:t>en</w:t>
      </w:r>
      <w:r w:rsidR="004B3D41">
        <w:t xml:space="preserve"> edited and subjugated to the</w:t>
      </w:r>
      <w:r w:rsidR="00DC1E33">
        <w:t xml:space="preserve"> dominant discourse by those in control.</w:t>
      </w:r>
      <w:r w:rsidR="00E2265E">
        <w:rPr>
          <w:rStyle w:val="FootnoteReference"/>
        </w:rPr>
        <w:footnoteReference w:id="16"/>
      </w:r>
    </w:p>
    <w:p w:rsidR="004B3D41" w:rsidRDefault="004B3D41" w:rsidP="004E7C70">
      <w:pPr>
        <w:spacing w:line="360" w:lineRule="auto"/>
      </w:pPr>
    </w:p>
    <w:p w:rsidR="006214CE" w:rsidRDefault="003C74C2" w:rsidP="004E7C70">
      <w:pPr>
        <w:spacing w:line="360" w:lineRule="auto"/>
      </w:pPr>
      <w:r>
        <w:t>View</w:t>
      </w:r>
      <w:r w:rsidR="008A2C34">
        <w:t>ed</w:t>
      </w:r>
      <w:r>
        <w:t xml:space="preserve"> backwards the unreliability of the narrative grows with e</w:t>
      </w:r>
      <w:r w:rsidR="00005556">
        <w:t xml:space="preserve">ach layer. </w:t>
      </w:r>
      <w:r w:rsidR="004E7C70">
        <w:t xml:space="preserve">Starting with the reader’s own response to the transcript, to the text of the transcript itself, the act of Wade and Pieixoto in listening to the tapes and their editorial acts in compiling them, the questions of the completeness of the account and if there any missing tapes that would have changed the interpretation, the act of recording the experiences after the event by Offred, the reliability of Offred’s memory in recounting what happened and her subjective interpretation of her individual experience, and further beyond this, her memory of the ‘time before’ the Gilead regime. </w:t>
      </w:r>
    </w:p>
    <w:p w:rsidR="003C74C2" w:rsidRDefault="003C74C2" w:rsidP="004E7C70">
      <w:pPr>
        <w:spacing w:line="360" w:lineRule="auto"/>
      </w:pPr>
    </w:p>
    <w:p w:rsidR="003C74C2" w:rsidRDefault="003C74C2" w:rsidP="004E7C70">
      <w:pPr>
        <w:spacing w:line="360" w:lineRule="auto"/>
      </w:pPr>
      <w:r>
        <w:t xml:space="preserve">Each layer of this process increases the unreliability of the narrative, with each point interpreted by the point prior. Atwood undermines the trustworthiness of her own narrative, leaving the reader unsure </w:t>
      </w:r>
      <w:r w:rsidR="00410058">
        <w:t>of any objective interpretation beyond their own, and creates a discourse within the text about history, facts, memory and the impossibility of objective interpretation.</w:t>
      </w:r>
      <w:r w:rsidR="00FA59C7">
        <w:t xml:space="preserve"> </w:t>
      </w:r>
      <w:r w:rsidR="00E75CCE">
        <w:t>The language used by the unreliable narrator and the equally unreliable interpreter in the historical notes becomes unstable, constructed out of subjective experiences as Offred writes, ‘I wait. I compose myself. My self is a thing I must now comp</w:t>
      </w:r>
      <w:r w:rsidR="00E127CF">
        <w:t>ose, as one composes a speech’,</w:t>
      </w:r>
      <w:r w:rsidR="00E2265E">
        <w:rPr>
          <w:rStyle w:val="FootnoteReference"/>
        </w:rPr>
        <w:footnoteReference w:id="17"/>
      </w:r>
      <w:r w:rsidR="00E127CF">
        <w:t xml:space="preserve"> relying on the oral traditions having been denied a literary culture, Tell, rather than write, because I have nothing to write with and </w:t>
      </w:r>
      <w:r w:rsidR="00E127CF">
        <w:lastRenderedPageBreak/>
        <w:t>writing is in any case, forbidden’,</w:t>
      </w:r>
      <w:r w:rsidR="00E2265E">
        <w:rPr>
          <w:rStyle w:val="FootnoteReference"/>
        </w:rPr>
        <w:footnoteReference w:id="18"/>
      </w:r>
      <w:r w:rsidR="00E127CF">
        <w:t xml:space="preserve"> </w:t>
      </w:r>
      <w:r w:rsidR="00E75CCE">
        <w:t>reflecting Derrida’s argument that subjectivity is a function of language.</w:t>
      </w:r>
      <w:r w:rsidR="00E2265E">
        <w:rPr>
          <w:rStyle w:val="FootnoteReference"/>
        </w:rPr>
        <w:footnoteReference w:id="19"/>
      </w:r>
      <w:r w:rsidR="00E127CF">
        <w:t xml:space="preserve"> </w:t>
      </w:r>
    </w:p>
    <w:p w:rsidR="00E127CF" w:rsidRDefault="00E127CF" w:rsidP="004E7C70">
      <w:pPr>
        <w:spacing w:line="360" w:lineRule="auto"/>
      </w:pPr>
    </w:p>
    <w:p w:rsidR="00566BD5" w:rsidRPr="00566BD5" w:rsidRDefault="00E127CF" w:rsidP="004E7C70">
      <w:pPr>
        <w:spacing w:line="360" w:lineRule="auto"/>
      </w:pPr>
      <w:r>
        <w:t xml:space="preserve">As well as </w:t>
      </w:r>
      <w:r w:rsidR="000C0CE5">
        <w:t xml:space="preserve">seeming </w:t>
      </w:r>
      <w:r>
        <w:t>unreliable there is a self-consciousness to Offred as a narrator that is, according to Pericles Lewis, a common feature of postmodernism</w:t>
      </w:r>
      <w:r w:rsidR="00566BD5">
        <w:t>, ‘The concern with metafiction and metahistory involves an extreme self-consciousness about narration.’</w:t>
      </w:r>
      <w:r w:rsidR="00587924">
        <w:rPr>
          <w:rStyle w:val="FootnoteReference"/>
        </w:rPr>
        <w:footnoteReference w:id="20"/>
      </w:r>
      <w:r w:rsidR="00587924">
        <w:t xml:space="preserve"> </w:t>
      </w:r>
      <w:r>
        <w:t>Offred confesses the unreliability of her memory, ‘I have trouble remembering what I used to look like’</w:t>
      </w:r>
      <w:r w:rsidR="00587924">
        <w:rPr>
          <w:rStyle w:val="FootnoteReference"/>
        </w:rPr>
        <w:footnoteReference w:id="21"/>
      </w:r>
      <w:r w:rsidR="00587924">
        <w:t>,</w:t>
      </w:r>
      <w:r w:rsidR="00566BD5">
        <w:t xml:space="preserve"> ‘</w:t>
      </w:r>
      <w:r w:rsidR="00566BD5" w:rsidRPr="00566BD5">
        <w:t>When we think of the past it's the beautiful things we pick out. We want t</w:t>
      </w:r>
      <w:r w:rsidR="00566BD5">
        <w:t>o believe it was all like that.’</w:t>
      </w:r>
      <w:r w:rsidR="00587924">
        <w:rPr>
          <w:rStyle w:val="FootnoteReference"/>
        </w:rPr>
        <w:footnoteReference w:id="22"/>
      </w:r>
    </w:p>
    <w:p w:rsidR="00C3643C" w:rsidRDefault="00C3643C" w:rsidP="004E7C70">
      <w:pPr>
        <w:spacing w:line="360" w:lineRule="auto"/>
      </w:pPr>
    </w:p>
    <w:p w:rsidR="0034045F" w:rsidRDefault="00DC1C57" w:rsidP="004E7C70">
      <w:pPr>
        <w:spacing w:line="360" w:lineRule="auto"/>
      </w:pPr>
      <w:r>
        <w:t xml:space="preserve">Thomas Helm makes a similar argument in discussing T. S. Eliot’s </w:t>
      </w:r>
      <w:r>
        <w:rPr>
          <w:i/>
        </w:rPr>
        <w:t>The Waste Land</w:t>
      </w:r>
      <w:r w:rsidR="004E54EF">
        <w:t xml:space="preserve"> with what he describes as Eliot’s ‘rediscoverable past’.</w:t>
      </w:r>
      <w:r w:rsidR="00587924">
        <w:rPr>
          <w:rStyle w:val="FootnoteReference"/>
        </w:rPr>
        <w:footnoteReference w:id="23"/>
      </w:r>
      <w:r w:rsidR="004E54EF">
        <w:t xml:space="preserve"> </w:t>
      </w:r>
      <w:r w:rsidR="00864A31">
        <w:t>As discussed above, Helm takes issue with Elizabeth Drew’s argument that Eliot seeks to rediscover and rec</w:t>
      </w:r>
      <w:r w:rsidR="00DF2421">
        <w:t>r</w:t>
      </w:r>
      <w:r w:rsidR="00864A31">
        <w:t>eate the past oral traditions and myths – drawing as he did on Jessie Weston’s symbolism – to mirror the pattern of creation and destruction found in the archaic vegetation and god myths.  He rather argues that ‘the poem’s protagonist exhibits no affinity to the consciousness we have come to associate with oral cultures.’</w:t>
      </w:r>
      <w:r w:rsidR="00DF2421">
        <w:rPr>
          <w:rStyle w:val="FootnoteReference"/>
        </w:rPr>
        <w:footnoteReference w:id="24"/>
      </w:r>
      <w:r w:rsidR="00864A31">
        <w:t xml:space="preserve"> Rather he argues that the oral culture is ‘supplanted by scripture and literary text,’ and that for the modern poet the past is not objective, that there is not a faithful way of viewing it, and it must be translated and reinterpreted to be understood,</w:t>
      </w:r>
    </w:p>
    <w:p w:rsidR="00864A31" w:rsidRDefault="00864A31" w:rsidP="004E7C70">
      <w:pPr>
        <w:spacing w:line="360" w:lineRule="auto"/>
      </w:pPr>
    </w:p>
    <w:p w:rsidR="00864A31" w:rsidRDefault="00864A31" w:rsidP="004E7C70">
      <w:pPr>
        <w:spacing w:line="360" w:lineRule="auto"/>
        <w:ind w:left="720"/>
      </w:pPr>
      <w:r>
        <w:t xml:space="preserve">‘One is conscious of a poet for whom the past – while very much a real past – continues to exert influence in the present and in a present to which it no longer </w:t>
      </w:r>
      <w:r>
        <w:lastRenderedPageBreak/>
        <w:t>directly speaks, and into which its meaning must be translated if it is to be heard at all.’</w:t>
      </w:r>
      <w:r w:rsidR="00DF2421">
        <w:rPr>
          <w:rStyle w:val="FootnoteReference"/>
        </w:rPr>
        <w:footnoteReference w:id="25"/>
      </w:r>
      <w:r>
        <w:t xml:space="preserve"> </w:t>
      </w:r>
    </w:p>
    <w:p w:rsidR="000C2B77" w:rsidRDefault="000C2B77" w:rsidP="004E7C70">
      <w:pPr>
        <w:spacing w:line="360" w:lineRule="auto"/>
      </w:pPr>
    </w:p>
    <w:p w:rsidR="006F1A9C" w:rsidRDefault="00256C1E" w:rsidP="004E7C70">
      <w:pPr>
        <w:spacing w:line="360" w:lineRule="auto"/>
      </w:pPr>
      <w:r>
        <w:t>Based on Helm’s argument</w:t>
      </w:r>
      <w:r w:rsidR="00C02FFD">
        <w:t>, and his assertion that ‘the past has no independence of the present … the literary text gives the past its integrity and … it is literary culture that necessitates hermeneutics’</w:t>
      </w:r>
      <w:r w:rsidR="00DF2421">
        <w:rPr>
          <w:rStyle w:val="FootnoteReference"/>
        </w:rPr>
        <w:footnoteReference w:id="26"/>
      </w:r>
      <w:r w:rsidR="00C02FFD">
        <w:t xml:space="preserve"> the same pattern described above in the</w:t>
      </w:r>
      <w:r w:rsidR="00C02FFD">
        <w:rPr>
          <w:i/>
        </w:rPr>
        <w:t xml:space="preserve"> Handmaid’s Tale</w:t>
      </w:r>
      <w:r w:rsidR="00C02FFD">
        <w:t xml:space="preserve"> can be seen in the transmission of reinterpretations of the archaic myths referenced by Eliot in </w:t>
      </w:r>
      <w:r w:rsidR="00C02FFD">
        <w:rPr>
          <w:i/>
        </w:rPr>
        <w:t>The Waste Land</w:t>
      </w:r>
      <w:r w:rsidR="009F27B3">
        <w:t xml:space="preserve">. This starts with the hermeneutical work of writers such as Jessie Weston, through to the adaptation of Weston’s work by Eliot for use in his poem, </w:t>
      </w:r>
      <w:r w:rsidR="000C0CE5">
        <w:t>for which he then provided intra</w:t>
      </w:r>
      <w:r w:rsidR="009F27B3">
        <w:t>textual commentary through his own notes on the poem – and creating an exegetical layer between the poem’s text and the reader in which the reader is forced to read the poem again after reading Eliot’s notes</w:t>
      </w:r>
      <w:r w:rsidR="00863143">
        <w:t xml:space="preserve">. </w:t>
      </w:r>
      <w:r w:rsidR="004E7C70">
        <w:t>finally,</w:t>
      </w:r>
      <w:r w:rsidR="009F27B3">
        <w:t xml:space="preserve"> the</w:t>
      </w:r>
      <w:r w:rsidR="00863143">
        <w:t>re is the</w:t>
      </w:r>
      <w:r w:rsidR="009F27B3">
        <w:t xml:space="preserve"> reader’s own interpretation both individually and collectively throug</w:t>
      </w:r>
      <w:r w:rsidR="00863143">
        <w:t>h scholarship and other writing</w:t>
      </w:r>
      <w:r w:rsidR="008A2C34">
        <w:t xml:space="preserve"> creating a new subjectivity th</w:t>
      </w:r>
      <w:r w:rsidR="00863143">
        <w:t>r</w:t>
      </w:r>
      <w:r w:rsidR="008A2C34">
        <w:t>o</w:t>
      </w:r>
      <w:r w:rsidR="00863143">
        <w:t xml:space="preserve">ugh which to interpret Eliot’s notes, </w:t>
      </w:r>
      <w:r w:rsidR="00863143">
        <w:rPr>
          <w:i/>
        </w:rPr>
        <w:t>The Waste Land</w:t>
      </w:r>
      <w:r w:rsidR="00863143">
        <w:t xml:space="preserve"> and the myths and other references upon which he draws in the poem.</w:t>
      </w:r>
    </w:p>
    <w:p w:rsidR="00863143" w:rsidRDefault="00863143" w:rsidP="004E7C70">
      <w:pPr>
        <w:spacing w:line="360" w:lineRule="auto"/>
      </w:pPr>
    </w:p>
    <w:p w:rsidR="006F1A9C" w:rsidRDefault="003C2813" w:rsidP="004E7C70">
      <w:pPr>
        <w:spacing w:line="360" w:lineRule="auto"/>
      </w:pPr>
      <w:r>
        <w:t>This interpretation suggests, as Alireza Farahbakhsh writes, that it is possible to re-read Eliot</w:t>
      </w:r>
      <w:r w:rsidR="00ED2499">
        <w:t xml:space="preserve"> ‘through the lens of postmodernism’ and that some critics ‘have identified some postmodern techniques and concepts in his poems.’</w:t>
      </w:r>
      <w:r w:rsidR="004E3258">
        <w:rPr>
          <w:rStyle w:val="FootnoteReference"/>
        </w:rPr>
        <w:footnoteReference w:id="27"/>
      </w:r>
      <w:r w:rsidR="004E3258">
        <w:t xml:space="preserve"> </w:t>
      </w:r>
      <w:r w:rsidR="00ED2499">
        <w:t>However, it could be argued that drawing a sharp distinction between modernism and postmodernism is ‘simply pointless or even impossible’</w:t>
      </w:r>
      <w:r w:rsidR="004E3258">
        <w:rPr>
          <w:rStyle w:val="FootnoteReference"/>
        </w:rPr>
        <w:footnoteReference w:id="28"/>
      </w:r>
      <w:r w:rsidR="00ED2499">
        <w:t xml:space="preserve"> and that ‘Eliot’s affinity with various and at times opposing schools of poetry, such as metaphysical poetry, Classicism and French symbolism, suggests that we cannot confine [Eliot] to a single movement’.</w:t>
      </w:r>
      <w:r w:rsidR="004E3258">
        <w:rPr>
          <w:rStyle w:val="FootnoteReference"/>
        </w:rPr>
        <w:footnoteReference w:id="29"/>
      </w:r>
      <w:r w:rsidR="00ED2499">
        <w:t xml:space="preserve"> </w:t>
      </w:r>
    </w:p>
    <w:p w:rsidR="00D56007" w:rsidRDefault="00D56007" w:rsidP="004E7C70">
      <w:pPr>
        <w:spacing w:line="360" w:lineRule="auto"/>
      </w:pPr>
    </w:p>
    <w:p w:rsidR="00ED2499" w:rsidRPr="001A06D4" w:rsidRDefault="00ED2499" w:rsidP="004E7C70">
      <w:pPr>
        <w:spacing w:line="360" w:lineRule="auto"/>
      </w:pPr>
      <w:r>
        <w:t>However, the dis</w:t>
      </w:r>
      <w:r w:rsidR="000C0CE5">
        <w:t>tinction between modernism and p</w:t>
      </w:r>
      <w:r>
        <w:t xml:space="preserve">ostmodernism is a question that has formed a significant part of the scholarly debate around the two movements. </w:t>
      </w:r>
      <w:r w:rsidR="00852F00">
        <w:t xml:space="preserve">McHale asks </w:t>
      </w:r>
      <w:r w:rsidR="00852F00">
        <w:lastRenderedPageBreak/>
        <w:t>when discussing postmodernism ‘is it something other than modernism, or just a continuation of modernism into the second half of the century?’</w:t>
      </w:r>
      <w:r w:rsidR="004E3258">
        <w:rPr>
          <w:rStyle w:val="FootnoteReference"/>
        </w:rPr>
        <w:footnoteReference w:id="30"/>
      </w:r>
      <w:r w:rsidR="004E3258">
        <w:t xml:space="preserve"> </w:t>
      </w:r>
      <w:r w:rsidR="00A8312E">
        <w:t xml:space="preserve">He </w:t>
      </w:r>
      <w:r w:rsidR="001E378B">
        <w:t>draws the distinction between the two movements as postmodernism preferring to examine ontological questions as opposed to the epistemological as seen in modernism, although he acknowledge that it was never an absolute distinction, ‘this new mode privileged questions of world-making and modes of being over questions of perception and knowing.’</w:t>
      </w:r>
      <w:r w:rsidR="004E3258">
        <w:rPr>
          <w:rStyle w:val="FootnoteReference"/>
        </w:rPr>
        <w:footnoteReference w:id="31"/>
      </w:r>
      <w:r w:rsidR="001E378B">
        <w:t xml:space="preserve"> </w:t>
      </w:r>
    </w:p>
    <w:p w:rsidR="00B40C20" w:rsidRDefault="00B40C20" w:rsidP="004E7C70">
      <w:pPr>
        <w:spacing w:line="360" w:lineRule="auto"/>
      </w:pPr>
    </w:p>
    <w:p w:rsidR="00CC200E" w:rsidRDefault="00CC200E" w:rsidP="004E7C70">
      <w:pPr>
        <w:spacing w:line="360" w:lineRule="auto"/>
      </w:pPr>
      <w:r>
        <w:t xml:space="preserve">Bernard Sharratt, in considering this question, qualifies it by stating that he ‘he is not suggesting Eliot was or was not a postmodernist but rather that Eliot’s work initiates a logic which can illuminate current notions of postmodernism.’ However, the intratextuality that distinguishes </w:t>
      </w:r>
      <w:r>
        <w:rPr>
          <w:i/>
        </w:rPr>
        <w:t xml:space="preserve">The Handmaid’s Tale </w:t>
      </w:r>
      <w:r>
        <w:t xml:space="preserve">and </w:t>
      </w:r>
      <w:r>
        <w:rPr>
          <w:i/>
        </w:rPr>
        <w:t xml:space="preserve">The Child In </w:t>
      </w:r>
      <w:r w:rsidRPr="00CC200E">
        <w:t>Time</w:t>
      </w:r>
      <w:r>
        <w:t xml:space="preserve"> (as opposed to the intertextuality seen in </w:t>
      </w:r>
      <w:r>
        <w:rPr>
          <w:i/>
        </w:rPr>
        <w:t xml:space="preserve">The Waste </w:t>
      </w:r>
      <w:r w:rsidRPr="00CC200E">
        <w:t>Land</w:t>
      </w:r>
      <w:r>
        <w:t xml:space="preserve">) </w:t>
      </w:r>
      <w:r w:rsidRPr="00CC200E">
        <w:t>is</w:t>
      </w:r>
      <w:r>
        <w:t>, according to Bernard Sharratt,</w:t>
      </w:r>
      <w:r w:rsidR="00DD6BFC">
        <w:t xml:space="preserve"> more typical of p</w:t>
      </w:r>
      <w:r>
        <w:t>ostmodernism.</w:t>
      </w:r>
      <w:r w:rsidR="004E3258">
        <w:rPr>
          <w:rStyle w:val="FootnoteReference"/>
        </w:rPr>
        <w:footnoteReference w:id="32"/>
      </w:r>
      <w:r>
        <w:t xml:space="preserve"> Sharratt draws upon the postmodern trend in Architecture which follows the wider trend in a visual rejection of external references and </w:t>
      </w:r>
      <w:r w:rsidR="002070B5">
        <w:t>structures</w:t>
      </w:r>
      <w:r>
        <w:t xml:space="preserve">, and compares it to the external cultural and architectural eclecticism of the 1893 Chicago Columbian Exposition (and in particular the ‘Midway’ section) and the way that Eliot created a ‘pan-European structure, incorporating vividly compressed </w:t>
      </w:r>
      <w:r w:rsidR="002070B5">
        <w:t>fragments</w:t>
      </w:r>
      <w:r>
        <w:t xml:space="preserve"> of Wagner, Verlain, Augustine and Ovid.’</w:t>
      </w:r>
      <w:r w:rsidR="004E3258">
        <w:rPr>
          <w:rStyle w:val="FootnoteReference"/>
        </w:rPr>
        <w:footnoteReference w:id="33"/>
      </w:r>
      <w:r w:rsidR="004E3258">
        <w:t xml:space="preserve"> </w:t>
      </w:r>
      <w:r>
        <w:t>His comment that ‘these suggested similarities are not only, in true postmodern style, surface affinities but also structural’,</w:t>
      </w:r>
      <w:r w:rsidR="004E3258">
        <w:rPr>
          <w:rStyle w:val="FootnoteReference"/>
        </w:rPr>
        <w:footnoteReference w:id="34"/>
      </w:r>
      <w:r>
        <w:t xml:space="preserve">] echoes </w:t>
      </w:r>
      <w:r w:rsidR="00543BB4">
        <w:t xml:space="preserve">Thomas </w:t>
      </w:r>
      <w:r>
        <w:t>Helm’s contention that literary culture provides the hermeneutic</w:t>
      </w:r>
      <w:r w:rsidR="002076CB">
        <w:t xml:space="preserve"> to the past</w:t>
      </w:r>
      <w:r w:rsidR="004E3258">
        <w:rPr>
          <w:rStyle w:val="FootnoteReference"/>
        </w:rPr>
        <w:footnoteReference w:id="35"/>
      </w:r>
      <w:r w:rsidR="004E3258">
        <w:t xml:space="preserve"> </w:t>
      </w:r>
      <w:r w:rsidR="00543BB4">
        <w:t>and Pericles Lewis’s comment that ‘the seeds of postmodernism are present in the highest of high modernist works.’</w:t>
      </w:r>
      <w:r w:rsidR="004E3258">
        <w:rPr>
          <w:rStyle w:val="FootnoteReference"/>
        </w:rPr>
        <w:footnoteReference w:id="36"/>
      </w:r>
    </w:p>
    <w:p w:rsidR="009E59F7" w:rsidRDefault="009E59F7" w:rsidP="004E7C70">
      <w:pPr>
        <w:spacing w:line="360" w:lineRule="auto"/>
      </w:pPr>
    </w:p>
    <w:p w:rsidR="00B40C20" w:rsidRDefault="00354394" w:rsidP="004E7C70">
      <w:pPr>
        <w:spacing w:line="360" w:lineRule="auto"/>
      </w:pPr>
      <w:r>
        <w:t xml:space="preserve">Postmodernist theorists </w:t>
      </w:r>
      <w:r w:rsidR="009E59F7">
        <w:t>detect the idea of finding meaning through reading backwards intertextually across writings. Borges, in discussing the works of Kafka traces a complex line as Brian McHale writes,</w:t>
      </w:r>
    </w:p>
    <w:p w:rsidR="009E59F7" w:rsidRDefault="009E59F7" w:rsidP="004E7C70">
      <w:pPr>
        <w:spacing w:line="360" w:lineRule="auto"/>
      </w:pPr>
    </w:p>
    <w:p w:rsidR="009E59F7" w:rsidRDefault="009E59F7" w:rsidP="004E7C70">
      <w:pPr>
        <w:spacing w:line="360" w:lineRule="auto"/>
        <w:ind w:left="720"/>
      </w:pPr>
      <w:r>
        <w:t>‘From Zeno’s paradox to a ninth-century Chinese writer to a pair of parables by Kierkegaard and a poem by Robert Browning to a story by the French novelist Léon Bloy and another by the British fantasy writer Lord Dunsany.’</w:t>
      </w:r>
      <w:r w:rsidR="004E3258">
        <w:rPr>
          <w:rStyle w:val="FootnoteReference"/>
        </w:rPr>
        <w:footnoteReference w:id="37"/>
      </w:r>
    </w:p>
    <w:p w:rsidR="009E59F7" w:rsidRDefault="009E59F7" w:rsidP="004E7C70">
      <w:pPr>
        <w:spacing w:line="360" w:lineRule="auto"/>
      </w:pPr>
    </w:p>
    <w:p w:rsidR="009E59F7" w:rsidRDefault="00C1262B" w:rsidP="004E7C70">
      <w:pPr>
        <w:spacing w:line="360" w:lineRule="auto"/>
      </w:pPr>
      <w:r>
        <w:t xml:space="preserve">Borges’ argument is that </w:t>
      </w:r>
      <w:r w:rsidR="00AA3D6A">
        <w:t xml:space="preserve">the </w:t>
      </w:r>
      <w:r w:rsidR="008B7403">
        <w:t>distinctive seen in Kaf</w:t>
      </w:r>
      <w:r w:rsidR="00AA3D6A">
        <w:t xml:space="preserve">ka are only detected through reading backwards from Kafka leading to his conclusion that ‘each writer </w:t>
      </w:r>
      <w:r w:rsidR="00AA3D6A">
        <w:rPr>
          <w:i/>
        </w:rPr>
        <w:t>creates</w:t>
      </w:r>
      <w:r w:rsidR="00AA3D6A">
        <w:t xml:space="preserve"> his precursors. His work modifies our conception of the past, as it will modify the future.’</w:t>
      </w:r>
      <w:r w:rsidR="004E3258">
        <w:rPr>
          <w:rStyle w:val="FootnoteReference"/>
        </w:rPr>
        <w:footnoteReference w:id="38"/>
      </w:r>
      <w:r w:rsidR="004E3258">
        <w:t xml:space="preserve"> </w:t>
      </w:r>
      <w:r w:rsidR="00AA3D6A">
        <w:t xml:space="preserve">This is process seen in the rereading of </w:t>
      </w:r>
      <w:r w:rsidR="00AA3D6A">
        <w:rPr>
          <w:i/>
        </w:rPr>
        <w:t>The Handmaid’s Tale</w:t>
      </w:r>
      <w:r w:rsidR="00AA3D6A">
        <w:t xml:space="preserve"> following the ‘Historical Note’ and in </w:t>
      </w:r>
      <w:r w:rsidR="00AA3D6A">
        <w:rPr>
          <w:i/>
        </w:rPr>
        <w:t>Atonement</w:t>
      </w:r>
      <w:r w:rsidR="00AA3D6A">
        <w:t xml:space="preserve"> when the novel’s </w:t>
      </w:r>
      <w:r w:rsidR="008B7403">
        <w:t>dénouement</w:t>
      </w:r>
      <w:r w:rsidR="00AA3D6A">
        <w:t xml:space="preserve"> in the final paragraphs</w:t>
      </w:r>
      <w:r w:rsidR="004E4BC2">
        <w:t>,</w:t>
      </w:r>
      <w:r w:rsidR="004E3258">
        <w:rPr>
          <w:rStyle w:val="FootnoteReference"/>
        </w:rPr>
        <w:footnoteReference w:id="39"/>
      </w:r>
      <w:r w:rsidR="00AA3D6A">
        <w:t xml:space="preserve"> </w:t>
      </w:r>
      <w:r w:rsidR="004E4BC2">
        <w:t xml:space="preserve">and how Eliot mirrors the action described by Borges in his use of mythic and literary references throughout </w:t>
      </w:r>
      <w:r w:rsidR="004E4BC2">
        <w:rPr>
          <w:i/>
        </w:rPr>
        <w:t xml:space="preserve">The Waste </w:t>
      </w:r>
      <w:r w:rsidR="004E4BC2" w:rsidRPr="004E4BC2">
        <w:t>Land</w:t>
      </w:r>
      <w:r w:rsidR="004E4BC2">
        <w:t xml:space="preserve">. </w:t>
      </w:r>
      <w:r w:rsidR="004E4BC2" w:rsidRPr="004E4BC2">
        <w:t>McHale</w:t>
      </w:r>
      <w:r w:rsidR="004E4BC2">
        <w:t xml:space="preserve"> uses the term ‘reverse engineering’ to describe this process, using the example of Steven Moore’s </w:t>
      </w:r>
      <w:r w:rsidR="004E4BC2">
        <w:rPr>
          <w:i/>
        </w:rPr>
        <w:t>The Novel: An Alternative History 1600-1800</w:t>
      </w:r>
      <w:r w:rsidR="004E4BC2">
        <w:t xml:space="preserve"> </w:t>
      </w:r>
      <w:r w:rsidR="005D408D">
        <w:t xml:space="preserve">to illustrate </w:t>
      </w:r>
      <w:r w:rsidR="004E4BC2">
        <w:t>this.</w:t>
      </w:r>
      <w:r w:rsidR="005D408D">
        <w:rPr>
          <w:rStyle w:val="FootnoteReference"/>
        </w:rPr>
        <w:footnoteReference w:id="40"/>
      </w:r>
    </w:p>
    <w:p w:rsidR="004E4BC2" w:rsidRDefault="004E4BC2" w:rsidP="004E7C70">
      <w:pPr>
        <w:spacing w:line="360" w:lineRule="auto"/>
      </w:pPr>
    </w:p>
    <w:p w:rsidR="004E4BC2" w:rsidRDefault="00531D74" w:rsidP="004E7C70">
      <w:pPr>
        <w:spacing w:line="360" w:lineRule="auto"/>
      </w:pPr>
      <w:r>
        <w:t>If one of the common postmodernist objections to modernism was the ‘perception of modernism as elitist in character</w:t>
      </w:r>
      <w:r w:rsidR="005B0584">
        <w:t>’</w:t>
      </w:r>
      <w:r w:rsidR="005D408D">
        <w:rPr>
          <w:rStyle w:val="FootnoteReference"/>
        </w:rPr>
        <w:footnoteReference w:id="41"/>
      </w:r>
      <w:r w:rsidR="005B0584">
        <w:t xml:space="preserve"> Pericles Lewis points out some postmodernists were motivated by a different, more philosophical meaning of the term as popularised by J</w:t>
      </w:r>
      <w:r w:rsidR="008B7403">
        <w:t xml:space="preserve">ean-Francois Lyotard) which argued that one of the defining </w:t>
      </w:r>
      <w:r w:rsidR="008377B8">
        <w:t>characteristics</w:t>
      </w:r>
      <w:r w:rsidR="008B7403">
        <w:t xml:space="preserve"> of postmodernism was a rejection of ‘grand narratives of philosophical modernity: narratives associated with scientific, technical, material and social progress’</w:t>
      </w:r>
      <w:r w:rsidR="005D408D">
        <w:rPr>
          <w:rStyle w:val="FootnoteReference"/>
        </w:rPr>
        <w:footnoteReference w:id="42"/>
      </w:r>
      <w:r w:rsidR="008B7403">
        <w:t xml:space="preserve"> an example of which can be seen in the scepticism with which Offred </w:t>
      </w:r>
      <w:r w:rsidR="008377B8">
        <w:t>views her mother’s political activism. Atwood may well be reflecting the cultural discourse of the 1980s (at the time the novel was written) and the rise of postmodernism in cultural theory compared to the political and philosophical environment two decades earlier.</w:t>
      </w:r>
      <w:r w:rsidR="005A0712">
        <w:t xml:space="preserve"> </w:t>
      </w:r>
    </w:p>
    <w:p w:rsidR="005A0712" w:rsidRDefault="005A0712" w:rsidP="004E7C70">
      <w:pPr>
        <w:spacing w:line="360" w:lineRule="auto"/>
      </w:pPr>
    </w:p>
    <w:p w:rsidR="00467631" w:rsidRDefault="005A0712" w:rsidP="004E7C70">
      <w:pPr>
        <w:spacing w:line="360" w:lineRule="auto"/>
      </w:pPr>
      <w:r>
        <w:lastRenderedPageBreak/>
        <w:t xml:space="preserve">The common thread running through the works discussed here – the </w:t>
      </w:r>
      <w:r w:rsidR="004E7C70">
        <w:t>interpretation</w:t>
      </w:r>
      <w:r>
        <w:t xml:space="preserve"> and transmission of history, memory, and identity – show that there is scholarly debate concerning the relationship between modernism and postmodernism, but that the differences are more than just the process of making and interpretation art, that the underlying assumptions between the two halves of the twentieth century diverged</w:t>
      </w:r>
      <w:r w:rsidR="00CD7A95">
        <w:t xml:space="preserve"> but, as Pericles Lewis points out, </w:t>
      </w:r>
    </w:p>
    <w:p w:rsidR="00467631" w:rsidRDefault="00467631" w:rsidP="004E7C70">
      <w:pPr>
        <w:spacing w:line="360" w:lineRule="auto"/>
      </w:pPr>
    </w:p>
    <w:p w:rsidR="005A0712" w:rsidRDefault="00467631" w:rsidP="004E7C70">
      <w:pPr>
        <w:spacing w:line="360" w:lineRule="auto"/>
        <w:ind w:left="720"/>
      </w:pPr>
      <w:r>
        <w:t>‘</w:t>
      </w:r>
      <w:r w:rsidR="00CD7A95">
        <w:t xml:space="preserve">both are devoted to a conception of the greatest art as always innovative. If we </w:t>
      </w:r>
      <w:r>
        <w:t>feel a need to label our own era “postmodern’ rather than “modern” and thus assert our originality, this is perhaps just a sign of the continuing modernist impulse.’</w:t>
      </w:r>
      <w:r>
        <w:rPr>
          <w:rStyle w:val="FootnoteReference"/>
        </w:rPr>
        <w:footnoteReference w:id="43"/>
      </w:r>
    </w:p>
    <w:p w:rsidR="008377B8" w:rsidRDefault="008377B8" w:rsidP="004E7C70">
      <w:pPr>
        <w:spacing w:line="360" w:lineRule="auto"/>
      </w:pPr>
    </w:p>
    <w:p w:rsidR="00A64CAF" w:rsidRDefault="00A64CAF">
      <w:r>
        <w:br w:type="page"/>
      </w:r>
    </w:p>
    <w:p w:rsidR="008377B8" w:rsidRDefault="00A64CAF" w:rsidP="004E7C70">
      <w:pPr>
        <w:spacing w:line="360" w:lineRule="auto"/>
        <w:rPr>
          <w:b/>
        </w:rPr>
      </w:pPr>
      <w:r>
        <w:rPr>
          <w:b/>
        </w:rPr>
        <w:lastRenderedPageBreak/>
        <w:t>Bibliography</w:t>
      </w:r>
    </w:p>
    <w:p w:rsidR="00A64CAF" w:rsidRDefault="00A64CAF" w:rsidP="004E7C70">
      <w:pPr>
        <w:spacing w:line="360" w:lineRule="auto"/>
        <w:rPr>
          <w:b/>
        </w:rPr>
      </w:pP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Atwood, Margaret, </w:t>
      </w:r>
      <w:r w:rsidRPr="00A64CAF">
        <w:rPr>
          <w:rFonts w:cstheme="minorHAnsi"/>
          <w:i/>
          <w:iCs/>
        </w:rPr>
        <w:t>The Handmaid’s Tale</w:t>
      </w:r>
      <w:r w:rsidRPr="00A64CAF">
        <w:rPr>
          <w:rFonts w:cstheme="minorHAnsi"/>
        </w:rPr>
        <w:t>, (London: Vintage, 2017)</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Canton, Kimberly F., "I'm Sorry My Story is in Fragments": Offred's Operatic Counter-Memory, </w:t>
      </w:r>
      <w:r w:rsidRPr="00A64CAF">
        <w:rPr>
          <w:rFonts w:cstheme="minorHAnsi"/>
          <w:i/>
          <w:iCs/>
        </w:rPr>
        <w:t xml:space="preserve">English Studies in Canada, </w:t>
      </w:r>
      <w:r w:rsidRPr="00A64CAF">
        <w:rPr>
          <w:rFonts w:cstheme="minorHAnsi"/>
        </w:rPr>
        <w:t xml:space="preserve">33 (2007), 1-21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Connor, Steven, </w:t>
      </w:r>
      <w:r w:rsidRPr="00A64CAF">
        <w:rPr>
          <w:rFonts w:cstheme="minorHAnsi"/>
          <w:i/>
          <w:iCs/>
        </w:rPr>
        <w:t>The Cambridge Companion to Postmodernism</w:t>
      </w:r>
      <w:r w:rsidRPr="00A64CAF">
        <w:rPr>
          <w:rFonts w:cstheme="minorHAnsi"/>
        </w:rPr>
        <w:t xml:space="preserve"> (Cambridge: Cambridge University Press, 2004) </w:t>
      </w:r>
    </w:p>
    <w:p w:rsidR="00A64CAF" w:rsidRPr="00A64CAF" w:rsidRDefault="00A64CAF" w:rsidP="00A64CAF">
      <w:pPr>
        <w:autoSpaceDE w:val="0"/>
        <w:autoSpaceDN w:val="0"/>
        <w:adjustRightInd w:val="0"/>
        <w:spacing w:before="100" w:after="100" w:line="480" w:lineRule="auto"/>
        <w:ind w:left="450" w:right="-720" w:hanging="450"/>
        <w:rPr>
          <w:rFonts w:cstheme="minorHAnsi"/>
        </w:rPr>
      </w:pPr>
      <w:proofErr w:type="spellStart"/>
      <w:r w:rsidRPr="00A64CAF">
        <w:rPr>
          <w:rFonts w:cstheme="minorHAnsi"/>
        </w:rPr>
        <w:t>Drout</w:t>
      </w:r>
      <w:proofErr w:type="spellEnd"/>
      <w:r w:rsidRPr="00A64CAF">
        <w:rPr>
          <w:rFonts w:cstheme="minorHAnsi"/>
        </w:rPr>
        <w:t xml:space="preserve">, Michael, </w:t>
      </w:r>
      <w:r w:rsidRPr="00A64CAF">
        <w:rPr>
          <w:rFonts w:cstheme="minorHAnsi"/>
          <w:i/>
          <w:iCs/>
        </w:rPr>
        <w:t>Tolkien and the West: Recovering the Lost Tradition of Europe</w:t>
      </w:r>
      <w:r w:rsidRPr="00A64CAF">
        <w:rPr>
          <w:rFonts w:cstheme="minorHAnsi"/>
        </w:rPr>
        <w:t xml:space="preserve"> (Recorded Books, Z05490, 2012) [On CD]</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Edwards, Paul, ‘Time, Romanticism, Modernism and Moderation in Ian McEwan’s The Child in Time’ </w:t>
      </w:r>
      <w:r w:rsidRPr="00A64CAF">
        <w:rPr>
          <w:rFonts w:cstheme="minorHAnsi"/>
          <w:i/>
          <w:iCs/>
          <w:color w:val="2A2A2A"/>
        </w:rPr>
        <w:t>English: Journal of the English Association</w:t>
      </w:r>
      <w:r w:rsidRPr="00A64CAF">
        <w:rPr>
          <w:rFonts w:cstheme="minorHAnsi"/>
          <w:color w:val="2A2A2A"/>
        </w:rPr>
        <w:t>, 44 (1995), 41–55</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Eliot, T. S., </w:t>
      </w:r>
      <w:r w:rsidRPr="00A64CAF">
        <w:rPr>
          <w:rFonts w:cstheme="minorHAnsi"/>
          <w:i/>
          <w:iCs/>
        </w:rPr>
        <w:t>Collected Poems, 1909-1962</w:t>
      </w:r>
      <w:r w:rsidRPr="00A64CAF">
        <w:rPr>
          <w:rFonts w:cstheme="minorHAnsi"/>
        </w:rPr>
        <w:t xml:space="preserve"> (London: Faber and Faber, 1974)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Farahbakhsh, Alireza, ‘Eliot and Postmodern Selfhood’ AUMLA: Journal of the Australasian University of Modern Language Association, 111 (2009), 69-87</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Farahbakhsh, Alireza and Zahra </w:t>
      </w:r>
      <w:proofErr w:type="spellStart"/>
      <w:r w:rsidRPr="00A64CAF">
        <w:rPr>
          <w:rFonts w:cstheme="minorHAnsi"/>
        </w:rPr>
        <w:t>Habibi</w:t>
      </w:r>
      <w:proofErr w:type="spellEnd"/>
      <w:r w:rsidRPr="00A64CAF">
        <w:rPr>
          <w:rFonts w:cstheme="minorHAnsi"/>
        </w:rPr>
        <w:t xml:space="preserve">, 'Eliot, Time in Modernist Thought, and Contemporary Reality', </w:t>
      </w:r>
      <w:r w:rsidRPr="00A64CAF">
        <w:rPr>
          <w:rFonts w:cstheme="minorHAnsi"/>
          <w:i/>
          <w:iCs/>
        </w:rPr>
        <w:t xml:space="preserve">AUMLA : Journal of the Australasian Universities Modern Language Association, </w:t>
      </w:r>
      <w:r w:rsidRPr="00A64CAF">
        <w:rPr>
          <w:rFonts w:cstheme="minorHAnsi"/>
        </w:rPr>
        <w:t>105 (2012), 35-47</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Grace, Dominick M., 'The Handmaid's Tale: “ Historical Notes” and Documentary Subversion', </w:t>
      </w:r>
      <w:r w:rsidRPr="00A64CAF">
        <w:rPr>
          <w:rFonts w:cstheme="minorHAnsi"/>
          <w:i/>
          <w:iCs/>
        </w:rPr>
        <w:t xml:space="preserve">Science Fiction Studies, </w:t>
      </w:r>
      <w:r w:rsidRPr="00A64CAF">
        <w:rPr>
          <w:rFonts w:cstheme="minorHAnsi"/>
        </w:rPr>
        <w:t xml:space="preserve">25 (1998), 481-495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Helm, Thomas E., 'Hermeneutics of Time in T. S. Eliot's the Waste Land', </w:t>
      </w:r>
      <w:r w:rsidRPr="00A64CAF">
        <w:rPr>
          <w:rFonts w:cstheme="minorHAnsi"/>
          <w:i/>
          <w:iCs/>
        </w:rPr>
        <w:t xml:space="preserve">Journal of Religion, </w:t>
      </w:r>
      <w:r w:rsidRPr="00A64CAF">
        <w:rPr>
          <w:rFonts w:cstheme="minorHAnsi"/>
        </w:rPr>
        <w:t xml:space="preserve">65 (1985), 208-225 </w:t>
      </w:r>
    </w:p>
    <w:p w:rsidR="00A64CAF" w:rsidRPr="00A64CAF" w:rsidRDefault="00A64CAF" w:rsidP="00A64CAF">
      <w:pPr>
        <w:autoSpaceDE w:val="0"/>
        <w:autoSpaceDN w:val="0"/>
        <w:adjustRightInd w:val="0"/>
        <w:spacing w:before="100" w:after="100" w:line="480" w:lineRule="auto"/>
        <w:ind w:left="450" w:right="-720" w:hanging="450"/>
        <w:rPr>
          <w:rFonts w:cstheme="minorHAnsi"/>
        </w:rPr>
      </w:pPr>
      <w:proofErr w:type="spellStart"/>
      <w:r w:rsidRPr="00A64CAF">
        <w:rPr>
          <w:rFonts w:cstheme="minorHAnsi"/>
        </w:rPr>
        <w:lastRenderedPageBreak/>
        <w:t>Hogsette</w:t>
      </w:r>
      <w:proofErr w:type="spellEnd"/>
      <w:r w:rsidRPr="00A64CAF">
        <w:rPr>
          <w:rFonts w:cstheme="minorHAnsi"/>
        </w:rPr>
        <w:t xml:space="preserve">, David </w:t>
      </w:r>
      <w:bookmarkStart w:id="4" w:name="_GoBack"/>
      <w:bookmarkEnd w:id="4"/>
      <w:r w:rsidRPr="00A64CAF">
        <w:rPr>
          <w:rFonts w:cstheme="minorHAnsi"/>
        </w:rPr>
        <w:t xml:space="preserve">S., 'Margaret Atwood's Rhetorical Epilogue in the Handmaid's Tale: The Reader's Role in Empowering Offred's Speech Act', </w:t>
      </w:r>
      <w:r w:rsidRPr="00A64CAF">
        <w:rPr>
          <w:rFonts w:cstheme="minorHAnsi"/>
          <w:i/>
          <w:iCs/>
        </w:rPr>
        <w:t xml:space="preserve">Critique, </w:t>
      </w:r>
      <w:r w:rsidRPr="00A64CAF">
        <w:rPr>
          <w:rFonts w:cstheme="minorHAnsi"/>
        </w:rPr>
        <w:t xml:space="preserve">38 (1997), 262-279 </w:t>
      </w:r>
    </w:p>
    <w:p w:rsidR="00A64CAF" w:rsidRPr="00A64CAF" w:rsidRDefault="00A64CAF" w:rsidP="00A64CAF">
      <w:pPr>
        <w:autoSpaceDE w:val="0"/>
        <w:autoSpaceDN w:val="0"/>
        <w:adjustRightInd w:val="0"/>
        <w:spacing w:before="100" w:after="100" w:line="480" w:lineRule="auto"/>
        <w:ind w:left="450" w:right="-720" w:hanging="450"/>
        <w:rPr>
          <w:rFonts w:cstheme="minorHAnsi"/>
        </w:rPr>
      </w:pPr>
      <w:proofErr w:type="spellStart"/>
      <w:r w:rsidRPr="00A64CAF">
        <w:rPr>
          <w:rFonts w:cstheme="minorHAnsi"/>
        </w:rPr>
        <w:t>Levenson</w:t>
      </w:r>
      <w:proofErr w:type="spellEnd"/>
      <w:r w:rsidRPr="00A64CAF">
        <w:rPr>
          <w:rFonts w:cstheme="minorHAnsi"/>
        </w:rPr>
        <w:t xml:space="preserve">, Michael H., </w:t>
      </w:r>
      <w:r w:rsidRPr="00A64CAF">
        <w:rPr>
          <w:rFonts w:cstheme="minorHAnsi"/>
          <w:i/>
          <w:iCs/>
        </w:rPr>
        <w:t>The Cambridge Companion to Modernism</w:t>
      </w:r>
      <w:r w:rsidRPr="00A64CAF">
        <w:rPr>
          <w:rFonts w:cstheme="minorHAnsi"/>
        </w:rPr>
        <w:t xml:space="preserve"> (Cambridge: Cambridge University Press, 1999)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Lewis, Pericles, </w:t>
      </w:r>
      <w:r w:rsidRPr="00A64CAF">
        <w:rPr>
          <w:rFonts w:cstheme="minorHAnsi"/>
          <w:i/>
          <w:iCs/>
        </w:rPr>
        <w:t>The Cambridge Introduction to Modernism</w:t>
      </w:r>
      <w:r w:rsidRPr="00A64CAF">
        <w:rPr>
          <w:rFonts w:cstheme="minorHAnsi"/>
        </w:rPr>
        <w:t xml:space="preserve"> (Cambridge: Cambridge University Press, 2007)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McEwan, Ian, </w:t>
      </w:r>
      <w:r w:rsidRPr="00A64CAF">
        <w:rPr>
          <w:rFonts w:cstheme="minorHAnsi"/>
          <w:i/>
          <w:iCs/>
        </w:rPr>
        <w:t>Atonement</w:t>
      </w:r>
      <w:r w:rsidRPr="00A64CAF">
        <w:rPr>
          <w:rFonts w:cstheme="minorHAnsi"/>
        </w:rPr>
        <w:t xml:space="preserve"> (London: Vintage, 2002)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McEwan, Ian, </w:t>
      </w:r>
      <w:r w:rsidRPr="00A64CAF">
        <w:rPr>
          <w:rFonts w:cstheme="minorHAnsi"/>
          <w:i/>
          <w:iCs/>
        </w:rPr>
        <w:t>The Child in Time</w:t>
      </w:r>
      <w:r w:rsidRPr="00A64CAF">
        <w:rPr>
          <w:rFonts w:cstheme="minorHAnsi"/>
        </w:rPr>
        <w:t xml:space="preserve"> (London: Vintage, 1997)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McHale, Brian, </w:t>
      </w:r>
      <w:r w:rsidRPr="00A64CAF">
        <w:rPr>
          <w:rFonts w:cstheme="minorHAnsi"/>
          <w:i/>
          <w:iCs/>
        </w:rPr>
        <w:t>The Cambridge Introduction to Postmodernism</w:t>
      </w:r>
      <w:r w:rsidRPr="00A64CAF">
        <w:rPr>
          <w:rFonts w:cstheme="minorHAnsi"/>
        </w:rPr>
        <w:t>, (Cambridge, Cambridge University Press, 2015)</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Moody, A. D., </w:t>
      </w:r>
      <w:r w:rsidRPr="00A64CAF">
        <w:rPr>
          <w:rFonts w:cstheme="minorHAnsi"/>
          <w:i/>
          <w:iCs/>
        </w:rPr>
        <w:t>The Cambridge Companion to T.S. Eliot</w:t>
      </w:r>
      <w:r w:rsidRPr="00A64CAF">
        <w:rPr>
          <w:rFonts w:cstheme="minorHAnsi"/>
        </w:rPr>
        <w:t xml:space="preserve"> (Cambridge: Cambridge University Press, 1994)</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 xml:space="preserve">Moore, Steven, The Novel: An Alternate History (London: Bloomsbury Press, 2013) </w:t>
      </w:r>
    </w:p>
    <w:p w:rsidR="00A64CAF" w:rsidRPr="00A64CAF" w:rsidRDefault="00A64CAF" w:rsidP="00A64CAF">
      <w:pPr>
        <w:autoSpaceDE w:val="0"/>
        <w:autoSpaceDN w:val="0"/>
        <w:adjustRightInd w:val="0"/>
        <w:spacing w:before="100" w:after="100" w:line="480" w:lineRule="auto"/>
        <w:ind w:left="450" w:right="-720" w:hanging="450"/>
        <w:rPr>
          <w:rFonts w:cstheme="minorHAnsi"/>
        </w:rPr>
      </w:pPr>
      <w:r w:rsidRPr="00A64CAF">
        <w:rPr>
          <w:rFonts w:cstheme="minorHAnsi"/>
        </w:rPr>
        <w:t>Smith, Victoria, ‘The Demonisation of Mumsnet is the Latest Incarnation on Witch-Hunts’ &lt;</w:t>
      </w:r>
      <w:hyperlink r:id="rId7" w:history="1">
        <w:r w:rsidRPr="00A64CAF">
          <w:rPr>
            <w:rFonts w:cstheme="minorHAnsi"/>
          </w:rPr>
          <w:t>https://www.newstatesman.com/politics/feminism/2018/05/demonisation-mumsnet-just-latest-incarnation-witch-hunting</w:t>
        </w:r>
      </w:hyperlink>
      <w:r w:rsidRPr="00A64CAF">
        <w:rPr>
          <w:rFonts w:cstheme="minorHAnsi"/>
        </w:rPr>
        <w:t>&gt; [accessed 14 May 2018]</w:t>
      </w:r>
    </w:p>
    <w:p w:rsidR="00A64CAF" w:rsidRPr="00A64CAF" w:rsidRDefault="00A64CAF" w:rsidP="00A64CAF">
      <w:pPr>
        <w:spacing w:line="360" w:lineRule="auto"/>
        <w:rPr>
          <w:rFonts w:cstheme="minorHAnsi"/>
        </w:rPr>
      </w:pPr>
      <w:r w:rsidRPr="00A64CAF">
        <w:rPr>
          <w:rFonts w:cstheme="minorHAnsi"/>
        </w:rPr>
        <w:t>Westerman, Molly, '"of Skulls Or Spirits": The Haunting Space between Fictional(Ized) History and</w:t>
      </w:r>
    </w:p>
    <w:p w:rsidR="00A64CAF" w:rsidRPr="00A64CAF" w:rsidRDefault="00A64CAF" w:rsidP="00A64CAF">
      <w:pPr>
        <w:spacing w:line="360" w:lineRule="auto"/>
        <w:ind w:firstLine="720"/>
        <w:rPr>
          <w:rFonts w:cstheme="minorHAnsi"/>
          <w:b/>
        </w:rPr>
      </w:pPr>
      <w:r w:rsidRPr="00A64CAF">
        <w:rPr>
          <w:rFonts w:cstheme="minorHAnsi"/>
        </w:rPr>
        <w:t xml:space="preserve">Historical Note', </w:t>
      </w:r>
      <w:r w:rsidRPr="00A64CAF">
        <w:rPr>
          <w:rFonts w:cstheme="minorHAnsi"/>
          <w:i/>
          <w:iCs/>
        </w:rPr>
        <w:t xml:space="preserve">Clio, </w:t>
      </w:r>
      <w:r w:rsidRPr="00A64CAF">
        <w:rPr>
          <w:rFonts w:cstheme="minorHAnsi"/>
        </w:rPr>
        <w:t>35 (2006), 369-393,463</w:t>
      </w:r>
    </w:p>
    <w:sectPr w:rsidR="00A64CAF" w:rsidRPr="00A64CAF" w:rsidSect="0098310D">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607" w:rsidRDefault="00243607" w:rsidP="001549D0">
      <w:r>
        <w:separator/>
      </w:r>
    </w:p>
  </w:endnote>
  <w:endnote w:type="continuationSeparator" w:id="0">
    <w:p w:rsidR="00243607" w:rsidRDefault="00243607" w:rsidP="00154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366973"/>
      <w:docPartObj>
        <w:docPartGallery w:val="Page Numbers (Bottom of Page)"/>
        <w:docPartUnique/>
      </w:docPartObj>
    </w:sdtPr>
    <w:sdtContent>
      <w:p w:rsidR="004E7C70" w:rsidRDefault="004E7C70" w:rsidP="002D3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4E7C70" w:rsidRDefault="004E7C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00200857"/>
      <w:docPartObj>
        <w:docPartGallery w:val="Page Numbers (Bottom of Page)"/>
        <w:docPartUnique/>
      </w:docPartObj>
    </w:sdtPr>
    <w:sdtContent>
      <w:p w:rsidR="004E7C70" w:rsidRDefault="004E7C70" w:rsidP="002D38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E7C70" w:rsidRDefault="004E7C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607" w:rsidRDefault="00243607" w:rsidP="001549D0">
      <w:r>
        <w:separator/>
      </w:r>
    </w:p>
  </w:footnote>
  <w:footnote w:type="continuationSeparator" w:id="0">
    <w:p w:rsidR="00243607" w:rsidRDefault="00243607" w:rsidP="001549D0">
      <w:r>
        <w:continuationSeparator/>
      </w:r>
    </w:p>
  </w:footnote>
  <w:footnote w:id="1">
    <w:p w:rsidR="001549D0" w:rsidRDefault="001549D0">
      <w:pPr>
        <w:pStyle w:val="FootnoteText"/>
      </w:pPr>
      <w:r>
        <w:rPr>
          <w:rStyle w:val="FootnoteReference"/>
        </w:rPr>
        <w:footnoteRef/>
      </w:r>
      <w:r>
        <w:t xml:space="preserve"> </w:t>
      </w:r>
      <w:r>
        <w:rPr>
          <w:rFonts w:ascii="Verdana" w:hAnsi="Verdana" w:cs="Verdana"/>
          <w:sz w:val="18"/>
          <w:szCs w:val="18"/>
        </w:rPr>
        <w:t xml:space="preserve">Edwards, Paul, ‘Time, Romanticism, Modernism and Moderation in Ian McEwan’s The Child in Time’ </w:t>
      </w:r>
      <w:r>
        <w:rPr>
          <w:rFonts w:ascii="Verdana" w:hAnsi="Verdana" w:cs="Verdana"/>
          <w:i/>
          <w:iCs/>
          <w:color w:val="2A2A2A"/>
          <w:sz w:val="18"/>
          <w:szCs w:val="18"/>
        </w:rPr>
        <w:t>English: Journal of the English Association</w:t>
      </w:r>
      <w:r>
        <w:rPr>
          <w:rFonts w:ascii="Verdana" w:hAnsi="Verdana" w:cs="Verdana"/>
          <w:color w:val="2A2A2A"/>
          <w:sz w:val="18"/>
          <w:szCs w:val="18"/>
        </w:rPr>
        <w:t>, 44 (1995)</w:t>
      </w:r>
      <w:r>
        <w:rPr>
          <w:rFonts w:ascii="Verdana" w:hAnsi="Verdana" w:cs="Verdana"/>
          <w:color w:val="2A2A2A"/>
          <w:sz w:val="18"/>
          <w:szCs w:val="18"/>
        </w:rPr>
        <w:t>, p.41</w:t>
      </w:r>
    </w:p>
  </w:footnote>
  <w:footnote w:id="2">
    <w:p w:rsidR="001549D0" w:rsidRDefault="001549D0">
      <w:pPr>
        <w:pStyle w:val="FootnoteText"/>
      </w:pPr>
      <w:r>
        <w:rPr>
          <w:rStyle w:val="FootnoteReference"/>
        </w:rPr>
        <w:footnoteRef/>
      </w:r>
      <w:r>
        <w:t xml:space="preserve"> </w:t>
      </w:r>
      <w:r>
        <w:rPr>
          <w:rFonts w:ascii="Verdana" w:hAnsi="Verdana" w:cs="Verdana"/>
          <w:sz w:val="18"/>
          <w:szCs w:val="18"/>
        </w:rPr>
        <w:t xml:space="preserve">McHale, Brian, </w:t>
      </w:r>
      <w:r>
        <w:rPr>
          <w:rFonts w:ascii="Verdana" w:hAnsi="Verdana" w:cs="Verdana"/>
          <w:i/>
          <w:iCs/>
          <w:sz w:val="18"/>
          <w:szCs w:val="18"/>
        </w:rPr>
        <w:t>The Cambridge Introduction to Postmodernism</w:t>
      </w:r>
      <w:r>
        <w:rPr>
          <w:rFonts w:ascii="Verdana" w:hAnsi="Verdana" w:cs="Verdana"/>
          <w:sz w:val="18"/>
          <w:szCs w:val="18"/>
        </w:rPr>
        <w:t>, (Cambridge, Cambridge University Press, 2015)</w:t>
      </w:r>
      <w:r>
        <w:rPr>
          <w:rFonts w:ascii="Verdana" w:hAnsi="Verdana" w:cs="Verdana"/>
          <w:sz w:val="18"/>
          <w:szCs w:val="18"/>
        </w:rPr>
        <w:t>, p. 176</w:t>
      </w:r>
    </w:p>
  </w:footnote>
  <w:footnote w:id="3">
    <w:p w:rsidR="001549D0" w:rsidRDefault="001549D0">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w:t>
      </w:r>
      <w:r>
        <w:rPr>
          <w:rFonts w:ascii="Verdana" w:hAnsi="Verdana" w:cs="Verdana"/>
          <w:sz w:val="18"/>
          <w:szCs w:val="18"/>
        </w:rPr>
        <w:t>, p. 245</w:t>
      </w:r>
    </w:p>
  </w:footnote>
  <w:footnote w:id="4">
    <w:p w:rsidR="001549D0" w:rsidRDefault="001549D0">
      <w:pPr>
        <w:pStyle w:val="FootnoteText"/>
      </w:pPr>
      <w:r>
        <w:rPr>
          <w:rStyle w:val="FootnoteReference"/>
        </w:rPr>
        <w:footnoteRef/>
      </w:r>
      <w:r>
        <w:t xml:space="preserve"> </w:t>
      </w:r>
      <w:r>
        <w:rPr>
          <w:rFonts w:ascii="Verdana" w:hAnsi="Verdana" w:cs="Verdana"/>
          <w:sz w:val="18"/>
          <w:szCs w:val="18"/>
        </w:rPr>
        <w:t xml:space="preserve">McEwan, Ian, </w:t>
      </w:r>
      <w:r>
        <w:rPr>
          <w:rFonts w:ascii="Verdana" w:hAnsi="Verdana" w:cs="Verdana"/>
          <w:i/>
          <w:iCs/>
          <w:sz w:val="18"/>
          <w:szCs w:val="18"/>
        </w:rPr>
        <w:t>The Child in Time</w:t>
      </w:r>
      <w:r>
        <w:rPr>
          <w:rFonts w:ascii="Verdana" w:hAnsi="Verdana" w:cs="Verdana"/>
          <w:sz w:val="18"/>
          <w:szCs w:val="18"/>
        </w:rPr>
        <w:t xml:space="preserve"> (London: Vintage, 1997)</w:t>
      </w:r>
      <w:r>
        <w:rPr>
          <w:rFonts w:ascii="Verdana" w:hAnsi="Verdana" w:cs="Verdana"/>
          <w:sz w:val="18"/>
          <w:szCs w:val="18"/>
        </w:rPr>
        <w:t>, p. 201</w:t>
      </w:r>
    </w:p>
  </w:footnote>
  <w:footnote w:id="5">
    <w:p w:rsidR="001549D0" w:rsidRDefault="001549D0">
      <w:pPr>
        <w:pStyle w:val="FootnoteText"/>
      </w:pPr>
      <w:r>
        <w:rPr>
          <w:rStyle w:val="FootnoteReference"/>
        </w:rPr>
        <w:footnoteRef/>
      </w:r>
      <w:r>
        <w:t xml:space="preserve"> Ibid. p. 33</w:t>
      </w:r>
    </w:p>
  </w:footnote>
  <w:footnote w:id="6">
    <w:p w:rsidR="001549D0" w:rsidRDefault="001549D0">
      <w:pPr>
        <w:pStyle w:val="FootnoteText"/>
      </w:pPr>
      <w:r>
        <w:rPr>
          <w:rStyle w:val="FootnoteReference"/>
        </w:rPr>
        <w:footnoteRef/>
      </w:r>
      <w:r>
        <w:t xml:space="preserve"> </w:t>
      </w:r>
      <w:r>
        <w:rPr>
          <w:rFonts w:ascii="Verdana" w:hAnsi="Verdana" w:cs="Verdana"/>
          <w:sz w:val="18"/>
          <w:szCs w:val="18"/>
        </w:rPr>
        <w:t xml:space="preserve">Edwards, Paul, ‘Time, Romanticism, Modernism and Moderation in Ian McEwan’s The Child in Time’ </w:t>
      </w:r>
      <w:r>
        <w:rPr>
          <w:rFonts w:ascii="Verdana" w:hAnsi="Verdana" w:cs="Verdana"/>
          <w:i/>
          <w:iCs/>
          <w:color w:val="2A2A2A"/>
          <w:sz w:val="18"/>
          <w:szCs w:val="18"/>
        </w:rPr>
        <w:t>English: Journal of the English Association</w:t>
      </w:r>
      <w:r>
        <w:rPr>
          <w:rFonts w:ascii="Verdana" w:hAnsi="Verdana" w:cs="Verdana"/>
          <w:color w:val="2A2A2A"/>
          <w:sz w:val="18"/>
          <w:szCs w:val="18"/>
        </w:rPr>
        <w:t>, 44 (1995), p.4</w:t>
      </w:r>
      <w:r>
        <w:rPr>
          <w:rFonts w:ascii="Verdana" w:hAnsi="Verdana" w:cs="Verdana"/>
          <w:color w:val="2A2A2A"/>
          <w:sz w:val="18"/>
          <w:szCs w:val="18"/>
        </w:rPr>
        <w:t>9</w:t>
      </w:r>
    </w:p>
  </w:footnote>
  <w:footnote w:id="7">
    <w:p w:rsidR="001549D0" w:rsidRDefault="001549D0">
      <w:pPr>
        <w:pStyle w:val="FootnoteText"/>
      </w:pPr>
      <w:r>
        <w:rPr>
          <w:rStyle w:val="FootnoteReference"/>
        </w:rPr>
        <w:footnoteRef/>
      </w:r>
      <w:r>
        <w:t xml:space="preserve"> </w:t>
      </w:r>
      <w:r>
        <w:rPr>
          <w:rFonts w:ascii="Verdana" w:hAnsi="Verdana" w:cs="Verdana"/>
          <w:sz w:val="18"/>
          <w:szCs w:val="18"/>
        </w:rPr>
        <w:t xml:space="preserve">McEwan, Ian, </w:t>
      </w:r>
      <w:r>
        <w:rPr>
          <w:rFonts w:ascii="Verdana" w:hAnsi="Verdana" w:cs="Verdana"/>
          <w:i/>
          <w:iCs/>
          <w:sz w:val="18"/>
          <w:szCs w:val="18"/>
        </w:rPr>
        <w:t>The Child in Time</w:t>
      </w:r>
      <w:r>
        <w:rPr>
          <w:rFonts w:ascii="Verdana" w:hAnsi="Verdana" w:cs="Verdana"/>
          <w:sz w:val="18"/>
          <w:szCs w:val="18"/>
        </w:rPr>
        <w:t xml:space="preserve"> (London: Vintage, 1997), p. </w:t>
      </w:r>
      <w:r>
        <w:rPr>
          <w:rFonts w:ascii="Verdana" w:hAnsi="Verdana" w:cs="Verdana"/>
          <w:sz w:val="18"/>
          <w:szCs w:val="18"/>
        </w:rPr>
        <w:t>50</w:t>
      </w:r>
    </w:p>
  </w:footnote>
  <w:footnote w:id="8">
    <w:p w:rsidR="009C26E8" w:rsidRDefault="009C26E8">
      <w:pPr>
        <w:pStyle w:val="FootnoteText"/>
      </w:pPr>
      <w:r>
        <w:rPr>
          <w:rStyle w:val="FootnoteReference"/>
        </w:rPr>
        <w:footnoteRef/>
      </w:r>
      <w:r>
        <w:t xml:space="preserve"> </w:t>
      </w:r>
      <w:r w:rsidR="00E2265E">
        <w:rPr>
          <w:rFonts w:ascii="Verdana" w:hAnsi="Verdana" w:cs="Verdana"/>
          <w:sz w:val="18"/>
          <w:szCs w:val="18"/>
        </w:rPr>
        <w:t xml:space="preserve">Atwood, Margaret, </w:t>
      </w:r>
      <w:r w:rsidR="00E2265E">
        <w:rPr>
          <w:rFonts w:ascii="Verdana" w:hAnsi="Verdana" w:cs="Verdana"/>
          <w:i/>
          <w:iCs/>
          <w:sz w:val="18"/>
          <w:szCs w:val="18"/>
        </w:rPr>
        <w:t>The Handmaid’s Tale</w:t>
      </w:r>
      <w:r w:rsidR="00E2265E">
        <w:rPr>
          <w:rFonts w:ascii="Verdana" w:hAnsi="Verdana" w:cs="Verdana"/>
          <w:sz w:val="18"/>
          <w:szCs w:val="18"/>
        </w:rPr>
        <w:t>, (London: Vintage, 2017)</w:t>
      </w:r>
      <w:r w:rsidR="00E2265E">
        <w:rPr>
          <w:rFonts w:ascii="Verdana" w:hAnsi="Verdana" w:cs="Verdana"/>
          <w:sz w:val="18"/>
          <w:szCs w:val="18"/>
        </w:rPr>
        <w:t>, p. 314</w:t>
      </w:r>
    </w:p>
  </w:footnote>
  <w:footnote w:id="9">
    <w:p w:rsidR="00E2265E" w:rsidRDefault="00E2265E">
      <w:pPr>
        <w:pStyle w:val="FootnoteText"/>
      </w:pPr>
      <w:r>
        <w:rPr>
          <w:rStyle w:val="FootnoteReference"/>
        </w:rPr>
        <w:footnoteRef/>
      </w:r>
      <w:r>
        <w:t xml:space="preserve"> </w:t>
      </w:r>
      <w:r>
        <w:rPr>
          <w:rFonts w:ascii="Verdana" w:hAnsi="Verdana" w:cs="Verdana"/>
          <w:sz w:val="18"/>
          <w:szCs w:val="18"/>
        </w:rPr>
        <w:t xml:space="preserve">Westerman, Molly, '"of Skulls Or Spirits": The Haunting Space between Fictional(Ized) History and Historical Note', </w:t>
      </w:r>
      <w:r>
        <w:rPr>
          <w:rFonts w:ascii="Verdana" w:hAnsi="Verdana" w:cs="Verdana"/>
          <w:i/>
          <w:iCs/>
          <w:sz w:val="18"/>
          <w:szCs w:val="18"/>
        </w:rPr>
        <w:t xml:space="preserve">Clio, </w:t>
      </w:r>
      <w:r>
        <w:rPr>
          <w:rFonts w:ascii="Verdana" w:hAnsi="Verdana" w:cs="Verdana"/>
          <w:sz w:val="18"/>
          <w:szCs w:val="18"/>
        </w:rPr>
        <w:t>35 (2006)</w:t>
      </w:r>
      <w:r>
        <w:rPr>
          <w:rFonts w:ascii="Verdana" w:hAnsi="Verdana" w:cs="Verdana"/>
          <w:sz w:val="18"/>
          <w:szCs w:val="18"/>
        </w:rPr>
        <w:t>, p. 371</w:t>
      </w:r>
    </w:p>
  </w:footnote>
  <w:footnote w:id="10">
    <w:p w:rsidR="00E2265E" w:rsidRDefault="00E2265E">
      <w:pPr>
        <w:pStyle w:val="FootnoteText"/>
      </w:pPr>
      <w:r>
        <w:rPr>
          <w:rStyle w:val="FootnoteReference"/>
        </w:rPr>
        <w:footnoteRef/>
      </w:r>
      <w:r>
        <w:t xml:space="preserve"> </w:t>
      </w:r>
      <w:r w:rsidR="004E7C70">
        <w:rPr>
          <w:rFonts w:ascii="Verdana" w:hAnsi="Verdana" w:cs="Verdana"/>
          <w:sz w:val="18"/>
          <w:szCs w:val="18"/>
        </w:rPr>
        <w:t xml:space="preserve">Westerman, Molly, '"of Skulls Or Spirits": The Haunting Space between Fictional(Ized) History and Historical Note', </w:t>
      </w:r>
      <w:r w:rsidR="004E7C70">
        <w:rPr>
          <w:rFonts w:ascii="Verdana" w:hAnsi="Verdana" w:cs="Verdana"/>
          <w:i/>
          <w:iCs/>
          <w:sz w:val="18"/>
          <w:szCs w:val="18"/>
        </w:rPr>
        <w:t xml:space="preserve">Clio, </w:t>
      </w:r>
      <w:r w:rsidR="004E7C70">
        <w:rPr>
          <w:rFonts w:ascii="Verdana" w:hAnsi="Verdana" w:cs="Verdana"/>
          <w:sz w:val="18"/>
          <w:szCs w:val="18"/>
        </w:rPr>
        <w:t xml:space="preserve">35 (2006), </w:t>
      </w:r>
      <w:r>
        <w:t>p. 375</w:t>
      </w:r>
    </w:p>
  </w:footnote>
  <w:footnote w:id="11">
    <w:p w:rsidR="00E2265E" w:rsidRDefault="00E2265E">
      <w:pPr>
        <w:pStyle w:val="FootnoteText"/>
      </w:pPr>
      <w:r>
        <w:rPr>
          <w:rStyle w:val="FootnoteReference"/>
        </w:rPr>
        <w:footnoteRef/>
      </w:r>
      <w:r>
        <w:t xml:space="preserve"> Ibid.</w:t>
      </w:r>
      <w:r w:rsidR="004E7C70">
        <w:t>,</w:t>
      </w:r>
      <w:r>
        <w:t xml:space="preserve"> p. 371</w:t>
      </w:r>
    </w:p>
  </w:footnote>
  <w:footnote w:id="12">
    <w:p w:rsidR="00E2265E" w:rsidRDefault="00E2265E">
      <w:pPr>
        <w:pStyle w:val="FootnoteText"/>
      </w:pPr>
      <w:r>
        <w:rPr>
          <w:rStyle w:val="FootnoteReference"/>
        </w:rPr>
        <w:footnoteRef/>
      </w:r>
      <w:r>
        <w:t xml:space="preserve"> </w:t>
      </w:r>
      <w:r>
        <w:rPr>
          <w:rFonts w:ascii="Verdana" w:hAnsi="Verdana" w:cs="Verdana"/>
          <w:sz w:val="18"/>
          <w:szCs w:val="18"/>
        </w:rPr>
        <w:t xml:space="preserve">Helm, Thomas E., 'Hermeneutics of Time in T. S. Eliot's the Waste Land', </w:t>
      </w:r>
      <w:r>
        <w:rPr>
          <w:rFonts w:ascii="Verdana" w:hAnsi="Verdana" w:cs="Verdana"/>
          <w:i/>
          <w:iCs/>
          <w:sz w:val="18"/>
          <w:szCs w:val="18"/>
        </w:rPr>
        <w:t xml:space="preserve">Journal of Religion, </w:t>
      </w:r>
      <w:r>
        <w:rPr>
          <w:rFonts w:ascii="Verdana" w:hAnsi="Verdana" w:cs="Verdana"/>
          <w:sz w:val="18"/>
          <w:szCs w:val="18"/>
        </w:rPr>
        <w:t>65 (1985)</w:t>
      </w:r>
      <w:r>
        <w:rPr>
          <w:rFonts w:ascii="Verdana" w:hAnsi="Verdana" w:cs="Verdana"/>
          <w:sz w:val="18"/>
          <w:szCs w:val="18"/>
        </w:rPr>
        <w:t>, p. 209-210</w:t>
      </w:r>
    </w:p>
  </w:footnote>
  <w:footnote w:id="13">
    <w:p w:rsidR="00E2265E" w:rsidRDefault="00E2265E">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 p</w:t>
      </w:r>
      <w:r>
        <w:rPr>
          <w:rFonts w:ascii="Verdana" w:hAnsi="Verdana" w:cs="Verdana"/>
          <w:sz w:val="18"/>
          <w:szCs w:val="18"/>
        </w:rPr>
        <w:t>. 66</w:t>
      </w:r>
    </w:p>
  </w:footnote>
  <w:footnote w:id="14">
    <w:p w:rsidR="00E2265E" w:rsidRDefault="00E2265E">
      <w:pPr>
        <w:pStyle w:val="FootnoteText"/>
      </w:pPr>
      <w:r>
        <w:rPr>
          <w:rStyle w:val="FootnoteReference"/>
        </w:rPr>
        <w:footnoteRef/>
      </w:r>
      <w:r>
        <w:t xml:space="preserve"> </w:t>
      </w:r>
      <w:r>
        <w:rPr>
          <w:rFonts w:ascii="Verdana" w:hAnsi="Verdana" w:cs="Verdana"/>
          <w:sz w:val="18"/>
          <w:szCs w:val="18"/>
        </w:rPr>
        <w:t>Smith, Victoria, ‘The Demonisation of Mumsnet is the Latest Incarnation on Witch-Hunts’ &lt;</w:t>
      </w:r>
      <w:hyperlink r:id="rId1" w:history="1">
        <w:r>
          <w:rPr>
            <w:rFonts w:ascii="Verdana" w:hAnsi="Verdana" w:cs="Verdana"/>
            <w:sz w:val="18"/>
            <w:szCs w:val="18"/>
          </w:rPr>
          <w:t>https://www.newstatesman.com/politics/feminism/2018/05/demonisation-mumsnet-just-latest-incarnation-witch-hunting</w:t>
        </w:r>
      </w:hyperlink>
      <w:r>
        <w:rPr>
          <w:rFonts w:ascii="Verdana" w:hAnsi="Verdana" w:cs="Verdana"/>
          <w:sz w:val="18"/>
          <w:szCs w:val="18"/>
        </w:rPr>
        <w:t>&gt; [accessed 14 May 2018]</w:t>
      </w:r>
    </w:p>
  </w:footnote>
  <w:footnote w:id="15">
    <w:p w:rsidR="00E2265E" w:rsidRDefault="00E2265E">
      <w:pPr>
        <w:pStyle w:val="FootnoteText"/>
      </w:pPr>
      <w:r>
        <w:rPr>
          <w:rStyle w:val="FootnoteReference"/>
        </w:rPr>
        <w:footnoteRef/>
      </w:r>
      <w:r>
        <w:t xml:space="preserve"> </w:t>
      </w:r>
      <w:r>
        <w:rPr>
          <w:rFonts w:ascii="Verdana" w:hAnsi="Verdana" w:cs="Verdana"/>
          <w:sz w:val="18"/>
          <w:szCs w:val="18"/>
        </w:rPr>
        <w:t xml:space="preserve">Canton, Kimberly F., "I'm Sorry My Story is in Fragments": Offred's Operatic Counter-Memory, </w:t>
      </w:r>
      <w:r>
        <w:rPr>
          <w:rFonts w:ascii="Verdana" w:hAnsi="Verdana" w:cs="Verdana"/>
          <w:i/>
          <w:iCs/>
          <w:sz w:val="18"/>
          <w:szCs w:val="18"/>
        </w:rPr>
        <w:t xml:space="preserve">English Studies in Canada, </w:t>
      </w:r>
      <w:r>
        <w:rPr>
          <w:rFonts w:ascii="Verdana" w:hAnsi="Verdana" w:cs="Verdana"/>
          <w:sz w:val="18"/>
          <w:szCs w:val="18"/>
        </w:rPr>
        <w:t>33 (2007)</w:t>
      </w:r>
      <w:r>
        <w:rPr>
          <w:rFonts w:ascii="Verdana" w:hAnsi="Verdana" w:cs="Verdana"/>
          <w:sz w:val="18"/>
          <w:szCs w:val="18"/>
        </w:rPr>
        <w:t>, p. 4</w:t>
      </w:r>
    </w:p>
  </w:footnote>
  <w:footnote w:id="16">
    <w:p w:rsidR="00E2265E" w:rsidRDefault="00E2265E">
      <w:pPr>
        <w:pStyle w:val="FootnoteText"/>
      </w:pPr>
      <w:r>
        <w:rPr>
          <w:rStyle w:val="FootnoteReference"/>
        </w:rPr>
        <w:footnoteRef/>
      </w:r>
      <w:r>
        <w:t xml:space="preserve"> Ibid., p. 3</w:t>
      </w:r>
    </w:p>
  </w:footnote>
  <w:footnote w:id="17">
    <w:p w:rsidR="00E2265E" w:rsidRDefault="00E2265E">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w:t>
      </w:r>
      <w:r>
        <w:rPr>
          <w:rFonts w:ascii="Verdana" w:hAnsi="Verdana" w:cs="Verdana"/>
          <w:sz w:val="18"/>
          <w:szCs w:val="18"/>
        </w:rPr>
        <w:t>)</w:t>
      </w:r>
    </w:p>
  </w:footnote>
  <w:footnote w:id="18">
    <w:p w:rsidR="00E2265E" w:rsidRDefault="00E2265E">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w:t>
      </w:r>
      <w:r>
        <w:rPr>
          <w:rFonts w:ascii="Verdana" w:hAnsi="Verdana" w:cs="Verdana"/>
          <w:sz w:val="18"/>
          <w:szCs w:val="18"/>
        </w:rPr>
        <w:t>), p. 49.</w:t>
      </w:r>
    </w:p>
  </w:footnote>
  <w:footnote w:id="19">
    <w:p w:rsidR="00E2265E" w:rsidRDefault="00E2265E">
      <w:pPr>
        <w:pStyle w:val="FootnoteText"/>
      </w:pPr>
      <w:r>
        <w:rPr>
          <w:rStyle w:val="FootnoteReference"/>
        </w:rPr>
        <w:footnoteRef/>
      </w:r>
      <w:r>
        <w:t xml:space="preserve"> </w:t>
      </w:r>
      <w:r>
        <w:rPr>
          <w:rFonts w:ascii="Verdana" w:hAnsi="Verdana" w:cs="Verdana"/>
          <w:sz w:val="18"/>
          <w:szCs w:val="18"/>
        </w:rPr>
        <w:t>Farahbakhsh, Alireza, ‘Eliot and Postmodern Selfhood’ AUMLA: Journal of the Australasian University of Modern Language Association, 111 (2009)</w:t>
      </w:r>
      <w:r>
        <w:rPr>
          <w:rFonts w:ascii="Verdana" w:hAnsi="Verdana" w:cs="Verdana"/>
          <w:sz w:val="18"/>
          <w:szCs w:val="18"/>
        </w:rPr>
        <w:t>, p. 70</w:t>
      </w:r>
    </w:p>
  </w:footnote>
  <w:footnote w:id="20">
    <w:p w:rsidR="00587924" w:rsidRDefault="00587924">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w:t>
      </w:r>
      <w:r>
        <w:rPr>
          <w:rFonts w:ascii="Verdana" w:hAnsi="Verdana" w:cs="Verdana"/>
          <w:sz w:val="18"/>
          <w:szCs w:val="18"/>
        </w:rPr>
        <w:t>, p. 245</w:t>
      </w:r>
    </w:p>
  </w:footnote>
  <w:footnote w:id="21">
    <w:p w:rsidR="00587924" w:rsidRDefault="00587924">
      <w:pPr>
        <w:pStyle w:val="FootnoteText"/>
      </w:pPr>
      <w:r>
        <w:rPr>
          <w:rStyle w:val="FootnoteReference"/>
        </w:rPr>
        <w:footnoteRef/>
      </w:r>
      <w:r>
        <w:t xml:space="preserve"> </w:t>
      </w:r>
      <w:r>
        <w:rPr>
          <w:rFonts w:ascii="Verdana" w:hAnsi="Verdana" w:cs="Verdana"/>
          <w:sz w:val="18"/>
          <w:szCs w:val="18"/>
        </w:rPr>
        <w:t xml:space="preserve">Atwood, Margaret, </w:t>
      </w:r>
      <w:r>
        <w:rPr>
          <w:rFonts w:ascii="Verdana" w:hAnsi="Verdana" w:cs="Verdana"/>
          <w:i/>
          <w:iCs/>
          <w:sz w:val="18"/>
          <w:szCs w:val="18"/>
        </w:rPr>
        <w:t>The Handmaid’s Tale</w:t>
      </w:r>
      <w:r>
        <w:rPr>
          <w:rFonts w:ascii="Verdana" w:hAnsi="Verdana" w:cs="Verdana"/>
          <w:sz w:val="18"/>
          <w:szCs w:val="18"/>
        </w:rPr>
        <w:t>, (London: Vintage, 2017),</w:t>
      </w:r>
      <w:r>
        <w:rPr>
          <w:rFonts w:ascii="Verdana" w:hAnsi="Verdana" w:cs="Verdana"/>
          <w:sz w:val="18"/>
          <w:szCs w:val="18"/>
        </w:rPr>
        <w:t xml:space="preserve"> p. 153</w:t>
      </w:r>
    </w:p>
  </w:footnote>
  <w:footnote w:id="22">
    <w:p w:rsidR="00587924" w:rsidRDefault="00587924">
      <w:pPr>
        <w:pStyle w:val="FootnoteText"/>
      </w:pPr>
      <w:r>
        <w:rPr>
          <w:rStyle w:val="FootnoteReference"/>
        </w:rPr>
        <w:footnoteRef/>
      </w:r>
      <w:r>
        <w:t xml:space="preserve"> Ibid., p. 43</w:t>
      </w:r>
    </w:p>
  </w:footnote>
  <w:footnote w:id="23">
    <w:p w:rsidR="00587924" w:rsidRDefault="00587924">
      <w:pPr>
        <w:pStyle w:val="FootnoteText"/>
      </w:pPr>
      <w:r>
        <w:rPr>
          <w:rStyle w:val="FootnoteReference"/>
        </w:rPr>
        <w:footnoteRef/>
      </w:r>
      <w:r>
        <w:t xml:space="preserve"> </w:t>
      </w:r>
      <w:r w:rsidR="00DF2421">
        <w:rPr>
          <w:rFonts w:ascii="Verdana" w:hAnsi="Verdana" w:cs="Verdana"/>
          <w:sz w:val="18"/>
          <w:szCs w:val="18"/>
        </w:rPr>
        <w:t xml:space="preserve">Helm, Thomas E., 'Hermeneutics of Time in T. S. Eliot's the Waste Land', </w:t>
      </w:r>
      <w:r w:rsidR="00DF2421">
        <w:rPr>
          <w:rFonts w:ascii="Verdana" w:hAnsi="Verdana" w:cs="Verdana"/>
          <w:i/>
          <w:iCs/>
          <w:sz w:val="18"/>
          <w:szCs w:val="18"/>
        </w:rPr>
        <w:t xml:space="preserve">Journal of Religion, </w:t>
      </w:r>
      <w:r w:rsidR="00DF2421">
        <w:rPr>
          <w:rFonts w:ascii="Verdana" w:hAnsi="Verdana" w:cs="Verdana"/>
          <w:sz w:val="18"/>
          <w:szCs w:val="18"/>
        </w:rPr>
        <w:t>65 (1985)</w:t>
      </w:r>
      <w:r w:rsidR="00DF2421">
        <w:rPr>
          <w:rFonts w:ascii="Verdana" w:hAnsi="Verdana" w:cs="Verdana"/>
          <w:sz w:val="18"/>
          <w:szCs w:val="18"/>
        </w:rPr>
        <w:t>, p. 209</w:t>
      </w:r>
    </w:p>
  </w:footnote>
  <w:footnote w:id="24">
    <w:p w:rsidR="00DF2421" w:rsidRDefault="00DF2421">
      <w:pPr>
        <w:pStyle w:val="FootnoteText"/>
      </w:pPr>
      <w:r>
        <w:rPr>
          <w:rStyle w:val="FootnoteReference"/>
        </w:rPr>
        <w:footnoteRef/>
      </w:r>
      <w:r>
        <w:t xml:space="preserve"> Ibid., p. 209</w:t>
      </w:r>
    </w:p>
  </w:footnote>
  <w:footnote w:id="25">
    <w:p w:rsidR="00DF2421" w:rsidRDefault="00DF2421">
      <w:pPr>
        <w:pStyle w:val="FootnoteText"/>
      </w:pPr>
      <w:r>
        <w:rPr>
          <w:rStyle w:val="FootnoteReference"/>
        </w:rPr>
        <w:footnoteRef/>
      </w:r>
      <w:r>
        <w:t xml:space="preserve"> </w:t>
      </w:r>
      <w:r w:rsidR="004E7C70">
        <w:rPr>
          <w:rFonts w:ascii="Verdana" w:hAnsi="Verdana" w:cs="Verdana"/>
          <w:sz w:val="18"/>
          <w:szCs w:val="18"/>
        </w:rPr>
        <w:t xml:space="preserve">Helm, Thomas E., 'Hermeneutics of Time in T. S. Eliot's the Waste Land', </w:t>
      </w:r>
      <w:r w:rsidR="004E7C70">
        <w:rPr>
          <w:rFonts w:ascii="Verdana" w:hAnsi="Verdana" w:cs="Verdana"/>
          <w:i/>
          <w:iCs/>
          <w:sz w:val="18"/>
          <w:szCs w:val="18"/>
        </w:rPr>
        <w:t xml:space="preserve">Journal of Religion, </w:t>
      </w:r>
      <w:r w:rsidR="004E7C70">
        <w:rPr>
          <w:rFonts w:ascii="Verdana" w:hAnsi="Verdana" w:cs="Verdana"/>
          <w:sz w:val="18"/>
          <w:szCs w:val="18"/>
        </w:rPr>
        <w:t>65 (1985)</w:t>
      </w:r>
      <w:r>
        <w:t>, p. 210</w:t>
      </w:r>
    </w:p>
  </w:footnote>
  <w:footnote w:id="26">
    <w:p w:rsidR="00DF2421" w:rsidRDefault="00DF2421">
      <w:pPr>
        <w:pStyle w:val="FootnoteText"/>
      </w:pPr>
      <w:r>
        <w:rPr>
          <w:rStyle w:val="FootnoteReference"/>
        </w:rPr>
        <w:footnoteRef/>
      </w:r>
      <w:r>
        <w:t xml:space="preserve"> </w:t>
      </w:r>
      <w:r w:rsidR="004E7C70">
        <w:rPr>
          <w:rFonts w:ascii="Verdana" w:hAnsi="Verdana" w:cs="Verdana"/>
          <w:sz w:val="18"/>
          <w:szCs w:val="18"/>
        </w:rPr>
        <w:t xml:space="preserve">Helm, Thomas E., 'Hermeneutics of Time in T. S. Eliot's the Waste Land', </w:t>
      </w:r>
      <w:r w:rsidR="004E7C70">
        <w:rPr>
          <w:rFonts w:ascii="Verdana" w:hAnsi="Verdana" w:cs="Verdana"/>
          <w:i/>
          <w:iCs/>
          <w:sz w:val="18"/>
          <w:szCs w:val="18"/>
        </w:rPr>
        <w:t xml:space="preserve">Journal of Religion, </w:t>
      </w:r>
      <w:r w:rsidR="004E7C70">
        <w:rPr>
          <w:rFonts w:ascii="Verdana" w:hAnsi="Verdana" w:cs="Verdana"/>
          <w:sz w:val="18"/>
          <w:szCs w:val="18"/>
        </w:rPr>
        <w:t xml:space="preserve">65 (1985), </w:t>
      </w:r>
      <w:r>
        <w:t>p. 216</w:t>
      </w:r>
    </w:p>
  </w:footnote>
  <w:footnote w:id="27">
    <w:p w:rsidR="004E3258" w:rsidRDefault="004E3258">
      <w:pPr>
        <w:pStyle w:val="FootnoteText"/>
      </w:pPr>
      <w:r>
        <w:rPr>
          <w:rStyle w:val="FootnoteReference"/>
        </w:rPr>
        <w:footnoteRef/>
      </w:r>
      <w:r>
        <w:t xml:space="preserve"> </w:t>
      </w:r>
      <w:r>
        <w:rPr>
          <w:rFonts w:ascii="Verdana" w:hAnsi="Verdana" w:cs="Verdana"/>
          <w:sz w:val="18"/>
          <w:szCs w:val="18"/>
        </w:rPr>
        <w:t xml:space="preserve">Farahbakhsh, Alireza, ‘Eliot and Postmodern Selfhood’ AUMLA: Journal of the Australasian University of Modern Language Association, 111 (2009), p. </w:t>
      </w:r>
      <w:r>
        <w:rPr>
          <w:rFonts w:ascii="Verdana" w:hAnsi="Verdana" w:cs="Verdana"/>
          <w:sz w:val="18"/>
          <w:szCs w:val="18"/>
        </w:rPr>
        <w:t>69</w:t>
      </w:r>
    </w:p>
  </w:footnote>
  <w:footnote w:id="28">
    <w:p w:rsidR="004E3258" w:rsidRDefault="004E3258">
      <w:pPr>
        <w:pStyle w:val="FootnoteText"/>
      </w:pPr>
      <w:r>
        <w:rPr>
          <w:rStyle w:val="FootnoteReference"/>
        </w:rPr>
        <w:footnoteRef/>
      </w:r>
      <w:r>
        <w:t xml:space="preserve"> Ibid., p. 69</w:t>
      </w:r>
    </w:p>
  </w:footnote>
  <w:footnote w:id="29">
    <w:p w:rsidR="004E3258" w:rsidRDefault="004E3258">
      <w:pPr>
        <w:pStyle w:val="FootnoteText"/>
      </w:pPr>
      <w:r>
        <w:rPr>
          <w:rStyle w:val="FootnoteReference"/>
        </w:rPr>
        <w:footnoteRef/>
      </w:r>
      <w:r>
        <w:t xml:space="preserve"> Ibid. p. 69</w:t>
      </w:r>
    </w:p>
  </w:footnote>
  <w:footnote w:id="30">
    <w:p w:rsidR="004E3258" w:rsidRDefault="004E3258">
      <w:pPr>
        <w:pStyle w:val="FootnoteText"/>
      </w:pPr>
      <w:r>
        <w:rPr>
          <w:rStyle w:val="FootnoteReference"/>
        </w:rPr>
        <w:footnoteRef/>
      </w:r>
      <w:r>
        <w:t xml:space="preserve"> </w:t>
      </w:r>
      <w:r>
        <w:rPr>
          <w:rFonts w:ascii="Verdana" w:hAnsi="Verdana" w:cs="Verdana"/>
          <w:sz w:val="18"/>
          <w:szCs w:val="18"/>
        </w:rPr>
        <w:t xml:space="preserve">McHale, Brian, </w:t>
      </w:r>
      <w:r>
        <w:rPr>
          <w:rFonts w:ascii="Verdana" w:hAnsi="Verdana" w:cs="Verdana"/>
          <w:i/>
          <w:iCs/>
          <w:sz w:val="18"/>
          <w:szCs w:val="18"/>
        </w:rPr>
        <w:t>The Cambridge Introduction to Postmodernism</w:t>
      </w:r>
      <w:r>
        <w:rPr>
          <w:rFonts w:ascii="Verdana" w:hAnsi="Verdana" w:cs="Verdana"/>
          <w:sz w:val="18"/>
          <w:szCs w:val="18"/>
        </w:rPr>
        <w:t>, (Cambridge, Cambridge University Press, 2015)</w:t>
      </w:r>
      <w:r>
        <w:rPr>
          <w:rFonts w:ascii="Verdana" w:hAnsi="Verdana" w:cs="Verdana"/>
          <w:sz w:val="18"/>
          <w:szCs w:val="18"/>
        </w:rPr>
        <w:t>, p. 13</w:t>
      </w:r>
    </w:p>
  </w:footnote>
  <w:footnote w:id="31">
    <w:p w:rsidR="004E3258" w:rsidRDefault="004E3258">
      <w:pPr>
        <w:pStyle w:val="FootnoteText"/>
      </w:pPr>
      <w:r>
        <w:rPr>
          <w:rStyle w:val="FootnoteReference"/>
        </w:rPr>
        <w:footnoteRef/>
      </w:r>
      <w:r>
        <w:t xml:space="preserve"> Ibid., p. 15</w:t>
      </w:r>
    </w:p>
  </w:footnote>
  <w:footnote w:id="32">
    <w:p w:rsidR="004E3258" w:rsidRDefault="004E3258">
      <w:pPr>
        <w:pStyle w:val="FootnoteText"/>
      </w:pPr>
      <w:r>
        <w:rPr>
          <w:rStyle w:val="FootnoteReference"/>
        </w:rPr>
        <w:footnoteRef/>
      </w:r>
      <w:r>
        <w:t xml:space="preserve"> Sharratt, B., ‘Modernism, Postmodernism, and after’ IN </w:t>
      </w:r>
      <w:r>
        <w:rPr>
          <w:rFonts w:ascii="Verdana" w:hAnsi="Verdana" w:cs="Verdana"/>
          <w:sz w:val="18"/>
          <w:szCs w:val="18"/>
        </w:rPr>
        <w:t xml:space="preserve">Moody, A. D., </w:t>
      </w:r>
      <w:r>
        <w:rPr>
          <w:rFonts w:ascii="Verdana" w:hAnsi="Verdana" w:cs="Verdana"/>
          <w:i/>
          <w:iCs/>
          <w:sz w:val="18"/>
          <w:szCs w:val="18"/>
        </w:rPr>
        <w:t>The Cambridge Companion to T.S. Eliot</w:t>
      </w:r>
      <w:r>
        <w:rPr>
          <w:rFonts w:ascii="Verdana" w:hAnsi="Verdana" w:cs="Verdana"/>
          <w:sz w:val="18"/>
          <w:szCs w:val="18"/>
        </w:rPr>
        <w:t xml:space="preserve"> (Cambridge: Cambridge University Press, 1994)</w:t>
      </w:r>
      <w:r>
        <w:rPr>
          <w:rFonts w:ascii="Verdana" w:hAnsi="Verdana" w:cs="Verdana"/>
          <w:sz w:val="18"/>
          <w:szCs w:val="18"/>
        </w:rPr>
        <w:t>, p. 230</w:t>
      </w:r>
    </w:p>
  </w:footnote>
  <w:footnote w:id="33">
    <w:p w:rsidR="004E3258" w:rsidRDefault="004E3258">
      <w:pPr>
        <w:pStyle w:val="FootnoteText"/>
      </w:pPr>
      <w:r>
        <w:rPr>
          <w:rStyle w:val="FootnoteReference"/>
        </w:rPr>
        <w:footnoteRef/>
      </w:r>
      <w:r>
        <w:t xml:space="preserve"> Ibid., p. 230</w:t>
      </w:r>
    </w:p>
  </w:footnote>
  <w:footnote w:id="34">
    <w:p w:rsidR="004E3258" w:rsidRDefault="004E3258">
      <w:pPr>
        <w:pStyle w:val="FootnoteText"/>
      </w:pPr>
      <w:r>
        <w:rPr>
          <w:rStyle w:val="FootnoteReference"/>
        </w:rPr>
        <w:footnoteRef/>
      </w:r>
      <w:r>
        <w:t xml:space="preserve"> Ibid., p. 230</w:t>
      </w:r>
    </w:p>
  </w:footnote>
  <w:footnote w:id="35">
    <w:p w:rsidR="004E3258" w:rsidRDefault="004E3258">
      <w:pPr>
        <w:pStyle w:val="FootnoteText"/>
      </w:pPr>
      <w:r>
        <w:rPr>
          <w:rStyle w:val="FootnoteReference"/>
        </w:rPr>
        <w:footnoteRef/>
      </w:r>
      <w:r>
        <w:t xml:space="preserve"> </w:t>
      </w:r>
      <w:r>
        <w:rPr>
          <w:rFonts w:ascii="Verdana" w:hAnsi="Verdana" w:cs="Verdana"/>
          <w:sz w:val="18"/>
          <w:szCs w:val="18"/>
        </w:rPr>
        <w:t xml:space="preserve">Helm, Thomas E., 'Hermeneutics of Time in T. S. Eliot's the Waste Land', </w:t>
      </w:r>
      <w:r>
        <w:rPr>
          <w:rFonts w:ascii="Verdana" w:hAnsi="Verdana" w:cs="Verdana"/>
          <w:i/>
          <w:iCs/>
          <w:sz w:val="18"/>
          <w:szCs w:val="18"/>
        </w:rPr>
        <w:t xml:space="preserve">Journal of Religion, </w:t>
      </w:r>
      <w:r>
        <w:rPr>
          <w:rFonts w:ascii="Verdana" w:hAnsi="Verdana" w:cs="Verdana"/>
          <w:sz w:val="18"/>
          <w:szCs w:val="18"/>
        </w:rPr>
        <w:t>65 (1985), p. 209</w:t>
      </w:r>
    </w:p>
  </w:footnote>
  <w:footnote w:id="36">
    <w:p w:rsidR="004E3258" w:rsidRDefault="004E3258">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w:t>
      </w:r>
      <w:r>
        <w:rPr>
          <w:rFonts w:ascii="Verdana" w:hAnsi="Verdana" w:cs="Verdana"/>
          <w:sz w:val="18"/>
          <w:szCs w:val="18"/>
        </w:rPr>
        <w:t>, p. 156</w:t>
      </w:r>
    </w:p>
  </w:footnote>
  <w:footnote w:id="37">
    <w:p w:rsidR="004E3258" w:rsidRDefault="004E3258">
      <w:pPr>
        <w:pStyle w:val="FootnoteText"/>
      </w:pPr>
      <w:r>
        <w:rPr>
          <w:rStyle w:val="FootnoteReference"/>
        </w:rPr>
        <w:footnoteRef/>
      </w:r>
      <w:r>
        <w:t xml:space="preserve"> </w:t>
      </w:r>
      <w:r>
        <w:rPr>
          <w:rFonts w:ascii="Verdana" w:hAnsi="Verdana" w:cs="Verdana"/>
          <w:sz w:val="18"/>
          <w:szCs w:val="18"/>
        </w:rPr>
        <w:t xml:space="preserve">McHale, Brian, </w:t>
      </w:r>
      <w:r>
        <w:rPr>
          <w:rFonts w:ascii="Verdana" w:hAnsi="Verdana" w:cs="Verdana"/>
          <w:i/>
          <w:iCs/>
          <w:sz w:val="18"/>
          <w:szCs w:val="18"/>
        </w:rPr>
        <w:t>The Cambridge Introduction to Postmodernism</w:t>
      </w:r>
      <w:r>
        <w:rPr>
          <w:rFonts w:ascii="Verdana" w:hAnsi="Verdana" w:cs="Verdana"/>
          <w:sz w:val="18"/>
          <w:szCs w:val="18"/>
        </w:rPr>
        <w:t>, (Cambridge, Cambridge University Press, 2015)</w:t>
      </w:r>
      <w:r>
        <w:rPr>
          <w:rFonts w:ascii="Verdana" w:hAnsi="Verdana" w:cs="Verdana"/>
          <w:sz w:val="18"/>
          <w:szCs w:val="18"/>
        </w:rPr>
        <w:t>, p. 9</w:t>
      </w:r>
    </w:p>
  </w:footnote>
  <w:footnote w:id="38">
    <w:p w:rsidR="004E3258" w:rsidRDefault="004E3258">
      <w:pPr>
        <w:pStyle w:val="FootnoteText"/>
      </w:pPr>
      <w:r>
        <w:rPr>
          <w:rStyle w:val="FootnoteReference"/>
        </w:rPr>
        <w:footnoteRef/>
      </w:r>
      <w:r>
        <w:t xml:space="preserve"> Ibid., p. 10</w:t>
      </w:r>
    </w:p>
  </w:footnote>
  <w:footnote w:id="39">
    <w:p w:rsidR="004E3258" w:rsidRDefault="004E3258">
      <w:pPr>
        <w:pStyle w:val="FootnoteText"/>
      </w:pPr>
      <w:r>
        <w:rPr>
          <w:rStyle w:val="FootnoteReference"/>
        </w:rPr>
        <w:footnoteRef/>
      </w:r>
      <w:r>
        <w:t xml:space="preserve"> </w:t>
      </w:r>
      <w:r>
        <w:rPr>
          <w:rFonts w:ascii="Verdana" w:hAnsi="Verdana" w:cs="Verdana"/>
          <w:sz w:val="18"/>
          <w:szCs w:val="18"/>
        </w:rPr>
        <w:t xml:space="preserve">McEwan, Ian, </w:t>
      </w:r>
      <w:r>
        <w:rPr>
          <w:rFonts w:ascii="Verdana" w:hAnsi="Verdana" w:cs="Verdana"/>
          <w:i/>
          <w:iCs/>
          <w:sz w:val="18"/>
          <w:szCs w:val="18"/>
        </w:rPr>
        <w:t>Atonement</w:t>
      </w:r>
      <w:r>
        <w:rPr>
          <w:rFonts w:ascii="Verdana" w:hAnsi="Verdana" w:cs="Verdana"/>
          <w:sz w:val="18"/>
          <w:szCs w:val="18"/>
        </w:rPr>
        <w:t xml:space="preserve"> (London: Vintage, 2002)</w:t>
      </w:r>
    </w:p>
  </w:footnote>
  <w:footnote w:id="40">
    <w:p w:rsidR="005D408D" w:rsidRDefault="005D408D">
      <w:pPr>
        <w:pStyle w:val="FootnoteText"/>
      </w:pPr>
      <w:r>
        <w:rPr>
          <w:rStyle w:val="FootnoteReference"/>
        </w:rPr>
        <w:footnoteRef/>
      </w:r>
      <w:r>
        <w:t xml:space="preserve"> </w:t>
      </w:r>
      <w:r>
        <w:rPr>
          <w:rFonts w:ascii="Verdana" w:hAnsi="Verdana" w:cs="Verdana"/>
          <w:sz w:val="18"/>
          <w:szCs w:val="18"/>
        </w:rPr>
        <w:t>Moore, Steven, The Novel: An Alternate History (London: Bloomsbury Press, 2013)</w:t>
      </w:r>
    </w:p>
  </w:footnote>
  <w:footnote w:id="41">
    <w:p w:rsidR="005D408D" w:rsidRDefault="005D408D">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w:t>
      </w:r>
      <w:r>
        <w:rPr>
          <w:rFonts w:ascii="Verdana" w:hAnsi="Verdana" w:cs="Verdana"/>
          <w:sz w:val="18"/>
          <w:szCs w:val="18"/>
        </w:rPr>
        <w:t>247</w:t>
      </w:r>
    </w:p>
  </w:footnote>
  <w:footnote w:id="42">
    <w:p w:rsidR="005D408D" w:rsidRDefault="005D408D">
      <w:pPr>
        <w:pStyle w:val="FootnoteText"/>
      </w:pPr>
      <w:r>
        <w:rPr>
          <w:rStyle w:val="FootnoteReference"/>
        </w:rPr>
        <w:footnoteRef/>
      </w:r>
      <w:r>
        <w:t xml:space="preserve"> Ibid., p. 247</w:t>
      </w:r>
    </w:p>
  </w:footnote>
  <w:footnote w:id="43">
    <w:p w:rsidR="00467631" w:rsidRDefault="00467631" w:rsidP="00467631">
      <w:pPr>
        <w:pStyle w:val="FootnoteText"/>
      </w:pPr>
      <w:r>
        <w:rPr>
          <w:rStyle w:val="FootnoteReference"/>
        </w:rPr>
        <w:footnoteRef/>
      </w:r>
      <w:r>
        <w:t xml:space="preserve"> </w:t>
      </w:r>
      <w:r>
        <w:rPr>
          <w:rFonts w:ascii="Verdana" w:hAnsi="Verdana" w:cs="Verdana"/>
          <w:sz w:val="18"/>
          <w:szCs w:val="18"/>
        </w:rPr>
        <w:t xml:space="preserve">Lewis, Pericles, </w:t>
      </w:r>
      <w:r>
        <w:rPr>
          <w:rFonts w:ascii="Verdana" w:hAnsi="Verdana" w:cs="Verdana"/>
          <w:i/>
          <w:iCs/>
          <w:sz w:val="18"/>
          <w:szCs w:val="18"/>
        </w:rPr>
        <w:t>The Cambridge Introduction to Modernism</w:t>
      </w:r>
      <w:r>
        <w:rPr>
          <w:rFonts w:ascii="Verdana" w:hAnsi="Verdana" w:cs="Verdana"/>
          <w:sz w:val="18"/>
          <w:szCs w:val="18"/>
        </w:rPr>
        <w:t xml:space="preserve"> (Cambridge: Cambridge University Press, 2007), p. 247</w:t>
      </w:r>
    </w:p>
    <w:p w:rsidR="00467631" w:rsidRDefault="0046763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7C70" w:rsidRDefault="004E7C70" w:rsidP="004E7C70">
    <w:pPr>
      <w:pStyle w:val="Header"/>
      <w:jc w:val="right"/>
    </w:pPr>
    <w:r>
      <w:t>CSEN7021-2-2-1602111-Matthews</w:t>
    </w:r>
  </w:p>
  <w:p w:rsidR="004E7C70" w:rsidRDefault="004E7C70" w:rsidP="004E7C70">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BFC"/>
    <w:rsid w:val="00005556"/>
    <w:rsid w:val="0004039D"/>
    <w:rsid w:val="000C0CE5"/>
    <w:rsid w:val="000C2B77"/>
    <w:rsid w:val="001549D0"/>
    <w:rsid w:val="00160805"/>
    <w:rsid w:val="001810DC"/>
    <w:rsid w:val="00186FBF"/>
    <w:rsid w:val="001A06D4"/>
    <w:rsid w:val="001E378B"/>
    <w:rsid w:val="002070B5"/>
    <w:rsid w:val="002076CB"/>
    <w:rsid w:val="00241291"/>
    <w:rsid w:val="002414FE"/>
    <w:rsid w:val="00243607"/>
    <w:rsid w:val="00256C1E"/>
    <w:rsid w:val="0028533F"/>
    <w:rsid w:val="00290064"/>
    <w:rsid w:val="002972F4"/>
    <w:rsid w:val="002D624F"/>
    <w:rsid w:val="002E0A55"/>
    <w:rsid w:val="0034045F"/>
    <w:rsid w:val="00354394"/>
    <w:rsid w:val="003C2813"/>
    <w:rsid w:val="003C74C2"/>
    <w:rsid w:val="00410058"/>
    <w:rsid w:val="00424834"/>
    <w:rsid w:val="00467631"/>
    <w:rsid w:val="004B3D41"/>
    <w:rsid w:val="004C1E11"/>
    <w:rsid w:val="004E3258"/>
    <w:rsid w:val="004E4BC2"/>
    <w:rsid w:val="004E54EF"/>
    <w:rsid w:val="004E7C70"/>
    <w:rsid w:val="00530241"/>
    <w:rsid w:val="00531D74"/>
    <w:rsid w:val="005408E3"/>
    <w:rsid w:val="00543BB4"/>
    <w:rsid w:val="00566BD5"/>
    <w:rsid w:val="005743E5"/>
    <w:rsid w:val="00587924"/>
    <w:rsid w:val="005A0712"/>
    <w:rsid w:val="005B0584"/>
    <w:rsid w:val="005D408D"/>
    <w:rsid w:val="005F490E"/>
    <w:rsid w:val="005F4BEC"/>
    <w:rsid w:val="006214CE"/>
    <w:rsid w:val="0066648F"/>
    <w:rsid w:val="00680B46"/>
    <w:rsid w:val="006D0E07"/>
    <w:rsid w:val="006F1A9C"/>
    <w:rsid w:val="007B3CEA"/>
    <w:rsid w:val="008377B8"/>
    <w:rsid w:val="00852F00"/>
    <w:rsid w:val="00863143"/>
    <w:rsid w:val="00864A31"/>
    <w:rsid w:val="0087151D"/>
    <w:rsid w:val="00887CAA"/>
    <w:rsid w:val="00895979"/>
    <w:rsid w:val="008A13DE"/>
    <w:rsid w:val="008A2C34"/>
    <w:rsid w:val="008B7403"/>
    <w:rsid w:val="00941FB8"/>
    <w:rsid w:val="0096783B"/>
    <w:rsid w:val="00975712"/>
    <w:rsid w:val="0098310D"/>
    <w:rsid w:val="009B45EB"/>
    <w:rsid w:val="009C26E8"/>
    <w:rsid w:val="009E59F7"/>
    <w:rsid w:val="009F27B3"/>
    <w:rsid w:val="00A0217D"/>
    <w:rsid w:val="00A45433"/>
    <w:rsid w:val="00A64CAF"/>
    <w:rsid w:val="00A7059A"/>
    <w:rsid w:val="00A8312E"/>
    <w:rsid w:val="00A8433D"/>
    <w:rsid w:val="00AA3D6A"/>
    <w:rsid w:val="00B31A34"/>
    <w:rsid w:val="00B40C20"/>
    <w:rsid w:val="00B461F7"/>
    <w:rsid w:val="00B71BFC"/>
    <w:rsid w:val="00BB157C"/>
    <w:rsid w:val="00C02FFD"/>
    <w:rsid w:val="00C1262B"/>
    <w:rsid w:val="00C3643C"/>
    <w:rsid w:val="00C97445"/>
    <w:rsid w:val="00CC200E"/>
    <w:rsid w:val="00CD7A95"/>
    <w:rsid w:val="00CE0CE6"/>
    <w:rsid w:val="00D0563E"/>
    <w:rsid w:val="00D56007"/>
    <w:rsid w:val="00DC1C57"/>
    <w:rsid w:val="00DC1E33"/>
    <w:rsid w:val="00DD6BFC"/>
    <w:rsid w:val="00DF2421"/>
    <w:rsid w:val="00E127CF"/>
    <w:rsid w:val="00E21217"/>
    <w:rsid w:val="00E2265E"/>
    <w:rsid w:val="00E75CCE"/>
    <w:rsid w:val="00EB31E2"/>
    <w:rsid w:val="00ED2499"/>
    <w:rsid w:val="00F453A8"/>
    <w:rsid w:val="00F8004D"/>
    <w:rsid w:val="00FA2D04"/>
    <w:rsid w:val="00FA59C7"/>
    <w:rsid w:val="00FB1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5D19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7C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4E7C70"/>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549D0"/>
    <w:rPr>
      <w:sz w:val="20"/>
      <w:szCs w:val="20"/>
    </w:rPr>
  </w:style>
  <w:style w:type="character" w:customStyle="1" w:styleId="FootnoteTextChar">
    <w:name w:val="Footnote Text Char"/>
    <w:basedOn w:val="DefaultParagraphFont"/>
    <w:link w:val="FootnoteText"/>
    <w:uiPriority w:val="99"/>
    <w:semiHidden/>
    <w:rsid w:val="001549D0"/>
    <w:rPr>
      <w:sz w:val="20"/>
      <w:szCs w:val="20"/>
    </w:rPr>
  </w:style>
  <w:style w:type="character" w:styleId="FootnoteReference">
    <w:name w:val="footnote reference"/>
    <w:basedOn w:val="DefaultParagraphFont"/>
    <w:uiPriority w:val="99"/>
    <w:semiHidden/>
    <w:unhideWhenUsed/>
    <w:rsid w:val="001549D0"/>
    <w:rPr>
      <w:vertAlign w:val="superscript"/>
    </w:rPr>
  </w:style>
  <w:style w:type="paragraph" w:styleId="Header">
    <w:name w:val="header"/>
    <w:basedOn w:val="Normal"/>
    <w:link w:val="HeaderChar"/>
    <w:uiPriority w:val="99"/>
    <w:unhideWhenUsed/>
    <w:rsid w:val="004E7C70"/>
    <w:pPr>
      <w:tabs>
        <w:tab w:val="center" w:pos="4513"/>
        <w:tab w:val="right" w:pos="9026"/>
      </w:tabs>
    </w:pPr>
  </w:style>
  <w:style w:type="character" w:customStyle="1" w:styleId="HeaderChar">
    <w:name w:val="Header Char"/>
    <w:basedOn w:val="DefaultParagraphFont"/>
    <w:link w:val="Header"/>
    <w:uiPriority w:val="99"/>
    <w:rsid w:val="004E7C70"/>
  </w:style>
  <w:style w:type="paragraph" w:styleId="Footer">
    <w:name w:val="footer"/>
    <w:basedOn w:val="Normal"/>
    <w:link w:val="FooterChar"/>
    <w:uiPriority w:val="99"/>
    <w:unhideWhenUsed/>
    <w:rsid w:val="004E7C70"/>
    <w:pPr>
      <w:tabs>
        <w:tab w:val="center" w:pos="4513"/>
        <w:tab w:val="right" w:pos="9026"/>
      </w:tabs>
    </w:pPr>
  </w:style>
  <w:style w:type="character" w:customStyle="1" w:styleId="FooterChar">
    <w:name w:val="Footer Char"/>
    <w:basedOn w:val="DefaultParagraphFont"/>
    <w:link w:val="Footer"/>
    <w:uiPriority w:val="99"/>
    <w:rsid w:val="004E7C70"/>
  </w:style>
  <w:style w:type="character" w:styleId="PageNumber">
    <w:name w:val="page number"/>
    <w:basedOn w:val="DefaultParagraphFont"/>
    <w:uiPriority w:val="99"/>
    <w:semiHidden/>
    <w:unhideWhenUsed/>
    <w:rsid w:val="004E7C70"/>
  </w:style>
  <w:style w:type="character" w:customStyle="1" w:styleId="Heading3Char">
    <w:name w:val="Heading 3 Char"/>
    <w:basedOn w:val="DefaultParagraphFont"/>
    <w:link w:val="Heading3"/>
    <w:rsid w:val="004E7C70"/>
    <w:rPr>
      <w:rFonts w:ascii="Tahoma" w:eastAsia="SimSun" w:hAnsi="Tahoma" w:cs="Tahoma"/>
      <w:b/>
      <w:bCs/>
      <w:sz w:val="20"/>
      <w:szCs w:val="20"/>
      <w:lang w:eastAsia="zh-CN"/>
    </w:rPr>
  </w:style>
  <w:style w:type="paragraph" w:styleId="NormalWeb">
    <w:name w:val="Normal (Web)"/>
    <w:basedOn w:val="Normal"/>
    <w:rsid w:val="004E7C70"/>
    <w:pPr>
      <w:spacing w:before="100" w:beforeAutospacing="1" w:after="100" w:afterAutospacing="1"/>
    </w:pPr>
    <w:rPr>
      <w:rFonts w:ascii="Georgia" w:eastAsia="SimSun" w:hAnsi="Georgia" w:cs="Times New Roman"/>
      <w:color w:val="000000"/>
      <w:sz w:val="21"/>
      <w:szCs w:val="21"/>
      <w:lang w:eastAsia="zh-CN"/>
    </w:rPr>
  </w:style>
  <w:style w:type="character" w:customStyle="1" w:styleId="Heading1Char">
    <w:name w:val="Heading 1 Char"/>
    <w:basedOn w:val="DefaultParagraphFont"/>
    <w:link w:val="Heading1"/>
    <w:uiPriority w:val="9"/>
    <w:rsid w:val="004E7C7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877910">
      <w:bodyDiv w:val="1"/>
      <w:marLeft w:val="0"/>
      <w:marRight w:val="0"/>
      <w:marTop w:val="0"/>
      <w:marBottom w:val="0"/>
      <w:divBdr>
        <w:top w:val="none" w:sz="0" w:space="0" w:color="auto"/>
        <w:left w:val="none" w:sz="0" w:space="0" w:color="auto"/>
        <w:bottom w:val="none" w:sz="0" w:space="0" w:color="auto"/>
        <w:right w:val="none" w:sz="0" w:space="0" w:color="auto"/>
      </w:divBdr>
    </w:div>
    <w:div w:id="1520311871">
      <w:bodyDiv w:val="1"/>
      <w:marLeft w:val="0"/>
      <w:marRight w:val="0"/>
      <w:marTop w:val="0"/>
      <w:marBottom w:val="0"/>
      <w:divBdr>
        <w:top w:val="none" w:sz="0" w:space="0" w:color="auto"/>
        <w:left w:val="none" w:sz="0" w:space="0" w:color="auto"/>
        <w:bottom w:val="none" w:sz="0" w:space="0" w:color="auto"/>
        <w:right w:val="none" w:sz="0" w:space="0" w:color="auto"/>
      </w:divBdr>
    </w:div>
    <w:div w:id="1826386335">
      <w:bodyDiv w:val="1"/>
      <w:marLeft w:val="0"/>
      <w:marRight w:val="0"/>
      <w:marTop w:val="0"/>
      <w:marBottom w:val="0"/>
      <w:divBdr>
        <w:top w:val="none" w:sz="0" w:space="0" w:color="auto"/>
        <w:left w:val="none" w:sz="0" w:space="0" w:color="auto"/>
        <w:bottom w:val="none" w:sz="0" w:space="0" w:color="auto"/>
        <w:right w:val="none" w:sz="0" w:space="0" w:color="auto"/>
      </w:divBdr>
    </w:div>
    <w:div w:id="208595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newstatesman.com/politics/feminism/2018/05/demonisation-mumsnet-just-latest-incarnation-witch-hunti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newstatesman.com/politics/feminism/2018/05/demonisation-mumsnet-just-latest-incarnation-witch-hun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CSEN7021-2-2-1602111-MATTHEWS.dotx</Template>
  <TotalTime>0</TotalTime>
  <Pages>14</Pages>
  <Words>3500</Words>
  <Characters>19951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Matthews</dc:creator>
  <cp:keywords/>
  <dc:description/>
  <cp:lastModifiedBy>Ian Matthews</cp:lastModifiedBy>
  <cp:revision>2</cp:revision>
  <dcterms:created xsi:type="dcterms:W3CDTF">2018-05-14T20:50:00Z</dcterms:created>
  <dcterms:modified xsi:type="dcterms:W3CDTF">2018-05-14T20:50:00Z</dcterms:modified>
</cp:coreProperties>
</file>