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26D18F" w14:textId="0EF4F3B0" w:rsidR="00D93233" w:rsidRDefault="00D93233" w:rsidP="00D93233">
      <w:pPr>
        <w:spacing w:before="120" w:after="120" w:line="360" w:lineRule="auto"/>
        <w:jc w:val="center"/>
        <w:rPr>
          <w:rFonts w:ascii="Arial" w:eastAsia="Arial" w:hAnsi="Arial" w:cs="Arial"/>
          <w:sz w:val="22"/>
          <w:szCs w:val="22"/>
        </w:rPr>
      </w:pPr>
      <w:r w:rsidRPr="006D4C92">
        <w:rPr>
          <w:noProof/>
          <w:lang w:val="en-US"/>
        </w:rPr>
        <w:drawing>
          <wp:inline distT="114300" distB="114300" distL="114300" distR="114300" wp14:anchorId="7A33EBAE" wp14:editId="7C3643B1">
            <wp:extent cx="3467100" cy="1247775"/>
            <wp:effectExtent l="0" t="0" r="0" b="9525"/>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467100" cy="1247775"/>
                    </a:xfrm>
                    <a:prstGeom prst="rect">
                      <a:avLst/>
                    </a:prstGeom>
                    <a:ln/>
                  </pic:spPr>
                </pic:pic>
              </a:graphicData>
            </a:graphic>
          </wp:inline>
        </w:drawing>
      </w:r>
    </w:p>
    <w:p w14:paraId="04050F00" w14:textId="3D304DB3" w:rsidR="00D93233" w:rsidRPr="00D93233" w:rsidRDefault="00D93233" w:rsidP="00D93233">
      <w:pPr>
        <w:spacing w:before="120" w:after="120" w:line="360" w:lineRule="auto"/>
        <w:jc w:val="center"/>
        <w:rPr>
          <w:rFonts w:ascii="Arial" w:eastAsia="Arial" w:hAnsi="Arial" w:cs="Arial"/>
          <w:b/>
        </w:rPr>
      </w:pPr>
      <w:r w:rsidRPr="00D93233">
        <w:rPr>
          <w:rFonts w:ascii="Arial" w:eastAsia="Arial" w:hAnsi="Arial" w:cs="Arial"/>
          <w:b/>
        </w:rPr>
        <w:t>Msc Public health and Social care in practice</w:t>
      </w:r>
    </w:p>
    <w:p w14:paraId="7CFC9451" w14:textId="77777777" w:rsidR="00D93233" w:rsidRDefault="00D93233" w:rsidP="00D93233">
      <w:pPr>
        <w:spacing w:before="120" w:after="120" w:line="360" w:lineRule="auto"/>
        <w:jc w:val="center"/>
        <w:rPr>
          <w:rFonts w:ascii="Arial" w:eastAsia="Arial" w:hAnsi="Arial" w:cs="Arial"/>
          <w:b/>
        </w:rPr>
      </w:pPr>
    </w:p>
    <w:p w14:paraId="65B60F5D" w14:textId="6635595D" w:rsidR="00D93233" w:rsidRPr="00D93233" w:rsidRDefault="00D93233" w:rsidP="00D93233">
      <w:pPr>
        <w:spacing w:before="120" w:after="120" w:line="360" w:lineRule="auto"/>
        <w:jc w:val="center"/>
        <w:rPr>
          <w:rFonts w:ascii="Arial" w:eastAsia="Arial" w:hAnsi="Arial" w:cs="Arial"/>
          <w:b/>
        </w:rPr>
      </w:pPr>
      <w:r w:rsidRPr="00D93233">
        <w:rPr>
          <w:rFonts w:ascii="Arial" w:eastAsia="Arial" w:hAnsi="Arial" w:cs="Arial"/>
          <w:b/>
        </w:rPr>
        <w:t>Module code: LCHS7005</w:t>
      </w:r>
    </w:p>
    <w:p w14:paraId="147840E6" w14:textId="77777777" w:rsidR="00D93233" w:rsidRPr="00D93233" w:rsidRDefault="00D93233" w:rsidP="00D93233">
      <w:pPr>
        <w:spacing w:before="120" w:after="120" w:line="360" w:lineRule="auto"/>
        <w:jc w:val="center"/>
        <w:rPr>
          <w:rFonts w:ascii="Arial" w:eastAsia="Arial" w:hAnsi="Arial" w:cs="Arial"/>
          <w:b/>
        </w:rPr>
      </w:pPr>
      <w:r w:rsidRPr="00D93233">
        <w:rPr>
          <w:rFonts w:ascii="Arial" w:eastAsia="Arial" w:hAnsi="Arial" w:cs="Arial"/>
          <w:b/>
        </w:rPr>
        <w:t>Module name: Service Integration and Partnership Working</w:t>
      </w:r>
    </w:p>
    <w:p w14:paraId="645E706C" w14:textId="77777777" w:rsidR="00D93233" w:rsidRPr="00D93233" w:rsidRDefault="00D93233" w:rsidP="00D93233">
      <w:pPr>
        <w:spacing w:before="120" w:after="120" w:line="360" w:lineRule="auto"/>
        <w:jc w:val="center"/>
        <w:rPr>
          <w:rFonts w:ascii="Arial" w:eastAsia="Arial" w:hAnsi="Arial" w:cs="Arial"/>
          <w:b/>
        </w:rPr>
      </w:pPr>
      <w:r w:rsidRPr="00D93233">
        <w:rPr>
          <w:rFonts w:ascii="Arial" w:eastAsia="Arial" w:hAnsi="Arial" w:cs="Arial"/>
          <w:b/>
        </w:rPr>
        <w:t>Component 2: Reflective Report</w:t>
      </w:r>
    </w:p>
    <w:p w14:paraId="160BDA45" w14:textId="77777777" w:rsidR="00D93233" w:rsidRPr="00D93233" w:rsidRDefault="00D93233" w:rsidP="00D93233">
      <w:pPr>
        <w:spacing w:before="120" w:after="120" w:line="360" w:lineRule="auto"/>
        <w:jc w:val="center"/>
        <w:rPr>
          <w:rFonts w:ascii="Arial" w:eastAsia="Arial" w:hAnsi="Arial" w:cs="Arial"/>
          <w:b/>
        </w:rPr>
      </w:pPr>
      <w:r w:rsidRPr="00D93233">
        <w:rPr>
          <w:rFonts w:ascii="Arial" w:eastAsia="Arial" w:hAnsi="Arial" w:cs="Arial"/>
          <w:b/>
        </w:rPr>
        <w:t>Student Name: Nirav Mistry</w:t>
      </w:r>
    </w:p>
    <w:p w14:paraId="5FC14648" w14:textId="77777777" w:rsidR="00D93233" w:rsidRPr="00D93233" w:rsidRDefault="00D93233" w:rsidP="00D93233">
      <w:pPr>
        <w:spacing w:before="120" w:after="120" w:line="360" w:lineRule="auto"/>
        <w:jc w:val="center"/>
        <w:rPr>
          <w:rFonts w:ascii="Arial" w:eastAsia="Arial" w:hAnsi="Arial" w:cs="Arial"/>
          <w:b/>
        </w:rPr>
      </w:pPr>
      <w:r w:rsidRPr="00D93233">
        <w:rPr>
          <w:rFonts w:ascii="Arial" w:eastAsia="Arial" w:hAnsi="Arial" w:cs="Arial"/>
          <w:b/>
        </w:rPr>
        <w:t>Student ID: 2436886</w:t>
      </w:r>
    </w:p>
    <w:p w14:paraId="14B2215C" w14:textId="77777777" w:rsidR="00D93233" w:rsidRPr="00D93233" w:rsidRDefault="00D93233" w:rsidP="00D93233">
      <w:pPr>
        <w:spacing w:before="120" w:after="120" w:line="360" w:lineRule="auto"/>
        <w:jc w:val="center"/>
        <w:rPr>
          <w:rFonts w:ascii="Arial" w:eastAsia="Arial" w:hAnsi="Arial" w:cs="Arial"/>
          <w:b/>
        </w:rPr>
      </w:pPr>
      <w:r w:rsidRPr="00D93233">
        <w:rPr>
          <w:rFonts w:ascii="Arial" w:eastAsia="Arial" w:hAnsi="Arial" w:cs="Arial"/>
          <w:b/>
        </w:rPr>
        <w:t>Lecturer: Diola Bijlhout</w:t>
      </w:r>
    </w:p>
    <w:p w14:paraId="1202B21E" w14:textId="61132AD9" w:rsidR="008A00DB" w:rsidRPr="00D93233" w:rsidRDefault="004A65C6" w:rsidP="00D93233">
      <w:pPr>
        <w:spacing w:before="120" w:after="120" w:line="360" w:lineRule="auto"/>
        <w:jc w:val="center"/>
        <w:rPr>
          <w:rFonts w:ascii="Arial" w:eastAsia="Arial" w:hAnsi="Arial" w:cs="Arial"/>
          <w:b/>
        </w:rPr>
      </w:pPr>
      <w:r>
        <w:rPr>
          <w:rFonts w:ascii="Arial" w:eastAsia="Arial" w:hAnsi="Arial" w:cs="Arial"/>
          <w:b/>
        </w:rPr>
        <w:t>Submission Date: 27</w:t>
      </w:r>
      <w:r w:rsidRPr="004A65C6">
        <w:rPr>
          <w:rFonts w:ascii="Arial" w:eastAsia="Arial" w:hAnsi="Arial" w:cs="Arial"/>
          <w:b/>
          <w:vertAlign w:val="superscript"/>
        </w:rPr>
        <w:t>th</w:t>
      </w:r>
      <w:r>
        <w:rPr>
          <w:rFonts w:ascii="Arial" w:eastAsia="Arial" w:hAnsi="Arial" w:cs="Arial"/>
          <w:b/>
        </w:rPr>
        <w:t xml:space="preserve"> </w:t>
      </w:r>
      <w:bookmarkStart w:id="0" w:name="_GoBack"/>
      <w:bookmarkEnd w:id="0"/>
      <w:r w:rsidR="00D93233" w:rsidRPr="00D93233">
        <w:rPr>
          <w:rFonts w:ascii="Arial" w:eastAsia="Arial" w:hAnsi="Arial" w:cs="Arial"/>
          <w:b/>
        </w:rPr>
        <w:t xml:space="preserve"> April 2026 (2pm)</w:t>
      </w:r>
    </w:p>
    <w:p w14:paraId="0C77F5A1" w14:textId="77777777" w:rsidR="008A00DB" w:rsidRPr="00D93233" w:rsidRDefault="008A00DB" w:rsidP="008A00DB">
      <w:pPr>
        <w:spacing w:before="120" w:after="120" w:line="360" w:lineRule="auto"/>
        <w:jc w:val="center"/>
        <w:rPr>
          <w:rFonts w:ascii="Arial" w:eastAsia="Arial" w:hAnsi="Arial" w:cs="Arial"/>
          <w:b/>
        </w:rPr>
      </w:pPr>
    </w:p>
    <w:p w14:paraId="0E95E1F8" w14:textId="41B9E9F7" w:rsidR="00CC3F60" w:rsidRPr="00D93233" w:rsidRDefault="00CC3F60" w:rsidP="00D93233">
      <w:pPr>
        <w:spacing w:before="120" w:after="120" w:line="360" w:lineRule="auto"/>
        <w:rPr>
          <w:rFonts w:ascii="Arial" w:eastAsia="Arial" w:hAnsi="Arial" w:cs="Arial"/>
          <w:b/>
          <w:bCs/>
          <w:sz w:val="28"/>
          <w:szCs w:val="28"/>
        </w:rPr>
      </w:pPr>
    </w:p>
    <w:p w14:paraId="1743733B" w14:textId="77777777" w:rsidR="008A00DB" w:rsidRDefault="008A00DB" w:rsidP="008A00DB">
      <w:pPr>
        <w:spacing w:before="120" w:after="120" w:line="360" w:lineRule="auto"/>
        <w:jc w:val="center"/>
        <w:rPr>
          <w:rFonts w:ascii="Arial" w:eastAsia="Arial" w:hAnsi="Arial" w:cs="Arial"/>
          <w:b/>
          <w:bCs/>
          <w:sz w:val="22"/>
          <w:szCs w:val="22"/>
        </w:rPr>
      </w:pPr>
    </w:p>
    <w:p w14:paraId="11A8604C" w14:textId="4676D9CB" w:rsidR="008A00DB" w:rsidRDefault="008A00DB" w:rsidP="008A00DB">
      <w:pPr>
        <w:spacing w:before="120" w:after="120" w:line="360" w:lineRule="auto"/>
        <w:jc w:val="center"/>
        <w:rPr>
          <w:rFonts w:ascii="Arial" w:eastAsia="Arial" w:hAnsi="Arial" w:cs="Arial"/>
          <w:sz w:val="22"/>
          <w:szCs w:val="22"/>
        </w:rPr>
      </w:pPr>
      <w:r>
        <w:br w:type="page"/>
      </w:r>
    </w:p>
    <w:p w14:paraId="0383107D" w14:textId="77777777" w:rsidR="008A00DB" w:rsidRPr="00B72356" w:rsidRDefault="008A00DB" w:rsidP="00B72356">
      <w:pPr>
        <w:spacing w:before="120" w:after="120" w:line="240" w:lineRule="auto"/>
        <w:jc w:val="center"/>
        <w:rPr>
          <w:rFonts w:ascii="Arial" w:eastAsia="Arial" w:hAnsi="Arial" w:cs="Arial"/>
          <w:b/>
          <w:bCs/>
          <w:sz w:val="22"/>
          <w:szCs w:val="22"/>
        </w:rPr>
      </w:pPr>
      <w:r w:rsidRPr="00B72356">
        <w:rPr>
          <w:rFonts w:ascii="Arial" w:eastAsia="Arial" w:hAnsi="Arial" w:cs="Arial"/>
          <w:b/>
          <w:bCs/>
          <w:sz w:val="22"/>
          <w:szCs w:val="22"/>
        </w:rPr>
        <w:lastRenderedPageBreak/>
        <w:t>Table of Contents</w:t>
      </w:r>
    </w:p>
    <w:sdt>
      <w:sdtPr>
        <w:rPr>
          <w:rFonts w:ascii="Arial" w:hAnsi="Arial" w:cs="Arial"/>
          <w:sz w:val="22"/>
          <w:szCs w:val="22"/>
        </w:rPr>
        <w:id w:val="1878885016"/>
        <w:docPartObj>
          <w:docPartGallery w:val="Table of Contents"/>
          <w:docPartUnique/>
        </w:docPartObj>
      </w:sdtPr>
      <w:sdtEndPr/>
      <w:sdtContent>
        <w:p w14:paraId="3FD8891F" w14:textId="28155B01" w:rsidR="00B72356" w:rsidRPr="00B72356" w:rsidRDefault="008A00DB" w:rsidP="00B72356">
          <w:pPr>
            <w:pStyle w:val="TOC1"/>
            <w:tabs>
              <w:tab w:val="right" w:leader="dot" w:pos="9350"/>
            </w:tabs>
            <w:spacing w:line="240" w:lineRule="auto"/>
            <w:rPr>
              <w:rFonts w:ascii="Arial" w:hAnsi="Arial" w:cs="Arial"/>
              <w:noProof/>
              <w:sz w:val="22"/>
              <w:szCs w:val="22"/>
            </w:rPr>
          </w:pPr>
          <w:r w:rsidRPr="00B72356">
            <w:rPr>
              <w:rFonts w:ascii="Arial" w:hAnsi="Arial" w:cs="Arial"/>
              <w:sz w:val="22"/>
              <w:szCs w:val="22"/>
            </w:rPr>
            <w:fldChar w:fldCharType="begin"/>
          </w:r>
          <w:r w:rsidRPr="00B72356">
            <w:rPr>
              <w:rFonts w:ascii="Arial" w:hAnsi="Arial" w:cs="Arial"/>
              <w:sz w:val="22"/>
              <w:szCs w:val="22"/>
            </w:rPr>
            <w:instrText xml:space="preserve"> TOC \h \u \z \t "Heading 1,1,Heading 2,2,Heading 3,3,Heading 4,4,Heading 5,5,Heading 6,6,"</w:instrText>
          </w:r>
          <w:r w:rsidRPr="00B72356">
            <w:rPr>
              <w:rFonts w:ascii="Arial" w:hAnsi="Arial" w:cs="Arial"/>
              <w:sz w:val="22"/>
              <w:szCs w:val="22"/>
            </w:rPr>
            <w:fldChar w:fldCharType="separate"/>
          </w:r>
          <w:hyperlink w:anchor="_Toc227183405" w:history="1">
            <w:r w:rsidR="00B72356" w:rsidRPr="00B72356">
              <w:rPr>
                <w:rStyle w:val="Hyperlink"/>
                <w:rFonts w:ascii="Arial" w:eastAsia="Arial" w:hAnsi="Arial" w:cs="Arial"/>
                <w:noProof/>
                <w:sz w:val="22"/>
                <w:szCs w:val="22"/>
              </w:rPr>
              <w:t>1. Introduction</w:t>
            </w:r>
            <w:r w:rsidR="00B72356" w:rsidRPr="00B72356">
              <w:rPr>
                <w:rFonts w:ascii="Arial" w:hAnsi="Arial" w:cs="Arial"/>
                <w:noProof/>
                <w:webHidden/>
                <w:sz w:val="22"/>
                <w:szCs w:val="22"/>
              </w:rPr>
              <w:tab/>
            </w:r>
            <w:r w:rsidR="00B72356" w:rsidRPr="00B72356">
              <w:rPr>
                <w:rFonts w:ascii="Arial" w:hAnsi="Arial" w:cs="Arial"/>
                <w:noProof/>
                <w:webHidden/>
                <w:sz w:val="22"/>
                <w:szCs w:val="22"/>
              </w:rPr>
              <w:fldChar w:fldCharType="begin"/>
            </w:r>
            <w:r w:rsidR="00B72356" w:rsidRPr="00B72356">
              <w:rPr>
                <w:rFonts w:ascii="Arial" w:hAnsi="Arial" w:cs="Arial"/>
                <w:noProof/>
                <w:webHidden/>
                <w:sz w:val="22"/>
                <w:szCs w:val="22"/>
              </w:rPr>
              <w:instrText xml:space="preserve"> PAGEREF _Toc227183405 \h </w:instrText>
            </w:r>
            <w:r w:rsidR="00B72356" w:rsidRPr="00B72356">
              <w:rPr>
                <w:rFonts w:ascii="Arial" w:hAnsi="Arial" w:cs="Arial"/>
                <w:noProof/>
                <w:webHidden/>
                <w:sz w:val="22"/>
                <w:szCs w:val="22"/>
              </w:rPr>
            </w:r>
            <w:r w:rsidR="00B72356" w:rsidRPr="00B72356">
              <w:rPr>
                <w:rFonts w:ascii="Arial" w:hAnsi="Arial" w:cs="Arial"/>
                <w:noProof/>
                <w:webHidden/>
                <w:sz w:val="22"/>
                <w:szCs w:val="22"/>
              </w:rPr>
              <w:fldChar w:fldCharType="separate"/>
            </w:r>
            <w:r w:rsidR="00186D84">
              <w:rPr>
                <w:rFonts w:ascii="Arial" w:hAnsi="Arial" w:cs="Arial"/>
                <w:noProof/>
                <w:webHidden/>
                <w:sz w:val="22"/>
                <w:szCs w:val="22"/>
              </w:rPr>
              <w:t>3</w:t>
            </w:r>
            <w:r w:rsidR="00B72356" w:rsidRPr="00B72356">
              <w:rPr>
                <w:rFonts w:ascii="Arial" w:hAnsi="Arial" w:cs="Arial"/>
                <w:noProof/>
                <w:webHidden/>
                <w:sz w:val="22"/>
                <w:szCs w:val="22"/>
              </w:rPr>
              <w:fldChar w:fldCharType="end"/>
            </w:r>
          </w:hyperlink>
        </w:p>
        <w:p w14:paraId="7111522F" w14:textId="3A54D9C9" w:rsidR="00B72356" w:rsidRPr="00B72356" w:rsidRDefault="002A7F4B" w:rsidP="00B72356">
          <w:pPr>
            <w:pStyle w:val="TOC1"/>
            <w:tabs>
              <w:tab w:val="right" w:leader="dot" w:pos="9350"/>
            </w:tabs>
            <w:spacing w:line="240" w:lineRule="auto"/>
            <w:rPr>
              <w:rFonts w:ascii="Arial" w:hAnsi="Arial" w:cs="Arial"/>
              <w:noProof/>
              <w:sz w:val="22"/>
              <w:szCs w:val="22"/>
            </w:rPr>
          </w:pPr>
          <w:hyperlink w:anchor="_Toc227183406" w:history="1">
            <w:r w:rsidR="00B72356" w:rsidRPr="00B72356">
              <w:rPr>
                <w:rStyle w:val="Hyperlink"/>
                <w:rFonts w:ascii="Arial" w:eastAsia="Arial" w:hAnsi="Arial" w:cs="Arial"/>
                <w:noProof/>
                <w:sz w:val="22"/>
                <w:szCs w:val="22"/>
              </w:rPr>
              <w:t>2. Context</w:t>
            </w:r>
            <w:r w:rsidR="00B72356" w:rsidRPr="00B72356">
              <w:rPr>
                <w:rFonts w:ascii="Arial" w:hAnsi="Arial" w:cs="Arial"/>
                <w:noProof/>
                <w:webHidden/>
                <w:sz w:val="22"/>
                <w:szCs w:val="22"/>
              </w:rPr>
              <w:tab/>
            </w:r>
            <w:r w:rsidR="00B72356" w:rsidRPr="00B72356">
              <w:rPr>
                <w:rFonts w:ascii="Arial" w:hAnsi="Arial" w:cs="Arial"/>
                <w:noProof/>
                <w:webHidden/>
                <w:sz w:val="22"/>
                <w:szCs w:val="22"/>
              </w:rPr>
              <w:fldChar w:fldCharType="begin"/>
            </w:r>
            <w:r w:rsidR="00B72356" w:rsidRPr="00B72356">
              <w:rPr>
                <w:rFonts w:ascii="Arial" w:hAnsi="Arial" w:cs="Arial"/>
                <w:noProof/>
                <w:webHidden/>
                <w:sz w:val="22"/>
                <w:szCs w:val="22"/>
              </w:rPr>
              <w:instrText xml:space="preserve"> PAGEREF _Toc227183406 \h </w:instrText>
            </w:r>
            <w:r w:rsidR="00B72356" w:rsidRPr="00B72356">
              <w:rPr>
                <w:rFonts w:ascii="Arial" w:hAnsi="Arial" w:cs="Arial"/>
                <w:noProof/>
                <w:webHidden/>
                <w:sz w:val="22"/>
                <w:szCs w:val="22"/>
              </w:rPr>
            </w:r>
            <w:r w:rsidR="00B72356" w:rsidRPr="00B72356">
              <w:rPr>
                <w:rFonts w:ascii="Arial" w:hAnsi="Arial" w:cs="Arial"/>
                <w:noProof/>
                <w:webHidden/>
                <w:sz w:val="22"/>
                <w:szCs w:val="22"/>
              </w:rPr>
              <w:fldChar w:fldCharType="separate"/>
            </w:r>
            <w:r w:rsidR="00186D84">
              <w:rPr>
                <w:rFonts w:ascii="Arial" w:hAnsi="Arial" w:cs="Arial"/>
                <w:noProof/>
                <w:webHidden/>
                <w:sz w:val="22"/>
                <w:szCs w:val="22"/>
              </w:rPr>
              <w:t>3</w:t>
            </w:r>
            <w:r w:rsidR="00B72356" w:rsidRPr="00B72356">
              <w:rPr>
                <w:rFonts w:ascii="Arial" w:hAnsi="Arial" w:cs="Arial"/>
                <w:noProof/>
                <w:webHidden/>
                <w:sz w:val="22"/>
                <w:szCs w:val="22"/>
              </w:rPr>
              <w:fldChar w:fldCharType="end"/>
            </w:r>
          </w:hyperlink>
        </w:p>
        <w:p w14:paraId="408AD2CE" w14:textId="0AEE1CED" w:rsidR="00B72356" w:rsidRPr="00B72356" w:rsidRDefault="002A7F4B" w:rsidP="00B72356">
          <w:pPr>
            <w:pStyle w:val="TOC2"/>
            <w:tabs>
              <w:tab w:val="right" w:leader="dot" w:pos="9350"/>
            </w:tabs>
            <w:spacing w:line="240" w:lineRule="auto"/>
            <w:rPr>
              <w:rFonts w:ascii="Arial" w:hAnsi="Arial" w:cs="Arial"/>
              <w:noProof/>
              <w:sz w:val="22"/>
              <w:szCs w:val="22"/>
            </w:rPr>
          </w:pPr>
          <w:hyperlink w:anchor="_Toc227183407" w:history="1">
            <w:r w:rsidR="00B72356" w:rsidRPr="00B72356">
              <w:rPr>
                <w:rStyle w:val="Hyperlink"/>
                <w:rFonts w:ascii="Arial" w:eastAsia="Arial" w:hAnsi="Arial" w:cs="Arial"/>
                <w:noProof/>
                <w:sz w:val="22"/>
                <w:szCs w:val="22"/>
              </w:rPr>
              <w:t>2.1 Identification of Needs of the Target Vulnerable Population</w:t>
            </w:r>
            <w:r w:rsidR="00B72356" w:rsidRPr="00B72356">
              <w:rPr>
                <w:rFonts w:ascii="Arial" w:hAnsi="Arial" w:cs="Arial"/>
                <w:noProof/>
                <w:webHidden/>
                <w:sz w:val="22"/>
                <w:szCs w:val="22"/>
              </w:rPr>
              <w:tab/>
            </w:r>
            <w:r w:rsidR="00B72356" w:rsidRPr="00B72356">
              <w:rPr>
                <w:rFonts w:ascii="Arial" w:hAnsi="Arial" w:cs="Arial"/>
                <w:noProof/>
                <w:webHidden/>
                <w:sz w:val="22"/>
                <w:szCs w:val="22"/>
              </w:rPr>
              <w:fldChar w:fldCharType="begin"/>
            </w:r>
            <w:r w:rsidR="00B72356" w:rsidRPr="00B72356">
              <w:rPr>
                <w:rFonts w:ascii="Arial" w:hAnsi="Arial" w:cs="Arial"/>
                <w:noProof/>
                <w:webHidden/>
                <w:sz w:val="22"/>
                <w:szCs w:val="22"/>
              </w:rPr>
              <w:instrText xml:space="preserve"> PAGEREF _Toc227183407 \h </w:instrText>
            </w:r>
            <w:r w:rsidR="00B72356" w:rsidRPr="00B72356">
              <w:rPr>
                <w:rFonts w:ascii="Arial" w:hAnsi="Arial" w:cs="Arial"/>
                <w:noProof/>
                <w:webHidden/>
                <w:sz w:val="22"/>
                <w:szCs w:val="22"/>
              </w:rPr>
            </w:r>
            <w:r w:rsidR="00B72356" w:rsidRPr="00B72356">
              <w:rPr>
                <w:rFonts w:ascii="Arial" w:hAnsi="Arial" w:cs="Arial"/>
                <w:noProof/>
                <w:webHidden/>
                <w:sz w:val="22"/>
                <w:szCs w:val="22"/>
              </w:rPr>
              <w:fldChar w:fldCharType="separate"/>
            </w:r>
            <w:r w:rsidR="00186D84">
              <w:rPr>
                <w:rFonts w:ascii="Arial" w:hAnsi="Arial" w:cs="Arial"/>
                <w:noProof/>
                <w:webHidden/>
                <w:sz w:val="22"/>
                <w:szCs w:val="22"/>
              </w:rPr>
              <w:t>3</w:t>
            </w:r>
            <w:r w:rsidR="00B72356" w:rsidRPr="00B72356">
              <w:rPr>
                <w:rFonts w:ascii="Arial" w:hAnsi="Arial" w:cs="Arial"/>
                <w:noProof/>
                <w:webHidden/>
                <w:sz w:val="22"/>
                <w:szCs w:val="22"/>
              </w:rPr>
              <w:fldChar w:fldCharType="end"/>
            </w:r>
          </w:hyperlink>
        </w:p>
        <w:p w14:paraId="28C5FAE2" w14:textId="28CCB0E3" w:rsidR="00B72356" w:rsidRPr="00B72356" w:rsidRDefault="002A7F4B" w:rsidP="00B72356">
          <w:pPr>
            <w:pStyle w:val="TOC2"/>
            <w:tabs>
              <w:tab w:val="right" w:leader="dot" w:pos="9350"/>
            </w:tabs>
            <w:spacing w:line="240" w:lineRule="auto"/>
            <w:rPr>
              <w:rFonts w:ascii="Arial" w:hAnsi="Arial" w:cs="Arial"/>
              <w:noProof/>
              <w:sz w:val="22"/>
              <w:szCs w:val="22"/>
            </w:rPr>
          </w:pPr>
          <w:hyperlink w:anchor="_Toc227183408" w:history="1">
            <w:r w:rsidR="00B72356" w:rsidRPr="00B72356">
              <w:rPr>
                <w:rStyle w:val="Hyperlink"/>
                <w:rFonts w:ascii="Arial" w:eastAsia="Arial" w:hAnsi="Arial" w:cs="Arial"/>
                <w:noProof/>
                <w:sz w:val="22"/>
                <w:szCs w:val="22"/>
              </w:rPr>
              <w:t>2.2 Identification of the Opportunities to Address the Needs of the Target Vulnerable Population</w:t>
            </w:r>
            <w:r w:rsidR="00B72356" w:rsidRPr="00B72356">
              <w:rPr>
                <w:rFonts w:ascii="Arial" w:hAnsi="Arial" w:cs="Arial"/>
                <w:noProof/>
                <w:webHidden/>
                <w:sz w:val="22"/>
                <w:szCs w:val="22"/>
              </w:rPr>
              <w:tab/>
            </w:r>
            <w:r w:rsidR="00B72356" w:rsidRPr="00B72356">
              <w:rPr>
                <w:rFonts w:ascii="Arial" w:hAnsi="Arial" w:cs="Arial"/>
                <w:noProof/>
                <w:webHidden/>
                <w:sz w:val="22"/>
                <w:szCs w:val="22"/>
              </w:rPr>
              <w:fldChar w:fldCharType="begin"/>
            </w:r>
            <w:r w:rsidR="00B72356" w:rsidRPr="00B72356">
              <w:rPr>
                <w:rFonts w:ascii="Arial" w:hAnsi="Arial" w:cs="Arial"/>
                <w:noProof/>
                <w:webHidden/>
                <w:sz w:val="22"/>
                <w:szCs w:val="22"/>
              </w:rPr>
              <w:instrText xml:space="preserve"> PAGEREF _Toc227183408 \h </w:instrText>
            </w:r>
            <w:r w:rsidR="00B72356" w:rsidRPr="00B72356">
              <w:rPr>
                <w:rFonts w:ascii="Arial" w:hAnsi="Arial" w:cs="Arial"/>
                <w:noProof/>
                <w:webHidden/>
                <w:sz w:val="22"/>
                <w:szCs w:val="22"/>
              </w:rPr>
            </w:r>
            <w:r w:rsidR="00B72356" w:rsidRPr="00B72356">
              <w:rPr>
                <w:rFonts w:ascii="Arial" w:hAnsi="Arial" w:cs="Arial"/>
                <w:noProof/>
                <w:webHidden/>
                <w:sz w:val="22"/>
                <w:szCs w:val="22"/>
              </w:rPr>
              <w:fldChar w:fldCharType="separate"/>
            </w:r>
            <w:r w:rsidR="00186D84">
              <w:rPr>
                <w:rFonts w:ascii="Arial" w:hAnsi="Arial" w:cs="Arial"/>
                <w:noProof/>
                <w:webHidden/>
                <w:sz w:val="22"/>
                <w:szCs w:val="22"/>
              </w:rPr>
              <w:t>4</w:t>
            </w:r>
            <w:r w:rsidR="00B72356" w:rsidRPr="00B72356">
              <w:rPr>
                <w:rFonts w:ascii="Arial" w:hAnsi="Arial" w:cs="Arial"/>
                <w:noProof/>
                <w:webHidden/>
                <w:sz w:val="22"/>
                <w:szCs w:val="22"/>
              </w:rPr>
              <w:fldChar w:fldCharType="end"/>
            </w:r>
          </w:hyperlink>
        </w:p>
        <w:p w14:paraId="4E3685F8" w14:textId="53F7D979" w:rsidR="00B72356" w:rsidRPr="00B72356" w:rsidRDefault="002A7F4B" w:rsidP="00B72356">
          <w:pPr>
            <w:pStyle w:val="TOC2"/>
            <w:tabs>
              <w:tab w:val="right" w:leader="dot" w:pos="9350"/>
            </w:tabs>
            <w:spacing w:line="240" w:lineRule="auto"/>
            <w:rPr>
              <w:rFonts w:ascii="Arial" w:hAnsi="Arial" w:cs="Arial"/>
              <w:noProof/>
              <w:sz w:val="22"/>
              <w:szCs w:val="22"/>
            </w:rPr>
          </w:pPr>
          <w:hyperlink w:anchor="_Toc227183409" w:history="1">
            <w:r w:rsidR="00B72356" w:rsidRPr="00B72356">
              <w:rPr>
                <w:rStyle w:val="Hyperlink"/>
                <w:rFonts w:ascii="Arial" w:eastAsia="Arial" w:hAnsi="Arial" w:cs="Arial"/>
                <w:noProof/>
                <w:sz w:val="22"/>
                <w:szCs w:val="22"/>
              </w:rPr>
              <w:t>2.3 Need for Aims to Response to the Needs of the Vulnerable Population</w:t>
            </w:r>
            <w:r w:rsidR="00B72356" w:rsidRPr="00B72356">
              <w:rPr>
                <w:rFonts w:ascii="Arial" w:hAnsi="Arial" w:cs="Arial"/>
                <w:noProof/>
                <w:webHidden/>
                <w:sz w:val="22"/>
                <w:szCs w:val="22"/>
              </w:rPr>
              <w:tab/>
            </w:r>
            <w:r w:rsidR="00B72356" w:rsidRPr="00B72356">
              <w:rPr>
                <w:rFonts w:ascii="Arial" w:hAnsi="Arial" w:cs="Arial"/>
                <w:noProof/>
                <w:webHidden/>
                <w:sz w:val="22"/>
                <w:szCs w:val="22"/>
              </w:rPr>
              <w:fldChar w:fldCharType="begin"/>
            </w:r>
            <w:r w:rsidR="00B72356" w:rsidRPr="00B72356">
              <w:rPr>
                <w:rFonts w:ascii="Arial" w:hAnsi="Arial" w:cs="Arial"/>
                <w:noProof/>
                <w:webHidden/>
                <w:sz w:val="22"/>
                <w:szCs w:val="22"/>
              </w:rPr>
              <w:instrText xml:space="preserve"> PAGEREF _Toc227183409 \h </w:instrText>
            </w:r>
            <w:r w:rsidR="00B72356" w:rsidRPr="00B72356">
              <w:rPr>
                <w:rFonts w:ascii="Arial" w:hAnsi="Arial" w:cs="Arial"/>
                <w:noProof/>
                <w:webHidden/>
                <w:sz w:val="22"/>
                <w:szCs w:val="22"/>
              </w:rPr>
            </w:r>
            <w:r w:rsidR="00B72356" w:rsidRPr="00B72356">
              <w:rPr>
                <w:rFonts w:ascii="Arial" w:hAnsi="Arial" w:cs="Arial"/>
                <w:noProof/>
                <w:webHidden/>
                <w:sz w:val="22"/>
                <w:szCs w:val="22"/>
              </w:rPr>
              <w:fldChar w:fldCharType="separate"/>
            </w:r>
            <w:r w:rsidR="00186D84">
              <w:rPr>
                <w:rFonts w:ascii="Arial" w:hAnsi="Arial" w:cs="Arial"/>
                <w:noProof/>
                <w:webHidden/>
                <w:sz w:val="22"/>
                <w:szCs w:val="22"/>
              </w:rPr>
              <w:t>4</w:t>
            </w:r>
            <w:r w:rsidR="00B72356" w:rsidRPr="00B72356">
              <w:rPr>
                <w:rFonts w:ascii="Arial" w:hAnsi="Arial" w:cs="Arial"/>
                <w:noProof/>
                <w:webHidden/>
                <w:sz w:val="22"/>
                <w:szCs w:val="22"/>
              </w:rPr>
              <w:fldChar w:fldCharType="end"/>
            </w:r>
          </w:hyperlink>
        </w:p>
        <w:p w14:paraId="1CBE5B14" w14:textId="396F6CCD" w:rsidR="00B72356" w:rsidRPr="00B72356" w:rsidRDefault="002A7F4B" w:rsidP="00B72356">
          <w:pPr>
            <w:pStyle w:val="TOC1"/>
            <w:tabs>
              <w:tab w:val="right" w:leader="dot" w:pos="9350"/>
            </w:tabs>
            <w:spacing w:line="240" w:lineRule="auto"/>
            <w:rPr>
              <w:rFonts w:ascii="Arial" w:hAnsi="Arial" w:cs="Arial"/>
              <w:noProof/>
              <w:sz w:val="22"/>
              <w:szCs w:val="22"/>
            </w:rPr>
          </w:pPr>
          <w:hyperlink w:anchor="_Toc227183410" w:history="1">
            <w:r w:rsidR="00B72356" w:rsidRPr="00B72356">
              <w:rPr>
                <w:rStyle w:val="Hyperlink"/>
                <w:rFonts w:ascii="Arial" w:eastAsia="Arial" w:hAnsi="Arial" w:cs="Arial"/>
                <w:noProof/>
                <w:sz w:val="22"/>
                <w:szCs w:val="22"/>
              </w:rPr>
              <w:t>3. Input</w:t>
            </w:r>
            <w:r w:rsidR="00B72356" w:rsidRPr="00B72356">
              <w:rPr>
                <w:rFonts w:ascii="Arial" w:hAnsi="Arial" w:cs="Arial"/>
                <w:noProof/>
                <w:webHidden/>
                <w:sz w:val="22"/>
                <w:szCs w:val="22"/>
              </w:rPr>
              <w:tab/>
            </w:r>
            <w:r w:rsidR="00B72356" w:rsidRPr="00B72356">
              <w:rPr>
                <w:rFonts w:ascii="Arial" w:hAnsi="Arial" w:cs="Arial"/>
                <w:noProof/>
                <w:webHidden/>
                <w:sz w:val="22"/>
                <w:szCs w:val="22"/>
              </w:rPr>
              <w:fldChar w:fldCharType="begin"/>
            </w:r>
            <w:r w:rsidR="00B72356" w:rsidRPr="00B72356">
              <w:rPr>
                <w:rFonts w:ascii="Arial" w:hAnsi="Arial" w:cs="Arial"/>
                <w:noProof/>
                <w:webHidden/>
                <w:sz w:val="22"/>
                <w:szCs w:val="22"/>
              </w:rPr>
              <w:instrText xml:space="preserve"> PAGEREF _Toc227183410 \h </w:instrText>
            </w:r>
            <w:r w:rsidR="00B72356" w:rsidRPr="00B72356">
              <w:rPr>
                <w:rFonts w:ascii="Arial" w:hAnsi="Arial" w:cs="Arial"/>
                <w:noProof/>
                <w:webHidden/>
                <w:sz w:val="22"/>
                <w:szCs w:val="22"/>
              </w:rPr>
            </w:r>
            <w:r w:rsidR="00B72356" w:rsidRPr="00B72356">
              <w:rPr>
                <w:rFonts w:ascii="Arial" w:hAnsi="Arial" w:cs="Arial"/>
                <w:noProof/>
                <w:webHidden/>
                <w:sz w:val="22"/>
                <w:szCs w:val="22"/>
              </w:rPr>
              <w:fldChar w:fldCharType="separate"/>
            </w:r>
            <w:r w:rsidR="00186D84">
              <w:rPr>
                <w:rFonts w:ascii="Arial" w:hAnsi="Arial" w:cs="Arial"/>
                <w:noProof/>
                <w:webHidden/>
                <w:sz w:val="22"/>
                <w:szCs w:val="22"/>
              </w:rPr>
              <w:t>5</w:t>
            </w:r>
            <w:r w:rsidR="00B72356" w:rsidRPr="00B72356">
              <w:rPr>
                <w:rFonts w:ascii="Arial" w:hAnsi="Arial" w:cs="Arial"/>
                <w:noProof/>
                <w:webHidden/>
                <w:sz w:val="22"/>
                <w:szCs w:val="22"/>
              </w:rPr>
              <w:fldChar w:fldCharType="end"/>
            </w:r>
          </w:hyperlink>
        </w:p>
        <w:p w14:paraId="4DB8DBE4" w14:textId="27DE5764" w:rsidR="00B72356" w:rsidRPr="00B72356" w:rsidRDefault="002A7F4B" w:rsidP="00B72356">
          <w:pPr>
            <w:pStyle w:val="TOC2"/>
            <w:tabs>
              <w:tab w:val="right" w:leader="dot" w:pos="9350"/>
            </w:tabs>
            <w:spacing w:line="240" w:lineRule="auto"/>
            <w:rPr>
              <w:rFonts w:ascii="Arial" w:hAnsi="Arial" w:cs="Arial"/>
              <w:noProof/>
              <w:sz w:val="22"/>
              <w:szCs w:val="22"/>
            </w:rPr>
          </w:pPr>
          <w:hyperlink w:anchor="_Toc227183411" w:history="1">
            <w:r w:rsidR="00B72356" w:rsidRPr="00B72356">
              <w:rPr>
                <w:rStyle w:val="Hyperlink"/>
                <w:rFonts w:ascii="Arial" w:eastAsia="Arial" w:hAnsi="Arial" w:cs="Arial"/>
                <w:noProof/>
                <w:sz w:val="22"/>
                <w:szCs w:val="22"/>
              </w:rPr>
              <w:t>3.1 Relevant Partners and Strategies</w:t>
            </w:r>
            <w:r w:rsidR="00B72356" w:rsidRPr="00B72356">
              <w:rPr>
                <w:rFonts w:ascii="Arial" w:hAnsi="Arial" w:cs="Arial"/>
                <w:noProof/>
                <w:webHidden/>
                <w:sz w:val="22"/>
                <w:szCs w:val="22"/>
              </w:rPr>
              <w:tab/>
            </w:r>
            <w:r w:rsidR="00B72356" w:rsidRPr="00B72356">
              <w:rPr>
                <w:rFonts w:ascii="Arial" w:hAnsi="Arial" w:cs="Arial"/>
                <w:noProof/>
                <w:webHidden/>
                <w:sz w:val="22"/>
                <w:szCs w:val="22"/>
              </w:rPr>
              <w:fldChar w:fldCharType="begin"/>
            </w:r>
            <w:r w:rsidR="00B72356" w:rsidRPr="00B72356">
              <w:rPr>
                <w:rFonts w:ascii="Arial" w:hAnsi="Arial" w:cs="Arial"/>
                <w:noProof/>
                <w:webHidden/>
                <w:sz w:val="22"/>
                <w:szCs w:val="22"/>
              </w:rPr>
              <w:instrText xml:space="preserve"> PAGEREF _Toc227183411 \h </w:instrText>
            </w:r>
            <w:r w:rsidR="00B72356" w:rsidRPr="00B72356">
              <w:rPr>
                <w:rFonts w:ascii="Arial" w:hAnsi="Arial" w:cs="Arial"/>
                <w:noProof/>
                <w:webHidden/>
                <w:sz w:val="22"/>
                <w:szCs w:val="22"/>
              </w:rPr>
            </w:r>
            <w:r w:rsidR="00B72356" w:rsidRPr="00B72356">
              <w:rPr>
                <w:rFonts w:ascii="Arial" w:hAnsi="Arial" w:cs="Arial"/>
                <w:noProof/>
                <w:webHidden/>
                <w:sz w:val="22"/>
                <w:szCs w:val="22"/>
              </w:rPr>
              <w:fldChar w:fldCharType="separate"/>
            </w:r>
            <w:r w:rsidR="00186D84">
              <w:rPr>
                <w:rFonts w:ascii="Arial" w:hAnsi="Arial" w:cs="Arial"/>
                <w:noProof/>
                <w:webHidden/>
                <w:sz w:val="22"/>
                <w:szCs w:val="22"/>
              </w:rPr>
              <w:t>5</w:t>
            </w:r>
            <w:r w:rsidR="00B72356" w:rsidRPr="00B72356">
              <w:rPr>
                <w:rFonts w:ascii="Arial" w:hAnsi="Arial" w:cs="Arial"/>
                <w:noProof/>
                <w:webHidden/>
                <w:sz w:val="22"/>
                <w:szCs w:val="22"/>
              </w:rPr>
              <w:fldChar w:fldCharType="end"/>
            </w:r>
          </w:hyperlink>
        </w:p>
        <w:p w14:paraId="47D89A8F" w14:textId="01D9BA84" w:rsidR="00B72356" w:rsidRPr="00B72356" w:rsidRDefault="002A7F4B" w:rsidP="00B72356">
          <w:pPr>
            <w:pStyle w:val="TOC2"/>
            <w:tabs>
              <w:tab w:val="right" w:leader="dot" w:pos="9350"/>
            </w:tabs>
            <w:spacing w:line="240" w:lineRule="auto"/>
            <w:rPr>
              <w:rFonts w:ascii="Arial" w:hAnsi="Arial" w:cs="Arial"/>
              <w:noProof/>
              <w:sz w:val="22"/>
              <w:szCs w:val="22"/>
            </w:rPr>
          </w:pPr>
          <w:hyperlink w:anchor="_Toc227183412" w:history="1">
            <w:r w:rsidR="00B72356" w:rsidRPr="00B72356">
              <w:rPr>
                <w:rStyle w:val="Hyperlink"/>
                <w:rFonts w:ascii="Arial" w:eastAsia="Arial" w:hAnsi="Arial" w:cs="Arial"/>
                <w:noProof/>
                <w:sz w:val="22"/>
                <w:szCs w:val="22"/>
              </w:rPr>
              <w:t>3.2 Principles to Join Health and Social Care Services</w:t>
            </w:r>
            <w:r w:rsidR="00B72356" w:rsidRPr="00B72356">
              <w:rPr>
                <w:rFonts w:ascii="Arial" w:hAnsi="Arial" w:cs="Arial"/>
                <w:noProof/>
                <w:webHidden/>
                <w:sz w:val="22"/>
                <w:szCs w:val="22"/>
              </w:rPr>
              <w:tab/>
            </w:r>
            <w:r w:rsidR="00B72356" w:rsidRPr="00B72356">
              <w:rPr>
                <w:rFonts w:ascii="Arial" w:hAnsi="Arial" w:cs="Arial"/>
                <w:noProof/>
                <w:webHidden/>
                <w:sz w:val="22"/>
                <w:szCs w:val="22"/>
              </w:rPr>
              <w:fldChar w:fldCharType="begin"/>
            </w:r>
            <w:r w:rsidR="00B72356" w:rsidRPr="00B72356">
              <w:rPr>
                <w:rFonts w:ascii="Arial" w:hAnsi="Arial" w:cs="Arial"/>
                <w:noProof/>
                <w:webHidden/>
                <w:sz w:val="22"/>
                <w:szCs w:val="22"/>
              </w:rPr>
              <w:instrText xml:space="preserve"> PAGEREF _Toc227183412 \h </w:instrText>
            </w:r>
            <w:r w:rsidR="00B72356" w:rsidRPr="00B72356">
              <w:rPr>
                <w:rFonts w:ascii="Arial" w:hAnsi="Arial" w:cs="Arial"/>
                <w:noProof/>
                <w:webHidden/>
                <w:sz w:val="22"/>
                <w:szCs w:val="22"/>
              </w:rPr>
            </w:r>
            <w:r w:rsidR="00B72356" w:rsidRPr="00B72356">
              <w:rPr>
                <w:rFonts w:ascii="Arial" w:hAnsi="Arial" w:cs="Arial"/>
                <w:noProof/>
                <w:webHidden/>
                <w:sz w:val="22"/>
                <w:szCs w:val="22"/>
              </w:rPr>
              <w:fldChar w:fldCharType="separate"/>
            </w:r>
            <w:r w:rsidR="00186D84">
              <w:rPr>
                <w:rFonts w:ascii="Arial" w:hAnsi="Arial" w:cs="Arial"/>
                <w:noProof/>
                <w:webHidden/>
                <w:sz w:val="22"/>
                <w:szCs w:val="22"/>
              </w:rPr>
              <w:t>5</w:t>
            </w:r>
            <w:r w:rsidR="00B72356" w:rsidRPr="00B72356">
              <w:rPr>
                <w:rFonts w:ascii="Arial" w:hAnsi="Arial" w:cs="Arial"/>
                <w:noProof/>
                <w:webHidden/>
                <w:sz w:val="22"/>
                <w:szCs w:val="22"/>
              </w:rPr>
              <w:fldChar w:fldCharType="end"/>
            </w:r>
          </w:hyperlink>
        </w:p>
        <w:p w14:paraId="5BAE4CE5" w14:textId="2D981F6F" w:rsidR="00B72356" w:rsidRPr="00B72356" w:rsidRDefault="002A7F4B" w:rsidP="00B72356">
          <w:pPr>
            <w:pStyle w:val="TOC2"/>
            <w:tabs>
              <w:tab w:val="right" w:leader="dot" w:pos="9350"/>
            </w:tabs>
            <w:spacing w:line="240" w:lineRule="auto"/>
            <w:rPr>
              <w:rFonts w:ascii="Arial" w:hAnsi="Arial" w:cs="Arial"/>
              <w:noProof/>
              <w:sz w:val="22"/>
              <w:szCs w:val="22"/>
            </w:rPr>
          </w:pPr>
          <w:hyperlink w:anchor="_Toc227183413" w:history="1">
            <w:r w:rsidR="00B72356" w:rsidRPr="00B72356">
              <w:rPr>
                <w:rStyle w:val="Hyperlink"/>
                <w:rFonts w:ascii="Arial" w:eastAsia="Arial" w:hAnsi="Arial" w:cs="Arial"/>
                <w:noProof/>
                <w:sz w:val="22"/>
                <w:szCs w:val="22"/>
              </w:rPr>
              <w:t>3.3 Human and Material Resources Needs</w:t>
            </w:r>
            <w:r w:rsidR="00B72356" w:rsidRPr="00B72356">
              <w:rPr>
                <w:rFonts w:ascii="Arial" w:hAnsi="Arial" w:cs="Arial"/>
                <w:noProof/>
                <w:webHidden/>
                <w:sz w:val="22"/>
                <w:szCs w:val="22"/>
              </w:rPr>
              <w:tab/>
            </w:r>
            <w:r w:rsidR="00B72356" w:rsidRPr="00B72356">
              <w:rPr>
                <w:rFonts w:ascii="Arial" w:hAnsi="Arial" w:cs="Arial"/>
                <w:noProof/>
                <w:webHidden/>
                <w:sz w:val="22"/>
                <w:szCs w:val="22"/>
              </w:rPr>
              <w:fldChar w:fldCharType="begin"/>
            </w:r>
            <w:r w:rsidR="00B72356" w:rsidRPr="00B72356">
              <w:rPr>
                <w:rFonts w:ascii="Arial" w:hAnsi="Arial" w:cs="Arial"/>
                <w:noProof/>
                <w:webHidden/>
                <w:sz w:val="22"/>
                <w:szCs w:val="22"/>
              </w:rPr>
              <w:instrText xml:space="preserve"> PAGEREF _Toc227183413 \h </w:instrText>
            </w:r>
            <w:r w:rsidR="00B72356" w:rsidRPr="00B72356">
              <w:rPr>
                <w:rFonts w:ascii="Arial" w:hAnsi="Arial" w:cs="Arial"/>
                <w:noProof/>
                <w:webHidden/>
                <w:sz w:val="22"/>
                <w:szCs w:val="22"/>
              </w:rPr>
            </w:r>
            <w:r w:rsidR="00B72356" w:rsidRPr="00B72356">
              <w:rPr>
                <w:rFonts w:ascii="Arial" w:hAnsi="Arial" w:cs="Arial"/>
                <w:noProof/>
                <w:webHidden/>
                <w:sz w:val="22"/>
                <w:szCs w:val="22"/>
              </w:rPr>
              <w:fldChar w:fldCharType="separate"/>
            </w:r>
            <w:r w:rsidR="00186D84">
              <w:rPr>
                <w:rFonts w:ascii="Arial" w:hAnsi="Arial" w:cs="Arial"/>
                <w:noProof/>
                <w:webHidden/>
                <w:sz w:val="22"/>
                <w:szCs w:val="22"/>
              </w:rPr>
              <w:t>6</w:t>
            </w:r>
            <w:r w:rsidR="00B72356" w:rsidRPr="00B72356">
              <w:rPr>
                <w:rFonts w:ascii="Arial" w:hAnsi="Arial" w:cs="Arial"/>
                <w:noProof/>
                <w:webHidden/>
                <w:sz w:val="22"/>
                <w:szCs w:val="22"/>
              </w:rPr>
              <w:fldChar w:fldCharType="end"/>
            </w:r>
          </w:hyperlink>
        </w:p>
        <w:p w14:paraId="48C8CB14" w14:textId="2BC11FF6" w:rsidR="00B72356" w:rsidRPr="00B72356" w:rsidRDefault="002A7F4B" w:rsidP="00B72356">
          <w:pPr>
            <w:pStyle w:val="TOC2"/>
            <w:tabs>
              <w:tab w:val="right" w:leader="dot" w:pos="9350"/>
            </w:tabs>
            <w:spacing w:line="240" w:lineRule="auto"/>
            <w:rPr>
              <w:rFonts w:ascii="Arial" w:hAnsi="Arial" w:cs="Arial"/>
              <w:noProof/>
              <w:sz w:val="22"/>
              <w:szCs w:val="22"/>
            </w:rPr>
          </w:pPr>
          <w:hyperlink w:anchor="_Toc227183414" w:history="1">
            <w:r w:rsidR="00B72356" w:rsidRPr="00B72356">
              <w:rPr>
                <w:rStyle w:val="Hyperlink"/>
                <w:rFonts w:ascii="Arial" w:eastAsia="Arial" w:hAnsi="Arial" w:cs="Arial"/>
                <w:noProof/>
                <w:sz w:val="22"/>
                <w:szCs w:val="22"/>
              </w:rPr>
              <w:t>3.4 Identification of Barriers in Achieving Service Integration and Partnership Working</w:t>
            </w:r>
            <w:r w:rsidR="00B72356" w:rsidRPr="00B72356">
              <w:rPr>
                <w:rFonts w:ascii="Arial" w:hAnsi="Arial" w:cs="Arial"/>
                <w:noProof/>
                <w:webHidden/>
                <w:sz w:val="22"/>
                <w:szCs w:val="22"/>
              </w:rPr>
              <w:tab/>
            </w:r>
            <w:r w:rsidR="00B72356" w:rsidRPr="00B72356">
              <w:rPr>
                <w:rFonts w:ascii="Arial" w:hAnsi="Arial" w:cs="Arial"/>
                <w:noProof/>
                <w:webHidden/>
                <w:sz w:val="22"/>
                <w:szCs w:val="22"/>
              </w:rPr>
              <w:fldChar w:fldCharType="begin"/>
            </w:r>
            <w:r w:rsidR="00B72356" w:rsidRPr="00B72356">
              <w:rPr>
                <w:rFonts w:ascii="Arial" w:hAnsi="Arial" w:cs="Arial"/>
                <w:noProof/>
                <w:webHidden/>
                <w:sz w:val="22"/>
                <w:szCs w:val="22"/>
              </w:rPr>
              <w:instrText xml:space="preserve"> PAGEREF _Toc227183414 \h </w:instrText>
            </w:r>
            <w:r w:rsidR="00B72356" w:rsidRPr="00B72356">
              <w:rPr>
                <w:rFonts w:ascii="Arial" w:hAnsi="Arial" w:cs="Arial"/>
                <w:noProof/>
                <w:webHidden/>
                <w:sz w:val="22"/>
                <w:szCs w:val="22"/>
              </w:rPr>
            </w:r>
            <w:r w:rsidR="00B72356" w:rsidRPr="00B72356">
              <w:rPr>
                <w:rFonts w:ascii="Arial" w:hAnsi="Arial" w:cs="Arial"/>
                <w:noProof/>
                <w:webHidden/>
                <w:sz w:val="22"/>
                <w:szCs w:val="22"/>
              </w:rPr>
              <w:fldChar w:fldCharType="separate"/>
            </w:r>
            <w:r w:rsidR="00186D84">
              <w:rPr>
                <w:rFonts w:ascii="Arial" w:hAnsi="Arial" w:cs="Arial"/>
                <w:noProof/>
                <w:webHidden/>
                <w:sz w:val="22"/>
                <w:szCs w:val="22"/>
              </w:rPr>
              <w:t>6</w:t>
            </w:r>
            <w:r w:rsidR="00B72356" w:rsidRPr="00B72356">
              <w:rPr>
                <w:rFonts w:ascii="Arial" w:hAnsi="Arial" w:cs="Arial"/>
                <w:noProof/>
                <w:webHidden/>
                <w:sz w:val="22"/>
                <w:szCs w:val="22"/>
              </w:rPr>
              <w:fldChar w:fldCharType="end"/>
            </w:r>
          </w:hyperlink>
        </w:p>
        <w:p w14:paraId="5A238898" w14:textId="7F3B8210" w:rsidR="00B72356" w:rsidRPr="00B72356" w:rsidRDefault="002A7F4B" w:rsidP="00B72356">
          <w:pPr>
            <w:pStyle w:val="TOC2"/>
            <w:tabs>
              <w:tab w:val="right" w:leader="dot" w:pos="9350"/>
            </w:tabs>
            <w:spacing w:line="240" w:lineRule="auto"/>
            <w:rPr>
              <w:rFonts w:ascii="Arial" w:hAnsi="Arial" w:cs="Arial"/>
              <w:noProof/>
              <w:sz w:val="22"/>
              <w:szCs w:val="22"/>
            </w:rPr>
          </w:pPr>
          <w:hyperlink w:anchor="_Toc227183415" w:history="1">
            <w:r w:rsidR="00B72356" w:rsidRPr="00B72356">
              <w:rPr>
                <w:rStyle w:val="Hyperlink"/>
                <w:rFonts w:ascii="Arial" w:eastAsia="Arial" w:hAnsi="Arial" w:cs="Arial"/>
                <w:noProof/>
                <w:sz w:val="22"/>
                <w:szCs w:val="22"/>
              </w:rPr>
              <w:t>3.5 Recommendations for Alternative Strategies and Solutions</w:t>
            </w:r>
            <w:r w:rsidR="00B72356" w:rsidRPr="00B72356">
              <w:rPr>
                <w:rFonts w:ascii="Arial" w:hAnsi="Arial" w:cs="Arial"/>
                <w:noProof/>
                <w:webHidden/>
                <w:sz w:val="22"/>
                <w:szCs w:val="22"/>
              </w:rPr>
              <w:tab/>
            </w:r>
            <w:r w:rsidR="00B72356" w:rsidRPr="00B72356">
              <w:rPr>
                <w:rFonts w:ascii="Arial" w:hAnsi="Arial" w:cs="Arial"/>
                <w:noProof/>
                <w:webHidden/>
                <w:sz w:val="22"/>
                <w:szCs w:val="22"/>
              </w:rPr>
              <w:fldChar w:fldCharType="begin"/>
            </w:r>
            <w:r w:rsidR="00B72356" w:rsidRPr="00B72356">
              <w:rPr>
                <w:rFonts w:ascii="Arial" w:hAnsi="Arial" w:cs="Arial"/>
                <w:noProof/>
                <w:webHidden/>
                <w:sz w:val="22"/>
                <w:szCs w:val="22"/>
              </w:rPr>
              <w:instrText xml:space="preserve"> PAGEREF _Toc227183415 \h </w:instrText>
            </w:r>
            <w:r w:rsidR="00B72356" w:rsidRPr="00B72356">
              <w:rPr>
                <w:rFonts w:ascii="Arial" w:hAnsi="Arial" w:cs="Arial"/>
                <w:noProof/>
                <w:webHidden/>
                <w:sz w:val="22"/>
                <w:szCs w:val="22"/>
              </w:rPr>
            </w:r>
            <w:r w:rsidR="00B72356" w:rsidRPr="00B72356">
              <w:rPr>
                <w:rFonts w:ascii="Arial" w:hAnsi="Arial" w:cs="Arial"/>
                <w:noProof/>
                <w:webHidden/>
                <w:sz w:val="22"/>
                <w:szCs w:val="22"/>
              </w:rPr>
              <w:fldChar w:fldCharType="separate"/>
            </w:r>
            <w:r w:rsidR="00186D84">
              <w:rPr>
                <w:rFonts w:ascii="Arial" w:hAnsi="Arial" w:cs="Arial"/>
                <w:noProof/>
                <w:webHidden/>
                <w:sz w:val="22"/>
                <w:szCs w:val="22"/>
              </w:rPr>
              <w:t>7</w:t>
            </w:r>
            <w:r w:rsidR="00B72356" w:rsidRPr="00B72356">
              <w:rPr>
                <w:rFonts w:ascii="Arial" w:hAnsi="Arial" w:cs="Arial"/>
                <w:noProof/>
                <w:webHidden/>
                <w:sz w:val="22"/>
                <w:szCs w:val="22"/>
              </w:rPr>
              <w:fldChar w:fldCharType="end"/>
            </w:r>
          </w:hyperlink>
        </w:p>
        <w:p w14:paraId="203C1041" w14:textId="5BC09D81" w:rsidR="00B72356" w:rsidRPr="00B72356" w:rsidRDefault="002A7F4B" w:rsidP="00B72356">
          <w:pPr>
            <w:pStyle w:val="TOC1"/>
            <w:tabs>
              <w:tab w:val="right" w:leader="dot" w:pos="9350"/>
            </w:tabs>
            <w:spacing w:line="240" w:lineRule="auto"/>
            <w:rPr>
              <w:rFonts w:ascii="Arial" w:hAnsi="Arial" w:cs="Arial"/>
              <w:noProof/>
              <w:sz w:val="22"/>
              <w:szCs w:val="22"/>
            </w:rPr>
          </w:pPr>
          <w:hyperlink w:anchor="_Toc227183416" w:history="1">
            <w:r w:rsidR="00B72356" w:rsidRPr="00B72356">
              <w:rPr>
                <w:rStyle w:val="Hyperlink"/>
                <w:rFonts w:ascii="Arial" w:eastAsia="Arial" w:hAnsi="Arial" w:cs="Arial"/>
                <w:noProof/>
                <w:sz w:val="22"/>
                <w:szCs w:val="22"/>
              </w:rPr>
              <w:t>4. Process</w:t>
            </w:r>
            <w:r w:rsidR="00B72356" w:rsidRPr="00B72356">
              <w:rPr>
                <w:rFonts w:ascii="Arial" w:hAnsi="Arial" w:cs="Arial"/>
                <w:noProof/>
                <w:webHidden/>
                <w:sz w:val="22"/>
                <w:szCs w:val="22"/>
              </w:rPr>
              <w:tab/>
            </w:r>
            <w:r w:rsidR="00B72356" w:rsidRPr="00B72356">
              <w:rPr>
                <w:rFonts w:ascii="Arial" w:hAnsi="Arial" w:cs="Arial"/>
                <w:noProof/>
                <w:webHidden/>
                <w:sz w:val="22"/>
                <w:szCs w:val="22"/>
              </w:rPr>
              <w:fldChar w:fldCharType="begin"/>
            </w:r>
            <w:r w:rsidR="00B72356" w:rsidRPr="00B72356">
              <w:rPr>
                <w:rFonts w:ascii="Arial" w:hAnsi="Arial" w:cs="Arial"/>
                <w:noProof/>
                <w:webHidden/>
                <w:sz w:val="22"/>
                <w:szCs w:val="22"/>
              </w:rPr>
              <w:instrText xml:space="preserve"> PAGEREF _Toc227183416 \h </w:instrText>
            </w:r>
            <w:r w:rsidR="00B72356" w:rsidRPr="00B72356">
              <w:rPr>
                <w:rFonts w:ascii="Arial" w:hAnsi="Arial" w:cs="Arial"/>
                <w:noProof/>
                <w:webHidden/>
                <w:sz w:val="22"/>
                <w:szCs w:val="22"/>
              </w:rPr>
            </w:r>
            <w:r w:rsidR="00B72356" w:rsidRPr="00B72356">
              <w:rPr>
                <w:rFonts w:ascii="Arial" w:hAnsi="Arial" w:cs="Arial"/>
                <w:noProof/>
                <w:webHidden/>
                <w:sz w:val="22"/>
                <w:szCs w:val="22"/>
              </w:rPr>
              <w:fldChar w:fldCharType="separate"/>
            </w:r>
            <w:r w:rsidR="00186D84">
              <w:rPr>
                <w:rFonts w:ascii="Arial" w:hAnsi="Arial" w:cs="Arial"/>
                <w:noProof/>
                <w:webHidden/>
                <w:sz w:val="22"/>
                <w:szCs w:val="22"/>
              </w:rPr>
              <w:t>7</w:t>
            </w:r>
            <w:r w:rsidR="00B72356" w:rsidRPr="00B72356">
              <w:rPr>
                <w:rFonts w:ascii="Arial" w:hAnsi="Arial" w:cs="Arial"/>
                <w:noProof/>
                <w:webHidden/>
                <w:sz w:val="22"/>
                <w:szCs w:val="22"/>
              </w:rPr>
              <w:fldChar w:fldCharType="end"/>
            </w:r>
          </w:hyperlink>
        </w:p>
        <w:p w14:paraId="3B4849B5" w14:textId="0829E050" w:rsidR="00B72356" w:rsidRPr="00B72356" w:rsidRDefault="002A7F4B" w:rsidP="00B72356">
          <w:pPr>
            <w:pStyle w:val="TOC2"/>
            <w:tabs>
              <w:tab w:val="right" w:leader="dot" w:pos="9350"/>
            </w:tabs>
            <w:spacing w:line="240" w:lineRule="auto"/>
            <w:rPr>
              <w:rFonts w:ascii="Arial" w:hAnsi="Arial" w:cs="Arial"/>
              <w:noProof/>
              <w:sz w:val="22"/>
              <w:szCs w:val="22"/>
            </w:rPr>
          </w:pPr>
          <w:hyperlink w:anchor="_Toc227183417" w:history="1">
            <w:r w:rsidR="00B72356" w:rsidRPr="00B72356">
              <w:rPr>
                <w:rStyle w:val="Hyperlink"/>
                <w:rFonts w:ascii="Arial" w:eastAsia="Arial" w:hAnsi="Arial" w:cs="Arial"/>
                <w:noProof/>
                <w:sz w:val="22"/>
                <w:szCs w:val="22"/>
              </w:rPr>
              <w:t>4.1 Working as a Group to Achieve Planned Activities</w:t>
            </w:r>
            <w:r w:rsidR="00B72356" w:rsidRPr="00B72356">
              <w:rPr>
                <w:rFonts w:ascii="Arial" w:hAnsi="Arial" w:cs="Arial"/>
                <w:noProof/>
                <w:webHidden/>
                <w:sz w:val="22"/>
                <w:szCs w:val="22"/>
              </w:rPr>
              <w:tab/>
            </w:r>
            <w:r w:rsidR="00B72356" w:rsidRPr="00B72356">
              <w:rPr>
                <w:rFonts w:ascii="Arial" w:hAnsi="Arial" w:cs="Arial"/>
                <w:noProof/>
                <w:webHidden/>
                <w:sz w:val="22"/>
                <w:szCs w:val="22"/>
              </w:rPr>
              <w:fldChar w:fldCharType="begin"/>
            </w:r>
            <w:r w:rsidR="00B72356" w:rsidRPr="00B72356">
              <w:rPr>
                <w:rFonts w:ascii="Arial" w:hAnsi="Arial" w:cs="Arial"/>
                <w:noProof/>
                <w:webHidden/>
                <w:sz w:val="22"/>
                <w:szCs w:val="22"/>
              </w:rPr>
              <w:instrText xml:space="preserve"> PAGEREF _Toc227183417 \h </w:instrText>
            </w:r>
            <w:r w:rsidR="00B72356" w:rsidRPr="00B72356">
              <w:rPr>
                <w:rFonts w:ascii="Arial" w:hAnsi="Arial" w:cs="Arial"/>
                <w:noProof/>
                <w:webHidden/>
                <w:sz w:val="22"/>
                <w:szCs w:val="22"/>
              </w:rPr>
            </w:r>
            <w:r w:rsidR="00B72356" w:rsidRPr="00B72356">
              <w:rPr>
                <w:rFonts w:ascii="Arial" w:hAnsi="Arial" w:cs="Arial"/>
                <w:noProof/>
                <w:webHidden/>
                <w:sz w:val="22"/>
                <w:szCs w:val="22"/>
              </w:rPr>
              <w:fldChar w:fldCharType="separate"/>
            </w:r>
            <w:r w:rsidR="00186D84">
              <w:rPr>
                <w:rFonts w:ascii="Arial" w:hAnsi="Arial" w:cs="Arial"/>
                <w:noProof/>
                <w:webHidden/>
                <w:sz w:val="22"/>
                <w:szCs w:val="22"/>
              </w:rPr>
              <w:t>7</w:t>
            </w:r>
            <w:r w:rsidR="00B72356" w:rsidRPr="00B72356">
              <w:rPr>
                <w:rFonts w:ascii="Arial" w:hAnsi="Arial" w:cs="Arial"/>
                <w:noProof/>
                <w:webHidden/>
                <w:sz w:val="22"/>
                <w:szCs w:val="22"/>
              </w:rPr>
              <w:fldChar w:fldCharType="end"/>
            </w:r>
          </w:hyperlink>
        </w:p>
        <w:p w14:paraId="5F407227" w14:textId="5A9075A7" w:rsidR="00B72356" w:rsidRPr="00B72356" w:rsidRDefault="002A7F4B" w:rsidP="00B72356">
          <w:pPr>
            <w:pStyle w:val="TOC2"/>
            <w:tabs>
              <w:tab w:val="right" w:leader="dot" w:pos="9350"/>
            </w:tabs>
            <w:spacing w:line="240" w:lineRule="auto"/>
            <w:rPr>
              <w:rFonts w:ascii="Arial" w:hAnsi="Arial" w:cs="Arial"/>
              <w:noProof/>
              <w:sz w:val="22"/>
              <w:szCs w:val="22"/>
            </w:rPr>
          </w:pPr>
          <w:hyperlink w:anchor="_Toc227183418" w:history="1">
            <w:r w:rsidR="00B72356" w:rsidRPr="00B72356">
              <w:rPr>
                <w:rStyle w:val="Hyperlink"/>
                <w:rFonts w:ascii="Arial" w:eastAsia="Arial" w:hAnsi="Arial" w:cs="Arial"/>
                <w:noProof/>
                <w:sz w:val="22"/>
                <w:szCs w:val="22"/>
              </w:rPr>
              <w:t>4.2 Group Members’ Roles and Responsibilities</w:t>
            </w:r>
            <w:r w:rsidR="00B72356" w:rsidRPr="00B72356">
              <w:rPr>
                <w:rFonts w:ascii="Arial" w:hAnsi="Arial" w:cs="Arial"/>
                <w:noProof/>
                <w:webHidden/>
                <w:sz w:val="22"/>
                <w:szCs w:val="22"/>
              </w:rPr>
              <w:tab/>
            </w:r>
            <w:r w:rsidR="00B72356" w:rsidRPr="00B72356">
              <w:rPr>
                <w:rFonts w:ascii="Arial" w:hAnsi="Arial" w:cs="Arial"/>
                <w:noProof/>
                <w:webHidden/>
                <w:sz w:val="22"/>
                <w:szCs w:val="22"/>
              </w:rPr>
              <w:fldChar w:fldCharType="begin"/>
            </w:r>
            <w:r w:rsidR="00B72356" w:rsidRPr="00B72356">
              <w:rPr>
                <w:rFonts w:ascii="Arial" w:hAnsi="Arial" w:cs="Arial"/>
                <w:noProof/>
                <w:webHidden/>
                <w:sz w:val="22"/>
                <w:szCs w:val="22"/>
              </w:rPr>
              <w:instrText xml:space="preserve"> PAGEREF _Toc227183418 \h </w:instrText>
            </w:r>
            <w:r w:rsidR="00B72356" w:rsidRPr="00B72356">
              <w:rPr>
                <w:rFonts w:ascii="Arial" w:hAnsi="Arial" w:cs="Arial"/>
                <w:noProof/>
                <w:webHidden/>
                <w:sz w:val="22"/>
                <w:szCs w:val="22"/>
              </w:rPr>
            </w:r>
            <w:r w:rsidR="00B72356" w:rsidRPr="00B72356">
              <w:rPr>
                <w:rFonts w:ascii="Arial" w:hAnsi="Arial" w:cs="Arial"/>
                <w:noProof/>
                <w:webHidden/>
                <w:sz w:val="22"/>
                <w:szCs w:val="22"/>
              </w:rPr>
              <w:fldChar w:fldCharType="separate"/>
            </w:r>
            <w:r w:rsidR="00186D84">
              <w:rPr>
                <w:rFonts w:ascii="Arial" w:hAnsi="Arial" w:cs="Arial"/>
                <w:noProof/>
                <w:webHidden/>
                <w:sz w:val="22"/>
                <w:szCs w:val="22"/>
              </w:rPr>
              <w:t>8</w:t>
            </w:r>
            <w:r w:rsidR="00B72356" w:rsidRPr="00B72356">
              <w:rPr>
                <w:rFonts w:ascii="Arial" w:hAnsi="Arial" w:cs="Arial"/>
                <w:noProof/>
                <w:webHidden/>
                <w:sz w:val="22"/>
                <w:szCs w:val="22"/>
              </w:rPr>
              <w:fldChar w:fldCharType="end"/>
            </w:r>
          </w:hyperlink>
        </w:p>
        <w:p w14:paraId="4668345C" w14:textId="6E40652A" w:rsidR="00B72356" w:rsidRPr="00B72356" w:rsidRDefault="002A7F4B" w:rsidP="00B72356">
          <w:pPr>
            <w:pStyle w:val="TOC1"/>
            <w:tabs>
              <w:tab w:val="right" w:leader="dot" w:pos="9350"/>
            </w:tabs>
            <w:spacing w:line="240" w:lineRule="auto"/>
            <w:rPr>
              <w:rFonts w:ascii="Arial" w:hAnsi="Arial" w:cs="Arial"/>
              <w:noProof/>
              <w:sz w:val="22"/>
              <w:szCs w:val="22"/>
            </w:rPr>
          </w:pPr>
          <w:hyperlink w:anchor="_Toc227183419" w:history="1">
            <w:r w:rsidR="00B72356" w:rsidRPr="00B72356">
              <w:rPr>
                <w:rStyle w:val="Hyperlink"/>
                <w:rFonts w:ascii="Arial" w:eastAsia="Arial" w:hAnsi="Arial" w:cs="Arial"/>
                <w:noProof/>
                <w:sz w:val="22"/>
                <w:szCs w:val="22"/>
              </w:rPr>
              <w:t>5. Product</w:t>
            </w:r>
            <w:r w:rsidR="00B72356" w:rsidRPr="00B72356">
              <w:rPr>
                <w:rFonts w:ascii="Arial" w:hAnsi="Arial" w:cs="Arial"/>
                <w:noProof/>
                <w:webHidden/>
                <w:sz w:val="22"/>
                <w:szCs w:val="22"/>
              </w:rPr>
              <w:tab/>
            </w:r>
            <w:r w:rsidR="00B72356" w:rsidRPr="00B72356">
              <w:rPr>
                <w:rFonts w:ascii="Arial" w:hAnsi="Arial" w:cs="Arial"/>
                <w:noProof/>
                <w:webHidden/>
                <w:sz w:val="22"/>
                <w:szCs w:val="22"/>
              </w:rPr>
              <w:fldChar w:fldCharType="begin"/>
            </w:r>
            <w:r w:rsidR="00B72356" w:rsidRPr="00B72356">
              <w:rPr>
                <w:rFonts w:ascii="Arial" w:hAnsi="Arial" w:cs="Arial"/>
                <w:noProof/>
                <w:webHidden/>
                <w:sz w:val="22"/>
                <w:szCs w:val="22"/>
              </w:rPr>
              <w:instrText xml:space="preserve"> PAGEREF _Toc227183419 \h </w:instrText>
            </w:r>
            <w:r w:rsidR="00B72356" w:rsidRPr="00B72356">
              <w:rPr>
                <w:rFonts w:ascii="Arial" w:hAnsi="Arial" w:cs="Arial"/>
                <w:noProof/>
                <w:webHidden/>
                <w:sz w:val="22"/>
                <w:szCs w:val="22"/>
              </w:rPr>
            </w:r>
            <w:r w:rsidR="00B72356" w:rsidRPr="00B72356">
              <w:rPr>
                <w:rFonts w:ascii="Arial" w:hAnsi="Arial" w:cs="Arial"/>
                <w:noProof/>
                <w:webHidden/>
                <w:sz w:val="22"/>
                <w:szCs w:val="22"/>
              </w:rPr>
              <w:fldChar w:fldCharType="separate"/>
            </w:r>
            <w:r w:rsidR="00186D84">
              <w:rPr>
                <w:rFonts w:ascii="Arial" w:hAnsi="Arial" w:cs="Arial"/>
                <w:noProof/>
                <w:webHidden/>
                <w:sz w:val="22"/>
                <w:szCs w:val="22"/>
              </w:rPr>
              <w:t>8</w:t>
            </w:r>
            <w:r w:rsidR="00B72356" w:rsidRPr="00B72356">
              <w:rPr>
                <w:rFonts w:ascii="Arial" w:hAnsi="Arial" w:cs="Arial"/>
                <w:noProof/>
                <w:webHidden/>
                <w:sz w:val="22"/>
                <w:szCs w:val="22"/>
              </w:rPr>
              <w:fldChar w:fldCharType="end"/>
            </w:r>
          </w:hyperlink>
        </w:p>
        <w:p w14:paraId="26AD805F" w14:textId="6C85A92B" w:rsidR="00B72356" w:rsidRPr="00B72356" w:rsidRDefault="002A7F4B" w:rsidP="00B72356">
          <w:pPr>
            <w:pStyle w:val="TOC2"/>
            <w:tabs>
              <w:tab w:val="right" w:leader="dot" w:pos="9350"/>
            </w:tabs>
            <w:spacing w:line="240" w:lineRule="auto"/>
            <w:rPr>
              <w:rFonts w:ascii="Arial" w:hAnsi="Arial" w:cs="Arial"/>
              <w:noProof/>
              <w:sz w:val="22"/>
              <w:szCs w:val="22"/>
            </w:rPr>
          </w:pPr>
          <w:hyperlink w:anchor="_Toc227183420" w:history="1">
            <w:r w:rsidR="00B72356" w:rsidRPr="00B72356">
              <w:rPr>
                <w:rStyle w:val="Hyperlink"/>
                <w:rFonts w:ascii="Arial" w:eastAsia="Arial" w:hAnsi="Arial" w:cs="Arial"/>
                <w:noProof/>
                <w:sz w:val="22"/>
                <w:szCs w:val="22"/>
              </w:rPr>
              <w:t>5.1 Identifying Whether Our Group Activity Was Successful</w:t>
            </w:r>
            <w:r w:rsidR="00B72356" w:rsidRPr="00B72356">
              <w:rPr>
                <w:rFonts w:ascii="Arial" w:hAnsi="Arial" w:cs="Arial"/>
                <w:noProof/>
                <w:webHidden/>
                <w:sz w:val="22"/>
                <w:szCs w:val="22"/>
              </w:rPr>
              <w:tab/>
            </w:r>
            <w:r w:rsidR="00B72356" w:rsidRPr="00B72356">
              <w:rPr>
                <w:rFonts w:ascii="Arial" w:hAnsi="Arial" w:cs="Arial"/>
                <w:noProof/>
                <w:webHidden/>
                <w:sz w:val="22"/>
                <w:szCs w:val="22"/>
              </w:rPr>
              <w:fldChar w:fldCharType="begin"/>
            </w:r>
            <w:r w:rsidR="00B72356" w:rsidRPr="00B72356">
              <w:rPr>
                <w:rFonts w:ascii="Arial" w:hAnsi="Arial" w:cs="Arial"/>
                <w:noProof/>
                <w:webHidden/>
                <w:sz w:val="22"/>
                <w:szCs w:val="22"/>
              </w:rPr>
              <w:instrText xml:space="preserve"> PAGEREF _Toc227183420 \h </w:instrText>
            </w:r>
            <w:r w:rsidR="00B72356" w:rsidRPr="00B72356">
              <w:rPr>
                <w:rFonts w:ascii="Arial" w:hAnsi="Arial" w:cs="Arial"/>
                <w:noProof/>
                <w:webHidden/>
                <w:sz w:val="22"/>
                <w:szCs w:val="22"/>
              </w:rPr>
            </w:r>
            <w:r w:rsidR="00B72356" w:rsidRPr="00B72356">
              <w:rPr>
                <w:rFonts w:ascii="Arial" w:hAnsi="Arial" w:cs="Arial"/>
                <w:noProof/>
                <w:webHidden/>
                <w:sz w:val="22"/>
                <w:szCs w:val="22"/>
              </w:rPr>
              <w:fldChar w:fldCharType="separate"/>
            </w:r>
            <w:r w:rsidR="00186D84">
              <w:rPr>
                <w:rFonts w:ascii="Arial" w:hAnsi="Arial" w:cs="Arial"/>
                <w:noProof/>
                <w:webHidden/>
                <w:sz w:val="22"/>
                <w:szCs w:val="22"/>
              </w:rPr>
              <w:t>8</w:t>
            </w:r>
            <w:r w:rsidR="00B72356" w:rsidRPr="00B72356">
              <w:rPr>
                <w:rFonts w:ascii="Arial" w:hAnsi="Arial" w:cs="Arial"/>
                <w:noProof/>
                <w:webHidden/>
                <w:sz w:val="22"/>
                <w:szCs w:val="22"/>
              </w:rPr>
              <w:fldChar w:fldCharType="end"/>
            </w:r>
          </w:hyperlink>
        </w:p>
        <w:p w14:paraId="692272E8" w14:textId="3CA88001" w:rsidR="00B72356" w:rsidRPr="00B72356" w:rsidRDefault="002A7F4B" w:rsidP="00B72356">
          <w:pPr>
            <w:pStyle w:val="TOC2"/>
            <w:tabs>
              <w:tab w:val="right" w:leader="dot" w:pos="9350"/>
            </w:tabs>
            <w:spacing w:line="240" w:lineRule="auto"/>
            <w:rPr>
              <w:rFonts w:ascii="Arial" w:hAnsi="Arial" w:cs="Arial"/>
              <w:noProof/>
              <w:sz w:val="22"/>
              <w:szCs w:val="22"/>
            </w:rPr>
          </w:pPr>
          <w:hyperlink w:anchor="_Toc227183421" w:history="1">
            <w:r w:rsidR="00B72356" w:rsidRPr="00B72356">
              <w:rPr>
                <w:rStyle w:val="Hyperlink"/>
                <w:rFonts w:ascii="Arial" w:eastAsia="Arial" w:hAnsi="Arial" w:cs="Arial"/>
                <w:noProof/>
                <w:sz w:val="22"/>
                <w:szCs w:val="22"/>
              </w:rPr>
              <w:t>5.2 Identification of Relevant Competencies and Skills for HSC Professionals and Steps for Growth</w:t>
            </w:r>
            <w:r w:rsidR="00B72356" w:rsidRPr="00B72356">
              <w:rPr>
                <w:rFonts w:ascii="Arial" w:hAnsi="Arial" w:cs="Arial"/>
                <w:noProof/>
                <w:webHidden/>
                <w:sz w:val="22"/>
                <w:szCs w:val="22"/>
              </w:rPr>
              <w:tab/>
            </w:r>
            <w:r w:rsidR="00B72356" w:rsidRPr="00B72356">
              <w:rPr>
                <w:rFonts w:ascii="Arial" w:hAnsi="Arial" w:cs="Arial"/>
                <w:noProof/>
                <w:webHidden/>
                <w:sz w:val="22"/>
                <w:szCs w:val="22"/>
              </w:rPr>
              <w:fldChar w:fldCharType="begin"/>
            </w:r>
            <w:r w:rsidR="00B72356" w:rsidRPr="00B72356">
              <w:rPr>
                <w:rFonts w:ascii="Arial" w:hAnsi="Arial" w:cs="Arial"/>
                <w:noProof/>
                <w:webHidden/>
                <w:sz w:val="22"/>
                <w:szCs w:val="22"/>
              </w:rPr>
              <w:instrText xml:space="preserve"> PAGEREF _Toc227183421 \h </w:instrText>
            </w:r>
            <w:r w:rsidR="00B72356" w:rsidRPr="00B72356">
              <w:rPr>
                <w:rFonts w:ascii="Arial" w:hAnsi="Arial" w:cs="Arial"/>
                <w:noProof/>
                <w:webHidden/>
                <w:sz w:val="22"/>
                <w:szCs w:val="22"/>
              </w:rPr>
            </w:r>
            <w:r w:rsidR="00B72356" w:rsidRPr="00B72356">
              <w:rPr>
                <w:rFonts w:ascii="Arial" w:hAnsi="Arial" w:cs="Arial"/>
                <w:noProof/>
                <w:webHidden/>
                <w:sz w:val="22"/>
                <w:szCs w:val="22"/>
              </w:rPr>
              <w:fldChar w:fldCharType="separate"/>
            </w:r>
            <w:r w:rsidR="00186D84">
              <w:rPr>
                <w:rFonts w:ascii="Arial" w:hAnsi="Arial" w:cs="Arial"/>
                <w:noProof/>
                <w:webHidden/>
                <w:sz w:val="22"/>
                <w:szCs w:val="22"/>
              </w:rPr>
              <w:t>9</w:t>
            </w:r>
            <w:r w:rsidR="00B72356" w:rsidRPr="00B72356">
              <w:rPr>
                <w:rFonts w:ascii="Arial" w:hAnsi="Arial" w:cs="Arial"/>
                <w:noProof/>
                <w:webHidden/>
                <w:sz w:val="22"/>
                <w:szCs w:val="22"/>
              </w:rPr>
              <w:fldChar w:fldCharType="end"/>
            </w:r>
          </w:hyperlink>
        </w:p>
        <w:p w14:paraId="699F2989" w14:textId="4B94A7A5" w:rsidR="00B72356" w:rsidRPr="00B72356" w:rsidRDefault="002A7F4B" w:rsidP="00B72356">
          <w:pPr>
            <w:pStyle w:val="TOC1"/>
            <w:tabs>
              <w:tab w:val="right" w:leader="dot" w:pos="9350"/>
            </w:tabs>
            <w:spacing w:line="240" w:lineRule="auto"/>
            <w:rPr>
              <w:rFonts w:ascii="Arial" w:hAnsi="Arial" w:cs="Arial"/>
              <w:noProof/>
              <w:sz w:val="22"/>
              <w:szCs w:val="22"/>
            </w:rPr>
          </w:pPr>
          <w:hyperlink w:anchor="_Toc227183422" w:history="1">
            <w:r w:rsidR="00B72356" w:rsidRPr="00B72356">
              <w:rPr>
                <w:rStyle w:val="Hyperlink"/>
                <w:rFonts w:ascii="Arial" w:eastAsia="Arial" w:hAnsi="Arial" w:cs="Arial"/>
                <w:noProof/>
                <w:sz w:val="22"/>
                <w:szCs w:val="22"/>
              </w:rPr>
              <w:t>6. Conclusion</w:t>
            </w:r>
            <w:r w:rsidR="00B72356" w:rsidRPr="00B72356">
              <w:rPr>
                <w:rFonts w:ascii="Arial" w:hAnsi="Arial" w:cs="Arial"/>
                <w:noProof/>
                <w:webHidden/>
                <w:sz w:val="22"/>
                <w:szCs w:val="22"/>
              </w:rPr>
              <w:tab/>
            </w:r>
            <w:r w:rsidR="00B72356" w:rsidRPr="00B72356">
              <w:rPr>
                <w:rFonts w:ascii="Arial" w:hAnsi="Arial" w:cs="Arial"/>
                <w:noProof/>
                <w:webHidden/>
                <w:sz w:val="22"/>
                <w:szCs w:val="22"/>
              </w:rPr>
              <w:fldChar w:fldCharType="begin"/>
            </w:r>
            <w:r w:rsidR="00B72356" w:rsidRPr="00B72356">
              <w:rPr>
                <w:rFonts w:ascii="Arial" w:hAnsi="Arial" w:cs="Arial"/>
                <w:noProof/>
                <w:webHidden/>
                <w:sz w:val="22"/>
                <w:szCs w:val="22"/>
              </w:rPr>
              <w:instrText xml:space="preserve"> PAGEREF _Toc227183422 \h </w:instrText>
            </w:r>
            <w:r w:rsidR="00B72356" w:rsidRPr="00B72356">
              <w:rPr>
                <w:rFonts w:ascii="Arial" w:hAnsi="Arial" w:cs="Arial"/>
                <w:noProof/>
                <w:webHidden/>
                <w:sz w:val="22"/>
                <w:szCs w:val="22"/>
              </w:rPr>
            </w:r>
            <w:r w:rsidR="00B72356" w:rsidRPr="00B72356">
              <w:rPr>
                <w:rFonts w:ascii="Arial" w:hAnsi="Arial" w:cs="Arial"/>
                <w:noProof/>
                <w:webHidden/>
                <w:sz w:val="22"/>
                <w:szCs w:val="22"/>
              </w:rPr>
              <w:fldChar w:fldCharType="separate"/>
            </w:r>
            <w:r w:rsidR="00186D84">
              <w:rPr>
                <w:rFonts w:ascii="Arial" w:hAnsi="Arial" w:cs="Arial"/>
                <w:noProof/>
                <w:webHidden/>
                <w:sz w:val="22"/>
                <w:szCs w:val="22"/>
              </w:rPr>
              <w:t>9</w:t>
            </w:r>
            <w:r w:rsidR="00B72356" w:rsidRPr="00B72356">
              <w:rPr>
                <w:rFonts w:ascii="Arial" w:hAnsi="Arial" w:cs="Arial"/>
                <w:noProof/>
                <w:webHidden/>
                <w:sz w:val="22"/>
                <w:szCs w:val="22"/>
              </w:rPr>
              <w:fldChar w:fldCharType="end"/>
            </w:r>
          </w:hyperlink>
        </w:p>
        <w:p w14:paraId="1A096542" w14:textId="2517E08A" w:rsidR="00B72356" w:rsidRPr="00B72356" w:rsidRDefault="002A7F4B" w:rsidP="00B72356">
          <w:pPr>
            <w:pStyle w:val="TOC1"/>
            <w:tabs>
              <w:tab w:val="right" w:leader="dot" w:pos="9350"/>
            </w:tabs>
            <w:spacing w:line="240" w:lineRule="auto"/>
            <w:rPr>
              <w:rFonts w:ascii="Arial" w:hAnsi="Arial" w:cs="Arial"/>
              <w:noProof/>
              <w:sz w:val="22"/>
              <w:szCs w:val="22"/>
            </w:rPr>
          </w:pPr>
          <w:hyperlink w:anchor="_Toc227183423" w:history="1">
            <w:r w:rsidR="00B72356" w:rsidRPr="00B72356">
              <w:rPr>
                <w:rStyle w:val="Hyperlink"/>
                <w:rFonts w:ascii="Arial" w:eastAsia="Arial" w:hAnsi="Arial" w:cs="Arial"/>
                <w:noProof/>
                <w:sz w:val="22"/>
                <w:szCs w:val="22"/>
              </w:rPr>
              <w:t>References</w:t>
            </w:r>
            <w:r w:rsidR="00B72356" w:rsidRPr="00B72356">
              <w:rPr>
                <w:rFonts w:ascii="Arial" w:hAnsi="Arial" w:cs="Arial"/>
                <w:noProof/>
                <w:webHidden/>
                <w:sz w:val="22"/>
                <w:szCs w:val="22"/>
              </w:rPr>
              <w:tab/>
            </w:r>
            <w:r w:rsidR="00B72356" w:rsidRPr="00B72356">
              <w:rPr>
                <w:rFonts w:ascii="Arial" w:hAnsi="Arial" w:cs="Arial"/>
                <w:noProof/>
                <w:webHidden/>
                <w:sz w:val="22"/>
                <w:szCs w:val="22"/>
              </w:rPr>
              <w:fldChar w:fldCharType="begin"/>
            </w:r>
            <w:r w:rsidR="00B72356" w:rsidRPr="00B72356">
              <w:rPr>
                <w:rFonts w:ascii="Arial" w:hAnsi="Arial" w:cs="Arial"/>
                <w:noProof/>
                <w:webHidden/>
                <w:sz w:val="22"/>
                <w:szCs w:val="22"/>
              </w:rPr>
              <w:instrText xml:space="preserve"> PAGEREF _Toc227183423 \h </w:instrText>
            </w:r>
            <w:r w:rsidR="00B72356" w:rsidRPr="00B72356">
              <w:rPr>
                <w:rFonts w:ascii="Arial" w:hAnsi="Arial" w:cs="Arial"/>
                <w:noProof/>
                <w:webHidden/>
                <w:sz w:val="22"/>
                <w:szCs w:val="22"/>
              </w:rPr>
            </w:r>
            <w:r w:rsidR="00B72356" w:rsidRPr="00B72356">
              <w:rPr>
                <w:rFonts w:ascii="Arial" w:hAnsi="Arial" w:cs="Arial"/>
                <w:noProof/>
                <w:webHidden/>
                <w:sz w:val="22"/>
                <w:szCs w:val="22"/>
              </w:rPr>
              <w:fldChar w:fldCharType="separate"/>
            </w:r>
            <w:r w:rsidR="00186D84">
              <w:rPr>
                <w:rFonts w:ascii="Arial" w:hAnsi="Arial" w:cs="Arial"/>
                <w:noProof/>
                <w:webHidden/>
                <w:sz w:val="22"/>
                <w:szCs w:val="22"/>
              </w:rPr>
              <w:t>10</w:t>
            </w:r>
            <w:r w:rsidR="00B72356" w:rsidRPr="00B72356">
              <w:rPr>
                <w:rFonts w:ascii="Arial" w:hAnsi="Arial" w:cs="Arial"/>
                <w:noProof/>
                <w:webHidden/>
                <w:sz w:val="22"/>
                <w:szCs w:val="22"/>
              </w:rPr>
              <w:fldChar w:fldCharType="end"/>
            </w:r>
          </w:hyperlink>
        </w:p>
        <w:p w14:paraId="19B999A8" w14:textId="757E4B72" w:rsidR="008A00DB" w:rsidRDefault="008A00DB" w:rsidP="00B72356">
          <w:pPr>
            <w:widowControl w:val="0"/>
            <w:tabs>
              <w:tab w:val="right" w:leader="dot" w:pos="9360"/>
            </w:tabs>
            <w:spacing w:before="60" w:after="0" w:line="240" w:lineRule="auto"/>
            <w:rPr>
              <w:b/>
              <w:bCs/>
              <w:color w:val="000000"/>
            </w:rPr>
          </w:pPr>
          <w:r w:rsidRPr="00B72356">
            <w:rPr>
              <w:rFonts w:ascii="Arial" w:hAnsi="Arial" w:cs="Arial"/>
              <w:sz w:val="22"/>
              <w:szCs w:val="22"/>
            </w:rPr>
            <w:fldChar w:fldCharType="end"/>
          </w:r>
        </w:p>
      </w:sdtContent>
    </w:sdt>
    <w:p w14:paraId="00488C24" w14:textId="77777777" w:rsidR="008A00DB" w:rsidRDefault="008A00DB" w:rsidP="008A00DB">
      <w:pPr>
        <w:spacing w:before="120" w:after="120" w:line="360" w:lineRule="auto"/>
        <w:jc w:val="center"/>
        <w:rPr>
          <w:rFonts w:ascii="Arial" w:eastAsia="Arial" w:hAnsi="Arial" w:cs="Arial"/>
          <w:sz w:val="22"/>
          <w:szCs w:val="22"/>
        </w:rPr>
      </w:pPr>
      <w:r>
        <w:br w:type="page"/>
      </w:r>
    </w:p>
    <w:p w14:paraId="7A34E6D7" w14:textId="77777777" w:rsidR="008A00DB" w:rsidRPr="00B66B63" w:rsidRDefault="008A00DB" w:rsidP="008A00DB">
      <w:pPr>
        <w:pStyle w:val="Heading1"/>
        <w:spacing w:before="120" w:after="120" w:line="360" w:lineRule="auto"/>
        <w:jc w:val="both"/>
        <w:rPr>
          <w:rFonts w:ascii="Arial" w:eastAsia="Arial" w:hAnsi="Arial" w:cs="Arial"/>
          <w:color w:val="000000" w:themeColor="text1"/>
          <w:sz w:val="22"/>
          <w:szCs w:val="22"/>
        </w:rPr>
      </w:pPr>
      <w:bookmarkStart w:id="1" w:name="_Toc227183405"/>
      <w:r>
        <w:rPr>
          <w:rFonts w:ascii="Arial" w:eastAsia="Arial" w:hAnsi="Arial" w:cs="Arial"/>
          <w:sz w:val="22"/>
          <w:szCs w:val="22"/>
        </w:rPr>
        <w:lastRenderedPageBreak/>
        <w:t>1</w:t>
      </w:r>
      <w:r w:rsidRPr="00B66B63">
        <w:rPr>
          <w:rFonts w:ascii="Arial" w:eastAsia="Arial" w:hAnsi="Arial" w:cs="Arial"/>
          <w:color w:val="000000" w:themeColor="text1"/>
          <w:sz w:val="22"/>
          <w:szCs w:val="22"/>
        </w:rPr>
        <w:t>. Introduction</w:t>
      </w:r>
      <w:bookmarkEnd w:id="1"/>
    </w:p>
    <w:p w14:paraId="5A88B4ED" w14:textId="74228341" w:rsidR="008A00DB" w:rsidRPr="00B66B63" w:rsidRDefault="008A00DB" w:rsidP="008A00DB">
      <w:pPr>
        <w:spacing w:before="120" w:after="120" w:line="360" w:lineRule="auto"/>
        <w:jc w:val="both"/>
        <w:rPr>
          <w:rFonts w:ascii="Arial" w:eastAsia="Arial" w:hAnsi="Arial" w:cs="Arial"/>
          <w:color w:val="000000" w:themeColor="text1"/>
          <w:sz w:val="22"/>
          <w:szCs w:val="22"/>
        </w:rPr>
      </w:pPr>
      <w:r w:rsidRPr="00B66B63">
        <w:rPr>
          <w:rFonts w:ascii="Arial" w:eastAsia="Arial" w:hAnsi="Arial" w:cs="Arial"/>
          <w:color w:val="000000" w:themeColor="text1"/>
          <w:sz w:val="22"/>
          <w:szCs w:val="22"/>
        </w:rPr>
        <w:t>Integrated services are known for being particularly relevant for service users with multiple and complex needs who require a range of social services typically provided by more than one agency (OECD, 2024). Partnership working is known as the skill of juggling information and priorities, which helps to get the best match of service delivery with health needs across sectors. However, it requires excellent leadership and different approaches to working at all levels (Health Knowledge, 2010).</w:t>
      </w:r>
      <w:r w:rsidR="00FD463F" w:rsidRPr="00B66B63">
        <w:rPr>
          <w:rFonts w:ascii="Arial" w:eastAsia="Arial" w:hAnsi="Arial" w:cs="Arial"/>
          <w:color w:val="000000" w:themeColor="text1"/>
          <w:sz w:val="22"/>
          <w:szCs w:val="22"/>
        </w:rPr>
        <w:t xml:space="preserve"> Through my learning, I have come to understand that effective service integration is essential in addressing complex and interrelated needs such as substance misuse, homelessness, and mental health.</w:t>
      </w:r>
      <w:r w:rsidRPr="00B66B63">
        <w:rPr>
          <w:rFonts w:ascii="Arial" w:eastAsia="Arial" w:hAnsi="Arial" w:cs="Arial"/>
          <w:color w:val="000000" w:themeColor="text1"/>
          <w:sz w:val="22"/>
          <w:szCs w:val="22"/>
        </w:rPr>
        <w:t xml:space="preserve"> This report will </w:t>
      </w:r>
      <w:r w:rsidR="00D93233">
        <w:rPr>
          <w:rFonts w:ascii="Arial" w:eastAsia="Arial" w:hAnsi="Arial" w:cs="Arial"/>
          <w:color w:val="000000" w:themeColor="text1"/>
          <w:sz w:val="22"/>
          <w:szCs w:val="22"/>
        </w:rPr>
        <w:t xml:space="preserve">reflect </w:t>
      </w:r>
      <w:r w:rsidRPr="00B66B63">
        <w:rPr>
          <w:rFonts w:ascii="Arial" w:eastAsia="Arial" w:hAnsi="Arial" w:cs="Arial"/>
          <w:color w:val="000000" w:themeColor="text1"/>
          <w:sz w:val="22"/>
          <w:szCs w:val="22"/>
        </w:rPr>
        <w:t>on</w:t>
      </w:r>
      <w:r w:rsidR="00D93233">
        <w:rPr>
          <w:rFonts w:ascii="Arial" w:eastAsia="Arial" w:hAnsi="Arial" w:cs="Arial"/>
          <w:color w:val="000000" w:themeColor="text1"/>
          <w:sz w:val="22"/>
          <w:szCs w:val="22"/>
        </w:rPr>
        <w:t xml:space="preserve"> my</w:t>
      </w:r>
      <w:r w:rsidRPr="00B66B63">
        <w:rPr>
          <w:rFonts w:ascii="Arial" w:eastAsia="Arial" w:hAnsi="Arial" w:cs="Arial"/>
          <w:color w:val="000000" w:themeColor="text1"/>
          <w:sz w:val="22"/>
          <w:szCs w:val="22"/>
        </w:rPr>
        <w:t xml:space="preserve"> learning from a group project in order to develop an integrated delivery plan addressing drugs, along with alcohol misuse in Westminster. The report will further </w:t>
      </w:r>
      <w:r w:rsidR="00D93233">
        <w:rPr>
          <w:rFonts w:ascii="Arial" w:eastAsia="Arial" w:hAnsi="Arial" w:cs="Arial"/>
          <w:color w:val="000000" w:themeColor="text1"/>
          <w:sz w:val="22"/>
          <w:szCs w:val="22"/>
        </w:rPr>
        <w:t xml:space="preserve">reflect on my learning about </w:t>
      </w:r>
      <w:r w:rsidRPr="00B66B63">
        <w:rPr>
          <w:rFonts w:ascii="Arial" w:eastAsia="Arial" w:hAnsi="Arial" w:cs="Arial"/>
          <w:color w:val="000000" w:themeColor="text1"/>
          <w:sz w:val="22"/>
          <w:szCs w:val="22"/>
        </w:rPr>
        <w:t>the group processes, evidence-based application to practice, and the role of core frameworks, such as Integrated Care Systems, person-centred care, along with the Logic Model.</w:t>
      </w:r>
    </w:p>
    <w:p w14:paraId="4991C2D6" w14:textId="77777777" w:rsidR="008A00DB" w:rsidRPr="00B66B63" w:rsidRDefault="008A00DB" w:rsidP="008A00DB">
      <w:pPr>
        <w:pStyle w:val="Heading1"/>
        <w:spacing w:before="120" w:after="120" w:line="360" w:lineRule="auto"/>
        <w:jc w:val="both"/>
        <w:rPr>
          <w:rFonts w:ascii="Arial" w:eastAsia="Arial" w:hAnsi="Arial" w:cs="Arial"/>
          <w:color w:val="000000" w:themeColor="text1"/>
          <w:sz w:val="22"/>
          <w:szCs w:val="22"/>
        </w:rPr>
      </w:pPr>
      <w:bookmarkStart w:id="2" w:name="_Toc227183406"/>
      <w:r w:rsidRPr="00B66B63">
        <w:rPr>
          <w:rFonts w:ascii="Arial" w:eastAsia="Arial" w:hAnsi="Arial" w:cs="Arial"/>
          <w:color w:val="000000" w:themeColor="text1"/>
          <w:sz w:val="22"/>
          <w:szCs w:val="22"/>
        </w:rPr>
        <w:t>2. Context</w:t>
      </w:r>
      <w:bookmarkEnd w:id="2"/>
    </w:p>
    <w:p w14:paraId="77EC644E" w14:textId="77777777" w:rsidR="008A00DB" w:rsidRPr="00B66B63" w:rsidRDefault="008A00DB" w:rsidP="008A00DB">
      <w:pPr>
        <w:pStyle w:val="Heading2"/>
        <w:spacing w:before="120" w:after="120" w:line="360" w:lineRule="auto"/>
        <w:jc w:val="both"/>
        <w:rPr>
          <w:rFonts w:ascii="Arial" w:eastAsia="Arial" w:hAnsi="Arial" w:cs="Arial"/>
          <w:color w:val="000000" w:themeColor="text1"/>
          <w:sz w:val="22"/>
          <w:szCs w:val="22"/>
        </w:rPr>
      </w:pPr>
      <w:bookmarkStart w:id="3" w:name="_Toc227183407"/>
      <w:r w:rsidRPr="00B66B63">
        <w:rPr>
          <w:rFonts w:ascii="Arial" w:eastAsia="Arial" w:hAnsi="Arial" w:cs="Arial"/>
          <w:color w:val="000000" w:themeColor="text1"/>
          <w:sz w:val="22"/>
          <w:szCs w:val="22"/>
        </w:rPr>
        <w:t>2.1 Identification of Needs of the Target Vulnerable Population</w:t>
      </w:r>
      <w:bookmarkEnd w:id="3"/>
    </w:p>
    <w:p w14:paraId="42D0F900" w14:textId="2434943F" w:rsidR="008A00DB" w:rsidRPr="00B66B63" w:rsidRDefault="00D93233" w:rsidP="008A00DB">
      <w:pPr>
        <w:spacing w:before="120" w:after="120" w:line="360" w:lineRule="auto"/>
        <w:jc w:val="both"/>
        <w:rPr>
          <w:rFonts w:ascii="Arial" w:eastAsia="Arial" w:hAnsi="Arial" w:cs="Arial"/>
          <w:color w:val="000000" w:themeColor="text1"/>
          <w:sz w:val="22"/>
          <w:szCs w:val="22"/>
        </w:rPr>
      </w:pPr>
      <w:r>
        <w:rPr>
          <w:rFonts w:ascii="Arial" w:eastAsia="Arial" w:hAnsi="Arial" w:cs="Arial"/>
          <w:color w:val="000000" w:themeColor="text1"/>
          <w:sz w:val="22"/>
          <w:szCs w:val="22"/>
        </w:rPr>
        <w:t>I have learned that n</w:t>
      </w:r>
      <w:r w:rsidR="008A00DB" w:rsidRPr="00B66B63">
        <w:rPr>
          <w:rFonts w:ascii="Arial" w:eastAsia="Arial" w:hAnsi="Arial" w:cs="Arial"/>
          <w:color w:val="000000" w:themeColor="text1"/>
          <w:sz w:val="22"/>
          <w:szCs w:val="22"/>
        </w:rPr>
        <w:t>early half of Westminster’s MD cohort are known for experiencing substance misuse and homelessness alongside their mental health needs (Government of the UK, 2024). Roughly 14,600 individuals are known to have been struggling with substance misuse, among which 52% are experiencing alcohol abuse and 37%, drugs, and the remaining 11% both. There are also a number of 4,604 people affected by homelessness, along with 23,346 people with poor mental health (Government of the UK, 2024). It is essential</w:t>
      </w:r>
      <w:r>
        <w:rPr>
          <w:rFonts w:ascii="Arial" w:eastAsia="Arial" w:hAnsi="Arial" w:cs="Arial"/>
          <w:color w:val="000000" w:themeColor="text1"/>
          <w:sz w:val="22"/>
          <w:szCs w:val="22"/>
        </w:rPr>
        <w:t xml:space="preserve"> for me</w:t>
      </w:r>
      <w:r w:rsidR="008A00DB" w:rsidRPr="00B66B63">
        <w:rPr>
          <w:rFonts w:ascii="Arial" w:eastAsia="Arial" w:hAnsi="Arial" w:cs="Arial"/>
          <w:color w:val="000000" w:themeColor="text1"/>
          <w:sz w:val="22"/>
          <w:szCs w:val="22"/>
        </w:rPr>
        <w:t xml:space="preserve"> to note that more than 7,500 people are known to have been experiencing two or more disadvantages, while 1,600 are affected by three or more, in addition to 383 people suffering from all four disadvantages (Government of the UK, 2024). On the other hand, around 77% of deaths from 2019 to 2023 are known to have involved alcohol problems, 61% drug dependence, and lastly, 84% from mental health disorders (Government of the UK, 2024).</w:t>
      </w:r>
    </w:p>
    <w:p w14:paraId="65ED47CB" w14:textId="356490A9" w:rsidR="008A00DB" w:rsidRPr="00B66B63" w:rsidRDefault="00D93233" w:rsidP="008A00DB">
      <w:pPr>
        <w:spacing w:before="120" w:after="120" w:line="360" w:lineRule="auto"/>
        <w:jc w:val="both"/>
        <w:rPr>
          <w:rFonts w:ascii="Arial" w:eastAsia="Arial" w:hAnsi="Arial" w:cs="Arial"/>
          <w:color w:val="000000" w:themeColor="text1"/>
          <w:sz w:val="22"/>
          <w:szCs w:val="22"/>
        </w:rPr>
      </w:pPr>
      <w:r>
        <w:rPr>
          <w:rFonts w:ascii="Arial" w:eastAsia="Arial" w:hAnsi="Arial" w:cs="Arial"/>
          <w:color w:val="000000" w:themeColor="text1"/>
          <w:sz w:val="22"/>
          <w:szCs w:val="22"/>
        </w:rPr>
        <w:t>I came to better understand that s</w:t>
      </w:r>
      <w:r w:rsidR="008A00DB" w:rsidRPr="00B66B63">
        <w:rPr>
          <w:rFonts w:ascii="Arial" w:eastAsia="Arial" w:hAnsi="Arial" w:cs="Arial"/>
          <w:color w:val="000000" w:themeColor="text1"/>
          <w:sz w:val="22"/>
          <w:szCs w:val="22"/>
        </w:rPr>
        <w:t xml:space="preserve">uch problems are exacerbated by fragmented pathways. Despite the existence of specialist services, overall engagement is quite poor. This results in individuals often presenting only in crisis, leading to the increasing of hospital admission repetition, along with emergency department strain, and also disconnection on discharge (Joo, 2023). It is also essential to note that dual diagnosis, such as the combination of substance misuse and mental health, is known for frequently resulting in services that reject clients mainly </w:t>
      </w:r>
      <w:r w:rsidR="008A00DB" w:rsidRPr="00B66B63">
        <w:rPr>
          <w:rFonts w:ascii="Arial" w:eastAsia="Arial" w:hAnsi="Arial" w:cs="Arial"/>
          <w:color w:val="000000" w:themeColor="text1"/>
          <w:sz w:val="22"/>
          <w:szCs w:val="22"/>
        </w:rPr>
        <w:lastRenderedPageBreak/>
        <w:t>due to intoxication or complex behaviour (Hegner, 1998). Lastly, the lack of stable housing, along with stigma, and poor continuity between health, social care and housing results in vulnerable adults repeatedly cycling through several crisis interventions without any kind of sustained recovery support (National Guideline Alliance (UK), 2022).</w:t>
      </w:r>
      <w:r w:rsidR="00FD463F" w:rsidRPr="00B66B63">
        <w:rPr>
          <w:rFonts w:ascii="Arial" w:eastAsia="Arial" w:hAnsi="Arial" w:cs="Arial"/>
          <w:color w:val="000000" w:themeColor="text1"/>
          <w:sz w:val="22"/>
          <w:szCs w:val="22"/>
        </w:rPr>
        <w:t xml:space="preserve"> </w:t>
      </w:r>
    </w:p>
    <w:p w14:paraId="5AE82BEF" w14:textId="77777777" w:rsidR="008A00DB" w:rsidRPr="00B66B63" w:rsidRDefault="008A00DB" w:rsidP="008A00DB">
      <w:pPr>
        <w:pStyle w:val="Heading2"/>
        <w:spacing w:before="120" w:after="120" w:line="360" w:lineRule="auto"/>
        <w:jc w:val="both"/>
        <w:rPr>
          <w:rFonts w:ascii="Arial" w:eastAsia="Arial" w:hAnsi="Arial" w:cs="Arial"/>
          <w:color w:val="000000" w:themeColor="text1"/>
          <w:sz w:val="22"/>
          <w:szCs w:val="22"/>
        </w:rPr>
      </w:pPr>
      <w:bookmarkStart w:id="4" w:name="_Toc227183408"/>
      <w:r w:rsidRPr="00B66B63">
        <w:rPr>
          <w:rFonts w:ascii="Arial" w:eastAsia="Arial" w:hAnsi="Arial" w:cs="Arial"/>
          <w:color w:val="000000" w:themeColor="text1"/>
          <w:sz w:val="22"/>
          <w:szCs w:val="22"/>
        </w:rPr>
        <w:t>2.2 Identification of the Opportunities to Address the Needs of the Target Vulnerable Population</w:t>
      </w:r>
      <w:bookmarkEnd w:id="4"/>
    </w:p>
    <w:p w14:paraId="17EA4CF6" w14:textId="674EDD95" w:rsidR="008A00DB" w:rsidRPr="00B66B63" w:rsidRDefault="00D93233" w:rsidP="008A00DB">
      <w:pPr>
        <w:spacing w:before="120" w:after="120" w:line="360" w:lineRule="auto"/>
        <w:jc w:val="both"/>
        <w:rPr>
          <w:rFonts w:ascii="Arial" w:eastAsia="Arial" w:hAnsi="Arial" w:cs="Arial"/>
          <w:color w:val="000000" w:themeColor="text1"/>
          <w:sz w:val="22"/>
          <w:szCs w:val="22"/>
        </w:rPr>
      </w:pPr>
      <w:r>
        <w:rPr>
          <w:rFonts w:ascii="Arial" w:eastAsia="Arial" w:hAnsi="Arial" w:cs="Arial"/>
          <w:color w:val="000000" w:themeColor="text1"/>
          <w:sz w:val="22"/>
          <w:szCs w:val="22"/>
        </w:rPr>
        <w:t>I have expanded my knowledge on that t</w:t>
      </w:r>
      <w:r w:rsidR="008A00DB" w:rsidRPr="00B66B63">
        <w:rPr>
          <w:rFonts w:ascii="Arial" w:eastAsia="Arial" w:hAnsi="Arial" w:cs="Arial"/>
          <w:color w:val="000000" w:themeColor="text1"/>
          <w:sz w:val="22"/>
          <w:szCs w:val="22"/>
        </w:rPr>
        <w:t xml:space="preserve">here are several opportunities that lie in community-based integrated support that move beyond reactive care. In order to improve the overall access for individuals with no fixed address or chaotic lives, assertive outreach, harm-reduction services, along with peer support, in addition to early intervention, are required (Parkes </w:t>
      </w:r>
      <w:r w:rsidR="008A00DB" w:rsidRPr="00B66B63">
        <w:rPr>
          <w:rFonts w:ascii="Arial" w:eastAsia="Arial" w:hAnsi="Arial" w:cs="Arial"/>
          <w:i/>
          <w:iCs/>
          <w:color w:val="000000" w:themeColor="text1"/>
          <w:sz w:val="22"/>
          <w:szCs w:val="22"/>
        </w:rPr>
        <w:t>et al.,</w:t>
      </w:r>
      <w:r w:rsidR="008A00DB" w:rsidRPr="00B66B63">
        <w:rPr>
          <w:rFonts w:ascii="Arial" w:eastAsia="Arial" w:hAnsi="Arial" w:cs="Arial"/>
          <w:color w:val="000000" w:themeColor="text1"/>
          <w:sz w:val="22"/>
          <w:szCs w:val="22"/>
        </w:rPr>
        <w:t xml:space="preserve"> 2022). Multi-agency collaboration is also effective, as it can enable co-located services, shared care pathways, and multidisciplinary teams that are able to address the interconnected determinants of health (Durand </w:t>
      </w:r>
      <w:r w:rsidR="008A00DB" w:rsidRPr="00B66B63">
        <w:rPr>
          <w:rFonts w:ascii="Arial" w:eastAsia="Arial" w:hAnsi="Arial" w:cs="Arial"/>
          <w:i/>
          <w:iCs/>
          <w:color w:val="000000" w:themeColor="text1"/>
          <w:sz w:val="22"/>
          <w:szCs w:val="22"/>
        </w:rPr>
        <w:t>et al.,</w:t>
      </w:r>
      <w:r w:rsidR="008A00DB" w:rsidRPr="00B66B63">
        <w:rPr>
          <w:rFonts w:ascii="Arial" w:eastAsia="Arial" w:hAnsi="Arial" w:cs="Arial"/>
          <w:color w:val="000000" w:themeColor="text1"/>
          <w:sz w:val="22"/>
          <w:szCs w:val="22"/>
        </w:rPr>
        <w:t xml:space="preserve"> 2025). There is also the Triple Aim framework, which is known for providing the goal of optimising the performance of healthcare systems and reducing the costs of medical care. This includes three objectives of improving population health, improving patient experience, along with reducing cost per capita (Health Snap, 2023). It is also essential to note that Housing First models, along with trauma-informed outreach, are also known to have demonstrated success by being able to stabilise accommodation first, then layering health and recovery support (Crisis, 2025).</w:t>
      </w:r>
      <w:r w:rsidR="00FD463F" w:rsidRPr="00B66B63">
        <w:rPr>
          <w:rFonts w:ascii="Arial" w:eastAsia="Arial" w:hAnsi="Arial" w:cs="Arial"/>
          <w:color w:val="000000" w:themeColor="text1"/>
          <w:sz w:val="22"/>
          <w:szCs w:val="22"/>
        </w:rPr>
        <w:t xml:space="preserve"> Through this, I began to appreciate the relationship between integrated care approaches and improved engagement among vulnerable populations, particularly how coordinated interventions can move services from reactive to preventative models.</w:t>
      </w:r>
    </w:p>
    <w:p w14:paraId="12974ABE" w14:textId="77777777" w:rsidR="008A00DB" w:rsidRPr="00B66B63" w:rsidRDefault="008A00DB" w:rsidP="008A00DB">
      <w:pPr>
        <w:pStyle w:val="Heading2"/>
        <w:spacing w:before="120" w:after="120" w:line="360" w:lineRule="auto"/>
        <w:jc w:val="both"/>
        <w:rPr>
          <w:rFonts w:ascii="Arial" w:eastAsia="Arial" w:hAnsi="Arial" w:cs="Arial"/>
          <w:color w:val="000000" w:themeColor="text1"/>
          <w:sz w:val="22"/>
          <w:szCs w:val="22"/>
        </w:rPr>
      </w:pPr>
      <w:bookmarkStart w:id="5" w:name="_Toc227183409"/>
      <w:r w:rsidRPr="00B66B63">
        <w:rPr>
          <w:rFonts w:ascii="Arial" w:eastAsia="Arial" w:hAnsi="Arial" w:cs="Arial"/>
          <w:color w:val="000000" w:themeColor="text1"/>
          <w:sz w:val="22"/>
          <w:szCs w:val="22"/>
        </w:rPr>
        <w:t>2.3 Need for Aims to Response to the Needs of the Vulnerable Population</w:t>
      </w:r>
      <w:bookmarkEnd w:id="5"/>
    </w:p>
    <w:p w14:paraId="511B188A" w14:textId="3659078C" w:rsidR="008A00DB" w:rsidRPr="00B66B63" w:rsidRDefault="008A00DB" w:rsidP="008A00DB">
      <w:pPr>
        <w:spacing w:before="120" w:after="120" w:line="360" w:lineRule="auto"/>
        <w:jc w:val="both"/>
        <w:rPr>
          <w:rFonts w:ascii="Arial" w:eastAsia="Arial" w:hAnsi="Arial" w:cs="Arial"/>
          <w:color w:val="000000" w:themeColor="text1"/>
          <w:sz w:val="22"/>
          <w:szCs w:val="22"/>
        </w:rPr>
      </w:pPr>
      <w:r w:rsidRPr="00B66B63">
        <w:rPr>
          <w:rFonts w:ascii="Arial" w:eastAsia="Arial" w:hAnsi="Arial" w:cs="Arial"/>
          <w:color w:val="000000" w:themeColor="text1"/>
          <w:sz w:val="22"/>
          <w:szCs w:val="22"/>
        </w:rPr>
        <w:t>The overall aims are known for being explicitly responsive. Those include reducing harm from drugs, along with alcohol misuse. It also includes improving overall engagement and retention in services, along with improving continuity of care and recovery support, in addition to reducing hospital admissions and improving crisis interventions. Such objectives are known for being grounded in person-centred care, alongside trauma-informed practice. The plan is able to directly target the several cycles of exclusion, poor engagement, along with repeated crisis use by prioritising stable housing, along with coordinated case management and flexible access.</w:t>
      </w:r>
      <w:r w:rsidR="00FD463F" w:rsidRPr="00B66B63">
        <w:rPr>
          <w:rFonts w:ascii="Arial" w:eastAsia="Arial" w:hAnsi="Arial" w:cs="Arial"/>
          <w:color w:val="000000" w:themeColor="text1"/>
          <w:sz w:val="22"/>
          <w:szCs w:val="22"/>
        </w:rPr>
        <w:t xml:space="preserve"> Through this, I began to appreciate the relationship between integrated care approaches and improved engagement among vulnerable populations, particularly how coordinated interventions can move services from reactive to preventative models.</w:t>
      </w:r>
    </w:p>
    <w:p w14:paraId="178944D8" w14:textId="77777777" w:rsidR="008A00DB" w:rsidRPr="00B66B63" w:rsidRDefault="008A00DB" w:rsidP="008A00DB">
      <w:pPr>
        <w:pStyle w:val="Heading1"/>
        <w:spacing w:before="120" w:after="120" w:line="360" w:lineRule="auto"/>
        <w:jc w:val="both"/>
        <w:rPr>
          <w:rFonts w:ascii="Arial" w:eastAsia="Arial" w:hAnsi="Arial" w:cs="Arial"/>
          <w:color w:val="000000" w:themeColor="text1"/>
          <w:sz w:val="22"/>
          <w:szCs w:val="22"/>
        </w:rPr>
      </w:pPr>
      <w:bookmarkStart w:id="6" w:name="_Toc227183410"/>
      <w:r w:rsidRPr="00B66B63">
        <w:rPr>
          <w:rFonts w:ascii="Arial" w:eastAsia="Arial" w:hAnsi="Arial" w:cs="Arial"/>
          <w:color w:val="000000" w:themeColor="text1"/>
          <w:sz w:val="22"/>
          <w:szCs w:val="22"/>
        </w:rPr>
        <w:lastRenderedPageBreak/>
        <w:t>3. Input</w:t>
      </w:r>
      <w:bookmarkEnd w:id="6"/>
    </w:p>
    <w:p w14:paraId="0822DCBA" w14:textId="77777777" w:rsidR="008A00DB" w:rsidRPr="00B66B63" w:rsidRDefault="008A00DB" w:rsidP="008A00DB">
      <w:pPr>
        <w:pStyle w:val="Heading2"/>
        <w:spacing w:before="120" w:after="120" w:line="360" w:lineRule="auto"/>
        <w:jc w:val="both"/>
        <w:rPr>
          <w:rFonts w:ascii="Arial" w:eastAsia="Arial" w:hAnsi="Arial" w:cs="Arial"/>
          <w:color w:val="000000" w:themeColor="text1"/>
          <w:sz w:val="22"/>
          <w:szCs w:val="22"/>
        </w:rPr>
      </w:pPr>
      <w:bookmarkStart w:id="7" w:name="_Toc227183411"/>
      <w:r w:rsidRPr="00B66B63">
        <w:rPr>
          <w:rFonts w:ascii="Arial" w:eastAsia="Arial" w:hAnsi="Arial" w:cs="Arial"/>
          <w:color w:val="000000" w:themeColor="text1"/>
          <w:sz w:val="22"/>
          <w:szCs w:val="22"/>
        </w:rPr>
        <w:t>3.1 Relevant Partners and Strategies</w:t>
      </w:r>
      <w:bookmarkEnd w:id="7"/>
    </w:p>
    <w:p w14:paraId="3C7A7F45" w14:textId="77777777" w:rsidR="008A00DB" w:rsidRPr="00B66B63" w:rsidRDefault="008A00DB" w:rsidP="008A00DB">
      <w:pPr>
        <w:spacing w:before="120" w:after="120" w:line="360" w:lineRule="auto"/>
        <w:jc w:val="both"/>
        <w:rPr>
          <w:rFonts w:ascii="Arial" w:eastAsia="Arial" w:hAnsi="Arial" w:cs="Arial"/>
          <w:color w:val="000000" w:themeColor="text1"/>
          <w:sz w:val="22"/>
          <w:szCs w:val="22"/>
        </w:rPr>
      </w:pPr>
      <w:r w:rsidRPr="00B66B63">
        <w:rPr>
          <w:rFonts w:ascii="Arial" w:eastAsia="Arial" w:hAnsi="Arial" w:cs="Arial"/>
          <w:color w:val="000000" w:themeColor="text1"/>
          <w:sz w:val="22"/>
          <w:szCs w:val="22"/>
        </w:rPr>
        <w:t>It is essential to note that effective integration is known to require a wide range of statutory, along with voluntary, partners. For example, key organisations are known to include Westminster City Council for commissioning and housing support (Westminster, 2025). There is also the NHS Integrated Care Board, alongside providers, which are for primary care, acute, mental health, and specialist drug and alcohol treatment (NHS, 2022). Lastly, there are housing and homelessness services, along with voluntary and community sector organisations, in addition to criminal justice agencies (Westminster, 2026).</w:t>
      </w:r>
    </w:p>
    <w:p w14:paraId="427160A5" w14:textId="7ECD40D5" w:rsidR="008A00DB" w:rsidRPr="00B66B63" w:rsidRDefault="008A00DB" w:rsidP="008A00DB">
      <w:pPr>
        <w:spacing w:before="120" w:after="120" w:line="360" w:lineRule="auto"/>
        <w:jc w:val="both"/>
        <w:rPr>
          <w:rFonts w:ascii="Arial" w:eastAsia="Arial" w:hAnsi="Arial" w:cs="Arial"/>
          <w:color w:val="000000" w:themeColor="text1"/>
          <w:sz w:val="22"/>
          <w:szCs w:val="22"/>
        </w:rPr>
      </w:pPr>
      <w:r w:rsidRPr="00B66B63">
        <w:rPr>
          <w:rFonts w:ascii="Arial" w:eastAsia="Arial" w:hAnsi="Arial" w:cs="Arial"/>
          <w:color w:val="000000" w:themeColor="text1"/>
          <w:sz w:val="22"/>
          <w:szCs w:val="22"/>
        </w:rPr>
        <w:t xml:space="preserve">Overall strategies are known for centring on shared care planning, along with regular MDT meetings, joint commissioning, in addition to co-located services. Shared responsibility, on the other hand, is able to ensure that no single agency has to bear the full burden of complex cases (Pfajfar </w:t>
      </w:r>
      <w:r w:rsidRPr="00B66B63">
        <w:rPr>
          <w:rFonts w:ascii="Arial" w:eastAsia="Arial" w:hAnsi="Arial" w:cs="Arial"/>
          <w:i/>
          <w:iCs/>
          <w:color w:val="000000" w:themeColor="text1"/>
          <w:sz w:val="22"/>
          <w:szCs w:val="22"/>
        </w:rPr>
        <w:t xml:space="preserve">et al., </w:t>
      </w:r>
      <w:r w:rsidRPr="00B66B63">
        <w:rPr>
          <w:rFonts w:ascii="Arial" w:eastAsia="Arial" w:hAnsi="Arial" w:cs="Arial"/>
          <w:color w:val="000000" w:themeColor="text1"/>
          <w:sz w:val="22"/>
          <w:szCs w:val="22"/>
        </w:rPr>
        <w:t xml:space="preserve">2022). Integrated support pathways help in coordinating health treatment, along with housing stabilisation, mental health support, in addition to recovery services. This also helps in enabling seamless transitions, along with the reduction in duplication (Supportive Care, 2025). Lastly, joint commissioning, along with multidisciplinary teams, is also known for improving continuity of care and managing the overlapping needs in a more efficient manner (Khatri </w:t>
      </w:r>
      <w:r w:rsidRPr="00B66B63">
        <w:rPr>
          <w:rFonts w:ascii="Arial" w:eastAsia="Arial" w:hAnsi="Arial" w:cs="Arial"/>
          <w:i/>
          <w:iCs/>
          <w:color w:val="000000" w:themeColor="text1"/>
          <w:sz w:val="22"/>
          <w:szCs w:val="22"/>
        </w:rPr>
        <w:t xml:space="preserve">et al., </w:t>
      </w:r>
      <w:r w:rsidRPr="00B66B63">
        <w:rPr>
          <w:rFonts w:ascii="Arial" w:eastAsia="Arial" w:hAnsi="Arial" w:cs="Arial"/>
          <w:color w:val="000000" w:themeColor="text1"/>
          <w:sz w:val="22"/>
          <w:szCs w:val="22"/>
        </w:rPr>
        <w:t>2023).</w:t>
      </w:r>
      <w:r w:rsidR="00FD463F" w:rsidRPr="00B66B63">
        <w:rPr>
          <w:rFonts w:ascii="Arial" w:eastAsia="Arial" w:hAnsi="Arial" w:cs="Arial"/>
          <w:color w:val="000000" w:themeColor="text1"/>
          <w:sz w:val="22"/>
          <w:szCs w:val="22"/>
        </w:rPr>
        <w:t xml:space="preserve"> Through this, I have expanded my knowledge of how multiple agencies collaborate within integrated care systems and now better understand the importance of shared responsibility in addressing complex needs.</w:t>
      </w:r>
    </w:p>
    <w:p w14:paraId="129566F9" w14:textId="77777777" w:rsidR="008A00DB" w:rsidRPr="00B66B63" w:rsidRDefault="008A00DB" w:rsidP="008A00DB">
      <w:pPr>
        <w:pStyle w:val="Heading2"/>
        <w:spacing w:before="120" w:after="120" w:line="360" w:lineRule="auto"/>
        <w:jc w:val="both"/>
        <w:rPr>
          <w:rFonts w:ascii="Arial" w:eastAsia="Arial" w:hAnsi="Arial" w:cs="Arial"/>
          <w:color w:val="000000" w:themeColor="text1"/>
          <w:sz w:val="22"/>
          <w:szCs w:val="22"/>
        </w:rPr>
      </w:pPr>
      <w:bookmarkStart w:id="8" w:name="_Toc227183412"/>
      <w:r w:rsidRPr="00B66B63">
        <w:rPr>
          <w:rFonts w:ascii="Arial" w:eastAsia="Arial" w:hAnsi="Arial" w:cs="Arial"/>
          <w:color w:val="000000" w:themeColor="text1"/>
          <w:sz w:val="22"/>
          <w:szCs w:val="22"/>
        </w:rPr>
        <w:t>3.2 Principles to Join Health and Social Care Services</w:t>
      </w:r>
      <w:bookmarkEnd w:id="8"/>
    </w:p>
    <w:p w14:paraId="089C0772" w14:textId="77777777" w:rsidR="008A00DB" w:rsidRPr="00B66B63" w:rsidRDefault="008A00DB" w:rsidP="008A00DB">
      <w:pPr>
        <w:spacing w:before="120" w:after="120" w:line="360" w:lineRule="auto"/>
        <w:jc w:val="both"/>
        <w:rPr>
          <w:rFonts w:ascii="Arial" w:eastAsia="Arial" w:hAnsi="Arial" w:cs="Arial"/>
          <w:color w:val="000000" w:themeColor="text1"/>
          <w:sz w:val="22"/>
          <w:szCs w:val="22"/>
        </w:rPr>
      </w:pPr>
      <w:r w:rsidRPr="00B66B63">
        <w:rPr>
          <w:rFonts w:ascii="Arial" w:eastAsia="Arial" w:hAnsi="Arial" w:cs="Arial"/>
          <w:color w:val="000000" w:themeColor="text1"/>
          <w:sz w:val="22"/>
          <w:szCs w:val="22"/>
        </w:rPr>
        <w:t xml:space="preserve">The overarching framework is known as the Integrated Care System, which was established by the Health and Care Act 2022. It is known for mandating collaborative working across health, social care, along with housing for the purpose of addressing population needs holistically (Lalani </w:t>
      </w:r>
      <w:r w:rsidRPr="00B66B63">
        <w:rPr>
          <w:rFonts w:ascii="Arial" w:eastAsia="Arial" w:hAnsi="Arial" w:cs="Arial"/>
          <w:i/>
          <w:iCs/>
          <w:color w:val="000000" w:themeColor="text1"/>
          <w:sz w:val="22"/>
          <w:szCs w:val="22"/>
        </w:rPr>
        <w:t>et al.,</w:t>
      </w:r>
      <w:r w:rsidRPr="00B66B63">
        <w:rPr>
          <w:rFonts w:ascii="Arial" w:eastAsia="Arial" w:hAnsi="Arial" w:cs="Arial"/>
          <w:color w:val="000000" w:themeColor="text1"/>
          <w:sz w:val="22"/>
          <w:szCs w:val="22"/>
        </w:rPr>
        <w:t xml:space="preserve"> 2024). It is essential to note that personalised care planning aims to provide support from health professionals that is tailored to the needs of individual patients (Coulter and Oldham, 2016).</w:t>
      </w:r>
    </w:p>
    <w:p w14:paraId="64D6619A" w14:textId="24EA480B" w:rsidR="008A00DB" w:rsidRPr="00B66B63" w:rsidRDefault="008A00DB" w:rsidP="008A00DB">
      <w:pPr>
        <w:spacing w:before="120" w:after="120" w:line="360" w:lineRule="auto"/>
        <w:jc w:val="both"/>
        <w:rPr>
          <w:rFonts w:ascii="Arial" w:eastAsia="Arial" w:hAnsi="Arial" w:cs="Arial"/>
          <w:color w:val="000000" w:themeColor="text1"/>
          <w:sz w:val="22"/>
          <w:szCs w:val="22"/>
        </w:rPr>
      </w:pPr>
      <w:r w:rsidRPr="00B66B63">
        <w:rPr>
          <w:rFonts w:ascii="Arial" w:eastAsia="Arial" w:hAnsi="Arial" w:cs="Arial"/>
          <w:color w:val="000000" w:themeColor="text1"/>
          <w:sz w:val="22"/>
          <w:szCs w:val="22"/>
        </w:rPr>
        <w:t xml:space="preserve">The logic model for integrated care is known for describing what good looks like, along with providing a visual depiction of how a fully integrated health and care system might be structured and functioning. It also describes the outcomes, alongside the benefits the system should deliver for those who utilise services and their carers (SCIE, 2024). The model links </w:t>
      </w:r>
      <w:r w:rsidRPr="00B66B63">
        <w:rPr>
          <w:rFonts w:ascii="Arial" w:eastAsia="Arial" w:hAnsi="Arial" w:cs="Arial"/>
          <w:b/>
          <w:bCs/>
          <w:i/>
          <w:iCs/>
          <w:color w:val="000000" w:themeColor="text1"/>
          <w:sz w:val="22"/>
          <w:szCs w:val="22"/>
        </w:rPr>
        <w:t>inputs</w:t>
      </w:r>
      <w:r w:rsidRPr="00B66B63">
        <w:rPr>
          <w:rFonts w:ascii="Arial" w:eastAsia="Arial" w:hAnsi="Arial" w:cs="Arial"/>
          <w:color w:val="000000" w:themeColor="text1"/>
          <w:sz w:val="22"/>
          <w:szCs w:val="22"/>
        </w:rPr>
        <w:t xml:space="preserve">, such as partners, resources and funding, to activities, which include MDT meetings, shared care pathways, among many more. These are known for producing </w:t>
      </w:r>
      <w:r w:rsidRPr="00B66B63">
        <w:rPr>
          <w:rFonts w:ascii="Arial" w:eastAsia="Arial" w:hAnsi="Arial" w:cs="Arial"/>
          <w:b/>
          <w:bCs/>
          <w:i/>
          <w:iCs/>
          <w:color w:val="000000" w:themeColor="text1"/>
          <w:sz w:val="22"/>
          <w:szCs w:val="22"/>
        </w:rPr>
        <w:t xml:space="preserve">outputs </w:t>
      </w:r>
      <w:r w:rsidRPr="00B66B63">
        <w:rPr>
          <w:rFonts w:ascii="Arial" w:eastAsia="Arial" w:hAnsi="Arial" w:cs="Arial"/>
          <w:color w:val="000000" w:themeColor="text1"/>
          <w:sz w:val="22"/>
          <w:szCs w:val="22"/>
        </w:rPr>
        <w:t xml:space="preserve">such as coordinated care </w:t>
      </w:r>
      <w:r w:rsidRPr="00B66B63">
        <w:rPr>
          <w:rFonts w:ascii="Arial" w:eastAsia="Arial" w:hAnsi="Arial" w:cs="Arial"/>
          <w:color w:val="000000" w:themeColor="text1"/>
          <w:sz w:val="22"/>
          <w:szCs w:val="22"/>
        </w:rPr>
        <w:lastRenderedPageBreak/>
        <w:t xml:space="preserve">plans, along with increased service contracts. These are also responsible for leading to </w:t>
      </w:r>
      <w:r w:rsidRPr="00B66B63">
        <w:rPr>
          <w:rFonts w:ascii="Arial" w:eastAsia="Arial" w:hAnsi="Arial" w:cs="Arial"/>
          <w:b/>
          <w:bCs/>
          <w:i/>
          <w:iCs/>
          <w:color w:val="000000" w:themeColor="text1"/>
          <w:sz w:val="22"/>
          <w:szCs w:val="22"/>
        </w:rPr>
        <w:t xml:space="preserve">outcomes </w:t>
      </w:r>
      <w:r w:rsidRPr="00B66B63">
        <w:rPr>
          <w:rFonts w:ascii="Arial" w:eastAsia="Arial" w:hAnsi="Arial" w:cs="Arial"/>
          <w:color w:val="000000" w:themeColor="text1"/>
          <w:sz w:val="22"/>
          <w:szCs w:val="22"/>
        </w:rPr>
        <w:t xml:space="preserve">such as improved engagement, along with retention and long-term </w:t>
      </w:r>
      <w:r w:rsidRPr="00B66B63">
        <w:rPr>
          <w:rFonts w:ascii="Arial" w:eastAsia="Arial" w:hAnsi="Arial" w:cs="Arial"/>
          <w:b/>
          <w:bCs/>
          <w:i/>
          <w:iCs/>
          <w:color w:val="000000" w:themeColor="text1"/>
          <w:sz w:val="22"/>
          <w:szCs w:val="22"/>
        </w:rPr>
        <w:t>impact</w:t>
      </w:r>
      <w:r w:rsidRPr="00B66B63">
        <w:rPr>
          <w:rFonts w:ascii="Arial" w:eastAsia="Arial" w:hAnsi="Arial" w:cs="Arial"/>
          <w:color w:val="000000" w:themeColor="text1"/>
          <w:sz w:val="22"/>
          <w:szCs w:val="22"/>
        </w:rPr>
        <w:t>. The group plan implemented the Logic Model in order to map the method in which partnership activities would translate local JSNA evidence into measurable improvements for adults with multiple disadvantages (JSNA, 2016).</w:t>
      </w:r>
      <w:r w:rsidR="00FD463F" w:rsidRPr="00B66B63">
        <w:rPr>
          <w:rFonts w:ascii="Arial" w:eastAsia="Arial" w:hAnsi="Arial" w:cs="Arial"/>
          <w:color w:val="000000" w:themeColor="text1"/>
          <w:sz w:val="22"/>
          <w:szCs w:val="22"/>
        </w:rPr>
        <w:t xml:space="preserve"> I now better understand how theoretical frameworks such as ICS and the Logic Model guide practical implementation of integrated care and support the translation of policy into measurable outcomes.</w:t>
      </w:r>
    </w:p>
    <w:p w14:paraId="0F6B2BD6" w14:textId="77777777" w:rsidR="008A00DB" w:rsidRPr="00B66B63" w:rsidRDefault="008A00DB" w:rsidP="008A00DB">
      <w:pPr>
        <w:pStyle w:val="Heading2"/>
        <w:spacing w:before="120" w:after="120" w:line="360" w:lineRule="auto"/>
        <w:jc w:val="both"/>
        <w:rPr>
          <w:rFonts w:ascii="Arial" w:eastAsia="Arial" w:hAnsi="Arial" w:cs="Arial"/>
          <w:color w:val="000000" w:themeColor="text1"/>
          <w:sz w:val="22"/>
          <w:szCs w:val="22"/>
        </w:rPr>
      </w:pPr>
      <w:bookmarkStart w:id="9" w:name="_Toc227183413"/>
      <w:r w:rsidRPr="00B66B63">
        <w:rPr>
          <w:rFonts w:ascii="Arial" w:eastAsia="Arial" w:hAnsi="Arial" w:cs="Arial"/>
          <w:color w:val="000000" w:themeColor="text1"/>
          <w:sz w:val="22"/>
          <w:szCs w:val="22"/>
        </w:rPr>
        <w:t>3.3 Human and Material Resources Needs</w:t>
      </w:r>
      <w:bookmarkEnd w:id="9"/>
    </w:p>
    <w:p w14:paraId="1D7D70E2" w14:textId="77777777" w:rsidR="008A00DB" w:rsidRPr="00B66B63" w:rsidRDefault="008A00DB" w:rsidP="008A00DB">
      <w:pPr>
        <w:spacing w:before="120" w:after="120" w:line="360" w:lineRule="auto"/>
        <w:jc w:val="both"/>
        <w:rPr>
          <w:rFonts w:ascii="Arial" w:eastAsia="Arial" w:hAnsi="Arial" w:cs="Arial"/>
          <w:color w:val="000000" w:themeColor="text1"/>
          <w:sz w:val="22"/>
          <w:szCs w:val="22"/>
        </w:rPr>
      </w:pPr>
      <w:r w:rsidRPr="00B66B63">
        <w:rPr>
          <w:rFonts w:ascii="Arial" w:eastAsia="Arial" w:hAnsi="Arial" w:cs="Arial"/>
          <w:color w:val="000000" w:themeColor="text1"/>
          <w:sz w:val="22"/>
          <w:szCs w:val="22"/>
        </w:rPr>
        <w:t xml:space="preserve">The need for human resources is critical, such as a specialist workforce, along with mental health professionals, outreach workers, peer support staff, in addition to housing support officers. By providing workforce training in trauma-informed care, along with dual diagnosis, it is possible to create a trauma-informed organisation (NCBI, 2014). Several material resources, on the other hand, are known for including shared digital records for safe information sharing, along with several tele-care and virtual MDT platforms. There are also the requirements for housing provision funding, along with treatment services and also community programmes (DeLaCruz-Jiron </w:t>
      </w:r>
      <w:r w:rsidRPr="00B66B63">
        <w:rPr>
          <w:rFonts w:ascii="Arial" w:eastAsia="Arial" w:hAnsi="Arial" w:cs="Arial"/>
          <w:i/>
          <w:iCs/>
          <w:color w:val="000000" w:themeColor="text1"/>
          <w:sz w:val="22"/>
          <w:szCs w:val="22"/>
        </w:rPr>
        <w:t>et al.,</w:t>
      </w:r>
      <w:r w:rsidRPr="00B66B63">
        <w:rPr>
          <w:rFonts w:ascii="Arial" w:eastAsia="Arial" w:hAnsi="Arial" w:cs="Arial"/>
          <w:color w:val="000000" w:themeColor="text1"/>
          <w:sz w:val="22"/>
          <w:szCs w:val="22"/>
        </w:rPr>
        <w:t xml:space="preserve"> 2022). In order to sustain partnership momentum, leadership support, along with governance structures, in addition to dedicated coordination roles, is also important (SCIE, 2026).</w:t>
      </w:r>
    </w:p>
    <w:p w14:paraId="70605428" w14:textId="77777777" w:rsidR="008A00DB" w:rsidRPr="00B66B63" w:rsidRDefault="008A00DB" w:rsidP="008A00DB">
      <w:pPr>
        <w:pStyle w:val="Heading2"/>
        <w:spacing w:before="120" w:after="120" w:line="360" w:lineRule="auto"/>
        <w:jc w:val="both"/>
        <w:rPr>
          <w:rFonts w:ascii="Arial" w:eastAsia="Arial" w:hAnsi="Arial" w:cs="Arial"/>
          <w:color w:val="000000" w:themeColor="text1"/>
          <w:sz w:val="22"/>
          <w:szCs w:val="22"/>
        </w:rPr>
      </w:pPr>
      <w:bookmarkStart w:id="10" w:name="_Toc227183414"/>
      <w:r w:rsidRPr="00B66B63">
        <w:rPr>
          <w:rFonts w:ascii="Arial" w:eastAsia="Arial" w:hAnsi="Arial" w:cs="Arial"/>
          <w:color w:val="000000" w:themeColor="text1"/>
          <w:sz w:val="22"/>
          <w:szCs w:val="22"/>
        </w:rPr>
        <w:t>3.4 Identification of Barriers in Achieving Service Integration and Partnership Working</w:t>
      </w:r>
      <w:bookmarkEnd w:id="10"/>
    </w:p>
    <w:p w14:paraId="3A897C5E" w14:textId="29886007" w:rsidR="008A00DB" w:rsidRPr="00B66B63" w:rsidRDefault="00FD463F" w:rsidP="008A00DB">
      <w:pPr>
        <w:spacing w:before="120" w:after="120" w:line="360" w:lineRule="auto"/>
        <w:jc w:val="both"/>
        <w:rPr>
          <w:rFonts w:ascii="Arial" w:eastAsia="Arial" w:hAnsi="Arial" w:cs="Arial"/>
          <w:color w:val="000000" w:themeColor="text1"/>
          <w:sz w:val="22"/>
          <w:szCs w:val="22"/>
        </w:rPr>
      </w:pPr>
      <w:r w:rsidRPr="00B66B63">
        <w:rPr>
          <w:rFonts w:ascii="Arial" w:eastAsia="Arial" w:hAnsi="Arial" w:cs="Arial"/>
          <w:color w:val="000000" w:themeColor="text1"/>
          <w:sz w:val="22"/>
          <w:szCs w:val="22"/>
        </w:rPr>
        <w:t>I also learned that t</w:t>
      </w:r>
      <w:r w:rsidR="008A00DB" w:rsidRPr="00B66B63">
        <w:rPr>
          <w:rFonts w:ascii="Arial" w:eastAsia="Arial" w:hAnsi="Arial" w:cs="Arial"/>
          <w:color w:val="000000" w:themeColor="text1"/>
          <w:sz w:val="22"/>
          <w:szCs w:val="22"/>
        </w:rPr>
        <w:t xml:space="preserve">here are also various barriers, such as silo working persisting due to agencies operating under different eligibility criteria, along with funding streams, and cultures (Kenton, 2020). It is also essential to note that stigma regarding substance misuse, along with homelessness, results in reduced engagement and also leads to service rejection, which is particularly evident in dual diagnosis (Yang </w:t>
      </w:r>
      <w:r w:rsidR="008A00DB" w:rsidRPr="00B66B63">
        <w:rPr>
          <w:rFonts w:ascii="Arial" w:eastAsia="Arial" w:hAnsi="Arial" w:cs="Arial"/>
          <w:i/>
          <w:iCs/>
          <w:color w:val="000000" w:themeColor="text1"/>
          <w:sz w:val="22"/>
          <w:szCs w:val="22"/>
        </w:rPr>
        <w:t xml:space="preserve">et al., </w:t>
      </w:r>
      <w:r w:rsidR="008A00DB" w:rsidRPr="00B66B63">
        <w:rPr>
          <w:rFonts w:ascii="Arial" w:eastAsia="Arial" w:hAnsi="Arial" w:cs="Arial"/>
          <w:color w:val="000000" w:themeColor="text1"/>
          <w:sz w:val="22"/>
          <w:szCs w:val="22"/>
        </w:rPr>
        <w:t>2017). Poor information sharing, such as data protection concerns, along with incompatible systems, results in fragmenting overall care (Digital Care Hub, 2025). There are also several funding constraints, such as substance misuse budgets that are known to have been reduced over 50% in recent years, which leads to limiting capacity (Friebel, Yoo and Maynou, 2021). There are also significant cultural differences between statutory and voluntary sectors, in addition to the challenge of engaging chaotic or mobile populations. This results in further hindering overall progress. It is essential to note that data gaps, along with under-recording of several disadvantages, result in compounding such issues.</w:t>
      </w:r>
      <w:r w:rsidRPr="00B66B63">
        <w:rPr>
          <w:rFonts w:ascii="Arial" w:eastAsia="Arial" w:hAnsi="Arial" w:cs="Arial"/>
          <w:color w:val="000000" w:themeColor="text1"/>
          <w:sz w:val="22"/>
          <w:szCs w:val="22"/>
        </w:rPr>
        <w:t xml:space="preserve"> Overall, I began to appreciate the complexity of achieving service integration in practice and how systemic, organisational, and social barriers can significantly limit the effectiveness of even well-designed strategies.</w:t>
      </w:r>
    </w:p>
    <w:p w14:paraId="4774E31C" w14:textId="77777777" w:rsidR="008A00DB" w:rsidRPr="00B66B63" w:rsidRDefault="008A00DB" w:rsidP="008A00DB">
      <w:pPr>
        <w:pStyle w:val="Heading2"/>
        <w:spacing w:before="120" w:after="120" w:line="360" w:lineRule="auto"/>
        <w:jc w:val="both"/>
        <w:rPr>
          <w:rFonts w:ascii="Arial" w:eastAsia="Arial" w:hAnsi="Arial" w:cs="Arial"/>
          <w:color w:val="000000" w:themeColor="text1"/>
          <w:sz w:val="22"/>
          <w:szCs w:val="22"/>
        </w:rPr>
      </w:pPr>
      <w:bookmarkStart w:id="11" w:name="_Toc227183415"/>
      <w:r w:rsidRPr="00B66B63">
        <w:rPr>
          <w:rFonts w:ascii="Arial" w:eastAsia="Arial" w:hAnsi="Arial" w:cs="Arial"/>
          <w:color w:val="000000" w:themeColor="text1"/>
          <w:sz w:val="22"/>
          <w:szCs w:val="22"/>
        </w:rPr>
        <w:lastRenderedPageBreak/>
        <w:t>3.5 Recommendations for Alternative Strategies and Solutions</w:t>
      </w:r>
      <w:bookmarkEnd w:id="11"/>
    </w:p>
    <w:p w14:paraId="6A399584" w14:textId="151C74C9" w:rsidR="008A00DB" w:rsidRPr="00B66B63" w:rsidRDefault="006935B2" w:rsidP="008A00DB">
      <w:pPr>
        <w:spacing w:before="120" w:after="120" w:line="360" w:lineRule="auto"/>
        <w:jc w:val="both"/>
        <w:rPr>
          <w:rFonts w:ascii="Arial" w:eastAsia="Arial" w:hAnsi="Arial" w:cs="Arial"/>
          <w:color w:val="000000" w:themeColor="text1"/>
          <w:sz w:val="22"/>
          <w:szCs w:val="22"/>
        </w:rPr>
      </w:pPr>
      <w:r w:rsidRPr="00B66B63">
        <w:rPr>
          <w:rFonts w:ascii="Arial" w:eastAsia="Arial" w:hAnsi="Arial" w:cs="Arial"/>
          <w:color w:val="000000" w:themeColor="text1"/>
          <w:sz w:val="22"/>
          <w:szCs w:val="22"/>
        </w:rPr>
        <w:t xml:space="preserve">I have learned that effective solutions require not only strong policy frameworks but also practical, well-coordinated implementation strategies that address real-world challenges in integrated care delivery. </w:t>
      </w:r>
      <w:r w:rsidR="008A00DB" w:rsidRPr="00B66B63">
        <w:rPr>
          <w:rFonts w:ascii="Arial" w:eastAsia="Arial" w:hAnsi="Arial" w:cs="Arial"/>
          <w:color w:val="000000" w:themeColor="text1"/>
          <w:sz w:val="22"/>
          <w:szCs w:val="22"/>
        </w:rPr>
        <w:t xml:space="preserve">Alternative strategies include the implementation of shared digital systems regarding real-time information exchange, while at the same time also maintaining information governance (Kariotis </w:t>
      </w:r>
      <w:r w:rsidR="008A00DB" w:rsidRPr="00B66B63">
        <w:rPr>
          <w:rFonts w:ascii="Arial" w:eastAsia="Arial" w:hAnsi="Arial" w:cs="Arial"/>
          <w:i/>
          <w:iCs/>
          <w:color w:val="000000" w:themeColor="text1"/>
          <w:sz w:val="22"/>
          <w:szCs w:val="22"/>
        </w:rPr>
        <w:t xml:space="preserve">et al., </w:t>
      </w:r>
      <w:r w:rsidR="008A00DB" w:rsidRPr="00B66B63">
        <w:rPr>
          <w:rFonts w:ascii="Arial" w:eastAsia="Arial" w:hAnsi="Arial" w:cs="Arial"/>
          <w:color w:val="000000" w:themeColor="text1"/>
          <w:sz w:val="22"/>
          <w:szCs w:val="22"/>
        </w:rPr>
        <w:t>2025). Training for all staff members is also essential in creating a trauma-informed organisation, along with also improving dual-diagnosis responses and reducing rejection rates (NCBI, 2014). On the other hand, by adopting stronger systems leadership through a dedicated integrated care partnership committee, it would be possible to drive accountability, along with shared outcomes (UK Parliament, 2022).</w:t>
      </w:r>
    </w:p>
    <w:p w14:paraId="3E29DBD2" w14:textId="77777777" w:rsidR="008A00DB" w:rsidRPr="00B66B63" w:rsidRDefault="008A00DB" w:rsidP="008A00DB">
      <w:pPr>
        <w:pStyle w:val="Heading1"/>
        <w:spacing w:before="120" w:after="120" w:line="360" w:lineRule="auto"/>
        <w:jc w:val="both"/>
        <w:rPr>
          <w:rFonts w:ascii="Arial" w:eastAsia="Arial" w:hAnsi="Arial" w:cs="Arial"/>
          <w:color w:val="000000" w:themeColor="text1"/>
          <w:sz w:val="22"/>
          <w:szCs w:val="22"/>
        </w:rPr>
      </w:pPr>
      <w:bookmarkStart w:id="12" w:name="_Toc227183416"/>
      <w:r w:rsidRPr="00B66B63">
        <w:rPr>
          <w:rFonts w:ascii="Arial" w:eastAsia="Arial" w:hAnsi="Arial" w:cs="Arial"/>
          <w:color w:val="000000" w:themeColor="text1"/>
          <w:sz w:val="22"/>
          <w:szCs w:val="22"/>
        </w:rPr>
        <w:t>4. Process</w:t>
      </w:r>
      <w:bookmarkEnd w:id="12"/>
    </w:p>
    <w:p w14:paraId="66E2CC39" w14:textId="77777777" w:rsidR="008A00DB" w:rsidRPr="00B66B63" w:rsidRDefault="008A00DB" w:rsidP="008A00DB">
      <w:pPr>
        <w:pStyle w:val="Heading2"/>
        <w:spacing w:before="120" w:after="120" w:line="360" w:lineRule="auto"/>
        <w:jc w:val="both"/>
        <w:rPr>
          <w:rFonts w:ascii="Arial" w:eastAsia="Arial" w:hAnsi="Arial" w:cs="Arial"/>
          <w:color w:val="000000" w:themeColor="text1"/>
          <w:sz w:val="22"/>
          <w:szCs w:val="22"/>
        </w:rPr>
      </w:pPr>
      <w:bookmarkStart w:id="13" w:name="_Toc227183417"/>
      <w:r w:rsidRPr="00B66B63">
        <w:rPr>
          <w:rFonts w:ascii="Arial" w:eastAsia="Arial" w:hAnsi="Arial" w:cs="Arial"/>
          <w:color w:val="000000" w:themeColor="text1"/>
          <w:sz w:val="22"/>
          <w:szCs w:val="22"/>
        </w:rPr>
        <w:t>4.1 Working as a Group to Achieve Planned Activities</w:t>
      </w:r>
      <w:bookmarkEnd w:id="13"/>
    </w:p>
    <w:p w14:paraId="25C184BE" w14:textId="77777777" w:rsidR="008A00DB" w:rsidRPr="00B66B63" w:rsidRDefault="008A00DB" w:rsidP="008A00DB">
      <w:pPr>
        <w:spacing w:before="120" w:after="120" w:line="360" w:lineRule="auto"/>
        <w:jc w:val="both"/>
        <w:rPr>
          <w:rFonts w:ascii="Arial" w:eastAsia="Arial" w:hAnsi="Arial" w:cs="Arial"/>
          <w:color w:val="000000" w:themeColor="text1"/>
          <w:sz w:val="22"/>
          <w:szCs w:val="22"/>
        </w:rPr>
      </w:pPr>
      <w:r w:rsidRPr="00B66B63">
        <w:rPr>
          <w:rFonts w:ascii="Arial" w:eastAsia="Arial" w:hAnsi="Arial" w:cs="Arial"/>
          <w:color w:val="000000" w:themeColor="text1"/>
          <w:sz w:val="22"/>
          <w:szCs w:val="22"/>
        </w:rPr>
        <w:t>The group project is known to have been focused on simulating an Integrated Care Partnership meeting for addressing drug, alongside alcohol misuse in Westminster. The planning started with the identification of key issues from the Joint Strategic Needs Assessment. There was a high prevalence of substance misuse that intertwined with homelessness, along with mental ill health. The team focused on linking local data to an evidence-based integrated response. Various evidence was drawn from Westminster City Council’s Multiple Disadvantage Population Needs Assessment, ONS statistics on alcohol-related harm, NHS reports on homeless health, and national policy frameworks (Government of the UK, 2014; Government of the UK, 2022).</w:t>
      </w:r>
    </w:p>
    <w:p w14:paraId="0C0E454B" w14:textId="4B1BB0DC" w:rsidR="008A00DB" w:rsidRPr="00B66B63" w:rsidRDefault="008A00DB" w:rsidP="008A00DB">
      <w:pPr>
        <w:spacing w:before="120" w:after="120" w:line="360" w:lineRule="auto"/>
        <w:jc w:val="both"/>
        <w:rPr>
          <w:rFonts w:ascii="Arial" w:eastAsia="Arial" w:hAnsi="Arial" w:cs="Arial"/>
          <w:color w:val="000000" w:themeColor="text1"/>
          <w:sz w:val="22"/>
          <w:szCs w:val="22"/>
        </w:rPr>
      </w:pPr>
      <w:r w:rsidRPr="00B66B63">
        <w:rPr>
          <w:rFonts w:ascii="Arial" w:eastAsia="Arial" w:hAnsi="Arial" w:cs="Arial"/>
          <w:color w:val="000000" w:themeColor="text1"/>
          <w:sz w:val="22"/>
          <w:szCs w:val="22"/>
        </w:rPr>
        <w:t>Working with the group, we also designed a comprehensive solution, which focused on incorporating multidisciplinary teams, along with shared care pathways, case management, in addition to coordination across several segments. Overall strategy development is known to have utilised a phased approach. Short-term milestones included 0 to 12 months regarding the establishment of the Integrated Care Partnership Committee and real-time data collection. Mid-term milestones included 1 to 3 years regarding relationship-building and needs assessment with the target population. Lastly, the long-term strategy included 3 to 5 years regarding the prevention of programmes and awareness-raising in institutions.</w:t>
      </w:r>
      <w:r w:rsidR="006935B2" w:rsidRPr="00B66B63">
        <w:rPr>
          <w:rFonts w:ascii="Arial" w:eastAsia="Arial" w:hAnsi="Arial" w:cs="Arial"/>
          <w:color w:val="000000" w:themeColor="text1"/>
          <w:sz w:val="22"/>
          <w:szCs w:val="22"/>
        </w:rPr>
        <w:t xml:space="preserve"> Through this process, I have learned that effective integrated care planning requires not only strong evidence but also structured coordination and phased implementation strategies. I now better understand how translating local data into practical interventions is essential for addressing complex public health issues.</w:t>
      </w:r>
    </w:p>
    <w:p w14:paraId="1A8500AD" w14:textId="77777777" w:rsidR="008A00DB" w:rsidRPr="00B66B63" w:rsidRDefault="008A00DB" w:rsidP="008A00DB">
      <w:pPr>
        <w:pStyle w:val="Heading2"/>
        <w:spacing w:before="120" w:after="120" w:line="360" w:lineRule="auto"/>
        <w:jc w:val="both"/>
        <w:rPr>
          <w:rFonts w:ascii="Arial" w:eastAsia="Arial" w:hAnsi="Arial" w:cs="Arial"/>
          <w:color w:val="000000" w:themeColor="text1"/>
          <w:sz w:val="22"/>
          <w:szCs w:val="22"/>
        </w:rPr>
      </w:pPr>
      <w:bookmarkStart w:id="14" w:name="_Toc227183418"/>
      <w:r w:rsidRPr="00B66B63">
        <w:rPr>
          <w:rFonts w:ascii="Arial" w:eastAsia="Arial" w:hAnsi="Arial" w:cs="Arial"/>
          <w:color w:val="000000" w:themeColor="text1"/>
          <w:sz w:val="22"/>
          <w:szCs w:val="22"/>
        </w:rPr>
        <w:lastRenderedPageBreak/>
        <w:t>4.2 Group Members’ Roles and Responsibilities</w:t>
      </w:r>
      <w:bookmarkEnd w:id="14"/>
    </w:p>
    <w:p w14:paraId="7B77A9B0" w14:textId="77777777" w:rsidR="008A00DB" w:rsidRPr="00B66B63" w:rsidRDefault="008A00DB" w:rsidP="008A00DB">
      <w:pPr>
        <w:spacing w:before="120" w:after="120" w:line="360" w:lineRule="auto"/>
        <w:jc w:val="both"/>
        <w:rPr>
          <w:rFonts w:ascii="Arial" w:eastAsia="Arial" w:hAnsi="Arial" w:cs="Arial"/>
          <w:color w:val="000000" w:themeColor="text1"/>
          <w:sz w:val="22"/>
          <w:szCs w:val="22"/>
        </w:rPr>
      </w:pPr>
      <w:r w:rsidRPr="00B66B63">
        <w:rPr>
          <w:rFonts w:ascii="Arial" w:eastAsia="Arial" w:hAnsi="Arial" w:cs="Arial"/>
          <w:color w:val="000000" w:themeColor="text1"/>
          <w:sz w:val="22"/>
          <w:szCs w:val="22"/>
        </w:rPr>
        <w:t>I was tasked with the role of evidence reviewer, along with quality checker and research supporter. I focused on systematically checking the precision of statistics data from JSNA, ONS, among many more, along with also verifying claims regarding service gaps and severe disadvantages. I also ensured overall consistency across several sections. I also supported the entire group by improving links that existed between evidence, along with proposed strategies and also intended outcomes.</w:t>
      </w:r>
    </w:p>
    <w:p w14:paraId="0096721F" w14:textId="20633514" w:rsidR="006935B2" w:rsidRPr="00B66B63" w:rsidRDefault="006935B2" w:rsidP="008A00DB">
      <w:pPr>
        <w:spacing w:before="120" w:after="120" w:line="360" w:lineRule="auto"/>
        <w:jc w:val="both"/>
        <w:rPr>
          <w:rFonts w:ascii="Arial" w:eastAsia="Arial" w:hAnsi="Arial" w:cs="Arial"/>
          <w:color w:val="000000" w:themeColor="text1"/>
          <w:sz w:val="22"/>
          <w:szCs w:val="22"/>
        </w:rPr>
      </w:pPr>
      <w:r w:rsidRPr="00B66B63">
        <w:rPr>
          <w:rFonts w:ascii="Arial" w:eastAsia="Arial" w:hAnsi="Arial" w:cs="Arial"/>
          <w:color w:val="000000" w:themeColor="text1"/>
          <w:sz w:val="22"/>
          <w:szCs w:val="22"/>
        </w:rPr>
        <w:t>From this experience, I gained insight into the importance of accountability and clearly defined roles within partnership working. I began to appreciate how effective collaboration requires both active participation and confidence in contributing ideas. I have also learned that I need to take greater initiative in group settings to enhance both team performance and my own professional development.</w:t>
      </w:r>
    </w:p>
    <w:p w14:paraId="2D6D6973" w14:textId="77777777" w:rsidR="008A00DB" w:rsidRPr="00B66B63" w:rsidRDefault="008A00DB" w:rsidP="008A00DB">
      <w:pPr>
        <w:pStyle w:val="Heading1"/>
        <w:spacing w:before="120" w:after="120" w:line="360" w:lineRule="auto"/>
        <w:jc w:val="both"/>
        <w:rPr>
          <w:rFonts w:ascii="Arial" w:eastAsia="Arial" w:hAnsi="Arial" w:cs="Arial"/>
          <w:color w:val="000000" w:themeColor="text1"/>
          <w:sz w:val="22"/>
          <w:szCs w:val="22"/>
        </w:rPr>
      </w:pPr>
      <w:bookmarkStart w:id="15" w:name="_Toc227183419"/>
      <w:r w:rsidRPr="00B66B63">
        <w:rPr>
          <w:rFonts w:ascii="Arial" w:eastAsia="Arial" w:hAnsi="Arial" w:cs="Arial"/>
          <w:color w:val="000000" w:themeColor="text1"/>
          <w:sz w:val="22"/>
          <w:szCs w:val="22"/>
        </w:rPr>
        <w:t>5. Product</w:t>
      </w:r>
      <w:bookmarkEnd w:id="15"/>
      <w:r w:rsidRPr="00B66B63">
        <w:rPr>
          <w:rFonts w:ascii="Arial" w:eastAsia="Arial" w:hAnsi="Arial" w:cs="Arial"/>
          <w:color w:val="000000" w:themeColor="text1"/>
          <w:sz w:val="22"/>
          <w:szCs w:val="22"/>
        </w:rPr>
        <w:t xml:space="preserve"> </w:t>
      </w:r>
    </w:p>
    <w:p w14:paraId="59733E70" w14:textId="77777777" w:rsidR="008A00DB" w:rsidRPr="00B66B63" w:rsidRDefault="008A00DB" w:rsidP="008A00DB">
      <w:pPr>
        <w:pStyle w:val="Heading2"/>
        <w:spacing w:before="120" w:after="120" w:line="360" w:lineRule="auto"/>
        <w:jc w:val="both"/>
        <w:rPr>
          <w:rFonts w:ascii="Arial" w:eastAsia="Arial" w:hAnsi="Arial" w:cs="Arial"/>
          <w:color w:val="000000" w:themeColor="text1"/>
          <w:sz w:val="22"/>
          <w:szCs w:val="22"/>
        </w:rPr>
      </w:pPr>
      <w:bookmarkStart w:id="16" w:name="_Toc227183420"/>
      <w:r w:rsidRPr="00B66B63">
        <w:rPr>
          <w:rFonts w:ascii="Arial" w:eastAsia="Arial" w:hAnsi="Arial" w:cs="Arial"/>
          <w:color w:val="000000" w:themeColor="text1"/>
          <w:sz w:val="22"/>
          <w:szCs w:val="22"/>
        </w:rPr>
        <w:t>5.1 Identifying Whether Our Group Activity Was Successful</w:t>
      </w:r>
      <w:bookmarkEnd w:id="16"/>
    </w:p>
    <w:p w14:paraId="352F2A7A" w14:textId="32B09C6A" w:rsidR="008A00DB" w:rsidRPr="00B66B63" w:rsidRDefault="006935B2" w:rsidP="008A00DB">
      <w:pPr>
        <w:spacing w:before="120" w:after="120" w:line="360" w:lineRule="auto"/>
        <w:jc w:val="both"/>
        <w:rPr>
          <w:rFonts w:ascii="Arial" w:eastAsia="Arial" w:hAnsi="Arial" w:cs="Arial"/>
          <w:color w:val="000000" w:themeColor="text1"/>
          <w:sz w:val="22"/>
          <w:szCs w:val="22"/>
        </w:rPr>
      </w:pPr>
      <w:r w:rsidRPr="00B66B63">
        <w:rPr>
          <w:rFonts w:ascii="Arial" w:eastAsia="Arial" w:hAnsi="Arial" w:cs="Arial"/>
          <w:color w:val="000000" w:themeColor="text1"/>
          <w:sz w:val="22"/>
          <w:szCs w:val="22"/>
        </w:rPr>
        <w:t>I can say</w:t>
      </w:r>
      <w:r w:rsidR="008A00DB" w:rsidRPr="00B66B63">
        <w:rPr>
          <w:rFonts w:ascii="Arial" w:eastAsia="Arial" w:hAnsi="Arial" w:cs="Arial"/>
          <w:color w:val="000000" w:themeColor="text1"/>
          <w:sz w:val="22"/>
          <w:szCs w:val="22"/>
        </w:rPr>
        <w:t xml:space="preserve"> that the group project was moderately successful. The final delivery plan presented a coherent and evidence-based model that was successful in linking identified needs, such as multiple disadvantages, along with fragmented services to a structured integrated response. The Logic Model was also applied for the purpose of demonstrating clear progression from inputs, such as partners and resources, through activities such as joint commissioning and outreach, to outputs such as coordinated care, outcomes such as improved engagement and retention and lastly, impact such as reduced harm and crisis interventions. The plan is known to have successfully incorporated person-centred, along with trauma-informed principles, in addition to aligning with the requirements of ICS.</w:t>
      </w:r>
    </w:p>
    <w:p w14:paraId="6D7D515A" w14:textId="35A87181" w:rsidR="008A00DB" w:rsidRPr="00B66B63" w:rsidRDefault="008A00DB" w:rsidP="008A00DB">
      <w:pPr>
        <w:spacing w:before="120" w:after="120" w:line="360" w:lineRule="auto"/>
        <w:jc w:val="both"/>
        <w:rPr>
          <w:rFonts w:ascii="Arial" w:eastAsia="Arial" w:hAnsi="Arial" w:cs="Arial"/>
          <w:color w:val="000000" w:themeColor="text1"/>
          <w:sz w:val="22"/>
          <w:szCs w:val="22"/>
        </w:rPr>
      </w:pPr>
      <w:r w:rsidRPr="00B66B63">
        <w:rPr>
          <w:rFonts w:ascii="Arial" w:eastAsia="Arial" w:hAnsi="Arial" w:cs="Arial"/>
          <w:color w:val="000000" w:themeColor="text1"/>
          <w:sz w:val="22"/>
          <w:szCs w:val="22"/>
        </w:rPr>
        <w:t xml:space="preserve">However, there were several limitations, such as the implementation's feasibility, which is known for requiring further refinement. This is particularly essential for funding sustainability (Pearson </w:t>
      </w:r>
      <w:r w:rsidRPr="00B66B63">
        <w:rPr>
          <w:rFonts w:ascii="Arial" w:eastAsia="Arial" w:hAnsi="Arial" w:cs="Arial"/>
          <w:i/>
          <w:iCs/>
          <w:color w:val="000000" w:themeColor="text1"/>
          <w:sz w:val="22"/>
          <w:szCs w:val="22"/>
        </w:rPr>
        <w:t>et al.,</w:t>
      </w:r>
      <w:r w:rsidRPr="00B66B63">
        <w:rPr>
          <w:rFonts w:ascii="Arial" w:eastAsia="Arial" w:hAnsi="Arial" w:cs="Arial"/>
          <w:color w:val="000000" w:themeColor="text1"/>
          <w:sz w:val="22"/>
          <w:szCs w:val="22"/>
        </w:rPr>
        <w:t xml:space="preserve"> 2020). There were also limitations of overcoming entrenched silo working, along with realistic timelines due to the resource constraints. There were some segments that also contained minor inconsistencies, such as referencing data from other boroughs. Although these were noted during review, the need for tiger cross-checking in future work was highlighted.</w:t>
      </w:r>
      <w:r w:rsidR="006935B2" w:rsidRPr="00B66B63">
        <w:rPr>
          <w:rFonts w:ascii="Arial" w:eastAsia="Arial" w:hAnsi="Arial" w:cs="Arial"/>
          <w:color w:val="000000" w:themeColor="text1"/>
          <w:sz w:val="22"/>
          <w:szCs w:val="22"/>
        </w:rPr>
        <w:t xml:space="preserve"> Overall, I have learned that while theoretical models can provide a strong foundation, their successful application depends heavily on practical feasibility and consistency. I now better understand the gap between planning and real-world implementation in integrated care systems.</w:t>
      </w:r>
    </w:p>
    <w:p w14:paraId="7BA6CB06" w14:textId="77777777" w:rsidR="008A00DB" w:rsidRPr="00B66B63" w:rsidRDefault="008A00DB" w:rsidP="008A00DB">
      <w:pPr>
        <w:pStyle w:val="Heading2"/>
        <w:spacing w:before="120" w:after="120" w:line="360" w:lineRule="auto"/>
        <w:jc w:val="both"/>
        <w:rPr>
          <w:rFonts w:ascii="Arial" w:eastAsia="Arial" w:hAnsi="Arial" w:cs="Arial"/>
          <w:color w:val="000000" w:themeColor="text1"/>
          <w:sz w:val="22"/>
          <w:szCs w:val="22"/>
        </w:rPr>
      </w:pPr>
      <w:bookmarkStart w:id="17" w:name="_Toc227183421"/>
      <w:r w:rsidRPr="00B66B63">
        <w:rPr>
          <w:rFonts w:ascii="Arial" w:eastAsia="Arial" w:hAnsi="Arial" w:cs="Arial"/>
          <w:color w:val="000000" w:themeColor="text1"/>
          <w:sz w:val="22"/>
          <w:szCs w:val="22"/>
        </w:rPr>
        <w:lastRenderedPageBreak/>
        <w:t>5.2 Identification of Relevant Competencies and Skills for HSC Professionals and Steps for Growth</w:t>
      </w:r>
      <w:bookmarkEnd w:id="17"/>
    </w:p>
    <w:p w14:paraId="48C7A395" w14:textId="77777777" w:rsidR="008A00DB" w:rsidRPr="00B66B63" w:rsidRDefault="008A00DB" w:rsidP="008A00DB">
      <w:pPr>
        <w:spacing w:before="120" w:after="120" w:line="360" w:lineRule="auto"/>
        <w:jc w:val="both"/>
        <w:rPr>
          <w:rFonts w:ascii="Arial" w:eastAsia="Arial" w:hAnsi="Arial" w:cs="Arial"/>
          <w:color w:val="000000" w:themeColor="text1"/>
          <w:sz w:val="22"/>
          <w:szCs w:val="22"/>
        </w:rPr>
      </w:pPr>
      <w:r w:rsidRPr="00B66B63">
        <w:rPr>
          <w:rFonts w:ascii="Arial" w:eastAsia="Arial" w:hAnsi="Arial" w:cs="Arial"/>
          <w:color w:val="000000" w:themeColor="text1"/>
          <w:sz w:val="22"/>
          <w:szCs w:val="22"/>
        </w:rPr>
        <w:t>The group project resulted in developing various key competencies regarding health and social care professionals. These included critical appraisal, along with evidence evaluation, which was central to my role. There was also analytical thinking, such as mapping requirements to strategies, along with clear communication of complex ideas. I was able to build confidence in academic challenges, along with systems leadership awareness, by participating in group discussions. This also helped me to understand the method in which policy, resources, and relationships influence integrated care delivery.</w:t>
      </w:r>
    </w:p>
    <w:p w14:paraId="2DDB7574" w14:textId="3259639F" w:rsidR="008A00DB" w:rsidRPr="00B66B63" w:rsidRDefault="008A00DB" w:rsidP="008A00DB">
      <w:pPr>
        <w:spacing w:before="120" w:after="120" w:line="360" w:lineRule="auto"/>
        <w:jc w:val="both"/>
        <w:rPr>
          <w:rFonts w:ascii="Arial" w:eastAsia="Arial" w:hAnsi="Arial" w:cs="Arial"/>
          <w:color w:val="000000" w:themeColor="text1"/>
          <w:sz w:val="22"/>
          <w:szCs w:val="22"/>
        </w:rPr>
      </w:pPr>
      <w:r w:rsidRPr="00B66B63">
        <w:rPr>
          <w:rFonts w:ascii="Arial" w:eastAsia="Arial" w:hAnsi="Arial" w:cs="Arial"/>
          <w:color w:val="000000" w:themeColor="text1"/>
          <w:sz w:val="22"/>
          <w:szCs w:val="22"/>
        </w:rPr>
        <w:t>Such skills are able to directly support future integrated care practice as they can enable professionals to translate evidence into actionable partnership plans, along with navigating multi-agency environments. Further steps to grow include searching for formal training in systems leadership, along with change management, in addition to engaging in reflective supervision for deepening trauma-informed practice. On the other hand, there is also the pursuit of several opportunities regarding observing or participating in real Integrated Care Partnership meetings. It is also essential to note the significance of the continued development of digital literacy regarding shared-record systems</w:t>
      </w:r>
      <w:r w:rsidR="006935B2" w:rsidRPr="00B66B63">
        <w:rPr>
          <w:rFonts w:ascii="Arial" w:eastAsia="Arial" w:hAnsi="Arial" w:cs="Arial"/>
          <w:color w:val="000000" w:themeColor="text1"/>
          <w:sz w:val="22"/>
          <w:szCs w:val="22"/>
        </w:rPr>
        <w:t>. From this experience, I have expanded my knowledge of the competencies required for effective integrated care practice and gained insight into the importance of continuous professional development. I also recognise the need to further strengthen my leadership and confidence in contributing to multidisciplinary teams.</w:t>
      </w:r>
    </w:p>
    <w:p w14:paraId="5735B350" w14:textId="77777777" w:rsidR="008A00DB" w:rsidRPr="00B66B63" w:rsidRDefault="008A00DB" w:rsidP="008A00DB">
      <w:pPr>
        <w:pStyle w:val="Heading1"/>
        <w:spacing w:before="120" w:after="120" w:line="360" w:lineRule="auto"/>
        <w:jc w:val="both"/>
        <w:rPr>
          <w:rFonts w:ascii="Arial" w:eastAsia="Arial" w:hAnsi="Arial" w:cs="Arial"/>
          <w:color w:val="000000" w:themeColor="text1"/>
          <w:sz w:val="22"/>
          <w:szCs w:val="22"/>
        </w:rPr>
      </w:pPr>
      <w:bookmarkStart w:id="18" w:name="_Toc227183422"/>
      <w:r w:rsidRPr="00B66B63">
        <w:rPr>
          <w:rFonts w:ascii="Arial" w:eastAsia="Arial" w:hAnsi="Arial" w:cs="Arial"/>
          <w:color w:val="000000" w:themeColor="text1"/>
          <w:sz w:val="22"/>
          <w:szCs w:val="22"/>
        </w:rPr>
        <w:t>6. Conclusion</w:t>
      </w:r>
      <w:bookmarkEnd w:id="18"/>
    </w:p>
    <w:p w14:paraId="422CEB8A" w14:textId="77777777" w:rsidR="008A00DB" w:rsidRDefault="008A00DB" w:rsidP="008A00DB">
      <w:pPr>
        <w:spacing w:before="120" w:after="120" w:line="360" w:lineRule="auto"/>
        <w:jc w:val="both"/>
        <w:rPr>
          <w:rFonts w:ascii="Arial" w:eastAsia="Arial" w:hAnsi="Arial" w:cs="Arial"/>
          <w:sz w:val="22"/>
          <w:szCs w:val="22"/>
        </w:rPr>
      </w:pPr>
      <w:r w:rsidRPr="00B66B63">
        <w:rPr>
          <w:rFonts w:ascii="Arial" w:eastAsia="Arial" w:hAnsi="Arial" w:cs="Arial"/>
          <w:color w:val="000000" w:themeColor="text1"/>
          <w:sz w:val="22"/>
          <w:szCs w:val="22"/>
        </w:rPr>
        <w:t>It can be stated that the group project was successful in reinforcing the necessity of service integration, along with partnership working regarding addressing complex, interconnected needs such as drug and alcohol misuse, homelessness, and mental ill health in Westminster. The plan was successful in showcasing the method in which evidence-based multi-agency collaboration is able to move from fragmented crisis responses to coordinated, recovery-focused support by applying the various ICS principles, along with the person-centred care, in addition to the Logic Model. Such an experience resulted in deepening the overall understanding of the practical challenges, alongside opportunities of partnership working. It also highlighted the importance of rigorous evidence review, along with collective problem-solving. Moving forward, I am committed to developing systems leadership skills, along with also contributing effectively to integrated care initiatives in several professional practices.</w:t>
      </w:r>
      <w:r>
        <w:br w:type="page"/>
      </w:r>
    </w:p>
    <w:p w14:paraId="5054E10D" w14:textId="77777777" w:rsidR="008A00DB" w:rsidRDefault="008A00DB" w:rsidP="008A00DB">
      <w:pPr>
        <w:pStyle w:val="Heading1"/>
        <w:spacing w:before="120" w:after="120" w:line="360" w:lineRule="auto"/>
        <w:jc w:val="both"/>
        <w:rPr>
          <w:rFonts w:ascii="Arial" w:eastAsia="Arial" w:hAnsi="Arial" w:cs="Arial"/>
          <w:sz w:val="22"/>
          <w:szCs w:val="22"/>
        </w:rPr>
      </w:pPr>
      <w:bookmarkStart w:id="19" w:name="_Toc227183423"/>
      <w:r>
        <w:rPr>
          <w:rFonts w:ascii="Arial" w:eastAsia="Arial" w:hAnsi="Arial" w:cs="Arial"/>
          <w:sz w:val="22"/>
          <w:szCs w:val="22"/>
        </w:rPr>
        <w:lastRenderedPageBreak/>
        <w:t>References</w:t>
      </w:r>
      <w:bookmarkEnd w:id="19"/>
    </w:p>
    <w:p w14:paraId="381E3F13"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Coulter, A. and Oldham, J. (2016). Person-centred care: What Is It and How Do We Get there? </w:t>
      </w:r>
      <w:r>
        <w:rPr>
          <w:rFonts w:ascii="Arial" w:eastAsia="Arial" w:hAnsi="Arial" w:cs="Arial"/>
          <w:i/>
          <w:iCs/>
          <w:sz w:val="22"/>
          <w:szCs w:val="22"/>
        </w:rPr>
        <w:t>Future Hospital Journal</w:t>
      </w:r>
      <w:r>
        <w:rPr>
          <w:rFonts w:ascii="Arial" w:eastAsia="Arial" w:hAnsi="Arial" w:cs="Arial"/>
          <w:sz w:val="22"/>
          <w:szCs w:val="22"/>
        </w:rPr>
        <w:t>, [online] 3(2), pp.114–116. doi:</w:t>
      </w:r>
      <w:hyperlink r:id="rId7">
        <w:r>
          <w:rPr>
            <w:rFonts w:ascii="Arial" w:eastAsia="Arial" w:hAnsi="Arial" w:cs="Arial"/>
            <w:color w:val="1155CC"/>
            <w:sz w:val="22"/>
            <w:szCs w:val="22"/>
            <w:u w:val="single"/>
          </w:rPr>
          <w:t>https://doi.org/10.7861/futurehosp.3-2-114</w:t>
        </w:r>
      </w:hyperlink>
      <w:r>
        <w:rPr>
          <w:rFonts w:ascii="Arial" w:eastAsia="Arial" w:hAnsi="Arial" w:cs="Arial"/>
          <w:sz w:val="22"/>
          <w:szCs w:val="22"/>
        </w:rPr>
        <w:t>.</w:t>
      </w:r>
    </w:p>
    <w:p w14:paraId="7B668853"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Crisis (2025). </w:t>
      </w:r>
      <w:r>
        <w:rPr>
          <w:rFonts w:ascii="Arial" w:eastAsia="Arial" w:hAnsi="Arial" w:cs="Arial"/>
          <w:i/>
          <w:iCs/>
          <w:sz w:val="22"/>
          <w:szCs w:val="22"/>
        </w:rPr>
        <w:t>Crisis Housing First in London and Newcastle: Final Evaluation</w:t>
      </w:r>
      <w:r>
        <w:rPr>
          <w:rFonts w:ascii="Arial" w:eastAsia="Arial" w:hAnsi="Arial" w:cs="Arial"/>
          <w:sz w:val="22"/>
          <w:szCs w:val="22"/>
        </w:rPr>
        <w:t>. [online] Available at: https://www.crisis.org.uk/media/urpk2tbm/crisis_housingfirst_evaluation_report_final.pdf [Accessed 15 Apr. 2026].</w:t>
      </w:r>
    </w:p>
    <w:p w14:paraId="2788E2D9"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DeLaCruz-Jiron, E.J., Hahn, L.M., Donahue, A.L. and Shore, J.H. (2022). Telemental health for the homeless population: Lessons learned when leveraging care. </w:t>
      </w:r>
      <w:r>
        <w:rPr>
          <w:rFonts w:ascii="Arial" w:eastAsia="Arial" w:hAnsi="Arial" w:cs="Arial"/>
          <w:i/>
          <w:iCs/>
          <w:sz w:val="22"/>
          <w:szCs w:val="22"/>
        </w:rPr>
        <w:t>Current Psychiatry Reports</w:t>
      </w:r>
      <w:r>
        <w:rPr>
          <w:rFonts w:ascii="Arial" w:eastAsia="Arial" w:hAnsi="Arial" w:cs="Arial"/>
          <w:sz w:val="22"/>
          <w:szCs w:val="22"/>
        </w:rPr>
        <w:t>, 25(1). doi:</w:t>
      </w:r>
      <w:hyperlink r:id="rId8">
        <w:r>
          <w:rPr>
            <w:rFonts w:ascii="Arial" w:eastAsia="Arial" w:hAnsi="Arial" w:cs="Arial"/>
            <w:color w:val="1155CC"/>
            <w:sz w:val="22"/>
            <w:szCs w:val="22"/>
            <w:u w:val="single"/>
          </w:rPr>
          <w:t>https://doi.org/10.1007/s11920-022-01400-w</w:t>
        </w:r>
      </w:hyperlink>
      <w:r>
        <w:rPr>
          <w:rFonts w:ascii="Arial" w:eastAsia="Arial" w:hAnsi="Arial" w:cs="Arial"/>
          <w:sz w:val="22"/>
          <w:szCs w:val="22"/>
        </w:rPr>
        <w:t>.</w:t>
      </w:r>
    </w:p>
    <w:p w14:paraId="49735AB3"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Digital Care Hub (2025). </w:t>
      </w:r>
      <w:r>
        <w:rPr>
          <w:rFonts w:ascii="Arial" w:eastAsia="Arial" w:hAnsi="Arial" w:cs="Arial"/>
          <w:i/>
          <w:iCs/>
          <w:sz w:val="22"/>
          <w:szCs w:val="22"/>
        </w:rPr>
        <w:t>Poor information sharing is harming care – now is the time for change</w:t>
      </w:r>
      <w:r>
        <w:rPr>
          <w:rFonts w:ascii="Arial" w:eastAsia="Arial" w:hAnsi="Arial" w:cs="Arial"/>
          <w:sz w:val="22"/>
          <w:szCs w:val="22"/>
        </w:rPr>
        <w:t>. [online] Digitalcarehub.co.uk. Available at: https://www.digitalcarehub.co.uk/poor-information-sharing-is-harming-care-now-is-the-time-for-change/ [Accessed 15 Apr. 2026].</w:t>
      </w:r>
    </w:p>
    <w:p w14:paraId="696B63E2"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Durand, M.A., Wistow, G., Al Haboubi, M. =, Douglas, N., Erens, B., Hoomans, T., Manacorda, T., Miller, R., Pacho, A., Rehackova, L., Smith, J., Lavanya Thana and Mays, N. (2025). Evaluating the role of community-based multi-disciplinary teams in integrated health and social care in England: Overview of findings from the Pioneer evaluation and their implications for health and social care integration. </w:t>
      </w:r>
      <w:r>
        <w:rPr>
          <w:rFonts w:ascii="Arial" w:eastAsia="Arial" w:hAnsi="Arial" w:cs="Arial"/>
          <w:i/>
          <w:iCs/>
          <w:sz w:val="22"/>
          <w:szCs w:val="22"/>
        </w:rPr>
        <w:t>PubMed</w:t>
      </w:r>
      <w:r>
        <w:rPr>
          <w:rFonts w:ascii="Arial" w:eastAsia="Arial" w:hAnsi="Arial" w:cs="Arial"/>
          <w:sz w:val="22"/>
          <w:szCs w:val="22"/>
        </w:rPr>
        <w:t>, 30(1_suppl), pp.69S81S. doi:</w:t>
      </w:r>
      <w:hyperlink r:id="rId9">
        <w:r>
          <w:rPr>
            <w:rFonts w:ascii="Arial" w:eastAsia="Arial" w:hAnsi="Arial" w:cs="Arial"/>
            <w:color w:val="1155CC"/>
            <w:sz w:val="22"/>
            <w:szCs w:val="22"/>
            <w:u w:val="single"/>
          </w:rPr>
          <w:t>https://doi.org/10.1177/13558196251349398</w:t>
        </w:r>
      </w:hyperlink>
      <w:r>
        <w:rPr>
          <w:rFonts w:ascii="Arial" w:eastAsia="Arial" w:hAnsi="Arial" w:cs="Arial"/>
          <w:sz w:val="22"/>
          <w:szCs w:val="22"/>
        </w:rPr>
        <w:t>.</w:t>
      </w:r>
    </w:p>
    <w:p w14:paraId="57E3D3A8"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Friebel, R., Yoo, K.J. and Maynou, L. (2021). Opioid abuse and austerity: Evidence on health service use and mortality in England. </w:t>
      </w:r>
      <w:r>
        <w:rPr>
          <w:rFonts w:ascii="Arial" w:eastAsia="Arial" w:hAnsi="Arial" w:cs="Arial"/>
          <w:i/>
          <w:iCs/>
          <w:sz w:val="22"/>
          <w:szCs w:val="22"/>
        </w:rPr>
        <w:t>Social Science &amp; Medicine</w:t>
      </w:r>
      <w:r>
        <w:rPr>
          <w:rFonts w:ascii="Arial" w:eastAsia="Arial" w:hAnsi="Arial" w:cs="Arial"/>
          <w:sz w:val="22"/>
          <w:szCs w:val="22"/>
        </w:rPr>
        <w:t>, [online] 298, p.114511. doi:</w:t>
      </w:r>
      <w:hyperlink r:id="rId10">
        <w:r>
          <w:rPr>
            <w:rFonts w:ascii="Arial" w:eastAsia="Arial" w:hAnsi="Arial" w:cs="Arial"/>
            <w:color w:val="1155CC"/>
            <w:sz w:val="22"/>
            <w:szCs w:val="22"/>
            <w:u w:val="single"/>
          </w:rPr>
          <w:t>https://doi.org/10.1016/j.socscimed.2021.114511</w:t>
        </w:r>
      </w:hyperlink>
      <w:r>
        <w:rPr>
          <w:rFonts w:ascii="Arial" w:eastAsia="Arial" w:hAnsi="Arial" w:cs="Arial"/>
          <w:sz w:val="22"/>
          <w:szCs w:val="22"/>
        </w:rPr>
        <w:t>.</w:t>
      </w:r>
    </w:p>
    <w:p w14:paraId="5A3BA5DA"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Government of the UK (2014). </w:t>
      </w:r>
      <w:r>
        <w:rPr>
          <w:rFonts w:ascii="Arial" w:eastAsia="Arial" w:hAnsi="Arial" w:cs="Arial"/>
          <w:i/>
          <w:iCs/>
          <w:sz w:val="22"/>
          <w:szCs w:val="22"/>
        </w:rPr>
        <w:t>Care Act 2014</w:t>
      </w:r>
      <w:r>
        <w:rPr>
          <w:rFonts w:ascii="Arial" w:eastAsia="Arial" w:hAnsi="Arial" w:cs="Arial"/>
          <w:sz w:val="22"/>
          <w:szCs w:val="22"/>
        </w:rPr>
        <w:t>. [online] Legislation.gov.uk. Available at: https://www.legislation.gov.uk/id/ukpga/2014/23 [Accessed 15 Apr. 2026].</w:t>
      </w:r>
    </w:p>
    <w:p w14:paraId="3D568386"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Government of the UK (2022). </w:t>
      </w:r>
      <w:r>
        <w:rPr>
          <w:rFonts w:ascii="Arial" w:eastAsia="Arial" w:hAnsi="Arial" w:cs="Arial"/>
          <w:i/>
          <w:iCs/>
          <w:sz w:val="22"/>
          <w:szCs w:val="22"/>
        </w:rPr>
        <w:t>Health and Care Act 2022 Impact Assessments Summary Document and Analysis of Additional Measures</w:t>
      </w:r>
      <w:r>
        <w:rPr>
          <w:rFonts w:ascii="Arial" w:eastAsia="Arial" w:hAnsi="Arial" w:cs="Arial"/>
          <w:sz w:val="22"/>
          <w:szCs w:val="22"/>
        </w:rPr>
        <w:t xml:space="preserve">. [online] </w:t>
      </w:r>
      <w:r>
        <w:rPr>
          <w:rFonts w:ascii="Arial" w:eastAsia="Arial" w:hAnsi="Arial" w:cs="Arial"/>
          <w:i/>
          <w:iCs/>
          <w:sz w:val="22"/>
          <w:szCs w:val="22"/>
        </w:rPr>
        <w:t>Department of Health and Social Care</w:t>
      </w:r>
      <w:r>
        <w:rPr>
          <w:rFonts w:ascii="Arial" w:eastAsia="Arial" w:hAnsi="Arial" w:cs="Arial"/>
          <w:sz w:val="22"/>
          <w:szCs w:val="22"/>
        </w:rPr>
        <w:t>. Available at: https://assets.publishing.service.gov.uk/media/6363d911e90e0705a8c35457/health-and-care-act-2022-summary-and-additional-measures-impact-assessment.pdf [Accessed 15 Apr. 2026].</w:t>
      </w:r>
    </w:p>
    <w:p w14:paraId="3B0071AA"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Government of the UK (2024). </w:t>
      </w:r>
      <w:r>
        <w:rPr>
          <w:rFonts w:ascii="Arial" w:eastAsia="Arial" w:hAnsi="Arial" w:cs="Arial"/>
          <w:i/>
          <w:iCs/>
          <w:sz w:val="22"/>
          <w:szCs w:val="22"/>
        </w:rPr>
        <w:t>Multiple disadvantage in Westminster: Population Needs Assessment</w:t>
      </w:r>
      <w:r>
        <w:rPr>
          <w:rFonts w:ascii="Arial" w:eastAsia="Arial" w:hAnsi="Arial" w:cs="Arial"/>
          <w:sz w:val="22"/>
          <w:szCs w:val="22"/>
        </w:rPr>
        <w:t xml:space="preserve">. [online] Available at: </w:t>
      </w:r>
      <w:r>
        <w:rPr>
          <w:rFonts w:ascii="Arial" w:eastAsia="Arial" w:hAnsi="Arial" w:cs="Arial"/>
          <w:sz w:val="22"/>
          <w:szCs w:val="22"/>
        </w:rPr>
        <w:lastRenderedPageBreak/>
        <w:t>https://www.westminster.gov.uk/sites/default/files/media/documents/Multi%20Disadvantage%20in%20Westminster%20-%20Population%20Needs%20Assesment.pdf [Accessed 15 Apr. 2026].</w:t>
      </w:r>
    </w:p>
    <w:p w14:paraId="1B155343"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Health Knowledge (2010). </w:t>
      </w:r>
      <w:r>
        <w:rPr>
          <w:rFonts w:ascii="Arial" w:eastAsia="Arial" w:hAnsi="Arial" w:cs="Arial"/>
          <w:i/>
          <w:iCs/>
          <w:sz w:val="22"/>
          <w:szCs w:val="22"/>
        </w:rPr>
        <w:t>Partnerships</w:t>
      </w:r>
      <w:r>
        <w:rPr>
          <w:rFonts w:ascii="Arial" w:eastAsia="Arial" w:hAnsi="Arial" w:cs="Arial"/>
          <w:sz w:val="22"/>
          <w:szCs w:val="22"/>
        </w:rPr>
        <w:t>. [online] Health Knowledge. Available at: https://www.healthknowledge.org.uk/public-health-textbook/disease-causation-diagnostic/2h-principles-health-promotion/partnerships [Accessed 15 Apr. 2026].</w:t>
      </w:r>
    </w:p>
    <w:p w14:paraId="1C27F647"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Health Snap (2023). </w:t>
      </w:r>
      <w:r>
        <w:rPr>
          <w:rFonts w:ascii="Arial" w:eastAsia="Arial" w:hAnsi="Arial" w:cs="Arial"/>
          <w:i/>
          <w:iCs/>
          <w:sz w:val="22"/>
          <w:szCs w:val="22"/>
        </w:rPr>
        <w:t>What Is Triple Aim Healthcare?</w:t>
      </w:r>
      <w:r>
        <w:rPr>
          <w:rFonts w:ascii="Arial" w:eastAsia="Arial" w:hAnsi="Arial" w:cs="Arial"/>
          <w:sz w:val="22"/>
          <w:szCs w:val="22"/>
        </w:rPr>
        <w:t xml:space="preserve"> [online] HealthSnap. Available at: https://healthsnap.io/what-is-triple-aim-healthcare/ [Accessed 15 Apr. 2026].</w:t>
      </w:r>
    </w:p>
    <w:p w14:paraId="441FB977"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Hegner, R.E. (1998). </w:t>
      </w:r>
      <w:r>
        <w:rPr>
          <w:rFonts w:ascii="Arial" w:eastAsia="Arial" w:hAnsi="Arial" w:cs="Arial"/>
          <w:i/>
          <w:iCs/>
          <w:sz w:val="22"/>
          <w:szCs w:val="22"/>
        </w:rPr>
        <w:t>Dual Diagnoses: The Challenge of Serving People with Concurrent Mental Illness and Substance Abuse Problems</w:t>
      </w:r>
      <w:r>
        <w:rPr>
          <w:rFonts w:ascii="Arial" w:eastAsia="Arial" w:hAnsi="Arial" w:cs="Arial"/>
          <w:sz w:val="22"/>
          <w:szCs w:val="22"/>
        </w:rPr>
        <w:t xml:space="preserve">. [online] </w:t>
      </w:r>
      <w:r>
        <w:rPr>
          <w:rFonts w:ascii="Arial" w:eastAsia="Arial" w:hAnsi="Arial" w:cs="Arial"/>
          <w:i/>
          <w:iCs/>
          <w:sz w:val="22"/>
          <w:szCs w:val="22"/>
        </w:rPr>
        <w:t>PubMed</w:t>
      </w:r>
      <w:r>
        <w:rPr>
          <w:rFonts w:ascii="Arial" w:eastAsia="Arial" w:hAnsi="Arial" w:cs="Arial"/>
          <w:sz w:val="22"/>
          <w:szCs w:val="22"/>
        </w:rPr>
        <w:t>. National Health Policy Forum. Available at: https://www.ncbi.nlm.nih.gov/books/NBK559478/ [Accessed 15 Apr. 2026].</w:t>
      </w:r>
    </w:p>
    <w:p w14:paraId="101AE280"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Joo, J.Y. (2023). Fragmented Care and Chronic Illness Patient outcomes: A systematic Review. </w:t>
      </w:r>
      <w:r>
        <w:rPr>
          <w:rFonts w:ascii="Arial" w:eastAsia="Arial" w:hAnsi="Arial" w:cs="Arial"/>
          <w:i/>
          <w:iCs/>
          <w:sz w:val="22"/>
          <w:szCs w:val="22"/>
        </w:rPr>
        <w:t>Nursing Open</w:t>
      </w:r>
      <w:r>
        <w:rPr>
          <w:rFonts w:ascii="Arial" w:eastAsia="Arial" w:hAnsi="Arial" w:cs="Arial"/>
          <w:sz w:val="22"/>
          <w:szCs w:val="22"/>
        </w:rPr>
        <w:t>, [online] 10(6). doi:https://doi.org/10.1002/nop2.1607.</w:t>
      </w:r>
    </w:p>
    <w:p w14:paraId="726FFAED"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JSNA (2016). </w:t>
      </w:r>
      <w:r>
        <w:rPr>
          <w:rFonts w:ascii="Arial" w:eastAsia="Arial" w:hAnsi="Arial" w:cs="Arial"/>
          <w:i/>
          <w:iCs/>
          <w:sz w:val="22"/>
          <w:szCs w:val="22"/>
        </w:rPr>
        <w:t>Joint Strategic Needs Assessment Summary Document Life, Health, and Wellbeing in Tower Hamlets Tower Hamlets JSNA Reference Group</w:t>
      </w:r>
      <w:r>
        <w:rPr>
          <w:rFonts w:ascii="Arial" w:eastAsia="Arial" w:hAnsi="Arial" w:cs="Arial"/>
          <w:sz w:val="22"/>
          <w:szCs w:val="22"/>
        </w:rPr>
        <w:t>. [online] Available at: https://www.towerhamlets.gov.uk/Documents/Public-Health/JSNA/JSNA_Summary.pdf [Accessed 15 Apr. 2026].</w:t>
      </w:r>
    </w:p>
    <w:p w14:paraId="4CFA394D"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Kariotis, T.C., Prictor, M., Gray, K. and Chang, S. (2025). Bridging the gap: How information sharing practices across Health, Mental Health and Social Care services shape information continuity in Australian mental healthcare services. </w:t>
      </w:r>
      <w:r>
        <w:rPr>
          <w:rFonts w:ascii="Arial" w:eastAsia="Arial" w:hAnsi="Arial" w:cs="Arial"/>
          <w:i/>
          <w:iCs/>
          <w:sz w:val="22"/>
          <w:szCs w:val="22"/>
        </w:rPr>
        <w:t>SSM - Health Systems</w:t>
      </w:r>
      <w:r>
        <w:rPr>
          <w:rFonts w:ascii="Arial" w:eastAsia="Arial" w:hAnsi="Arial" w:cs="Arial"/>
          <w:sz w:val="22"/>
          <w:szCs w:val="22"/>
        </w:rPr>
        <w:t>, pp.100118–100118. doi:</w:t>
      </w:r>
      <w:hyperlink r:id="rId11">
        <w:r>
          <w:rPr>
            <w:rFonts w:ascii="Arial" w:eastAsia="Arial" w:hAnsi="Arial" w:cs="Arial"/>
            <w:color w:val="1155CC"/>
            <w:sz w:val="22"/>
            <w:szCs w:val="22"/>
            <w:u w:val="single"/>
          </w:rPr>
          <w:t>https://doi.org/10.1016/j.ssmhs.2025.100118</w:t>
        </w:r>
      </w:hyperlink>
      <w:r>
        <w:rPr>
          <w:rFonts w:ascii="Arial" w:eastAsia="Arial" w:hAnsi="Arial" w:cs="Arial"/>
          <w:sz w:val="22"/>
          <w:szCs w:val="22"/>
        </w:rPr>
        <w:t>.</w:t>
      </w:r>
    </w:p>
    <w:p w14:paraId="36752BB2"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Kenton, W. (2020). </w:t>
      </w:r>
      <w:r>
        <w:rPr>
          <w:rFonts w:ascii="Arial" w:eastAsia="Arial" w:hAnsi="Arial" w:cs="Arial"/>
          <w:i/>
          <w:iCs/>
          <w:sz w:val="22"/>
          <w:szCs w:val="22"/>
        </w:rPr>
        <w:t>Understanding Silo Mentality</w:t>
      </w:r>
      <w:r>
        <w:rPr>
          <w:rFonts w:ascii="Arial" w:eastAsia="Arial" w:hAnsi="Arial" w:cs="Arial"/>
          <w:sz w:val="22"/>
          <w:szCs w:val="22"/>
        </w:rPr>
        <w:t>. [online] Investopedia. Available at: https://www.investopedia.com/terms/s/silo-mentality.asp [Accessed 15 Apr. 2026].</w:t>
      </w:r>
    </w:p>
    <w:p w14:paraId="481A14A5"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Khatri, R., Endalamaw, A., Erku, D., Wolka, E., Nigatu, F., Zewdie, A. and Assefa, Y. (2023). Continuity and care coordination of primary health care: A scoping review. </w:t>
      </w:r>
      <w:r>
        <w:rPr>
          <w:rFonts w:ascii="Arial" w:eastAsia="Arial" w:hAnsi="Arial" w:cs="Arial"/>
          <w:i/>
          <w:iCs/>
          <w:sz w:val="22"/>
          <w:szCs w:val="22"/>
        </w:rPr>
        <w:t>BioMed Central Health Services Research</w:t>
      </w:r>
      <w:r>
        <w:rPr>
          <w:rFonts w:ascii="Arial" w:eastAsia="Arial" w:hAnsi="Arial" w:cs="Arial"/>
          <w:sz w:val="22"/>
          <w:szCs w:val="22"/>
        </w:rPr>
        <w:t>, [online] 23(1), p.750. doi:</w:t>
      </w:r>
      <w:hyperlink r:id="rId12">
        <w:r>
          <w:rPr>
            <w:rFonts w:ascii="Arial" w:eastAsia="Arial" w:hAnsi="Arial" w:cs="Arial"/>
            <w:color w:val="1155CC"/>
            <w:sz w:val="22"/>
            <w:szCs w:val="22"/>
            <w:u w:val="single"/>
          </w:rPr>
          <w:t>https://doi.org/10.1186/s12913-023-09718-8</w:t>
        </w:r>
      </w:hyperlink>
      <w:r>
        <w:rPr>
          <w:rFonts w:ascii="Arial" w:eastAsia="Arial" w:hAnsi="Arial" w:cs="Arial"/>
          <w:sz w:val="22"/>
          <w:szCs w:val="22"/>
        </w:rPr>
        <w:t>.</w:t>
      </w:r>
    </w:p>
    <w:p w14:paraId="2B96D4A3"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Lalani, M., Peters, M., Sugavanam, T., Crocker, H., Caiels, J., Hay, H., Gunn, S., Hogan, H., Page, B. and Fitzpatrick, R. (2024). New Ways of Working to Manage and Improve Quality in Integrated Care Systems in England. </w:t>
      </w:r>
      <w:r>
        <w:rPr>
          <w:rFonts w:ascii="Arial" w:eastAsia="Arial" w:hAnsi="Arial" w:cs="Arial"/>
          <w:i/>
          <w:iCs/>
          <w:sz w:val="22"/>
          <w:szCs w:val="22"/>
        </w:rPr>
        <w:t>International Journal of Health Policy and Management</w:t>
      </w:r>
      <w:r>
        <w:rPr>
          <w:rFonts w:ascii="Arial" w:eastAsia="Arial" w:hAnsi="Arial" w:cs="Arial"/>
          <w:sz w:val="22"/>
          <w:szCs w:val="22"/>
        </w:rPr>
        <w:t>, 14(1). doi:</w:t>
      </w:r>
      <w:hyperlink r:id="rId13">
        <w:r>
          <w:rPr>
            <w:rFonts w:ascii="Arial" w:eastAsia="Arial" w:hAnsi="Arial" w:cs="Arial"/>
            <w:color w:val="1155CC"/>
            <w:sz w:val="22"/>
            <w:szCs w:val="22"/>
            <w:u w:val="single"/>
          </w:rPr>
          <w:t>https://doi.org/10.34172/ijhpm.8424</w:t>
        </w:r>
      </w:hyperlink>
      <w:r>
        <w:rPr>
          <w:rFonts w:ascii="Arial" w:eastAsia="Arial" w:hAnsi="Arial" w:cs="Arial"/>
          <w:sz w:val="22"/>
          <w:szCs w:val="22"/>
        </w:rPr>
        <w:t>.</w:t>
      </w:r>
    </w:p>
    <w:p w14:paraId="54682AC2"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National Guideline Alliance (UK) (2022). </w:t>
      </w:r>
      <w:r>
        <w:rPr>
          <w:rFonts w:ascii="Arial" w:eastAsia="Arial" w:hAnsi="Arial" w:cs="Arial"/>
          <w:i/>
          <w:iCs/>
          <w:sz w:val="22"/>
          <w:szCs w:val="22"/>
        </w:rPr>
        <w:t xml:space="preserve">Evidence review for views and experiences of health and social care for people experiencing homelessness: Integrated health and social care for people </w:t>
      </w:r>
      <w:r>
        <w:rPr>
          <w:rFonts w:ascii="Arial" w:eastAsia="Arial" w:hAnsi="Arial" w:cs="Arial"/>
          <w:i/>
          <w:iCs/>
          <w:sz w:val="22"/>
          <w:szCs w:val="22"/>
        </w:rPr>
        <w:lastRenderedPageBreak/>
        <w:t>experiencing homelessness: Evidence review C</w:t>
      </w:r>
      <w:r>
        <w:rPr>
          <w:rFonts w:ascii="Arial" w:eastAsia="Arial" w:hAnsi="Arial" w:cs="Arial"/>
          <w:sz w:val="22"/>
          <w:szCs w:val="22"/>
        </w:rPr>
        <w:t xml:space="preserve">. [online] </w:t>
      </w:r>
      <w:r>
        <w:rPr>
          <w:rFonts w:ascii="Arial" w:eastAsia="Arial" w:hAnsi="Arial" w:cs="Arial"/>
          <w:i/>
          <w:iCs/>
          <w:sz w:val="22"/>
          <w:szCs w:val="22"/>
        </w:rPr>
        <w:t>PubMed</w:t>
      </w:r>
      <w:r>
        <w:rPr>
          <w:rFonts w:ascii="Arial" w:eastAsia="Arial" w:hAnsi="Arial" w:cs="Arial"/>
          <w:sz w:val="22"/>
          <w:szCs w:val="22"/>
        </w:rPr>
        <w:t>. London: National Institute for Health and Care Excellence (NICE). Available at: https://www.ncbi.nlm.nih.gov/books/NBK579614/ [Accessed 15 Apr. 2026].</w:t>
      </w:r>
    </w:p>
    <w:p w14:paraId="3B3D417F"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NCBI (2014). </w:t>
      </w:r>
      <w:r>
        <w:rPr>
          <w:rFonts w:ascii="Arial" w:eastAsia="Arial" w:hAnsi="Arial" w:cs="Arial"/>
          <w:i/>
          <w:iCs/>
          <w:sz w:val="22"/>
          <w:szCs w:val="22"/>
        </w:rPr>
        <w:t>Building a trauma-informed workforce</w:t>
      </w:r>
      <w:r>
        <w:rPr>
          <w:rFonts w:ascii="Arial" w:eastAsia="Arial" w:hAnsi="Arial" w:cs="Arial"/>
          <w:sz w:val="22"/>
          <w:szCs w:val="22"/>
        </w:rPr>
        <w:t>. [online] Nih.gov. Available at: https://www.ncbi.nlm.nih.gov/books/NBK207194/ [Accessed 15 Apr. 2026].</w:t>
      </w:r>
    </w:p>
    <w:p w14:paraId="380689FE"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NHS (2022). </w:t>
      </w:r>
      <w:r>
        <w:rPr>
          <w:rFonts w:ascii="Arial" w:eastAsia="Arial" w:hAnsi="Arial" w:cs="Arial"/>
          <w:i/>
          <w:iCs/>
          <w:sz w:val="22"/>
          <w:szCs w:val="22"/>
        </w:rPr>
        <w:t>Find your local integrated care board (ICB)</w:t>
      </w:r>
      <w:r>
        <w:rPr>
          <w:rFonts w:ascii="Arial" w:eastAsia="Arial" w:hAnsi="Arial" w:cs="Arial"/>
          <w:sz w:val="22"/>
          <w:szCs w:val="22"/>
        </w:rPr>
        <w:t>. [online] nhs.uk. Available at: https://www.nhs.uk/nhs-services/find-your-local-integrated-care-board/ [Accessed 15 Apr. 2026].</w:t>
      </w:r>
    </w:p>
    <w:p w14:paraId="6DE89B7B"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OECD (2024). An integrated approach to service delivery for people with multiple and complex needs. </w:t>
      </w:r>
      <w:r>
        <w:rPr>
          <w:rFonts w:ascii="Arial" w:eastAsia="Arial" w:hAnsi="Arial" w:cs="Arial"/>
          <w:i/>
          <w:iCs/>
          <w:sz w:val="22"/>
          <w:szCs w:val="22"/>
        </w:rPr>
        <w:t>OECD social employment and migration working papers</w:t>
      </w:r>
      <w:r>
        <w:rPr>
          <w:rFonts w:ascii="Arial" w:eastAsia="Arial" w:hAnsi="Arial" w:cs="Arial"/>
          <w:sz w:val="22"/>
          <w:szCs w:val="22"/>
        </w:rPr>
        <w:t>. doi:</w:t>
      </w:r>
      <w:hyperlink r:id="rId14">
        <w:r>
          <w:rPr>
            <w:rFonts w:ascii="Arial" w:eastAsia="Arial" w:hAnsi="Arial" w:cs="Arial"/>
            <w:color w:val="1155CC"/>
            <w:sz w:val="22"/>
            <w:szCs w:val="22"/>
            <w:u w:val="single"/>
          </w:rPr>
          <w:t>https://doi.org/10.1787/d837a06a-en</w:t>
        </w:r>
      </w:hyperlink>
      <w:r>
        <w:rPr>
          <w:rFonts w:ascii="Arial" w:eastAsia="Arial" w:hAnsi="Arial" w:cs="Arial"/>
          <w:sz w:val="22"/>
          <w:szCs w:val="22"/>
        </w:rPr>
        <w:t>.</w:t>
      </w:r>
    </w:p>
    <w:p w14:paraId="0FA19F18"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Parkes, T., Matheson, C., Carver, H., Foster, R., Budd, J., Liddell, D., Wallace, J., Pauly, B., Fotopoulou, M., Burley, A., Anderson, I. and MacLennan, G. (2022). A peer-delivered intervention to reduce harm and improve the well-being of homeless people with problem substance use: the SHARPS feasibility mixed-methods study. </w:t>
      </w:r>
      <w:r>
        <w:rPr>
          <w:rFonts w:ascii="Arial" w:eastAsia="Arial" w:hAnsi="Arial" w:cs="Arial"/>
          <w:i/>
          <w:iCs/>
          <w:sz w:val="22"/>
          <w:szCs w:val="22"/>
        </w:rPr>
        <w:t>Health Technology Assessment</w:t>
      </w:r>
      <w:r>
        <w:rPr>
          <w:rFonts w:ascii="Arial" w:eastAsia="Arial" w:hAnsi="Arial" w:cs="Arial"/>
          <w:sz w:val="22"/>
          <w:szCs w:val="22"/>
        </w:rPr>
        <w:t>, 26(14), pp.1–128. doi:</w:t>
      </w:r>
      <w:hyperlink r:id="rId15">
        <w:r>
          <w:rPr>
            <w:rFonts w:ascii="Arial" w:eastAsia="Arial" w:hAnsi="Arial" w:cs="Arial"/>
            <w:color w:val="1155CC"/>
            <w:sz w:val="22"/>
            <w:szCs w:val="22"/>
            <w:u w:val="single"/>
          </w:rPr>
          <w:t>https://doi.org/10.3310/wvvl4786</w:t>
        </w:r>
      </w:hyperlink>
      <w:r>
        <w:rPr>
          <w:rFonts w:ascii="Arial" w:eastAsia="Arial" w:hAnsi="Arial" w:cs="Arial"/>
          <w:sz w:val="22"/>
          <w:szCs w:val="22"/>
        </w:rPr>
        <w:t>.</w:t>
      </w:r>
    </w:p>
    <w:p w14:paraId="4661144A"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Pearson, N., Naylor, P.-J., Ashe, M.C., Fernandez, M., Yoong, S.L. and Wolfenden, L. (2020). Guidance for Conducting Feasibility and Pilot Studies for Implementation Trials. </w:t>
      </w:r>
      <w:r>
        <w:rPr>
          <w:rFonts w:ascii="Arial" w:eastAsia="Arial" w:hAnsi="Arial" w:cs="Arial"/>
          <w:i/>
          <w:iCs/>
          <w:sz w:val="22"/>
          <w:szCs w:val="22"/>
        </w:rPr>
        <w:t>Pilot and Feasibility Studies</w:t>
      </w:r>
      <w:r>
        <w:rPr>
          <w:rFonts w:ascii="Arial" w:eastAsia="Arial" w:hAnsi="Arial" w:cs="Arial"/>
          <w:sz w:val="22"/>
          <w:szCs w:val="22"/>
        </w:rPr>
        <w:t>, [online] 6(1), pp.1–12. Available at: https://pilotfeasibilitystudies.biomedcentral.com/articles/10.1186/s40814-020-00634-w [Accessed 15 Apr. 2026].</w:t>
      </w:r>
    </w:p>
    <w:p w14:paraId="15543A0B" w14:textId="77777777" w:rsidR="008A00DB" w:rsidRDefault="008A00DB" w:rsidP="008A00DB">
      <w:pPr>
        <w:spacing w:before="120" w:after="120" w:line="360" w:lineRule="auto"/>
        <w:jc w:val="both"/>
        <w:rPr>
          <w:rFonts w:ascii="Arial" w:eastAsia="Arial" w:hAnsi="Arial" w:cs="Arial"/>
          <w:sz w:val="22"/>
          <w:szCs w:val="22"/>
        </w:rPr>
      </w:pPr>
      <w:r w:rsidRPr="00B66B63">
        <w:rPr>
          <w:rFonts w:ascii="Arial" w:eastAsia="Arial" w:hAnsi="Arial" w:cs="Arial"/>
          <w:sz w:val="22"/>
          <w:szCs w:val="22"/>
          <w:lang w:val="pl-PL"/>
        </w:rPr>
        <w:t xml:space="preserve">Pfajfar, G., Shoham, A., Małecka, A. and Zalaznik, M. (2022). </w:t>
      </w:r>
      <w:r>
        <w:rPr>
          <w:rFonts w:ascii="Arial" w:eastAsia="Arial" w:hAnsi="Arial" w:cs="Arial"/>
          <w:sz w:val="22"/>
          <w:szCs w:val="22"/>
        </w:rPr>
        <w:t xml:space="preserve">Value of corporate social responsibility for multiple stakeholders and social impact – Relationship marketing perspective. </w:t>
      </w:r>
      <w:r>
        <w:rPr>
          <w:rFonts w:ascii="Arial" w:eastAsia="Arial" w:hAnsi="Arial" w:cs="Arial"/>
          <w:i/>
          <w:iCs/>
          <w:sz w:val="22"/>
          <w:szCs w:val="22"/>
        </w:rPr>
        <w:t>Journal of Business Research</w:t>
      </w:r>
      <w:r>
        <w:rPr>
          <w:rFonts w:ascii="Arial" w:eastAsia="Arial" w:hAnsi="Arial" w:cs="Arial"/>
          <w:sz w:val="22"/>
          <w:szCs w:val="22"/>
        </w:rPr>
        <w:t>, [online] 143(4), pp.46–61. doi:</w:t>
      </w:r>
      <w:hyperlink r:id="rId16">
        <w:r>
          <w:rPr>
            <w:rFonts w:ascii="Arial" w:eastAsia="Arial" w:hAnsi="Arial" w:cs="Arial"/>
            <w:color w:val="1155CC"/>
            <w:sz w:val="22"/>
            <w:szCs w:val="22"/>
            <w:u w:val="single"/>
          </w:rPr>
          <w:t>https://doi.org/10.1016/j.jbusres.2022.01.051</w:t>
        </w:r>
      </w:hyperlink>
      <w:r>
        <w:rPr>
          <w:rFonts w:ascii="Arial" w:eastAsia="Arial" w:hAnsi="Arial" w:cs="Arial"/>
          <w:sz w:val="22"/>
          <w:szCs w:val="22"/>
        </w:rPr>
        <w:t>.</w:t>
      </w:r>
    </w:p>
    <w:p w14:paraId="5B4385B2"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SCIE (2024). </w:t>
      </w:r>
      <w:r>
        <w:rPr>
          <w:rFonts w:ascii="Arial" w:eastAsia="Arial" w:hAnsi="Arial" w:cs="Arial"/>
          <w:i/>
          <w:iCs/>
          <w:sz w:val="22"/>
          <w:szCs w:val="22"/>
        </w:rPr>
        <w:t>Logic model for integrated care</w:t>
      </w:r>
      <w:r>
        <w:rPr>
          <w:rFonts w:ascii="Arial" w:eastAsia="Arial" w:hAnsi="Arial" w:cs="Arial"/>
          <w:sz w:val="22"/>
          <w:szCs w:val="22"/>
        </w:rPr>
        <w:t>. [online] SCIE. Available at: https://www.scie.org.uk/integrated-care/logic-model-for-integrated-care/ [Accessed 15 Apr. 2026].</w:t>
      </w:r>
    </w:p>
    <w:p w14:paraId="486CE55D"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SCIE (2026). </w:t>
      </w:r>
      <w:r>
        <w:rPr>
          <w:rFonts w:ascii="Arial" w:eastAsia="Arial" w:hAnsi="Arial" w:cs="Arial"/>
          <w:i/>
          <w:iCs/>
          <w:sz w:val="22"/>
          <w:szCs w:val="22"/>
        </w:rPr>
        <w:t>How might leadership roles evolve in integrated health and care systems?</w:t>
      </w:r>
      <w:r>
        <w:rPr>
          <w:rFonts w:ascii="Arial" w:eastAsia="Arial" w:hAnsi="Arial" w:cs="Arial"/>
          <w:sz w:val="22"/>
          <w:szCs w:val="22"/>
        </w:rPr>
        <w:t xml:space="preserve"> [online] SCIE. Available at: https://www.scie.org.uk/integrated-care/leadership/evolving-roles/ [Accessed 15 Apr. 2026].</w:t>
      </w:r>
    </w:p>
    <w:p w14:paraId="14A8099D"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lastRenderedPageBreak/>
        <w:t xml:space="preserve">Supportive Care (2025). </w:t>
      </w:r>
      <w:r>
        <w:rPr>
          <w:rFonts w:ascii="Arial" w:eastAsia="Arial" w:hAnsi="Arial" w:cs="Arial"/>
          <w:i/>
          <w:iCs/>
          <w:sz w:val="22"/>
          <w:szCs w:val="22"/>
        </w:rPr>
        <w:t>Creating a Seamless Referral Process for Behavioral Health in Facilities - Supportive Care</w:t>
      </w:r>
      <w:r>
        <w:rPr>
          <w:rFonts w:ascii="Arial" w:eastAsia="Arial" w:hAnsi="Arial" w:cs="Arial"/>
          <w:sz w:val="22"/>
          <w:szCs w:val="22"/>
        </w:rPr>
        <w:t>. [online] Thesupportivecare.com. Available at: https://www.thesupportivecare.com/blog/creating-a-seamless-referral-process-for-behavioral-health-in-facilities [Accessed 15 Apr. 2026].</w:t>
      </w:r>
    </w:p>
    <w:p w14:paraId="0D8583EF"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UK Parliament (2022). </w:t>
      </w:r>
      <w:r>
        <w:rPr>
          <w:rFonts w:ascii="Arial" w:eastAsia="Arial" w:hAnsi="Arial" w:cs="Arial"/>
          <w:i/>
          <w:iCs/>
          <w:sz w:val="22"/>
          <w:szCs w:val="22"/>
        </w:rPr>
        <w:t>Integrated Care Systems: autonomy and accountability - Health and Social Care Committee</w:t>
      </w:r>
      <w:r>
        <w:rPr>
          <w:rFonts w:ascii="Arial" w:eastAsia="Arial" w:hAnsi="Arial" w:cs="Arial"/>
          <w:sz w:val="22"/>
          <w:szCs w:val="22"/>
        </w:rPr>
        <w:t>. [online] Parliament.uk. Available at: https://publications.parliament.uk/pa/cm5803/cmselect/cmhealth/587/report.html [Accessed 15 Apr. 2026].</w:t>
      </w:r>
    </w:p>
    <w:p w14:paraId="56232EA1"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Westminster (2025). </w:t>
      </w:r>
      <w:r>
        <w:rPr>
          <w:rFonts w:ascii="Arial" w:eastAsia="Arial" w:hAnsi="Arial" w:cs="Arial"/>
          <w:i/>
          <w:iCs/>
          <w:sz w:val="22"/>
          <w:szCs w:val="22"/>
        </w:rPr>
        <w:t>Housing | Westminster City Council</w:t>
      </w:r>
      <w:r>
        <w:rPr>
          <w:rFonts w:ascii="Arial" w:eastAsia="Arial" w:hAnsi="Arial" w:cs="Arial"/>
          <w:sz w:val="22"/>
          <w:szCs w:val="22"/>
        </w:rPr>
        <w:t>. [online] Westminster.gov.uk. Available at: https://www.westminster.gov.uk/housing [Accessed 15 Apr. 2026].</w:t>
      </w:r>
    </w:p>
    <w:p w14:paraId="1EC0C948" w14:textId="77777777" w:rsid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Westminster (2026). </w:t>
      </w:r>
      <w:r>
        <w:rPr>
          <w:rFonts w:ascii="Arial" w:eastAsia="Arial" w:hAnsi="Arial" w:cs="Arial"/>
          <w:i/>
          <w:iCs/>
          <w:sz w:val="22"/>
          <w:szCs w:val="22"/>
        </w:rPr>
        <w:t>Community Prevention Team | Westminster City Council</w:t>
      </w:r>
      <w:r>
        <w:rPr>
          <w:rFonts w:ascii="Arial" w:eastAsia="Arial" w:hAnsi="Arial" w:cs="Arial"/>
          <w:sz w:val="22"/>
          <w:szCs w:val="22"/>
        </w:rPr>
        <w:t>. [online] Westminster.gov.uk. Available at: https://www.westminster.gov.uk/housing/homelessness/community-prevention [Accessed 15 Apr. 2026].</w:t>
      </w:r>
    </w:p>
    <w:p w14:paraId="64F68D1F" w14:textId="77777777" w:rsidR="008A00DB" w:rsidRPr="008A00DB" w:rsidRDefault="008A00DB" w:rsidP="008A00DB">
      <w:pPr>
        <w:spacing w:before="120" w:after="120" w:line="360" w:lineRule="auto"/>
        <w:jc w:val="both"/>
        <w:rPr>
          <w:rFonts w:ascii="Arial" w:eastAsia="Arial" w:hAnsi="Arial" w:cs="Arial"/>
          <w:sz w:val="22"/>
          <w:szCs w:val="22"/>
        </w:rPr>
      </w:pPr>
      <w:r>
        <w:rPr>
          <w:rFonts w:ascii="Arial" w:eastAsia="Arial" w:hAnsi="Arial" w:cs="Arial"/>
          <w:sz w:val="22"/>
          <w:szCs w:val="22"/>
        </w:rPr>
        <w:t xml:space="preserve">Yang, L.H., Wong, L.Y., Grivel, M.M. and Hasin, D.S. (2017). Stigma and Substance Use Disorders: an international phenomenon. </w:t>
      </w:r>
      <w:r>
        <w:rPr>
          <w:rFonts w:ascii="Arial" w:eastAsia="Arial" w:hAnsi="Arial" w:cs="Arial"/>
          <w:i/>
          <w:iCs/>
          <w:sz w:val="22"/>
          <w:szCs w:val="22"/>
        </w:rPr>
        <w:t>Current Opinion in Psychiatry</w:t>
      </w:r>
      <w:r>
        <w:rPr>
          <w:rFonts w:ascii="Arial" w:eastAsia="Arial" w:hAnsi="Arial" w:cs="Arial"/>
          <w:sz w:val="22"/>
          <w:szCs w:val="22"/>
        </w:rPr>
        <w:t>, [online] 30(5), pp.378–388. doi:</w:t>
      </w:r>
      <w:hyperlink r:id="rId17">
        <w:r>
          <w:rPr>
            <w:rFonts w:ascii="Arial" w:eastAsia="Arial" w:hAnsi="Arial" w:cs="Arial"/>
            <w:color w:val="1155CC"/>
            <w:sz w:val="22"/>
            <w:szCs w:val="22"/>
            <w:u w:val="single"/>
          </w:rPr>
          <w:t>https://doi.org/10.1097/yco.0000000000000351</w:t>
        </w:r>
      </w:hyperlink>
      <w:r>
        <w:rPr>
          <w:rFonts w:ascii="Arial" w:eastAsia="Arial" w:hAnsi="Arial" w:cs="Arial"/>
          <w:sz w:val="22"/>
          <w:szCs w:val="22"/>
        </w:rPr>
        <w:t>.</w:t>
      </w:r>
    </w:p>
    <w:sectPr w:rsidR="008A00DB" w:rsidRPr="008A00DB">
      <w:footerReference w:type="default" r:id="rId1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A141D0" w14:textId="77777777" w:rsidR="002A7F4B" w:rsidRDefault="002A7F4B">
      <w:pPr>
        <w:spacing w:before="0" w:after="0" w:line="240" w:lineRule="auto"/>
      </w:pPr>
      <w:r>
        <w:separator/>
      </w:r>
    </w:p>
  </w:endnote>
  <w:endnote w:type="continuationSeparator" w:id="0">
    <w:p w14:paraId="26B3BAA6" w14:textId="77777777" w:rsidR="002A7F4B" w:rsidRDefault="002A7F4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Shruti">
    <w:altName w:val="Cambria Math"/>
    <w:panose1 w:val="020005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5A57E" w14:textId="02954D05" w:rsidR="005B2F46" w:rsidRDefault="005B2F46">
    <w:pPr>
      <w:jc w:val="right"/>
      <w:rPr>
        <w:rFonts w:ascii="Arial" w:eastAsia="Arial" w:hAnsi="Arial" w:cs="Arial"/>
        <w:sz w:val="22"/>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5FD3B2" w14:textId="77777777" w:rsidR="002A7F4B" w:rsidRDefault="002A7F4B">
      <w:pPr>
        <w:spacing w:before="0" w:after="0" w:line="240" w:lineRule="auto"/>
      </w:pPr>
      <w:r>
        <w:separator/>
      </w:r>
    </w:p>
  </w:footnote>
  <w:footnote w:type="continuationSeparator" w:id="0">
    <w:p w14:paraId="43529755" w14:textId="77777777" w:rsidR="002A7F4B" w:rsidRDefault="002A7F4B">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0DB"/>
    <w:rsid w:val="001139BD"/>
    <w:rsid w:val="00186D84"/>
    <w:rsid w:val="00274389"/>
    <w:rsid w:val="002A7F4B"/>
    <w:rsid w:val="002F31BE"/>
    <w:rsid w:val="004A65C6"/>
    <w:rsid w:val="00570847"/>
    <w:rsid w:val="00573284"/>
    <w:rsid w:val="005B2F46"/>
    <w:rsid w:val="006935B2"/>
    <w:rsid w:val="008A00DB"/>
    <w:rsid w:val="008B2AA1"/>
    <w:rsid w:val="00976934"/>
    <w:rsid w:val="00992911"/>
    <w:rsid w:val="00B52801"/>
    <w:rsid w:val="00B66B63"/>
    <w:rsid w:val="00B7041C"/>
    <w:rsid w:val="00B72356"/>
    <w:rsid w:val="00CC3F60"/>
    <w:rsid w:val="00CD0B98"/>
    <w:rsid w:val="00D93233"/>
    <w:rsid w:val="00FD463F"/>
  </w:rsids>
  <m:mathPr>
    <m:mathFont m:val="Cambria Math"/>
    <m:brkBin m:val="before"/>
    <m:brkBinSub m:val="--"/>
    <m:smallFrac m:val="0"/>
    <m:dispDef/>
    <m:lMargin m:val="0"/>
    <m:rMargin m:val="0"/>
    <m:defJc m:val="centerGroup"/>
    <m:wrapIndent m:val="1440"/>
    <m:intLim m:val="subSup"/>
    <m:naryLim m:val="undOvr"/>
  </m:mathPr>
  <w:themeFontLang w:val="en-US"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38FC5"/>
  <w15:chartTrackingRefBased/>
  <w15:docId w15:val="{3635690D-FDF5-4165-9958-39F1FA359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00DB"/>
    <w:pPr>
      <w:spacing w:before="240" w:after="240" w:line="276" w:lineRule="auto"/>
    </w:pPr>
    <w:rPr>
      <w:rFonts w:ascii="Calibri" w:eastAsia="Calibri" w:hAnsi="Calibri" w:cs="Calibri"/>
      <w:sz w:val="24"/>
      <w:szCs w:val="24"/>
      <w:lang w:val="en-GB"/>
    </w:rPr>
  </w:style>
  <w:style w:type="paragraph" w:styleId="Heading1">
    <w:name w:val="heading 1"/>
    <w:basedOn w:val="Normal"/>
    <w:next w:val="Normal"/>
    <w:link w:val="Heading1Char"/>
    <w:uiPriority w:val="9"/>
    <w:qFormat/>
    <w:rsid w:val="008A00DB"/>
    <w:pPr>
      <w:keepNext/>
      <w:keepLines/>
      <w:outlineLvl w:val="0"/>
    </w:pPr>
    <w:rPr>
      <w:b/>
      <w:bCs/>
      <w:sz w:val="28"/>
      <w:szCs w:val="28"/>
    </w:rPr>
  </w:style>
  <w:style w:type="paragraph" w:styleId="Heading2">
    <w:name w:val="heading 2"/>
    <w:basedOn w:val="Normal"/>
    <w:next w:val="Normal"/>
    <w:link w:val="Heading2Char"/>
    <w:uiPriority w:val="9"/>
    <w:unhideWhenUsed/>
    <w:qFormat/>
    <w:rsid w:val="008A00DB"/>
    <w:pPr>
      <w:keepNext/>
      <w:keepLines/>
      <w:outlineLvl w:val="1"/>
    </w:pPr>
    <w:rPr>
      <w:b/>
      <w:bCs/>
    </w:rPr>
  </w:style>
  <w:style w:type="paragraph" w:styleId="Heading3">
    <w:name w:val="heading 3"/>
    <w:basedOn w:val="Normal"/>
    <w:next w:val="Normal"/>
    <w:link w:val="Heading3Char"/>
    <w:uiPriority w:val="9"/>
    <w:semiHidden/>
    <w:unhideWhenUsed/>
    <w:qFormat/>
    <w:rsid w:val="00B72356"/>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B7235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72356"/>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72356"/>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00DB"/>
    <w:rPr>
      <w:rFonts w:ascii="Calibri" w:eastAsia="Calibri" w:hAnsi="Calibri" w:cs="Calibri"/>
      <w:b/>
      <w:bCs/>
      <w:sz w:val="28"/>
      <w:szCs w:val="28"/>
      <w:lang w:val="en-GB"/>
    </w:rPr>
  </w:style>
  <w:style w:type="character" w:customStyle="1" w:styleId="Heading2Char">
    <w:name w:val="Heading 2 Char"/>
    <w:basedOn w:val="DefaultParagraphFont"/>
    <w:link w:val="Heading2"/>
    <w:uiPriority w:val="9"/>
    <w:rsid w:val="008A00DB"/>
    <w:rPr>
      <w:rFonts w:ascii="Calibri" w:eastAsia="Calibri" w:hAnsi="Calibri" w:cs="Calibri"/>
      <w:b/>
      <w:bCs/>
      <w:sz w:val="24"/>
      <w:szCs w:val="24"/>
      <w:lang w:val="en-GB"/>
    </w:rPr>
  </w:style>
  <w:style w:type="character" w:customStyle="1" w:styleId="Heading3Char">
    <w:name w:val="Heading 3 Char"/>
    <w:basedOn w:val="DefaultParagraphFont"/>
    <w:link w:val="Heading3"/>
    <w:uiPriority w:val="9"/>
    <w:semiHidden/>
    <w:rsid w:val="00B72356"/>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basedOn w:val="DefaultParagraphFont"/>
    <w:link w:val="Heading4"/>
    <w:uiPriority w:val="9"/>
    <w:semiHidden/>
    <w:rsid w:val="00B72356"/>
    <w:rPr>
      <w:rFonts w:asciiTheme="majorHAnsi" w:eastAsiaTheme="majorEastAsia" w:hAnsiTheme="majorHAnsi" w:cstheme="majorBidi"/>
      <w:i/>
      <w:iCs/>
      <w:color w:val="2F5496" w:themeColor="accent1" w:themeShade="BF"/>
      <w:sz w:val="24"/>
      <w:szCs w:val="24"/>
      <w:lang w:val="en-GB"/>
    </w:rPr>
  </w:style>
  <w:style w:type="character" w:customStyle="1" w:styleId="Heading5Char">
    <w:name w:val="Heading 5 Char"/>
    <w:basedOn w:val="DefaultParagraphFont"/>
    <w:link w:val="Heading5"/>
    <w:uiPriority w:val="9"/>
    <w:semiHidden/>
    <w:rsid w:val="00B72356"/>
    <w:rPr>
      <w:rFonts w:asciiTheme="majorHAnsi" w:eastAsiaTheme="majorEastAsia" w:hAnsiTheme="majorHAnsi" w:cstheme="majorBidi"/>
      <w:color w:val="2F5496" w:themeColor="accent1" w:themeShade="BF"/>
      <w:sz w:val="24"/>
      <w:szCs w:val="24"/>
      <w:lang w:val="en-GB"/>
    </w:rPr>
  </w:style>
  <w:style w:type="character" w:customStyle="1" w:styleId="Heading6Char">
    <w:name w:val="Heading 6 Char"/>
    <w:basedOn w:val="DefaultParagraphFont"/>
    <w:link w:val="Heading6"/>
    <w:uiPriority w:val="9"/>
    <w:semiHidden/>
    <w:rsid w:val="00B72356"/>
    <w:rPr>
      <w:rFonts w:asciiTheme="majorHAnsi" w:eastAsiaTheme="majorEastAsia" w:hAnsiTheme="majorHAnsi" w:cstheme="majorBidi"/>
      <w:color w:val="1F3763" w:themeColor="accent1" w:themeShade="7F"/>
      <w:sz w:val="24"/>
      <w:szCs w:val="24"/>
      <w:lang w:val="en-GB"/>
    </w:rPr>
  </w:style>
  <w:style w:type="paragraph" w:styleId="TOC1">
    <w:name w:val="toc 1"/>
    <w:basedOn w:val="Normal"/>
    <w:next w:val="Normal"/>
    <w:autoRedefine/>
    <w:uiPriority w:val="39"/>
    <w:unhideWhenUsed/>
    <w:rsid w:val="00B72356"/>
    <w:pPr>
      <w:spacing w:after="100"/>
    </w:pPr>
  </w:style>
  <w:style w:type="paragraph" w:styleId="TOC2">
    <w:name w:val="toc 2"/>
    <w:basedOn w:val="Normal"/>
    <w:next w:val="Normal"/>
    <w:autoRedefine/>
    <w:uiPriority w:val="39"/>
    <w:unhideWhenUsed/>
    <w:rsid w:val="00B72356"/>
    <w:pPr>
      <w:spacing w:after="100"/>
      <w:ind w:left="240"/>
    </w:pPr>
  </w:style>
  <w:style w:type="character" w:styleId="Hyperlink">
    <w:name w:val="Hyperlink"/>
    <w:basedOn w:val="DefaultParagraphFont"/>
    <w:uiPriority w:val="99"/>
    <w:unhideWhenUsed/>
    <w:rsid w:val="00B72356"/>
    <w:rPr>
      <w:color w:val="0563C1" w:themeColor="hyperlink"/>
      <w:u w:val="single"/>
    </w:rPr>
  </w:style>
  <w:style w:type="paragraph" w:styleId="Header">
    <w:name w:val="header"/>
    <w:basedOn w:val="Normal"/>
    <w:link w:val="HeaderChar"/>
    <w:uiPriority w:val="99"/>
    <w:unhideWhenUsed/>
    <w:rsid w:val="0099291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92911"/>
    <w:rPr>
      <w:rFonts w:ascii="Calibri" w:eastAsia="Calibri" w:hAnsi="Calibri" w:cs="Calibri"/>
      <w:sz w:val="24"/>
      <w:szCs w:val="24"/>
      <w:lang w:val="en-GB"/>
    </w:rPr>
  </w:style>
  <w:style w:type="paragraph" w:styleId="Footer">
    <w:name w:val="footer"/>
    <w:basedOn w:val="Normal"/>
    <w:link w:val="FooterChar"/>
    <w:uiPriority w:val="99"/>
    <w:unhideWhenUsed/>
    <w:rsid w:val="0099291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92911"/>
    <w:rPr>
      <w:rFonts w:ascii="Calibri" w:eastAsia="Calibri" w:hAnsi="Calibri" w:cs="Calibri"/>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920-022-01400-w" TargetMode="External"/><Relationship Id="rId13" Type="http://schemas.openxmlformats.org/officeDocument/2006/relationships/hyperlink" Target="https://doi.org/10.34172/ijhpm.8424"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doi.org/10.7861/futurehosp.3-2-114" TargetMode="External"/><Relationship Id="rId12" Type="http://schemas.openxmlformats.org/officeDocument/2006/relationships/hyperlink" Target="https://doi.org/10.1186/s12913-023-09718-8" TargetMode="External"/><Relationship Id="rId17" Type="http://schemas.openxmlformats.org/officeDocument/2006/relationships/hyperlink" Target="https://doi.org/10.1097/yco.0000000000000351" TargetMode="External"/><Relationship Id="rId2" Type="http://schemas.openxmlformats.org/officeDocument/2006/relationships/settings" Target="settings.xml"/><Relationship Id="rId16" Type="http://schemas.openxmlformats.org/officeDocument/2006/relationships/hyperlink" Target="https://doi.org/10.1016/j.jbusres.2022.01.051"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016/j.ssmhs.2025.100118" TargetMode="External"/><Relationship Id="rId5" Type="http://schemas.openxmlformats.org/officeDocument/2006/relationships/endnotes" Target="endnotes.xml"/><Relationship Id="rId15" Type="http://schemas.openxmlformats.org/officeDocument/2006/relationships/hyperlink" Target="https://doi.org/10.3310/wvvl4786" TargetMode="External"/><Relationship Id="rId10" Type="http://schemas.openxmlformats.org/officeDocument/2006/relationships/hyperlink" Target="https://doi.org/10.1016/j.socscimed.2021.114511"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i.org/10.1177/13558196251349398" TargetMode="External"/><Relationship Id="rId14" Type="http://schemas.openxmlformats.org/officeDocument/2006/relationships/hyperlink" Target="https://doi.org/10.1787/d837a06a-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4568</Words>
  <Characters>26040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A0dmin</cp:lastModifiedBy>
  <cp:revision>2</cp:revision>
  <dcterms:created xsi:type="dcterms:W3CDTF">2026-04-26T17:49:00Z</dcterms:created>
  <dcterms:modified xsi:type="dcterms:W3CDTF">2026-04-26T17:49:00Z</dcterms:modified>
</cp:coreProperties>
</file>