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0D839" w14:textId="77777777" w:rsidR="003C1B2C" w:rsidRDefault="0031699A">
      <w:pPr>
        <w:spacing w:after="600"/>
      </w:pPr>
      <w:r>
        <w:rPr>
          <w:noProof/>
        </w:rPr>
        <w:drawing>
          <wp:inline distT="0" distB="0" distL="0" distR="0" wp14:anchorId="2F17CAC7" wp14:editId="3ECAF615">
            <wp:extent cx="2095500" cy="81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095500" cy="819150"/>
                    </a:xfrm>
                    <a:prstGeom prst="rect">
                      <a:avLst/>
                    </a:prstGeom>
                  </pic:spPr>
                </pic:pic>
              </a:graphicData>
            </a:graphic>
          </wp:inline>
        </w:drawing>
      </w:r>
    </w:p>
    <w:p w14:paraId="4BB3EF81" w14:textId="77777777" w:rsidR="003C1B2C" w:rsidRDefault="0031699A">
      <w:pPr>
        <w:spacing w:after="100"/>
        <w:jc w:val="center"/>
      </w:pPr>
      <w:r>
        <w:rPr>
          <w:rFonts w:ascii="Arial" w:eastAsia="Arial" w:hAnsi="Arial" w:cs="Arial"/>
          <w:b/>
          <w:bCs/>
          <w:sz w:val="28"/>
          <w:szCs w:val="28"/>
        </w:rPr>
        <w:t>LCHS4010</w:t>
      </w:r>
    </w:p>
    <w:p w14:paraId="50F80ED0" w14:textId="77777777" w:rsidR="003C1B2C" w:rsidRDefault="0031699A">
      <w:pPr>
        <w:spacing w:after="800"/>
        <w:jc w:val="center"/>
      </w:pPr>
      <w:r>
        <w:rPr>
          <w:rFonts w:ascii="Arial" w:eastAsia="Arial" w:hAnsi="Arial" w:cs="Arial"/>
          <w:b/>
          <w:bCs/>
          <w:sz w:val="28"/>
          <w:szCs w:val="28"/>
        </w:rPr>
        <w:t>Psychology in Health and Social Care</w:t>
      </w:r>
    </w:p>
    <w:p w14:paraId="575D316E" w14:textId="77777777" w:rsidR="003C1B2C" w:rsidRDefault="0031699A">
      <w:pPr>
        <w:spacing w:after="300"/>
      </w:pPr>
      <w:r>
        <w:rPr>
          <w:rFonts w:ascii="Arial" w:eastAsia="Arial" w:hAnsi="Arial" w:cs="Arial"/>
          <w:sz w:val="22"/>
          <w:szCs w:val="22"/>
        </w:rPr>
        <w:t xml:space="preserve">Student name:  </w:t>
      </w:r>
      <w:r>
        <w:rPr>
          <w:rFonts w:ascii="Arial" w:eastAsia="Arial" w:hAnsi="Arial" w:cs="Arial"/>
          <w:b/>
          <w:bCs/>
          <w:sz w:val="22"/>
          <w:szCs w:val="22"/>
        </w:rPr>
        <w:t>Ejiroghene Barbara Onyeme Campbell</w:t>
      </w:r>
    </w:p>
    <w:p w14:paraId="2D3E2A12" w14:textId="77777777" w:rsidR="003C1B2C" w:rsidRDefault="0031699A">
      <w:pPr>
        <w:spacing w:after="300"/>
      </w:pPr>
      <w:r>
        <w:rPr>
          <w:rFonts w:ascii="Arial" w:eastAsia="Arial" w:hAnsi="Arial" w:cs="Arial"/>
          <w:sz w:val="22"/>
          <w:szCs w:val="22"/>
        </w:rPr>
        <w:t xml:space="preserve">Student number: </w:t>
      </w:r>
      <w:r>
        <w:rPr>
          <w:rFonts w:ascii="Arial" w:eastAsia="Arial" w:hAnsi="Arial" w:cs="Arial"/>
          <w:b/>
          <w:bCs/>
          <w:sz w:val="22"/>
          <w:szCs w:val="22"/>
        </w:rPr>
        <w:t>2516659</w:t>
      </w:r>
    </w:p>
    <w:p w14:paraId="44E0B79A" w14:textId="77777777" w:rsidR="003C1B2C" w:rsidRDefault="0031699A">
      <w:pPr>
        <w:spacing w:after="300"/>
      </w:pPr>
      <w:r>
        <w:rPr>
          <w:rFonts w:ascii="Arial" w:eastAsia="Arial" w:hAnsi="Arial" w:cs="Arial"/>
          <w:sz w:val="22"/>
          <w:szCs w:val="22"/>
        </w:rPr>
        <w:t xml:space="preserve">Lecturer's name:  </w:t>
      </w:r>
      <w:r>
        <w:rPr>
          <w:rFonts w:ascii="Arial" w:eastAsia="Arial" w:hAnsi="Arial" w:cs="Arial"/>
          <w:b/>
          <w:bCs/>
          <w:sz w:val="22"/>
          <w:szCs w:val="22"/>
        </w:rPr>
        <w:t>Lou Wells</w:t>
      </w:r>
    </w:p>
    <w:p w14:paraId="7BF05839" w14:textId="77777777" w:rsidR="003C1B2C" w:rsidRDefault="0031699A">
      <w:pPr>
        <w:spacing w:after="300"/>
      </w:pPr>
      <w:r>
        <w:rPr>
          <w:rFonts w:ascii="Arial" w:eastAsia="Arial" w:hAnsi="Arial" w:cs="Arial"/>
          <w:sz w:val="22"/>
          <w:szCs w:val="22"/>
        </w:rPr>
        <w:t xml:space="preserve">Assignment title:  </w:t>
      </w:r>
      <w:r>
        <w:rPr>
          <w:rFonts w:ascii="Arial" w:eastAsia="Arial" w:hAnsi="Arial" w:cs="Arial"/>
          <w:b/>
          <w:bCs/>
          <w:sz w:val="22"/>
          <w:szCs w:val="22"/>
        </w:rPr>
        <w:t>Discuss the impact of social media on mental health in adolescence</w:t>
      </w:r>
    </w:p>
    <w:p w14:paraId="4E757546" w14:textId="77777777" w:rsidR="003C1B2C" w:rsidRDefault="0031699A">
      <w:pPr>
        <w:pageBreakBefore/>
      </w:pPr>
      <w:r>
        <w:br/>
      </w:r>
    </w:p>
    <w:p w14:paraId="0B20CDEF" w14:textId="77777777" w:rsidR="003C1B2C" w:rsidRDefault="0031699A">
      <w:pPr>
        <w:spacing w:line="360" w:lineRule="auto"/>
        <w:jc w:val="both"/>
        <w:rPr>
          <w:rFonts w:ascii="Arial" w:eastAsia="Arial" w:hAnsi="Arial" w:cs="Arial"/>
          <w:sz w:val="22"/>
          <w:szCs w:val="22"/>
        </w:rPr>
      </w:pPr>
      <w:r>
        <w:rPr>
          <w:rFonts w:ascii="Arial" w:eastAsia="Arial" w:hAnsi="Arial" w:cs="Arial"/>
          <w:sz w:val="22"/>
          <w:szCs w:val="22"/>
        </w:rPr>
        <w:t>Adolescence is a developmental period increasingly conducted online, and Ofcom's UK survey data confirm most British teenagers use social media daily. This near-universal exposure has generated concern about adolescent mental health, with researchers documenting associations between heavy platform use and elevated anxiety, depression, sleep disruption and body dissatisfaction, alongside constructive uses such as peer support and creative expression. However, the strength and even the direction of this relat</w:t>
      </w:r>
      <w:r>
        <w:rPr>
          <w:rFonts w:ascii="Arial" w:eastAsia="Arial" w:hAnsi="Arial" w:cs="Arial"/>
          <w:sz w:val="22"/>
          <w:szCs w:val="22"/>
        </w:rPr>
        <w:t>ionship remain genuinely contested, with some scholars arguing the evidence for harm is compelling and others cautioning that it is weak, inconsistent, and largely correlational. Rather than treating social media as a uniformly positive or negative influence, this essay argues that its psychological impact is best understood through two complementary developmental lenses: Erikson's theory of psychosocial development, particularly the adolescent stage of identity versus role confusion, and Bowlby's attachmen</w:t>
      </w:r>
      <w:r>
        <w:rPr>
          <w:rFonts w:ascii="Arial" w:eastAsia="Arial" w:hAnsi="Arial" w:cs="Arial"/>
          <w:sz w:val="22"/>
          <w:szCs w:val="22"/>
        </w:rPr>
        <w:t>t theory, which explains how early relational patterns shape adolescents' emotional responses to online social feedback. Both theories are usefully understood as biopsychosocial, resting on an interaction between biological predisposition ('nature') and environmental experience ('nurture') rather than either alone, though, as will be discussed, both also carry historical and cultural limitations that must temper their application. Drawing on these two frameworks, this essay examines how social media use int</w:t>
      </w:r>
      <w:r>
        <w:rPr>
          <w:rFonts w:ascii="Arial" w:eastAsia="Arial" w:hAnsi="Arial" w:cs="Arial"/>
          <w:sz w:val="22"/>
          <w:szCs w:val="22"/>
        </w:rPr>
        <w:t>eracts with identity formation and attachment security to produce both risk and resilience in adolescent mental health, while weighing the disagreement within the underlying evidence base.</w:t>
      </w:r>
    </w:p>
    <w:p w14:paraId="0488F297" w14:textId="77777777" w:rsidR="00306DCD" w:rsidRDefault="00306DCD">
      <w:pPr>
        <w:spacing w:line="360" w:lineRule="auto"/>
        <w:jc w:val="both"/>
      </w:pPr>
    </w:p>
    <w:p w14:paraId="14CF3724" w14:textId="77777777" w:rsidR="003C1B2C" w:rsidRDefault="0031699A">
      <w:pPr>
        <w:spacing w:line="360" w:lineRule="auto"/>
        <w:jc w:val="both"/>
        <w:rPr>
          <w:rFonts w:ascii="Arial" w:eastAsia="Arial" w:hAnsi="Arial" w:cs="Arial"/>
          <w:sz w:val="22"/>
          <w:szCs w:val="22"/>
        </w:rPr>
      </w:pPr>
      <w:r>
        <w:rPr>
          <w:rFonts w:ascii="Arial" w:eastAsia="Arial" w:hAnsi="Arial" w:cs="Arial"/>
          <w:sz w:val="22"/>
          <w:szCs w:val="22"/>
        </w:rPr>
        <w:t>According to Erikson, adolescence is centred on the psychosocial crisis of identity versus role confusion, during which young people experiment with different roles, values and self-presentations to consolidate a coherent sense of self. Erikson's epigenetic principle holds that this crisis is triggered by a biologically timed process of maturation, most obviously puberty, which is the 'nature' component of his theory; however, he was equally clear the crisis can only be resolved through interaction with a p</w:t>
      </w:r>
      <w:r>
        <w:rPr>
          <w:rFonts w:ascii="Arial" w:eastAsia="Arial" w:hAnsi="Arial" w:cs="Arial"/>
          <w:sz w:val="22"/>
          <w:szCs w:val="22"/>
        </w:rPr>
        <w:t>articular social environment, historically family, peer groups and schools, which supplies the 'nurture' component. Social media has extended this environmental half of the process into a public, permanent, quantifiable arena, where curated profiles and continuous feedback via likes, comments and follower counts function as a real-time mirror for identity exploration. This can support healthy identity development when it allows adolescents to explore interests and receive affirming feedback; however, it can</w:t>
      </w:r>
      <w:r>
        <w:rPr>
          <w:rFonts w:ascii="Arial" w:eastAsia="Arial" w:hAnsi="Arial" w:cs="Arial"/>
          <w:sz w:val="22"/>
          <w:szCs w:val="22"/>
        </w:rPr>
        <w:t xml:space="preserve"> intensify role confusion when the gap between an adolescent's curated online self and authentic offline self becomes too wide to reconcile, encouraging upward social comparison against selectively presented, unrealistic peer standards. This comparison mechanism should not be read as a universal process, though: Syed and Fish argue that Erikson's model, and the identity research it inspired, was built largely around White, middle-class, Western samples and implicitly assumes an individualistic route to iden</w:t>
      </w:r>
      <w:r>
        <w:rPr>
          <w:rFonts w:ascii="Arial" w:eastAsia="Arial" w:hAnsi="Arial" w:cs="Arial"/>
          <w:sz w:val="22"/>
          <w:szCs w:val="22"/>
        </w:rPr>
        <w:t xml:space="preserve">tity through personal exploration and choice, sitting awkwardly with collectivist contexts where identity is negotiated through family and community obligation rather than self-discovery. This matters concretely here. The survey evidence used throughout this essay, including Kelly et al.'s UK Millennium Cohort finding that social media use is associated with higher depressive symptoms and a stronger association among girls, is drawn from a Western, individualistic setting. The gendered pattern is therefore </w:t>
      </w:r>
      <w:r>
        <w:rPr>
          <w:rFonts w:ascii="Arial" w:eastAsia="Arial" w:hAnsi="Arial" w:cs="Arial"/>
          <w:sz w:val="22"/>
          <w:szCs w:val="22"/>
        </w:rPr>
        <w:t xml:space="preserve">best read as culturally specific, not universal. Kelly et al. themselves note their cross-sectional design cannot establish direction of causality. Any biologically driven vulnerability tied to pubertal timing sits within that same cultural frame rather than outside it. Where identity exploration becomes dominated by a need for external validation rather than genuine self-discovery, Erikson's framework predicts heightened risk of identity diffusion, low self-esteem, and difficulty forming a stable sense of </w:t>
      </w:r>
      <w:r>
        <w:rPr>
          <w:rFonts w:ascii="Arial" w:eastAsia="Arial" w:hAnsi="Arial" w:cs="Arial"/>
          <w:sz w:val="22"/>
          <w:szCs w:val="22"/>
        </w:rPr>
        <w:t>self, at least for adolescents whose culture already privileges self-discovery as the route to identity.</w:t>
      </w:r>
    </w:p>
    <w:p w14:paraId="6C8320F7" w14:textId="77777777" w:rsidR="00306DCD" w:rsidRDefault="00306DCD">
      <w:pPr>
        <w:spacing w:line="360" w:lineRule="auto"/>
        <w:jc w:val="both"/>
      </w:pPr>
    </w:p>
    <w:p w14:paraId="7D94891B" w14:textId="77777777" w:rsidR="003C1B2C" w:rsidRDefault="0031699A">
      <w:pPr>
        <w:spacing w:line="360" w:lineRule="auto"/>
        <w:jc w:val="both"/>
        <w:rPr>
          <w:rFonts w:ascii="Arial" w:eastAsia="Arial" w:hAnsi="Arial" w:cs="Arial"/>
          <w:sz w:val="22"/>
          <w:szCs w:val="22"/>
        </w:rPr>
      </w:pPr>
      <w:r>
        <w:rPr>
          <w:rFonts w:ascii="Arial" w:eastAsia="Arial" w:hAnsi="Arial" w:cs="Arial"/>
          <w:sz w:val="22"/>
          <w:szCs w:val="22"/>
        </w:rPr>
        <w:t>Bowlby's attachment theory offers a complementary explanation, focused less on identity and more on the emotional regulation strategies adolescents bring to their online relationships, and it illustrates the nature-nurture interaction even more directly. Drawing on ethological observations of imprinting in other species, Bowlby proposed that the drive to seek proximity and reassurance from an attachment figure is an innately programmed, biologically evolved behavioural system. It was selected for because it</w:t>
      </w:r>
      <w:r>
        <w:rPr>
          <w:rFonts w:ascii="Arial" w:eastAsia="Arial" w:hAnsi="Arial" w:cs="Arial"/>
          <w:sz w:val="22"/>
          <w:szCs w:val="22"/>
        </w:rPr>
        <w:t xml:space="preserve"> historically improved an infant's chances of survival by keeping a vulnerable individual close to a protective adult. This is the 'nature' element of the theory. However, the quality of early caregiving experiences determines whether this innate system develops into a secure or insecure internal working model, a mental template of relationships that shapes expectations about whether others can be relied upon for comfort. This environmental shaping is the 'nurture' element. Although originally developed to </w:t>
      </w:r>
      <w:r>
        <w:rPr>
          <w:rFonts w:ascii="Arial" w:eastAsia="Arial" w:hAnsi="Arial" w:cs="Arial"/>
          <w:sz w:val="22"/>
          <w:szCs w:val="22"/>
        </w:rPr>
        <w:t>explain infant-caregiver bonds, attachment theory extends naturally to peer relationships in adolescence, as attention shifts from parents towards peers as attachment figures. Adolescents with a secure internal working model tend to use social media flexibly and with low anxiety, treating it as one of several sources of connection rather than the sole basis of self-worth. In contrast, adolescents with insecure, and particularly anxious, attachment styles may be more vulnerable to compulsive checking behavio</w:t>
      </w:r>
      <w:r>
        <w:rPr>
          <w:rFonts w:ascii="Arial" w:eastAsia="Arial" w:hAnsi="Arial" w:cs="Arial"/>
          <w:sz w:val="22"/>
          <w:szCs w:val="22"/>
        </w:rPr>
        <w:t xml:space="preserve">urs, repeatedly monitoring likes, comments and messages as a way of seeking reassurance that an offline secure base would normally provide. This is not purely theoretical: </w:t>
      </w:r>
      <w:r>
        <w:rPr>
          <w:rFonts w:ascii="Arial" w:eastAsia="Arial" w:hAnsi="Arial" w:cs="Arial"/>
          <w:sz w:val="22"/>
          <w:szCs w:val="22"/>
        </w:rPr>
        <w:t>Musetti</w:t>
      </w:r>
      <w:r>
        <w:rPr>
          <w:rFonts w:ascii="Arial" w:eastAsia="Arial" w:hAnsi="Arial" w:cs="Arial"/>
          <w:sz w:val="22"/>
          <w:szCs w:val="22"/>
        </w:rPr>
        <w:t xml:space="preserve"> et al.'s systematic review of 32 studies and almost 17,000 participants found problematic social networking use consistently linked to lower secure attachment and higher attachment anxiety, though the pattern for avoidance was mixed, and reliance on adult as well as adolescent samples means it cannot show insecure attachment causes problematic use rather than resulting from it. This pattern echoes feedback-seeking behaviour, in which the intermittent, unpredictable nature of online feedback can heighten an</w:t>
      </w:r>
      <w:r>
        <w:rPr>
          <w:rFonts w:ascii="Arial" w:eastAsia="Arial" w:hAnsi="Arial" w:cs="Arial"/>
          <w:sz w:val="22"/>
          <w:szCs w:val="22"/>
        </w:rPr>
        <w:t>xiety rather than resolve it, since reassurance is never guaranteed and must be continually sought. Attachment theory also helps explain the relationship between social media use and sleep disruption: adolescents who fear missing important social information, or 'fear of missing out', may delay sleep to remain available to their peer network, undermining the emotional regulation a stable secure base would otherwise support. Viner et al.'s longitudinal analysis of young people in England supports this mechan</w:t>
      </w:r>
      <w:r>
        <w:rPr>
          <w:rFonts w:ascii="Arial" w:eastAsia="Arial" w:hAnsi="Arial" w:cs="Arial"/>
          <w:sz w:val="22"/>
          <w:szCs w:val="22"/>
        </w:rPr>
        <w:t xml:space="preserve">ism-based reading, finding the association between frequent social media use and poorer wellbeing was substantially mediated by cyberbullying and disrupted sleep, particularly among girls, rather than by time online itself, suggesting the risk lies less in exposure than in what that exposure displaces or exposes an adolescent to. As with Erikson, Bowlby's theory should not be applied uncritically: Garrett's historical analysis argues attachment theory has often functioned as a 'received idea' accepted with </w:t>
      </w:r>
      <w:r>
        <w:rPr>
          <w:rFonts w:ascii="Arial" w:eastAsia="Arial" w:hAnsi="Arial" w:cs="Arial"/>
          <w:sz w:val="22"/>
          <w:szCs w:val="22"/>
        </w:rPr>
        <w:t>insufficient scrutiny, noting its origins in a narrower, mother-centred model challenged since the 1960s for resting on limited, atypical samples. Applying attachment concepts to social media therefore requires caution, since its evidence base was never designed with digital peer relationships in mind.</w:t>
      </w:r>
    </w:p>
    <w:p w14:paraId="465CC7DF" w14:textId="77777777" w:rsidR="00306DCD" w:rsidRDefault="00306DCD">
      <w:pPr>
        <w:spacing w:line="360" w:lineRule="auto"/>
        <w:jc w:val="both"/>
      </w:pPr>
    </w:p>
    <w:p w14:paraId="706C819D" w14:textId="77777777" w:rsidR="003C1B2C" w:rsidRDefault="0031699A">
      <w:pPr>
        <w:spacing w:line="360" w:lineRule="auto"/>
        <w:jc w:val="both"/>
        <w:rPr>
          <w:rFonts w:ascii="Arial" w:eastAsia="Arial" w:hAnsi="Arial" w:cs="Arial"/>
          <w:sz w:val="22"/>
          <w:szCs w:val="22"/>
        </w:rPr>
      </w:pPr>
      <w:r>
        <w:rPr>
          <w:rFonts w:ascii="Arial" w:eastAsia="Arial" w:hAnsi="Arial" w:cs="Arial"/>
          <w:sz w:val="22"/>
          <w:szCs w:val="22"/>
        </w:rPr>
        <w:t>The empirical literature is more divided than either theory alone suggests. Fassi</w:t>
      </w:r>
      <w:r>
        <w:rPr>
          <w:rFonts w:ascii="Arial" w:eastAsia="Arial" w:hAnsi="Arial" w:cs="Arial"/>
          <w:sz w:val="22"/>
          <w:szCs w:val="22"/>
        </w:rPr>
        <w:t xml:space="preserve"> et al.'s meta-analysis of over one million adolescents finds a small but statistically significant positive correlation between social media engagement and internalizing symptoms, strongest for emotionally invested engagement rather than time spent alone, aligning with the attachment-based account above; the authors note, however, that pooled correlational effect sizes cannot establish causality, and that most included studies relied on imprecise self-report measures. Odgers</w:t>
      </w:r>
      <w:r>
        <w:rPr>
          <w:rFonts w:ascii="Arial" w:eastAsia="Arial" w:hAnsi="Arial" w:cs="Arial"/>
          <w:sz w:val="22"/>
          <w:szCs w:val="22"/>
        </w:rPr>
        <w:t xml:space="preserve"> and Jensen counter that much of the supporting evidence rests on between-person correlational designs that cannot establish causality, and that large longitudinal cohorts have failed to find the scale of harm sometimes claimed; this is methodologically stronger than a simple counter-claim, since within-person longitudinal designs generally isolate causal direction better than cross-sectional surveys. Vuorre, Orben and Przybylski</w:t>
      </w:r>
      <w:r>
        <w:rPr>
          <w:rFonts w:ascii="Arial" w:eastAsia="Arial" w:hAnsi="Arial" w:cs="Arial"/>
          <w:sz w:val="22"/>
          <w:szCs w:val="22"/>
        </w:rPr>
        <w:t xml:space="preserve"> go further, finding that across large datasets the association between technology engagement and mental health has not increased over time as a straightforward causal account would predict. Rather than undermining Erikson's and Bowlby's frameworks, this disagreement arguably supports this essay's position: both theories predict outcomes depend on individual difference rather than uniform exposure, exactly the modest, inconsistent, moderator-dependent pattern the more cautious researchers report.</w:t>
      </w:r>
    </w:p>
    <w:p w14:paraId="0DB54871" w14:textId="77777777" w:rsidR="00306DCD" w:rsidRDefault="00306DCD">
      <w:pPr>
        <w:spacing w:line="360" w:lineRule="auto"/>
        <w:jc w:val="both"/>
      </w:pPr>
    </w:p>
    <w:p w14:paraId="7EA8D9CF" w14:textId="77777777" w:rsidR="003C1B2C" w:rsidRDefault="0031699A">
      <w:pPr>
        <w:spacing w:line="360" w:lineRule="auto"/>
        <w:jc w:val="both"/>
      </w:pPr>
      <w:r>
        <w:rPr>
          <w:rFonts w:ascii="Arial" w:eastAsia="Arial" w:hAnsi="Arial" w:cs="Arial"/>
          <w:sz w:val="22"/>
          <w:szCs w:val="22"/>
        </w:rPr>
        <w:t>Both frameworks also point towards protective uses of social media. From an Eriksonian</w:t>
      </w:r>
      <w:r>
        <w:rPr>
          <w:rFonts w:ascii="Arial" w:eastAsia="Arial" w:hAnsi="Arial" w:cs="Arial"/>
          <w:sz w:val="22"/>
          <w:szCs w:val="22"/>
        </w:rPr>
        <w:t xml:space="preserve"> standpoint, online communities can give marginalised adolescents peer groups that affirm identity difficult to explore offline. From an attachment perspective, securely attached adolescents, and those using social media mainly to maintain offline relationships, tend to use it as a source of support rather than anxiety. The World Health Organization's regional guidance recommends individualised, skills-based approaches to digital wellbeing over blanket restrictions: impact depends less on the technology its</w:t>
      </w:r>
      <w:r>
        <w:rPr>
          <w:rFonts w:ascii="Arial" w:eastAsia="Arial" w:hAnsi="Arial" w:cs="Arial"/>
          <w:sz w:val="22"/>
          <w:szCs w:val="22"/>
        </w:rPr>
        <w:t>elf than on the biological, cultural and relational context in which it is used.</w:t>
      </w:r>
    </w:p>
    <w:p w14:paraId="2EB8D455" w14:textId="77777777" w:rsidR="003C1B2C" w:rsidRDefault="0031699A">
      <w:pPr>
        <w:spacing w:line="360" w:lineRule="auto"/>
        <w:jc w:val="both"/>
        <w:rPr>
          <w:rFonts w:ascii="Arial" w:eastAsia="Arial" w:hAnsi="Arial" w:cs="Arial"/>
          <w:sz w:val="22"/>
          <w:szCs w:val="22"/>
        </w:rPr>
      </w:pPr>
      <w:r>
        <w:rPr>
          <w:rFonts w:ascii="Arial" w:eastAsia="Arial" w:hAnsi="Arial" w:cs="Arial"/>
          <w:sz w:val="22"/>
          <w:szCs w:val="22"/>
        </w:rPr>
        <w:t>For health and social care practice, this reframes the relevant question: rather than asking how many hours an adolescent spends online, practitioners are better placed to ask which mechanism—comparison, reassurance-seeking, cyberbullying or disrupted sleep—is operating, and to target support accordingly through strengthened offline relationships, digital literacy and safeguarding rather than blanket restriction.</w:t>
      </w:r>
    </w:p>
    <w:p w14:paraId="03B69D92" w14:textId="77777777" w:rsidR="00306DCD" w:rsidRDefault="00306DCD">
      <w:pPr>
        <w:spacing w:line="360" w:lineRule="auto"/>
        <w:jc w:val="both"/>
      </w:pPr>
    </w:p>
    <w:p w14:paraId="0FC7919B" w14:textId="77777777" w:rsidR="003C1B2C" w:rsidRDefault="0031699A">
      <w:pPr>
        <w:spacing w:line="360" w:lineRule="auto"/>
        <w:jc w:val="both"/>
      </w:pPr>
      <w:r>
        <w:rPr>
          <w:rFonts w:ascii="Arial" w:eastAsia="Arial" w:hAnsi="Arial" w:cs="Arial"/>
          <w:sz w:val="22"/>
          <w:szCs w:val="22"/>
        </w:rPr>
        <w:t>In conclusion, the relationship between social media and adolescent mental health cannot be reduced to a simple cause-and-effect model, but is better understood through the interaction of identity development, attachment security, and the wider nature-nurture context in which both unfold. Erikson's theory shows how a biologically timed developmental crisis is resolved, well or badly, through social media's transformation of identity exploration into a public, comparison-driven process, though this works bes</w:t>
      </w:r>
      <w:r>
        <w:rPr>
          <w:rFonts w:ascii="Arial" w:eastAsia="Arial" w:hAnsi="Arial" w:cs="Arial"/>
          <w:sz w:val="22"/>
          <w:szCs w:val="22"/>
        </w:rPr>
        <w:t xml:space="preserve">t for adolescents whose cultural context already emphasises individual self-discovery. Bowlby's theory complements this by explaining why an innate, evolutionarily shaped drive for reassurance is channelled by early caregiving into secure, balanced platform use or anxious, compulsive checking, while its historical narrowness counsels caution in applying it to relationships it was never designed to explain. The disagreement among researchers reflects genuine scientific uncertainty, but is broadly consistent </w:t>
      </w:r>
      <w:r>
        <w:rPr>
          <w:rFonts w:ascii="Arial" w:eastAsia="Arial" w:hAnsi="Arial" w:cs="Arial"/>
          <w:sz w:val="22"/>
          <w:szCs w:val="22"/>
        </w:rPr>
        <w:t>with a theory-driven expectation that impact varies by individual context rather than applying uniformly. These theories, used critically, suggest interventions should move beyond restricting screen time towards supporting healthy identity exploration and secure attachment relationships, so social media can function as a supportive extension of adolescent development rather than a persistent source of psychological risk.</w:t>
      </w:r>
    </w:p>
    <w:p w14:paraId="7629972F" w14:textId="77777777" w:rsidR="003C1B2C" w:rsidRDefault="0031699A">
      <w:pPr>
        <w:pageBreakBefore/>
      </w:pPr>
      <w:r>
        <w:br/>
      </w:r>
    </w:p>
    <w:p w14:paraId="3499E8E6" w14:textId="77777777" w:rsidR="003C1B2C" w:rsidRDefault="0031699A">
      <w:pPr>
        <w:spacing w:after="300"/>
      </w:pPr>
      <w:r>
        <w:rPr>
          <w:rFonts w:ascii="Arial" w:eastAsia="Arial" w:hAnsi="Arial" w:cs="Arial"/>
          <w:b/>
          <w:bCs/>
          <w:sz w:val="26"/>
          <w:szCs w:val="26"/>
        </w:rPr>
        <w:t>References</w:t>
      </w:r>
    </w:p>
    <w:p w14:paraId="0F889EF1" w14:textId="77777777" w:rsidR="003C1B2C" w:rsidRDefault="0031699A">
      <w:pPr>
        <w:spacing w:after="200" w:line="360" w:lineRule="auto"/>
        <w:ind w:left="720" w:hanging="720"/>
      </w:pPr>
      <w:r>
        <w:rPr>
          <w:rFonts w:ascii="Arial" w:eastAsia="Arial" w:hAnsi="Arial" w:cs="Arial"/>
          <w:sz w:val="22"/>
          <w:szCs w:val="22"/>
        </w:rPr>
        <w:t xml:space="preserve">Bowlby, J. (1969) </w:t>
      </w:r>
      <w:r>
        <w:rPr>
          <w:rFonts w:ascii="Arial" w:eastAsia="Arial" w:hAnsi="Arial" w:cs="Arial"/>
          <w:i/>
          <w:iCs/>
          <w:sz w:val="22"/>
          <w:szCs w:val="22"/>
        </w:rPr>
        <w:t>Attachment and Loss: Volume 1. Attachment.</w:t>
      </w:r>
      <w:r>
        <w:rPr>
          <w:rFonts w:ascii="Arial" w:eastAsia="Arial" w:hAnsi="Arial" w:cs="Arial"/>
          <w:sz w:val="22"/>
          <w:szCs w:val="22"/>
        </w:rPr>
        <w:t xml:space="preserve"> London: Hogarth Press.</w:t>
      </w:r>
    </w:p>
    <w:p w14:paraId="07463FCC" w14:textId="77777777" w:rsidR="003C1B2C" w:rsidRDefault="0031699A">
      <w:pPr>
        <w:spacing w:after="200" w:line="360" w:lineRule="auto"/>
        <w:ind w:left="720" w:hanging="720"/>
      </w:pPr>
      <w:r>
        <w:rPr>
          <w:rFonts w:ascii="Arial" w:eastAsia="Arial" w:hAnsi="Arial" w:cs="Arial"/>
          <w:sz w:val="22"/>
          <w:szCs w:val="22"/>
        </w:rPr>
        <w:t xml:space="preserve">Erikson, E.H. (1968) </w:t>
      </w:r>
      <w:r>
        <w:rPr>
          <w:rFonts w:ascii="Arial" w:eastAsia="Arial" w:hAnsi="Arial" w:cs="Arial"/>
          <w:i/>
          <w:iCs/>
          <w:sz w:val="22"/>
          <w:szCs w:val="22"/>
        </w:rPr>
        <w:t>Identity: Youth and Crisis.</w:t>
      </w:r>
      <w:r>
        <w:rPr>
          <w:rFonts w:ascii="Arial" w:eastAsia="Arial" w:hAnsi="Arial" w:cs="Arial"/>
          <w:sz w:val="22"/>
          <w:szCs w:val="22"/>
        </w:rPr>
        <w:t xml:space="preserve"> New York: W.W. Norton &amp; Company.</w:t>
      </w:r>
    </w:p>
    <w:p w14:paraId="2D0A2A16" w14:textId="77777777" w:rsidR="003C1B2C" w:rsidRDefault="0031699A">
      <w:pPr>
        <w:spacing w:after="200" w:line="360" w:lineRule="auto"/>
        <w:ind w:left="720" w:hanging="720"/>
      </w:pPr>
      <w:r>
        <w:rPr>
          <w:rFonts w:ascii="Arial" w:eastAsia="Arial" w:hAnsi="Arial" w:cs="Arial"/>
          <w:sz w:val="22"/>
          <w:szCs w:val="22"/>
        </w:rPr>
        <w:t xml:space="preserve">Fassi, L., Thomas, K., Parry, D.A., Leyland-Craggs, A., Ford, T.J. and Orben, A. (2024) 'Social media use and internalizing symptoms in clinical and community adolescent samples: a systematic review and meta-analysis', </w:t>
      </w:r>
      <w:r>
        <w:rPr>
          <w:rFonts w:ascii="Arial" w:eastAsia="Arial" w:hAnsi="Arial" w:cs="Arial"/>
          <w:i/>
          <w:iCs/>
          <w:sz w:val="22"/>
          <w:szCs w:val="22"/>
        </w:rPr>
        <w:t>JAMA Pediatrics</w:t>
      </w:r>
      <w:r>
        <w:rPr>
          <w:rFonts w:ascii="Arial" w:eastAsia="Arial" w:hAnsi="Arial" w:cs="Arial"/>
          <w:sz w:val="22"/>
          <w:szCs w:val="22"/>
        </w:rPr>
        <w:t>, 178(8), pp. 814–822.</w:t>
      </w:r>
    </w:p>
    <w:p w14:paraId="79FD5193" w14:textId="77777777" w:rsidR="003C1B2C" w:rsidRDefault="0031699A">
      <w:pPr>
        <w:spacing w:after="200" w:line="360" w:lineRule="auto"/>
        <w:ind w:left="720" w:hanging="720"/>
      </w:pPr>
      <w:r>
        <w:rPr>
          <w:rFonts w:ascii="Arial" w:eastAsia="Arial" w:hAnsi="Arial" w:cs="Arial"/>
          <w:sz w:val="22"/>
          <w:szCs w:val="22"/>
        </w:rPr>
        <w:t xml:space="preserve">Garrett, P.M. (2023) 'Bowlby, attachment and the potency of a "received idea"', </w:t>
      </w:r>
      <w:r>
        <w:rPr>
          <w:rFonts w:ascii="Arial" w:eastAsia="Arial" w:hAnsi="Arial" w:cs="Arial"/>
          <w:i/>
          <w:iCs/>
          <w:sz w:val="22"/>
          <w:szCs w:val="22"/>
        </w:rPr>
        <w:t>British Journal of Social Work</w:t>
      </w:r>
      <w:r>
        <w:rPr>
          <w:rFonts w:ascii="Arial" w:eastAsia="Arial" w:hAnsi="Arial" w:cs="Arial"/>
          <w:sz w:val="22"/>
          <w:szCs w:val="22"/>
        </w:rPr>
        <w:t>, 53(1), pp. 100–117.</w:t>
      </w:r>
    </w:p>
    <w:p w14:paraId="062F6E77" w14:textId="77777777" w:rsidR="003C1B2C" w:rsidRDefault="0031699A">
      <w:pPr>
        <w:spacing w:after="200" w:line="360" w:lineRule="auto"/>
        <w:ind w:left="720" w:hanging="720"/>
      </w:pPr>
      <w:r>
        <w:rPr>
          <w:rFonts w:ascii="Arial" w:eastAsia="Arial" w:hAnsi="Arial" w:cs="Arial"/>
          <w:sz w:val="22"/>
          <w:szCs w:val="22"/>
        </w:rPr>
        <w:t xml:space="preserve">Kelly, Y., Zilanawala, A., Booker, C. and Sacker, A. (2018) 'Social media use and adolescent mental health: findings from the UK Millennium Cohort Study', </w:t>
      </w:r>
      <w:r>
        <w:rPr>
          <w:rFonts w:ascii="Arial" w:eastAsia="Arial" w:hAnsi="Arial" w:cs="Arial"/>
          <w:i/>
          <w:iCs/>
          <w:sz w:val="22"/>
          <w:szCs w:val="22"/>
        </w:rPr>
        <w:t>EClinicalMedicine</w:t>
      </w:r>
      <w:r>
        <w:rPr>
          <w:rFonts w:ascii="Arial" w:eastAsia="Arial" w:hAnsi="Arial" w:cs="Arial"/>
          <w:sz w:val="22"/>
          <w:szCs w:val="22"/>
        </w:rPr>
        <w:t>, 6, pp. 59–68.</w:t>
      </w:r>
    </w:p>
    <w:p w14:paraId="64AD7AA8" w14:textId="77777777" w:rsidR="003C1B2C" w:rsidRDefault="0031699A">
      <w:pPr>
        <w:spacing w:after="200" w:line="360" w:lineRule="auto"/>
        <w:ind w:left="720" w:hanging="720"/>
      </w:pPr>
      <w:r>
        <w:rPr>
          <w:rFonts w:ascii="Arial" w:eastAsia="Arial" w:hAnsi="Arial" w:cs="Arial"/>
          <w:sz w:val="22"/>
          <w:szCs w:val="22"/>
        </w:rPr>
        <w:t xml:space="preserve">Musetti, A., Manari, T., Billieux, J., Starcevic, V. and Schimmenti, A. (2022) 'Problematic social networking sites use and attachment: a systematic review', </w:t>
      </w:r>
      <w:r>
        <w:rPr>
          <w:rFonts w:ascii="Arial" w:eastAsia="Arial" w:hAnsi="Arial" w:cs="Arial"/>
          <w:i/>
          <w:iCs/>
          <w:sz w:val="22"/>
          <w:szCs w:val="22"/>
        </w:rPr>
        <w:t>Computers in Human Behavior</w:t>
      </w:r>
      <w:r>
        <w:rPr>
          <w:rFonts w:ascii="Arial" w:eastAsia="Arial" w:hAnsi="Arial" w:cs="Arial"/>
          <w:sz w:val="22"/>
          <w:szCs w:val="22"/>
        </w:rPr>
        <w:t>, 131, article 107199.</w:t>
      </w:r>
    </w:p>
    <w:p w14:paraId="6E477E68" w14:textId="77777777" w:rsidR="003C1B2C" w:rsidRDefault="0031699A">
      <w:pPr>
        <w:spacing w:after="200" w:line="360" w:lineRule="auto"/>
        <w:ind w:left="720" w:hanging="720"/>
      </w:pPr>
      <w:r>
        <w:rPr>
          <w:rFonts w:ascii="Arial" w:eastAsia="Arial" w:hAnsi="Arial" w:cs="Arial"/>
          <w:sz w:val="22"/>
          <w:szCs w:val="22"/>
        </w:rPr>
        <w:t xml:space="preserve">Odgers, C.L. and Jensen, M.R. (2020) 'Annual research review: adolescent mental health in the digital age: facts, fears, and future directions', </w:t>
      </w:r>
      <w:r>
        <w:rPr>
          <w:rFonts w:ascii="Arial" w:eastAsia="Arial" w:hAnsi="Arial" w:cs="Arial"/>
          <w:i/>
          <w:iCs/>
          <w:sz w:val="22"/>
          <w:szCs w:val="22"/>
        </w:rPr>
        <w:t>Journal of Child Psychology and Psychiatry</w:t>
      </w:r>
      <w:r>
        <w:rPr>
          <w:rFonts w:ascii="Arial" w:eastAsia="Arial" w:hAnsi="Arial" w:cs="Arial"/>
          <w:sz w:val="22"/>
          <w:szCs w:val="22"/>
        </w:rPr>
        <w:t>, 61(3), pp. 336–348.</w:t>
      </w:r>
    </w:p>
    <w:p w14:paraId="47C953E4" w14:textId="77777777" w:rsidR="003C1B2C" w:rsidRDefault="0031699A">
      <w:pPr>
        <w:spacing w:after="200" w:line="360" w:lineRule="auto"/>
        <w:ind w:left="720" w:hanging="720"/>
      </w:pPr>
      <w:r>
        <w:rPr>
          <w:rFonts w:ascii="Arial" w:eastAsia="Arial" w:hAnsi="Arial" w:cs="Arial"/>
          <w:sz w:val="22"/>
          <w:szCs w:val="22"/>
        </w:rPr>
        <w:t xml:space="preserve">Ofcom (2025) </w:t>
      </w:r>
      <w:r>
        <w:rPr>
          <w:rFonts w:ascii="Arial" w:eastAsia="Arial" w:hAnsi="Arial" w:cs="Arial"/>
          <w:i/>
          <w:iCs/>
          <w:sz w:val="22"/>
          <w:szCs w:val="22"/>
        </w:rPr>
        <w:t>Children and Parents: Media Use and Attitudes Report 2025.</w:t>
      </w:r>
      <w:r>
        <w:rPr>
          <w:rFonts w:ascii="Arial" w:eastAsia="Arial" w:hAnsi="Arial" w:cs="Arial"/>
          <w:sz w:val="22"/>
          <w:szCs w:val="22"/>
        </w:rPr>
        <w:t xml:space="preserve"> Available at: </w:t>
      </w:r>
      <w:hyperlink r:id="rId8" w:history="1">
        <w:r w:rsidR="00306DCD" w:rsidRPr="00787E6B">
          <w:rPr>
            <w:rStyle w:val="Hyperlink"/>
            <w:rFonts w:ascii="Arial" w:eastAsia="Arial" w:hAnsi="Arial" w:cs="Arial"/>
            <w:sz w:val="22"/>
            <w:szCs w:val="22"/>
          </w:rPr>
          <w:t>https://www.ofcom.org.uk/media-use-and-attitudes/media-habits-children/children-and-parents-media-use-and-attitudes-report-2025</w:t>
        </w:r>
      </w:hyperlink>
      <w:r w:rsidR="00306DCD">
        <w:rPr>
          <w:rFonts w:ascii="Arial" w:eastAsia="Arial" w:hAnsi="Arial" w:cs="Arial"/>
          <w:sz w:val="22"/>
          <w:szCs w:val="22"/>
        </w:rPr>
        <w:t xml:space="preserve"> </w:t>
      </w:r>
      <w:r>
        <w:rPr>
          <w:rFonts w:ascii="Arial" w:eastAsia="Arial" w:hAnsi="Arial" w:cs="Arial"/>
          <w:sz w:val="22"/>
          <w:szCs w:val="22"/>
        </w:rPr>
        <w:t>(Accessed: 11 August 2026).</w:t>
      </w:r>
    </w:p>
    <w:p w14:paraId="11A43244" w14:textId="77777777" w:rsidR="003C1B2C" w:rsidRDefault="0031699A">
      <w:pPr>
        <w:spacing w:after="200" w:line="360" w:lineRule="auto"/>
        <w:ind w:left="720" w:hanging="720"/>
      </w:pPr>
      <w:r>
        <w:rPr>
          <w:rFonts w:ascii="Arial" w:eastAsia="Arial" w:hAnsi="Arial" w:cs="Arial"/>
          <w:sz w:val="22"/>
          <w:szCs w:val="22"/>
        </w:rPr>
        <w:t xml:space="preserve">Syed, M. and Fish, J. (2018) 'Revisiting Erik Erikson's legacy on culture, race, and ethnicity', </w:t>
      </w:r>
      <w:r>
        <w:rPr>
          <w:rFonts w:ascii="Arial" w:eastAsia="Arial" w:hAnsi="Arial" w:cs="Arial"/>
          <w:i/>
          <w:iCs/>
          <w:sz w:val="22"/>
          <w:szCs w:val="22"/>
        </w:rPr>
        <w:t>Identity: An International Journal of Theory and Research</w:t>
      </w:r>
      <w:r>
        <w:rPr>
          <w:rFonts w:ascii="Arial" w:eastAsia="Arial" w:hAnsi="Arial" w:cs="Arial"/>
          <w:sz w:val="22"/>
          <w:szCs w:val="22"/>
        </w:rPr>
        <w:t>, 18(4), pp. 274–283.</w:t>
      </w:r>
    </w:p>
    <w:p w14:paraId="63290569" w14:textId="77777777" w:rsidR="003C1B2C" w:rsidRDefault="0031699A">
      <w:pPr>
        <w:spacing w:after="200" w:line="360" w:lineRule="auto"/>
        <w:ind w:left="720" w:hanging="720"/>
      </w:pPr>
      <w:r>
        <w:rPr>
          <w:rFonts w:ascii="Arial" w:eastAsia="Arial" w:hAnsi="Arial" w:cs="Arial"/>
          <w:sz w:val="22"/>
          <w:szCs w:val="22"/>
        </w:rPr>
        <w:t>Viner, R.M., Gireesh, A., Stiglic, N., Hudson, L.D., Goddings</w:t>
      </w:r>
      <w:r>
        <w:rPr>
          <w:rFonts w:ascii="Arial" w:eastAsia="Arial" w:hAnsi="Arial" w:cs="Arial"/>
          <w:sz w:val="22"/>
          <w:szCs w:val="22"/>
        </w:rPr>
        <w:t xml:space="preserve">, A-L., Ward, J.L. and Nicholls, D.E. (2019) 'Roles of cyberbullying, sleep, and physical activity in mediating the effects of social media use on mental health and wellbeing among young people in England: a secondary analysis of longitudinal data', </w:t>
      </w:r>
      <w:r>
        <w:rPr>
          <w:rFonts w:ascii="Arial" w:eastAsia="Arial" w:hAnsi="Arial" w:cs="Arial"/>
          <w:i/>
          <w:iCs/>
          <w:sz w:val="22"/>
          <w:szCs w:val="22"/>
        </w:rPr>
        <w:t>The Lancet Child &amp; Adolescent Health</w:t>
      </w:r>
      <w:r>
        <w:rPr>
          <w:rFonts w:ascii="Arial" w:eastAsia="Arial" w:hAnsi="Arial" w:cs="Arial"/>
          <w:sz w:val="22"/>
          <w:szCs w:val="22"/>
        </w:rPr>
        <w:t>, 3(10), pp. 685–696.</w:t>
      </w:r>
    </w:p>
    <w:p w14:paraId="37C17B84" w14:textId="77777777" w:rsidR="003C1B2C" w:rsidRDefault="0031699A">
      <w:pPr>
        <w:spacing w:after="200" w:line="360" w:lineRule="auto"/>
        <w:ind w:left="720" w:hanging="720"/>
      </w:pPr>
      <w:r>
        <w:rPr>
          <w:rFonts w:ascii="Arial" w:eastAsia="Arial" w:hAnsi="Arial" w:cs="Arial"/>
          <w:sz w:val="22"/>
          <w:szCs w:val="22"/>
        </w:rPr>
        <w:t xml:space="preserve">Vuorre, M., Orben, A. and Przybylski, A.K. (2021) 'There is no evidence that associations between adolescents' digital technology engagement and mental health problems have increased', </w:t>
      </w:r>
      <w:r>
        <w:rPr>
          <w:rFonts w:ascii="Arial" w:eastAsia="Arial" w:hAnsi="Arial" w:cs="Arial"/>
          <w:i/>
          <w:iCs/>
          <w:sz w:val="22"/>
          <w:szCs w:val="22"/>
        </w:rPr>
        <w:t>Clinical Psychological Science</w:t>
      </w:r>
      <w:r>
        <w:rPr>
          <w:rFonts w:ascii="Arial" w:eastAsia="Arial" w:hAnsi="Arial" w:cs="Arial"/>
          <w:sz w:val="22"/>
          <w:szCs w:val="22"/>
        </w:rPr>
        <w:t>, 9(5), pp. 823–835.</w:t>
      </w:r>
    </w:p>
    <w:p w14:paraId="14AC3FC9" w14:textId="77777777" w:rsidR="003C1B2C" w:rsidRDefault="0031699A">
      <w:pPr>
        <w:spacing w:after="200" w:line="360" w:lineRule="auto"/>
        <w:ind w:left="720" w:hanging="720"/>
      </w:pPr>
      <w:r>
        <w:rPr>
          <w:rFonts w:ascii="Arial" w:eastAsia="Arial" w:hAnsi="Arial" w:cs="Arial"/>
          <w:sz w:val="22"/>
          <w:szCs w:val="22"/>
        </w:rPr>
        <w:t xml:space="preserve">World Health Organization (2024) </w:t>
      </w:r>
      <w:r>
        <w:rPr>
          <w:rFonts w:ascii="Arial" w:eastAsia="Arial" w:hAnsi="Arial" w:cs="Arial"/>
          <w:i/>
          <w:iCs/>
          <w:sz w:val="22"/>
          <w:szCs w:val="22"/>
        </w:rPr>
        <w:t>Teens, Screens and Mental Health.</w:t>
      </w:r>
      <w:r>
        <w:rPr>
          <w:rFonts w:ascii="Arial" w:eastAsia="Arial" w:hAnsi="Arial" w:cs="Arial"/>
          <w:sz w:val="22"/>
          <w:szCs w:val="22"/>
        </w:rPr>
        <w:t xml:space="preserve"> Copenhagen: World Health Organization Regional Office for Europe. Available at: </w:t>
      </w:r>
      <w:hyperlink r:id="rId9" w:history="1">
        <w:r w:rsidR="00306DCD" w:rsidRPr="00787E6B">
          <w:rPr>
            <w:rStyle w:val="Hyperlink"/>
            <w:rFonts w:ascii="Arial" w:eastAsia="Arial" w:hAnsi="Arial" w:cs="Arial"/>
            <w:sz w:val="22"/>
            <w:szCs w:val="22"/>
          </w:rPr>
          <w:t>https://www.who.int/europe/news/item/25-09-2024-teens--screens-and-mental-health</w:t>
        </w:r>
      </w:hyperlink>
      <w:r w:rsidR="00306DCD">
        <w:rPr>
          <w:rFonts w:ascii="Arial" w:eastAsia="Arial" w:hAnsi="Arial" w:cs="Arial"/>
          <w:sz w:val="22"/>
          <w:szCs w:val="22"/>
        </w:rPr>
        <w:t xml:space="preserve"> </w:t>
      </w:r>
      <w:r>
        <w:rPr>
          <w:rFonts w:ascii="Arial" w:eastAsia="Arial" w:hAnsi="Arial" w:cs="Arial"/>
          <w:sz w:val="22"/>
          <w:szCs w:val="22"/>
        </w:rPr>
        <w:t>(Accessed: 20 July 2026).</w:t>
      </w:r>
    </w:p>
    <w:sectPr w:rsidR="003C1B2C">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95016" w14:textId="77777777" w:rsidR="00B366BD" w:rsidRDefault="00B366BD">
      <w:r>
        <w:separator/>
      </w:r>
    </w:p>
  </w:endnote>
  <w:endnote w:type="continuationSeparator" w:id="0">
    <w:p w14:paraId="00694995" w14:textId="77777777" w:rsidR="00B366BD" w:rsidRDefault="00B366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roman"/>
    <w:notTrueType/>
    <w:pitch w:val="default"/>
  </w:font>
  <w:font w:name="Aptos">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EBA59" w14:textId="77777777" w:rsidR="003C1B2C" w:rsidRDefault="0031699A">
    <w:pPr>
      <w:jc w:val="center"/>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4812D" w14:textId="77777777" w:rsidR="00B366BD" w:rsidRDefault="00B366BD">
      <w:r>
        <w:separator/>
      </w:r>
    </w:p>
  </w:footnote>
  <w:footnote w:type="continuationSeparator" w:id="0">
    <w:p w14:paraId="129DFD63" w14:textId="77777777" w:rsidR="00B366BD" w:rsidRDefault="00B366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27338F"/>
    <w:multiLevelType w:val="hybridMultilevel"/>
    <w:tmpl w:val="FFFFFFFF"/>
    <w:lvl w:ilvl="0" w:tplc="5F7EE798">
      <w:start w:val="1"/>
      <w:numFmt w:val="bullet"/>
      <w:lvlText w:val="●"/>
      <w:lvlJc w:val="left"/>
      <w:pPr>
        <w:ind w:left="720" w:hanging="360"/>
      </w:pPr>
    </w:lvl>
    <w:lvl w:ilvl="1" w:tplc="3C8E9218">
      <w:start w:val="1"/>
      <w:numFmt w:val="bullet"/>
      <w:lvlText w:val="○"/>
      <w:lvlJc w:val="left"/>
      <w:pPr>
        <w:ind w:left="1440" w:hanging="360"/>
      </w:pPr>
    </w:lvl>
    <w:lvl w:ilvl="2" w:tplc="46547DBA">
      <w:start w:val="1"/>
      <w:numFmt w:val="bullet"/>
      <w:lvlText w:val="■"/>
      <w:lvlJc w:val="left"/>
      <w:pPr>
        <w:ind w:left="2160" w:hanging="360"/>
      </w:pPr>
    </w:lvl>
    <w:lvl w:ilvl="3" w:tplc="B48269DE">
      <w:start w:val="1"/>
      <w:numFmt w:val="bullet"/>
      <w:lvlText w:val="●"/>
      <w:lvlJc w:val="left"/>
      <w:pPr>
        <w:ind w:left="2880" w:hanging="360"/>
      </w:pPr>
    </w:lvl>
    <w:lvl w:ilvl="4" w:tplc="C6486162">
      <w:start w:val="1"/>
      <w:numFmt w:val="bullet"/>
      <w:lvlText w:val="○"/>
      <w:lvlJc w:val="left"/>
      <w:pPr>
        <w:ind w:left="3600" w:hanging="360"/>
      </w:pPr>
    </w:lvl>
    <w:lvl w:ilvl="5" w:tplc="5F3E28C2">
      <w:start w:val="1"/>
      <w:numFmt w:val="bullet"/>
      <w:lvlText w:val="■"/>
      <w:lvlJc w:val="left"/>
      <w:pPr>
        <w:ind w:left="4320" w:hanging="360"/>
      </w:pPr>
    </w:lvl>
    <w:lvl w:ilvl="6" w:tplc="DD382A3C">
      <w:start w:val="1"/>
      <w:numFmt w:val="bullet"/>
      <w:lvlText w:val="●"/>
      <w:lvlJc w:val="left"/>
      <w:pPr>
        <w:ind w:left="5040" w:hanging="360"/>
      </w:pPr>
    </w:lvl>
    <w:lvl w:ilvl="7" w:tplc="87ECE8CA">
      <w:start w:val="1"/>
      <w:numFmt w:val="bullet"/>
      <w:lvlText w:val="●"/>
      <w:lvlJc w:val="left"/>
      <w:pPr>
        <w:ind w:left="5760" w:hanging="360"/>
      </w:pPr>
    </w:lvl>
    <w:lvl w:ilvl="8" w:tplc="3C8AE93A">
      <w:start w:val="1"/>
      <w:numFmt w:val="bullet"/>
      <w:lvlText w:val="●"/>
      <w:lvlJc w:val="left"/>
      <w:pPr>
        <w:ind w:left="6480" w:hanging="360"/>
      </w:pPr>
    </w:lvl>
  </w:abstractNum>
  <w:num w:numId="1" w16cid:durableId="77637181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B2C"/>
    <w:rsid w:val="00306DCD"/>
    <w:rsid w:val="0031699A"/>
    <w:rsid w:val="00361F4A"/>
    <w:rsid w:val="003C1B2C"/>
    <w:rsid w:val="005D16E4"/>
    <w:rsid w:val="00B36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1D0238"/>
  <w15:docId w15:val="{0C11761E-BE4D-F447-A0D1-0B1A2D6FB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306D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ofcom.org.uk/media-use-and-attitudes/media-habits-children/children-and-parents-media-use-and-attitudes-report-2025"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who.int/europe/news/item/25-09-2024-teens--screens-and-mental-healt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2226</Words>
  <Characters>12692</Characters>
  <Application>Microsoft Office Word</Application>
  <DocSecurity>0</DocSecurity>
  <Lines>105</Lines>
  <Paragraphs>29</Paragraphs>
  <ScaleCrop>false</ScaleCrop>
  <Company/>
  <LinksUpToDate>false</LinksUpToDate>
  <CharactersWithSpaces>14889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barbara campbell</cp:lastModifiedBy>
  <cp:revision>2</cp:revision>
  <dcterms:created xsi:type="dcterms:W3CDTF">2026-08-13T19:44:00Z</dcterms:created>
  <dcterms:modified xsi:type="dcterms:W3CDTF">2026-08-13T19:44:00Z</dcterms:modified>
</cp:coreProperties>
</file>